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commentsExtensible.xml" ContentType="application/vnd.openxmlformats-officedocument.wordprocessingml.commentsExtensi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A08A7" w:rsidP="00BA08A7" w:rsidRDefault="00BA08A7" w14:paraId="53444F9A" w14:textId="77777777">
      <w:pPr>
        <w:shd w:val="clear" w:color="auto" w:fill="FFFFFF" w:themeFill="background1"/>
        <w:spacing w:before="75" w:after="75"/>
        <w:rPr>
          <w:rFonts w:ascii="Arial" w:hAnsi="Arial" w:eastAsia="Times New Roman" w:cs="Arial"/>
          <w:b/>
          <w:bCs/>
          <w:color w:val="1C1D1E"/>
          <w:sz w:val="21"/>
          <w:szCs w:val="21"/>
          <w:u w:val="single"/>
        </w:rPr>
      </w:pPr>
      <w:r>
        <w:rPr>
          <w:rFonts w:ascii="Arial" w:hAnsi="Arial" w:eastAsia="Times New Roman" w:cs="Arial"/>
          <w:b/>
          <w:bCs/>
          <w:color w:val="1C1D1E"/>
          <w:sz w:val="21"/>
          <w:szCs w:val="21"/>
          <w:u w:val="single"/>
        </w:rPr>
        <w:t xml:space="preserve">Title: </w:t>
      </w:r>
    </w:p>
    <w:p w:rsidRPr="00BA08A7" w:rsidR="00BA08A7" w:rsidP="00BA08A7" w:rsidRDefault="00BA08A7" w14:paraId="0383D168" w14:textId="18D6B9ED">
      <w:pPr>
        <w:shd w:val="clear" w:color="auto" w:fill="FFFFFF" w:themeFill="background1"/>
        <w:spacing w:before="75" w:after="75"/>
        <w:rPr>
          <w:rFonts w:ascii="Arial" w:hAnsi="Arial" w:eastAsia="Times New Roman" w:cs="Arial"/>
          <w:bCs/>
          <w:color w:val="1C1D1E"/>
          <w:sz w:val="21"/>
          <w:szCs w:val="21"/>
        </w:rPr>
      </w:pPr>
      <w:r w:rsidRPr="00BA08A7">
        <w:rPr>
          <w:rFonts w:ascii="Arial" w:hAnsi="Arial" w:eastAsia="Times New Roman" w:cs="Arial"/>
          <w:bCs/>
          <w:color w:val="1C1D1E"/>
          <w:sz w:val="21"/>
          <w:szCs w:val="21"/>
        </w:rPr>
        <w:t xml:space="preserve">How is </w:t>
      </w:r>
      <w:r w:rsidR="00E25128">
        <w:rPr>
          <w:rFonts w:ascii="Arial" w:hAnsi="Arial" w:eastAsia="Times New Roman" w:cs="Arial"/>
          <w:bCs/>
          <w:color w:val="1C1D1E"/>
          <w:sz w:val="21"/>
          <w:szCs w:val="21"/>
        </w:rPr>
        <w:t xml:space="preserve">oral </w:t>
      </w:r>
      <w:r w:rsidRPr="00BA08A7">
        <w:rPr>
          <w:rFonts w:ascii="Arial" w:hAnsi="Arial" w:eastAsia="Times New Roman" w:cs="Arial"/>
          <w:bCs/>
          <w:color w:val="1C1D1E"/>
          <w:sz w:val="21"/>
          <w:szCs w:val="21"/>
        </w:rPr>
        <w:t>isotretinoin prescribed for the treatment of acne vulgaris? Results from a UK Dermatology Clinical Trials Network (UKDCTN) and British Dermatological Nursing Group (BDNG) survey of health professionals</w:t>
      </w:r>
    </w:p>
    <w:p w:rsidR="00BA08A7" w:rsidP="00E8692E" w:rsidRDefault="00BA08A7" w14:paraId="672A6659" w14:textId="77777777">
      <w:pPr>
        <w:shd w:val="clear" w:color="auto" w:fill="FFFFFF" w:themeFill="background1"/>
        <w:spacing w:before="75" w:after="75"/>
        <w:rPr>
          <w:rFonts w:ascii="Arial" w:hAnsi="Arial" w:eastAsia="Times New Roman" w:cs="Arial"/>
          <w:b/>
          <w:bCs/>
          <w:color w:val="1C1D1E"/>
          <w:sz w:val="21"/>
          <w:szCs w:val="21"/>
          <w:u w:val="single"/>
        </w:rPr>
      </w:pPr>
    </w:p>
    <w:p w:rsidR="00BA08A7" w:rsidP="00E8692E" w:rsidRDefault="00BA08A7" w14:paraId="019573D3" w14:textId="77777777">
      <w:pPr>
        <w:shd w:val="clear" w:color="auto" w:fill="FFFFFF" w:themeFill="background1"/>
        <w:spacing w:before="75" w:after="75"/>
        <w:rPr>
          <w:rFonts w:ascii="Arial" w:hAnsi="Arial" w:eastAsia="Times New Roman" w:cs="Arial"/>
          <w:b/>
          <w:bCs/>
          <w:color w:val="1C1D1E"/>
          <w:sz w:val="21"/>
          <w:szCs w:val="21"/>
          <w:u w:val="single"/>
        </w:rPr>
      </w:pPr>
      <w:r>
        <w:rPr>
          <w:rFonts w:ascii="Arial" w:hAnsi="Arial" w:eastAsia="Times New Roman" w:cs="Arial"/>
          <w:b/>
          <w:bCs/>
          <w:color w:val="1C1D1E"/>
          <w:sz w:val="21"/>
          <w:szCs w:val="21"/>
          <w:u w:val="single"/>
        </w:rPr>
        <w:t xml:space="preserve">Authors: </w:t>
      </w:r>
    </w:p>
    <w:p w:rsidRPr="0072702D" w:rsidR="00BA08A7" w:rsidP="013D5F83" w:rsidRDefault="390094D9" w14:paraId="0886EA62" w14:textId="4D927EAC">
      <w:pPr>
        <w:shd w:val="clear" w:color="auto" w:fill="FFFFFF" w:themeFill="background1"/>
        <w:spacing w:before="75" w:after="75"/>
        <w:rPr>
          <w:rFonts w:ascii="Arial" w:hAnsi="Arial" w:eastAsia="Times New Roman" w:cs="Arial"/>
          <w:color w:val="1C1D1E"/>
          <w:sz w:val="21"/>
          <w:szCs w:val="21"/>
        </w:rPr>
      </w:pPr>
      <w:r w:rsidRPr="013D5F83">
        <w:rPr>
          <w:rFonts w:ascii="Arial" w:hAnsi="Arial" w:eastAsia="Times New Roman" w:cs="Arial"/>
          <w:color w:val="1C1D1E"/>
          <w:sz w:val="21"/>
          <w:szCs w:val="21"/>
        </w:rPr>
        <w:t>Zahra Moledina</w:t>
      </w:r>
      <w:r w:rsidRPr="013D5F83" w:rsidR="65E91D09">
        <w:rPr>
          <w:rFonts w:ascii="Arial" w:hAnsi="Arial" w:eastAsia="Times New Roman" w:cs="Arial"/>
          <w:color w:val="1C1D1E"/>
          <w:sz w:val="21"/>
          <w:szCs w:val="21"/>
          <w:vertAlign w:val="superscript"/>
        </w:rPr>
        <w:t>1</w:t>
      </w:r>
      <w:r w:rsidRPr="013D5F83">
        <w:rPr>
          <w:rFonts w:ascii="Arial" w:hAnsi="Arial" w:eastAsia="Times New Roman" w:cs="Arial"/>
          <w:color w:val="1C1D1E"/>
          <w:sz w:val="21"/>
          <w:szCs w:val="21"/>
        </w:rPr>
        <w:t>, Margaret McPhee</w:t>
      </w:r>
      <w:r w:rsidRPr="013D5F83" w:rsidR="65E91D09">
        <w:rPr>
          <w:rFonts w:ascii="Arial" w:hAnsi="Arial" w:eastAsia="Times New Roman" w:cs="Arial"/>
          <w:color w:val="1C1D1E"/>
          <w:sz w:val="21"/>
          <w:szCs w:val="21"/>
          <w:vertAlign w:val="superscript"/>
        </w:rPr>
        <w:t>2</w:t>
      </w:r>
      <w:r w:rsidRPr="013D5F83">
        <w:rPr>
          <w:rFonts w:ascii="Arial" w:hAnsi="Arial" w:eastAsia="Times New Roman" w:cs="Arial"/>
          <w:color w:val="1C1D1E"/>
          <w:sz w:val="21"/>
          <w:szCs w:val="21"/>
        </w:rPr>
        <w:t>, Jane C Ravenscroft</w:t>
      </w:r>
      <w:r w:rsidRPr="013D5F83" w:rsidR="65E91D09">
        <w:rPr>
          <w:rFonts w:ascii="Arial" w:hAnsi="Arial" w:eastAsia="Times New Roman" w:cs="Arial"/>
          <w:color w:val="1C1D1E"/>
          <w:sz w:val="21"/>
          <w:szCs w:val="21"/>
          <w:vertAlign w:val="superscript"/>
        </w:rPr>
        <w:t>3</w:t>
      </w:r>
      <w:r w:rsidRPr="013D5F83">
        <w:rPr>
          <w:rFonts w:ascii="Arial" w:hAnsi="Arial" w:eastAsia="Times New Roman" w:cs="Arial"/>
          <w:color w:val="1C1D1E"/>
          <w:sz w:val="21"/>
          <w:szCs w:val="21"/>
        </w:rPr>
        <w:t xml:space="preserve">, </w:t>
      </w:r>
      <w:r w:rsidRPr="013D5F83" w:rsidR="65E91D09">
        <w:rPr>
          <w:rFonts w:ascii="Arial" w:hAnsi="Arial" w:eastAsia="Times New Roman" w:cs="Arial"/>
          <w:color w:val="1C1D1E"/>
          <w:sz w:val="21"/>
          <w:szCs w:val="21"/>
        </w:rPr>
        <w:t>Eugene Healy</w:t>
      </w:r>
      <w:r w:rsidRPr="013D5F83" w:rsidR="65E91D09">
        <w:rPr>
          <w:rFonts w:ascii="Arial" w:hAnsi="Arial" w:eastAsia="Times New Roman" w:cs="Arial"/>
          <w:color w:val="1C1D1E"/>
          <w:sz w:val="21"/>
          <w:szCs w:val="21"/>
          <w:vertAlign w:val="superscript"/>
        </w:rPr>
        <w:t>4</w:t>
      </w:r>
      <w:r w:rsidRPr="013D5F83" w:rsidR="65E91D09">
        <w:rPr>
          <w:rFonts w:ascii="Arial" w:hAnsi="Arial" w:eastAsia="Times New Roman" w:cs="Arial"/>
          <w:color w:val="1C1D1E"/>
          <w:sz w:val="21"/>
          <w:szCs w:val="21"/>
        </w:rPr>
        <w:t>, K</w:t>
      </w:r>
      <w:r w:rsidRPr="013D5F83" w:rsidR="5FE66F6C">
        <w:rPr>
          <w:rFonts w:ascii="Arial" w:hAnsi="Arial" w:eastAsia="Times New Roman" w:cs="Arial"/>
          <w:color w:val="1C1D1E"/>
          <w:sz w:val="21"/>
          <w:szCs w:val="21"/>
        </w:rPr>
        <w:t>athy</w:t>
      </w:r>
      <w:r w:rsidRPr="013D5F83" w:rsidR="65E91D09">
        <w:rPr>
          <w:rFonts w:ascii="Arial" w:hAnsi="Arial" w:eastAsia="Times New Roman" w:cs="Arial"/>
          <w:color w:val="1C1D1E"/>
          <w:sz w:val="21"/>
          <w:szCs w:val="21"/>
        </w:rPr>
        <w:t xml:space="preserve"> Radley</w:t>
      </w:r>
      <w:r w:rsidRPr="013D5F83" w:rsidR="554356AD">
        <w:rPr>
          <w:rFonts w:ascii="Arial" w:hAnsi="Arial" w:eastAsia="Times New Roman" w:cs="Arial"/>
          <w:color w:val="1C1D1E"/>
          <w:sz w:val="21"/>
          <w:szCs w:val="21"/>
          <w:vertAlign w:val="superscript"/>
        </w:rPr>
        <w:t>5</w:t>
      </w:r>
      <w:r w:rsidRPr="013D5F83" w:rsidR="65E91D09">
        <w:rPr>
          <w:rFonts w:ascii="Arial" w:hAnsi="Arial" w:eastAsia="Times New Roman" w:cs="Arial"/>
          <w:color w:val="1C1D1E"/>
          <w:sz w:val="21"/>
          <w:szCs w:val="21"/>
        </w:rPr>
        <w:t>, Kim S Thomas</w:t>
      </w:r>
      <w:r w:rsidRPr="013D5F83" w:rsidR="554356AD">
        <w:rPr>
          <w:rFonts w:ascii="Arial" w:hAnsi="Arial" w:eastAsia="Times New Roman" w:cs="Arial"/>
          <w:color w:val="1C1D1E"/>
          <w:sz w:val="21"/>
          <w:szCs w:val="21"/>
          <w:vertAlign w:val="superscript"/>
        </w:rPr>
        <w:t>2</w:t>
      </w:r>
      <w:r w:rsidRPr="013D5F83" w:rsidR="65E91D09">
        <w:rPr>
          <w:rFonts w:ascii="Arial" w:hAnsi="Arial" w:eastAsia="Times New Roman" w:cs="Arial"/>
          <w:color w:val="1C1D1E"/>
          <w:sz w:val="21"/>
          <w:szCs w:val="21"/>
          <w:vertAlign w:val="superscript"/>
        </w:rPr>
        <w:t>*</w:t>
      </w:r>
      <w:r w:rsidRPr="013D5F83" w:rsidR="65E91D09">
        <w:rPr>
          <w:rFonts w:ascii="Arial" w:hAnsi="Arial" w:eastAsia="Times New Roman" w:cs="Arial"/>
          <w:color w:val="1C1D1E"/>
          <w:sz w:val="21"/>
          <w:szCs w:val="21"/>
        </w:rPr>
        <w:t>, Esther Burden-Teh</w:t>
      </w:r>
      <w:r w:rsidRPr="013D5F83" w:rsidR="554356AD">
        <w:rPr>
          <w:rFonts w:ascii="Arial" w:hAnsi="Arial" w:eastAsia="Times New Roman" w:cs="Arial"/>
          <w:color w:val="1C1D1E"/>
          <w:sz w:val="21"/>
          <w:szCs w:val="21"/>
          <w:vertAlign w:val="superscript"/>
        </w:rPr>
        <w:t>2</w:t>
      </w:r>
      <w:r w:rsidRPr="013D5F83" w:rsidR="65E91D09">
        <w:rPr>
          <w:rFonts w:ascii="Arial" w:hAnsi="Arial" w:eastAsia="Times New Roman" w:cs="Arial"/>
          <w:color w:val="1C1D1E"/>
          <w:sz w:val="21"/>
          <w:szCs w:val="21"/>
          <w:vertAlign w:val="superscript"/>
        </w:rPr>
        <w:t>*</w:t>
      </w:r>
      <w:r w:rsidRPr="013D5F83" w:rsidR="65E91D09">
        <w:rPr>
          <w:rFonts w:ascii="Arial" w:hAnsi="Arial" w:eastAsia="Times New Roman" w:cs="Arial"/>
          <w:color w:val="1C1D1E"/>
          <w:sz w:val="21"/>
          <w:szCs w:val="21"/>
        </w:rPr>
        <w:t xml:space="preserve"> </w:t>
      </w:r>
      <w:r w:rsidRPr="013D5F83" w:rsidR="627113B0">
        <w:rPr>
          <w:rFonts w:ascii="Arial" w:hAnsi="Arial" w:eastAsia="Times New Roman" w:cs="Arial"/>
          <w:color w:val="1C1D1E"/>
          <w:sz w:val="21"/>
          <w:szCs w:val="21"/>
        </w:rPr>
        <w:t>o</w:t>
      </w:r>
      <w:r w:rsidRPr="013D5F83" w:rsidR="6BBD67F4">
        <w:rPr>
          <w:rFonts w:ascii="Arial" w:hAnsi="Arial" w:eastAsia="Times New Roman" w:cs="Arial"/>
          <w:color w:val="1C1D1E"/>
          <w:sz w:val="21"/>
          <w:szCs w:val="21"/>
        </w:rPr>
        <w:t>n behalf of the Acne-ID trial development team</w:t>
      </w:r>
    </w:p>
    <w:p w:rsidR="00307BFB" w:rsidP="00E8692E" w:rsidRDefault="00307BFB" w14:paraId="0A37501D" w14:textId="77777777">
      <w:pPr>
        <w:shd w:val="clear" w:color="auto" w:fill="FFFFFF" w:themeFill="background1"/>
        <w:spacing w:before="75" w:after="75"/>
        <w:rPr>
          <w:rFonts w:ascii="Arial" w:hAnsi="Arial" w:eastAsia="Times New Roman" w:cs="Arial"/>
          <w:b/>
          <w:bCs/>
          <w:color w:val="1C1D1E"/>
          <w:sz w:val="21"/>
          <w:szCs w:val="21"/>
          <w:u w:val="single"/>
        </w:rPr>
      </w:pPr>
    </w:p>
    <w:p w:rsidR="00307BFB" w:rsidP="00307BFB" w:rsidRDefault="00307BFB" w14:paraId="65A29CBF" w14:textId="77777777">
      <w:pPr>
        <w:shd w:val="clear" w:color="auto" w:fill="FFFFFF" w:themeFill="background1"/>
        <w:spacing w:before="75" w:after="75"/>
        <w:rPr>
          <w:rFonts w:ascii="Arial" w:hAnsi="Arial" w:eastAsia="Times New Roman" w:cs="Arial"/>
          <w:bCs/>
          <w:color w:val="1C1D1E"/>
          <w:sz w:val="21"/>
          <w:szCs w:val="21"/>
        </w:rPr>
      </w:pPr>
      <w:r>
        <w:rPr>
          <w:rFonts w:ascii="Arial" w:hAnsi="Arial" w:eastAsia="Times New Roman" w:cs="Arial"/>
          <w:bCs/>
          <w:color w:val="1C1D1E"/>
          <w:sz w:val="21"/>
          <w:szCs w:val="21"/>
        </w:rPr>
        <w:t>*Joint senior authors</w:t>
      </w:r>
    </w:p>
    <w:p w:rsidR="00307BFB" w:rsidP="77E2B89E" w:rsidRDefault="00307BFB" w14:paraId="75DD2F1C" w14:textId="2B4785D9">
      <w:pPr>
        <w:shd w:val="clear" w:color="auto" w:fill="FFFFFF" w:themeFill="background1"/>
        <w:spacing w:before="75" w:after="75"/>
        <w:rPr>
          <w:rFonts w:ascii="Arial" w:hAnsi="Arial" w:eastAsia="Times New Roman" w:cs="Arial"/>
          <w:color w:val="1C1D1E"/>
          <w:sz w:val="21"/>
          <w:szCs w:val="21"/>
        </w:rPr>
      </w:pPr>
    </w:p>
    <w:p w:rsidRPr="00307BFB" w:rsidR="00307BFB" w:rsidP="00307BFB" w:rsidRDefault="00307BFB" w14:paraId="02EB378F" w14:textId="77777777">
      <w:pPr>
        <w:shd w:val="clear" w:color="auto" w:fill="FFFFFF" w:themeFill="background1"/>
        <w:spacing w:before="75" w:after="75"/>
        <w:rPr>
          <w:rFonts w:ascii="Arial" w:hAnsi="Arial" w:eastAsia="Times New Roman" w:cs="Arial"/>
          <w:bCs/>
          <w:color w:val="1C1D1E"/>
          <w:sz w:val="21"/>
          <w:szCs w:val="21"/>
        </w:rPr>
      </w:pPr>
    </w:p>
    <w:p w:rsidR="00BA08A7" w:rsidP="00E8692E" w:rsidRDefault="00BA08A7" w14:paraId="375F95C5" w14:textId="77777777">
      <w:pPr>
        <w:shd w:val="clear" w:color="auto" w:fill="FFFFFF" w:themeFill="background1"/>
        <w:spacing w:before="75" w:after="75"/>
        <w:rPr>
          <w:rFonts w:ascii="Arial" w:hAnsi="Arial" w:eastAsia="Times New Roman" w:cs="Arial"/>
          <w:b/>
          <w:bCs/>
          <w:color w:val="1C1D1E"/>
          <w:sz w:val="21"/>
          <w:szCs w:val="21"/>
          <w:u w:val="single"/>
        </w:rPr>
      </w:pPr>
      <w:r>
        <w:rPr>
          <w:rFonts w:ascii="Arial" w:hAnsi="Arial" w:eastAsia="Times New Roman" w:cs="Arial"/>
          <w:b/>
          <w:bCs/>
          <w:color w:val="1C1D1E"/>
          <w:sz w:val="21"/>
          <w:szCs w:val="21"/>
          <w:u w:val="single"/>
        </w:rPr>
        <w:t xml:space="preserve">Institutions: </w:t>
      </w:r>
    </w:p>
    <w:p w:rsidR="00BA08A7" w:rsidP="0072702D" w:rsidRDefault="0072702D" w14:paraId="0614765A" w14:textId="77777777">
      <w:pPr>
        <w:pStyle w:val="ListParagraph"/>
        <w:numPr>
          <w:ilvl w:val="0"/>
          <w:numId w:val="5"/>
        </w:numPr>
        <w:shd w:val="clear" w:color="auto" w:fill="FFFFFF" w:themeFill="background1"/>
        <w:spacing w:before="75" w:after="75"/>
        <w:rPr>
          <w:rFonts w:ascii="Arial" w:hAnsi="Arial" w:eastAsia="Times New Roman" w:cs="Arial"/>
          <w:bCs/>
          <w:color w:val="1C1D1E"/>
          <w:sz w:val="21"/>
          <w:szCs w:val="21"/>
        </w:rPr>
      </w:pPr>
      <w:r>
        <w:rPr>
          <w:rFonts w:ascii="Arial" w:hAnsi="Arial" w:eastAsia="Times New Roman" w:cs="Arial"/>
          <w:bCs/>
          <w:color w:val="1C1D1E"/>
          <w:sz w:val="21"/>
          <w:szCs w:val="21"/>
        </w:rPr>
        <w:t xml:space="preserve">Department of Dermatology, Nottingham University Hospitals NHS Trust, UK </w:t>
      </w:r>
    </w:p>
    <w:p w:rsidR="0072702D" w:rsidP="0072702D" w:rsidRDefault="0072702D" w14:paraId="66C3C6EE" w14:textId="77777777">
      <w:pPr>
        <w:pStyle w:val="ListParagraph"/>
        <w:numPr>
          <w:ilvl w:val="0"/>
          <w:numId w:val="5"/>
        </w:numPr>
        <w:shd w:val="clear" w:color="auto" w:fill="FFFFFF" w:themeFill="background1"/>
        <w:spacing w:before="75" w:after="75"/>
        <w:rPr>
          <w:rFonts w:ascii="Arial" w:hAnsi="Arial" w:eastAsia="Times New Roman" w:cs="Arial"/>
          <w:bCs/>
          <w:color w:val="1C1D1E"/>
          <w:sz w:val="21"/>
          <w:szCs w:val="21"/>
        </w:rPr>
      </w:pPr>
      <w:r>
        <w:rPr>
          <w:rFonts w:ascii="Arial" w:hAnsi="Arial" w:eastAsia="Times New Roman" w:cs="Arial"/>
          <w:bCs/>
          <w:color w:val="1C1D1E"/>
          <w:sz w:val="21"/>
          <w:szCs w:val="21"/>
        </w:rPr>
        <w:t>Centre of Evidence Based Dermatology, School of Medicine, University of Nottingham, UK</w:t>
      </w:r>
    </w:p>
    <w:p w:rsidR="0072702D" w:rsidP="0072702D" w:rsidRDefault="0072702D" w14:paraId="20581931" w14:textId="77777777">
      <w:pPr>
        <w:pStyle w:val="ListParagraph"/>
        <w:numPr>
          <w:ilvl w:val="0"/>
          <w:numId w:val="5"/>
        </w:numPr>
        <w:shd w:val="clear" w:color="auto" w:fill="FFFFFF" w:themeFill="background1"/>
        <w:spacing w:before="75" w:after="75"/>
        <w:rPr>
          <w:rFonts w:ascii="Arial" w:hAnsi="Arial" w:eastAsia="Times New Roman" w:cs="Arial"/>
          <w:bCs/>
          <w:color w:val="1C1D1E"/>
          <w:sz w:val="21"/>
          <w:szCs w:val="21"/>
        </w:rPr>
      </w:pPr>
      <w:r>
        <w:rPr>
          <w:rFonts w:ascii="Arial" w:hAnsi="Arial" w:eastAsia="Times New Roman" w:cs="Arial"/>
          <w:bCs/>
          <w:color w:val="1C1D1E"/>
          <w:sz w:val="21"/>
          <w:szCs w:val="21"/>
        </w:rPr>
        <w:t>Department of Paediatric Dermatology, Nottingham Children’s Hospital, Nottingham University Hospitals NHS Trust, UK</w:t>
      </w:r>
    </w:p>
    <w:p w:rsidR="0072702D" w:rsidP="0072702D" w:rsidRDefault="0072702D" w14:paraId="620D278D" w14:textId="71E6A21B">
      <w:pPr>
        <w:pStyle w:val="ListParagraph"/>
        <w:numPr>
          <w:ilvl w:val="0"/>
          <w:numId w:val="5"/>
        </w:numPr>
        <w:shd w:val="clear" w:color="auto" w:fill="FFFFFF" w:themeFill="background1"/>
        <w:spacing w:before="75" w:after="75"/>
        <w:rPr>
          <w:rFonts w:ascii="Arial" w:hAnsi="Arial" w:eastAsia="Times New Roman" w:cs="Arial"/>
          <w:bCs/>
          <w:color w:val="1C1D1E"/>
          <w:sz w:val="21"/>
          <w:szCs w:val="21"/>
        </w:rPr>
      </w:pPr>
      <w:proofErr w:type="spellStart"/>
      <w:r>
        <w:rPr>
          <w:rFonts w:ascii="Arial" w:hAnsi="Arial" w:eastAsia="Times New Roman" w:cs="Arial"/>
          <w:bCs/>
          <w:color w:val="1C1D1E"/>
          <w:sz w:val="21"/>
          <w:szCs w:val="21"/>
        </w:rPr>
        <w:t>Dermatopharmacology</w:t>
      </w:r>
      <w:proofErr w:type="spellEnd"/>
      <w:r>
        <w:rPr>
          <w:rFonts w:ascii="Arial" w:hAnsi="Arial" w:eastAsia="Times New Roman" w:cs="Arial"/>
          <w:bCs/>
          <w:color w:val="1C1D1E"/>
          <w:sz w:val="21"/>
          <w:szCs w:val="21"/>
        </w:rPr>
        <w:t>, Faculty of Medicine, University of Southampton, UK</w:t>
      </w:r>
    </w:p>
    <w:p w:rsidRPr="0072702D" w:rsidR="0072702D" w:rsidP="0072702D" w:rsidRDefault="0072702D" w14:paraId="4DCB34C7" w14:textId="77777777">
      <w:pPr>
        <w:pStyle w:val="ListParagraph"/>
        <w:numPr>
          <w:ilvl w:val="0"/>
          <w:numId w:val="5"/>
        </w:numPr>
        <w:shd w:val="clear" w:color="auto" w:fill="FFFFFF" w:themeFill="background1"/>
        <w:spacing w:before="75" w:after="75"/>
        <w:rPr>
          <w:rFonts w:ascii="Arial" w:hAnsi="Arial" w:eastAsia="Times New Roman" w:cs="Arial"/>
          <w:bCs/>
          <w:color w:val="1C1D1E"/>
          <w:sz w:val="21"/>
          <w:szCs w:val="21"/>
        </w:rPr>
      </w:pPr>
      <w:r>
        <w:rPr>
          <w:rFonts w:ascii="Arial" w:hAnsi="Arial" w:eastAsia="Times New Roman" w:cs="Arial"/>
          <w:bCs/>
          <w:color w:val="1C1D1E"/>
          <w:sz w:val="21"/>
          <w:szCs w:val="21"/>
        </w:rPr>
        <w:t>Department of Clinical, Pharmaceutical and Biological Science, School of Life and Medical Sciences, University of Hertfordshire, UK</w:t>
      </w:r>
    </w:p>
    <w:p w:rsidR="00BA08A7" w:rsidP="00E8692E" w:rsidRDefault="00BA08A7" w14:paraId="6A05A809" w14:textId="77777777">
      <w:pPr>
        <w:shd w:val="clear" w:color="auto" w:fill="FFFFFF" w:themeFill="background1"/>
        <w:spacing w:before="75" w:after="75"/>
        <w:rPr>
          <w:rFonts w:ascii="Arial" w:hAnsi="Arial" w:eastAsia="Times New Roman" w:cs="Arial"/>
          <w:b/>
          <w:bCs/>
          <w:color w:val="1C1D1E"/>
          <w:sz w:val="21"/>
          <w:szCs w:val="21"/>
          <w:u w:val="single"/>
        </w:rPr>
      </w:pPr>
    </w:p>
    <w:p w:rsidR="00BA08A7" w:rsidP="00E8692E" w:rsidRDefault="00BA08A7" w14:paraId="5A39BBE3" w14:textId="77777777">
      <w:pPr>
        <w:shd w:val="clear" w:color="auto" w:fill="FFFFFF" w:themeFill="background1"/>
        <w:spacing w:before="75" w:after="75"/>
        <w:rPr>
          <w:rFonts w:ascii="Arial" w:hAnsi="Arial" w:eastAsia="Times New Roman" w:cs="Arial"/>
          <w:b/>
          <w:bCs/>
          <w:color w:val="1C1D1E"/>
          <w:sz w:val="21"/>
          <w:szCs w:val="21"/>
          <w:u w:val="single"/>
        </w:rPr>
      </w:pPr>
    </w:p>
    <w:p w:rsidRPr="00307BFB" w:rsidR="00BA08A7" w:rsidP="77E2B89E" w:rsidRDefault="390094D9" w14:paraId="1E18E019" w14:textId="2434767A">
      <w:pPr>
        <w:shd w:val="clear" w:color="auto" w:fill="FFFFFF" w:themeFill="background1"/>
        <w:spacing w:before="75" w:after="75"/>
        <w:rPr>
          <w:rFonts w:ascii="Arial" w:hAnsi="Arial" w:eastAsia="Times New Roman" w:cs="Arial"/>
          <w:color w:val="1C1D1E"/>
          <w:sz w:val="21"/>
          <w:szCs w:val="21"/>
        </w:rPr>
      </w:pPr>
      <w:r w:rsidRPr="713B4705" w:rsidR="390094D9">
        <w:rPr>
          <w:rFonts w:ascii="Arial" w:hAnsi="Arial" w:eastAsia="Times New Roman" w:cs="Arial"/>
          <w:b w:val="1"/>
          <w:bCs w:val="1"/>
          <w:color w:val="1C1D1E"/>
          <w:sz w:val="21"/>
          <w:szCs w:val="21"/>
          <w:u w:val="single"/>
        </w:rPr>
        <w:t xml:space="preserve">Word count: </w:t>
      </w:r>
      <w:r w:rsidRPr="713B4705" w:rsidR="554356AD">
        <w:rPr>
          <w:rFonts w:ascii="Arial" w:hAnsi="Arial" w:eastAsia="Times New Roman" w:cs="Arial"/>
          <w:b w:val="1"/>
          <w:bCs w:val="1"/>
          <w:color w:val="1C1D1E"/>
          <w:sz w:val="21"/>
          <w:szCs w:val="21"/>
          <w:u w:val="single"/>
        </w:rPr>
        <w:t xml:space="preserve"> </w:t>
      </w:r>
      <w:r w:rsidRPr="713B4705" w:rsidR="554356AD">
        <w:rPr>
          <w:rFonts w:ascii="Arial" w:hAnsi="Arial" w:eastAsia="Times New Roman" w:cs="Arial"/>
          <w:color w:val="1C1D1E"/>
          <w:sz w:val="21"/>
          <w:szCs w:val="21"/>
        </w:rPr>
        <w:t>Abstract 11</w:t>
      </w:r>
      <w:r w:rsidRPr="713B4705" w:rsidR="00437D24">
        <w:rPr>
          <w:rFonts w:ascii="Arial" w:hAnsi="Arial" w:eastAsia="Times New Roman" w:cs="Arial"/>
          <w:color w:val="1C1D1E"/>
          <w:sz w:val="21"/>
          <w:szCs w:val="21"/>
        </w:rPr>
        <w:t>8</w:t>
      </w:r>
      <w:r w:rsidRPr="713B4705" w:rsidR="554356AD">
        <w:rPr>
          <w:rFonts w:ascii="Arial" w:hAnsi="Arial" w:eastAsia="Times New Roman" w:cs="Arial"/>
          <w:color w:val="1C1D1E"/>
          <w:sz w:val="21"/>
          <w:szCs w:val="21"/>
        </w:rPr>
        <w:t xml:space="preserve"> words, Main report 9</w:t>
      </w:r>
      <w:r w:rsidRPr="713B4705" w:rsidR="00437D24">
        <w:rPr>
          <w:rFonts w:ascii="Arial" w:hAnsi="Arial" w:eastAsia="Times New Roman" w:cs="Arial"/>
          <w:color w:val="1C1D1E"/>
          <w:sz w:val="21"/>
          <w:szCs w:val="21"/>
        </w:rPr>
        <w:t>9</w:t>
      </w:r>
      <w:r w:rsidRPr="713B4705" w:rsidR="004548A4">
        <w:rPr>
          <w:rFonts w:ascii="Arial" w:hAnsi="Arial" w:eastAsia="Times New Roman" w:cs="Arial"/>
          <w:color w:val="1C1D1E"/>
          <w:sz w:val="21"/>
          <w:szCs w:val="21"/>
        </w:rPr>
        <w:t>8</w:t>
      </w:r>
      <w:r w:rsidRPr="713B4705" w:rsidR="554356AD">
        <w:rPr>
          <w:rFonts w:ascii="Arial" w:hAnsi="Arial" w:eastAsia="Times New Roman" w:cs="Arial"/>
          <w:color w:val="1C1D1E"/>
          <w:sz w:val="21"/>
          <w:szCs w:val="21"/>
        </w:rPr>
        <w:t xml:space="preserve"> words (excluding references)</w:t>
      </w:r>
    </w:p>
    <w:p w:rsidRPr="00307BFB" w:rsidR="00BA08A7" w:rsidP="00E8692E" w:rsidRDefault="00BA08A7" w14:paraId="25030781" w14:textId="77777777">
      <w:pPr>
        <w:shd w:val="clear" w:color="auto" w:fill="FFFFFF" w:themeFill="background1"/>
        <w:spacing w:before="75" w:after="75"/>
        <w:rPr>
          <w:rFonts w:ascii="Arial" w:hAnsi="Arial" w:eastAsia="Times New Roman" w:cs="Arial"/>
          <w:bCs/>
          <w:color w:val="1C1D1E"/>
          <w:sz w:val="21"/>
          <w:szCs w:val="21"/>
        </w:rPr>
      </w:pPr>
      <w:r>
        <w:rPr>
          <w:rFonts w:ascii="Arial" w:hAnsi="Arial" w:eastAsia="Times New Roman" w:cs="Arial"/>
          <w:b/>
          <w:bCs/>
          <w:color w:val="1C1D1E"/>
          <w:sz w:val="21"/>
          <w:szCs w:val="21"/>
          <w:u w:val="single"/>
        </w:rPr>
        <w:t xml:space="preserve">Figure count: </w:t>
      </w:r>
      <w:r w:rsidR="00307BFB">
        <w:rPr>
          <w:rFonts w:ascii="Arial" w:hAnsi="Arial" w:eastAsia="Times New Roman" w:cs="Arial"/>
          <w:bCs/>
          <w:color w:val="1C1D1E"/>
          <w:sz w:val="21"/>
          <w:szCs w:val="21"/>
        </w:rPr>
        <w:t>3</w:t>
      </w:r>
    </w:p>
    <w:p w:rsidR="00BA08A7" w:rsidP="00E8692E" w:rsidRDefault="00BA08A7" w14:paraId="41C8F396" w14:textId="77777777">
      <w:pPr>
        <w:shd w:val="clear" w:color="auto" w:fill="FFFFFF" w:themeFill="background1"/>
        <w:spacing w:before="75" w:after="75"/>
        <w:rPr>
          <w:rFonts w:ascii="Arial" w:hAnsi="Arial" w:eastAsia="Times New Roman" w:cs="Arial"/>
          <w:b/>
          <w:bCs/>
          <w:color w:val="1C1D1E"/>
          <w:sz w:val="21"/>
          <w:szCs w:val="21"/>
          <w:u w:val="single"/>
        </w:rPr>
      </w:pPr>
    </w:p>
    <w:p w:rsidR="00BA08A7" w:rsidP="00E8692E" w:rsidRDefault="00BA08A7" w14:paraId="52045EF2" w14:textId="4E83A069">
      <w:pPr>
        <w:shd w:val="clear" w:color="auto" w:fill="FFFFFF" w:themeFill="background1"/>
        <w:spacing w:before="75" w:after="75"/>
        <w:rPr>
          <w:rFonts w:ascii="Arial" w:hAnsi="Arial" w:eastAsia="Times New Roman" w:cs="Arial"/>
          <w:b/>
          <w:bCs/>
          <w:color w:val="1C1D1E"/>
          <w:sz w:val="21"/>
          <w:szCs w:val="21"/>
          <w:u w:val="single"/>
        </w:rPr>
      </w:pPr>
      <w:r w:rsidRPr="77E2B89E">
        <w:rPr>
          <w:rFonts w:ascii="Arial" w:hAnsi="Arial" w:eastAsia="Times New Roman" w:cs="Arial"/>
          <w:b/>
          <w:bCs/>
          <w:color w:val="1C1D1E"/>
          <w:sz w:val="21"/>
          <w:szCs w:val="21"/>
          <w:u w:val="single"/>
        </w:rPr>
        <w:t xml:space="preserve">Corresponding author: </w:t>
      </w:r>
      <w:r w:rsidR="004345D7">
        <w:rPr>
          <w:rFonts w:ascii="Arial" w:hAnsi="Arial" w:eastAsia="Times New Roman" w:cs="Arial"/>
          <w:bCs/>
          <w:color w:val="1C1D1E"/>
          <w:sz w:val="21"/>
          <w:szCs w:val="21"/>
        </w:rPr>
        <w:t xml:space="preserve">  Dr Esther Burden-</w:t>
      </w:r>
      <w:proofErr w:type="spellStart"/>
      <w:r w:rsidR="004345D7">
        <w:rPr>
          <w:rFonts w:ascii="Arial" w:hAnsi="Arial" w:eastAsia="Times New Roman" w:cs="Arial"/>
          <w:bCs/>
          <w:color w:val="1C1D1E"/>
          <w:sz w:val="21"/>
          <w:szCs w:val="21"/>
        </w:rPr>
        <w:t>Teh</w:t>
      </w:r>
      <w:proofErr w:type="spellEnd"/>
      <w:r w:rsidR="004345D7">
        <w:rPr>
          <w:rFonts w:ascii="Arial" w:hAnsi="Arial" w:eastAsia="Times New Roman" w:cs="Arial"/>
          <w:bCs/>
          <w:color w:val="1C1D1E"/>
          <w:sz w:val="21"/>
          <w:szCs w:val="21"/>
        </w:rPr>
        <w:t xml:space="preserve">      </w:t>
      </w:r>
    </w:p>
    <w:p w:rsidRPr="00BA08A7" w:rsidR="00BA08A7" w:rsidP="00E8692E" w:rsidRDefault="00BA08A7" w14:paraId="1E1EC064" w14:textId="0EB9AF60">
      <w:pPr>
        <w:shd w:val="clear" w:color="auto" w:fill="FFFFFF" w:themeFill="background1"/>
        <w:spacing w:before="75" w:after="75"/>
        <w:rPr>
          <w:rFonts w:ascii="Arial" w:hAnsi="Arial" w:eastAsia="Times New Roman" w:cs="Arial"/>
          <w:bCs/>
          <w:color w:val="1C1D1E"/>
          <w:sz w:val="21"/>
          <w:szCs w:val="21"/>
        </w:rPr>
      </w:pPr>
      <w:r>
        <w:rPr>
          <w:rFonts w:ascii="Arial" w:hAnsi="Arial" w:eastAsia="Times New Roman" w:cs="Arial"/>
          <w:bCs/>
          <w:color w:val="1C1D1E"/>
          <w:sz w:val="21"/>
          <w:szCs w:val="21"/>
        </w:rPr>
        <w:t xml:space="preserve">Email: </w:t>
      </w:r>
      <w:r w:rsidR="00A535FB">
        <w:rPr>
          <w:rFonts w:ascii="Arial" w:hAnsi="Arial" w:eastAsia="Times New Roman" w:cs="Arial"/>
          <w:bCs/>
          <w:color w:val="1C1D1E"/>
          <w:sz w:val="21"/>
          <w:szCs w:val="21"/>
        </w:rPr>
        <w:t>esther.burden-teh@nottingham.ac.uk</w:t>
      </w:r>
    </w:p>
    <w:p w:rsidR="00BA08A7" w:rsidP="00E8692E" w:rsidRDefault="00BA08A7" w14:paraId="0D0B940D" w14:textId="77777777">
      <w:pPr>
        <w:shd w:val="clear" w:color="auto" w:fill="FFFFFF" w:themeFill="background1"/>
        <w:spacing w:before="75" w:after="75"/>
        <w:rPr>
          <w:rFonts w:ascii="Arial" w:hAnsi="Arial" w:eastAsia="Times New Roman" w:cs="Arial"/>
          <w:b/>
          <w:bCs/>
          <w:color w:val="1C1D1E"/>
          <w:sz w:val="21"/>
          <w:szCs w:val="21"/>
          <w:u w:val="single"/>
        </w:rPr>
      </w:pPr>
    </w:p>
    <w:p w:rsidR="00BA08A7" w:rsidP="00E8692E" w:rsidRDefault="00BA08A7" w14:paraId="33C25849" w14:textId="2D96E5A6">
      <w:pPr>
        <w:shd w:val="clear" w:color="auto" w:fill="FFFFFF" w:themeFill="background1"/>
        <w:spacing w:before="75" w:after="75"/>
        <w:rPr>
          <w:rFonts w:ascii="Arial" w:hAnsi="Arial" w:eastAsia="Times New Roman" w:cs="Arial"/>
          <w:b/>
          <w:bCs/>
          <w:color w:val="1C1D1E"/>
          <w:sz w:val="21"/>
          <w:szCs w:val="21"/>
          <w:u w:val="single"/>
        </w:rPr>
      </w:pPr>
      <w:r w:rsidRPr="77E2B89E">
        <w:rPr>
          <w:rFonts w:ascii="Arial" w:hAnsi="Arial" w:eastAsia="Times New Roman" w:cs="Arial"/>
          <w:b/>
          <w:bCs/>
          <w:color w:val="1C1D1E"/>
          <w:sz w:val="21"/>
          <w:szCs w:val="21"/>
          <w:u w:val="single"/>
        </w:rPr>
        <w:t xml:space="preserve">Funding: </w:t>
      </w:r>
      <w:r w:rsidRPr="00A9473C">
        <w:rPr>
          <w:rFonts w:ascii="Arial" w:hAnsi="Arial" w:eastAsia="Times New Roman" w:cs="Arial"/>
          <w:bCs/>
          <w:color w:val="1C1D1E"/>
          <w:sz w:val="21"/>
          <w:szCs w:val="21"/>
        </w:rPr>
        <w:t>None</w:t>
      </w:r>
    </w:p>
    <w:p w:rsidR="00BA08A7" w:rsidP="00E8692E" w:rsidRDefault="00BA08A7" w14:paraId="24CDA9F1" w14:textId="44DF863E">
      <w:pPr>
        <w:shd w:val="clear" w:color="auto" w:fill="FFFFFF" w:themeFill="background1"/>
        <w:spacing w:before="75" w:after="75"/>
        <w:rPr>
          <w:rFonts w:ascii="Arial" w:hAnsi="Arial" w:eastAsia="Times New Roman" w:cs="Arial"/>
          <w:b/>
          <w:bCs/>
          <w:color w:val="1C1D1E"/>
          <w:sz w:val="21"/>
          <w:szCs w:val="21"/>
          <w:u w:val="single"/>
        </w:rPr>
      </w:pPr>
      <w:r w:rsidRPr="77E2B89E">
        <w:rPr>
          <w:rFonts w:ascii="Arial" w:hAnsi="Arial" w:eastAsia="Times New Roman" w:cs="Arial"/>
          <w:b/>
          <w:bCs/>
          <w:color w:val="1C1D1E"/>
          <w:sz w:val="21"/>
          <w:szCs w:val="21"/>
          <w:u w:val="single"/>
        </w:rPr>
        <w:t xml:space="preserve">Conflict of interest: </w:t>
      </w:r>
      <w:r w:rsidRPr="00A9473C">
        <w:rPr>
          <w:rFonts w:ascii="Arial" w:hAnsi="Arial" w:eastAsia="Times New Roman" w:cs="Arial"/>
          <w:bCs/>
          <w:color w:val="1C1D1E"/>
          <w:sz w:val="21"/>
          <w:szCs w:val="21"/>
        </w:rPr>
        <w:t>None</w:t>
      </w:r>
    </w:p>
    <w:p w:rsidR="00BA08A7" w:rsidP="00E8692E" w:rsidRDefault="00BA08A7" w14:paraId="0E27B00A" w14:textId="77777777">
      <w:pPr>
        <w:shd w:val="clear" w:color="auto" w:fill="FFFFFF" w:themeFill="background1"/>
        <w:spacing w:before="75" w:after="75"/>
        <w:rPr>
          <w:rFonts w:ascii="Arial" w:hAnsi="Arial" w:eastAsia="Times New Roman" w:cs="Arial"/>
          <w:b/>
          <w:bCs/>
          <w:color w:val="1C1D1E"/>
          <w:sz w:val="21"/>
          <w:szCs w:val="21"/>
          <w:u w:val="single"/>
        </w:rPr>
      </w:pPr>
    </w:p>
    <w:p w:rsidR="00BA08A7" w:rsidP="00E8692E" w:rsidRDefault="00BA08A7" w14:paraId="527AC949" w14:textId="0F66EB75">
      <w:pPr>
        <w:shd w:val="clear" w:color="auto" w:fill="FFFFFF" w:themeFill="background1"/>
        <w:spacing w:before="75" w:after="75"/>
        <w:rPr>
          <w:rFonts w:ascii="Arial" w:hAnsi="Arial" w:eastAsia="Times New Roman" w:cs="Arial"/>
          <w:b/>
          <w:bCs/>
          <w:color w:val="1C1D1E"/>
          <w:sz w:val="21"/>
          <w:szCs w:val="21"/>
          <w:u w:val="single"/>
        </w:rPr>
      </w:pPr>
      <w:r>
        <w:rPr>
          <w:rFonts w:ascii="Arial" w:hAnsi="Arial" w:eastAsia="Times New Roman" w:cs="Arial"/>
          <w:b/>
          <w:bCs/>
          <w:color w:val="1C1D1E"/>
          <w:sz w:val="21"/>
          <w:szCs w:val="21"/>
          <w:u w:val="single"/>
        </w:rPr>
        <w:t xml:space="preserve">What is already known about this topic? </w:t>
      </w:r>
    </w:p>
    <w:p w:rsidRPr="00A535FB" w:rsidR="00307BFB" w:rsidP="00E8692E" w:rsidRDefault="00307BFB" w14:paraId="44C71079" w14:textId="1F46C131">
      <w:pPr>
        <w:shd w:val="clear" w:color="auto" w:fill="FFFFFF" w:themeFill="background1"/>
        <w:spacing w:before="75" w:after="75"/>
        <w:rPr>
          <w:rFonts w:eastAsia="Times New Roman" w:cs="Arial"/>
          <w:bCs/>
          <w:color w:val="1C1D1E"/>
        </w:rPr>
      </w:pPr>
      <w:r w:rsidRPr="00A535FB">
        <w:rPr>
          <w:rFonts w:eastAsia="Times New Roman" w:cs="Arial"/>
          <w:bCs/>
          <w:color w:val="1C1D1E"/>
        </w:rPr>
        <w:t xml:space="preserve">Oral isotretinoin is </w:t>
      </w:r>
      <w:r w:rsidRPr="00A535FB" w:rsidR="007402D0">
        <w:rPr>
          <w:rFonts w:eastAsia="Times New Roman" w:cs="Arial"/>
          <w:bCs/>
          <w:color w:val="1C1D1E"/>
        </w:rPr>
        <w:t>a</w:t>
      </w:r>
      <w:r w:rsidRPr="00A535FB" w:rsidR="00644A7E">
        <w:rPr>
          <w:rFonts w:eastAsia="Times New Roman" w:cs="Arial"/>
          <w:bCs/>
          <w:color w:val="1C1D1E"/>
        </w:rPr>
        <w:t>n</w:t>
      </w:r>
      <w:r w:rsidRPr="00A535FB">
        <w:rPr>
          <w:rFonts w:eastAsia="Times New Roman" w:cs="Arial"/>
          <w:bCs/>
          <w:color w:val="1C1D1E"/>
        </w:rPr>
        <w:t xml:space="preserve"> effective treatment for acne vulgaris. However, its side effect profile led to it being the focus of</w:t>
      </w:r>
      <w:r w:rsidRPr="00A535FB" w:rsidR="00F91EF9">
        <w:rPr>
          <w:rFonts w:eastAsia="Times New Roman" w:cs="Arial"/>
          <w:bCs/>
          <w:color w:val="1C1D1E"/>
        </w:rPr>
        <w:t xml:space="preserve"> a</w:t>
      </w:r>
      <w:r w:rsidRPr="00A535FB">
        <w:t xml:space="preserve"> Medicines Healthcare Products Regulatory Agency (MHRA) review. </w:t>
      </w:r>
      <w:r w:rsidRPr="00A535FB" w:rsidR="00F91EF9">
        <w:t>There is a paucity of evidence on the effectiveness of low dose isotretinoin regimens.</w:t>
      </w:r>
    </w:p>
    <w:p w:rsidR="00BA08A7" w:rsidP="00E8692E" w:rsidRDefault="00BA08A7" w14:paraId="60061E4C" w14:textId="77777777">
      <w:pPr>
        <w:shd w:val="clear" w:color="auto" w:fill="FFFFFF" w:themeFill="background1"/>
        <w:spacing w:before="75" w:after="75"/>
        <w:rPr>
          <w:rFonts w:ascii="Arial" w:hAnsi="Arial" w:eastAsia="Times New Roman" w:cs="Arial"/>
          <w:b/>
          <w:bCs/>
          <w:color w:val="1C1D1E"/>
          <w:sz w:val="21"/>
          <w:szCs w:val="21"/>
          <w:u w:val="single"/>
        </w:rPr>
      </w:pPr>
    </w:p>
    <w:p w:rsidR="00307BFB" w:rsidP="00307BFB" w:rsidRDefault="00BA08A7" w14:paraId="6A238144" w14:textId="7A63AA56">
      <w:pPr>
        <w:shd w:val="clear" w:color="auto" w:fill="FFFFFF" w:themeFill="background1"/>
        <w:spacing w:before="75" w:after="75"/>
        <w:rPr>
          <w:rFonts w:ascii="Arial" w:hAnsi="Arial" w:eastAsia="Times New Roman" w:cs="Arial"/>
          <w:b/>
          <w:bCs/>
          <w:color w:val="1C1D1E"/>
          <w:sz w:val="21"/>
          <w:szCs w:val="21"/>
          <w:u w:val="single"/>
        </w:rPr>
      </w:pPr>
      <w:r>
        <w:rPr>
          <w:rFonts w:ascii="Arial" w:hAnsi="Arial" w:eastAsia="Times New Roman" w:cs="Arial"/>
          <w:b/>
          <w:bCs/>
          <w:color w:val="1C1D1E"/>
          <w:sz w:val="21"/>
          <w:szCs w:val="21"/>
          <w:u w:val="single"/>
        </w:rPr>
        <w:t>What</w:t>
      </w:r>
      <w:r w:rsidR="00307BFB">
        <w:rPr>
          <w:rFonts w:ascii="Arial" w:hAnsi="Arial" w:eastAsia="Times New Roman" w:cs="Arial"/>
          <w:b/>
          <w:bCs/>
          <w:color w:val="1C1D1E"/>
          <w:sz w:val="21"/>
          <w:szCs w:val="21"/>
          <w:u w:val="single"/>
        </w:rPr>
        <w:t xml:space="preserve"> does this study add? </w:t>
      </w:r>
    </w:p>
    <w:p w:rsidR="00541892" w:rsidP="00307BFB" w:rsidRDefault="554356AD" w14:paraId="329FFAE6" w14:textId="192FA859">
      <w:pPr>
        <w:shd w:val="clear" w:color="auto" w:fill="FFFFFF" w:themeFill="background1"/>
        <w:spacing w:before="75" w:after="75"/>
      </w:pPr>
      <w:r w:rsidRPr="013D5F83">
        <w:rPr>
          <w:rFonts w:eastAsia="Times New Roman" w:cs="Arial"/>
          <w:color w:val="1C1D1E"/>
        </w:rPr>
        <w:t>This study focuses on clinicians’ views</w:t>
      </w:r>
      <w:r w:rsidRPr="013D5F83" w:rsidR="032DD0EA">
        <w:rPr>
          <w:rFonts w:eastAsia="Times New Roman" w:cs="Arial"/>
          <w:color w:val="1C1D1E"/>
        </w:rPr>
        <w:t xml:space="preserve"> prescribing low dose </w:t>
      </w:r>
      <w:r w:rsidRPr="013D5F83" w:rsidR="06D0388A">
        <w:rPr>
          <w:rFonts w:eastAsia="Times New Roman" w:cs="Arial"/>
          <w:color w:val="1C1D1E"/>
        </w:rPr>
        <w:t xml:space="preserve">oral isotretinoin </w:t>
      </w:r>
      <w:r w:rsidRPr="013D5F83" w:rsidR="032DD0EA">
        <w:rPr>
          <w:rFonts w:eastAsia="Times New Roman" w:cs="Arial"/>
          <w:color w:val="1C1D1E"/>
        </w:rPr>
        <w:t xml:space="preserve">regimens. </w:t>
      </w:r>
      <w:r w:rsidR="032DD0EA">
        <w:t>The systematic review informing NICE guideline</w:t>
      </w:r>
      <w:r w:rsidR="06D0388A">
        <w:t xml:space="preserve"> NG198</w:t>
      </w:r>
      <w:r w:rsidR="032DD0EA">
        <w:t xml:space="preserve"> found that evidence for a lower daily dose of isotretinoin was scarce, with results almost exclusively from trials testing at least 0.5mg/kg/day, </w:t>
      </w:r>
      <w:r w:rsidR="636DDE51">
        <w:t xml:space="preserve">highlighting </w:t>
      </w:r>
      <w:r w:rsidR="032DD0EA">
        <w:t xml:space="preserve">the need for further research. </w:t>
      </w:r>
      <w:r w:rsidR="7D3D5FAE">
        <w:t xml:space="preserve">The results of this survey will be useful to inform a clinical trial. </w:t>
      </w:r>
    </w:p>
    <w:p w:rsidR="00A535FB" w:rsidP="00307BFB" w:rsidRDefault="00A535FB" w14:paraId="013A126D" w14:textId="2AADC1D3">
      <w:pPr>
        <w:shd w:val="clear" w:color="auto" w:fill="FFFFFF" w:themeFill="background1"/>
        <w:spacing w:before="75" w:after="75"/>
        <w:rPr>
          <w:rFonts w:eastAsia="Times New Roman" w:cs="Arial"/>
          <w:bCs/>
          <w:color w:val="1C1D1E"/>
        </w:rPr>
      </w:pPr>
    </w:p>
    <w:p w:rsidRPr="00A535FB" w:rsidR="00A535FB" w:rsidP="00307BFB" w:rsidRDefault="00A535FB" w14:paraId="66F181C8" w14:textId="77777777">
      <w:pPr>
        <w:shd w:val="clear" w:color="auto" w:fill="FFFFFF" w:themeFill="background1"/>
        <w:spacing w:before="75" w:after="75"/>
        <w:rPr>
          <w:rFonts w:eastAsia="Times New Roman" w:cs="Arial"/>
          <w:bCs/>
          <w:color w:val="1C1D1E"/>
        </w:rPr>
      </w:pPr>
    </w:p>
    <w:p w:rsidRPr="00541892" w:rsidR="00E8692E" w:rsidP="00307BFB" w:rsidRDefault="00E8692E" w14:paraId="7CBFD60A" w14:textId="77777777">
      <w:pPr>
        <w:shd w:val="clear" w:color="auto" w:fill="FFFFFF" w:themeFill="background1"/>
        <w:spacing w:before="75" w:after="75"/>
        <w:rPr>
          <w:rFonts w:ascii="Arial" w:hAnsi="Arial" w:eastAsia="Times New Roman" w:cs="Arial"/>
          <w:bCs/>
          <w:color w:val="1C1D1E"/>
          <w:sz w:val="21"/>
          <w:szCs w:val="21"/>
        </w:rPr>
      </w:pPr>
      <w:r w:rsidRPr="00E8692E">
        <w:rPr>
          <w:u w:val="single"/>
        </w:rPr>
        <w:lastRenderedPageBreak/>
        <w:t>Abstract</w:t>
      </w:r>
    </w:p>
    <w:p w:rsidR="00E8692E" w:rsidRDefault="00E8692E" w14:paraId="44EAFD9C" w14:textId="77777777"/>
    <w:p w:rsidR="00E8692E" w:rsidRDefault="04EF5020" w14:paraId="51A7CA91" w14:textId="2AB10FDA">
      <w:r>
        <w:t xml:space="preserve">We undertook a survey of UK healthcare professionals through the UKDCTN and BDNG to understand clinicians’ routine practice </w:t>
      </w:r>
      <w:r w:rsidR="24DDB512">
        <w:t xml:space="preserve">prescribing </w:t>
      </w:r>
      <w:r w:rsidR="4A88A3D2">
        <w:t xml:space="preserve">oral </w:t>
      </w:r>
      <w:r w:rsidR="24DDB512">
        <w:t>isotretinoin for</w:t>
      </w:r>
      <w:r>
        <w:t xml:space="preserve"> treatment of acne vulgaris (acne). We also wanted to understand clinicians’ experiences and view</w:t>
      </w:r>
      <w:r w:rsidR="52AD2F2C">
        <w:t xml:space="preserve">s on prescribing </w:t>
      </w:r>
      <w:r>
        <w:t>low daily dose regimen</w:t>
      </w:r>
      <w:r w:rsidR="52AD2F2C">
        <w:t>s</w:t>
      </w:r>
      <w:r>
        <w:t>. Overall, the survey showed that clinicians adopt</w:t>
      </w:r>
      <w:r w:rsidR="03D0D1A2">
        <w:t>ed</w:t>
      </w:r>
      <w:r>
        <w:t xml:space="preserve"> a patient-centred approach when deciding isotretinoin dosing. The rationale for using a low-dose regimen </w:t>
      </w:r>
      <w:proofErr w:type="gramStart"/>
      <w:r>
        <w:t>varied, but</w:t>
      </w:r>
      <w:proofErr w:type="gramEnd"/>
      <w:r>
        <w:t xml:space="preserve"> </w:t>
      </w:r>
      <w:r w:rsidR="636DDE51">
        <w:t>was</w:t>
      </w:r>
      <w:r>
        <w:t xml:space="preserve"> focused on patient wellbeing during treatment. </w:t>
      </w:r>
      <w:r w:rsidR="636DDE51">
        <w:t>Some c</w:t>
      </w:r>
      <w:r>
        <w:t>linic</w:t>
      </w:r>
      <w:r w:rsidR="636DDE51">
        <w:t>i</w:t>
      </w:r>
      <w:r>
        <w:t xml:space="preserve">ans were concerned that use of a low-dose regimen could be less effective and lead to longer treatment durations. The survey results will be useful to inform a clinical trial investigating the effectiveness and safety of low daily dose isotretinoin for the treatment of acne. </w:t>
      </w:r>
    </w:p>
    <w:p w:rsidR="00E8692E" w:rsidRDefault="00E8692E" w14:paraId="4B94D5A5" w14:textId="77777777"/>
    <w:p w:rsidR="00E8692E" w:rsidRDefault="00E8692E" w14:paraId="2635E364" w14:textId="77777777">
      <w:pPr>
        <w:rPr>
          <w:u w:val="single"/>
        </w:rPr>
      </w:pPr>
      <w:r>
        <w:rPr>
          <w:u w:val="single"/>
        </w:rPr>
        <w:t xml:space="preserve">Introduction </w:t>
      </w:r>
    </w:p>
    <w:p w:rsidR="00BB5844" w:rsidRDefault="00BB5844" w14:paraId="7C3DAD8B" w14:textId="0DA55E38">
      <w:r>
        <w:t xml:space="preserve">Oral isotretinoin is </w:t>
      </w:r>
      <w:r w:rsidR="00C42955">
        <w:t>an</w:t>
      </w:r>
      <w:r>
        <w:t xml:space="preserve"> effective medication for treatment of acne</w:t>
      </w:r>
      <w:r w:rsidRPr="77E2B89E">
        <w:rPr>
          <w:vertAlign w:val="superscript"/>
        </w:rPr>
        <w:t>1</w:t>
      </w:r>
      <w:r>
        <w:t>. The side effect profile of potential adverse effects, from mucocutaneous dryness to teratogenicity and mood disturbance, are of concern to clinicians and patients. Treatment with isotretinoin has polarised views and it is currently the focus of a Medicines Healthcare Products Regulatory Agency (MHRA) review</w:t>
      </w:r>
      <w:r w:rsidRPr="77E2B89E">
        <w:rPr>
          <w:vertAlign w:val="superscript"/>
        </w:rPr>
        <w:t>2</w:t>
      </w:r>
      <w:r>
        <w:t xml:space="preserve">. The recent National Institute for Health and Care Excellence (NICE) guideline </w:t>
      </w:r>
      <w:r w:rsidR="00C46854">
        <w:t xml:space="preserve">NG198 </w:t>
      </w:r>
      <w:r>
        <w:t xml:space="preserve">on </w:t>
      </w:r>
      <w:r w:rsidR="00C46854">
        <w:t>management</w:t>
      </w:r>
      <w:r>
        <w:t xml:space="preserve"> of acne supports the ongoing use of isotretinoin within the MHRA licensed indication</w:t>
      </w:r>
      <w:r w:rsidRPr="77E2B89E">
        <w:rPr>
          <w:vertAlign w:val="superscript"/>
        </w:rPr>
        <w:t>3</w:t>
      </w:r>
      <w:r>
        <w:t>. An important research recommendation has been commissioned by the National Institute for Health Research Health Technology Assessment (NIHR HTA)</w:t>
      </w:r>
      <w:r w:rsidRPr="77E2B89E">
        <w:rPr>
          <w:vertAlign w:val="superscript"/>
        </w:rPr>
        <w:t>4</w:t>
      </w:r>
      <w:r>
        <w:t xml:space="preserve">, to investigate the benefits and harms of reduced daily dose isotretinoin (&lt;0.5mg/kg/day) for treatment of acne. Studies have </w:t>
      </w:r>
      <w:r w:rsidR="0097761A">
        <w:t>indicated that daily doses of 0.1-0.3mg/kg may be preferential due to their fewer side effects and lower cost</w:t>
      </w:r>
      <w:r w:rsidRPr="77E2B89E" w:rsidR="0097761A">
        <w:rPr>
          <w:vertAlign w:val="superscript"/>
        </w:rPr>
        <w:t>5</w:t>
      </w:r>
      <w:r w:rsidR="0097761A">
        <w:t>. However, t</w:t>
      </w:r>
      <w:r w:rsidR="00970554">
        <w:t xml:space="preserve">he systematic review informing the </w:t>
      </w:r>
      <w:r w:rsidR="006E5370">
        <w:t xml:space="preserve">NG198 </w:t>
      </w:r>
      <w:r w:rsidR="00970554">
        <w:t>guideline found that evidence from randomised controlled trials for a lower daily dose of isotretinoin was scarce, with results almost exclusively from trials testing at least 0.5mg/kg/day</w:t>
      </w:r>
      <w:r w:rsidR="004345D7">
        <w:rPr>
          <w:vertAlign w:val="superscript"/>
        </w:rPr>
        <w:t>3</w:t>
      </w:r>
      <w:r w:rsidR="00970554">
        <w:t xml:space="preserve">. </w:t>
      </w:r>
    </w:p>
    <w:p w:rsidR="00970554" w:rsidRDefault="00970554" w14:paraId="3DEEC669" w14:textId="77777777"/>
    <w:p w:rsidR="00970554" w:rsidRDefault="00970554" w14:paraId="1A6F17A5" w14:textId="77777777">
      <w:pPr>
        <w:rPr>
          <w:u w:val="single"/>
        </w:rPr>
      </w:pPr>
      <w:r>
        <w:rPr>
          <w:u w:val="single"/>
        </w:rPr>
        <w:t>Report</w:t>
      </w:r>
    </w:p>
    <w:p w:rsidRPr="00970554" w:rsidR="00970554" w:rsidRDefault="27969B76" w14:paraId="06229CA0" w14:textId="6C383E2C">
      <w:r w:rsidR="27969B76">
        <w:rPr/>
        <w:t xml:space="preserve">To inform a large-scale clinical trial we conducted a survey of UK health professionals through the UK Dermatology Clinical Trials Network (UKDCTN) and British </w:t>
      </w:r>
      <w:r w:rsidR="5FE66F6C">
        <w:rPr/>
        <w:t xml:space="preserve">Dermatological </w:t>
      </w:r>
      <w:r w:rsidR="27969B76">
        <w:rPr/>
        <w:t>Nursing Group (BDNG)</w:t>
      </w:r>
      <w:r w:rsidR="00437D24">
        <w:rPr/>
        <w:t xml:space="preserve">, </w:t>
      </w:r>
      <w:r w:rsidR="00437D24">
        <w:rPr/>
        <w:t>w</w:t>
      </w:r>
      <w:r w:rsidR="00437D24">
        <w:rPr/>
        <w:t>ith</w:t>
      </w:r>
      <w:r w:rsidR="00437D24">
        <w:rPr/>
        <w:t xml:space="preserve"> </w:t>
      </w:r>
      <w:r w:rsidR="004548A4">
        <w:rPr/>
        <w:t>distribution lists</w:t>
      </w:r>
      <w:r w:rsidR="004548A4">
        <w:rPr/>
        <w:t xml:space="preserve"> </w:t>
      </w:r>
      <w:r w:rsidR="00437D24">
        <w:rPr/>
        <w:t xml:space="preserve">of </w:t>
      </w:r>
      <w:r w:rsidR="00437D24">
        <w:rPr/>
        <w:t>1100 and 2198</w:t>
      </w:r>
      <w:r w:rsidR="004548A4">
        <w:rPr/>
        <w:t xml:space="preserve"> members</w:t>
      </w:r>
      <w:r w:rsidR="00437D24">
        <w:rPr/>
        <w:t xml:space="preserve"> respectively</w:t>
      </w:r>
      <w:r w:rsidR="00437D24">
        <w:rPr/>
        <w:t xml:space="preserve"> at the time of the survey</w:t>
      </w:r>
      <w:r w:rsidR="00437D24">
        <w:rPr/>
        <w:t xml:space="preserve">. We requested </w:t>
      </w:r>
      <w:r w:rsidR="00437D24">
        <w:rPr/>
        <w:t xml:space="preserve">completion </w:t>
      </w:r>
      <w:r w:rsidR="00437D24">
        <w:rPr/>
        <w:t xml:space="preserve">only </w:t>
      </w:r>
      <w:r w:rsidR="00437D24">
        <w:rPr/>
        <w:t xml:space="preserve">by </w:t>
      </w:r>
      <w:r w:rsidR="00437D24">
        <w:rPr/>
        <w:t>mem</w:t>
      </w:r>
      <w:r w:rsidR="00437D24">
        <w:rPr/>
        <w:t>bers</w:t>
      </w:r>
      <w:r w:rsidR="00437D24">
        <w:rPr/>
        <w:t xml:space="preserve"> with experience</w:t>
      </w:r>
      <w:r w:rsidR="00437D24">
        <w:rPr/>
        <w:t xml:space="preserve"> of</w:t>
      </w:r>
      <w:r w:rsidR="00437D24">
        <w:rPr/>
        <w:t xml:space="preserve"> </w:t>
      </w:r>
      <w:r w:rsidR="00437D24">
        <w:rPr/>
        <w:t xml:space="preserve">starting or monitoring </w:t>
      </w:r>
      <w:r w:rsidR="00437D24">
        <w:rPr/>
        <w:t xml:space="preserve">oral isotretinoin </w:t>
      </w:r>
      <w:r w:rsidR="00437D24">
        <w:rPr/>
        <w:t>for acne</w:t>
      </w:r>
      <w:r w:rsidR="00437D24">
        <w:rPr/>
        <w:t>.</w:t>
      </w:r>
      <w:r w:rsidR="27969B76">
        <w:rPr/>
        <w:t xml:space="preserve"> Hosted on SurveyMonkey, the survey consisting of 25 questions (multiple-choice and open</w:t>
      </w:r>
      <w:r w:rsidR="35DAAC09">
        <w:rPr/>
        <w:t>-</w:t>
      </w:r>
      <w:r w:rsidR="27969B76">
        <w:rPr/>
        <w:t>ended questions allowing free-text responses) was open for two weeks in October 2021</w:t>
      </w:r>
      <w:r w:rsidR="00437D24">
        <w:rPr/>
        <w:t>.</w:t>
      </w:r>
      <w:r w:rsidR="00437D24">
        <w:rPr/>
        <w:t xml:space="preserve"> </w:t>
      </w:r>
      <w:r w:rsidR="27969B76">
        <w:rPr/>
        <w:t>Our aim was to understand how clinicians routinely prescribe oral isotretinoin in relation to NICE guidance and under</w:t>
      </w:r>
      <w:bookmarkStart w:name="_GoBack" w:id="21"/>
      <w:bookmarkEnd w:id="21"/>
      <w:r w:rsidR="27969B76">
        <w:rPr/>
        <w:t xml:space="preserve">stand their views on low dose treatment regimens. </w:t>
      </w:r>
    </w:p>
    <w:p w:rsidR="00BB5844" w:rsidRDefault="00BB5844" w14:paraId="3656B9AB" w14:textId="77777777">
      <w:pPr>
        <w:rPr>
          <w:u w:val="single"/>
        </w:rPr>
      </w:pPr>
    </w:p>
    <w:p w:rsidR="007306BD" w:rsidRDefault="007306BD" w14:paraId="6AD7AD3B" w14:textId="2FD517AD">
      <w:r>
        <w:t xml:space="preserve">A total of 126 responses were received and 48% of respondents had </w:t>
      </w:r>
      <w:r w:rsidRPr="00A9473C" w:rsidR="00144E48">
        <w:t>&gt;</w:t>
      </w:r>
      <w:r>
        <w:t>15 years clinical experience. Clinicians from the following regions responded: Midlands (25% of respondents), London (14%), South West (12%), North East and Yorkshire (12%), East of England (</w:t>
      </w:r>
      <w:r w:rsidR="00A9473C">
        <w:t>9</w:t>
      </w:r>
      <w:r>
        <w:t xml:space="preserve">%), North West (7%), Scotland (7%), </w:t>
      </w:r>
      <w:r w:rsidR="00A9473C">
        <w:t xml:space="preserve">South East (7%), </w:t>
      </w:r>
      <w:r>
        <w:t xml:space="preserve">Republic of Ireland (5%) and Northern Ireland (2%). Approximately half of responses were from dermatology consultants (52%), followed by independently prescribing dermatology clinical nurse specialists (22%), dermatology trainees (14%), associate specialists/specialty doctors (6%), non-prescribing </w:t>
      </w:r>
      <w:r>
        <w:lastRenderedPageBreak/>
        <w:t xml:space="preserve">dermatology nurses (3%), and general practitioners or paediatricians with a specialist interest in dermatology (3%). </w:t>
      </w:r>
      <w:r w:rsidR="00770B82">
        <w:t>M</w:t>
      </w:r>
      <w:r>
        <w:t xml:space="preserve">ost respondents </w:t>
      </w:r>
      <w:r w:rsidR="00770B82">
        <w:t xml:space="preserve">frequently </w:t>
      </w:r>
      <w:r>
        <w:t xml:space="preserve">initiate children/young people or adults on isotretinoin monthly (69% and 78% </w:t>
      </w:r>
      <w:r>
        <w:rPr>
          <w:rFonts w:cstheme="minorHAnsi"/>
        </w:rPr>
        <w:t>≥</w:t>
      </w:r>
      <w:r>
        <w:t xml:space="preserve"> 1 patient</w:t>
      </w:r>
      <w:r w:rsidR="00770B82">
        <w:t>/month</w:t>
      </w:r>
      <w:r>
        <w:t xml:space="preserve"> respectively). </w:t>
      </w:r>
    </w:p>
    <w:p w:rsidR="004E3F20" w:rsidRDefault="004E3F20" w14:paraId="45FB0818" w14:textId="77777777"/>
    <w:p w:rsidR="004E3F20" w:rsidRDefault="004E3F20" w14:paraId="55BBB61A" w14:textId="45DA9862">
      <w:r>
        <w:t>Most survey respondents prescribe isotretinoin in line with NICE guideline</w:t>
      </w:r>
      <w:r w:rsidR="00770B82">
        <w:t xml:space="preserve"> NG198</w:t>
      </w:r>
      <w:r>
        <w:t xml:space="preserve">. Of the 109 respondents who initiate treatment, 44% start after failure of one 12-week course of antibiotics and topical treatment and 46% following failure of two 12-week courses of oral antibiotics and topical treatment. As well as lack of response to previous treatments, clinicians’ decisions are also guided by other factors, including severity and </w:t>
      </w:r>
      <w:r w:rsidR="00DC37EA">
        <w:t xml:space="preserve">risk of scarring/visible scarring present </w:t>
      </w:r>
      <w:r w:rsidR="00D8281D">
        <w:rPr>
          <w:i/>
        </w:rPr>
        <w:t>(Figure 1</w:t>
      </w:r>
      <w:r w:rsidR="00DC37EA">
        <w:rPr>
          <w:i/>
        </w:rPr>
        <w:t>)</w:t>
      </w:r>
      <w:r w:rsidR="00DC37EA">
        <w:t xml:space="preserve">. </w:t>
      </w:r>
    </w:p>
    <w:p w:rsidR="00DC37EA" w:rsidRDefault="00DC37EA" w14:paraId="049F31CB" w14:textId="77777777"/>
    <w:p w:rsidR="00DC37EA" w:rsidRDefault="00DC37EA" w14:paraId="09258DAC" w14:textId="6E14BC45">
      <w:r>
        <w:t xml:space="preserve">We also asked clinicians about their experience of assessing psychological health and access to mental health support. Clinicians use a combination of asking about mental health history, specific questions about self-harm and suicidal ideation and use of screening tools, including the Patient Health Questionnaire-9 (PHQ-9), Hospital Anxiety and Depression Scale (HADS) and Generalised Anxiety Disorder Assessment (GAD-7). </w:t>
      </w:r>
      <w:r w:rsidR="008517B3">
        <w:t>Sources of support listed by respondents included general practitioners (20%), hospital psychiatry services (13%), child and adolescent mental health services (5%) and signposting to community services requiring self-referral (1%). 7% of respondents reported concerns about access to psychiatric support in their region</w:t>
      </w:r>
      <w:r w:rsidR="00770B82">
        <w:t>.  Only</w:t>
      </w:r>
      <w:r w:rsidR="008517B3">
        <w:t xml:space="preserve"> 2% mentioned direct access to psychological support. </w:t>
      </w:r>
    </w:p>
    <w:p w:rsidR="008517B3" w:rsidRDefault="008517B3" w14:paraId="53128261" w14:textId="77777777"/>
    <w:p w:rsidR="008517B3" w:rsidRDefault="00A83614" w14:paraId="16BE8406" w14:textId="7CA71061">
      <w:r>
        <w:t xml:space="preserve">In terms of isotretinoin dosage patterns, </w:t>
      </w:r>
      <w:r w:rsidR="002B0BA6">
        <w:t xml:space="preserve">61% </w:t>
      </w:r>
      <w:r>
        <w:t xml:space="preserve">of clinicians who initiate isotretinoin mirror NICE guidelines at 0.5mg/kg, with 17% starting a lower dose and 4% at 1mg/kg. 18% of clinicians initiate with a set dose regardless of weight at either 10mg or 20mg per day. 50% of clinicians were of the opinion that most of their patients reach 1mg/kg. </w:t>
      </w:r>
    </w:p>
    <w:p w:rsidR="00A83614" w:rsidRDefault="00A83614" w14:paraId="62486C05" w14:textId="77777777"/>
    <w:p w:rsidR="00A83614" w:rsidRDefault="00A83614" w14:paraId="6EAA1414" w14:textId="302C4E47">
      <w:r>
        <w:t xml:space="preserve">All clinicians considered the definition of a low-dose regimen to be less than 0.5mg/kg or less than 20mg per day </w:t>
      </w:r>
      <w:r w:rsidR="00D8281D">
        <w:rPr>
          <w:i/>
        </w:rPr>
        <w:t>(Figure 2</w:t>
      </w:r>
      <w:r>
        <w:rPr>
          <w:i/>
        </w:rPr>
        <w:t>)</w:t>
      </w:r>
      <w:r>
        <w:t>. In rank order, respondents supported the following benefits of a lower dose isotretinoin regime: reduced mucocutaneous dryness and muscle ache (88%), improved quality of life whilst on medication (71%), reduced mood disturbance (69%), reduced significant mood disturbance and symptoms of depression/suicidal thoughts (62%), improved treatment satisfaction (</w:t>
      </w:r>
      <w:r w:rsidR="005B7A02">
        <w:t xml:space="preserve">56%), and minimised risk of a flare of acne (51%). Clinicians’ concerns about low dose </w:t>
      </w:r>
      <w:proofErr w:type="gramStart"/>
      <w:r w:rsidR="005B7A02">
        <w:t>were:</w:t>
      </w:r>
      <w:proofErr w:type="gramEnd"/>
      <w:r w:rsidR="005B7A02">
        <w:t xml:space="preserve"> extended treatment times (60%), use of additional resources (29%), patient inconvenience (23%), lack of effectiveness (21%) and increased risk of relapse (17%). A selection of clinicians’ opinions on low-dose isotretinoin are provided in </w:t>
      </w:r>
      <w:r w:rsidR="00D8281D">
        <w:rPr>
          <w:i/>
        </w:rPr>
        <w:t>Figure 3</w:t>
      </w:r>
      <w:r w:rsidR="005B7A02">
        <w:rPr>
          <w:i/>
        </w:rPr>
        <w:t xml:space="preserve">. </w:t>
      </w:r>
    </w:p>
    <w:p w:rsidR="005B7A02" w:rsidRDefault="005B7A02" w14:paraId="4101652C" w14:textId="77777777"/>
    <w:p w:rsidR="005B7A02" w:rsidRDefault="005B7A02" w14:paraId="7827A2D6" w14:textId="77777777">
      <w:pPr>
        <w:rPr>
          <w:u w:val="single"/>
        </w:rPr>
      </w:pPr>
      <w:r>
        <w:rPr>
          <w:u w:val="single"/>
        </w:rPr>
        <w:t xml:space="preserve">Discussion </w:t>
      </w:r>
    </w:p>
    <w:p w:rsidR="005B7A02" w:rsidRDefault="005B7A02" w14:paraId="4B99056E" w14:textId="77777777">
      <w:pPr>
        <w:rPr>
          <w:u w:val="single"/>
        </w:rPr>
      </w:pPr>
    </w:p>
    <w:p w:rsidR="005B7A02" w:rsidRDefault="005B7A02" w14:paraId="27616872" w14:textId="4C34526E">
      <w:r>
        <w:t>Our survey highlight</w:t>
      </w:r>
      <w:r w:rsidR="002B0BA6">
        <w:t>s</w:t>
      </w:r>
      <w:r>
        <w:t xml:space="preserve"> that </w:t>
      </w:r>
      <w:r w:rsidR="00D30A77">
        <w:t>clinicians</w:t>
      </w:r>
      <w:r w:rsidR="00077A9A">
        <w:t xml:space="preserve"> involved in the treatment of acne with oral isotretinoin</w:t>
      </w:r>
      <w:r>
        <w:t xml:space="preserve"> focus on patient-centred care. There are complexities in the reasons to start isotretinoin, and adaptions are made to dosing escalations. Although these can differ from the </w:t>
      </w:r>
      <w:r w:rsidR="002B0BA6">
        <w:t xml:space="preserve">NG198 </w:t>
      </w:r>
      <w:r>
        <w:t xml:space="preserve">guideline, which had only recently been published at the time of the survey, it is not appropriate to draw conclusions on compliance, as this was not the purpose of the survey. Limited treatment options and assessment tools for acne </w:t>
      </w:r>
      <w:r w:rsidR="00077A9A">
        <w:t>may</w:t>
      </w:r>
      <w:r>
        <w:t xml:space="preserve"> contribute to variation in the reasons for initi</w:t>
      </w:r>
      <w:r w:rsidR="000C5BC9">
        <w:t>a</w:t>
      </w:r>
      <w:r>
        <w:t xml:space="preserve">ting isotretinoin. Our survey shows there are multiple reasons why clinicians feel a reduced daily dose may be beneficial. A future trial should try to evaluate </w:t>
      </w:r>
      <w:r>
        <w:lastRenderedPageBreak/>
        <w:t xml:space="preserve">these multifaceted advantages alongside important considerations such as effectiveness, risk of relapse and cost of treatment. </w:t>
      </w:r>
    </w:p>
    <w:p w:rsidR="005B7A02" w:rsidRDefault="005B7A02" w14:paraId="1299C43A" w14:textId="77777777"/>
    <w:p w:rsidR="005B7A02" w:rsidRDefault="748269C8" w14:paraId="285B4263" w14:textId="0AA95301">
      <w:r>
        <w:t xml:space="preserve">A </w:t>
      </w:r>
      <w:r w:rsidR="6F654609">
        <w:t>limitation of this survey was that it was not sent to all UK health professionals involved in the initiation and monitoring of isotretinoin</w:t>
      </w:r>
      <w:r w:rsidR="1C95E80A">
        <w:t xml:space="preserve"> and although over 100 responses were received, it is not possible to calculate a response rate.</w:t>
      </w:r>
      <w:r w:rsidR="6F654609">
        <w:t xml:space="preserve"> However, it was disseminated via two large networks, </w:t>
      </w:r>
      <w:r w:rsidR="1C95E80A">
        <w:t>and t</w:t>
      </w:r>
      <w:r w:rsidR="6F654609">
        <w:t xml:space="preserve">here was good geographical distribution and representation of different professional roles, providing confidence that this is a representative sample. Acne is an under-researched disease, and this survey provides an important insight into how an effective treatment for acne is being prescribed. The results </w:t>
      </w:r>
      <w:r w:rsidR="7AB578C2">
        <w:t>are</w:t>
      </w:r>
      <w:r w:rsidR="6F654609">
        <w:t xml:space="preserve"> use</w:t>
      </w:r>
      <w:r w:rsidR="7AB578C2">
        <w:t>ful</w:t>
      </w:r>
      <w:r w:rsidR="6F654609">
        <w:t xml:space="preserve"> to inform the design of a clinical trial</w:t>
      </w:r>
      <w:r w:rsidR="7AB578C2">
        <w:t xml:space="preserve"> to</w:t>
      </w:r>
      <w:r w:rsidR="6F654609">
        <w:t xml:space="preserve"> provide much needed evidence on alternative dosing of isotretinoin for acne.</w:t>
      </w:r>
    </w:p>
    <w:p w:rsidR="000C5BC9" w:rsidRDefault="000C5BC9" w14:paraId="4DDBEF00" w14:textId="77777777"/>
    <w:p w:rsidRPr="005B7A02" w:rsidR="000C5BC9" w:rsidRDefault="000C5BC9" w14:paraId="3461D779" w14:textId="77777777"/>
    <w:p w:rsidR="00BB5844" w:rsidRDefault="00A430B4" w14:paraId="25CDA65A" w14:textId="77777777">
      <w:pPr>
        <w:rPr>
          <w:u w:val="single"/>
        </w:rPr>
      </w:pPr>
      <w:r>
        <w:rPr>
          <w:u w:val="single"/>
        </w:rPr>
        <w:t xml:space="preserve">Learning points </w:t>
      </w:r>
    </w:p>
    <w:p w:rsidR="00A430B4" w:rsidP="00A430B4" w:rsidRDefault="00AE774B" w14:paraId="01B8C330" w14:textId="134D5E6F">
      <w:pPr>
        <w:pStyle w:val="ListParagraph"/>
        <w:numPr>
          <w:ilvl w:val="0"/>
          <w:numId w:val="4"/>
        </w:numPr>
      </w:pPr>
      <w:r>
        <w:t xml:space="preserve">There is variability in clinicians’ practice prescribing isotretinoin, with most </w:t>
      </w:r>
      <w:r w:rsidR="00A430B4">
        <w:t>using a patient-centred approach and adapt</w:t>
      </w:r>
      <w:r>
        <w:t>ing</w:t>
      </w:r>
      <w:r w:rsidR="00A430B4">
        <w:t xml:space="preserve"> dos</w:t>
      </w:r>
      <w:r>
        <w:t>e</w:t>
      </w:r>
      <w:r w:rsidR="00A430B4">
        <w:t xml:space="preserve"> </w:t>
      </w:r>
      <w:r w:rsidR="00A3546C">
        <w:t>accordingly</w:t>
      </w:r>
      <w:r w:rsidR="00A430B4">
        <w:t xml:space="preserve">. </w:t>
      </w:r>
    </w:p>
    <w:p w:rsidR="00D47928" w:rsidP="00A430B4" w:rsidRDefault="00AE774B" w14:paraId="672F1EE2" w14:textId="40A0A6A3">
      <w:pPr>
        <w:pStyle w:val="ListParagraph"/>
        <w:numPr>
          <w:ilvl w:val="0"/>
          <w:numId w:val="4"/>
        </w:numPr>
      </w:pPr>
      <w:r>
        <w:t>Perceived b</w:t>
      </w:r>
      <w:r w:rsidR="00A430B4">
        <w:t>enefits of a low dose regime</w:t>
      </w:r>
      <w:r w:rsidR="00AD1E5A">
        <w:t>n</w:t>
      </w:r>
      <w:r w:rsidR="00A3546C">
        <w:t xml:space="preserve"> </w:t>
      </w:r>
      <w:proofErr w:type="gramStart"/>
      <w:r w:rsidR="00A3546C">
        <w:t>include:</w:t>
      </w:r>
      <w:proofErr w:type="gramEnd"/>
      <w:r w:rsidR="00A430B4">
        <w:t xml:space="preserve"> reduced side-effects, improved q</w:t>
      </w:r>
      <w:r w:rsidR="00A3546C">
        <w:t xml:space="preserve">uality of life </w:t>
      </w:r>
      <w:r w:rsidR="00733725">
        <w:t xml:space="preserve">during </w:t>
      </w:r>
      <w:r w:rsidR="00A3546C">
        <w:t>treatment and improved treatment satisfaction</w:t>
      </w:r>
      <w:r>
        <w:t xml:space="preserve">, but important concerns include reduced effectiveness, extended treatment times and possible higher risk of </w:t>
      </w:r>
      <w:r w:rsidR="00733725">
        <w:t xml:space="preserve">acne </w:t>
      </w:r>
      <w:r>
        <w:t>relapse</w:t>
      </w:r>
      <w:r w:rsidR="00733725">
        <w:t>.</w:t>
      </w:r>
      <w:r w:rsidR="00A3546C">
        <w:t xml:space="preserve"> </w:t>
      </w:r>
    </w:p>
    <w:p w:rsidRPr="00F9057F" w:rsidR="00BB5844" w:rsidP="00F9057F" w:rsidRDefault="00D47928" w14:paraId="3CF2D8B6" w14:textId="4DEA36F7">
      <w:pPr>
        <w:pStyle w:val="ListParagraph"/>
        <w:numPr>
          <w:ilvl w:val="0"/>
          <w:numId w:val="4"/>
        </w:numPr>
      </w:pPr>
      <w:r w:rsidRPr="00F9057F">
        <w:t>There is a need for a trial comparing standard dose with lower dose isotretinoin to inform future practice.</w:t>
      </w:r>
    </w:p>
    <w:p w:rsidR="00BB5844" w:rsidRDefault="00BB5844" w14:paraId="0FB78278" w14:textId="77777777">
      <w:pPr>
        <w:rPr>
          <w:u w:val="single"/>
        </w:rPr>
      </w:pPr>
    </w:p>
    <w:p w:rsidRPr="00F819DF" w:rsidR="00BB5844" w:rsidP="013D5F83" w:rsidRDefault="6C37C782" w14:paraId="1FC39945" w14:textId="5A807247">
      <w:r w:rsidRPr="00F819DF">
        <w:t>Acknowledgements</w:t>
      </w:r>
    </w:p>
    <w:p w:rsidRPr="00F819DF" w:rsidR="00BB5844" w:rsidP="013D5F83" w:rsidRDefault="6C37C782" w14:paraId="0562CB0E" w14:textId="3877C032">
      <w:r w:rsidRPr="00F819DF">
        <w:t xml:space="preserve">We would like to thank all members of the Acne-ID trial development team for their support – Mrs Trish Hepburn, Dr Carron </w:t>
      </w:r>
      <w:proofErr w:type="spellStart"/>
      <w:r w:rsidRPr="00F819DF">
        <w:t>Layfield</w:t>
      </w:r>
      <w:proofErr w:type="spellEnd"/>
      <w:r w:rsidRPr="00F819DF">
        <w:t xml:space="preserve">, Prof Alison Layton, Dr Paul Leighton, Mr Simon </w:t>
      </w:r>
      <w:proofErr w:type="spellStart"/>
      <w:r w:rsidRPr="00F819DF">
        <w:t>Leng</w:t>
      </w:r>
      <w:proofErr w:type="spellEnd"/>
      <w:r w:rsidRPr="00F819DF">
        <w:t xml:space="preserve">, Miss Eleanor Mitchell, Dr Guy </w:t>
      </w:r>
      <w:proofErr w:type="spellStart"/>
      <w:r w:rsidRPr="00F819DF">
        <w:t>Northover</w:t>
      </w:r>
      <w:proofErr w:type="spellEnd"/>
      <w:r w:rsidRPr="00F819DF">
        <w:t xml:space="preserve">, Miss </w:t>
      </w:r>
      <w:proofErr w:type="spellStart"/>
      <w:r w:rsidRPr="00F819DF">
        <w:t>Grishma</w:t>
      </w:r>
      <w:proofErr w:type="spellEnd"/>
      <w:r w:rsidRPr="00F819DF">
        <w:t xml:space="preserve"> Ramesh, Dr Tracey </w:t>
      </w:r>
      <w:proofErr w:type="spellStart"/>
      <w:r w:rsidRPr="00F819DF">
        <w:t>Sach</w:t>
      </w:r>
      <w:proofErr w:type="spellEnd"/>
      <w:r w:rsidRPr="00F819DF">
        <w:t xml:space="preserve">, Prof Miriam </w:t>
      </w:r>
      <w:proofErr w:type="spellStart"/>
      <w:r w:rsidRPr="00F819DF">
        <w:t>Santer</w:t>
      </w:r>
      <w:proofErr w:type="spellEnd"/>
      <w:r w:rsidRPr="00F819DF">
        <w:t>, Prof Andrew Thompson, Dr Heather Whitehouse, Prof Hywel Williams. We would also like to thank the UK Dermatology Clinical Trials Network and British Dermatolog</w:t>
      </w:r>
      <w:r w:rsidRPr="00F819DF" w:rsidR="5FE66F6C">
        <w:t xml:space="preserve">ical </w:t>
      </w:r>
      <w:r w:rsidRPr="00F819DF">
        <w:t>Nursing Group for their support and distribution of the survey.</w:t>
      </w:r>
      <w:r w:rsidRPr="013D5F83">
        <w:rPr>
          <w:u w:val="single"/>
        </w:rPr>
        <w:t xml:space="preserve"> </w:t>
      </w:r>
    </w:p>
    <w:p w:rsidR="00BB5844" w:rsidRDefault="00BB5844" w14:paraId="34CE0A41" w14:textId="77777777">
      <w:pPr>
        <w:rPr>
          <w:u w:val="single"/>
        </w:rPr>
      </w:pPr>
    </w:p>
    <w:p w:rsidR="00BB5844" w:rsidRDefault="00BB5844" w14:paraId="62EBF3C5" w14:textId="77777777">
      <w:pPr>
        <w:rPr>
          <w:u w:val="single"/>
        </w:rPr>
      </w:pPr>
    </w:p>
    <w:p w:rsidR="00E8692E" w:rsidP="00E8692E" w:rsidRDefault="00E8692E" w14:paraId="071E4E01" w14:textId="77777777">
      <w:pPr>
        <w:rPr>
          <w:sz w:val="18"/>
          <w:szCs w:val="18"/>
          <w:u w:val="single"/>
        </w:rPr>
      </w:pPr>
      <w:r>
        <w:rPr>
          <w:sz w:val="18"/>
          <w:szCs w:val="18"/>
          <w:u w:val="single"/>
        </w:rPr>
        <w:t>References</w:t>
      </w:r>
    </w:p>
    <w:p w:rsidRPr="00582F52" w:rsidR="00582F52" w:rsidP="00582F52" w:rsidRDefault="00582F52" w14:paraId="6B906FCB" w14:textId="77777777">
      <w:pPr>
        <w:pStyle w:val="ListParagraph"/>
        <w:numPr>
          <w:ilvl w:val="0"/>
          <w:numId w:val="8"/>
        </w:numPr>
        <w:rPr>
          <w:rFonts w:ascii="Arial" w:hAnsi="Arial" w:eastAsia="Times New Roman" w:cs="Arial"/>
          <w:sz w:val="18"/>
          <w:szCs w:val="18"/>
        </w:rPr>
      </w:pPr>
      <w:r w:rsidRPr="00CF4E81">
        <w:rPr>
          <w:rFonts w:ascii="Arial" w:hAnsi="Arial" w:eastAsia="Times New Roman" w:cs="Arial"/>
          <w:color w:val="222222"/>
          <w:sz w:val="18"/>
          <w:szCs w:val="18"/>
          <w:shd w:val="clear" w:color="auto" w:fill="FFFFFF"/>
        </w:rPr>
        <w:t xml:space="preserve">Williams HC, </w:t>
      </w:r>
      <w:proofErr w:type="spellStart"/>
      <w:r w:rsidRPr="00CF4E81">
        <w:rPr>
          <w:rFonts w:ascii="Arial" w:hAnsi="Arial" w:eastAsia="Times New Roman" w:cs="Arial"/>
          <w:color w:val="222222"/>
          <w:sz w:val="18"/>
          <w:szCs w:val="18"/>
          <w:shd w:val="clear" w:color="auto" w:fill="FFFFFF"/>
        </w:rPr>
        <w:t>Dellavalle</w:t>
      </w:r>
      <w:proofErr w:type="spellEnd"/>
      <w:r w:rsidRPr="00CF4E81">
        <w:rPr>
          <w:rFonts w:ascii="Arial" w:hAnsi="Arial" w:eastAsia="Times New Roman" w:cs="Arial"/>
          <w:color w:val="222222"/>
          <w:sz w:val="18"/>
          <w:szCs w:val="18"/>
          <w:shd w:val="clear" w:color="auto" w:fill="FFFFFF"/>
        </w:rPr>
        <w:t xml:space="preserve"> RP, Garner S. Acne vulgaris. </w:t>
      </w:r>
      <w:r w:rsidRPr="00582F52">
        <w:rPr>
          <w:rFonts w:ascii="Arial" w:hAnsi="Arial" w:eastAsia="Times New Roman" w:cs="Arial"/>
          <w:color w:val="222222"/>
          <w:sz w:val="18"/>
          <w:szCs w:val="18"/>
          <w:shd w:val="clear" w:color="auto" w:fill="FFFFFF"/>
        </w:rPr>
        <w:t>The Lancet. 2012 Jan 28;379(9813):361-72.</w:t>
      </w:r>
    </w:p>
    <w:p w:rsidR="00582F52" w:rsidP="00582F52" w:rsidRDefault="00582F52" w14:paraId="0A66F015" w14:textId="77777777">
      <w:pPr>
        <w:pStyle w:val="Bibliography"/>
        <w:numPr>
          <w:ilvl w:val="0"/>
          <w:numId w:val="8"/>
        </w:numPr>
        <w:rPr>
          <w:rFonts w:ascii="Arial" w:hAnsi="Arial" w:cs="Arial"/>
          <w:noProof/>
          <w:sz w:val="18"/>
          <w:szCs w:val="18"/>
          <w:lang w:val="en-US"/>
        </w:rPr>
      </w:pPr>
      <w:r>
        <w:rPr>
          <w:rFonts w:ascii="Arial" w:hAnsi="Arial" w:cs="Arial"/>
          <w:noProof/>
          <w:sz w:val="18"/>
          <w:szCs w:val="18"/>
          <w:lang w:val="en-US"/>
        </w:rPr>
        <w:t xml:space="preserve">Medicines and Healthcare products Regulatory Agency, 2021. </w:t>
      </w:r>
      <w:r>
        <w:rPr>
          <w:rFonts w:ascii="Arial" w:hAnsi="Arial" w:cs="Arial"/>
          <w:i/>
          <w:iCs/>
          <w:noProof/>
          <w:sz w:val="18"/>
          <w:szCs w:val="18"/>
          <w:lang w:val="en-US"/>
        </w:rPr>
        <w:t xml:space="preserve">Gov.uk. </w:t>
      </w:r>
      <w:r>
        <w:rPr>
          <w:rFonts w:ascii="Arial" w:hAnsi="Arial" w:cs="Arial"/>
          <w:noProof/>
          <w:sz w:val="18"/>
          <w:szCs w:val="18"/>
          <w:lang w:val="en-US"/>
        </w:rPr>
        <w:t xml:space="preserve">[Online] </w:t>
      </w:r>
      <w:r>
        <w:rPr>
          <w:rFonts w:ascii="Arial" w:hAnsi="Arial" w:cs="Arial"/>
          <w:noProof/>
          <w:sz w:val="18"/>
          <w:szCs w:val="18"/>
          <w:lang w:val="en-US"/>
        </w:rPr>
        <w:br/>
      </w:r>
      <w:r>
        <w:rPr>
          <w:rFonts w:ascii="Arial" w:hAnsi="Arial" w:cs="Arial"/>
          <w:noProof/>
          <w:sz w:val="18"/>
          <w:szCs w:val="18"/>
          <w:lang w:val="en-US"/>
        </w:rPr>
        <w:t xml:space="preserve">Available at: </w:t>
      </w:r>
      <w:r>
        <w:rPr>
          <w:rFonts w:ascii="Arial" w:hAnsi="Arial" w:cs="Arial"/>
          <w:noProof/>
          <w:sz w:val="18"/>
          <w:szCs w:val="18"/>
          <w:u w:val="single"/>
          <w:lang w:val="en-US"/>
        </w:rPr>
        <w:t>https://www.gov.uk/guidance/isotretinoin-an-expert-review-of-suspected-psychiatric-and-sexual-side-effects</w:t>
      </w:r>
      <w:r>
        <w:rPr>
          <w:rFonts w:ascii="Arial" w:hAnsi="Arial" w:cs="Arial"/>
          <w:noProof/>
          <w:sz w:val="18"/>
          <w:szCs w:val="18"/>
          <w:lang w:val="en-US"/>
        </w:rPr>
        <w:br/>
      </w:r>
      <w:r>
        <w:rPr>
          <w:rFonts w:ascii="Arial" w:hAnsi="Arial" w:cs="Arial"/>
          <w:noProof/>
          <w:sz w:val="18"/>
          <w:szCs w:val="18"/>
          <w:lang w:val="en-US"/>
        </w:rPr>
        <w:t>[Accessed 17 February 2022].</w:t>
      </w:r>
    </w:p>
    <w:p w:rsidR="00582F52" w:rsidP="00582F52" w:rsidRDefault="00582F52" w14:paraId="6D3B2068" w14:textId="77777777">
      <w:pPr>
        <w:pStyle w:val="Bibliography"/>
        <w:numPr>
          <w:ilvl w:val="0"/>
          <w:numId w:val="8"/>
        </w:numPr>
        <w:rPr>
          <w:rFonts w:ascii="Arial" w:hAnsi="Arial" w:cs="Arial"/>
          <w:noProof/>
          <w:sz w:val="18"/>
          <w:szCs w:val="18"/>
          <w:lang w:val="en-US"/>
        </w:rPr>
      </w:pPr>
      <w:r>
        <w:rPr>
          <w:rFonts w:ascii="Arial" w:hAnsi="Arial" w:cs="Arial"/>
          <w:noProof/>
          <w:sz w:val="18"/>
          <w:szCs w:val="18"/>
          <w:lang w:val="en-US"/>
        </w:rPr>
        <w:t xml:space="preserve">NICE, 2021. [Online] </w:t>
      </w:r>
      <w:r>
        <w:rPr>
          <w:rFonts w:ascii="Arial" w:hAnsi="Arial" w:cs="Arial"/>
          <w:noProof/>
          <w:sz w:val="18"/>
          <w:szCs w:val="18"/>
          <w:lang w:val="en-US"/>
        </w:rPr>
        <w:br/>
      </w:r>
      <w:r>
        <w:rPr>
          <w:rFonts w:ascii="Arial" w:hAnsi="Arial" w:cs="Arial"/>
          <w:noProof/>
          <w:sz w:val="18"/>
          <w:szCs w:val="18"/>
          <w:lang w:val="en-US"/>
        </w:rPr>
        <w:t xml:space="preserve">Available at: </w:t>
      </w:r>
      <w:r>
        <w:rPr>
          <w:rFonts w:ascii="Arial" w:hAnsi="Arial" w:cs="Arial"/>
          <w:noProof/>
          <w:sz w:val="18"/>
          <w:szCs w:val="18"/>
          <w:u w:val="single"/>
          <w:lang w:val="en-US"/>
        </w:rPr>
        <w:t>https://www.nice.org.uk/guidance/ng198</w:t>
      </w:r>
      <w:r>
        <w:rPr>
          <w:rFonts w:ascii="Arial" w:hAnsi="Arial" w:cs="Arial"/>
          <w:noProof/>
          <w:sz w:val="18"/>
          <w:szCs w:val="18"/>
          <w:lang w:val="en-US"/>
        </w:rPr>
        <w:br/>
      </w:r>
      <w:r>
        <w:rPr>
          <w:rFonts w:ascii="Arial" w:hAnsi="Arial" w:cs="Arial"/>
          <w:noProof/>
          <w:sz w:val="18"/>
          <w:szCs w:val="18"/>
          <w:lang w:val="en-US"/>
        </w:rPr>
        <w:t>[Accessed 17 February 2022].</w:t>
      </w:r>
    </w:p>
    <w:sdt>
      <w:sdtPr>
        <w:id w:val="-1656211583"/>
        <w:bibliography/>
      </w:sdtPr>
      <w:sdtEndPr/>
      <w:sdtContent>
        <w:p w:rsidRPr="00F9057F" w:rsidR="004345D7" w:rsidP="00F9057F" w:rsidRDefault="004345D7" w14:paraId="50075F26" w14:textId="77777777">
          <w:pPr>
            <w:pStyle w:val="Bibliography"/>
            <w:numPr>
              <w:ilvl w:val="0"/>
              <w:numId w:val="8"/>
            </w:numPr>
            <w:contextualSpacing/>
            <w:rPr>
              <w:rFonts w:ascii="Arial" w:hAnsi="Arial" w:cs="Arial"/>
              <w:noProof/>
              <w:sz w:val="18"/>
              <w:szCs w:val="18"/>
              <w:lang w:val="en-US"/>
            </w:rPr>
          </w:pPr>
          <w:r/>
          <w:r>
            <w:instrText xml:space="preserve"/>
          </w:r>
          <w:r/>
          <w:r w:rsidRPr="00F9057F">
            <w:rPr>
              <w:rFonts w:ascii="Arial" w:hAnsi="Arial" w:cs="Arial"/>
              <w:noProof/>
              <w:sz w:val="18"/>
              <w:szCs w:val="18"/>
              <w:lang w:val="en-US"/>
            </w:rPr>
            <w:t>NIHR. n.d. "National Institute for Health and Care Research." Accessed June 1, 2022</w:t>
          </w:r>
          <w:r>
            <w:rPr>
              <w:noProof/>
              <w:lang w:val="en-US"/>
            </w:rPr>
            <w:t xml:space="preserve">. </w:t>
          </w:r>
          <w:r w:rsidRPr="00F9057F">
            <w:rPr>
              <w:rFonts w:ascii="Arial" w:hAnsi="Arial" w:cs="Arial"/>
              <w:noProof/>
              <w:sz w:val="18"/>
              <w:szCs w:val="18"/>
              <w:lang w:val="en-US"/>
            </w:rPr>
            <w:t>https://www.nihr.ac.uk/documents/21538-benefits-and-harms-of-reduced-dose-oral-isotretinoin-in-the-management-of-acne-vulgaris/28095.</w:t>
          </w:r>
        </w:p>
        <w:p w:rsidR="004345D7" w:rsidP="004345D7" w:rsidRDefault="004345D7" w14:paraId="3D7F1FB7" w14:textId="77777777">
          <w:pPr>
            <w:contextualSpacing/>
          </w:pPr>
          <w:r>
            <w:rPr>
              <w:b/>
              <w:bCs/>
              <w:noProof/>
            </w:rPr>
          </w:r>
        </w:p>
      </w:sdtContent>
    </w:sdt>
    <w:p w:rsidRPr="00F9057F" w:rsidR="00582F52" w:rsidP="004345D7" w:rsidRDefault="00582F52" w14:paraId="6112457A" w14:textId="77777777">
      <w:pPr>
        <w:pStyle w:val="ListParagraph"/>
        <w:numPr>
          <w:ilvl w:val="0"/>
          <w:numId w:val="8"/>
        </w:numPr>
        <w:rPr>
          <w:sz w:val="18"/>
          <w:szCs w:val="18"/>
          <w:u w:val="single"/>
        </w:rPr>
      </w:pPr>
      <w:proofErr w:type="spellStart"/>
      <w:r w:rsidRPr="00F9057F">
        <w:rPr>
          <w:rFonts w:ascii="Arial" w:hAnsi="Arial" w:eastAsia="Times New Roman" w:cs="Arial"/>
          <w:sz w:val="18"/>
          <w:szCs w:val="18"/>
        </w:rPr>
        <w:t>Sadeghzadeh</w:t>
      </w:r>
      <w:r w:rsidRPr="00F9057F">
        <w:rPr>
          <w:rFonts w:ascii="Cambria Math" w:hAnsi="Cambria Math" w:eastAsia="Times New Roman" w:cs="Cambria Math"/>
          <w:sz w:val="18"/>
          <w:szCs w:val="18"/>
        </w:rPr>
        <w:t>‐</w:t>
      </w:r>
      <w:r w:rsidRPr="00F9057F">
        <w:rPr>
          <w:rFonts w:ascii="Arial" w:hAnsi="Arial" w:eastAsia="Times New Roman" w:cs="Arial"/>
          <w:sz w:val="18"/>
          <w:szCs w:val="18"/>
        </w:rPr>
        <w:t>Bazargan</w:t>
      </w:r>
      <w:proofErr w:type="spellEnd"/>
      <w:r w:rsidRPr="00F9057F">
        <w:rPr>
          <w:rFonts w:ascii="Arial" w:hAnsi="Arial" w:eastAsia="Times New Roman" w:cs="Arial"/>
          <w:sz w:val="18"/>
          <w:szCs w:val="18"/>
        </w:rPr>
        <w:t xml:space="preserve"> A, </w:t>
      </w:r>
      <w:proofErr w:type="spellStart"/>
      <w:r w:rsidRPr="00F9057F">
        <w:rPr>
          <w:rFonts w:ascii="Arial" w:hAnsi="Arial" w:eastAsia="Times New Roman" w:cs="Arial"/>
          <w:sz w:val="18"/>
          <w:szCs w:val="18"/>
        </w:rPr>
        <w:t>Ghassemi</w:t>
      </w:r>
      <w:proofErr w:type="spellEnd"/>
      <w:r w:rsidRPr="00F9057F">
        <w:rPr>
          <w:rFonts w:ascii="Arial" w:hAnsi="Arial" w:eastAsia="Times New Roman" w:cs="Arial"/>
          <w:sz w:val="18"/>
          <w:szCs w:val="18"/>
        </w:rPr>
        <w:t xml:space="preserve"> M, </w:t>
      </w:r>
      <w:proofErr w:type="spellStart"/>
      <w:r w:rsidRPr="00F9057F">
        <w:rPr>
          <w:rFonts w:ascii="Arial" w:hAnsi="Arial" w:eastAsia="Times New Roman" w:cs="Arial"/>
          <w:sz w:val="18"/>
          <w:szCs w:val="18"/>
        </w:rPr>
        <w:t>Goodarzi</w:t>
      </w:r>
      <w:proofErr w:type="spellEnd"/>
      <w:r w:rsidRPr="00F9057F">
        <w:rPr>
          <w:rFonts w:ascii="Arial" w:hAnsi="Arial" w:eastAsia="Times New Roman" w:cs="Arial"/>
          <w:sz w:val="18"/>
          <w:szCs w:val="18"/>
        </w:rPr>
        <w:t xml:space="preserve"> A, </w:t>
      </w:r>
      <w:proofErr w:type="spellStart"/>
      <w:r w:rsidRPr="00F9057F">
        <w:rPr>
          <w:rFonts w:ascii="Arial" w:hAnsi="Arial" w:eastAsia="Times New Roman" w:cs="Arial"/>
          <w:sz w:val="18"/>
          <w:szCs w:val="18"/>
        </w:rPr>
        <w:t>Roohaninasab</w:t>
      </w:r>
      <w:proofErr w:type="spellEnd"/>
      <w:r w:rsidRPr="00F9057F">
        <w:rPr>
          <w:rFonts w:ascii="Arial" w:hAnsi="Arial" w:eastAsia="Times New Roman" w:cs="Arial"/>
          <w:sz w:val="18"/>
          <w:szCs w:val="18"/>
        </w:rPr>
        <w:t xml:space="preserve"> M, </w:t>
      </w:r>
      <w:proofErr w:type="spellStart"/>
      <w:r w:rsidRPr="00F9057F">
        <w:rPr>
          <w:rFonts w:ascii="Arial" w:hAnsi="Arial" w:eastAsia="Times New Roman" w:cs="Arial"/>
          <w:sz w:val="18"/>
          <w:szCs w:val="18"/>
        </w:rPr>
        <w:t>Najar</w:t>
      </w:r>
      <w:proofErr w:type="spellEnd"/>
      <w:r w:rsidRPr="00F9057F">
        <w:rPr>
          <w:rFonts w:ascii="Arial" w:hAnsi="Arial" w:eastAsia="Times New Roman" w:cs="Arial"/>
          <w:sz w:val="18"/>
          <w:szCs w:val="18"/>
        </w:rPr>
        <w:t xml:space="preserve"> </w:t>
      </w:r>
      <w:proofErr w:type="spellStart"/>
      <w:r w:rsidRPr="00F9057F">
        <w:rPr>
          <w:rFonts w:ascii="Arial" w:hAnsi="Arial" w:eastAsia="Times New Roman" w:cs="Arial"/>
          <w:sz w:val="18"/>
          <w:szCs w:val="18"/>
        </w:rPr>
        <w:t>Nobari</w:t>
      </w:r>
      <w:proofErr w:type="spellEnd"/>
      <w:r w:rsidRPr="00F9057F">
        <w:rPr>
          <w:rFonts w:ascii="Arial" w:hAnsi="Arial" w:eastAsia="Times New Roman" w:cs="Arial"/>
          <w:sz w:val="18"/>
          <w:szCs w:val="18"/>
        </w:rPr>
        <w:t xml:space="preserve"> N, </w:t>
      </w:r>
      <w:proofErr w:type="spellStart"/>
      <w:r w:rsidRPr="00F9057F">
        <w:rPr>
          <w:rFonts w:ascii="Arial" w:hAnsi="Arial" w:eastAsia="Times New Roman" w:cs="Arial"/>
          <w:sz w:val="18"/>
          <w:szCs w:val="18"/>
        </w:rPr>
        <w:t>Behrangi</w:t>
      </w:r>
      <w:proofErr w:type="spellEnd"/>
      <w:r w:rsidRPr="00F9057F">
        <w:rPr>
          <w:rFonts w:ascii="Arial" w:hAnsi="Arial" w:eastAsia="Times New Roman" w:cs="Arial"/>
          <w:sz w:val="18"/>
          <w:szCs w:val="18"/>
        </w:rPr>
        <w:t xml:space="preserve"> E. Systematic review of low</w:t>
      </w:r>
      <w:r w:rsidRPr="00F9057F">
        <w:rPr>
          <w:rFonts w:ascii="Cambria Math" w:hAnsi="Cambria Math" w:eastAsia="Times New Roman" w:cs="Cambria Math"/>
          <w:sz w:val="18"/>
          <w:szCs w:val="18"/>
        </w:rPr>
        <w:t>‐</w:t>
      </w:r>
      <w:r w:rsidRPr="00F9057F">
        <w:rPr>
          <w:rFonts w:ascii="Arial" w:hAnsi="Arial" w:eastAsia="Times New Roman" w:cs="Arial"/>
          <w:sz w:val="18"/>
          <w:szCs w:val="18"/>
        </w:rPr>
        <w:t>dose isotretinoin for treatment of acne vulgaris: Focus on indication, dosage, regimen, efficacy, safety, satisfaction, and follow up, based on clinical studies. Dermatologic Therapy. 2021 Jan;34(1</w:t>
      </w:r>
      <w:proofErr w:type="gramStart"/>
      <w:r w:rsidRPr="00F9057F">
        <w:rPr>
          <w:rFonts w:ascii="Arial" w:hAnsi="Arial" w:eastAsia="Times New Roman" w:cs="Arial"/>
          <w:sz w:val="18"/>
          <w:szCs w:val="18"/>
        </w:rPr>
        <w:t>):e</w:t>
      </w:r>
      <w:proofErr w:type="gramEnd"/>
      <w:r w:rsidRPr="00F9057F">
        <w:rPr>
          <w:rFonts w:ascii="Arial" w:hAnsi="Arial" w:eastAsia="Times New Roman" w:cs="Arial"/>
          <w:sz w:val="18"/>
          <w:szCs w:val="18"/>
        </w:rPr>
        <w:t>14438.</w:t>
      </w:r>
    </w:p>
    <w:p w:rsidRPr="004345D7" w:rsidR="00582F52" w:rsidP="00F9057F" w:rsidRDefault="00582F52" w14:paraId="6D98A12B" w14:textId="77777777">
      <w:pPr>
        <w:pStyle w:val="ListParagraph"/>
        <w:rPr>
          <w:sz w:val="18"/>
          <w:szCs w:val="18"/>
          <w:u w:val="single"/>
        </w:rPr>
      </w:pPr>
    </w:p>
    <w:p w:rsidR="74155680" w:rsidP="74155680" w:rsidRDefault="74155680" w14:paraId="224176E9" w14:textId="56088168">
      <w:pPr>
        <w:pStyle w:val="ListParagraph"/>
        <w:rPr>
          <w:sz w:val="18"/>
          <w:szCs w:val="18"/>
          <w:u w:val="single"/>
        </w:rPr>
      </w:pPr>
    </w:p>
    <w:p w:rsidR="74155680" w:rsidP="74155680" w:rsidRDefault="74155680" w14:paraId="762BB81E" w14:textId="0E7CC3CC">
      <w:pPr>
        <w:pStyle w:val="ListParagraph"/>
        <w:rPr>
          <w:sz w:val="18"/>
          <w:szCs w:val="18"/>
          <w:u w:val="single"/>
        </w:rPr>
      </w:pPr>
    </w:p>
    <w:p w:rsidR="74155680" w:rsidP="74155680" w:rsidRDefault="74155680" w14:paraId="3656FE1A" w14:textId="7D23BD14">
      <w:pPr>
        <w:pStyle w:val="ListParagraph"/>
        <w:rPr>
          <w:sz w:val="18"/>
          <w:szCs w:val="18"/>
          <w:u w:val="single"/>
        </w:rPr>
      </w:pPr>
    </w:p>
    <w:p w:rsidR="00582F52" w:rsidP="00E8692E" w:rsidRDefault="00582F52" w14:paraId="2946DB82" w14:textId="77777777">
      <w:pPr>
        <w:rPr>
          <w:sz w:val="18"/>
          <w:szCs w:val="18"/>
          <w:u w:val="single"/>
        </w:rPr>
      </w:pPr>
    </w:p>
    <w:p w:rsidR="00582F52" w:rsidP="00E8692E" w:rsidRDefault="00582F52" w14:paraId="5997CC1D" w14:textId="77777777">
      <w:pPr>
        <w:rPr>
          <w:sz w:val="18"/>
          <w:szCs w:val="18"/>
          <w:u w:val="single"/>
        </w:rPr>
      </w:pPr>
    </w:p>
    <w:p w:rsidRPr="00E8692E" w:rsidR="00970554" w:rsidP="74155680" w:rsidRDefault="00970554" w14:paraId="18052944" w14:textId="3040B7E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6E72D81B">
        <w:drawing>
          <wp:inline wp14:editId="042A71D2" wp14:anchorId="13D6757C">
            <wp:extent cx="5372100" cy="3829050"/>
            <wp:effectExtent l="0" t="0" r="0" b="0"/>
            <wp:docPr id="535625888" name="" title=""/>
            <wp:cNvGraphicFramePr>
              <a:graphicFrameLocks noChangeAspect="1"/>
            </wp:cNvGraphicFramePr>
            <a:graphic>
              <a:graphicData uri="http://schemas.openxmlformats.org/drawingml/2006/picture">
                <pic:pic>
                  <pic:nvPicPr>
                    <pic:cNvPr id="0" name=""/>
                    <pic:cNvPicPr/>
                  </pic:nvPicPr>
                  <pic:blipFill>
                    <a:blip r:embed="R232e17d03fd646b0">
                      <a:extLst>
                        <a:ext xmlns:a="http://schemas.openxmlformats.org/drawingml/2006/main" uri="{28A0092B-C50C-407E-A947-70E740481C1C}">
                          <a14:useLocalDpi val="0"/>
                        </a:ext>
                      </a:extLst>
                    </a:blip>
                    <a:stretch>
                      <a:fillRect/>
                    </a:stretch>
                  </pic:blipFill>
                  <pic:spPr>
                    <a:xfrm>
                      <a:off x="0" y="0"/>
                      <a:ext cx="5372100" cy="3829050"/>
                    </a:xfrm>
                    <a:prstGeom prst="rect">
                      <a:avLst/>
                    </a:prstGeom>
                  </pic:spPr>
                </pic:pic>
              </a:graphicData>
            </a:graphic>
          </wp:inline>
        </w:drawing>
      </w:r>
      <w:r>
        <w:br/>
      </w:r>
      <w:r w:rsidR="03CA65A9">
        <w:drawing>
          <wp:inline wp14:editId="301BC954" wp14:anchorId="699B0EC5">
            <wp:extent cx="4572000" cy="428625"/>
            <wp:effectExtent l="0" t="0" r="0" b="0"/>
            <wp:docPr id="1516865471" name="" descr="Text Box" title=""/>
            <wp:cNvGraphicFramePr>
              <a:graphicFrameLocks noChangeAspect="1"/>
            </wp:cNvGraphicFramePr>
            <a:graphic>
              <a:graphicData uri="http://schemas.openxmlformats.org/drawingml/2006/picture">
                <pic:pic>
                  <pic:nvPicPr>
                    <pic:cNvPr id="0" name=""/>
                    <pic:cNvPicPr/>
                  </pic:nvPicPr>
                  <pic:blipFill>
                    <a:blip r:embed="R176d7cb989f445e3">
                      <a:extLst>
                        <a:ext xmlns:a="http://schemas.openxmlformats.org/drawingml/2006/main" uri="{28A0092B-C50C-407E-A947-70E740481C1C}">
                          <a14:useLocalDpi val="0"/>
                        </a:ext>
                      </a:extLst>
                    </a:blip>
                    <a:stretch>
                      <a:fillRect/>
                    </a:stretch>
                  </pic:blipFill>
                  <pic:spPr>
                    <a:xfrm>
                      <a:off x="0" y="0"/>
                      <a:ext cx="4572000" cy="428625"/>
                    </a:xfrm>
                    <a:prstGeom prst="rect">
                      <a:avLst/>
                    </a:prstGeom>
                  </pic:spPr>
                </pic:pic>
              </a:graphicData>
            </a:graphic>
          </wp:inline>
        </w:drawing>
      </w:r>
    </w:p>
    <w:p w:rsidRPr="00E8692E" w:rsidR="00970554" w:rsidP="74155680" w:rsidRDefault="00970554" w14:paraId="45668E78" w14:textId="516F147F">
      <w:pPr>
        <w:pStyle w:val="Normal"/>
        <w:spacing w:after="160" w:line="259" w:lineRule="auto"/>
      </w:pPr>
      <w:r w:rsidR="631CD841">
        <w:drawing>
          <wp:inline wp14:editId="7BB6AB1C" wp14:anchorId="5404F184">
            <wp:extent cx="5276852" cy="2000250"/>
            <wp:effectExtent l="0" t="0" r="0" b="0"/>
            <wp:docPr id="1088583722" name="" title=""/>
            <wp:cNvGraphicFramePr>
              <a:graphicFrameLocks noChangeAspect="1"/>
            </wp:cNvGraphicFramePr>
            <a:graphic>
              <a:graphicData uri="http://schemas.openxmlformats.org/drawingml/2006/picture">
                <pic:pic>
                  <pic:nvPicPr>
                    <pic:cNvPr id="0" name=""/>
                    <pic:cNvPicPr/>
                  </pic:nvPicPr>
                  <pic:blipFill>
                    <a:blip r:embed="R934704bbe578431e">
                      <a:extLst>
                        <a:ext xmlns:a="http://schemas.openxmlformats.org/drawingml/2006/main" uri="{28A0092B-C50C-407E-A947-70E740481C1C}">
                          <a14:useLocalDpi val="0"/>
                        </a:ext>
                      </a:extLst>
                    </a:blip>
                    <a:stretch>
                      <a:fillRect/>
                    </a:stretch>
                  </pic:blipFill>
                  <pic:spPr>
                    <a:xfrm>
                      <a:off x="0" y="0"/>
                      <a:ext cx="5276852" cy="2000250"/>
                    </a:xfrm>
                    <a:prstGeom prst="rect">
                      <a:avLst/>
                    </a:prstGeom>
                  </pic:spPr>
                </pic:pic>
              </a:graphicData>
            </a:graphic>
          </wp:inline>
        </w:drawing>
      </w:r>
    </w:p>
    <w:p w:rsidRPr="00E8692E" w:rsidR="00970554" w:rsidP="74155680" w:rsidRDefault="00970554" w14:paraId="5FF1E235" w14:textId="7158BF37">
      <w:pPr>
        <w:spacing w:after="200" w:line="240" w:lineRule="auto"/>
        <w:rPr>
          <w:rFonts w:ascii="Calibri" w:hAnsi="Calibri" w:eastAsia="Calibri" w:cs="Calibri"/>
          <w:b w:val="0"/>
          <w:bCs w:val="0"/>
          <w:i w:val="1"/>
          <w:iCs w:val="1"/>
          <w:caps w:val="0"/>
          <w:smallCaps w:val="0"/>
          <w:noProof w:val="0"/>
          <w:sz w:val="22"/>
          <w:szCs w:val="22"/>
          <w:lang w:val="en-GB"/>
        </w:rPr>
      </w:pPr>
      <w:r w:rsidRPr="74155680" w:rsidR="631CD841">
        <w:rPr>
          <w:rFonts w:ascii="Calibri" w:hAnsi="Calibri" w:eastAsia="Calibri" w:cs="Calibri"/>
          <w:b w:val="0"/>
          <w:bCs w:val="0"/>
          <w:i w:val="0"/>
          <w:iCs w:val="0"/>
          <w:caps w:val="0"/>
          <w:smallCaps w:val="0"/>
          <w:noProof w:val="0"/>
          <w:sz w:val="22"/>
          <w:szCs w:val="22"/>
          <w:lang w:val="en-GB"/>
        </w:rPr>
        <w:t>Figure 2: In a first course of isotretinoin, what would you prescribe as a reduced daily dose? Percentage of respondents</w:t>
      </w:r>
    </w:p>
    <w:p w:rsidRPr="00E8692E" w:rsidR="00970554" w:rsidP="74155680" w:rsidRDefault="00970554" w14:paraId="12393BA6" w14:textId="1F5AB703">
      <w:pPr>
        <w:pStyle w:val="Normal"/>
        <w:spacing w:after="200" w:line="240" w:lineRule="auto"/>
        <w:rPr>
          <w:rFonts w:ascii="Calibri" w:hAnsi="Calibri" w:eastAsia="Calibri" w:cs="Calibri"/>
          <w:b w:val="0"/>
          <w:bCs w:val="0"/>
          <w:i w:val="0"/>
          <w:iCs w:val="0"/>
          <w:caps w:val="0"/>
          <w:smallCaps w:val="0"/>
          <w:noProof w:val="0"/>
          <w:sz w:val="22"/>
          <w:szCs w:val="22"/>
          <w:lang w:val="en-GB"/>
        </w:rPr>
      </w:pPr>
    </w:p>
    <w:p w:rsidRPr="00E8692E" w:rsidR="00970554" w:rsidP="74155680" w:rsidRDefault="00970554" w14:paraId="65489459" w14:textId="07ECF78F">
      <w:pPr>
        <w:pStyle w:val="Normal"/>
        <w:spacing w:after="200" w:line="240" w:lineRule="auto"/>
        <w:rPr>
          <w:rFonts w:ascii="Calibri" w:hAnsi="Calibri" w:eastAsia="Calibri" w:cs="Calibri"/>
          <w:b w:val="0"/>
          <w:bCs w:val="0"/>
          <w:i w:val="0"/>
          <w:iCs w:val="0"/>
          <w:caps w:val="0"/>
          <w:smallCaps w:val="0"/>
          <w:noProof w:val="0"/>
          <w:sz w:val="22"/>
          <w:szCs w:val="22"/>
          <w:lang w:val="en-GB"/>
        </w:rPr>
      </w:pPr>
    </w:p>
    <w:p w:rsidRPr="00E8692E" w:rsidR="00970554" w:rsidP="74155680" w:rsidRDefault="00970554" w14:paraId="653D6FFE" w14:textId="331586CC">
      <w:pPr>
        <w:pStyle w:val="Normal"/>
        <w:spacing w:after="200" w:line="240" w:lineRule="auto"/>
        <w:rPr>
          <w:rFonts w:ascii="Calibri" w:hAnsi="Calibri" w:eastAsia="Calibri" w:cs="Calibri"/>
          <w:b w:val="0"/>
          <w:bCs w:val="0"/>
          <w:i w:val="0"/>
          <w:iCs w:val="0"/>
          <w:caps w:val="0"/>
          <w:smallCaps w:val="0"/>
          <w:noProof w:val="0"/>
          <w:sz w:val="22"/>
          <w:szCs w:val="22"/>
          <w:lang w:val="en-GB"/>
        </w:rPr>
      </w:pPr>
    </w:p>
    <w:p w:rsidRPr="00E8692E" w:rsidR="00970554" w:rsidP="74155680" w:rsidRDefault="00970554" w14:paraId="5C5226A7" w14:textId="75FC237D">
      <w:pPr>
        <w:pStyle w:val="Normal"/>
        <w:spacing w:after="200" w:line="240" w:lineRule="auto"/>
        <w:rPr>
          <w:rFonts w:ascii="Calibri" w:hAnsi="Calibri" w:eastAsia="Calibri" w:cs="Calibri"/>
          <w:b w:val="0"/>
          <w:bCs w:val="0"/>
          <w:i w:val="0"/>
          <w:iCs w:val="0"/>
          <w:caps w:val="0"/>
          <w:smallCaps w:val="0"/>
          <w:noProof w:val="0"/>
          <w:sz w:val="22"/>
          <w:szCs w:val="22"/>
          <w:lang w:val="en-GB"/>
        </w:rPr>
      </w:pPr>
    </w:p>
    <w:p w:rsidRPr="00E8692E" w:rsidR="00970554" w:rsidP="74155680" w:rsidRDefault="00970554" w14:paraId="5C827762" w14:textId="4E9282AD">
      <w:pPr>
        <w:pStyle w:val="Normal"/>
        <w:spacing w:after="200" w:line="240" w:lineRule="auto"/>
        <w:rPr>
          <w:rFonts w:ascii="Calibri" w:hAnsi="Calibri" w:eastAsia="Calibri" w:cs="Calibri"/>
          <w:b w:val="0"/>
          <w:bCs w:val="0"/>
          <w:i w:val="0"/>
          <w:iCs w:val="0"/>
          <w:caps w:val="0"/>
          <w:smallCaps w:val="0"/>
          <w:noProof w:val="0"/>
          <w:sz w:val="22"/>
          <w:szCs w:val="22"/>
          <w:lang w:val="en-GB"/>
        </w:rPr>
      </w:pPr>
    </w:p>
    <w:p w:rsidRPr="00E8692E" w:rsidR="00970554" w:rsidP="74155680" w:rsidRDefault="00970554" w14:paraId="5208927E" w14:textId="6C021809">
      <w:pPr>
        <w:pStyle w:val="Normal"/>
        <w:spacing w:after="200" w:line="240" w:lineRule="auto"/>
        <w:rPr>
          <w:rFonts w:ascii="Calibri" w:hAnsi="Calibri" w:eastAsia="Calibri" w:cs="Calibri"/>
          <w:b w:val="0"/>
          <w:bCs w:val="0"/>
          <w:i w:val="0"/>
          <w:iCs w:val="0"/>
          <w:caps w:val="0"/>
          <w:smallCaps w:val="0"/>
          <w:noProof w:val="0"/>
          <w:sz w:val="22"/>
          <w:szCs w:val="22"/>
          <w:lang w:val="en-GB"/>
        </w:rPr>
      </w:pPr>
    </w:p>
    <w:p w:rsidRPr="00E8692E" w:rsidR="00970554" w:rsidP="74155680" w:rsidRDefault="00970554" w14:paraId="55D53D9D" w14:textId="39C27608">
      <w:pPr>
        <w:pStyle w:val="Normal"/>
        <w:spacing w:after="200" w:line="240" w:lineRule="auto"/>
        <w:rPr>
          <w:rFonts w:ascii="Calibri" w:hAnsi="Calibri" w:eastAsia="Calibri" w:cs="Calibri"/>
          <w:b w:val="0"/>
          <w:bCs w:val="0"/>
          <w:i w:val="0"/>
          <w:iCs w:val="0"/>
          <w:caps w:val="0"/>
          <w:smallCaps w:val="0"/>
          <w:noProof w:val="0"/>
          <w:sz w:val="22"/>
          <w:szCs w:val="22"/>
          <w:lang w:val="en-GB"/>
        </w:rPr>
      </w:pPr>
    </w:p>
    <w:p w:rsidRPr="00E8692E" w:rsidR="00970554" w:rsidP="74155680" w:rsidRDefault="00970554" w14:paraId="34ED19A9" w14:textId="29619BF3">
      <w:pPr>
        <w:spacing w:before="75" w:after="75" w:line="259" w:lineRule="auto"/>
        <w:rPr>
          <w:rFonts w:ascii="Arial" w:hAnsi="Arial" w:eastAsia="Arial" w:cs="Arial"/>
          <w:b w:val="0"/>
          <w:bCs w:val="0"/>
          <w:i w:val="0"/>
          <w:iCs w:val="0"/>
          <w:caps w:val="0"/>
          <w:smallCaps w:val="0"/>
          <w:noProof w:val="0"/>
          <w:color w:val="1C1D1E"/>
          <w:sz w:val="21"/>
          <w:szCs w:val="21"/>
          <w:lang w:val="en-GB"/>
        </w:rPr>
      </w:pPr>
      <w:r w:rsidR="631CD841">
        <w:drawing>
          <wp:inline wp14:editId="042D2142" wp14:anchorId="5B5B2846">
            <wp:extent cx="5143500" cy="3429000"/>
            <wp:effectExtent l="0" t="0" r="0" b="0"/>
            <wp:docPr id="1293833983" name="" title=""/>
            <wp:cNvGraphicFramePr>
              <a:graphicFrameLocks noChangeAspect="1"/>
            </wp:cNvGraphicFramePr>
            <a:graphic>
              <a:graphicData uri="http://schemas.openxmlformats.org/drawingml/2006/picture">
                <pic:pic>
                  <pic:nvPicPr>
                    <pic:cNvPr id="0" name=""/>
                    <pic:cNvPicPr/>
                  </pic:nvPicPr>
                  <pic:blipFill>
                    <a:blip r:embed="R3b975f4b32554d68">
                      <a:extLst>
                        <a:ext xmlns:a="http://schemas.openxmlformats.org/drawingml/2006/main" uri="{28A0092B-C50C-407E-A947-70E740481C1C}">
                          <a14:useLocalDpi val="0"/>
                        </a:ext>
                      </a:extLst>
                    </a:blip>
                    <a:stretch>
                      <a:fillRect/>
                    </a:stretch>
                  </pic:blipFill>
                  <pic:spPr>
                    <a:xfrm>
                      <a:off x="0" y="0"/>
                      <a:ext cx="5143500" cy="3429000"/>
                    </a:xfrm>
                    <a:prstGeom prst="rect">
                      <a:avLst/>
                    </a:prstGeom>
                  </pic:spPr>
                </pic:pic>
              </a:graphicData>
            </a:graphic>
          </wp:inline>
        </w:drawing>
      </w:r>
    </w:p>
    <w:p w:rsidRPr="00E8692E" w:rsidR="00970554" w:rsidP="74155680" w:rsidRDefault="00970554" w14:paraId="1DB8853D" w14:textId="3548E9DF">
      <w:pPr>
        <w:keepNext w:val="1"/>
        <w:spacing w:after="200" w:line="240" w:lineRule="auto"/>
        <w:rPr>
          <w:rFonts w:ascii="Calibri" w:hAnsi="Calibri" w:eastAsia="Calibri" w:cs="Calibri"/>
          <w:b w:val="0"/>
          <w:bCs w:val="0"/>
          <w:i w:val="1"/>
          <w:iCs w:val="1"/>
          <w:caps w:val="0"/>
          <w:smallCaps w:val="0"/>
          <w:noProof w:val="0"/>
          <w:color w:val="44546A"/>
          <w:sz w:val="22"/>
          <w:szCs w:val="22"/>
          <w:lang w:val="en-GB"/>
        </w:rPr>
      </w:pPr>
      <w:r w:rsidRPr="74155680" w:rsidR="631CD841">
        <w:rPr>
          <w:rFonts w:ascii="Calibri" w:hAnsi="Calibri" w:eastAsia="Calibri" w:cs="Calibri"/>
          <w:b w:val="0"/>
          <w:bCs w:val="0"/>
          <w:i w:val="0"/>
          <w:iCs w:val="0"/>
          <w:caps w:val="0"/>
          <w:smallCaps w:val="0"/>
          <w:noProof w:val="0"/>
          <w:color w:val="44546A"/>
          <w:sz w:val="22"/>
          <w:szCs w:val="22"/>
          <w:lang w:val="en-GB"/>
        </w:rPr>
        <w:t>Figure 3: Selected clinicians' opinions on low dose oral isotretinoin treatment regimens</w:t>
      </w:r>
    </w:p>
    <w:p w:rsidRPr="00E8692E" w:rsidR="00970554" w:rsidP="74155680" w:rsidRDefault="00970554" w14:paraId="18CD8D83" w14:textId="2C41C74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E8692E" w:rsidR="00970554" w:rsidP="74155680" w:rsidRDefault="00970554" w14:paraId="09E6B225" w14:textId="5B4A6DC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E8692E" w:rsidR="00970554" w:rsidP="74155680" w:rsidRDefault="00970554" w14:paraId="61CDCEAD" w14:textId="1D9724D5">
      <w:pPr>
        <w:pStyle w:val="Normal"/>
      </w:pPr>
      <w:r>
        <w:br/>
      </w:r>
    </w:p>
    <w:sectPr w:rsidRPr="00E8692E" w:rsidR="00970554">
      <w:pgSz w:w="11906" w:h="16838" w:orient="portrait"/>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C6F6" w16cex:dateUtc="2022-05-24T15:34:00Z"/>
  <w16cex:commentExtensible w16cex:durableId="2638C6FF" w16cex:dateUtc="2022-05-25T14:17:00Z"/>
  <w16cex:commentExtensible w16cex:durableId="17CDAC78" w16cex:dateUtc="2022-05-24T15:34:00Z"/>
  <w16cex:commentExtensible w16cex:durableId="263B7605" w16cex:dateUtc="2022-05-27T15:08:00Z"/>
  <w16cex:commentExtensible w16cex:durableId="32E04259" w16cex:dateUtc="2022-05-24T15:32:00Z"/>
  <w16cex:commentExtensible w16cex:durableId="05D4D611" w16cex:dateUtc="2022-05-24T15:31:00Z"/>
  <w16cex:commentExtensible w16cex:durableId="2638CB38" w16cex:dateUtc="2022-05-25T14:35:00Z"/>
  <w16cex:commentExtensible w16cex:durableId="2638DAA8" w16cex:dateUtc="2022-05-25T15:41:00Z"/>
  <w16cex:commentExtensible w16cex:durableId="2638E1E9" w16cex:dateUtc="2022-05-25T16:12:00Z"/>
  <w16cex:commentExtensible w16cex:durableId="263B7499" w16cex:dateUtc="2022-05-27T15:02:00Z"/>
  <w16cex:commentExtensible w16cex:durableId="263B754E" w16cex:dateUtc="2022-05-27T15:05:00Z"/>
  <w16cex:commentExtensible w16cex:durableId="2638DF9A" w16cex:dateUtc="2022-05-25T16:02:00Z"/>
  <w16cex:commentExtensible w16cex:durableId="263B75B0" w16cex:dateUtc="2022-05-27T15:07:00Z"/>
  <w16cex:commentExtensible w16cex:durableId="6B3A5929" w16cex:dateUtc="2022-05-24T15:59:00Z"/>
  <w16cex:commentExtensible w16cex:durableId="2ABB2F13" w16cex:dateUtc="2022-05-24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2C2" w:rsidP="008517B3" w:rsidRDefault="00A502C2" w14:paraId="5438E8DD" w14:textId="77777777">
      <w:r>
        <w:separator/>
      </w:r>
    </w:p>
  </w:endnote>
  <w:endnote w:type="continuationSeparator" w:id="0">
    <w:p w:rsidR="00A502C2" w:rsidP="008517B3" w:rsidRDefault="00A502C2" w14:paraId="0C901A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2C2" w:rsidP="008517B3" w:rsidRDefault="00A502C2" w14:paraId="7CA0CE71" w14:textId="77777777">
      <w:r>
        <w:separator/>
      </w:r>
    </w:p>
  </w:footnote>
  <w:footnote w:type="continuationSeparator" w:id="0">
    <w:p w:rsidR="00A502C2" w:rsidP="008517B3" w:rsidRDefault="00A502C2" w14:paraId="29D1026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E2BCE"/>
    <w:multiLevelType w:val="hybridMultilevel"/>
    <w:tmpl w:val="3EC45E9C"/>
    <w:lvl w:ilvl="0" w:tplc="DCC29026">
      <w:start w:val="1"/>
      <w:numFmt w:val="decimal"/>
      <w:lvlText w:val="%1."/>
      <w:lvlJc w:val="left"/>
      <w:pPr>
        <w:ind w:left="720" w:hanging="36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21A17"/>
    <w:multiLevelType w:val="hybridMultilevel"/>
    <w:tmpl w:val="14FA2942"/>
    <w:lvl w:ilvl="0" w:tplc="D744C6BE">
      <w:start w:val="1"/>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3A3DC6"/>
    <w:multiLevelType w:val="hybridMultilevel"/>
    <w:tmpl w:val="95288C2A"/>
    <w:lvl w:ilvl="0" w:tplc="E0B2BD0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56244B"/>
    <w:multiLevelType w:val="hybridMultilevel"/>
    <w:tmpl w:val="19320D96"/>
    <w:lvl w:ilvl="0" w:tplc="E0B2BD08">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D616F3"/>
    <w:multiLevelType w:val="hybridMultilevel"/>
    <w:tmpl w:val="4B28C39C"/>
    <w:lvl w:ilvl="0" w:tplc="23B2CF2C">
      <w:start w:val="1"/>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D0A430E"/>
    <w:multiLevelType w:val="hybridMultilevel"/>
    <w:tmpl w:val="FD508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B76BD9"/>
    <w:multiLevelType w:val="hybridMultilevel"/>
    <w:tmpl w:val="BC884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290B8F"/>
    <w:multiLevelType w:val="hybridMultilevel"/>
    <w:tmpl w:val="B3F8C7D2"/>
    <w:lvl w:ilvl="0" w:tplc="C7A6BE1C">
      <w:start w:val="1"/>
      <w:numFmt w:val="decimal"/>
      <w:lvlText w:val="%1."/>
      <w:lvlJc w:val="left"/>
      <w:pPr>
        <w:ind w:left="720" w:hanging="360"/>
      </w:pPr>
      <w:rPr>
        <w:rFonts w:hint="default" w:ascii="Arial" w:hAnsi="Arial" w:cs="Arial"/>
        <w:color w:val="222222"/>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92E"/>
    <w:rsid w:val="00077A9A"/>
    <w:rsid w:val="000C5BC9"/>
    <w:rsid w:val="00133FEE"/>
    <w:rsid w:val="001415A9"/>
    <w:rsid w:val="00144E48"/>
    <w:rsid w:val="00147FCC"/>
    <w:rsid w:val="001844FF"/>
    <w:rsid w:val="00282EAF"/>
    <w:rsid w:val="002B0BA6"/>
    <w:rsid w:val="00307BFB"/>
    <w:rsid w:val="003A0B55"/>
    <w:rsid w:val="003F4BA7"/>
    <w:rsid w:val="004345D7"/>
    <w:rsid w:val="00437D24"/>
    <w:rsid w:val="004548A4"/>
    <w:rsid w:val="00466C14"/>
    <w:rsid w:val="004E3F20"/>
    <w:rsid w:val="00541892"/>
    <w:rsid w:val="00582F52"/>
    <w:rsid w:val="005B7A02"/>
    <w:rsid w:val="00644A7E"/>
    <w:rsid w:val="006916CF"/>
    <w:rsid w:val="006E5370"/>
    <w:rsid w:val="0072702D"/>
    <w:rsid w:val="007306BD"/>
    <w:rsid w:val="00733725"/>
    <w:rsid w:val="007402D0"/>
    <w:rsid w:val="00742174"/>
    <w:rsid w:val="00770B82"/>
    <w:rsid w:val="00815F6F"/>
    <w:rsid w:val="00831023"/>
    <w:rsid w:val="008517B3"/>
    <w:rsid w:val="00873352"/>
    <w:rsid w:val="00927EDB"/>
    <w:rsid w:val="00970554"/>
    <w:rsid w:val="0097761A"/>
    <w:rsid w:val="00982EAD"/>
    <w:rsid w:val="009D23E5"/>
    <w:rsid w:val="009F2D70"/>
    <w:rsid w:val="009F461F"/>
    <w:rsid w:val="00A3546C"/>
    <w:rsid w:val="00A430B4"/>
    <w:rsid w:val="00A502C2"/>
    <w:rsid w:val="00A535FB"/>
    <w:rsid w:val="00A70B79"/>
    <w:rsid w:val="00A83614"/>
    <w:rsid w:val="00A9473C"/>
    <w:rsid w:val="00AD1E5A"/>
    <w:rsid w:val="00AE774B"/>
    <w:rsid w:val="00B42A37"/>
    <w:rsid w:val="00B51EB0"/>
    <w:rsid w:val="00B65C6C"/>
    <w:rsid w:val="00BA08A7"/>
    <w:rsid w:val="00BB5844"/>
    <w:rsid w:val="00C42955"/>
    <w:rsid w:val="00C46854"/>
    <w:rsid w:val="00CF4E81"/>
    <w:rsid w:val="00CF538A"/>
    <w:rsid w:val="00D30A77"/>
    <w:rsid w:val="00D40BF6"/>
    <w:rsid w:val="00D45DA8"/>
    <w:rsid w:val="00D472EE"/>
    <w:rsid w:val="00D47928"/>
    <w:rsid w:val="00D8281D"/>
    <w:rsid w:val="00D902AA"/>
    <w:rsid w:val="00DC37EA"/>
    <w:rsid w:val="00E015BC"/>
    <w:rsid w:val="00E25128"/>
    <w:rsid w:val="00E61589"/>
    <w:rsid w:val="00E84A1C"/>
    <w:rsid w:val="00E8692E"/>
    <w:rsid w:val="00ED3B07"/>
    <w:rsid w:val="00F819DF"/>
    <w:rsid w:val="00F9057F"/>
    <w:rsid w:val="00F91EF9"/>
    <w:rsid w:val="013D5F83"/>
    <w:rsid w:val="032DD0EA"/>
    <w:rsid w:val="03CA65A9"/>
    <w:rsid w:val="03D0D1A2"/>
    <w:rsid w:val="04EF5020"/>
    <w:rsid w:val="05EB86D6"/>
    <w:rsid w:val="06D0388A"/>
    <w:rsid w:val="06F87226"/>
    <w:rsid w:val="0DAB8FA0"/>
    <w:rsid w:val="0FDE5077"/>
    <w:rsid w:val="11231B2C"/>
    <w:rsid w:val="17A56887"/>
    <w:rsid w:val="1855D8C2"/>
    <w:rsid w:val="18EAAC04"/>
    <w:rsid w:val="1BEE1245"/>
    <w:rsid w:val="1C95E80A"/>
    <w:rsid w:val="21332270"/>
    <w:rsid w:val="24DDB512"/>
    <w:rsid w:val="26E74AAF"/>
    <w:rsid w:val="27969B76"/>
    <w:rsid w:val="28471E66"/>
    <w:rsid w:val="28831B10"/>
    <w:rsid w:val="2F6A7823"/>
    <w:rsid w:val="2FF13DD8"/>
    <w:rsid w:val="30564D90"/>
    <w:rsid w:val="30F44364"/>
    <w:rsid w:val="3574A9EF"/>
    <w:rsid w:val="35DAAC09"/>
    <w:rsid w:val="3797956E"/>
    <w:rsid w:val="390094D9"/>
    <w:rsid w:val="3CCC26CD"/>
    <w:rsid w:val="3CFF09D0"/>
    <w:rsid w:val="4054BB5E"/>
    <w:rsid w:val="410343F1"/>
    <w:rsid w:val="42F06306"/>
    <w:rsid w:val="448C3367"/>
    <w:rsid w:val="4705ABCA"/>
    <w:rsid w:val="4A88A3D2"/>
    <w:rsid w:val="4D84A4C7"/>
    <w:rsid w:val="52AD2F2C"/>
    <w:rsid w:val="554356AD"/>
    <w:rsid w:val="57B002F0"/>
    <w:rsid w:val="57B4BB42"/>
    <w:rsid w:val="586343D5"/>
    <w:rsid w:val="5894436E"/>
    <w:rsid w:val="5AEC5C04"/>
    <w:rsid w:val="5FE66F6C"/>
    <w:rsid w:val="627113B0"/>
    <w:rsid w:val="631CD841"/>
    <w:rsid w:val="636DDE51"/>
    <w:rsid w:val="65E91D09"/>
    <w:rsid w:val="6BBD67F4"/>
    <w:rsid w:val="6C37C782"/>
    <w:rsid w:val="6E72D81B"/>
    <w:rsid w:val="6F654609"/>
    <w:rsid w:val="713B4705"/>
    <w:rsid w:val="7179AED8"/>
    <w:rsid w:val="73157F39"/>
    <w:rsid w:val="74155680"/>
    <w:rsid w:val="748269C8"/>
    <w:rsid w:val="7546AFD0"/>
    <w:rsid w:val="77E2B89E"/>
    <w:rsid w:val="7A3F31EA"/>
    <w:rsid w:val="7A6B6FA7"/>
    <w:rsid w:val="7AB578C2"/>
    <w:rsid w:val="7D3D5FAE"/>
    <w:rsid w:val="7F712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FA47"/>
  <w15:chartTrackingRefBased/>
  <w15:docId w15:val="{F2913D64-2FCC-4BB5-A6A8-95D85C4773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692E"/>
    <w:pPr>
      <w:spacing w:after="0" w:line="240" w:lineRule="auto"/>
    </w:pPr>
    <w:rPr>
      <w:sz w:val="24"/>
      <w:szCs w:val="24"/>
    </w:rPr>
  </w:style>
  <w:style w:type="paragraph" w:styleId="Heading1">
    <w:name w:val="heading 1"/>
    <w:basedOn w:val="Normal"/>
    <w:next w:val="Normal"/>
    <w:link w:val="Heading1Char"/>
    <w:uiPriority w:val="9"/>
    <w:qFormat/>
    <w:rsid w:val="004345D7"/>
    <w:pPr>
      <w:keepNext/>
      <w:keepLines/>
      <w:spacing w:before="480" w:line="276" w:lineRule="auto"/>
      <w:outlineLvl w:val="0"/>
    </w:pPr>
    <w:rPr>
      <w:rFonts w:asciiTheme="majorHAnsi" w:hAnsiTheme="majorHAnsi" w:eastAsiaTheme="majorEastAsia" w:cstheme="majorBidi"/>
      <w:b/>
      <w:bCs/>
      <w:color w:val="365F91" w:themeColor="accent1" w:themeShade="BF"/>
      <w:sz w:val="28"/>
      <w:szCs w:val="28"/>
      <w:lang w:val="en-US"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unhideWhenUsed/>
    <w:rsid w:val="00E8692E"/>
    <w:rPr>
      <w:sz w:val="20"/>
      <w:szCs w:val="20"/>
    </w:rPr>
  </w:style>
  <w:style w:type="character" w:styleId="CommentTextChar" w:customStyle="1">
    <w:name w:val="Comment Text Char"/>
    <w:basedOn w:val="DefaultParagraphFont"/>
    <w:link w:val="CommentText"/>
    <w:uiPriority w:val="99"/>
    <w:rsid w:val="00E8692E"/>
    <w:rPr>
      <w:sz w:val="20"/>
      <w:szCs w:val="20"/>
    </w:rPr>
  </w:style>
  <w:style w:type="character" w:styleId="CommentReference">
    <w:name w:val="annotation reference"/>
    <w:basedOn w:val="DefaultParagraphFont"/>
    <w:uiPriority w:val="99"/>
    <w:semiHidden/>
    <w:unhideWhenUsed/>
    <w:rsid w:val="00E8692E"/>
    <w:rPr>
      <w:sz w:val="16"/>
      <w:szCs w:val="16"/>
    </w:rPr>
  </w:style>
  <w:style w:type="character" w:styleId="Hyperlink">
    <w:name w:val="Hyperlink"/>
    <w:basedOn w:val="DefaultParagraphFont"/>
    <w:uiPriority w:val="99"/>
    <w:unhideWhenUsed/>
    <w:rsid w:val="00E8692E"/>
    <w:rPr>
      <w:color w:val="0000FF" w:themeColor="hyperlink"/>
      <w:u w:val="single"/>
    </w:rPr>
  </w:style>
  <w:style w:type="paragraph" w:styleId="BalloonText">
    <w:name w:val="Balloon Text"/>
    <w:basedOn w:val="Normal"/>
    <w:link w:val="BalloonTextChar"/>
    <w:uiPriority w:val="99"/>
    <w:semiHidden/>
    <w:unhideWhenUsed/>
    <w:rsid w:val="00E8692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692E"/>
    <w:rPr>
      <w:rFonts w:ascii="Segoe UI" w:hAnsi="Segoe UI" w:cs="Segoe UI"/>
      <w:sz w:val="18"/>
      <w:szCs w:val="18"/>
    </w:rPr>
  </w:style>
  <w:style w:type="paragraph" w:styleId="ListParagraph">
    <w:name w:val="List Paragraph"/>
    <w:basedOn w:val="Normal"/>
    <w:uiPriority w:val="34"/>
    <w:qFormat/>
    <w:rsid w:val="00E8692E"/>
    <w:pPr>
      <w:ind w:left="720"/>
      <w:contextualSpacing/>
    </w:pPr>
  </w:style>
  <w:style w:type="paragraph" w:styleId="Bibliography">
    <w:name w:val="Bibliography"/>
    <w:basedOn w:val="Normal"/>
    <w:next w:val="Normal"/>
    <w:uiPriority w:val="37"/>
    <w:unhideWhenUsed/>
    <w:rsid w:val="00E8692E"/>
  </w:style>
  <w:style w:type="paragraph" w:styleId="Header">
    <w:name w:val="header"/>
    <w:basedOn w:val="Normal"/>
    <w:link w:val="HeaderChar"/>
    <w:uiPriority w:val="99"/>
    <w:unhideWhenUsed/>
    <w:rsid w:val="008517B3"/>
    <w:pPr>
      <w:tabs>
        <w:tab w:val="center" w:pos="4513"/>
        <w:tab w:val="right" w:pos="9026"/>
      </w:tabs>
    </w:pPr>
  </w:style>
  <w:style w:type="character" w:styleId="HeaderChar" w:customStyle="1">
    <w:name w:val="Header Char"/>
    <w:basedOn w:val="DefaultParagraphFont"/>
    <w:link w:val="Header"/>
    <w:uiPriority w:val="99"/>
    <w:rsid w:val="008517B3"/>
    <w:rPr>
      <w:sz w:val="24"/>
      <w:szCs w:val="24"/>
    </w:rPr>
  </w:style>
  <w:style w:type="paragraph" w:styleId="Footer">
    <w:name w:val="footer"/>
    <w:basedOn w:val="Normal"/>
    <w:link w:val="FooterChar"/>
    <w:uiPriority w:val="99"/>
    <w:unhideWhenUsed/>
    <w:rsid w:val="008517B3"/>
    <w:pPr>
      <w:tabs>
        <w:tab w:val="center" w:pos="4513"/>
        <w:tab w:val="right" w:pos="9026"/>
      </w:tabs>
    </w:pPr>
  </w:style>
  <w:style w:type="character" w:styleId="FooterChar" w:customStyle="1">
    <w:name w:val="Footer Char"/>
    <w:basedOn w:val="DefaultParagraphFont"/>
    <w:link w:val="Footer"/>
    <w:uiPriority w:val="99"/>
    <w:rsid w:val="008517B3"/>
    <w:rPr>
      <w:sz w:val="24"/>
      <w:szCs w:val="24"/>
    </w:rPr>
  </w:style>
  <w:style w:type="paragraph" w:styleId="CommentSubject">
    <w:name w:val="annotation subject"/>
    <w:basedOn w:val="CommentText"/>
    <w:next w:val="CommentText"/>
    <w:link w:val="CommentSubjectChar"/>
    <w:uiPriority w:val="99"/>
    <w:semiHidden/>
    <w:unhideWhenUsed/>
    <w:rsid w:val="00D30A77"/>
    <w:rPr>
      <w:b/>
      <w:bCs/>
    </w:rPr>
  </w:style>
  <w:style w:type="character" w:styleId="CommentSubjectChar" w:customStyle="1">
    <w:name w:val="Comment Subject Char"/>
    <w:basedOn w:val="CommentTextChar"/>
    <w:link w:val="CommentSubject"/>
    <w:uiPriority w:val="99"/>
    <w:semiHidden/>
    <w:rsid w:val="00D30A77"/>
    <w:rPr>
      <w:b/>
      <w:bCs/>
      <w:sz w:val="20"/>
      <w:szCs w:val="20"/>
    </w:rPr>
  </w:style>
  <w:style w:type="paragraph" w:styleId="Revision">
    <w:name w:val="Revision"/>
    <w:hidden/>
    <w:uiPriority w:val="99"/>
    <w:semiHidden/>
    <w:rsid w:val="00ED3B07"/>
    <w:pPr>
      <w:spacing w:after="0" w:line="240" w:lineRule="auto"/>
    </w:pPr>
    <w:rPr>
      <w:sz w:val="24"/>
      <w:szCs w:val="24"/>
    </w:rPr>
  </w:style>
  <w:style w:type="character" w:styleId="Heading1Char" w:customStyle="1">
    <w:name w:val="Heading 1 Char"/>
    <w:basedOn w:val="DefaultParagraphFont"/>
    <w:link w:val="Heading1"/>
    <w:uiPriority w:val="9"/>
    <w:rsid w:val="004345D7"/>
    <w:rPr>
      <w:rFonts w:asciiTheme="majorHAnsi" w:hAnsiTheme="majorHAnsi" w:eastAsiaTheme="majorEastAsia" w:cstheme="majorBidi"/>
      <w:b/>
      <w:bCs/>
      <w:color w:val="365F91" w:themeColor="accent1" w:themeShade="BF"/>
      <w:sz w:val="28"/>
      <w:szCs w:val="28"/>
      <w:lang w:val="en-US" w:bidi="en-US"/>
    </w:rPr>
  </w:style>
  <w:style w:type="character" w:styleId="UnresolvedMention">
    <w:name w:val="Unresolved Mention"/>
    <w:basedOn w:val="DefaultParagraphFont"/>
    <w:uiPriority w:val="99"/>
    <w:semiHidden/>
    <w:unhideWhenUsed/>
    <w:rsid w:val="0043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6667">
      <w:bodyDiv w:val="1"/>
      <w:marLeft w:val="0"/>
      <w:marRight w:val="0"/>
      <w:marTop w:val="0"/>
      <w:marBottom w:val="0"/>
      <w:divBdr>
        <w:top w:val="none" w:sz="0" w:space="0" w:color="auto"/>
        <w:left w:val="none" w:sz="0" w:space="0" w:color="auto"/>
        <w:bottom w:val="none" w:sz="0" w:space="0" w:color="auto"/>
        <w:right w:val="none" w:sz="0" w:space="0" w:color="auto"/>
      </w:divBdr>
    </w:div>
    <w:div w:id="1006783187">
      <w:bodyDiv w:val="1"/>
      <w:marLeft w:val="0"/>
      <w:marRight w:val="0"/>
      <w:marTop w:val="0"/>
      <w:marBottom w:val="0"/>
      <w:divBdr>
        <w:top w:val="none" w:sz="0" w:space="0" w:color="auto"/>
        <w:left w:val="none" w:sz="0" w:space="0" w:color="auto"/>
        <w:bottom w:val="none" w:sz="0" w:space="0" w:color="auto"/>
        <w:right w:val="none" w:sz="0" w:space="0" w:color="auto"/>
      </w:divBdr>
    </w:div>
    <w:div w:id="115973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glossaryDocument" Target="glossary/document.xml" Id="Rcbf42d83244c4d52"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microsoft.com/office/2018/08/relationships/commentsExtensible" Target="commentsExtensible.xml" Id="rId10"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image" Target="/media/image.png" Id="R232e17d03fd646b0" /><Relationship Type="http://schemas.openxmlformats.org/officeDocument/2006/relationships/image" Target="/media/image2.png" Id="R176d7cb989f445e3" /><Relationship Type="http://schemas.openxmlformats.org/officeDocument/2006/relationships/image" Target="/media/image3.png" Id="R934704bbe578431e" /><Relationship Type="http://schemas.openxmlformats.org/officeDocument/2006/relationships/image" Target="/media/image4.png" Id="R3b975f4b32554d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182e1b-5ece-45b1-bf64-342860294171}"/>
      </w:docPartPr>
      <w:docPartBody>
        <w:p w14:paraId="5ECEA04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NIH22</b:Tag>
    <b:SourceType>DocumentFromInternetSite</b:SourceType>
    <b:Guid>{04D2D8C2-38D5-8042-9454-730749A4412E}</b:Guid>
    <b:Author>
      <b:Author>
        <b:Corporate>NIHR</b:Corporate>
      </b:Author>
    </b:Author>
    <b:Title>National Institute for Health and Care Research</b:Title>
    <b:URL>https://www.nihr.ac.uk/documents/21538-benefits-and-harms-of-reduced-dose-oral-isotretinoin-in-the-management-of-acne-vulgaris/28095</b:URL>
    <b:YearAccessed>2022</b:YearAccessed>
    <b:MonthAccessed>June</b:MonthAccessed>
    <b:DayAccessed>1</b:DayAccessed>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0C38F8075501474D890A424ED6D12CC4" ma:contentTypeVersion="6" ma:contentTypeDescription="Create a new document." ma:contentTypeScope="" ma:versionID="fec5808e1b348fe649191396be6dc6f1">
  <xsd:schema xmlns:xsd="http://www.w3.org/2001/XMLSchema" xmlns:xs="http://www.w3.org/2001/XMLSchema" xmlns:p="http://schemas.microsoft.com/office/2006/metadata/properties" xmlns:ns2="70b27aa4-5b57-40d1-8e61-3c119ef09c47" xmlns:ns3="4cf8f235-6002-4538-b980-29f1ac033d2d" targetNamespace="http://schemas.microsoft.com/office/2006/metadata/properties" ma:root="true" ma:fieldsID="69c535765b287ab47af9cd7f25e874f1" ns2:_="" ns3:_="">
    <xsd:import namespace="70b27aa4-5b57-40d1-8e61-3c119ef09c47"/>
    <xsd:import namespace="4cf8f235-6002-4538-b980-29f1ac033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27aa4-5b57-40d1-8e61-3c119ef09c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8f235-6002-4538-b980-29f1ac033d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cf8f235-6002-4538-b980-29f1ac033d2d">
      <UserInfo>
        <DisplayName/>
        <AccountId xsi:nil="true"/>
        <AccountType/>
      </UserInfo>
    </SharedWithUsers>
  </documentManagement>
</p:properties>
</file>

<file path=customXml/itemProps1.xml><?xml version="1.0" encoding="utf-8"?>
<ds:datastoreItem xmlns:ds="http://schemas.openxmlformats.org/officeDocument/2006/customXml" ds:itemID="{C6B024BF-DFC5-A841-AF58-6F7EDF5D279E}">
  <ds:schemaRefs>
    <ds:schemaRef ds:uri="http://schemas.openxmlformats.org/officeDocument/2006/bibliography"/>
  </ds:schemaRefs>
</ds:datastoreItem>
</file>

<file path=customXml/itemProps2.xml><?xml version="1.0" encoding="utf-8"?>
<ds:datastoreItem xmlns:ds="http://schemas.openxmlformats.org/officeDocument/2006/customXml" ds:itemID="{D8F6564A-8E00-492E-9145-0308F7802160}"/>
</file>

<file path=customXml/itemProps3.xml><?xml version="1.0" encoding="utf-8"?>
<ds:datastoreItem xmlns:ds="http://schemas.openxmlformats.org/officeDocument/2006/customXml" ds:itemID="{2264F8D5-FE54-4943-BA67-8D8AA7D206A6}"/>
</file>

<file path=customXml/itemProps4.xml><?xml version="1.0" encoding="utf-8"?>
<ds:datastoreItem xmlns:ds="http://schemas.openxmlformats.org/officeDocument/2006/customXml" ds:itemID="{4604776E-667B-47C6-A456-ABD43D5342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Nottingham University Hospitals NHS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Moledina Zahra (Clinical Services)</dc:creator>
  <keywords/>
  <dc:description/>
  <lastModifiedBy>Esther Burden-Teh (staff)</lastModifiedBy>
  <revision>7</revision>
  <dcterms:created xsi:type="dcterms:W3CDTF">2022-07-11T10:11:00.0000000Z</dcterms:created>
  <dcterms:modified xsi:type="dcterms:W3CDTF">2022-10-06T20:18:59.5148112Z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0x0101000C38F8075501474D890A424ED6D12CC4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Order">
    <vt:r8>705100</vt:r8>
  </property>
</Properties>
</file>