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1F58" w14:textId="3FB0CCDF" w:rsidR="008302FC" w:rsidRDefault="0014012C" w:rsidP="0014012C">
      <w:pPr>
        <w:spacing w:after="0" w:line="480" w:lineRule="auto"/>
        <w:jc w:val="center"/>
        <w:rPr>
          <w:rFonts w:ascii="Times New Roman" w:hAnsi="Times New Roman" w:cs="Times New Roman"/>
          <w:b/>
          <w:bCs/>
          <w:sz w:val="24"/>
          <w:szCs w:val="24"/>
        </w:rPr>
      </w:pPr>
      <w:r w:rsidRPr="0014012C">
        <w:rPr>
          <w:rFonts w:ascii="Times New Roman" w:hAnsi="Times New Roman" w:cs="Times New Roman"/>
          <w:b/>
          <w:bCs/>
          <w:sz w:val="24"/>
          <w:szCs w:val="24"/>
        </w:rPr>
        <w:t>The price reaction and investment</w:t>
      </w:r>
      <w:r>
        <w:rPr>
          <w:rFonts w:ascii="Times New Roman" w:hAnsi="Times New Roman" w:cs="Times New Roman"/>
          <w:b/>
          <w:bCs/>
          <w:sz w:val="24"/>
          <w:szCs w:val="24"/>
        </w:rPr>
        <w:t xml:space="preserve"> </w:t>
      </w:r>
      <w:r w:rsidRPr="0014012C">
        <w:rPr>
          <w:rFonts w:ascii="Times New Roman" w:hAnsi="Times New Roman" w:cs="Times New Roman"/>
          <w:b/>
          <w:bCs/>
          <w:sz w:val="24"/>
          <w:szCs w:val="24"/>
        </w:rPr>
        <w:t>exposure of equity funds: evidence</w:t>
      </w:r>
      <w:r>
        <w:rPr>
          <w:rFonts w:ascii="Times New Roman" w:hAnsi="Times New Roman" w:cs="Times New Roman"/>
          <w:b/>
          <w:bCs/>
          <w:sz w:val="24"/>
          <w:szCs w:val="24"/>
        </w:rPr>
        <w:t xml:space="preserve"> </w:t>
      </w:r>
      <w:r w:rsidRPr="0014012C">
        <w:rPr>
          <w:rFonts w:ascii="Times New Roman" w:hAnsi="Times New Roman" w:cs="Times New Roman"/>
          <w:b/>
          <w:bCs/>
          <w:sz w:val="24"/>
          <w:szCs w:val="24"/>
        </w:rPr>
        <w:t>from the Russia–Ukraine</w:t>
      </w:r>
      <w:r>
        <w:rPr>
          <w:rFonts w:ascii="Times New Roman" w:hAnsi="Times New Roman" w:cs="Times New Roman"/>
          <w:b/>
          <w:bCs/>
          <w:sz w:val="24"/>
          <w:szCs w:val="24"/>
        </w:rPr>
        <w:t xml:space="preserve"> </w:t>
      </w:r>
      <w:r w:rsidRPr="0014012C">
        <w:rPr>
          <w:rFonts w:ascii="Times New Roman" w:hAnsi="Times New Roman" w:cs="Times New Roman"/>
          <w:b/>
          <w:bCs/>
          <w:sz w:val="24"/>
          <w:szCs w:val="24"/>
        </w:rPr>
        <w:t>military conflict</w:t>
      </w:r>
      <w:r w:rsidR="001159A1">
        <w:rPr>
          <w:rFonts w:ascii="Times New Roman" w:hAnsi="Times New Roman" w:cs="Times New Roman"/>
          <w:b/>
          <w:bCs/>
          <w:sz w:val="24"/>
          <w:szCs w:val="24"/>
        </w:rPr>
        <w:t>.</w:t>
      </w:r>
    </w:p>
    <w:p w14:paraId="5E76B581" w14:textId="659F1AA5" w:rsidR="0014012C" w:rsidRDefault="0014012C" w:rsidP="0014012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19617CF5" w14:textId="77777777" w:rsidR="0014012C" w:rsidRDefault="0014012C" w:rsidP="008302FC">
      <w:pPr>
        <w:spacing w:after="0" w:line="360" w:lineRule="auto"/>
        <w:jc w:val="both"/>
        <w:rPr>
          <w:rFonts w:ascii="Times New Roman" w:hAnsi="Times New Roman" w:cs="Times New Roman"/>
          <w:b/>
          <w:bCs/>
          <w:sz w:val="24"/>
          <w:szCs w:val="24"/>
        </w:rPr>
      </w:pPr>
    </w:p>
    <w:p w14:paraId="3A102945" w14:textId="583F7C0E" w:rsidR="0014012C" w:rsidRPr="0014012C" w:rsidRDefault="0014012C" w:rsidP="0014012C">
      <w:pPr>
        <w:spacing w:after="0" w:line="360" w:lineRule="auto"/>
        <w:jc w:val="both"/>
        <w:rPr>
          <w:rFonts w:ascii="Times New Roman" w:hAnsi="Times New Roman" w:cs="Times New Roman"/>
          <w:sz w:val="24"/>
          <w:szCs w:val="24"/>
        </w:rPr>
      </w:pPr>
      <w:r w:rsidRPr="0014012C">
        <w:rPr>
          <w:rFonts w:ascii="Times New Roman" w:hAnsi="Times New Roman" w:cs="Times New Roman"/>
          <w:b/>
          <w:bCs/>
          <w:sz w:val="24"/>
          <w:szCs w:val="24"/>
        </w:rPr>
        <w:t>Purpose</w:t>
      </w:r>
      <w:r w:rsidRPr="0014012C">
        <w:rPr>
          <w:rFonts w:ascii="Times New Roman" w:hAnsi="Times New Roman" w:cs="Times New Roman"/>
          <w:sz w:val="24"/>
          <w:szCs w:val="24"/>
        </w:rPr>
        <w:t xml:space="preserve"> – The purpose of this paper is to assess the impact of the Ukraine–Russia military conflict on the</w:t>
      </w:r>
      <w:r>
        <w:rPr>
          <w:rFonts w:ascii="Times New Roman" w:hAnsi="Times New Roman" w:cs="Times New Roman"/>
          <w:sz w:val="24"/>
          <w:szCs w:val="24"/>
        </w:rPr>
        <w:t xml:space="preserve"> </w:t>
      </w:r>
      <w:r w:rsidRPr="0014012C">
        <w:rPr>
          <w:rFonts w:ascii="Times New Roman" w:hAnsi="Times New Roman" w:cs="Times New Roman"/>
          <w:sz w:val="24"/>
          <w:szCs w:val="24"/>
        </w:rPr>
        <w:t>returns and investment flows of equity funds across multiple countries.</w:t>
      </w:r>
    </w:p>
    <w:p w14:paraId="152A8D20" w14:textId="50363D31" w:rsidR="0014012C" w:rsidRPr="0014012C" w:rsidRDefault="0014012C" w:rsidP="0014012C">
      <w:pPr>
        <w:spacing w:after="0" w:line="360" w:lineRule="auto"/>
        <w:jc w:val="both"/>
        <w:rPr>
          <w:rFonts w:ascii="Times New Roman" w:hAnsi="Times New Roman" w:cs="Times New Roman"/>
          <w:sz w:val="24"/>
          <w:szCs w:val="24"/>
        </w:rPr>
      </w:pPr>
      <w:r w:rsidRPr="0014012C">
        <w:rPr>
          <w:rFonts w:ascii="Times New Roman" w:hAnsi="Times New Roman" w:cs="Times New Roman"/>
          <w:b/>
          <w:bCs/>
          <w:sz w:val="24"/>
          <w:szCs w:val="24"/>
        </w:rPr>
        <w:t xml:space="preserve">Design/methodology/approach </w:t>
      </w:r>
      <w:r w:rsidRPr="0014012C">
        <w:rPr>
          <w:rFonts w:ascii="Times New Roman" w:hAnsi="Times New Roman" w:cs="Times New Roman"/>
          <w:sz w:val="24"/>
          <w:szCs w:val="24"/>
        </w:rPr>
        <w:t xml:space="preserve">– Using a comprehensive sample of 1,281 equity funds in 40 countries. </w:t>
      </w:r>
      <w:proofErr w:type="spellStart"/>
      <w:r w:rsidRPr="0014012C">
        <w:rPr>
          <w:rFonts w:ascii="Times New Roman" w:hAnsi="Times New Roman" w:cs="Times New Roman"/>
          <w:sz w:val="24"/>
          <w:szCs w:val="24"/>
        </w:rPr>
        <w:t>Thecountries</w:t>
      </w:r>
      <w:proofErr w:type="spellEnd"/>
      <w:r w:rsidRPr="0014012C">
        <w:rPr>
          <w:rFonts w:ascii="Times New Roman" w:hAnsi="Times New Roman" w:cs="Times New Roman"/>
          <w:sz w:val="24"/>
          <w:szCs w:val="24"/>
        </w:rPr>
        <w:t xml:space="preserve"> were segregated into conflict states, members of NATO, and those which abstained from voting on</w:t>
      </w:r>
      <w:r>
        <w:rPr>
          <w:rFonts w:ascii="Times New Roman" w:hAnsi="Times New Roman" w:cs="Times New Roman"/>
          <w:sz w:val="24"/>
          <w:szCs w:val="24"/>
        </w:rPr>
        <w:t xml:space="preserve"> </w:t>
      </w:r>
      <w:r w:rsidRPr="0014012C">
        <w:rPr>
          <w:rFonts w:ascii="Times New Roman" w:hAnsi="Times New Roman" w:cs="Times New Roman"/>
          <w:sz w:val="24"/>
          <w:szCs w:val="24"/>
        </w:rPr>
        <w:t>the UN resolution on March 2, 2022. The authors employ a GARCH-based event study and estimate CARs for</w:t>
      </w:r>
      <w:r>
        <w:rPr>
          <w:rFonts w:ascii="Times New Roman" w:hAnsi="Times New Roman" w:cs="Times New Roman"/>
          <w:sz w:val="24"/>
          <w:szCs w:val="24"/>
        </w:rPr>
        <w:t xml:space="preserve"> </w:t>
      </w:r>
      <w:r w:rsidRPr="0014012C">
        <w:rPr>
          <w:rFonts w:ascii="Times New Roman" w:hAnsi="Times New Roman" w:cs="Times New Roman"/>
          <w:sz w:val="24"/>
          <w:szCs w:val="24"/>
        </w:rPr>
        <w:t>t</w:t>
      </w:r>
      <w:r>
        <w:rPr>
          <w:rFonts w:ascii="Times New Roman" w:hAnsi="Times New Roman" w:cs="Times New Roman"/>
          <w:sz w:val="24"/>
          <w:szCs w:val="24"/>
        </w:rPr>
        <w:t>-</w:t>
      </w:r>
      <w:r w:rsidRPr="0014012C">
        <w:rPr>
          <w:rFonts w:ascii="Times New Roman" w:hAnsi="Times New Roman" w:cs="Times New Roman"/>
          <w:sz w:val="24"/>
          <w:szCs w:val="24"/>
        </w:rPr>
        <w:t>5, t</w:t>
      </w:r>
      <w:r>
        <w:rPr>
          <w:rFonts w:ascii="Times New Roman" w:hAnsi="Times New Roman" w:cs="Times New Roman"/>
          <w:sz w:val="24"/>
          <w:szCs w:val="24"/>
        </w:rPr>
        <w:t>-</w:t>
      </w:r>
      <w:r w:rsidRPr="0014012C">
        <w:rPr>
          <w:rFonts w:ascii="Times New Roman" w:hAnsi="Times New Roman" w:cs="Times New Roman"/>
          <w:sz w:val="24"/>
          <w:szCs w:val="24"/>
        </w:rPr>
        <w:t xml:space="preserve">3, t, t </w:t>
      </w:r>
      <w:r>
        <w:rPr>
          <w:rFonts w:ascii="Times New Roman" w:hAnsi="Times New Roman" w:cs="Times New Roman"/>
          <w:sz w:val="24"/>
          <w:szCs w:val="24"/>
        </w:rPr>
        <w:t>+</w:t>
      </w:r>
      <w:r w:rsidRPr="0014012C">
        <w:rPr>
          <w:rFonts w:ascii="Times New Roman" w:hAnsi="Times New Roman" w:cs="Times New Roman"/>
          <w:sz w:val="24"/>
          <w:szCs w:val="24"/>
        </w:rPr>
        <w:t xml:space="preserve"> 3, and t </w:t>
      </w:r>
      <w:r>
        <w:rPr>
          <w:rFonts w:ascii="Times New Roman" w:hAnsi="Times New Roman" w:cs="Times New Roman"/>
          <w:sz w:val="24"/>
          <w:szCs w:val="24"/>
        </w:rPr>
        <w:t>+</w:t>
      </w:r>
      <w:r w:rsidRPr="0014012C">
        <w:rPr>
          <w:rFonts w:ascii="Times New Roman" w:hAnsi="Times New Roman" w:cs="Times New Roman"/>
          <w:sz w:val="24"/>
          <w:szCs w:val="24"/>
        </w:rPr>
        <w:t xml:space="preserve"> 5 event windows. Further, the authors use panel estimation to assess the link between</w:t>
      </w:r>
      <w:r>
        <w:rPr>
          <w:rFonts w:ascii="Times New Roman" w:hAnsi="Times New Roman" w:cs="Times New Roman"/>
          <w:sz w:val="24"/>
          <w:szCs w:val="24"/>
        </w:rPr>
        <w:t xml:space="preserve"> </w:t>
      </w:r>
      <w:r w:rsidRPr="0014012C">
        <w:rPr>
          <w:rFonts w:ascii="Times New Roman" w:hAnsi="Times New Roman" w:cs="Times New Roman"/>
          <w:sz w:val="24"/>
          <w:szCs w:val="24"/>
        </w:rPr>
        <w:t>the CARs and the investment exposure of the sample funds.</w:t>
      </w:r>
    </w:p>
    <w:p w14:paraId="17FD9C13" w14:textId="0E86AB0C" w:rsidR="0014012C" w:rsidRPr="0014012C" w:rsidRDefault="0014012C" w:rsidP="0014012C">
      <w:pPr>
        <w:spacing w:after="0" w:line="360" w:lineRule="auto"/>
        <w:jc w:val="both"/>
        <w:rPr>
          <w:rFonts w:ascii="Times New Roman" w:hAnsi="Times New Roman" w:cs="Times New Roman"/>
          <w:sz w:val="24"/>
          <w:szCs w:val="24"/>
        </w:rPr>
      </w:pPr>
      <w:r w:rsidRPr="0014012C">
        <w:rPr>
          <w:rFonts w:ascii="Times New Roman" w:hAnsi="Times New Roman" w:cs="Times New Roman"/>
          <w:b/>
          <w:bCs/>
          <w:sz w:val="24"/>
          <w:szCs w:val="24"/>
        </w:rPr>
        <w:t>Findings</w:t>
      </w:r>
      <w:r w:rsidRPr="0014012C">
        <w:rPr>
          <w:rFonts w:ascii="Times New Roman" w:hAnsi="Times New Roman" w:cs="Times New Roman"/>
          <w:sz w:val="24"/>
          <w:szCs w:val="24"/>
        </w:rPr>
        <w:t xml:space="preserve"> – The findings highlight an adverse reaction of mutual funds in Russia, Ukraine, and the NATO</w:t>
      </w:r>
      <w:r>
        <w:rPr>
          <w:rFonts w:ascii="Times New Roman" w:hAnsi="Times New Roman" w:cs="Times New Roman"/>
          <w:sz w:val="24"/>
          <w:szCs w:val="24"/>
        </w:rPr>
        <w:t xml:space="preserve"> </w:t>
      </w:r>
      <w:r w:rsidRPr="0014012C">
        <w:rPr>
          <w:rFonts w:ascii="Times New Roman" w:hAnsi="Times New Roman" w:cs="Times New Roman"/>
          <w:sz w:val="24"/>
          <w:szCs w:val="24"/>
        </w:rPr>
        <w:t>States. On the contrary, the mutual funds in the countries that abstained during the voting on the UN resolution</w:t>
      </w:r>
      <w:r>
        <w:rPr>
          <w:rFonts w:ascii="Times New Roman" w:hAnsi="Times New Roman" w:cs="Times New Roman"/>
          <w:sz w:val="24"/>
          <w:szCs w:val="24"/>
        </w:rPr>
        <w:t xml:space="preserve"> </w:t>
      </w:r>
      <w:r w:rsidRPr="0014012C">
        <w:rPr>
          <w:rFonts w:ascii="Times New Roman" w:hAnsi="Times New Roman" w:cs="Times New Roman"/>
          <w:sz w:val="24"/>
          <w:szCs w:val="24"/>
        </w:rPr>
        <w:t>on March 2nd posted positive abnormal returns. Similarly, the investment exposure towards the conflicted</w:t>
      </w:r>
      <w:r>
        <w:rPr>
          <w:rFonts w:ascii="Times New Roman" w:hAnsi="Times New Roman" w:cs="Times New Roman"/>
          <w:sz w:val="24"/>
          <w:szCs w:val="24"/>
        </w:rPr>
        <w:t xml:space="preserve"> </w:t>
      </w:r>
      <w:r w:rsidRPr="0014012C">
        <w:rPr>
          <w:rFonts w:ascii="Times New Roman" w:hAnsi="Times New Roman" w:cs="Times New Roman"/>
          <w:sz w:val="24"/>
          <w:szCs w:val="24"/>
        </w:rPr>
        <w:t xml:space="preserve">countries and NATO states is </w:t>
      </w:r>
      <w:proofErr w:type="spellStart"/>
      <w:r w:rsidRPr="0014012C">
        <w:rPr>
          <w:rFonts w:ascii="Times New Roman" w:hAnsi="Times New Roman" w:cs="Times New Roman"/>
          <w:sz w:val="24"/>
          <w:szCs w:val="24"/>
        </w:rPr>
        <w:t>unfavorable</w:t>
      </w:r>
      <w:proofErr w:type="spellEnd"/>
      <w:r w:rsidRPr="0014012C">
        <w:rPr>
          <w:rFonts w:ascii="Times New Roman" w:hAnsi="Times New Roman" w:cs="Times New Roman"/>
          <w:sz w:val="24"/>
          <w:szCs w:val="24"/>
        </w:rPr>
        <w:t xml:space="preserve"> except for the abstained countries.</w:t>
      </w:r>
    </w:p>
    <w:p w14:paraId="3EB3BE06" w14:textId="7DAB3BE7" w:rsidR="0014012C" w:rsidRPr="0014012C" w:rsidRDefault="0014012C" w:rsidP="0014012C">
      <w:pPr>
        <w:spacing w:after="0" w:line="360" w:lineRule="auto"/>
        <w:jc w:val="both"/>
        <w:rPr>
          <w:rFonts w:ascii="Times New Roman" w:hAnsi="Times New Roman" w:cs="Times New Roman"/>
          <w:sz w:val="24"/>
          <w:szCs w:val="24"/>
        </w:rPr>
      </w:pPr>
      <w:r w:rsidRPr="0014012C">
        <w:rPr>
          <w:rFonts w:ascii="Times New Roman" w:hAnsi="Times New Roman" w:cs="Times New Roman"/>
          <w:b/>
          <w:bCs/>
          <w:sz w:val="24"/>
          <w:szCs w:val="24"/>
        </w:rPr>
        <w:t>Originality/value</w:t>
      </w:r>
      <w:r w:rsidRPr="0014012C">
        <w:rPr>
          <w:rFonts w:ascii="Times New Roman" w:hAnsi="Times New Roman" w:cs="Times New Roman"/>
          <w:sz w:val="24"/>
          <w:szCs w:val="24"/>
        </w:rPr>
        <w:t xml:space="preserve"> – This is the primary study to evaluate the impact of the recent geopolitical tensions on</w:t>
      </w:r>
      <w:r>
        <w:rPr>
          <w:rFonts w:ascii="Times New Roman" w:hAnsi="Times New Roman" w:cs="Times New Roman"/>
          <w:sz w:val="24"/>
          <w:szCs w:val="24"/>
        </w:rPr>
        <w:t xml:space="preserve"> </w:t>
      </w:r>
      <w:r w:rsidRPr="0014012C">
        <w:rPr>
          <w:rFonts w:ascii="Times New Roman" w:hAnsi="Times New Roman" w:cs="Times New Roman"/>
          <w:sz w:val="24"/>
          <w:szCs w:val="24"/>
        </w:rPr>
        <w:t>mutual funds domiciled across various geographical locations</w:t>
      </w:r>
    </w:p>
    <w:p w14:paraId="2AB5F6B2" w14:textId="77777777" w:rsidR="0014012C" w:rsidRDefault="0014012C" w:rsidP="008302FC">
      <w:pPr>
        <w:spacing w:after="0" w:line="360" w:lineRule="auto"/>
        <w:jc w:val="both"/>
        <w:rPr>
          <w:rFonts w:ascii="Times New Roman" w:hAnsi="Times New Roman" w:cs="Times New Roman"/>
          <w:b/>
          <w:bCs/>
          <w:sz w:val="24"/>
          <w:szCs w:val="24"/>
        </w:rPr>
      </w:pPr>
    </w:p>
    <w:p w14:paraId="7448104A" w14:textId="108DCB1E" w:rsidR="001159A1" w:rsidRDefault="001159A1" w:rsidP="008302FC">
      <w:pPr>
        <w:spacing w:after="0" w:line="360" w:lineRule="auto"/>
        <w:jc w:val="both"/>
        <w:rPr>
          <w:rFonts w:ascii="Times New Roman" w:hAnsi="Times New Roman" w:cs="Times New Roman"/>
          <w:sz w:val="24"/>
          <w:szCs w:val="24"/>
        </w:rPr>
      </w:pPr>
      <w:r w:rsidRPr="0014012C">
        <w:rPr>
          <w:rFonts w:ascii="Times New Roman" w:hAnsi="Times New Roman" w:cs="Times New Roman"/>
          <w:b/>
          <w:bCs/>
          <w:sz w:val="24"/>
          <w:szCs w:val="24"/>
        </w:rPr>
        <w:t>Keywords:</w:t>
      </w:r>
      <w:r>
        <w:rPr>
          <w:rFonts w:ascii="Times New Roman" w:hAnsi="Times New Roman" w:cs="Times New Roman"/>
          <w:sz w:val="24"/>
          <w:szCs w:val="24"/>
        </w:rPr>
        <w:t xml:space="preserve"> Russia-Ukraine conflict; impact of war on equity funds; equity funds</w:t>
      </w:r>
      <w:r w:rsidR="00165DAE">
        <w:rPr>
          <w:rFonts w:ascii="Times New Roman" w:hAnsi="Times New Roman" w:cs="Times New Roman"/>
          <w:sz w:val="24"/>
          <w:szCs w:val="24"/>
        </w:rPr>
        <w:t>’</w:t>
      </w:r>
      <w:r>
        <w:rPr>
          <w:rFonts w:ascii="Times New Roman" w:hAnsi="Times New Roman" w:cs="Times New Roman"/>
          <w:sz w:val="24"/>
          <w:szCs w:val="24"/>
        </w:rPr>
        <w:t xml:space="preserve"> performance. </w:t>
      </w:r>
    </w:p>
    <w:p w14:paraId="29DF0E6C" w14:textId="7CB05143" w:rsidR="008302FC" w:rsidRDefault="008302FC" w:rsidP="006033E0">
      <w:pPr>
        <w:spacing w:after="0" w:line="480" w:lineRule="auto"/>
        <w:jc w:val="both"/>
        <w:rPr>
          <w:rFonts w:ascii="Times New Roman" w:hAnsi="Times New Roman" w:cs="Times New Roman"/>
          <w:b/>
          <w:bCs/>
          <w:sz w:val="24"/>
          <w:szCs w:val="24"/>
        </w:rPr>
      </w:pPr>
    </w:p>
    <w:p w14:paraId="132A77C5" w14:textId="5F4180EE" w:rsidR="0014012C" w:rsidRDefault="0014012C" w:rsidP="006033E0">
      <w:pPr>
        <w:spacing w:after="0" w:line="480" w:lineRule="auto"/>
        <w:jc w:val="both"/>
        <w:rPr>
          <w:rFonts w:ascii="Times New Roman" w:hAnsi="Times New Roman" w:cs="Times New Roman"/>
          <w:b/>
          <w:bCs/>
          <w:sz w:val="24"/>
          <w:szCs w:val="24"/>
        </w:rPr>
      </w:pPr>
    </w:p>
    <w:p w14:paraId="6EFC056C" w14:textId="5568EDB4" w:rsidR="0014012C" w:rsidRDefault="0014012C" w:rsidP="006033E0">
      <w:pPr>
        <w:spacing w:after="0" w:line="480" w:lineRule="auto"/>
        <w:jc w:val="both"/>
        <w:rPr>
          <w:rFonts w:ascii="Times New Roman" w:hAnsi="Times New Roman" w:cs="Times New Roman"/>
          <w:b/>
          <w:bCs/>
          <w:sz w:val="24"/>
          <w:szCs w:val="24"/>
        </w:rPr>
      </w:pPr>
    </w:p>
    <w:p w14:paraId="3573FAC4" w14:textId="3D680C04" w:rsidR="0014012C" w:rsidRDefault="0014012C" w:rsidP="006033E0">
      <w:pPr>
        <w:spacing w:after="0" w:line="480" w:lineRule="auto"/>
        <w:jc w:val="both"/>
        <w:rPr>
          <w:rFonts w:ascii="Times New Roman" w:hAnsi="Times New Roman" w:cs="Times New Roman"/>
          <w:b/>
          <w:bCs/>
          <w:sz w:val="24"/>
          <w:szCs w:val="24"/>
        </w:rPr>
      </w:pPr>
    </w:p>
    <w:p w14:paraId="5BA1D4FC" w14:textId="6A74B816" w:rsidR="0014012C" w:rsidRDefault="0014012C" w:rsidP="006033E0">
      <w:pPr>
        <w:spacing w:after="0" w:line="480" w:lineRule="auto"/>
        <w:jc w:val="both"/>
        <w:rPr>
          <w:rFonts w:ascii="Times New Roman" w:hAnsi="Times New Roman" w:cs="Times New Roman"/>
          <w:b/>
          <w:bCs/>
          <w:sz w:val="24"/>
          <w:szCs w:val="24"/>
        </w:rPr>
      </w:pPr>
    </w:p>
    <w:p w14:paraId="1AC71D74" w14:textId="63C1AF79" w:rsidR="0014012C" w:rsidRDefault="0014012C" w:rsidP="006033E0">
      <w:pPr>
        <w:spacing w:after="0" w:line="480" w:lineRule="auto"/>
        <w:jc w:val="both"/>
        <w:rPr>
          <w:rFonts w:ascii="Times New Roman" w:hAnsi="Times New Roman" w:cs="Times New Roman"/>
          <w:b/>
          <w:bCs/>
          <w:sz w:val="24"/>
          <w:szCs w:val="24"/>
        </w:rPr>
      </w:pPr>
    </w:p>
    <w:p w14:paraId="1875A7FA" w14:textId="74B9CE53" w:rsidR="0014012C" w:rsidRDefault="0014012C" w:rsidP="006033E0">
      <w:pPr>
        <w:spacing w:after="0" w:line="480" w:lineRule="auto"/>
        <w:jc w:val="both"/>
        <w:rPr>
          <w:rFonts w:ascii="Times New Roman" w:hAnsi="Times New Roman" w:cs="Times New Roman"/>
          <w:b/>
          <w:bCs/>
          <w:sz w:val="24"/>
          <w:szCs w:val="24"/>
        </w:rPr>
      </w:pPr>
    </w:p>
    <w:p w14:paraId="172D4250" w14:textId="77777777" w:rsidR="0014012C" w:rsidRDefault="0014012C" w:rsidP="006033E0">
      <w:pPr>
        <w:spacing w:after="0" w:line="480" w:lineRule="auto"/>
        <w:jc w:val="both"/>
        <w:rPr>
          <w:rFonts w:ascii="Times New Roman" w:hAnsi="Times New Roman" w:cs="Times New Roman"/>
          <w:b/>
          <w:bCs/>
          <w:sz w:val="24"/>
          <w:szCs w:val="24"/>
        </w:rPr>
      </w:pPr>
    </w:p>
    <w:p w14:paraId="526FE0CC" w14:textId="6BCCC644" w:rsidR="003B023E" w:rsidRPr="00AA78F4" w:rsidRDefault="00593146" w:rsidP="006033E0">
      <w:pPr>
        <w:spacing w:after="0" w:line="480" w:lineRule="auto"/>
        <w:jc w:val="both"/>
        <w:rPr>
          <w:rFonts w:ascii="Times New Roman" w:hAnsi="Times New Roman" w:cs="Times New Roman"/>
          <w:b/>
          <w:bCs/>
          <w:sz w:val="24"/>
          <w:szCs w:val="24"/>
        </w:rPr>
      </w:pPr>
      <w:r w:rsidRPr="00AA78F4">
        <w:rPr>
          <w:rFonts w:ascii="Times New Roman" w:hAnsi="Times New Roman" w:cs="Times New Roman"/>
          <w:b/>
          <w:bCs/>
          <w:sz w:val="24"/>
          <w:szCs w:val="24"/>
        </w:rPr>
        <w:lastRenderedPageBreak/>
        <w:t>1.</w:t>
      </w:r>
      <w:r w:rsidRPr="00AA78F4">
        <w:rPr>
          <w:rFonts w:ascii="Times New Roman" w:hAnsi="Times New Roman" w:cs="Times New Roman"/>
          <w:b/>
          <w:bCs/>
          <w:sz w:val="24"/>
          <w:szCs w:val="24"/>
        </w:rPr>
        <w:tab/>
      </w:r>
      <w:r w:rsidR="003B023E" w:rsidRPr="00AA78F4">
        <w:rPr>
          <w:rFonts w:ascii="Times New Roman" w:hAnsi="Times New Roman" w:cs="Times New Roman"/>
          <w:b/>
          <w:bCs/>
          <w:sz w:val="24"/>
          <w:szCs w:val="24"/>
        </w:rPr>
        <w:t>Introduction</w:t>
      </w:r>
    </w:p>
    <w:p w14:paraId="51CC2B24" w14:textId="6EBB40DA" w:rsidR="00337073" w:rsidRDefault="00117031" w:rsidP="001C01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a long political rift </w:t>
      </w:r>
      <w:r w:rsidR="00C1540B">
        <w:rPr>
          <w:rFonts w:ascii="Times New Roman" w:hAnsi="Times New Roman" w:cs="Times New Roman"/>
          <w:sz w:val="24"/>
          <w:szCs w:val="24"/>
        </w:rPr>
        <w:t xml:space="preserve">between Ukraine and Russia, the </w:t>
      </w:r>
      <w:r w:rsidR="00ED64CB">
        <w:rPr>
          <w:rFonts w:ascii="Times New Roman" w:hAnsi="Times New Roman" w:cs="Times New Roman"/>
          <w:sz w:val="24"/>
          <w:szCs w:val="24"/>
        </w:rPr>
        <w:t>armed conflict</w:t>
      </w:r>
      <w:r w:rsidR="00D86523">
        <w:rPr>
          <w:rFonts w:ascii="Times New Roman" w:hAnsi="Times New Roman" w:cs="Times New Roman"/>
          <w:sz w:val="24"/>
          <w:szCs w:val="24"/>
        </w:rPr>
        <w:t xml:space="preserve"> began on February 24</w:t>
      </w:r>
      <w:r w:rsidR="007C6488" w:rsidRPr="007C6488">
        <w:rPr>
          <w:rFonts w:ascii="Times New Roman" w:hAnsi="Times New Roman" w:cs="Times New Roman"/>
          <w:sz w:val="24"/>
          <w:szCs w:val="24"/>
          <w:vertAlign w:val="superscript"/>
        </w:rPr>
        <w:t>th</w:t>
      </w:r>
      <w:r w:rsidR="007C6488">
        <w:rPr>
          <w:rFonts w:ascii="Times New Roman" w:hAnsi="Times New Roman" w:cs="Times New Roman"/>
          <w:sz w:val="24"/>
          <w:szCs w:val="24"/>
        </w:rPr>
        <w:t>, 2022</w:t>
      </w:r>
      <w:r w:rsidR="00786005">
        <w:rPr>
          <w:rFonts w:ascii="Times New Roman" w:hAnsi="Times New Roman" w:cs="Times New Roman"/>
          <w:sz w:val="24"/>
          <w:szCs w:val="24"/>
        </w:rPr>
        <w:t xml:space="preserve">, followed by </w:t>
      </w:r>
      <w:r w:rsidR="0088081F">
        <w:rPr>
          <w:rFonts w:ascii="Times New Roman" w:hAnsi="Times New Roman" w:cs="Times New Roman"/>
          <w:sz w:val="24"/>
          <w:szCs w:val="24"/>
        </w:rPr>
        <w:t>a</w:t>
      </w:r>
      <w:r w:rsidR="00786005">
        <w:rPr>
          <w:rFonts w:ascii="Times New Roman" w:hAnsi="Times New Roman" w:cs="Times New Roman"/>
          <w:sz w:val="24"/>
          <w:szCs w:val="24"/>
        </w:rPr>
        <w:t xml:space="preserve"> series of economic sanctions</w:t>
      </w:r>
      <w:r w:rsidR="0088081F">
        <w:rPr>
          <w:rFonts w:ascii="Times New Roman" w:hAnsi="Times New Roman" w:cs="Times New Roman"/>
          <w:sz w:val="24"/>
          <w:szCs w:val="24"/>
        </w:rPr>
        <w:t>,</w:t>
      </w:r>
      <w:r w:rsidR="001159A1">
        <w:rPr>
          <w:rFonts w:ascii="Times New Roman" w:hAnsi="Times New Roman" w:cs="Times New Roman"/>
          <w:sz w:val="24"/>
          <w:szCs w:val="24"/>
        </w:rPr>
        <w:t xml:space="preserve"> </w:t>
      </w:r>
      <w:r w:rsidR="00786005">
        <w:rPr>
          <w:rFonts w:ascii="Times New Roman" w:hAnsi="Times New Roman" w:cs="Times New Roman"/>
          <w:sz w:val="24"/>
          <w:szCs w:val="24"/>
        </w:rPr>
        <w:t xml:space="preserve">causing devastating impacts on people, </w:t>
      </w:r>
      <w:r w:rsidR="0088081F">
        <w:rPr>
          <w:rFonts w:ascii="Times New Roman" w:hAnsi="Times New Roman" w:cs="Times New Roman"/>
          <w:sz w:val="24"/>
          <w:szCs w:val="24"/>
        </w:rPr>
        <w:t xml:space="preserve">the </w:t>
      </w:r>
      <w:r w:rsidR="00786005">
        <w:rPr>
          <w:rFonts w:ascii="Times New Roman" w:hAnsi="Times New Roman" w:cs="Times New Roman"/>
          <w:sz w:val="24"/>
          <w:szCs w:val="24"/>
        </w:rPr>
        <w:t>economy</w:t>
      </w:r>
      <w:r w:rsidR="0088081F">
        <w:rPr>
          <w:rFonts w:ascii="Times New Roman" w:hAnsi="Times New Roman" w:cs="Times New Roman"/>
          <w:sz w:val="24"/>
          <w:szCs w:val="24"/>
        </w:rPr>
        <w:t>,</w:t>
      </w:r>
      <w:r w:rsidR="00786005">
        <w:rPr>
          <w:rFonts w:ascii="Times New Roman" w:hAnsi="Times New Roman" w:cs="Times New Roman"/>
          <w:sz w:val="24"/>
          <w:szCs w:val="24"/>
        </w:rPr>
        <w:t xml:space="preserve"> and financial marke</w:t>
      </w:r>
      <w:r w:rsidR="0088081F">
        <w:rPr>
          <w:rFonts w:ascii="Times New Roman" w:hAnsi="Times New Roman" w:cs="Times New Roman"/>
          <w:sz w:val="24"/>
          <w:szCs w:val="24"/>
        </w:rPr>
        <w:t>t</w:t>
      </w:r>
      <w:r w:rsidR="00786005">
        <w:rPr>
          <w:rFonts w:ascii="Times New Roman" w:hAnsi="Times New Roman" w:cs="Times New Roman"/>
          <w:sz w:val="24"/>
          <w:szCs w:val="24"/>
        </w:rPr>
        <w:t>s</w:t>
      </w:r>
      <w:r w:rsidR="007C6488">
        <w:rPr>
          <w:rFonts w:ascii="Times New Roman" w:hAnsi="Times New Roman" w:cs="Times New Roman"/>
          <w:sz w:val="24"/>
          <w:szCs w:val="24"/>
        </w:rPr>
        <w:t>.</w:t>
      </w:r>
      <w:r w:rsidR="00ED64CB">
        <w:rPr>
          <w:rFonts w:ascii="Times New Roman" w:hAnsi="Times New Roman" w:cs="Times New Roman"/>
          <w:sz w:val="24"/>
          <w:szCs w:val="24"/>
        </w:rPr>
        <w:t xml:space="preserve"> </w:t>
      </w:r>
      <w:r w:rsidR="00786005">
        <w:rPr>
          <w:rFonts w:ascii="Times New Roman" w:hAnsi="Times New Roman" w:cs="Times New Roman"/>
          <w:sz w:val="24"/>
          <w:szCs w:val="24"/>
        </w:rPr>
        <w:t xml:space="preserve">Apart from </w:t>
      </w:r>
      <w:r w:rsidR="0088081F">
        <w:rPr>
          <w:rFonts w:ascii="Times New Roman" w:hAnsi="Times New Roman" w:cs="Times New Roman"/>
          <w:sz w:val="24"/>
          <w:szCs w:val="24"/>
        </w:rPr>
        <w:t xml:space="preserve">the </w:t>
      </w:r>
      <w:r w:rsidR="00786005">
        <w:rPr>
          <w:rFonts w:ascii="Times New Roman" w:hAnsi="Times New Roman" w:cs="Times New Roman"/>
          <w:sz w:val="24"/>
          <w:szCs w:val="24"/>
        </w:rPr>
        <w:t>humanitarian crisis in Ukraine, t</w:t>
      </w:r>
      <w:r w:rsidR="001159A1">
        <w:rPr>
          <w:rFonts w:ascii="Times New Roman" w:hAnsi="Times New Roman" w:cs="Times New Roman"/>
          <w:sz w:val="24"/>
          <w:szCs w:val="24"/>
        </w:rPr>
        <w:t>his event caused a dramatic</w:t>
      </w:r>
      <w:r w:rsidR="005A2B86">
        <w:rPr>
          <w:rFonts w:ascii="Times New Roman" w:hAnsi="Times New Roman" w:cs="Times New Roman"/>
          <w:sz w:val="24"/>
          <w:szCs w:val="24"/>
        </w:rPr>
        <w:t xml:space="preserve"> increase in geopolitical risk</w:t>
      </w:r>
      <w:r w:rsidR="001159A1">
        <w:rPr>
          <w:rFonts w:ascii="Times New Roman" w:hAnsi="Times New Roman" w:cs="Times New Roman"/>
          <w:sz w:val="24"/>
          <w:szCs w:val="24"/>
        </w:rPr>
        <w:t xml:space="preserve"> and global economic uncertainty affecting the global economies </w:t>
      </w:r>
      <w:r w:rsidR="0088081F">
        <w:rPr>
          <w:rFonts w:ascii="Times New Roman" w:hAnsi="Times New Roman" w:cs="Times New Roman"/>
          <w:sz w:val="24"/>
          <w:szCs w:val="24"/>
        </w:rPr>
        <w:t>worldwide</w:t>
      </w:r>
      <w:r w:rsidR="003625DE">
        <w:rPr>
          <w:rFonts w:ascii="Times New Roman" w:hAnsi="Times New Roman" w:cs="Times New Roman"/>
          <w:sz w:val="24"/>
          <w:szCs w:val="24"/>
        </w:rPr>
        <w:t>.</w:t>
      </w:r>
      <w:r w:rsidR="005A2B86">
        <w:rPr>
          <w:rFonts w:ascii="Times New Roman" w:hAnsi="Times New Roman" w:cs="Times New Roman"/>
          <w:sz w:val="24"/>
          <w:szCs w:val="24"/>
        </w:rPr>
        <w:t xml:space="preserve"> Previous literature has documented </w:t>
      </w:r>
      <w:proofErr w:type="gramStart"/>
      <w:r w:rsidR="005A2B86">
        <w:rPr>
          <w:rFonts w:ascii="Times New Roman" w:hAnsi="Times New Roman" w:cs="Times New Roman"/>
          <w:sz w:val="24"/>
          <w:szCs w:val="24"/>
        </w:rPr>
        <w:t xml:space="preserve">that </w:t>
      </w:r>
      <w:r w:rsidR="00B47DE6">
        <w:rPr>
          <w:rFonts w:ascii="Times New Roman" w:hAnsi="Times New Roman" w:cs="Times New Roman"/>
          <w:sz w:val="24"/>
          <w:szCs w:val="24"/>
        </w:rPr>
        <w:t>geopolitical events</w:t>
      </w:r>
      <w:proofErr w:type="gramEnd"/>
      <w:r w:rsidR="00B47DE6">
        <w:rPr>
          <w:rFonts w:ascii="Times New Roman" w:hAnsi="Times New Roman" w:cs="Times New Roman"/>
          <w:sz w:val="24"/>
          <w:szCs w:val="24"/>
        </w:rPr>
        <w:t xml:space="preserve"> </w:t>
      </w:r>
      <w:r w:rsidR="006D0964">
        <w:rPr>
          <w:rFonts w:ascii="Times New Roman" w:hAnsi="Times New Roman" w:cs="Times New Roman"/>
          <w:sz w:val="24"/>
          <w:szCs w:val="24"/>
        </w:rPr>
        <w:t>impact</w:t>
      </w:r>
      <w:r w:rsidR="003D6213">
        <w:rPr>
          <w:rFonts w:ascii="Times New Roman" w:hAnsi="Times New Roman" w:cs="Times New Roman"/>
          <w:sz w:val="24"/>
          <w:szCs w:val="24"/>
        </w:rPr>
        <w:t xml:space="preserve"> economic </w:t>
      </w:r>
      <w:r w:rsidR="00483BCC">
        <w:rPr>
          <w:rFonts w:ascii="Times New Roman" w:hAnsi="Times New Roman" w:cs="Times New Roman"/>
          <w:sz w:val="24"/>
          <w:szCs w:val="24"/>
        </w:rPr>
        <w:t>factors</w:t>
      </w:r>
      <w:r w:rsidR="00AE63DB">
        <w:rPr>
          <w:rFonts w:ascii="Times New Roman" w:hAnsi="Times New Roman" w:cs="Times New Roman"/>
          <w:sz w:val="24"/>
          <w:szCs w:val="24"/>
        </w:rPr>
        <w:t>, business dynamics,</w:t>
      </w:r>
      <w:r w:rsidR="00E71F5B">
        <w:rPr>
          <w:rFonts w:ascii="Times New Roman" w:hAnsi="Times New Roman" w:cs="Times New Roman"/>
          <w:sz w:val="24"/>
          <w:szCs w:val="24"/>
        </w:rPr>
        <w:t xml:space="preserve"> and asset classes</w:t>
      </w:r>
      <w:r w:rsidR="003E0DFC">
        <w:rPr>
          <w:rFonts w:ascii="Times New Roman" w:hAnsi="Times New Roman" w:cs="Times New Roman"/>
          <w:sz w:val="24"/>
          <w:szCs w:val="24"/>
        </w:rPr>
        <w:t>.</w:t>
      </w:r>
      <w:r w:rsidR="003D6213">
        <w:rPr>
          <w:rFonts w:ascii="Times New Roman" w:hAnsi="Times New Roman" w:cs="Times New Roman"/>
          <w:sz w:val="24"/>
          <w:szCs w:val="24"/>
        </w:rPr>
        <w:t xml:space="preserve"> </w:t>
      </w:r>
      <w:r w:rsidR="003E0DFC" w:rsidRPr="003E0DFC">
        <w:rPr>
          <w:rFonts w:ascii="Times New Roman" w:hAnsi="Times New Roman" w:cs="Times New Roman"/>
          <w:sz w:val="24"/>
          <w:szCs w:val="24"/>
        </w:rPr>
        <w:t>This in</w:t>
      </w:r>
      <w:r w:rsidR="003E0DFC">
        <w:rPr>
          <w:rFonts w:ascii="Times New Roman" w:hAnsi="Times New Roman" w:cs="Times New Roman"/>
          <w:sz w:val="24"/>
          <w:szCs w:val="24"/>
        </w:rPr>
        <w:t>clude</w:t>
      </w:r>
      <w:r w:rsidR="00C80494">
        <w:rPr>
          <w:rFonts w:ascii="Times New Roman" w:hAnsi="Times New Roman" w:cs="Times New Roman"/>
          <w:sz w:val="24"/>
          <w:szCs w:val="24"/>
        </w:rPr>
        <w:t xml:space="preserve">s </w:t>
      </w:r>
      <w:r w:rsidR="00C5461A">
        <w:rPr>
          <w:rFonts w:ascii="Times New Roman" w:hAnsi="Times New Roman" w:cs="Times New Roman"/>
          <w:sz w:val="24"/>
          <w:szCs w:val="24"/>
        </w:rPr>
        <w:t>commodity connectedness</w:t>
      </w:r>
      <w:r w:rsidR="00C80494">
        <w:rPr>
          <w:rFonts w:ascii="Times New Roman" w:hAnsi="Times New Roman" w:cs="Times New Roman"/>
          <w:sz w:val="24"/>
          <w:szCs w:val="24"/>
        </w:rPr>
        <w:t xml:space="preserve"> </w:t>
      </w:r>
      <w:r w:rsidR="00C80494">
        <w:rPr>
          <w:rFonts w:ascii="Times New Roman" w:hAnsi="Times New Roman" w:cs="Times New Roman"/>
          <w:sz w:val="24"/>
          <w:szCs w:val="24"/>
        </w:rPr>
        <w:fldChar w:fldCharType="begin" w:fldLock="1"/>
      </w:r>
      <w:r w:rsidR="00B37D2C">
        <w:rPr>
          <w:rFonts w:ascii="Times New Roman" w:hAnsi="Times New Roman" w:cs="Times New Roman"/>
          <w:sz w:val="24"/>
          <w:szCs w:val="24"/>
        </w:rPr>
        <w:instrText>ADDIN CSL_CITATION {"citationItems":[{"id":"ITEM-1","itemData":{"DOI":"10.1016/J.ENECO.2022.106028","ISSN":"0140-9883","author":[{"dropping-particle":"","family":"Gong","given":"Xu","non-dropping-particle":"","parse-names":false,"suffix":""},{"dropping-particle":"","family":"Xu","given":"Jun","non-dropping-particle":"","parse-names":false,"suffix":""}],"container-title":"Energy Economics","id":"ITEM-1","issued":{"date-parts":[["2022","4","21"]]},"page":"106028","publisher":"North-Holland","title":"Geopolitical risk and dynamic connectedness between commodity markets","type":"article-journal"},"uris":["http://www.mendeley.com/documents/?uuid=1c1a4e09-3e8b-3fb1-9155-e48a10c239de"]}],"mendeley":{"formattedCitation":"(Gong &amp; Xu, 2022)","plainTextFormattedCitation":"(Gong &amp; Xu, 2022)","previouslyFormattedCitation":"(Gong &amp; Xu, 2022)"},"properties":{"noteIndex":0},"schema":"https://github.com/citation-style-language/schema/raw/master/csl-citation.json"}</w:instrText>
      </w:r>
      <w:r w:rsidR="00C80494">
        <w:rPr>
          <w:rFonts w:ascii="Times New Roman" w:hAnsi="Times New Roman" w:cs="Times New Roman"/>
          <w:sz w:val="24"/>
          <w:szCs w:val="24"/>
        </w:rPr>
        <w:fldChar w:fldCharType="separate"/>
      </w:r>
      <w:r w:rsidR="00C80494" w:rsidRPr="00C80494">
        <w:rPr>
          <w:rFonts w:ascii="Times New Roman" w:hAnsi="Times New Roman" w:cs="Times New Roman"/>
          <w:noProof/>
          <w:sz w:val="24"/>
          <w:szCs w:val="24"/>
        </w:rPr>
        <w:t>(Gong &amp; Xu, 2022)</w:t>
      </w:r>
      <w:r w:rsidR="00C80494">
        <w:rPr>
          <w:rFonts w:ascii="Times New Roman" w:hAnsi="Times New Roman" w:cs="Times New Roman"/>
          <w:sz w:val="24"/>
          <w:szCs w:val="24"/>
        </w:rPr>
        <w:fldChar w:fldCharType="end"/>
      </w:r>
      <w:r w:rsidR="00C80494">
        <w:rPr>
          <w:rFonts w:ascii="Times New Roman" w:hAnsi="Times New Roman" w:cs="Times New Roman"/>
          <w:sz w:val="24"/>
          <w:szCs w:val="24"/>
        </w:rPr>
        <w:t>,</w:t>
      </w:r>
      <w:r w:rsidR="00C5461A">
        <w:rPr>
          <w:rFonts w:ascii="Times New Roman" w:hAnsi="Times New Roman" w:cs="Times New Roman"/>
          <w:sz w:val="24"/>
          <w:szCs w:val="24"/>
        </w:rPr>
        <w:t xml:space="preserve"> </w:t>
      </w:r>
      <w:r w:rsidR="00E71F5B" w:rsidRPr="003E0DFC">
        <w:rPr>
          <w:rFonts w:ascii="Times New Roman" w:hAnsi="Times New Roman" w:cs="Times New Roman"/>
          <w:sz w:val="24"/>
          <w:szCs w:val="24"/>
        </w:rPr>
        <w:t xml:space="preserve"> </w:t>
      </w:r>
      <w:r w:rsidR="00747C5E" w:rsidRPr="003E0DFC">
        <w:rPr>
          <w:rFonts w:ascii="Times New Roman" w:hAnsi="Times New Roman" w:cs="Times New Roman"/>
          <w:sz w:val="24"/>
          <w:szCs w:val="24"/>
        </w:rPr>
        <w:t xml:space="preserve">liquidity </w:t>
      </w:r>
      <w:r w:rsidR="004F1C78">
        <w:rPr>
          <w:rFonts w:ascii="Times New Roman" w:hAnsi="Times New Roman" w:cs="Times New Roman"/>
          <w:sz w:val="24"/>
          <w:szCs w:val="24"/>
        </w:rPr>
        <w:fldChar w:fldCharType="begin" w:fldLock="1"/>
      </w:r>
      <w:r w:rsidR="00A70545" w:rsidRPr="003E0DFC">
        <w:rPr>
          <w:rFonts w:ascii="Times New Roman" w:hAnsi="Times New Roman" w:cs="Times New Roman"/>
          <w:sz w:val="24"/>
          <w:szCs w:val="24"/>
        </w:rPr>
        <w:instrText>ADDIN CSL_CITATION {"citationItems":[{"id":"ITEM-1","itemData":{"DOI":"10.1016/J.ECONLET.2020.109555","ISSN":"0165-1765","abstract":"What was WWI's impact on securities markets’ liquidity? Investigated is the cross-section of sovereign bonds traded in Amsterdam. Prime determinants of a bond's wartime liquidity are its pre-war liquidity, above-median age, on-the-run status, and link to a minor war party.","author":[{"dropping-particle":"","family":"Jopp","given":"Tobias A.","non-dropping-particle":"","parse-names":false,"suffix":""}],"container-title":"Economics Letters","id":"ITEM-1","issued":{"date-parts":[["2020","11","1"]]},"page":"109555","publisher":"North-Holland","title":"The determinants of sovereign bond liquidity during WWI","type":"article-journal","volume":"196"},"uris":["http://www.mendeley.com/documents/?uuid=74e3a79f-4fb1-35f8-897f-9c540111220e"]}],"mendeley":{"formattedCitation":"(Jopp, 2020)","plainTextFormattedCitation":"(Jopp, 2020)","previouslyFormattedCitation":"(Jopp, 2020)"},"properties":{"noteIndex":0},"schema":"https://github.com/citation-style-language/schema/raw/master/csl-citation.json"}</w:instrText>
      </w:r>
      <w:r w:rsidR="004F1C78">
        <w:rPr>
          <w:rFonts w:ascii="Times New Roman" w:hAnsi="Times New Roman" w:cs="Times New Roman"/>
          <w:sz w:val="24"/>
          <w:szCs w:val="24"/>
        </w:rPr>
        <w:fldChar w:fldCharType="separate"/>
      </w:r>
      <w:r w:rsidR="004F1C78" w:rsidRPr="003E0DFC">
        <w:rPr>
          <w:rFonts w:ascii="Times New Roman" w:hAnsi="Times New Roman" w:cs="Times New Roman"/>
          <w:noProof/>
          <w:sz w:val="24"/>
          <w:szCs w:val="24"/>
        </w:rPr>
        <w:t>(Jopp, 2020)</w:t>
      </w:r>
      <w:r w:rsidR="004F1C78">
        <w:rPr>
          <w:rFonts w:ascii="Times New Roman" w:hAnsi="Times New Roman" w:cs="Times New Roman"/>
          <w:sz w:val="24"/>
          <w:szCs w:val="24"/>
        </w:rPr>
        <w:fldChar w:fldCharType="end"/>
      </w:r>
      <w:r w:rsidR="004F1C78" w:rsidRPr="003E0DFC">
        <w:rPr>
          <w:rFonts w:ascii="Times New Roman" w:hAnsi="Times New Roman" w:cs="Times New Roman"/>
          <w:sz w:val="24"/>
          <w:szCs w:val="24"/>
        </w:rPr>
        <w:t>,</w:t>
      </w:r>
      <w:r w:rsidR="00AE63DB" w:rsidRPr="003E0DFC">
        <w:rPr>
          <w:rFonts w:ascii="Times New Roman" w:hAnsi="Times New Roman" w:cs="Times New Roman"/>
          <w:sz w:val="24"/>
          <w:szCs w:val="24"/>
        </w:rPr>
        <w:t xml:space="preserve"> ent</w:t>
      </w:r>
      <w:r w:rsidR="00A70545" w:rsidRPr="003E0DFC">
        <w:rPr>
          <w:rFonts w:ascii="Times New Roman" w:hAnsi="Times New Roman" w:cs="Times New Roman"/>
          <w:sz w:val="24"/>
          <w:szCs w:val="24"/>
        </w:rPr>
        <w:t>repreneuri</w:t>
      </w:r>
      <w:r w:rsidR="00AE63DB" w:rsidRPr="003E0DFC">
        <w:rPr>
          <w:rFonts w:ascii="Times New Roman" w:hAnsi="Times New Roman" w:cs="Times New Roman"/>
          <w:sz w:val="24"/>
          <w:szCs w:val="24"/>
        </w:rPr>
        <w:t xml:space="preserve">al </w:t>
      </w:r>
      <w:r w:rsidR="00A70545" w:rsidRPr="003E0DFC">
        <w:rPr>
          <w:rFonts w:ascii="Times New Roman" w:hAnsi="Times New Roman" w:cs="Times New Roman"/>
          <w:sz w:val="24"/>
          <w:szCs w:val="24"/>
        </w:rPr>
        <w:t>demarches</w:t>
      </w:r>
      <w:r w:rsidR="00AE63DB" w:rsidRPr="003E0DFC">
        <w:rPr>
          <w:rFonts w:ascii="Times New Roman" w:hAnsi="Times New Roman" w:cs="Times New Roman"/>
          <w:sz w:val="24"/>
          <w:szCs w:val="24"/>
        </w:rPr>
        <w:t xml:space="preserve"> </w:t>
      </w:r>
      <w:r w:rsidR="00A70545">
        <w:rPr>
          <w:rFonts w:ascii="Times New Roman" w:hAnsi="Times New Roman" w:cs="Times New Roman"/>
          <w:sz w:val="24"/>
          <w:szCs w:val="24"/>
        </w:rPr>
        <w:fldChar w:fldCharType="begin" w:fldLock="1"/>
      </w:r>
      <w:r w:rsidR="00DE19FB" w:rsidRPr="003E0DFC">
        <w:rPr>
          <w:rFonts w:ascii="Times New Roman" w:hAnsi="Times New Roman" w:cs="Times New Roman"/>
          <w:sz w:val="24"/>
          <w:szCs w:val="24"/>
        </w:rPr>
        <w:instrText>ADDIN CSL_CITATION {"citationItems":[{"id":"ITEM-1","itemData":{"DOI":"10.1016/J.ECONLET.2016.08.024","ISSN":"0165-1765","abstract":"We examine how political connections may influence a firm's crash risk in China. We find that politically connected firms have lower crash risk than their counterparts. Moreover, the effect of political connections varies according to their strength and types.","author":[{"dropping-particle":"","family":"Luo","given":"Jin hui","non-dropping-particle":"","parse-names":false,"suffix":""},{"dropping-particle":"","family":"Gong","given":"Manning","non-dropping-particle":"","parse-names":false,"suffix":""},{"dropping-particle":"","family":"Lin","given":"Yilong","non-dropping-particle":"","parse-names":false,"suffix":""},{"dropping-particle":"","family":"Fang","given":"Qifeng","non-dropping-particle":"","parse-names":false,"suffix":""}],"container-title":"Economics Letters","id":"ITEM-1","issued":{"date-parts":[["2016","10","1"]]},"page":"90-92","publisher":"North-Holland","title":"Political connections and stock price crash risk: Evidence from China","type":"article-journal","volume":"147"},"uris":["http://www.mendeley.com/documents/?uuid=7c0eac5a-4607-3373-86d9-1d623cd9517e"]}],"mendeley":{"formattedCitation":"(Luo et al., 2016)","plainTextFormattedCitation":"(Luo et al., 2016)","previouslyFormattedCitation":"(Luo et al., 2016)"},"properties":{"noteIndex":0},"schema":"https://github.com/citation-style-language/schema/raw/master/csl-citation.json"}</w:instrText>
      </w:r>
      <w:r w:rsidR="00A70545">
        <w:rPr>
          <w:rFonts w:ascii="Times New Roman" w:hAnsi="Times New Roman" w:cs="Times New Roman"/>
          <w:sz w:val="24"/>
          <w:szCs w:val="24"/>
        </w:rPr>
        <w:fldChar w:fldCharType="separate"/>
      </w:r>
      <w:r w:rsidR="00A70545" w:rsidRPr="003E0DFC">
        <w:rPr>
          <w:rFonts w:ascii="Times New Roman" w:hAnsi="Times New Roman" w:cs="Times New Roman"/>
          <w:noProof/>
          <w:sz w:val="24"/>
          <w:szCs w:val="24"/>
        </w:rPr>
        <w:t>(Luo et al., 2016)</w:t>
      </w:r>
      <w:r w:rsidR="00A70545">
        <w:rPr>
          <w:rFonts w:ascii="Times New Roman" w:hAnsi="Times New Roman" w:cs="Times New Roman"/>
          <w:sz w:val="24"/>
          <w:szCs w:val="24"/>
        </w:rPr>
        <w:fldChar w:fldCharType="end"/>
      </w:r>
      <w:r w:rsidR="00A70545" w:rsidRPr="003E0DFC">
        <w:rPr>
          <w:rFonts w:ascii="Times New Roman" w:hAnsi="Times New Roman" w:cs="Times New Roman"/>
          <w:sz w:val="24"/>
          <w:szCs w:val="24"/>
        </w:rPr>
        <w:t xml:space="preserve">, </w:t>
      </w:r>
      <w:r w:rsidR="00B07005" w:rsidRPr="003E0DFC">
        <w:rPr>
          <w:rFonts w:ascii="Times New Roman" w:hAnsi="Times New Roman" w:cs="Times New Roman"/>
          <w:sz w:val="24"/>
          <w:szCs w:val="24"/>
        </w:rPr>
        <w:t xml:space="preserve">investment </w:t>
      </w:r>
      <w:r w:rsidR="00545F2F" w:rsidRPr="003E0DFC">
        <w:rPr>
          <w:rFonts w:ascii="Times New Roman" w:hAnsi="Times New Roman" w:cs="Times New Roman"/>
          <w:sz w:val="24"/>
          <w:szCs w:val="24"/>
        </w:rPr>
        <w:t xml:space="preserve">choices </w:t>
      </w:r>
      <w:r w:rsidR="00DE19FB">
        <w:rPr>
          <w:rFonts w:ascii="Times New Roman" w:hAnsi="Times New Roman" w:cs="Times New Roman"/>
          <w:sz w:val="24"/>
          <w:szCs w:val="24"/>
        </w:rPr>
        <w:fldChar w:fldCharType="begin" w:fldLock="1"/>
      </w:r>
      <w:r w:rsidR="00C80494">
        <w:rPr>
          <w:rFonts w:ascii="Times New Roman" w:hAnsi="Times New Roman" w:cs="Times New Roman"/>
          <w:sz w:val="24"/>
          <w:szCs w:val="24"/>
        </w:rPr>
        <w:instrText>ADDIN CSL_CITATION {"citationItems":[{"id":"ITEM-1","itemData":{"DOI":"10.1016/J.ECONLET.2022.110301","ISSN":"0165-1765","abstract":"The debate on firm's investment decision under uncertainty is still unsettled. This study empirically examines the impact of firm-level political risk on contemporaneous capital and operating investment decisions. Using the text-based measure of firm-level political risk for US firms developed by Hassan et al. (2019), we show that when firms face higher political risk, they reduce the irreversible capital investment and deploy the surplus funds in more reversible operating activities. Our results are robust to using alternative measures of the outcome variable and to endogeneity concerns.","author":[{"dropping-particle":"","family":"Banerjee","given":"Pradip","non-dropping-particle":"","parse-names":false,"suffix":""},{"dropping-particle":"","family":"Dutta","given":"Shantanu","non-dropping-particle":"","parse-names":false,"suffix":""}],"container-title":"Economics Letters","id":"ITEM-1","issued":{"date-parts":[["2022","3","1"]]},"page":"110301","publisher":"North-Holland","title":"The effect of political risk on investment decisions","type":"article-journal","volume":"212"},"uris":["http://www.mendeley.com/documents/?uuid=72c6fad8-880a-361c-a93c-d97bf3b43818"]}],"mendeley":{"formattedCitation":"(Banerjee &amp; Dutta, 2022)","plainTextFormattedCitation":"(Banerjee &amp; Dutta, 2022)","previouslyFormattedCitation":"(Banerjee &amp; Dutta, 2022)"},"properties":{"noteIndex":0},"schema":"https://github.com/citation-style-language/schema/raw/master/csl-citation.json"}</w:instrText>
      </w:r>
      <w:r w:rsidR="00DE19FB">
        <w:rPr>
          <w:rFonts w:ascii="Times New Roman" w:hAnsi="Times New Roman" w:cs="Times New Roman"/>
          <w:sz w:val="24"/>
          <w:szCs w:val="24"/>
        </w:rPr>
        <w:fldChar w:fldCharType="separate"/>
      </w:r>
      <w:r w:rsidR="00DE19FB" w:rsidRPr="00DE19FB">
        <w:rPr>
          <w:rFonts w:ascii="Times New Roman" w:hAnsi="Times New Roman" w:cs="Times New Roman"/>
          <w:noProof/>
          <w:sz w:val="24"/>
          <w:szCs w:val="24"/>
        </w:rPr>
        <w:t>(Banerjee &amp; Dutta, 2022)</w:t>
      </w:r>
      <w:r w:rsidR="00DE19FB">
        <w:rPr>
          <w:rFonts w:ascii="Times New Roman" w:hAnsi="Times New Roman" w:cs="Times New Roman"/>
          <w:sz w:val="24"/>
          <w:szCs w:val="24"/>
        </w:rPr>
        <w:fldChar w:fldCharType="end"/>
      </w:r>
      <w:r w:rsidR="00AE1A43">
        <w:rPr>
          <w:rFonts w:ascii="Times New Roman" w:hAnsi="Times New Roman" w:cs="Times New Roman"/>
          <w:sz w:val="24"/>
          <w:szCs w:val="24"/>
        </w:rPr>
        <w:t xml:space="preserve">, firm stability </w:t>
      </w:r>
      <w:r w:rsidR="00B37D2C">
        <w:rPr>
          <w:rFonts w:ascii="Times New Roman" w:hAnsi="Times New Roman" w:cs="Times New Roman"/>
          <w:sz w:val="24"/>
          <w:szCs w:val="24"/>
        </w:rPr>
        <w:fldChar w:fldCharType="begin" w:fldLock="1"/>
      </w:r>
      <w:r w:rsidR="005B3EB6">
        <w:rPr>
          <w:rFonts w:ascii="Times New Roman" w:hAnsi="Times New Roman" w:cs="Times New Roman"/>
          <w:sz w:val="24"/>
          <w:szCs w:val="24"/>
        </w:rPr>
        <w:instrText>ADDIN CSL_CITATION {"citationItems":[{"id":"ITEM-1","itemData":{"DOI":"10.1016/J.FRL.2021.102453","ISSN":"1544-6123","abstract":"In this paper, we present evidence supporting our hypothesis that geopolitical risk hurts bank stability. Using annual bank stability, bank-specific, macroeconomic, and geopolitical risk datasets, we show that an increase in geopolitical risk is associated with a decline in bank stability. This finding is robust to different geopolitical risk and bank stability measures, removing the period of extreme financial events, excluding banks with less than ten years of data, potential endogeneity issues, and controlling for other risk factors. Our results also emphasize the role of holding capital and bank size in attenuating the destabilizing effect of geopolitical risk.","author":[{"dropping-particle":"","family":"Phan","given":"Dinh Hoang Bach","non-dropping-particle":"","parse-names":false,"suffix":""},{"dropping-particle":"","family":"Tran","given":"Vuong Thao","non-dropping-particle":"","parse-names":false,"suffix":""},{"dropping-particle":"","family":"Iyke","given":"Bernard Njindan","non-dropping-particle":"","parse-names":false,"suffix":""}],"container-title":"Finance Research Letters","id":"ITEM-1","issued":{"date-parts":[["2022","5","1"]]},"page":"102453","publisher":"Elsevier","title":"Geopolitical risk and bank stability","type":"article-journal","volume":"46"},"uris":["http://www.mendeley.com/documents/?uuid=90718f5f-736c-3d8b-8b5e-79bc597c9642"]}],"mendeley":{"formattedCitation":"(Phan et al., 2022)","plainTextFormattedCitation":"(Phan et al., 2022)","previouslyFormattedCitation":"(Phan et al., 2022)"},"properties":{"noteIndex":0},"schema":"https://github.com/citation-style-language/schema/raw/master/csl-citation.json"}</w:instrText>
      </w:r>
      <w:r w:rsidR="00B37D2C">
        <w:rPr>
          <w:rFonts w:ascii="Times New Roman" w:hAnsi="Times New Roman" w:cs="Times New Roman"/>
          <w:sz w:val="24"/>
          <w:szCs w:val="24"/>
        </w:rPr>
        <w:fldChar w:fldCharType="separate"/>
      </w:r>
      <w:r w:rsidR="00B37D2C" w:rsidRPr="00B37D2C">
        <w:rPr>
          <w:rFonts w:ascii="Times New Roman" w:hAnsi="Times New Roman" w:cs="Times New Roman"/>
          <w:noProof/>
          <w:sz w:val="24"/>
          <w:szCs w:val="24"/>
        </w:rPr>
        <w:t>(Phan et al., 2022)</w:t>
      </w:r>
      <w:r w:rsidR="00B37D2C">
        <w:rPr>
          <w:rFonts w:ascii="Times New Roman" w:hAnsi="Times New Roman" w:cs="Times New Roman"/>
          <w:sz w:val="24"/>
          <w:szCs w:val="24"/>
        </w:rPr>
        <w:fldChar w:fldCharType="end"/>
      </w:r>
      <w:r w:rsidR="008067BE">
        <w:rPr>
          <w:rFonts w:ascii="Times New Roman" w:hAnsi="Times New Roman" w:cs="Times New Roman"/>
          <w:sz w:val="24"/>
          <w:szCs w:val="24"/>
        </w:rPr>
        <w:t xml:space="preserve">, and </w:t>
      </w:r>
      <w:r w:rsidR="000D285E">
        <w:rPr>
          <w:rFonts w:ascii="Times New Roman" w:hAnsi="Times New Roman" w:cs="Times New Roman"/>
          <w:sz w:val="24"/>
          <w:szCs w:val="24"/>
        </w:rPr>
        <w:t xml:space="preserve">foreign exchange </w:t>
      </w:r>
      <w:r w:rsidR="005B3EB6">
        <w:rPr>
          <w:rFonts w:ascii="Times New Roman" w:hAnsi="Times New Roman" w:cs="Times New Roman"/>
          <w:sz w:val="24"/>
          <w:szCs w:val="24"/>
        </w:rPr>
        <w:fldChar w:fldCharType="begin" w:fldLock="1"/>
      </w:r>
      <w:r w:rsidR="006411FF">
        <w:rPr>
          <w:rFonts w:ascii="Times New Roman" w:hAnsi="Times New Roman" w:cs="Times New Roman"/>
          <w:sz w:val="24"/>
          <w:szCs w:val="24"/>
        </w:rPr>
        <w:instrText>ADDIN CSL_CITATION {"citationItems":[{"id":"ITEM-1","itemData":{"DOI":"10.1016/J.IREF.2021.09.017","ISSN":"1059-0560","abstract":"The predictability of geopolitical risks (GPR) for exchange rate volatility of the BRICS is examined using both historical and recent GPR data. Relying on the GARCH-MIDAS-X model based on available data frequencies, we find that the BRICS exchange rates are more vulnerable to recent GPR data than the historical data. Additional analysis suggests contrasting evidence between the recent global GPR data and the country-specific GPR data implying that the BRICS exchange rates are more vulnerable to global than domestic GPR. Finally, we document some out-of-sample economic gains of accounting for GPR in the valuation of foreign exchange portfolio.","author":[{"dropping-particle":"","family":"Salisu","given":"Afees A.","non-dropping-particle":"","parse-names":false,"suffix":""},{"dropping-particle":"","family":"Cuñado","given":"Juncal","non-dropping-particle":"","parse-names":false,"suffix":""},{"dropping-particle":"","family":"Gupta","given":"Rangan","non-dropping-particle":"","parse-names":false,"suffix":""}],"container-title":"International Review of Economics &amp; Finance","id":"ITEM-1","issued":{"date-parts":[["2022","1","1"]]},"page":"179-190","publisher":"JAI","title":"Geopolitical risks and historical exchange rate volatility of the BRICS","type":"article-journal","volume":"77"},"uris":["http://www.mendeley.com/documents/?uuid=af4dce88-e377-37d9-88d9-a83979811f2d"]}],"mendeley":{"formattedCitation":"(Salisu et al., 2022)","plainTextFormattedCitation":"(Salisu et al., 2022)","previouslyFormattedCitation":"(Salisu et al., 2022)"},"properties":{"noteIndex":0},"schema":"https://github.com/citation-style-language/schema/raw/master/csl-citation.json"}</w:instrText>
      </w:r>
      <w:r w:rsidR="005B3EB6">
        <w:rPr>
          <w:rFonts w:ascii="Times New Roman" w:hAnsi="Times New Roman" w:cs="Times New Roman"/>
          <w:sz w:val="24"/>
          <w:szCs w:val="24"/>
        </w:rPr>
        <w:fldChar w:fldCharType="separate"/>
      </w:r>
      <w:r w:rsidR="005B3EB6" w:rsidRPr="005B3EB6">
        <w:rPr>
          <w:rFonts w:ascii="Times New Roman" w:hAnsi="Times New Roman" w:cs="Times New Roman"/>
          <w:noProof/>
          <w:sz w:val="24"/>
          <w:szCs w:val="24"/>
        </w:rPr>
        <w:t>(Salisu et al., 2022)</w:t>
      </w:r>
      <w:r w:rsidR="005B3EB6">
        <w:rPr>
          <w:rFonts w:ascii="Times New Roman" w:hAnsi="Times New Roman" w:cs="Times New Roman"/>
          <w:sz w:val="24"/>
          <w:szCs w:val="24"/>
        </w:rPr>
        <w:fldChar w:fldCharType="end"/>
      </w:r>
      <w:r w:rsidR="008804CC">
        <w:rPr>
          <w:rFonts w:ascii="Times New Roman" w:hAnsi="Times New Roman" w:cs="Times New Roman"/>
          <w:sz w:val="24"/>
          <w:szCs w:val="24"/>
        </w:rPr>
        <w:t xml:space="preserve">, </w:t>
      </w:r>
      <w:r w:rsidR="00786005">
        <w:rPr>
          <w:rFonts w:ascii="Times New Roman" w:hAnsi="Times New Roman" w:cs="Times New Roman"/>
          <w:sz w:val="24"/>
          <w:szCs w:val="24"/>
        </w:rPr>
        <w:t>among others.</w:t>
      </w:r>
    </w:p>
    <w:p w14:paraId="7C60A113" w14:textId="21625248" w:rsidR="000D31BD" w:rsidRDefault="00D60F7F" w:rsidP="001C011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there is some early evidence on how this conflict has impacted stock indices </w:t>
      </w:r>
      <w:r>
        <w:rPr>
          <w:rFonts w:ascii="Times New Roman" w:hAnsi="Times New Roman" w:cs="Times New Roman"/>
          <w:sz w:val="24"/>
          <w:szCs w:val="24"/>
        </w:rPr>
        <w:fldChar w:fldCharType="begin" w:fldLock="1"/>
      </w:r>
      <w:r w:rsidR="0085123D">
        <w:rPr>
          <w:rFonts w:ascii="Times New Roman" w:hAnsi="Times New Roman" w:cs="Times New Roman"/>
          <w:sz w:val="24"/>
          <w:szCs w:val="24"/>
        </w:rPr>
        <w:instrText>ADDIN CSL_CITATION {"citationItems":[{"id":"ITEM-1","itemData":{"DOI":"10.1016/J.ECONLET.2022.110516","ISSN":"0165-1765","author":[{"dropping-particle":"","family":"Boungou","given":"Whelsy","non-dropping-particle":"","parse-names":false,"suffix":""},{"dropping-particle":"","family":"Yatié","given":"Alhonita","non-dropping-particle":"","parse-names":false,"suffix":""}],"container-title":"Economics Letters","id":"ITEM-1","issued":{"date-parts":[["2022","4","21"]]},"page":"110516","publisher":"North-Holland","title":"The impact of the Ukraine–Russia war on world stock market returns","type":"article-journal"},"uris":["http://www.mendeley.com/documents/?uuid=5f456fa6-f16a-3a90-abb3-b38d1acd43a5"]}],"mendeley":{"formattedCitation":"(Boungou &amp; Yatié, 2022)","plainTextFormattedCitation":"(Boungou &amp; Yatié, 2022)","previouslyFormattedCitation":"(Boungou &amp; Yatié, 2022)"},"properties":{"noteIndex":0},"schema":"https://github.com/citation-style-language/schema/raw/master/csl-citation.json"}</w:instrText>
      </w:r>
      <w:r>
        <w:rPr>
          <w:rFonts w:ascii="Times New Roman" w:hAnsi="Times New Roman" w:cs="Times New Roman"/>
          <w:sz w:val="24"/>
          <w:szCs w:val="24"/>
        </w:rPr>
        <w:fldChar w:fldCharType="separate"/>
      </w:r>
      <w:r w:rsidRPr="006411FF">
        <w:rPr>
          <w:rFonts w:ascii="Times New Roman" w:hAnsi="Times New Roman" w:cs="Times New Roman"/>
          <w:noProof/>
          <w:sz w:val="24"/>
          <w:szCs w:val="24"/>
        </w:rPr>
        <w:t>(Boungou &amp; Yatié, 2022)</w:t>
      </w:r>
      <w:r>
        <w:rPr>
          <w:rFonts w:ascii="Times New Roman" w:hAnsi="Times New Roman" w:cs="Times New Roman"/>
          <w:sz w:val="24"/>
          <w:szCs w:val="24"/>
        </w:rPr>
        <w:fldChar w:fldCharType="end"/>
      </w:r>
      <w:r w:rsidR="008B728F">
        <w:rPr>
          <w:rFonts w:ascii="Times New Roman" w:hAnsi="Times New Roman" w:cs="Times New Roman"/>
          <w:sz w:val="24"/>
          <w:szCs w:val="24"/>
        </w:rPr>
        <w:t xml:space="preserve"> and markets </w:t>
      </w:r>
      <w:r w:rsidR="00C16B8A">
        <w:rPr>
          <w:rFonts w:ascii="Times New Roman" w:hAnsi="Times New Roman" w:cs="Times New Roman"/>
          <w:sz w:val="24"/>
          <w:szCs w:val="24"/>
        </w:rPr>
        <w:fldChar w:fldCharType="begin" w:fldLock="1"/>
      </w:r>
      <w:r w:rsidR="001E61A6">
        <w:rPr>
          <w:rFonts w:ascii="Times New Roman" w:hAnsi="Times New Roman" w:cs="Times New Roman"/>
          <w:sz w:val="24"/>
          <w:szCs w:val="24"/>
        </w:rPr>
        <w:instrText>ADDIN CSL_CITATION {"citationItems":[{"id":"ITEM-1","itemData":{"DOI":"10.1016/J.FRL.2022.102934","ISSN":"1544-6123","author":[{"dropping-particle":"","family":"Boubaker","given":"Sabri","non-dropping-particle":"","parse-names":false,"suffix":""},{"dropping-particle":"","family":"Goodell","given":"John W.","non-dropping-particle":"","parse-names":false,"suffix":""},{"dropping-particle":"","family":"Pandey","given":"Dharen Kumar","non-dropping-particle":"","parse-names":false,"suffix":""},{"dropping-particle":"","family":"Kumari","given":"Vineeta","non-dropping-particle":"","parse-names":false,"suffix":""}],"container-title":"Finance Research Letters","id":"ITEM-1","issued":{"date-parts":[["2022","8","1"]]},"page":"102934","publisher":"Elsevier","title":"Heterogeneous impacts of wars on global equity markets: Evidence from the invasion of Ukraine","type":"article-journal","volume":"48"},"uris":["http://www.mendeley.com/documents/?uuid=9cdfcfa3-6de0-3ac3-9ae7-ace4bcb9e7e7"]},{"id":"ITEM-2","itemData":{"DOI":"10.1016/J.FRL.2022.102976","ISSN":"1544-6123","author":[{"dropping-particle":"","family":"Umar","given":"Zaghum","non-dropping-particle":"","parse-names":false,"suffix":""},{"dropping-particle":"","family":"Polat","given":"Onur","non-dropping-particle":"","parse-names":false,"suffix":""},{"dropping-particle":"","family":"Choi","given":"Sun-Yong","non-dropping-particle":"","parse-names":false,"suffix":""},{"dropping-particle":"","family":"Teplova","given":"Tamara","non-dropping-particle":"","parse-names":false,"suffix":""}],"container-title":"Finance Research Letters","id":"ITEM-2","issued":{"date-parts":[["2022","8","1"]]},"page":"102976","publisher":"Elsevier","title":"The impact of the Russia-Ukraine conflict on the connectedness of financial markets","type":"article-journal","volume":"48"},"uris":["http://www.mendeley.com/documents/?uuid=ee8edf97-08ce-3081-b1fe-7b4ccd367c36"]}],"mendeley":{"formattedCitation":"(Boubaker et al., 2022; Z. Umar et al., 2022)","plainTextFormattedCitation":"(Boubaker et al., 2022; Z. Umar et al., 2022)","previouslyFormattedCitation":"(Boubaker et al., 2022; Umar et al., 2022)"},"properties":{"noteIndex":0},"schema":"https://github.com/citation-style-language/schema/raw/master/csl-citation.json"}</w:instrText>
      </w:r>
      <w:r w:rsidR="00C16B8A">
        <w:rPr>
          <w:rFonts w:ascii="Times New Roman" w:hAnsi="Times New Roman" w:cs="Times New Roman"/>
          <w:sz w:val="24"/>
          <w:szCs w:val="24"/>
        </w:rPr>
        <w:fldChar w:fldCharType="separate"/>
      </w:r>
      <w:r w:rsidR="001E61A6" w:rsidRPr="001E61A6">
        <w:rPr>
          <w:rFonts w:ascii="Times New Roman" w:hAnsi="Times New Roman" w:cs="Times New Roman"/>
          <w:noProof/>
          <w:sz w:val="24"/>
          <w:szCs w:val="24"/>
        </w:rPr>
        <w:t>(Boubaker et al., 2022; Z. Umar et al., 2022)</w:t>
      </w:r>
      <w:r w:rsidR="00C16B8A">
        <w:rPr>
          <w:rFonts w:ascii="Times New Roman" w:hAnsi="Times New Roman" w:cs="Times New Roman"/>
          <w:sz w:val="24"/>
          <w:szCs w:val="24"/>
        </w:rPr>
        <w:fldChar w:fldCharType="end"/>
      </w:r>
      <w:r w:rsidR="00C16B8A">
        <w:rPr>
          <w:rFonts w:ascii="Times New Roman" w:hAnsi="Times New Roman" w:cs="Times New Roman"/>
          <w:sz w:val="24"/>
          <w:szCs w:val="24"/>
        </w:rPr>
        <w:t>,</w:t>
      </w:r>
      <w:r w:rsidR="00EC67F1">
        <w:rPr>
          <w:rFonts w:ascii="Times New Roman" w:hAnsi="Times New Roman" w:cs="Times New Roman"/>
          <w:sz w:val="24"/>
          <w:szCs w:val="24"/>
        </w:rPr>
        <w:t xml:space="preserve"> there is no assessment of </w:t>
      </w:r>
      <w:r w:rsidR="00786005">
        <w:rPr>
          <w:rFonts w:ascii="Times New Roman" w:hAnsi="Times New Roman" w:cs="Times New Roman"/>
          <w:sz w:val="24"/>
          <w:szCs w:val="24"/>
        </w:rPr>
        <w:t xml:space="preserve">the impact on </w:t>
      </w:r>
      <w:r w:rsidR="00EC67F1">
        <w:rPr>
          <w:rFonts w:ascii="Times New Roman" w:hAnsi="Times New Roman" w:cs="Times New Roman"/>
          <w:sz w:val="24"/>
          <w:szCs w:val="24"/>
        </w:rPr>
        <w:t>mutual funds.</w:t>
      </w:r>
      <w:r w:rsidR="001829D0">
        <w:rPr>
          <w:rFonts w:ascii="Times New Roman" w:hAnsi="Times New Roman" w:cs="Times New Roman"/>
          <w:sz w:val="24"/>
          <w:szCs w:val="24"/>
        </w:rPr>
        <w:t xml:space="preserve"> The context of </w:t>
      </w:r>
      <w:r w:rsidR="00AD629D">
        <w:rPr>
          <w:rFonts w:ascii="Times New Roman" w:hAnsi="Times New Roman" w:cs="Times New Roman"/>
          <w:sz w:val="24"/>
          <w:szCs w:val="24"/>
        </w:rPr>
        <w:t xml:space="preserve">active </w:t>
      </w:r>
      <w:r w:rsidR="001829D0">
        <w:rPr>
          <w:rFonts w:ascii="Times New Roman" w:hAnsi="Times New Roman" w:cs="Times New Roman"/>
          <w:sz w:val="24"/>
          <w:szCs w:val="24"/>
        </w:rPr>
        <w:t>mutual</w:t>
      </w:r>
      <w:r w:rsidR="002D36F4">
        <w:rPr>
          <w:rFonts w:ascii="Times New Roman" w:hAnsi="Times New Roman" w:cs="Times New Roman"/>
          <w:sz w:val="24"/>
          <w:szCs w:val="24"/>
        </w:rPr>
        <w:t xml:space="preserve"> funds </w:t>
      </w:r>
      <w:r w:rsidR="004B24F8">
        <w:rPr>
          <w:rFonts w:ascii="Times New Roman" w:hAnsi="Times New Roman" w:cs="Times New Roman"/>
          <w:sz w:val="24"/>
          <w:szCs w:val="24"/>
        </w:rPr>
        <w:t>is</w:t>
      </w:r>
      <w:r w:rsidR="002D36F4">
        <w:rPr>
          <w:rFonts w:ascii="Times New Roman" w:hAnsi="Times New Roman" w:cs="Times New Roman"/>
          <w:sz w:val="24"/>
          <w:szCs w:val="24"/>
        </w:rPr>
        <w:t xml:space="preserve"> </w:t>
      </w:r>
      <w:r w:rsidR="00A46706">
        <w:rPr>
          <w:rFonts w:ascii="Times New Roman" w:hAnsi="Times New Roman" w:cs="Times New Roman"/>
          <w:sz w:val="24"/>
          <w:szCs w:val="24"/>
        </w:rPr>
        <w:t xml:space="preserve">different </w:t>
      </w:r>
      <w:r w:rsidR="0042130F">
        <w:rPr>
          <w:rFonts w:ascii="Times New Roman" w:hAnsi="Times New Roman" w:cs="Times New Roman"/>
          <w:sz w:val="24"/>
          <w:szCs w:val="24"/>
        </w:rPr>
        <w:t xml:space="preserve">because </w:t>
      </w:r>
      <w:r w:rsidR="00B849F1">
        <w:rPr>
          <w:rFonts w:ascii="Times New Roman" w:hAnsi="Times New Roman" w:cs="Times New Roman"/>
          <w:sz w:val="24"/>
          <w:szCs w:val="24"/>
        </w:rPr>
        <w:t>the</w:t>
      </w:r>
      <w:r w:rsidR="0033058B">
        <w:rPr>
          <w:rFonts w:ascii="Times New Roman" w:hAnsi="Times New Roman" w:cs="Times New Roman"/>
          <w:sz w:val="24"/>
          <w:szCs w:val="24"/>
        </w:rPr>
        <w:t>re i</w:t>
      </w:r>
      <w:r w:rsidR="00B849F1">
        <w:rPr>
          <w:rFonts w:ascii="Times New Roman" w:hAnsi="Times New Roman" w:cs="Times New Roman"/>
          <w:sz w:val="24"/>
          <w:szCs w:val="24"/>
        </w:rPr>
        <w:t>s a possibility of rebalancing in response to the market changes</w:t>
      </w:r>
      <w:r w:rsidR="001E61A6">
        <w:rPr>
          <w:rFonts w:ascii="Times New Roman" w:hAnsi="Times New Roman" w:cs="Times New Roman"/>
          <w:sz w:val="24"/>
          <w:szCs w:val="24"/>
        </w:rPr>
        <w:t xml:space="preserve"> </w:t>
      </w:r>
      <w:r w:rsidR="001E61A6">
        <w:rPr>
          <w:rFonts w:ascii="Times New Roman" w:hAnsi="Times New Roman" w:cs="Times New Roman"/>
          <w:sz w:val="24"/>
          <w:szCs w:val="24"/>
        </w:rPr>
        <w:fldChar w:fldCharType="begin" w:fldLock="1"/>
      </w:r>
      <w:r w:rsidR="001E61A6">
        <w:rPr>
          <w:rFonts w:ascii="Times New Roman" w:hAnsi="Times New Roman" w:cs="Times New Roman"/>
          <w:sz w:val="24"/>
          <w:szCs w:val="24"/>
        </w:rPr>
        <w:instrText>ADDIN CSL_CITATION {"citationItems":[{"id":"ITEM-1","itemData":{"DOI":"10.1016/J.RESOURPOL.2022.102786","ISSN":"0301-4207","author":[{"dropping-particle":"","family":"Umar","given":"Muhammad","non-dropping-particle":"","parse-names":false,"suffix":""},{"dropping-particle":"","family":"Ji","given":"Xiangfeng","non-dropping-particle":"","parse-names":false,"suffix":""},{"dropping-particle":"","family":"Mirza","given":"Nawazish","non-dropping-particle":"","parse-names":false,"suffix":""},{"dropping-particle":"","family":"Li","given":"Haiping","non-dropping-particle":"","parse-names":false,"suffix":""}],"container-title":"Resources Policy","id":"ITEM-1","issued":{"date-parts":[["2022","9","1"]]},"page":"102786","publisher":"Pergamon","title":"Crypto swings and the performance of carbon-intensive equity funds in China","type":"article-journal","volume":"78"},"uris":["http://www.mendeley.com/documents/?uuid=ff435471-515c-3d80-bea0-8391c36452d0"]}],"mendeley":{"formattedCitation":"(M. Umar et al., 2022)","plainTextFormattedCitation":"(M. Umar et al., 2022)"},"properties":{"noteIndex":0},"schema":"https://github.com/citation-style-language/schema/raw/master/csl-citation.json"}</w:instrText>
      </w:r>
      <w:r w:rsidR="001E61A6">
        <w:rPr>
          <w:rFonts w:ascii="Times New Roman" w:hAnsi="Times New Roman" w:cs="Times New Roman"/>
          <w:sz w:val="24"/>
          <w:szCs w:val="24"/>
        </w:rPr>
        <w:fldChar w:fldCharType="separate"/>
      </w:r>
      <w:r w:rsidR="001E61A6" w:rsidRPr="001E61A6">
        <w:rPr>
          <w:rFonts w:ascii="Times New Roman" w:hAnsi="Times New Roman" w:cs="Times New Roman"/>
          <w:noProof/>
          <w:sz w:val="24"/>
          <w:szCs w:val="24"/>
        </w:rPr>
        <w:t>(M. Umar et al., 2022)</w:t>
      </w:r>
      <w:r w:rsidR="001E61A6">
        <w:rPr>
          <w:rFonts w:ascii="Times New Roman" w:hAnsi="Times New Roman" w:cs="Times New Roman"/>
          <w:sz w:val="24"/>
          <w:szCs w:val="24"/>
        </w:rPr>
        <w:fldChar w:fldCharType="end"/>
      </w:r>
      <w:r w:rsidR="00B849F1">
        <w:rPr>
          <w:rFonts w:ascii="Times New Roman" w:hAnsi="Times New Roman" w:cs="Times New Roman"/>
          <w:sz w:val="24"/>
          <w:szCs w:val="24"/>
        </w:rPr>
        <w:t xml:space="preserve">. </w:t>
      </w:r>
      <w:r w:rsidR="00287E15">
        <w:rPr>
          <w:rFonts w:ascii="Times New Roman" w:hAnsi="Times New Roman" w:cs="Times New Roman"/>
          <w:sz w:val="24"/>
          <w:szCs w:val="24"/>
        </w:rPr>
        <w:t xml:space="preserve">The </w:t>
      </w:r>
      <w:r w:rsidR="00941A60">
        <w:rPr>
          <w:rFonts w:ascii="Times New Roman" w:hAnsi="Times New Roman" w:cs="Times New Roman"/>
          <w:sz w:val="24"/>
          <w:szCs w:val="24"/>
        </w:rPr>
        <w:t>rebalancing</w:t>
      </w:r>
      <w:r w:rsidR="00287E15">
        <w:rPr>
          <w:rFonts w:ascii="Times New Roman" w:hAnsi="Times New Roman" w:cs="Times New Roman"/>
          <w:sz w:val="24"/>
          <w:szCs w:val="24"/>
        </w:rPr>
        <w:t xml:space="preserve"> </w:t>
      </w:r>
      <w:r w:rsidR="00323362">
        <w:rPr>
          <w:rFonts w:ascii="Times New Roman" w:hAnsi="Times New Roman" w:cs="Times New Roman"/>
          <w:sz w:val="24"/>
          <w:szCs w:val="24"/>
        </w:rPr>
        <w:t>can be a response to</w:t>
      </w:r>
      <w:r w:rsidR="00287E15">
        <w:rPr>
          <w:rFonts w:ascii="Times New Roman" w:hAnsi="Times New Roman" w:cs="Times New Roman"/>
          <w:sz w:val="24"/>
          <w:szCs w:val="24"/>
        </w:rPr>
        <w:t xml:space="preserve"> </w:t>
      </w:r>
      <w:r w:rsidR="00DA2B72">
        <w:rPr>
          <w:rFonts w:ascii="Times New Roman" w:hAnsi="Times New Roman" w:cs="Times New Roman"/>
          <w:sz w:val="24"/>
          <w:szCs w:val="24"/>
        </w:rPr>
        <w:t xml:space="preserve">the evolution of </w:t>
      </w:r>
      <w:r w:rsidR="00287E15">
        <w:rPr>
          <w:rFonts w:ascii="Times New Roman" w:hAnsi="Times New Roman" w:cs="Times New Roman"/>
          <w:sz w:val="24"/>
          <w:szCs w:val="24"/>
        </w:rPr>
        <w:t xml:space="preserve">investment styles </w:t>
      </w:r>
      <w:r w:rsidR="0085123D">
        <w:rPr>
          <w:rFonts w:ascii="Times New Roman" w:hAnsi="Times New Roman" w:cs="Times New Roman"/>
          <w:sz w:val="24"/>
          <w:szCs w:val="24"/>
        </w:rPr>
        <w:fldChar w:fldCharType="begin" w:fldLock="1"/>
      </w:r>
      <w:r w:rsidR="00C16B8A">
        <w:rPr>
          <w:rFonts w:ascii="Times New Roman" w:hAnsi="Times New Roman" w:cs="Times New Roman"/>
          <w:sz w:val="24"/>
          <w:szCs w:val="24"/>
        </w:rPr>
        <w:instrText>ADDIN CSL_CITATION {"citationItems":[{"id":"ITEM-1","itemData":{"DOI":"10.1016/J.IREF.2021.09.019","ISSN":"1059-0560","author":[{"dropping-particle":"","family":"Mirza","given":"Nawazish","non-dropping-particle":"","parse-names":false,"suffix":""},{"dropping-particle":"","family":"Abbas Rizvi","given":"Syed Kumail","non-dropping-particle":"","parse-names":false,"suffix":""},{"dropping-particle":"","family":"Saba","given":"Irum","non-dropping-particle":"","parse-names":false,"suffix":""},{"dropping-particle":"","family":"Naqvi","given":"Bushra","non-dropping-particle":"","parse-names":false,"suffix":""},{"dropping-particle":"","family":"Yarovaya","given":"Larisa","non-dropping-particle":"","parse-names":false,"suffix":""}],"container-title":"International Review of Economics &amp; Finance","id":"ITEM-1","issued":{"date-parts":[["2022","1","1"]]},"page":"276-295","publisher":"JAI","title":"The resilience of Islamic equity funds during COVID-19: Evidence from risk adjusted performance, investment styles and volatility timing","type":"article-journal","volume":"77"},"uris":["http://www.mendeley.com/documents/?uuid=198613a8-c47a-30f6-912d-f2206e29eea9"]},{"id":"ITEM-2","itemData":{"DOI":"10.1016/J.GFJ.2021.100656","ISSN":"1044-0283","abstract":"The popularity of green energy-based investments has spurred, notably during the last decade. This is mainly due to the positive socio-economic externalities and an increase in the financing flow. This paper assesses the financial performance and managerial abilities of green funds and their conventional peers. Using a comprehensive data set of 2339 funds across twenty-seven emerging markets, we report that traditional energy funds outperform renewable funds. Further, while conventional fund managers exhibit market and volatility timing, we cannot deduce any support for the same in the case of renewables. These results indicate disincentives for investors who would like to go green. Finally, the performance of renewable funds degraded during Covid-19, highlighting the additional investment drag. We propose that immediate legislative, governance, and regulatory interventions are warranted to promote a sustainable financial system.","author":[{"dropping-particle":"","family":"Naqvi","given":"Bushra","non-dropping-particle":"","parse-names":false,"suffix":""},{"dropping-particle":"","family":"Mirza","given":"Nawazish","non-dropping-particle":"","parse-names":false,"suffix":""},{"dropping-particle":"","family":"Rizvi","given":"Syed Kumail Abbas","non-dropping-particle":"","parse-names":false,"suffix":""},{"dropping-particle":"","family":"Porada-Rochoń","given":"Małgorzata","non-dropping-particle":"","parse-names":false,"suffix":""},{"dropping-particle":"","family":"Itani","given":"Rania","non-dropping-particle":"","parse-names":false,"suffix":""}],"container-title":"Global Finance Journal","id":"ITEM-2","issued":{"date-parts":[["2021","11","1"]]},"page":"100656","publisher":"North-Holland","title":"Is there a green fund premium? Evidence from twenty seven emerging markets","type":"article-journal","volume":"50"},"uris":["http://www.mendeley.com/documents/?uuid=ee21143a-a9e9-3337-9e32-a19ef5355011"]},{"id":"ITEM-3","itemData":{"DOI":"10.1007/S10479-021-04367-8/FIGURES/7","ISSN":"15729338","abstract":"Investment in Green energy is becoming a popular alternative asset class for investors, primarily due to its environment-friendly attributes. However, there is a dire need for subjective evaluation of this emerging asset class based on the risk-return dynamics to which investors are exposed. To respond to this call, in this study, we conduct this evaluation utilizing a unique and rich data set consisting of daily prices of exchange-traded funds (ETFs) established on different asset classes. We use Vector autoregression and Baba-Engle-Kraft-Kroner parameterization of multivariate GARCH models and assess the relative strength of return and volatility spillovers from the Green and Grey energy markets. Our results reveal the return shocks originated in the Green energy market and transmitted to other markets are more pronounced. It is also observed that the potential to earn high returns and the weak correlation of Green energy ETFs with the traditional asset classes are the crucial factors helpful in inviting attention and investment of investors after 2015. Although our results further suggest that the role of Grey energy is diminishing, as shown by the Impulse response functions and the coefficients of multivariate ARCH and GARCH. Nonetheless, for some asset classes, e.g., Bonds, the volatility spillovers that originated in the Grey energy market are still prominent and robust.","author":[{"dropping-particle":"","family":"Rizvi","given":"Syed Kumail Abbas","non-dropping-particle":"","parse-names":false,"suffix":""},{"dropping-particle":"","family":"Naqvi","given":"Bushra","non-dropping-particle":"","parse-names":false,"suffix":""},{"dropping-particle":"","family":"Mirza","given":"Nawazish","non-dropping-particle":"","parse-names":false,"suffix":""}],"container-title":"Annals of Operations Research","id":"ITEM-3","issued":{"date-parts":[["2021","11","18"]]},"page":"1-30","publisher":"Springer","title":"Is green investment different from grey? Return and volatility spillovers between green and grey energy ETFs","type":"article-journal"},"uris":["http://www.mendeley.com/documents/?uuid=dc5f8ad1-6ccd-39d4-bfc3-6258d8746c8d"]}],"mendeley":{"formattedCitation":"(Mirza et al., 2022; Naqvi et al., 2021; Rizvi et al., 2021)","plainTextFormattedCitation":"(Mirza et al., 2022; Naqvi et al., 2021; Rizvi et al., 2021)","previouslyFormattedCitation":"(Mirza et al., 2022; Naqvi et al., 2021; Rizvi et al., 2021)"},"properties":{"noteIndex":0},"schema":"https://github.com/citation-style-language/schema/raw/master/csl-citation.json"}</w:instrText>
      </w:r>
      <w:r w:rsidR="0085123D">
        <w:rPr>
          <w:rFonts w:ascii="Times New Roman" w:hAnsi="Times New Roman" w:cs="Times New Roman"/>
          <w:sz w:val="24"/>
          <w:szCs w:val="24"/>
        </w:rPr>
        <w:fldChar w:fldCharType="separate"/>
      </w:r>
      <w:r w:rsidR="00DA2B72" w:rsidRPr="008B7C87">
        <w:rPr>
          <w:rFonts w:ascii="Times New Roman" w:hAnsi="Times New Roman" w:cs="Times New Roman"/>
          <w:noProof/>
          <w:sz w:val="24"/>
          <w:szCs w:val="24"/>
          <w:lang w:val="fr-FR"/>
        </w:rPr>
        <w:t>(Mirza et al., 2022; Naqvi et al., 2021; Rizvi et al., 2021)</w:t>
      </w:r>
      <w:r w:rsidR="0085123D">
        <w:rPr>
          <w:rFonts w:ascii="Times New Roman" w:hAnsi="Times New Roman" w:cs="Times New Roman"/>
          <w:sz w:val="24"/>
          <w:szCs w:val="24"/>
        </w:rPr>
        <w:fldChar w:fldCharType="end"/>
      </w:r>
      <w:r w:rsidR="00941A60" w:rsidRPr="008B7C87">
        <w:rPr>
          <w:rFonts w:ascii="Times New Roman" w:hAnsi="Times New Roman" w:cs="Times New Roman"/>
          <w:sz w:val="24"/>
          <w:szCs w:val="24"/>
          <w:lang w:val="fr-FR"/>
        </w:rPr>
        <w:t xml:space="preserve">, </w:t>
      </w:r>
      <w:proofErr w:type="spellStart"/>
      <w:r w:rsidR="00EB2EE1" w:rsidRPr="008B7C87">
        <w:rPr>
          <w:rFonts w:ascii="Times New Roman" w:hAnsi="Times New Roman" w:cs="Times New Roman"/>
          <w:sz w:val="24"/>
          <w:szCs w:val="24"/>
          <w:lang w:val="fr-FR"/>
        </w:rPr>
        <w:t>market</w:t>
      </w:r>
      <w:proofErr w:type="spellEnd"/>
      <w:r w:rsidR="008B7C87" w:rsidRPr="008B7C87">
        <w:rPr>
          <w:rFonts w:ascii="Times New Roman" w:hAnsi="Times New Roman" w:cs="Times New Roman"/>
          <w:sz w:val="24"/>
          <w:szCs w:val="24"/>
          <w:lang w:val="fr-FR"/>
        </w:rPr>
        <w:t xml:space="preserve"> </w:t>
      </w:r>
      <w:r w:rsidR="008B7C87">
        <w:rPr>
          <w:rFonts w:ascii="Times New Roman" w:hAnsi="Times New Roman" w:cs="Times New Roman"/>
          <w:sz w:val="24"/>
          <w:szCs w:val="24"/>
          <w:lang w:val="fr-FR"/>
        </w:rPr>
        <w:t>timing</w:t>
      </w:r>
      <w:r w:rsidR="00EB2EE1" w:rsidRPr="008B7C87">
        <w:rPr>
          <w:rFonts w:ascii="Times New Roman" w:hAnsi="Times New Roman" w:cs="Times New Roman"/>
          <w:sz w:val="24"/>
          <w:szCs w:val="24"/>
          <w:lang w:val="fr-FR"/>
        </w:rPr>
        <w:t xml:space="preserve"> </w:t>
      </w:r>
      <w:r w:rsidR="00EB2EE1">
        <w:rPr>
          <w:rFonts w:ascii="Times New Roman" w:hAnsi="Times New Roman" w:cs="Times New Roman"/>
          <w:sz w:val="24"/>
          <w:szCs w:val="24"/>
        </w:rPr>
        <w:fldChar w:fldCharType="begin" w:fldLock="1"/>
      </w:r>
      <w:r w:rsidR="00DA2B72" w:rsidRPr="008B7C87">
        <w:rPr>
          <w:rFonts w:ascii="Times New Roman" w:hAnsi="Times New Roman" w:cs="Times New Roman"/>
          <w:sz w:val="24"/>
          <w:szCs w:val="24"/>
          <w:lang w:val="fr-FR"/>
        </w:rPr>
        <w:instrText>ADDIN CSL_CITATION {"citationItems":[{"id":"ITEM-1","itemData":{"DOI":"10.1016/j.iref.2020.09.017","ISSN":"10590560","author":[{"dropping-particle":"","family":"Yarovaya","given":"Larisa","non-dropping-particle":"","parse-names":false,"suffix":""},{"dropping-particle":"","family":"Mirza","given":"Nawazish","non-dropping-particle":"","parse-names":false,"suffix":""},{"dropping-particle":"","family":"Abaidi","given":"Jamila","non-dropping-particle":"","parse-names":false,"suffix":""},{"dropping-particle":"","family":"Hasnaoui","given":"Amir","non-dropping-particle":"","parse-names":false,"suffix":""}],"container-title":"International Review of Economics &amp; Finance","id":"ITEM-1","issued":{"date-parts":[["2020","9","25"]]},"publisher":"JAI","title":"Human Capital efficiency and equity funds’ performance during the COVID-19 pandemic","type":"article-journal"},"uris":["http://www.mendeley.com/documents/?uuid=0bbf57ca-0d94-3db9-8abb-5c440c240248"]}],"mendeley":{"formattedCitation":"(Yarovaya et al., 2020)","plainTextFormattedCitation":"(Yarovaya et al., 2020)","previouslyFormattedCitation":"(Yarovaya et al., 2020)"},"properties":{"noteIndex":0},"schema":"https://github.com/citation-style-language/schema/raw/master/csl-citation.json"}</w:instrText>
      </w:r>
      <w:r w:rsidR="00EB2EE1">
        <w:rPr>
          <w:rFonts w:ascii="Times New Roman" w:hAnsi="Times New Roman" w:cs="Times New Roman"/>
          <w:sz w:val="24"/>
          <w:szCs w:val="24"/>
        </w:rPr>
        <w:fldChar w:fldCharType="separate"/>
      </w:r>
      <w:r w:rsidR="00EB2EE1" w:rsidRPr="008B7C87">
        <w:rPr>
          <w:rFonts w:ascii="Times New Roman" w:hAnsi="Times New Roman" w:cs="Times New Roman"/>
          <w:noProof/>
          <w:sz w:val="24"/>
          <w:szCs w:val="24"/>
          <w:lang w:val="fr-FR"/>
        </w:rPr>
        <w:t>(Yarovaya et al., 2020)</w:t>
      </w:r>
      <w:r w:rsidR="00EB2EE1">
        <w:rPr>
          <w:rFonts w:ascii="Times New Roman" w:hAnsi="Times New Roman" w:cs="Times New Roman"/>
          <w:sz w:val="24"/>
          <w:szCs w:val="24"/>
        </w:rPr>
        <w:fldChar w:fldCharType="end"/>
      </w:r>
      <w:r w:rsidR="00DA2B72" w:rsidRPr="008B7C87">
        <w:rPr>
          <w:rFonts w:ascii="Times New Roman" w:hAnsi="Times New Roman" w:cs="Times New Roman"/>
          <w:sz w:val="24"/>
          <w:szCs w:val="24"/>
          <w:lang w:val="fr-FR"/>
        </w:rPr>
        <w:t xml:space="preserve">, </w:t>
      </w:r>
      <w:proofErr w:type="spellStart"/>
      <w:r w:rsidR="00DA2B72" w:rsidRPr="008B7C87">
        <w:rPr>
          <w:rFonts w:ascii="Times New Roman" w:hAnsi="Times New Roman" w:cs="Times New Roman"/>
          <w:sz w:val="24"/>
          <w:szCs w:val="24"/>
          <w:lang w:val="fr-FR"/>
        </w:rPr>
        <w:t>volatility</w:t>
      </w:r>
      <w:proofErr w:type="spellEnd"/>
      <w:r w:rsidR="008B7C87">
        <w:rPr>
          <w:rFonts w:ascii="Times New Roman" w:hAnsi="Times New Roman" w:cs="Times New Roman"/>
          <w:sz w:val="24"/>
          <w:szCs w:val="24"/>
          <w:lang w:val="fr-FR"/>
        </w:rPr>
        <w:t xml:space="preserve"> timing</w:t>
      </w:r>
      <w:r w:rsidR="00DA2B72" w:rsidRPr="008B7C87">
        <w:rPr>
          <w:rFonts w:ascii="Times New Roman" w:hAnsi="Times New Roman" w:cs="Times New Roman"/>
          <w:sz w:val="24"/>
          <w:szCs w:val="24"/>
          <w:lang w:val="fr-FR"/>
        </w:rPr>
        <w:t xml:space="preserve"> </w:t>
      </w:r>
      <w:r w:rsidR="00DA2B72">
        <w:rPr>
          <w:rFonts w:ascii="Times New Roman" w:hAnsi="Times New Roman" w:cs="Times New Roman"/>
          <w:sz w:val="24"/>
          <w:szCs w:val="24"/>
        </w:rPr>
        <w:fldChar w:fldCharType="begin" w:fldLock="1"/>
      </w:r>
      <w:r w:rsidR="00DA2B72" w:rsidRPr="008B7C87">
        <w:rPr>
          <w:rFonts w:ascii="Times New Roman" w:hAnsi="Times New Roman" w:cs="Times New Roman"/>
          <w:sz w:val="24"/>
          <w:szCs w:val="24"/>
          <w:lang w:val="fr-FR"/>
        </w:rPr>
        <w:instrText>ADDIN CSL_CITATION {"citationItems":[{"id":"ITEM-1","itemData":{"DOI":"10.1057/S41260-021-00228-Y","ISSN":"1479-179X","abstract":"Despite its relevance for financial services, the impact of human capital efficiency on mutual fund performance has remained unexplored. In this paper, we attempt to explore this gap in the context of the outbreak of COVID-19 that provides us a unique opportunity to assess human capital's importance during economic pressures. We employ data on 2044 equity funds across sixteen COVID-19 affected Asian countries to analyze the performance, market, and volatility timing after sorting these funds as per their human capital efficiency. Our results show that funds with better human capital efficiency outperform their counterparts that rank lower on human capital efficiency. The outperformance as measured by adjusted Sharpe and Sortino’s ratios, Jensen’s alpha, stochastic dominance, market, and volatility timing remained consistent for the pre-COV</w:instrText>
      </w:r>
      <w:r w:rsidR="00DA2B72" w:rsidRPr="00AE1343">
        <w:rPr>
          <w:rFonts w:ascii="Times New Roman" w:hAnsi="Times New Roman" w:cs="Times New Roman"/>
          <w:sz w:val="24"/>
          <w:szCs w:val="24"/>
        </w:rPr>
        <w:instrText>ID period as well as through the outbreak during which the impact of human capital efficiency became even more significant. These findings have important strategic implications for mutual funds.","author":[{"dropping-particle":"","family":"Hasnaoui","given":"Jamila Abaidi","non-dropping-particle":"","parse-names":false,"suffix":""},{"dropping-particle":"","family":"Rizvi","given":"Syed Kumail Abbas","non-dropping-particle":"","parse-names":false,"suffix":""},{"dropping-particle":"","family":</w:instrText>
      </w:r>
      <w:r w:rsidR="00DA2B72">
        <w:rPr>
          <w:rFonts w:ascii="Times New Roman" w:hAnsi="Times New Roman" w:cs="Times New Roman"/>
          <w:sz w:val="24"/>
          <w:szCs w:val="24"/>
        </w:rPr>
        <w:instrText>"Reddy","given":"Krishna","non-dropping-particle":"","parse-names":false,"suffix":""},{"dropping-particle":"","family":"Mirza","given":"Nawazish","non-dropping-particle":"","parse-names":false,"suffix":""},{"dropping-particle":"","family":"Naqvi","given":"Bushra","non-dropping-particle":"","parse-names":false,"suffix":""}],"container-title":"Journal of Asset Management 2021","id":"ITEM-1","issued":{"date-parts":[["2021","7","6"]]},"page":"1-16","publisher":"Palgrave","title":"Human capital efficiency, performance, market, and volatility timing of asian equity funds during COVID-19 outbreak","type":"article-journal"},"uris":["http://www.mendeley.com/documents/?uuid=fbf7edc7-28eb-3ba5-b00c-571a51eaa616"]}],"mendeley":{"formattedCitation":"(Hasnaoui et al., 2021)","plainTextFormattedCitation":"(Hasnaoui et al., 2021)","previouslyFormattedCitation":"(Hasnaoui et al., 2021)"},"properties":{"noteIndex":0},"schema":"https://github.com/citation-style-language/schema/raw/master/csl-citation.json"}</w:instrText>
      </w:r>
      <w:r w:rsidR="00DA2B72">
        <w:rPr>
          <w:rFonts w:ascii="Times New Roman" w:hAnsi="Times New Roman" w:cs="Times New Roman"/>
          <w:sz w:val="24"/>
          <w:szCs w:val="24"/>
        </w:rPr>
        <w:fldChar w:fldCharType="separate"/>
      </w:r>
      <w:r w:rsidR="00DA2B72" w:rsidRPr="00DA2B72">
        <w:rPr>
          <w:rFonts w:ascii="Times New Roman" w:hAnsi="Times New Roman" w:cs="Times New Roman"/>
          <w:noProof/>
          <w:sz w:val="24"/>
          <w:szCs w:val="24"/>
        </w:rPr>
        <w:t>(Hasnaoui et al., 2021)</w:t>
      </w:r>
      <w:r w:rsidR="00DA2B72">
        <w:rPr>
          <w:rFonts w:ascii="Times New Roman" w:hAnsi="Times New Roman" w:cs="Times New Roman"/>
          <w:sz w:val="24"/>
          <w:szCs w:val="24"/>
        </w:rPr>
        <w:fldChar w:fldCharType="end"/>
      </w:r>
      <w:r w:rsidR="008B7C87">
        <w:rPr>
          <w:rFonts w:ascii="Times New Roman" w:hAnsi="Times New Roman" w:cs="Times New Roman"/>
          <w:sz w:val="24"/>
          <w:szCs w:val="24"/>
        </w:rPr>
        <w:t>.</w:t>
      </w:r>
      <w:r w:rsidR="00323362">
        <w:rPr>
          <w:rFonts w:ascii="Times New Roman" w:hAnsi="Times New Roman" w:cs="Times New Roman"/>
          <w:sz w:val="24"/>
          <w:szCs w:val="24"/>
        </w:rPr>
        <w:t xml:space="preserve"> Therefore, </w:t>
      </w:r>
      <w:r w:rsidR="00C817DA">
        <w:rPr>
          <w:rFonts w:ascii="Times New Roman" w:hAnsi="Times New Roman" w:cs="Times New Roman"/>
          <w:sz w:val="24"/>
          <w:szCs w:val="24"/>
        </w:rPr>
        <w:t xml:space="preserve">our </w:t>
      </w:r>
      <w:r w:rsidR="00D11E38">
        <w:rPr>
          <w:rFonts w:ascii="Times New Roman" w:hAnsi="Times New Roman" w:cs="Times New Roman"/>
          <w:sz w:val="24"/>
          <w:szCs w:val="24"/>
        </w:rPr>
        <w:t xml:space="preserve">assessment </w:t>
      </w:r>
      <w:r w:rsidR="00F051E5">
        <w:rPr>
          <w:rFonts w:ascii="Times New Roman" w:hAnsi="Times New Roman" w:cs="Times New Roman"/>
          <w:sz w:val="24"/>
          <w:szCs w:val="24"/>
        </w:rPr>
        <w:t xml:space="preserve">of </w:t>
      </w:r>
      <w:r w:rsidR="00D11E38">
        <w:rPr>
          <w:rFonts w:ascii="Times New Roman" w:hAnsi="Times New Roman" w:cs="Times New Roman"/>
          <w:sz w:val="24"/>
          <w:szCs w:val="24"/>
        </w:rPr>
        <w:t>equity funds in response to the ongoing conflict</w:t>
      </w:r>
      <w:r w:rsidR="00AE5C9C">
        <w:rPr>
          <w:rFonts w:ascii="Times New Roman" w:hAnsi="Times New Roman" w:cs="Times New Roman"/>
          <w:sz w:val="24"/>
          <w:szCs w:val="24"/>
        </w:rPr>
        <w:t xml:space="preserve"> fills a significant void</w:t>
      </w:r>
      <w:r w:rsidR="00052D1A">
        <w:rPr>
          <w:rFonts w:ascii="Times New Roman" w:hAnsi="Times New Roman" w:cs="Times New Roman"/>
          <w:sz w:val="24"/>
          <w:szCs w:val="24"/>
        </w:rPr>
        <w:t>.</w:t>
      </w:r>
      <w:r w:rsidR="00AE5C9C">
        <w:rPr>
          <w:rFonts w:ascii="Times New Roman" w:hAnsi="Times New Roman" w:cs="Times New Roman"/>
          <w:sz w:val="24"/>
          <w:szCs w:val="24"/>
        </w:rPr>
        <w:t xml:space="preserve"> </w:t>
      </w:r>
      <w:r w:rsidR="00E2380E">
        <w:rPr>
          <w:rFonts w:ascii="Times New Roman" w:hAnsi="Times New Roman" w:cs="Times New Roman"/>
          <w:sz w:val="24"/>
          <w:szCs w:val="24"/>
        </w:rPr>
        <w:t xml:space="preserve">Our findings </w:t>
      </w:r>
      <w:r w:rsidR="00810804">
        <w:rPr>
          <w:rFonts w:ascii="Times New Roman" w:hAnsi="Times New Roman" w:cs="Times New Roman"/>
          <w:sz w:val="24"/>
          <w:szCs w:val="24"/>
        </w:rPr>
        <w:t xml:space="preserve">highlight an adverse reaction of </w:t>
      </w:r>
      <w:r w:rsidR="00BA2FC4">
        <w:rPr>
          <w:rFonts w:ascii="Times New Roman" w:hAnsi="Times New Roman" w:cs="Times New Roman"/>
          <w:sz w:val="24"/>
          <w:szCs w:val="24"/>
        </w:rPr>
        <w:t>mutual funds</w:t>
      </w:r>
      <w:r w:rsidR="00810804">
        <w:rPr>
          <w:rFonts w:ascii="Times New Roman" w:hAnsi="Times New Roman" w:cs="Times New Roman"/>
          <w:sz w:val="24"/>
          <w:szCs w:val="24"/>
        </w:rPr>
        <w:t xml:space="preserve"> in Russia, Ukraine, and the N</w:t>
      </w:r>
      <w:r w:rsidR="000347EF">
        <w:rPr>
          <w:rFonts w:ascii="Times New Roman" w:hAnsi="Times New Roman" w:cs="Times New Roman"/>
          <w:sz w:val="24"/>
          <w:szCs w:val="24"/>
        </w:rPr>
        <w:t>ATO</w:t>
      </w:r>
      <w:r w:rsidR="00810804">
        <w:rPr>
          <w:rFonts w:ascii="Times New Roman" w:hAnsi="Times New Roman" w:cs="Times New Roman"/>
          <w:sz w:val="24"/>
          <w:szCs w:val="24"/>
        </w:rPr>
        <w:t xml:space="preserve"> States.</w:t>
      </w:r>
      <w:r w:rsidR="000347EF">
        <w:rPr>
          <w:rFonts w:ascii="Times New Roman" w:hAnsi="Times New Roman" w:cs="Times New Roman"/>
          <w:sz w:val="24"/>
          <w:szCs w:val="24"/>
        </w:rPr>
        <w:t xml:space="preserve"> </w:t>
      </w:r>
      <w:r w:rsidR="0089091F">
        <w:rPr>
          <w:rFonts w:ascii="Times New Roman" w:hAnsi="Times New Roman" w:cs="Times New Roman"/>
          <w:sz w:val="24"/>
          <w:szCs w:val="24"/>
        </w:rPr>
        <w:t xml:space="preserve">On the contrary, the </w:t>
      </w:r>
      <w:r w:rsidR="00D316B0">
        <w:rPr>
          <w:rFonts w:ascii="Times New Roman" w:hAnsi="Times New Roman" w:cs="Times New Roman"/>
          <w:sz w:val="24"/>
          <w:szCs w:val="24"/>
        </w:rPr>
        <w:t xml:space="preserve">mutual funds in the </w:t>
      </w:r>
      <w:r w:rsidR="0089091F">
        <w:rPr>
          <w:rFonts w:ascii="Times New Roman" w:hAnsi="Times New Roman" w:cs="Times New Roman"/>
          <w:sz w:val="24"/>
          <w:szCs w:val="24"/>
        </w:rPr>
        <w:t xml:space="preserve">countries that abstained </w:t>
      </w:r>
      <w:r w:rsidR="00080594">
        <w:rPr>
          <w:rFonts w:ascii="Times New Roman" w:hAnsi="Times New Roman" w:cs="Times New Roman"/>
          <w:sz w:val="24"/>
          <w:szCs w:val="24"/>
        </w:rPr>
        <w:t xml:space="preserve">during the voting on </w:t>
      </w:r>
      <w:r w:rsidR="000C53E5">
        <w:rPr>
          <w:rFonts w:ascii="Times New Roman" w:hAnsi="Times New Roman" w:cs="Times New Roman"/>
          <w:sz w:val="24"/>
          <w:szCs w:val="24"/>
        </w:rPr>
        <w:t xml:space="preserve">the </w:t>
      </w:r>
      <w:r w:rsidR="00080594">
        <w:rPr>
          <w:rFonts w:ascii="Times New Roman" w:hAnsi="Times New Roman" w:cs="Times New Roman"/>
          <w:sz w:val="24"/>
          <w:szCs w:val="24"/>
        </w:rPr>
        <w:t>UN resolution on</w:t>
      </w:r>
      <w:r w:rsidR="000C53E5">
        <w:rPr>
          <w:rFonts w:ascii="Times New Roman" w:hAnsi="Times New Roman" w:cs="Times New Roman"/>
          <w:sz w:val="24"/>
          <w:szCs w:val="24"/>
        </w:rPr>
        <w:t xml:space="preserve"> March 2</w:t>
      </w:r>
      <w:r w:rsidR="000C53E5" w:rsidRPr="000C53E5">
        <w:rPr>
          <w:rFonts w:ascii="Times New Roman" w:hAnsi="Times New Roman" w:cs="Times New Roman"/>
          <w:sz w:val="24"/>
          <w:szCs w:val="24"/>
          <w:vertAlign w:val="superscript"/>
        </w:rPr>
        <w:t>nd</w:t>
      </w:r>
      <w:r w:rsidR="000C53E5">
        <w:rPr>
          <w:rFonts w:ascii="Times New Roman" w:hAnsi="Times New Roman" w:cs="Times New Roman"/>
          <w:sz w:val="24"/>
          <w:szCs w:val="24"/>
        </w:rPr>
        <w:t xml:space="preserve"> </w:t>
      </w:r>
      <w:r w:rsidR="004F344F">
        <w:rPr>
          <w:rFonts w:ascii="Times New Roman" w:hAnsi="Times New Roman" w:cs="Times New Roman"/>
          <w:sz w:val="24"/>
          <w:szCs w:val="24"/>
        </w:rPr>
        <w:t>posted positive abnormal return</w:t>
      </w:r>
      <w:r w:rsidR="00C63764">
        <w:rPr>
          <w:rFonts w:ascii="Times New Roman" w:hAnsi="Times New Roman" w:cs="Times New Roman"/>
          <w:sz w:val="24"/>
          <w:szCs w:val="24"/>
        </w:rPr>
        <w:t>s.</w:t>
      </w:r>
      <w:r w:rsidR="00386411">
        <w:rPr>
          <w:rFonts w:ascii="Times New Roman" w:hAnsi="Times New Roman" w:cs="Times New Roman"/>
          <w:sz w:val="24"/>
          <w:szCs w:val="24"/>
        </w:rPr>
        <w:t xml:space="preserve"> </w:t>
      </w:r>
      <w:r w:rsidR="009312F6">
        <w:rPr>
          <w:rFonts w:ascii="Times New Roman" w:hAnsi="Times New Roman" w:cs="Times New Roman"/>
          <w:sz w:val="24"/>
          <w:szCs w:val="24"/>
        </w:rPr>
        <w:t xml:space="preserve">Similarly, the investment exposure </w:t>
      </w:r>
      <w:r w:rsidR="0055148A">
        <w:rPr>
          <w:rFonts w:ascii="Times New Roman" w:hAnsi="Times New Roman" w:cs="Times New Roman"/>
          <w:sz w:val="24"/>
          <w:szCs w:val="24"/>
        </w:rPr>
        <w:t>towards the conflicted countries and NATO states</w:t>
      </w:r>
      <w:r w:rsidR="00054E6B">
        <w:rPr>
          <w:rFonts w:ascii="Times New Roman" w:hAnsi="Times New Roman" w:cs="Times New Roman"/>
          <w:sz w:val="24"/>
          <w:szCs w:val="24"/>
        </w:rPr>
        <w:t xml:space="preserve"> </w:t>
      </w:r>
      <w:r w:rsidR="0036225A">
        <w:rPr>
          <w:rFonts w:ascii="Times New Roman" w:hAnsi="Times New Roman" w:cs="Times New Roman"/>
          <w:sz w:val="24"/>
          <w:szCs w:val="24"/>
        </w:rPr>
        <w:t xml:space="preserve">is </w:t>
      </w:r>
      <w:proofErr w:type="spellStart"/>
      <w:r w:rsidR="0036225A">
        <w:rPr>
          <w:rFonts w:ascii="Times New Roman" w:hAnsi="Times New Roman" w:cs="Times New Roman"/>
          <w:sz w:val="24"/>
          <w:szCs w:val="24"/>
        </w:rPr>
        <w:t>unfavorable</w:t>
      </w:r>
      <w:proofErr w:type="spellEnd"/>
      <w:r w:rsidR="003D15A0">
        <w:rPr>
          <w:rFonts w:ascii="Times New Roman" w:hAnsi="Times New Roman" w:cs="Times New Roman"/>
          <w:sz w:val="24"/>
          <w:szCs w:val="24"/>
        </w:rPr>
        <w:t xml:space="preserve"> except for the abstained countries.</w:t>
      </w:r>
      <w:r w:rsidR="00371214">
        <w:rPr>
          <w:rFonts w:ascii="Times New Roman" w:hAnsi="Times New Roman" w:cs="Times New Roman"/>
          <w:sz w:val="24"/>
          <w:szCs w:val="24"/>
        </w:rPr>
        <w:t xml:space="preserve"> These findings </w:t>
      </w:r>
      <w:r w:rsidR="00641F21">
        <w:rPr>
          <w:rFonts w:ascii="Times New Roman" w:hAnsi="Times New Roman" w:cs="Times New Roman"/>
          <w:sz w:val="24"/>
          <w:szCs w:val="24"/>
        </w:rPr>
        <w:t xml:space="preserve">have important implications for investment styles in the context of geopolitical risks. </w:t>
      </w:r>
      <w:r w:rsidR="003D15A0">
        <w:rPr>
          <w:rFonts w:ascii="Times New Roman" w:hAnsi="Times New Roman" w:cs="Times New Roman"/>
          <w:sz w:val="24"/>
          <w:szCs w:val="24"/>
        </w:rPr>
        <w:t xml:space="preserve"> </w:t>
      </w:r>
      <w:r w:rsidR="004F344F">
        <w:rPr>
          <w:rFonts w:ascii="Times New Roman" w:hAnsi="Times New Roman" w:cs="Times New Roman"/>
          <w:sz w:val="24"/>
          <w:szCs w:val="24"/>
        </w:rPr>
        <w:t xml:space="preserve"> </w:t>
      </w:r>
      <w:r w:rsidR="00080594">
        <w:rPr>
          <w:rFonts w:ascii="Times New Roman" w:hAnsi="Times New Roman" w:cs="Times New Roman"/>
          <w:sz w:val="24"/>
          <w:szCs w:val="24"/>
        </w:rPr>
        <w:t xml:space="preserve"> </w:t>
      </w:r>
      <w:r w:rsidR="000347EF">
        <w:rPr>
          <w:rFonts w:ascii="Times New Roman" w:hAnsi="Times New Roman" w:cs="Times New Roman"/>
          <w:sz w:val="24"/>
          <w:szCs w:val="24"/>
        </w:rPr>
        <w:t xml:space="preserve"> </w:t>
      </w:r>
      <w:r w:rsidR="00810804">
        <w:rPr>
          <w:rFonts w:ascii="Times New Roman" w:hAnsi="Times New Roman" w:cs="Times New Roman"/>
          <w:sz w:val="24"/>
          <w:szCs w:val="24"/>
        </w:rPr>
        <w:t xml:space="preserve">  </w:t>
      </w:r>
      <w:r w:rsidR="00B06BD2">
        <w:rPr>
          <w:rFonts w:ascii="Times New Roman" w:hAnsi="Times New Roman" w:cs="Times New Roman"/>
          <w:sz w:val="24"/>
          <w:szCs w:val="24"/>
        </w:rPr>
        <w:t xml:space="preserve"> </w:t>
      </w:r>
    </w:p>
    <w:p w14:paraId="0E6973C5" w14:textId="145BBE6A" w:rsidR="003B023E" w:rsidRPr="00AE5C9C" w:rsidRDefault="00593146" w:rsidP="00A83DB7">
      <w:pPr>
        <w:spacing w:after="0" w:line="480" w:lineRule="auto"/>
        <w:jc w:val="both"/>
        <w:rPr>
          <w:rFonts w:ascii="Times New Roman" w:hAnsi="Times New Roman" w:cs="Times New Roman"/>
          <w:sz w:val="24"/>
          <w:szCs w:val="24"/>
        </w:rPr>
      </w:pPr>
      <w:r w:rsidRPr="00C57508">
        <w:rPr>
          <w:rFonts w:ascii="Times New Roman" w:hAnsi="Times New Roman" w:cs="Times New Roman"/>
          <w:b/>
          <w:bCs/>
          <w:sz w:val="24"/>
          <w:szCs w:val="24"/>
        </w:rPr>
        <w:t>2.</w:t>
      </w:r>
      <w:r w:rsidRPr="00C57508">
        <w:rPr>
          <w:rFonts w:ascii="Times New Roman" w:hAnsi="Times New Roman" w:cs="Times New Roman"/>
          <w:b/>
          <w:bCs/>
          <w:sz w:val="24"/>
          <w:szCs w:val="24"/>
        </w:rPr>
        <w:tab/>
      </w:r>
      <w:r w:rsidR="003A6A35" w:rsidRPr="00C57508">
        <w:rPr>
          <w:rFonts w:ascii="Times New Roman" w:hAnsi="Times New Roman" w:cs="Times New Roman"/>
          <w:b/>
          <w:bCs/>
          <w:sz w:val="24"/>
          <w:szCs w:val="24"/>
        </w:rPr>
        <w:t xml:space="preserve">Data and </w:t>
      </w:r>
      <w:r w:rsidR="003B023E" w:rsidRPr="00C57508">
        <w:rPr>
          <w:rFonts w:ascii="Times New Roman" w:hAnsi="Times New Roman" w:cs="Times New Roman"/>
          <w:b/>
          <w:bCs/>
          <w:sz w:val="24"/>
          <w:szCs w:val="24"/>
        </w:rPr>
        <w:t>Methodology</w:t>
      </w:r>
    </w:p>
    <w:p w14:paraId="0AC6F3AC" w14:textId="77777777" w:rsidR="00E704E9" w:rsidRDefault="006033E0" w:rsidP="00E704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704E9">
        <w:rPr>
          <w:rFonts w:ascii="Times New Roman" w:hAnsi="Times New Roman" w:cs="Times New Roman"/>
          <w:sz w:val="24"/>
          <w:szCs w:val="24"/>
        </w:rPr>
        <w:t xml:space="preserve">We categorize the equity funds into three locational categories. These include direct conflict countries (Ukraine and Russia), NATO member states, and </w:t>
      </w:r>
      <w:proofErr w:type="gramStart"/>
      <w:r w:rsidR="00E704E9">
        <w:rPr>
          <w:rFonts w:ascii="Times New Roman" w:hAnsi="Times New Roman" w:cs="Times New Roman"/>
          <w:sz w:val="24"/>
          <w:szCs w:val="24"/>
        </w:rPr>
        <w:t>Abstained</w:t>
      </w:r>
      <w:proofErr w:type="gramEnd"/>
      <w:r w:rsidR="00E704E9">
        <w:rPr>
          <w:rFonts w:ascii="Times New Roman" w:hAnsi="Times New Roman" w:cs="Times New Roman"/>
          <w:sz w:val="24"/>
          <w:szCs w:val="24"/>
        </w:rPr>
        <w:t xml:space="preserve">. The abstained countries are the ones that abstained from the UN vote on March 2nd, 2022. Our main criteria include all funds that have some exposure to conflict countries and NATO states, and such exposure has been persistent for at least two years. Further, we consider funds for which daily net asset value (NAV) is available. Based on this, our final sample consists of 1281 funds. Table 1 presents the sample distribution. </w:t>
      </w:r>
    </w:p>
    <w:p w14:paraId="0D7EC5E9" w14:textId="77777777" w:rsidR="00E704E9" w:rsidRDefault="00E704E9" w:rsidP="00E704E9">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 xml:space="preserve">[Table 1 here] </w:t>
      </w:r>
    </w:p>
    <w:p w14:paraId="537B2681" w14:textId="77777777" w:rsidR="00E704E9" w:rsidRDefault="00E704E9" w:rsidP="00E704E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empirical analysis employs a two-step methodology. We use the GARCH-based event study methodology to evaluate the price reaction. As noted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frl.2020.101657","ISSN":"15446123","author":[{"dropping-particle":"","family":"Mirza","given":"Nawazish","non-dropping-particle":"","parse-names":false,"suffix":""},{"dropping-particle":"","family":"Naqvi","given":"Bushra","non-dropping-particle":"","parse-names":false,"suffix":""},{"dropping-particle":"","family":"Rahat","given":"Birjees","non-dropping-particle":"","parse-names":false,"suffix":""},{"dropping-particle":"","family":"Rizvi","given":"Syed Kumail Abbas","non-dropping-particle":"","parse-names":false,"suffix":""}],"container-title":"Finance Research Letters","id":"ITEM-1","issued":{"date-parts":[["2020","6","18"]]},"page":"101657","publisher":"Elsevier","title":"Price Reaction, Volatility Timing and Funds’ Performance during Covid-19","type":"article-journal"},"uris":["http://www.mendeley.com/documents/?uuid=0e3b9f16-a1d9-392a-a55c-ff2a041867e2"]}],"mendeley":{"formattedCitation":"(Mirza et al., 2020)","plainTextFormattedCitation":"(Mirza et al., 2020)","previouslyFormattedCitation":"(Mirza et al., 2020)"},"properties":{"noteIndex":0},"schema":"https://github.com/citation-style-language/schema/raw/master/csl-citation.json"}</w:instrText>
      </w:r>
      <w:r>
        <w:rPr>
          <w:rFonts w:ascii="Times New Roman" w:hAnsi="Times New Roman" w:cs="Times New Roman"/>
          <w:sz w:val="24"/>
          <w:szCs w:val="24"/>
        </w:rPr>
        <w:fldChar w:fldCharType="separate"/>
      </w:r>
      <w:r w:rsidRPr="00476BC1">
        <w:rPr>
          <w:rFonts w:ascii="Times New Roman" w:hAnsi="Times New Roman" w:cs="Times New Roman"/>
          <w:noProof/>
          <w:sz w:val="24"/>
          <w:szCs w:val="24"/>
        </w:rPr>
        <w:t>(Mirza et al., 2020)</w:t>
      </w:r>
      <w:r>
        <w:rPr>
          <w:rFonts w:ascii="Times New Roman" w:hAnsi="Times New Roman" w:cs="Times New Roman"/>
          <w:sz w:val="24"/>
          <w:szCs w:val="24"/>
        </w:rPr>
        <w:fldChar w:fldCharType="end"/>
      </w:r>
      <w:r>
        <w:rPr>
          <w:rFonts w:ascii="Times New Roman" w:hAnsi="Times New Roman" w:cs="Times New Roman"/>
          <w:sz w:val="24"/>
          <w:szCs w:val="24"/>
        </w:rPr>
        <w:t>, for extreme events, a GARCH specification is better suited to estimate abnormal returns (AR). It takes the following mean-variance form</w:t>
      </w:r>
    </w:p>
    <w:p w14:paraId="3680F8CF" w14:textId="77777777" w:rsidR="00E704E9" w:rsidRDefault="00B137DE" w:rsidP="00E704E9">
      <w:pPr>
        <w:spacing w:after="0" w:line="360" w:lineRule="auto"/>
        <w:jc w:val="both"/>
        <w:rPr>
          <w:rFonts w:ascii="Times New Roman" w:hAnsi="Times New Roman" w:cs="Times New Roman"/>
          <w:sz w:val="24"/>
          <w:szCs w:val="24"/>
        </w:rPr>
      </w:pPr>
      <m:oMath>
        <m:sSub>
          <m:sSubPr>
            <m:ctrlPr>
              <w:rPr>
                <w:rFonts w:ascii="Cambria Math" w:hAnsi="Times New Roman" w:cs="Times New Roman"/>
                <w:i/>
                <w:noProof/>
                <w:sz w:val="24"/>
                <w:szCs w:val="24"/>
              </w:rPr>
            </m:ctrlPr>
          </m:sSubPr>
          <m:e>
            <m:r>
              <w:rPr>
                <w:rFonts w:ascii="Cambria Math" w:hAnsi="Times New Roman" w:cs="Times New Roman"/>
                <w:noProof/>
                <w:sz w:val="24"/>
                <w:szCs w:val="24"/>
              </w:rPr>
              <m:t>R</m:t>
            </m:r>
          </m:e>
          <m:sub>
            <m:r>
              <w:rPr>
                <w:rFonts w:ascii="Cambria Math" w:hAnsi="Times New Roman" w:cs="Times New Roman"/>
                <w:noProof/>
                <w:sz w:val="24"/>
                <w:szCs w:val="24"/>
              </w:rPr>
              <m:t>it</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α</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β</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R</m:t>
            </m:r>
          </m:e>
          <m:sub>
            <m:r>
              <w:rPr>
                <w:rFonts w:ascii="Cambria Math" w:hAnsi="Times New Roman" w:cs="Times New Roman"/>
                <w:noProof/>
                <w:sz w:val="24"/>
                <w:szCs w:val="24"/>
              </w:rPr>
              <m:t>mt</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R</m:t>
            </m:r>
          </m:e>
          <m:sub>
            <m:r>
              <w:rPr>
                <w:rFonts w:ascii="Cambria Math" w:hAnsi="Times New Roman" w:cs="Times New Roman"/>
                <w:noProof/>
                <w:sz w:val="24"/>
                <w:szCs w:val="24"/>
              </w:rPr>
              <m:t>ft</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Cambria Math" w:cs="Times New Roman"/>
                <w:noProof/>
                <w:sz w:val="24"/>
                <w:szCs w:val="24"/>
              </w:rPr>
              <m:t>ρ</m:t>
            </m:r>
          </m:e>
          <m:sub>
            <m:r>
              <w:rPr>
                <w:rFonts w:ascii="Cambria Math" w:hAnsi="Times New Roman" w:cs="Times New Roman"/>
                <w:noProof/>
                <w:sz w:val="24"/>
                <w:szCs w:val="24"/>
              </w:rPr>
              <m:t>i</m:t>
            </m:r>
          </m:sub>
        </m:sSub>
        <m:sSub>
          <m:sSubPr>
            <m:ctrlPr>
              <w:rPr>
                <w:rFonts w:ascii="Cambria Math" w:hAnsi="Times New Roman" w:cs="Times New Roman"/>
                <w:i/>
                <w:noProof/>
                <w:sz w:val="24"/>
                <w:szCs w:val="24"/>
              </w:rPr>
            </m:ctrlPr>
          </m:sSubPr>
          <m:e>
            <m:r>
              <w:rPr>
                <w:rFonts w:ascii="Cambria Math" w:hAnsi="Times New Roman" w:cs="Times New Roman"/>
                <w:noProof/>
                <w:sz w:val="24"/>
                <w:szCs w:val="24"/>
              </w:rPr>
              <m:t>D</m:t>
            </m:r>
          </m:e>
          <m:sub>
            <m:r>
              <w:rPr>
                <w:rFonts w:ascii="Cambria Math" w:hAnsi="Times New Roman" w:cs="Times New Roman"/>
                <w:noProof/>
                <w:sz w:val="24"/>
                <w:szCs w:val="24"/>
              </w:rPr>
              <m:t>it</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Cambria Math" w:cs="Times New Roman"/>
                <w:noProof/>
                <w:sz w:val="24"/>
                <w:szCs w:val="24"/>
              </w:rPr>
              <m:t>τ</m:t>
            </m:r>
          </m:e>
          <m:sub>
            <m:r>
              <w:rPr>
                <w:rFonts w:ascii="Cambria Math" w:hAnsi="Times New Roman" w:cs="Times New Roman"/>
                <w:noProof/>
                <w:sz w:val="24"/>
                <w:szCs w:val="24"/>
              </w:rPr>
              <m:t>i</m:t>
            </m:r>
          </m:sub>
        </m:sSub>
        <m:sSub>
          <m:sSubPr>
            <m:ctrlPr>
              <w:rPr>
                <w:rFonts w:ascii="Cambria Math" w:hAnsi="Cambria Math" w:cs="Times New Roman"/>
                <w:i/>
                <w:noProof/>
                <w:sz w:val="24"/>
                <w:szCs w:val="24"/>
              </w:rPr>
            </m:ctrlPr>
          </m:sSubPr>
          <m:e>
            <m:r>
              <w:rPr>
                <w:rFonts w:ascii="Cambria Math" w:hAnsi="Times New Roman" w:cs="Times New Roman"/>
                <w:noProof/>
                <w:sz w:val="24"/>
                <w:szCs w:val="24"/>
              </w:rPr>
              <m:t>h</m:t>
            </m:r>
          </m:e>
          <m:sub>
            <m:r>
              <w:rPr>
                <w:rFonts w:ascii="Cambria Math" w:hAnsi="Times New Roman" w:cs="Times New Roman"/>
                <w:noProof/>
                <w:sz w:val="24"/>
                <w:szCs w:val="24"/>
              </w:rPr>
              <m:t>it</m:t>
            </m:r>
            <m:ctrlPr>
              <w:rPr>
                <w:rFonts w:ascii="Cambria Math" w:hAnsi="Times New Roman" w:cs="Times New Roman"/>
                <w:i/>
                <w:noProof/>
                <w:sz w:val="24"/>
                <w:szCs w:val="24"/>
              </w:rPr>
            </m:ctrlP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e</m:t>
            </m:r>
          </m:e>
          <m:sub>
            <m:r>
              <w:rPr>
                <w:rFonts w:ascii="Cambria Math" w:hAnsi="Times New Roman" w:cs="Times New Roman"/>
                <w:noProof/>
                <w:sz w:val="24"/>
                <w:szCs w:val="24"/>
              </w:rPr>
              <m:t>it</m:t>
            </m:r>
          </m:sub>
        </m:sSub>
      </m:oMath>
      <w:r w:rsidR="00E704E9">
        <w:rPr>
          <w:rFonts w:ascii="Times New Roman" w:hAnsi="Times New Roman" w:cs="Times New Roman"/>
          <w:sz w:val="24"/>
          <w:szCs w:val="24"/>
        </w:rPr>
        <w:t xml:space="preserve">   with </w:t>
      </w:r>
      <w:r w:rsidR="00E704E9" w:rsidRPr="00CF620E">
        <w:rPr>
          <w:rFonts w:ascii="Times New Roman" w:hAnsi="Times New Roman" w:cs="Times New Roman"/>
          <w:noProof/>
          <w:position w:val="-12"/>
          <w:sz w:val="24"/>
          <w:szCs w:val="24"/>
        </w:rPr>
        <w:object w:dxaOrig="1219" w:dyaOrig="360" w14:anchorId="0E666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8pt;mso-width-percent:0;mso-height-percent:0;mso-width-percent:0;mso-height-percent:0" o:ole="">
            <v:imagedata r:id="rId7" o:title=""/>
          </v:shape>
          <o:OLEObject Type="Embed" ProgID="Equation.3" ShapeID="_x0000_i1025" DrawAspect="Content" ObjectID="_1728475404" r:id="rId8"/>
        </w:object>
      </w:r>
      <w:r w:rsidR="00E704E9">
        <w:rPr>
          <w:rFonts w:ascii="Times New Roman" w:hAnsi="Times New Roman" w:cs="Times New Roman"/>
          <w:sz w:val="24"/>
          <w:szCs w:val="24"/>
        </w:rPr>
        <w:t xml:space="preserve"> </w:t>
      </w:r>
      <w:r w:rsidR="00E704E9">
        <w:rPr>
          <w:rFonts w:ascii="Times New Roman" w:hAnsi="Times New Roman" w:cs="Times New Roman"/>
          <w:sz w:val="24"/>
          <w:szCs w:val="24"/>
        </w:rPr>
        <w:tab/>
      </w:r>
      <w:r w:rsidR="00E704E9">
        <w:rPr>
          <w:rFonts w:ascii="Times New Roman" w:hAnsi="Times New Roman" w:cs="Times New Roman"/>
          <w:sz w:val="24"/>
          <w:szCs w:val="24"/>
        </w:rPr>
        <w:tab/>
      </w:r>
      <w:proofErr w:type="gramStart"/>
      <w:r w:rsidR="00E704E9">
        <w:rPr>
          <w:rFonts w:ascii="Times New Roman" w:hAnsi="Times New Roman" w:cs="Times New Roman"/>
          <w:sz w:val="24"/>
          <w:szCs w:val="24"/>
        </w:rPr>
        <w:t>. . . .</w:t>
      </w:r>
      <w:proofErr w:type="gramEnd"/>
      <w:r w:rsidR="00E704E9">
        <w:rPr>
          <w:rFonts w:ascii="Times New Roman" w:hAnsi="Times New Roman" w:cs="Times New Roman"/>
          <w:sz w:val="24"/>
          <w:szCs w:val="24"/>
        </w:rPr>
        <w:t xml:space="preserve"> . (1)</w:t>
      </w:r>
    </w:p>
    <w:p w14:paraId="0CD5DDCA" w14:textId="77777777" w:rsidR="00E704E9" w:rsidRDefault="00B137DE" w:rsidP="00E704E9">
      <w:pPr>
        <w:spacing w:after="0" w:line="480" w:lineRule="auto"/>
        <w:jc w:val="both"/>
        <w:rPr>
          <w:rFonts w:ascii="Times New Roman" w:hAnsi="Times New Roman" w:cs="Times New Roman"/>
          <w:sz w:val="24"/>
          <w:szCs w:val="24"/>
        </w:rPr>
      </w:pPr>
      <m:oMath>
        <m:sSub>
          <m:sSubPr>
            <m:ctrlPr>
              <w:rPr>
                <w:rFonts w:ascii="Cambria Math" w:hAnsi="Cambria Math" w:cs="Times New Roman"/>
                <w:i/>
                <w:noProof/>
                <w:sz w:val="24"/>
                <w:szCs w:val="24"/>
              </w:rPr>
            </m:ctrlPr>
          </m:sSubPr>
          <m:e>
            <m:r>
              <w:rPr>
                <w:rFonts w:ascii="Cambria Math" w:hAnsi="Times New Roman" w:cs="Times New Roman"/>
                <w:noProof/>
                <w:sz w:val="24"/>
                <w:szCs w:val="24"/>
              </w:rPr>
              <m:t>h</m:t>
            </m:r>
          </m:e>
          <m:sub>
            <m:r>
              <w:rPr>
                <w:rFonts w:ascii="Cambria Math" w:hAnsi="Times New Roman" w:cs="Times New Roman"/>
                <w:noProof/>
                <w:sz w:val="24"/>
                <w:szCs w:val="24"/>
              </w:rPr>
              <m:t>it</m:t>
            </m:r>
            <m:ctrlPr>
              <w:rPr>
                <w:rFonts w:ascii="Cambria Math" w:hAnsi="Times New Roman" w:cs="Times New Roman"/>
                <w:i/>
                <w:noProof/>
                <w:sz w:val="24"/>
                <w:szCs w:val="24"/>
              </w:rPr>
            </m:ctrlP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c</m:t>
            </m:r>
          </m:e>
          <m:sub>
            <m:r>
              <w:rPr>
                <w:rFonts w:ascii="Cambria Math" w:hAnsi="Times New Roman" w:cs="Times New Roman"/>
                <w:noProof/>
                <w:sz w:val="24"/>
                <w:szCs w:val="24"/>
              </w:rPr>
              <m:t>i</m:t>
            </m: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a</m:t>
            </m:r>
          </m:e>
          <m:sub>
            <m:r>
              <w:rPr>
                <w:rFonts w:ascii="Cambria Math" w:hAnsi="Times New Roman" w:cs="Times New Roman"/>
                <w:noProof/>
                <w:sz w:val="24"/>
                <w:szCs w:val="24"/>
              </w:rPr>
              <m:t>i</m:t>
            </m:r>
          </m:sub>
        </m:sSub>
        <m:sSubSup>
          <m:sSubSupPr>
            <m:ctrlPr>
              <w:rPr>
                <w:rFonts w:ascii="Cambria Math" w:hAnsi="Times New Roman" w:cs="Times New Roman"/>
                <w:i/>
                <w:noProof/>
                <w:sz w:val="24"/>
                <w:szCs w:val="24"/>
              </w:rPr>
            </m:ctrlPr>
          </m:sSubSupPr>
          <m:e>
            <m:r>
              <w:rPr>
                <w:rFonts w:ascii="Cambria Math" w:hAnsi="Times New Roman" w:cs="Times New Roman"/>
                <w:noProof/>
                <w:sz w:val="24"/>
                <w:szCs w:val="24"/>
              </w:rPr>
              <m:t>e</m:t>
            </m:r>
          </m:e>
          <m:sub>
            <m:r>
              <w:rPr>
                <w:rFonts w:ascii="Cambria Math" w:hAnsi="Times New Roman" w:cs="Times New Roman"/>
                <w:noProof/>
                <w:sz w:val="24"/>
                <w:szCs w:val="24"/>
              </w:rPr>
              <m:t>it</m:t>
            </m:r>
            <m:r>
              <w:rPr>
                <w:rFonts w:ascii="Cambria Math" w:hAnsi="Times New Roman" w:cs="Times New Roman"/>
                <w:noProof/>
                <w:sz w:val="24"/>
                <w:szCs w:val="24"/>
              </w:rPr>
              <m:t>-</m:t>
            </m:r>
            <m:r>
              <w:rPr>
                <w:rFonts w:ascii="Cambria Math" w:hAnsi="Times New Roman" w:cs="Times New Roman"/>
                <w:noProof/>
                <w:sz w:val="24"/>
                <w:szCs w:val="24"/>
              </w:rPr>
              <m:t>1</m:t>
            </m:r>
          </m:sub>
          <m:sup>
            <m:r>
              <w:rPr>
                <w:rFonts w:ascii="Cambria Math" w:hAnsi="Times New Roman" w:cs="Times New Roman"/>
                <w:noProof/>
                <w:sz w:val="24"/>
                <w:szCs w:val="24"/>
              </w:rPr>
              <m:t>2</m:t>
            </m:r>
          </m:sup>
        </m:sSubSup>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b</m:t>
            </m:r>
          </m:e>
          <m:sub>
            <m:r>
              <w:rPr>
                <w:rFonts w:ascii="Cambria Math" w:hAnsi="Times New Roman" w:cs="Times New Roman"/>
                <w:noProof/>
                <w:sz w:val="24"/>
                <w:szCs w:val="24"/>
              </w:rPr>
              <m:t>i</m:t>
            </m:r>
          </m:sub>
        </m:sSub>
        <m:sSub>
          <m:sSubPr>
            <m:ctrlPr>
              <w:rPr>
                <w:rFonts w:ascii="Cambria Math" w:hAnsi="Cambria Math" w:cs="Times New Roman"/>
                <w:i/>
                <w:noProof/>
                <w:sz w:val="24"/>
                <w:szCs w:val="24"/>
              </w:rPr>
            </m:ctrlPr>
          </m:sSubPr>
          <m:e>
            <m:r>
              <w:rPr>
                <w:rFonts w:ascii="Cambria Math" w:hAnsi="Times New Roman" w:cs="Times New Roman"/>
                <w:noProof/>
                <w:sz w:val="24"/>
                <w:szCs w:val="24"/>
              </w:rPr>
              <m:t>h</m:t>
            </m:r>
          </m:e>
          <m:sub>
            <m:r>
              <w:rPr>
                <w:rFonts w:ascii="Cambria Math" w:hAnsi="Times New Roman" w:cs="Times New Roman"/>
                <w:noProof/>
                <w:sz w:val="24"/>
                <w:szCs w:val="24"/>
              </w:rPr>
              <m:t>it</m:t>
            </m:r>
            <m:r>
              <w:rPr>
                <w:rFonts w:ascii="Cambria Math" w:hAnsi="Times New Roman" w:cs="Times New Roman"/>
                <w:noProof/>
                <w:sz w:val="24"/>
                <w:szCs w:val="24"/>
              </w:rPr>
              <m:t>-</m:t>
            </m:r>
            <m:r>
              <w:rPr>
                <w:rFonts w:ascii="Cambria Math" w:hAnsi="Times New Roman" w:cs="Times New Roman"/>
                <w:noProof/>
                <w:sz w:val="24"/>
                <w:szCs w:val="24"/>
              </w:rPr>
              <m:t>1</m:t>
            </m:r>
            <m:ctrlPr>
              <w:rPr>
                <w:rFonts w:ascii="Cambria Math" w:hAnsi="Times New Roman" w:cs="Times New Roman"/>
                <w:i/>
                <w:noProof/>
                <w:sz w:val="24"/>
                <w:szCs w:val="24"/>
              </w:rPr>
            </m:ctrlPr>
          </m:sub>
        </m:sSub>
        <m:r>
          <w:rPr>
            <w:rFonts w:ascii="Cambria Math" w:hAnsi="Times New Roman" w:cs="Times New Roman"/>
            <w:noProof/>
            <w:sz w:val="24"/>
            <w:szCs w:val="24"/>
          </w:rPr>
          <m:t>+</m:t>
        </m:r>
        <m:sSub>
          <m:sSubPr>
            <m:ctrlPr>
              <w:rPr>
                <w:rFonts w:ascii="Cambria Math" w:hAnsi="Times New Roman" w:cs="Times New Roman"/>
                <w:i/>
                <w:noProof/>
                <w:sz w:val="24"/>
                <w:szCs w:val="24"/>
              </w:rPr>
            </m:ctrlPr>
          </m:sSubPr>
          <m:e>
            <m:r>
              <w:rPr>
                <w:rFonts w:ascii="Cambria Math" w:hAnsi="Times New Roman" w:cs="Times New Roman"/>
                <w:noProof/>
                <w:sz w:val="24"/>
                <w:szCs w:val="24"/>
              </w:rPr>
              <m:t>δ</m:t>
            </m:r>
          </m:e>
          <m:sub>
            <m:r>
              <w:rPr>
                <w:rFonts w:ascii="Cambria Math" w:hAnsi="Times New Roman" w:cs="Times New Roman"/>
                <w:noProof/>
                <w:sz w:val="24"/>
                <w:szCs w:val="24"/>
              </w:rPr>
              <m:t>i</m:t>
            </m:r>
          </m:sub>
        </m:sSub>
        <m:sSub>
          <m:sSubPr>
            <m:ctrlPr>
              <w:rPr>
                <w:rFonts w:ascii="Cambria Math" w:hAnsi="Times New Roman" w:cs="Times New Roman"/>
                <w:i/>
                <w:noProof/>
                <w:sz w:val="24"/>
                <w:szCs w:val="24"/>
              </w:rPr>
            </m:ctrlPr>
          </m:sSubPr>
          <m:e>
            <m:r>
              <w:rPr>
                <w:rFonts w:ascii="Cambria Math" w:hAnsi="Times New Roman" w:cs="Times New Roman"/>
                <w:noProof/>
                <w:sz w:val="24"/>
                <w:szCs w:val="24"/>
              </w:rPr>
              <m:t>D</m:t>
            </m:r>
          </m:e>
          <m:sub>
            <m:r>
              <w:rPr>
                <w:rFonts w:ascii="Cambria Math" w:hAnsi="Times New Roman" w:cs="Times New Roman"/>
                <w:noProof/>
                <w:sz w:val="24"/>
                <w:szCs w:val="24"/>
              </w:rPr>
              <m:t>it</m:t>
            </m:r>
          </m:sub>
        </m:sSub>
      </m:oMath>
      <w:r w:rsidR="00E704E9">
        <w:rPr>
          <w:rFonts w:ascii="Times New Roman" w:hAnsi="Times New Roman" w:cs="Times New Roman"/>
          <w:sz w:val="24"/>
          <w:szCs w:val="24"/>
        </w:rPr>
        <w:t xml:space="preserve"> </w:t>
      </w:r>
      <w:r w:rsidR="00E704E9">
        <w:rPr>
          <w:rFonts w:ascii="Times New Roman" w:hAnsi="Times New Roman" w:cs="Times New Roman"/>
          <w:sz w:val="24"/>
          <w:szCs w:val="24"/>
        </w:rPr>
        <w:tab/>
      </w:r>
      <w:r w:rsidR="00E704E9">
        <w:rPr>
          <w:rFonts w:ascii="Times New Roman" w:hAnsi="Times New Roman" w:cs="Times New Roman"/>
          <w:sz w:val="24"/>
          <w:szCs w:val="24"/>
        </w:rPr>
        <w:tab/>
      </w:r>
      <w:r w:rsidR="00E704E9">
        <w:rPr>
          <w:rFonts w:ascii="Times New Roman" w:hAnsi="Times New Roman" w:cs="Times New Roman"/>
          <w:sz w:val="24"/>
          <w:szCs w:val="24"/>
        </w:rPr>
        <w:tab/>
      </w:r>
      <w:r w:rsidR="00E704E9">
        <w:rPr>
          <w:rFonts w:ascii="Times New Roman" w:hAnsi="Times New Roman" w:cs="Times New Roman"/>
          <w:sz w:val="24"/>
          <w:szCs w:val="24"/>
        </w:rPr>
        <w:tab/>
      </w:r>
      <w:r w:rsidR="00E704E9">
        <w:rPr>
          <w:rFonts w:ascii="Times New Roman" w:hAnsi="Times New Roman" w:cs="Times New Roman"/>
          <w:sz w:val="24"/>
          <w:szCs w:val="24"/>
        </w:rPr>
        <w:tab/>
      </w:r>
      <w:r w:rsidR="00E704E9">
        <w:rPr>
          <w:rFonts w:ascii="Times New Roman" w:hAnsi="Times New Roman" w:cs="Times New Roman"/>
          <w:sz w:val="24"/>
          <w:szCs w:val="24"/>
        </w:rPr>
        <w:tab/>
      </w:r>
      <w:r w:rsidR="00E704E9">
        <w:rPr>
          <w:rFonts w:ascii="Times New Roman" w:hAnsi="Times New Roman" w:cs="Times New Roman"/>
          <w:sz w:val="24"/>
          <w:szCs w:val="24"/>
        </w:rPr>
        <w:tab/>
        <w:t>. . . . . (2)</w:t>
      </w:r>
    </w:p>
    <w:p w14:paraId="03AA57E4" w14:textId="4BEAF74D" w:rsidR="00E704E9" w:rsidRDefault="00E704E9" w:rsidP="00E704E9">
      <w:pPr>
        <w:spacing w:after="0"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Equation 1 is a CAPM-based estimation having a dummy </w:t>
      </w:r>
      <w:proofErr w:type="spellStart"/>
      <w:r>
        <w:rPr>
          <w:rFonts w:ascii="Times New Roman" w:hAnsi="Times New Roman" w:cs="Times New Roman"/>
          <w:sz w:val="24"/>
          <w:szCs w:val="24"/>
        </w:rPr>
        <w:t>D</w:t>
      </w:r>
      <w:r w:rsidRPr="00F85201">
        <w:rPr>
          <w:rFonts w:ascii="Times New Roman" w:hAnsi="Times New Roman" w:cs="Times New Roman"/>
          <w:sz w:val="24"/>
          <w:szCs w:val="24"/>
          <w:vertAlign w:val="subscript"/>
        </w:rPr>
        <w:t>it</w:t>
      </w:r>
      <w:proofErr w:type="spellEnd"/>
      <w:r>
        <w:rPr>
          <w:rFonts w:ascii="Times New Roman" w:hAnsi="Times New Roman" w:cs="Times New Roman"/>
          <w:sz w:val="24"/>
          <w:szCs w:val="24"/>
        </w:rPr>
        <w:t xml:space="preserve"> that takes a value of 1 for the event window and 0 otherwise. </w:t>
      </w:r>
      <w:proofErr w:type="spellStart"/>
      <w:r>
        <w:rPr>
          <w:rFonts w:ascii="Times New Roman" w:hAnsi="Times New Roman" w:cs="Times New Roman"/>
          <w:sz w:val="24"/>
          <w:szCs w:val="24"/>
        </w:rPr>
        <w:t>R</w:t>
      </w:r>
      <w:r w:rsidRPr="00A77527">
        <w:rPr>
          <w:rFonts w:ascii="Times New Roman" w:hAnsi="Times New Roman" w:cs="Times New Roman"/>
          <w:sz w:val="24"/>
          <w:szCs w:val="24"/>
          <w:vertAlign w:val="subscript"/>
        </w:rPr>
        <w:t>it</w:t>
      </w:r>
      <w:proofErr w:type="spellEnd"/>
      <w:r>
        <w:rPr>
          <w:rFonts w:ascii="Times New Roman" w:hAnsi="Times New Roman" w:cs="Times New Roman"/>
          <w:sz w:val="24"/>
          <w:szCs w:val="24"/>
        </w:rPr>
        <w:t xml:space="preserve"> is the daily fund return, and R</w:t>
      </w:r>
      <w:r w:rsidRPr="00861E9B">
        <w:rPr>
          <w:rFonts w:ascii="Times New Roman" w:hAnsi="Times New Roman" w:cs="Times New Roman"/>
          <w:sz w:val="24"/>
          <w:szCs w:val="24"/>
          <w:vertAlign w:val="subscript"/>
        </w:rPr>
        <w:t>m</w:t>
      </w:r>
      <w:r>
        <w:rPr>
          <w:rFonts w:ascii="Times New Roman" w:hAnsi="Times New Roman" w:cs="Times New Roman"/>
          <w:sz w:val="24"/>
          <w:szCs w:val="24"/>
        </w:rPr>
        <w:t xml:space="preserve"> signifies market return based on MSCI Europe Index. For the risk-free rate (</w:t>
      </w:r>
      <w:proofErr w:type="spellStart"/>
      <w:r>
        <w:rPr>
          <w:rFonts w:ascii="Times New Roman" w:hAnsi="Times New Roman" w:cs="Times New Roman"/>
          <w:sz w:val="24"/>
          <w:szCs w:val="24"/>
        </w:rPr>
        <w:t>R</w:t>
      </w:r>
      <w:r w:rsidRPr="0086543D">
        <w:rPr>
          <w:rFonts w:ascii="Times New Roman" w:hAnsi="Times New Roman" w:cs="Times New Roman"/>
          <w:sz w:val="24"/>
          <w:szCs w:val="24"/>
          <w:vertAlign w:val="subscript"/>
        </w:rPr>
        <w:t>ft</w:t>
      </w:r>
      <w:proofErr w:type="spellEnd"/>
      <w:r>
        <w:rPr>
          <w:rFonts w:ascii="Times New Roman" w:hAnsi="Times New Roman" w:cs="Times New Roman"/>
          <w:sz w:val="24"/>
          <w:szCs w:val="24"/>
        </w:rPr>
        <w:t xml:space="preserve">), we use the five-year Euro Government benchmark yield. For the countries that are not part of the Eurozone, we adjust equation 1 by incorporating country risk premium, </w:t>
      </w:r>
      <w:r w:rsidRPr="001414F0">
        <w:rPr>
          <w:rFonts w:ascii="Times New Roman" w:hAnsi="Times New Roman" w:cs="Times New Roman"/>
          <w:i/>
          <w:sz w:val="24"/>
          <w:szCs w:val="24"/>
        </w:rPr>
        <w:t>h</w:t>
      </w:r>
      <w:r w:rsidRPr="001414F0">
        <w:rPr>
          <w:rFonts w:ascii="Times New Roman" w:hAnsi="Times New Roman" w:cs="Times New Roman"/>
          <w:i/>
          <w:sz w:val="24"/>
          <w:szCs w:val="24"/>
          <w:vertAlign w:val="subscript"/>
        </w:rPr>
        <w:t>it</w:t>
      </w:r>
      <w:r w:rsidRPr="001414F0">
        <w:rPr>
          <w:rFonts w:ascii="Times New Roman" w:hAnsi="Times New Roman" w:cs="Times New Roman"/>
          <w:sz w:val="24"/>
          <w:szCs w:val="24"/>
        </w:rPr>
        <w:t xml:space="preserve"> </w:t>
      </w:r>
      <w:r>
        <w:rPr>
          <w:rFonts w:ascii="Times New Roman" w:hAnsi="Times New Roman" w:cs="Times New Roman"/>
          <w:sz w:val="24"/>
          <w:szCs w:val="24"/>
        </w:rPr>
        <w:t>is</w:t>
      </w:r>
      <w:r w:rsidRPr="001414F0">
        <w:rPr>
          <w:rFonts w:ascii="Times New Roman" w:hAnsi="Times New Roman" w:cs="Times New Roman"/>
          <w:sz w:val="24"/>
          <w:szCs w:val="24"/>
        </w:rPr>
        <w:t xml:space="preserve"> </w:t>
      </w:r>
      <w:r>
        <w:rPr>
          <w:rFonts w:ascii="Times New Roman" w:hAnsi="Times New Roman" w:cs="Times New Roman"/>
          <w:sz w:val="24"/>
          <w:szCs w:val="24"/>
        </w:rPr>
        <w:t xml:space="preserve">the conditional variance, and </w:t>
      </w:r>
      <w:proofErr w:type="spellStart"/>
      <w:r w:rsidRPr="00DD2255">
        <w:rPr>
          <w:rFonts w:ascii="Times New Roman" w:hAnsi="Times New Roman" w:cs="Times New Roman"/>
          <w:i/>
          <w:sz w:val="24"/>
          <w:szCs w:val="24"/>
        </w:rPr>
        <w:t>e</w:t>
      </w:r>
      <w:r w:rsidRPr="00DD2255">
        <w:rPr>
          <w:rFonts w:ascii="Times New Roman" w:hAnsi="Times New Roman" w:cs="Times New Roman"/>
          <w:i/>
          <w:sz w:val="24"/>
          <w:szCs w:val="24"/>
          <w:vertAlign w:val="subscript"/>
        </w:rPr>
        <w:t>it</w:t>
      </w:r>
      <w:proofErr w:type="spellEnd"/>
      <w:r w:rsidRPr="001414F0">
        <w:rPr>
          <w:rFonts w:ascii="Times New Roman" w:hAnsi="Times New Roman" w:cs="Times New Roman"/>
          <w:sz w:val="24"/>
          <w:szCs w:val="24"/>
        </w:rPr>
        <w:t xml:space="preserve"> </w:t>
      </w:r>
      <w:r>
        <w:rPr>
          <w:rFonts w:ascii="Times New Roman" w:hAnsi="Times New Roman" w:cs="Times New Roman"/>
          <w:sz w:val="24"/>
          <w:szCs w:val="24"/>
        </w:rPr>
        <w:t>represents</w:t>
      </w:r>
      <w:r w:rsidRPr="001414F0">
        <w:rPr>
          <w:rFonts w:ascii="Times New Roman" w:hAnsi="Times New Roman" w:cs="Times New Roman"/>
          <w:sz w:val="24"/>
          <w:szCs w:val="24"/>
        </w:rPr>
        <w:t xml:space="preserve"> random error.</w:t>
      </w:r>
      <w:r>
        <w:rPr>
          <w:rFonts w:ascii="Times New Roman" w:hAnsi="Times New Roman" w:cs="Times New Roman"/>
          <w:sz w:val="24"/>
          <w:szCs w:val="24"/>
        </w:rPr>
        <w:t xml:space="preserve"> In equation 2, The estimated parameters in equation are denoted by </w:t>
      </w:r>
      <w:r w:rsidRPr="00AC22F8">
        <w:rPr>
          <w:rFonts w:ascii="Times New Roman" w:hAnsi="Times New Roman" w:cs="Times New Roman"/>
          <w:i/>
          <w:sz w:val="24"/>
          <w:szCs w:val="24"/>
        </w:rPr>
        <w:t>α</w:t>
      </w:r>
      <w:proofErr w:type="spellStart"/>
      <w:r w:rsidRPr="00AC22F8">
        <w:rPr>
          <w:rFonts w:ascii="Times New Roman" w:hAnsi="Times New Roman" w:cs="Times New Roman"/>
          <w:i/>
          <w:sz w:val="24"/>
          <w:szCs w:val="24"/>
          <w:vertAlign w:val="subscript"/>
        </w:rPr>
        <w:t>i</w:t>
      </w:r>
      <w:proofErr w:type="spellEnd"/>
      <w:r>
        <w:rPr>
          <w:rFonts w:ascii="Times New Roman" w:hAnsi="Times New Roman" w:cs="Times New Roman"/>
          <w:sz w:val="24"/>
          <w:szCs w:val="24"/>
        </w:rPr>
        <w:t xml:space="preserve">, </w:t>
      </w:r>
      <w:r w:rsidRPr="00AC22F8">
        <w:rPr>
          <w:rFonts w:ascii="Times New Roman" w:hAnsi="Times New Roman" w:cs="Times New Roman"/>
          <w:i/>
          <w:sz w:val="24"/>
          <w:szCs w:val="24"/>
        </w:rPr>
        <w:t>β</w:t>
      </w:r>
      <w:proofErr w:type="spellStart"/>
      <w:r w:rsidRPr="00AC22F8">
        <w:rPr>
          <w:rFonts w:ascii="Times New Roman" w:hAnsi="Times New Roman" w:cs="Times New Roman"/>
          <w:i/>
          <w:sz w:val="24"/>
          <w:szCs w:val="24"/>
          <w:vertAlign w:val="subscript"/>
        </w:rPr>
        <w: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τ</w:t>
      </w:r>
      <w:r w:rsidRPr="0070339B">
        <w:rPr>
          <w:rFonts w:ascii="Times New Roman" w:hAnsi="Times New Roman" w:cs="Times New Roman"/>
          <w:i/>
          <w:sz w:val="24"/>
          <w:szCs w:val="24"/>
          <w:vertAlign w:val="subscript"/>
        </w:rPr>
        <w:t>i</w:t>
      </w:r>
      <w:proofErr w:type="spellEnd"/>
      <w:r w:rsidRPr="0070339B">
        <w:rPr>
          <w:rFonts w:ascii="Times New Roman" w:hAnsi="Times New Roman" w:cs="Times New Roman"/>
          <w:sz w:val="24"/>
          <w:szCs w:val="24"/>
        </w:rPr>
        <w:t xml:space="preserve">, </w:t>
      </w:r>
      <w:r w:rsidRPr="0070339B">
        <w:rPr>
          <w:rFonts w:ascii="Times New Roman" w:hAnsi="Times New Roman" w:cs="Times New Roman"/>
          <w:i/>
          <w:sz w:val="24"/>
          <w:szCs w:val="24"/>
        </w:rPr>
        <w:t>c</w:t>
      </w:r>
      <w:r w:rsidRPr="0070339B">
        <w:rPr>
          <w:rFonts w:ascii="Times New Roman" w:hAnsi="Times New Roman" w:cs="Times New Roman"/>
          <w:i/>
          <w:sz w:val="24"/>
          <w:szCs w:val="24"/>
          <w:vertAlign w:val="subscript"/>
        </w:rPr>
        <w:t>i</w:t>
      </w:r>
      <w:r w:rsidRPr="0070339B">
        <w:rPr>
          <w:rFonts w:ascii="Times New Roman" w:hAnsi="Times New Roman" w:cs="Times New Roman"/>
          <w:sz w:val="24"/>
          <w:szCs w:val="24"/>
        </w:rPr>
        <w:t xml:space="preserve">, </w:t>
      </w:r>
      <w:r w:rsidRPr="0070339B">
        <w:rPr>
          <w:rFonts w:ascii="Times New Roman" w:hAnsi="Times New Roman" w:cs="Times New Roman"/>
          <w:i/>
          <w:sz w:val="24"/>
          <w:szCs w:val="24"/>
        </w:rPr>
        <w:t>a</w:t>
      </w:r>
      <w:r w:rsidRPr="0070339B">
        <w:rPr>
          <w:rFonts w:ascii="Times New Roman" w:hAnsi="Times New Roman" w:cs="Times New Roman"/>
          <w:i/>
          <w:sz w:val="24"/>
          <w:szCs w:val="24"/>
          <w:vertAlign w:val="subscript"/>
        </w:rPr>
        <w:t>i</w:t>
      </w:r>
      <w:r w:rsidRPr="0070339B">
        <w:rPr>
          <w:rFonts w:ascii="Times New Roman" w:hAnsi="Times New Roman" w:cs="Times New Roman"/>
          <w:sz w:val="24"/>
          <w:szCs w:val="24"/>
        </w:rPr>
        <w:t xml:space="preserve">, </w:t>
      </w:r>
      <w:r w:rsidRPr="0070339B">
        <w:rPr>
          <w:rFonts w:ascii="Times New Roman" w:hAnsi="Times New Roman" w:cs="Times New Roman"/>
          <w:i/>
          <w:sz w:val="24"/>
          <w:szCs w:val="24"/>
        </w:rPr>
        <w:t>b</w:t>
      </w:r>
      <w:r w:rsidRPr="0070339B">
        <w:rPr>
          <w:rFonts w:ascii="Times New Roman" w:hAnsi="Times New Roman" w:cs="Times New Roman"/>
          <w:i/>
          <w:sz w:val="24"/>
          <w:szCs w:val="24"/>
          <w:vertAlign w:val="subscript"/>
        </w:rPr>
        <w:t>i</w:t>
      </w:r>
      <w:r w:rsidRPr="0070339B">
        <w:rPr>
          <w:rFonts w:ascii="Times New Roman" w:hAnsi="Times New Roman" w:cs="Times New Roman"/>
          <w:sz w:val="24"/>
          <w:szCs w:val="24"/>
        </w:rPr>
        <w:t xml:space="preserve"> and </w:t>
      </w:r>
      <w:proofErr w:type="spellStart"/>
      <w:r w:rsidRPr="00AC22F8">
        <w:rPr>
          <w:rFonts w:ascii="Times New Roman" w:hAnsi="Times New Roman" w:cs="Times New Roman"/>
          <w:i/>
          <w:sz w:val="24"/>
          <w:szCs w:val="24"/>
        </w:rPr>
        <w:t>δ</w:t>
      </w:r>
      <w:r w:rsidRPr="0070339B">
        <w:rPr>
          <w:rFonts w:ascii="Times New Roman" w:hAnsi="Times New Roman" w:cs="Times New Roman"/>
          <w:i/>
          <w:sz w:val="24"/>
          <w:szCs w:val="24"/>
          <w:vertAlign w:val="subscript"/>
        </w:rPr>
        <w:t>i</w:t>
      </w:r>
      <w:proofErr w:type="spellEnd"/>
      <w:r>
        <w:rPr>
          <w:rFonts w:ascii="Times New Roman" w:hAnsi="Times New Roman" w:cs="Times New Roman"/>
          <w:iCs/>
          <w:sz w:val="24"/>
          <w:szCs w:val="24"/>
        </w:rPr>
        <w:t xml:space="preserve">. The loading </w:t>
      </w:r>
      <w:proofErr w:type="spellStart"/>
      <w:r>
        <w:rPr>
          <w:rFonts w:ascii="Times New Roman" w:hAnsi="Times New Roman" w:cs="Times New Roman"/>
          <w:iCs/>
          <w:sz w:val="24"/>
          <w:szCs w:val="24"/>
        </w:rPr>
        <w:t>ρ</w:t>
      </w:r>
      <w:r w:rsidRPr="002C6893">
        <w:rPr>
          <w:rFonts w:ascii="Times New Roman" w:hAnsi="Times New Roman" w:cs="Times New Roman"/>
          <w:iCs/>
          <w:sz w:val="24"/>
          <w:szCs w:val="24"/>
          <w:vertAlign w:val="subscript"/>
        </w:rPr>
        <w:t>i</w:t>
      </w:r>
      <w:proofErr w:type="spellEnd"/>
      <w:r>
        <w:rPr>
          <w:rFonts w:ascii="Times New Roman" w:hAnsi="Times New Roman" w:cs="Times New Roman"/>
          <w:iCs/>
          <w:sz w:val="24"/>
          <w:szCs w:val="24"/>
        </w:rPr>
        <w:t xml:space="preserve"> on the dummy </w:t>
      </w:r>
      <w:proofErr w:type="spellStart"/>
      <w:r>
        <w:rPr>
          <w:rFonts w:ascii="Times New Roman" w:hAnsi="Times New Roman" w:cs="Times New Roman"/>
          <w:iCs/>
          <w:sz w:val="24"/>
          <w:szCs w:val="24"/>
        </w:rPr>
        <w:t>D</w:t>
      </w:r>
      <w:r w:rsidRPr="002C6893">
        <w:rPr>
          <w:rFonts w:ascii="Times New Roman" w:hAnsi="Times New Roman" w:cs="Times New Roman"/>
          <w:iCs/>
          <w:sz w:val="24"/>
          <w:szCs w:val="24"/>
          <w:vertAlign w:val="subscript"/>
        </w:rPr>
        <w:t>it</w:t>
      </w:r>
      <w:proofErr w:type="spellEnd"/>
      <w:r>
        <w:rPr>
          <w:rFonts w:ascii="Times New Roman" w:hAnsi="Times New Roman" w:cs="Times New Roman"/>
          <w:iCs/>
          <w:sz w:val="24"/>
          <w:szCs w:val="24"/>
        </w:rPr>
        <w:t xml:space="preserve"> represents cumulative abnormal returns (CAR). We employ an estimation window of two years starting from January 1st</w:t>
      </w:r>
      <w:r w:rsidR="00F0215F">
        <w:rPr>
          <w:rFonts w:ascii="Times New Roman" w:hAnsi="Times New Roman" w:cs="Times New Roman"/>
          <w:iCs/>
          <w:sz w:val="24"/>
          <w:szCs w:val="24"/>
        </w:rPr>
        <w:t>,</w:t>
      </w:r>
      <w:r>
        <w:rPr>
          <w:rFonts w:ascii="Times New Roman" w:hAnsi="Times New Roman" w:cs="Times New Roman"/>
          <w:iCs/>
          <w:sz w:val="24"/>
          <w:szCs w:val="24"/>
        </w:rPr>
        <w:t xml:space="preserve"> 2020, while we use five-event windows of t – 5, t - 3, t, t +3, and t +5, with t being the date of invasion </w:t>
      </w:r>
      <w:proofErr w:type="gramStart"/>
      <w:r>
        <w:rPr>
          <w:rFonts w:ascii="Times New Roman" w:hAnsi="Times New Roman" w:cs="Times New Roman"/>
          <w:iCs/>
          <w:sz w:val="24"/>
          <w:szCs w:val="24"/>
        </w:rPr>
        <w:t>i.e</w:t>
      </w:r>
      <w:r w:rsidR="00F0215F">
        <w:rPr>
          <w:rFonts w:ascii="Times New Roman" w:hAnsi="Times New Roman" w:cs="Times New Roman"/>
          <w:iCs/>
          <w:sz w:val="24"/>
          <w:szCs w:val="24"/>
        </w:rPr>
        <w:t>.</w:t>
      </w:r>
      <w:proofErr w:type="gramEnd"/>
      <w:r>
        <w:rPr>
          <w:rFonts w:ascii="Times New Roman" w:hAnsi="Times New Roman" w:cs="Times New Roman"/>
          <w:iCs/>
          <w:sz w:val="24"/>
          <w:szCs w:val="24"/>
        </w:rPr>
        <w:t xml:space="preserve"> February 24th, 2022. </w:t>
      </w:r>
    </w:p>
    <w:p w14:paraId="38FA8093" w14:textId="77777777" w:rsidR="00E704E9" w:rsidRDefault="00E704E9" w:rsidP="00E704E9">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b/>
        <w:t>The invasion of Ukraine by Russia disrupted the financial markets worldwide. Although the political tension has been mounting for some months, the actual incursion was a surprise for many. Therefore, it is vital to evaluate how funds priced the investments in direct conflict and NATO member states. For this, we estimate the following fixed effect panel regression.</w:t>
      </w:r>
    </w:p>
    <w:p w14:paraId="7D234A76" w14:textId="77777777" w:rsidR="00E704E9" w:rsidRDefault="00B137DE" w:rsidP="00E704E9">
      <w:pPr>
        <w:spacing w:after="0" w:line="480" w:lineRule="auto"/>
        <w:jc w:val="both"/>
        <w:rPr>
          <w:rFonts w:ascii="Times New Roman"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CAR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iCs/>
                <w:sz w:val="24"/>
                <w:szCs w:val="24"/>
              </w:rPr>
            </m:ctrlPr>
          </m:sSubPr>
          <m:e>
            <m:r>
              <w:rPr>
                <w:rFonts w:ascii="Cambria Math" w:hAnsi="Cambria Math" w:cs="Times New Roman"/>
                <w:sz w:val="24"/>
                <w:szCs w:val="24"/>
              </w:rPr>
              <m:t>Con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iCs/>
                <w:sz w:val="24"/>
                <w:szCs w:val="24"/>
              </w:rPr>
            </m:ctrlPr>
          </m:sSubPr>
          <m:e>
            <m:r>
              <w:rPr>
                <w:rFonts w:ascii="Cambria Math" w:hAnsi="Cambria Math" w:cs="Times New Roman"/>
                <w:sz w:val="24"/>
                <w:szCs w:val="24"/>
              </w:rPr>
              <m:t>NATO</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X</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it</m:t>
            </m:r>
          </m:sub>
        </m:sSub>
      </m:oMath>
      <w:r w:rsidR="00E704E9">
        <w:rPr>
          <w:rFonts w:ascii="Times New Roman" w:hAnsi="Times New Roman" w:cs="Times New Roman"/>
          <w:iCs/>
          <w:sz w:val="24"/>
          <w:szCs w:val="24"/>
        </w:rPr>
        <w:t xml:space="preserve"> </w:t>
      </w:r>
      <w:r w:rsidR="00E704E9">
        <w:rPr>
          <w:rFonts w:ascii="Times New Roman" w:hAnsi="Times New Roman" w:cs="Times New Roman"/>
          <w:iCs/>
          <w:sz w:val="24"/>
          <w:szCs w:val="24"/>
        </w:rPr>
        <w:tab/>
      </w:r>
      <w:r w:rsidR="00E704E9">
        <w:rPr>
          <w:rFonts w:ascii="Times New Roman" w:hAnsi="Times New Roman" w:cs="Times New Roman"/>
          <w:iCs/>
          <w:sz w:val="24"/>
          <w:szCs w:val="24"/>
        </w:rPr>
        <w:tab/>
      </w:r>
      <w:r w:rsidR="00E704E9">
        <w:rPr>
          <w:rFonts w:ascii="Times New Roman" w:hAnsi="Times New Roman" w:cs="Times New Roman"/>
          <w:iCs/>
          <w:sz w:val="24"/>
          <w:szCs w:val="24"/>
        </w:rPr>
        <w:tab/>
      </w:r>
      <w:r w:rsidR="00E704E9">
        <w:rPr>
          <w:rFonts w:ascii="Times New Roman" w:hAnsi="Times New Roman" w:cs="Times New Roman"/>
          <w:iCs/>
          <w:sz w:val="24"/>
          <w:szCs w:val="24"/>
        </w:rPr>
        <w:tab/>
      </w:r>
      <w:r w:rsidR="00E704E9">
        <w:rPr>
          <w:rFonts w:ascii="Times New Roman" w:hAnsi="Times New Roman" w:cs="Times New Roman"/>
          <w:iCs/>
          <w:sz w:val="24"/>
          <w:szCs w:val="24"/>
        </w:rPr>
        <w:tab/>
        <w:t>. . . . . (3)</w:t>
      </w:r>
    </w:p>
    <w:p w14:paraId="4DEC8083" w14:textId="47485AF9" w:rsidR="00E704E9" w:rsidRDefault="00E704E9" w:rsidP="00E704E9">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 xml:space="preserve">In equation 3, CAR is the fund </w:t>
      </w:r>
      <w:r w:rsidR="002C1EDB">
        <w:rPr>
          <w:rFonts w:ascii="Times New Roman" w:hAnsi="Times New Roman" w:cs="Times New Roman"/>
          <w:iCs/>
          <w:sz w:val="24"/>
          <w:szCs w:val="24"/>
        </w:rPr>
        <w:t xml:space="preserve">abnormal </w:t>
      </w:r>
      <w:r>
        <w:rPr>
          <w:rFonts w:ascii="Times New Roman" w:hAnsi="Times New Roman" w:cs="Times New Roman"/>
          <w:iCs/>
          <w:sz w:val="24"/>
          <w:szCs w:val="24"/>
        </w:rPr>
        <w:t xml:space="preserve">returns for each event window, </w:t>
      </w:r>
      <w:r w:rsidRPr="006041AA">
        <w:rPr>
          <w:rFonts w:ascii="Times New Roman" w:hAnsi="Times New Roman" w:cs="Times New Roman"/>
          <w:i/>
          <w:sz w:val="24"/>
          <w:szCs w:val="24"/>
        </w:rPr>
        <w:t>Con</w:t>
      </w:r>
      <w:r>
        <w:rPr>
          <w:rFonts w:ascii="Times New Roman" w:hAnsi="Times New Roman" w:cs="Times New Roman"/>
          <w:iCs/>
          <w:sz w:val="24"/>
          <w:szCs w:val="24"/>
        </w:rPr>
        <w:t xml:space="preserve"> represents the proportion of investment in the conflict countries, and </w:t>
      </w:r>
      <w:r w:rsidRPr="006041AA">
        <w:rPr>
          <w:rFonts w:ascii="Times New Roman" w:hAnsi="Times New Roman" w:cs="Times New Roman"/>
          <w:i/>
          <w:sz w:val="24"/>
          <w:szCs w:val="24"/>
        </w:rPr>
        <w:t>NATO</w:t>
      </w:r>
      <w:r>
        <w:rPr>
          <w:rFonts w:ascii="Times New Roman" w:hAnsi="Times New Roman" w:cs="Times New Roman"/>
          <w:iCs/>
          <w:sz w:val="24"/>
          <w:szCs w:val="24"/>
        </w:rPr>
        <w:t xml:space="preserve"> donates the percentage of investing in NATO member states. We also introduce a matrix X of control variables to account for market risk (beta), assets under management (AUM), performance (alpha), the book to market (BM), and momentum (MoM). We estimate equation 3 for the whole sample and each category. The data for this research is extracted from multiple sources. This includes Morningstar for funds, public data repositories of </w:t>
      </w:r>
      <w:proofErr w:type="spellStart"/>
      <w:r>
        <w:rPr>
          <w:rFonts w:ascii="Times New Roman" w:hAnsi="Times New Roman" w:cs="Times New Roman"/>
          <w:iCs/>
          <w:sz w:val="24"/>
          <w:szCs w:val="24"/>
        </w:rPr>
        <w:t>Keneth</w:t>
      </w:r>
      <w:proofErr w:type="spellEnd"/>
      <w:r>
        <w:rPr>
          <w:rFonts w:ascii="Times New Roman" w:hAnsi="Times New Roman" w:cs="Times New Roman"/>
          <w:iCs/>
          <w:sz w:val="24"/>
          <w:szCs w:val="24"/>
        </w:rPr>
        <w:t xml:space="preserve"> French (for BM and MoM), Damodaran (for country risk premium), ECB, as well as websites of individual funds when the relevant information was not extractable from structured databases.    </w:t>
      </w:r>
    </w:p>
    <w:p w14:paraId="21B9B6EB" w14:textId="77B34C84" w:rsidR="003B023E" w:rsidRPr="00387F12" w:rsidRDefault="00593146" w:rsidP="006033E0">
      <w:pPr>
        <w:spacing w:after="0" w:line="480" w:lineRule="auto"/>
        <w:jc w:val="both"/>
        <w:rPr>
          <w:rFonts w:ascii="Times New Roman" w:hAnsi="Times New Roman" w:cs="Times New Roman"/>
          <w:b/>
          <w:bCs/>
          <w:iCs/>
          <w:sz w:val="24"/>
          <w:szCs w:val="24"/>
        </w:rPr>
      </w:pPr>
      <w:r w:rsidRPr="00387F12">
        <w:rPr>
          <w:rFonts w:ascii="Times New Roman" w:hAnsi="Times New Roman" w:cs="Times New Roman"/>
          <w:b/>
          <w:bCs/>
          <w:sz w:val="24"/>
          <w:szCs w:val="24"/>
        </w:rPr>
        <w:t>3.</w:t>
      </w:r>
      <w:r w:rsidRPr="00387F12">
        <w:rPr>
          <w:rFonts w:ascii="Times New Roman" w:hAnsi="Times New Roman" w:cs="Times New Roman"/>
          <w:b/>
          <w:bCs/>
          <w:sz w:val="24"/>
          <w:szCs w:val="24"/>
        </w:rPr>
        <w:tab/>
      </w:r>
      <w:r w:rsidR="003B023E" w:rsidRPr="00387F12">
        <w:rPr>
          <w:rFonts w:ascii="Times New Roman" w:hAnsi="Times New Roman" w:cs="Times New Roman"/>
          <w:b/>
          <w:bCs/>
          <w:sz w:val="24"/>
          <w:szCs w:val="24"/>
        </w:rPr>
        <w:t>Results and Discu</w:t>
      </w:r>
      <w:r w:rsidRPr="00387F12">
        <w:rPr>
          <w:rFonts w:ascii="Times New Roman" w:hAnsi="Times New Roman" w:cs="Times New Roman"/>
          <w:b/>
          <w:bCs/>
          <w:sz w:val="24"/>
          <w:szCs w:val="24"/>
        </w:rPr>
        <w:t>s</w:t>
      </w:r>
      <w:r w:rsidR="003B023E" w:rsidRPr="00387F12">
        <w:rPr>
          <w:rFonts w:ascii="Times New Roman" w:hAnsi="Times New Roman" w:cs="Times New Roman"/>
          <w:b/>
          <w:bCs/>
          <w:sz w:val="24"/>
          <w:szCs w:val="24"/>
        </w:rPr>
        <w:t>sion</w:t>
      </w:r>
    </w:p>
    <w:p w14:paraId="3C0BC44E" w14:textId="77777777" w:rsidR="00AC4E00" w:rsidRDefault="00B03962"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C4E00">
        <w:rPr>
          <w:rFonts w:ascii="Times New Roman" w:hAnsi="Times New Roman" w:cs="Times New Roman"/>
          <w:sz w:val="24"/>
          <w:szCs w:val="24"/>
        </w:rPr>
        <w:t>The results of the price reaction (value-weighted CARs) of funds are presented in table 2. We observe significant and negative abnormal returns for funds in Russia, Ukraine, and NATO states on the invasion day. The negative sentiment signals the perceived economic damage associated with this unfortunate event. The observation for t-5 and t-3 reveal some intriguing results with significant and negative CARs for both Ukraine and Russia. On the contrary, funds in the NATO states experienced positive abnormal returns for these event windows. The adverse reaction in the conflict countries indicates that the potential invasion was being priced. At the same time, for NATO states, the likelihood of active skirmish was minimal, and a full-fledged war was never the base-case scenario. Although, on February 21</w:t>
      </w:r>
      <w:r w:rsidR="00AC4E00" w:rsidRPr="00D80CE2">
        <w:rPr>
          <w:rFonts w:ascii="Times New Roman" w:hAnsi="Times New Roman" w:cs="Times New Roman"/>
          <w:sz w:val="24"/>
          <w:szCs w:val="24"/>
          <w:vertAlign w:val="superscript"/>
        </w:rPr>
        <w:t>st</w:t>
      </w:r>
      <w:r w:rsidR="00AC4E00">
        <w:rPr>
          <w:rFonts w:ascii="Times New Roman" w:hAnsi="Times New Roman" w:cs="Times New Roman"/>
          <w:sz w:val="24"/>
          <w:szCs w:val="24"/>
        </w:rPr>
        <w:t xml:space="preserve">, </w:t>
      </w:r>
      <w:r w:rsidR="00AC4E00">
        <w:rPr>
          <w:rFonts w:ascii="Times New Roman" w:hAnsi="Times New Roman" w:cs="Times New Roman"/>
          <w:sz w:val="24"/>
          <w:szCs w:val="24"/>
        </w:rPr>
        <w:lastRenderedPageBreak/>
        <w:t xml:space="preserve">Russia signed the decree to recognize the sovereignty of Luhansk and Donetsk People’s Republic, the global perception was that the pressure of economic sanctions would help avoid the offensive. On t-5 and t-3, the key intercessions included sanctions on two state-owned Russian financial institutions by the US and the freezing of assets of five banks by the UK. The negative and positive abnormal returns for conflict and NATO-based funds on t-3 and t-5 are attributable to these sanctions. </w:t>
      </w:r>
    </w:p>
    <w:p w14:paraId="2A76BBEE" w14:textId="77777777" w:rsidR="00AC4E00" w:rsidRDefault="00AC4E00"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During t+3 and t+5, the abnormal returns continue to be negative for both the countries in conflict. For Ukraine, the magnitude of the returns increased, while for those in Russia, it reduced, and especially for t+5, the CAR was significant only at 10%. In the case of Russia, a higher impact on t+3 is understandable because it was on February 26</w:t>
      </w:r>
      <w:r w:rsidRPr="0068382F">
        <w:rPr>
          <w:rFonts w:ascii="Times New Roman" w:hAnsi="Times New Roman" w:cs="Times New Roman"/>
          <w:sz w:val="24"/>
          <w:szCs w:val="24"/>
          <w:vertAlign w:val="superscript"/>
        </w:rPr>
        <w:t>th</w:t>
      </w:r>
      <w:r>
        <w:rPr>
          <w:rFonts w:ascii="Times New Roman" w:hAnsi="Times New Roman" w:cs="Times New Roman"/>
          <w:sz w:val="24"/>
          <w:szCs w:val="24"/>
        </w:rPr>
        <w:t xml:space="preserve"> that some Russian banks were removed from SWIFT. On the contrary, for NATO states, we see an increase in abnormal returns for t+3 and thereafter a reduction on t+5. This is plausible as once the improbable happened, the geopolitical risk was priced on t and t+3.</w:t>
      </w:r>
    </w:p>
    <w:p w14:paraId="281459E7" w14:textId="77777777" w:rsidR="00AC4E00" w:rsidRDefault="00AC4E00"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funds from countries that later abstained from voting was noteworthy. For t-5 and t-3, the abnormal returns were not significant. However, we observed a positive reaction during t, t+3, and t+5. There could be two possible reasons for this. First, the markets in these countries may have anticipated that the outflows from Russia could be </w:t>
      </w:r>
      <w:proofErr w:type="spellStart"/>
      <w:r>
        <w:rPr>
          <w:rFonts w:ascii="Times New Roman" w:hAnsi="Times New Roman" w:cs="Times New Roman"/>
          <w:sz w:val="24"/>
          <w:szCs w:val="24"/>
        </w:rPr>
        <w:t>channeled</w:t>
      </w:r>
      <w:proofErr w:type="spellEnd"/>
      <w:r>
        <w:rPr>
          <w:rFonts w:ascii="Times New Roman" w:hAnsi="Times New Roman" w:cs="Times New Roman"/>
          <w:sz w:val="24"/>
          <w:szCs w:val="24"/>
        </w:rPr>
        <w:t xml:space="preserve"> to them, increasing their foreign portfolio investment. Second, as most of these countries have historically maintained a neutral stance between Russia and NATO, they had hoped to benefit from Russian divestments elsewhere.</w:t>
      </w:r>
    </w:p>
    <w:p w14:paraId="2FC9AE7D" w14:textId="77777777" w:rsidR="00AC4E00" w:rsidRDefault="00AC4E00" w:rsidP="00AC4E00">
      <w:pPr>
        <w:spacing w:after="0" w:line="480" w:lineRule="auto"/>
        <w:ind w:left="3600"/>
        <w:jc w:val="both"/>
        <w:rPr>
          <w:rFonts w:ascii="Times New Roman" w:hAnsi="Times New Roman" w:cs="Times New Roman"/>
          <w:sz w:val="24"/>
          <w:szCs w:val="24"/>
        </w:rPr>
      </w:pPr>
      <w:r>
        <w:rPr>
          <w:rFonts w:ascii="Times New Roman" w:hAnsi="Times New Roman" w:cs="Times New Roman"/>
          <w:sz w:val="24"/>
          <w:szCs w:val="24"/>
        </w:rPr>
        <w:t>[Table 2 here]</w:t>
      </w:r>
    </w:p>
    <w:p w14:paraId="6737B465" w14:textId="77777777" w:rsidR="00AC4E00" w:rsidRDefault="00AC4E00"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panel regressions of funds CAR and investment exposure to conflict countries and NATO states are presented in Table 3. For t – 5, the investment exposure to conflict countries resulted in lower CARs for the funds. However, the exposure to NATO countries was positively associated with the abnormal returns. On t – 3 and t, the funds with </w:t>
      </w:r>
      <w:r>
        <w:rPr>
          <w:rFonts w:ascii="Times New Roman" w:hAnsi="Times New Roman" w:cs="Times New Roman"/>
          <w:sz w:val="24"/>
          <w:szCs w:val="24"/>
        </w:rPr>
        <w:lastRenderedPageBreak/>
        <w:t xml:space="preserve">higher exposure towards conflict countries continued to suffer at an increasing rate. After that, the magnitude of the coefficient reduced for post-event windows, although the relationship with CAR was still negative. The exposure toward NATO states supported abnormal returns during t – 3 but had a negative influence during t, t + 3, and t + 5. These results were net of the control variables of market risk, size, performance, the book to market, and momentum after accounting for country fixed effects. </w:t>
      </w:r>
    </w:p>
    <w:p w14:paraId="5F106F5D" w14:textId="77777777" w:rsidR="00AC4E00" w:rsidRDefault="00AC4E00" w:rsidP="00AC4E00">
      <w:pPr>
        <w:spacing w:after="0" w:line="480" w:lineRule="auto"/>
        <w:ind w:left="3600"/>
        <w:jc w:val="both"/>
        <w:rPr>
          <w:rFonts w:ascii="Times New Roman" w:hAnsi="Times New Roman" w:cs="Times New Roman"/>
          <w:sz w:val="24"/>
          <w:szCs w:val="24"/>
        </w:rPr>
      </w:pPr>
      <w:r>
        <w:rPr>
          <w:rFonts w:ascii="Times New Roman" w:hAnsi="Times New Roman" w:cs="Times New Roman"/>
          <w:sz w:val="24"/>
          <w:szCs w:val="24"/>
        </w:rPr>
        <w:t>[Table 3 here]</w:t>
      </w:r>
    </w:p>
    <w:p w14:paraId="148D3979" w14:textId="77777777" w:rsidR="00AC4E00" w:rsidRDefault="00AC4E00"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results for funds from the conflict nations, NATO members, and abstained countries are presented in tables 4, 5, and 6. The funds in Ukraine and Russia penalized both the local exposure and NATO states for all dates. On the contrary, the NATO-based funds depict a drag of local investment on abnormal returns for the invasion day and t+3 and t+5. The exposure in the conflict countries was castigated throughout. We attribute the NATO-specific results to the general belief that an active war is highly improbable and the economic and social sanctions will be an effective deterrent. Consequently, the local exposure before February 24</w:t>
      </w:r>
      <w:r w:rsidRPr="00FA4197">
        <w:rPr>
          <w:rFonts w:ascii="Times New Roman" w:hAnsi="Times New Roman" w:cs="Times New Roman"/>
          <w:sz w:val="24"/>
          <w:szCs w:val="24"/>
          <w:vertAlign w:val="superscript"/>
        </w:rPr>
        <w:t>th</w:t>
      </w:r>
      <w:r>
        <w:rPr>
          <w:rFonts w:ascii="Times New Roman" w:hAnsi="Times New Roman" w:cs="Times New Roman"/>
          <w:sz w:val="24"/>
          <w:szCs w:val="24"/>
        </w:rPr>
        <w:t xml:space="preserve"> was positively associated with the CARs, and after that, it had a negative impact. </w:t>
      </w:r>
    </w:p>
    <w:p w14:paraId="08E2A603" w14:textId="77777777" w:rsidR="00AC4E00" w:rsidRDefault="00AC4E00" w:rsidP="00AC4E00">
      <w:pPr>
        <w:spacing w:after="0"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[Table 4, 5, 6 here] </w:t>
      </w:r>
    </w:p>
    <w:p w14:paraId="7A076667" w14:textId="77777777" w:rsidR="00AC4E00" w:rsidRDefault="00AC4E00" w:rsidP="00AC4E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abstained countries, we have mixed observations. The investment in the conflict countries before the war resulted in higher CARs. On the day of the event, the impact is negative, which is plausible due to the geopolitical uncertainty. Finally, the relationship is insignificant for t+3 and t+5, depicting that the funds in abstained countries were not pricing the investment exposure to Ukraine and Russia. The investment in NATO states adversely influenced the CARs for the six-event windows, possibly reflecting a negative sentiment about NATO’s reaction to the situation.    </w:t>
      </w:r>
    </w:p>
    <w:p w14:paraId="7848A0B2" w14:textId="62E2C0C2" w:rsidR="003B023E" w:rsidRPr="0088215B" w:rsidRDefault="00593146" w:rsidP="006033E0">
      <w:pPr>
        <w:spacing w:after="0" w:line="480" w:lineRule="auto"/>
        <w:jc w:val="both"/>
        <w:rPr>
          <w:rFonts w:ascii="Times New Roman" w:hAnsi="Times New Roman" w:cs="Times New Roman"/>
          <w:b/>
          <w:bCs/>
          <w:sz w:val="24"/>
          <w:szCs w:val="24"/>
        </w:rPr>
      </w:pPr>
      <w:r w:rsidRPr="0088215B">
        <w:rPr>
          <w:rFonts w:ascii="Times New Roman" w:hAnsi="Times New Roman" w:cs="Times New Roman"/>
          <w:b/>
          <w:bCs/>
          <w:sz w:val="24"/>
          <w:szCs w:val="24"/>
        </w:rPr>
        <w:t>4.</w:t>
      </w:r>
      <w:r w:rsidRPr="0088215B">
        <w:rPr>
          <w:rFonts w:ascii="Times New Roman" w:hAnsi="Times New Roman" w:cs="Times New Roman"/>
          <w:b/>
          <w:bCs/>
          <w:sz w:val="24"/>
          <w:szCs w:val="24"/>
        </w:rPr>
        <w:tab/>
      </w:r>
      <w:r w:rsidR="003B023E" w:rsidRPr="0088215B">
        <w:rPr>
          <w:rFonts w:ascii="Times New Roman" w:hAnsi="Times New Roman" w:cs="Times New Roman"/>
          <w:b/>
          <w:bCs/>
          <w:sz w:val="24"/>
          <w:szCs w:val="24"/>
        </w:rPr>
        <w:t>Conclusion</w:t>
      </w:r>
    </w:p>
    <w:p w14:paraId="10BA6F4E" w14:textId="77777777" w:rsidR="00D15EC3" w:rsidRDefault="00D24290" w:rsidP="00D15E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15EC3">
        <w:rPr>
          <w:rFonts w:ascii="Times New Roman" w:hAnsi="Times New Roman" w:cs="Times New Roman"/>
          <w:sz w:val="24"/>
          <w:szCs w:val="24"/>
        </w:rPr>
        <w:t xml:space="preserve">The turbulent impact of the Russia-Ukraine war has spilled over to the asset management industry, and this paper provides premier evidence of the price reaction of the global equity funds. Our findings document the adverse impact of the war on the funds based in Russia, Ukraine, and NATO member states. Interestingly, the funds in countries that later abstained from voting on the UN resolution demonstrated positive abnormal returns in the days following the war. We also observe the negative influence of investment in conflict and NATO states on funds’ CARs just before the beginning of the war and a few days after. Our analysis has important implications for fund managers and investors to optimize investment styles and strategies.   </w:t>
      </w:r>
    </w:p>
    <w:p w14:paraId="3009C844" w14:textId="5B4CB9A8" w:rsidR="00D24290" w:rsidRDefault="00D24290" w:rsidP="006033E0">
      <w:pPr>
        <w:spacing w:after="0" w:line="480" w:lineRule="auto"/>
        <w:jc w:val="both"/>
        <w:rPr>
          <w:rFonts w:ascii="Times New Roman" w:hAnsi="Times New Roman" w:cs="Times New Roman"/>
          <w:sz w:val="24"/>
          <w:szCs w:val="24"/>
        </w:rPr>
      </w:pPr>
    </w:p>
    <w:p w14:paraId="0266944D" w14:textId="738D20F9" w:rsidR="00300445" w:rsidRDefault="00300445">
      <w:pPr>
        <w:rPr>
          <w:rFonts w:ascii="Times New Roman" w:hAnsi="Times New Roman" w:cs="Times New Roman"/>
          <w:sz w:val="24"/>
          <w:szCs w:val="24"/>
        </w:rPr>
      </w:pPr>
      <w:r>
        <w:rPr>
          <w:rFonts w:ascii="Times New Roman" w:hAnsi="Times New Roman" w:cs="Times New Roman"/>
          <w:sz w:val="24"/>
          <w:szCs w:val="24"/>
        </w:rPr>
        <w:br w:type="page"/>
      </w:r>
    </w:p>
    <w:p w14:paraId="0836F156" w14:textId="0BEFF58B" w:rsidR="005F75F1" w:rsidRPr="00300445" w:rsidRDefault="00300445" w:rsidP="006033E0">
      <w:pPr>
        <w:spacing w:after="0" w:line="480" w:lineRule="auto"/>
        <w:jc w:val="both"/>
        <w:rPr>
          <w:rFonts w:ascii="Times New Roman" w:hAnsi="Times New Roman" w:cs="Times New Roman"/>
          <w:b/>
          <w:bCs/>
          <w:sz w:val="24"/>
          <w:szCs w:val="24"/>
        </w:rPr>
      </w:pPr>
      <w:r w:rsidRPr="00300445">
        <w:rPr>
          <w:rFonts w:ascii="Times New Roman" w:hAnsi="Times New Roman" w:cs="Times New Roman"/>
          <w:b/>
          <w:bCs/>
          <w:sz w:val="24"/>
          <w:szCs w:val="24"/>
        </w:rPr>
        <w:lastRenderedPageBreak/>
        <w:t>References</w:t>
      </w:r>
    </w:p>
    <w:p w14:paraId="1A882CE6" w14:textId="09B98762" w:rsidR="001E61A6" w:rsidRPr="001E61A6" w:rsidRDefault="00300445"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E61A6" w:rsidRPr="001E61A6">
        <w:rPr>
          <w:rFonts w:ascii="Times New Roman" w:hAnsi="Times New Roman" w:cs="Times New Roman"/>
          <w:noProof/>
          <w:sz w:val="24"/>
          <w:szCs w:val="24"/>
        </w:rPr>
        <w:t xml:space="preserve">Banerjee, P., &amp; Dutta, S. (2022). The effect of political risk on investment decisions. </w:t>
      </w:r>
      <w:r w:rsidR="001E61A6" w:rsidRPr="001E61A6">
        <w:rPr>
          <w:rFonts w:ascii="Times New Roman" w:hAnsi="Times New Roman" w:cs="Times New Roman"/>
          <w:i/>
          <w:iCs/>
          <w:noProof/>
          <w:sz w:val="24"/>
          <w:szCs w:val="24"/>
        </w:rPr>
        <w:t>Economics Letters</w:t>
      </w:r>
      <w:r w:rsidR="001E61A6" w:rsidRPr="001E61A6">
        <w:rPr>
          <w:rFonts w:ascii="Times New Roman" w:hAnsi="Times New Roman" w:cs="Times New Roman"/>
          <w:noProof/>
          <w:sz w:val="24"/>
          <w:szCs w:val="24"/>
        </w:rPr>
        <w:t xml:space="preserve">, </w:t>
      </w:r>
      <w:r w:rsidR="001E61A6" w:rsidRPr="001E61A6">
        <w:rPr>
          <w:rFonts w:ascii="Times New Roman" w:hAnsi="Times New Roman" w:cs="Times New Roman"/>
          <w:i/>
          <w:iCs/>
          <w:noProof/>
          <w:sz w:val="24"/>
          <w:szCs w:val="24"/>
        </w:rPr>
        <w:t>212</w:t>
      </w:r>
      <w:r w:rsidR="001E61A6" w:rsidRPr="001E61A6">
        <w:rPr>
          <w:rFonts w:ascii="Times New Roman" w:hAnsi="Times New Roman" w:cs="Times New Roman"/>
          <w:noProof/>
          <w:sz w:val="24"/>
          <w:szCs w:val="24"/>
        </w:rPr>
        <w:t>, 110301. https://doi.org/10.1016/J.ECONLET.2022.110301</w:t>
      </w:r>
    </w:p>
    <w:p w14:paraId="752F3BC8"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Boubaker, S., Goodell, J. W., Pandey, D. K., &amp; Kumari, V. (2022). Heterogeneous impacts of wars on global equity markets: Evidence from the invasion of Ukraine. </w:t>
      </w:r>
      <w:r w:rsidRPr="001E61A6">
        <w:rPr>
          <w:rFonts w:ascii="Times New Roman" w:hAnsi="Times New Roman" w:cs="Times New Roman"/>
          <w:i/>
          <w:iCs/>
          <w:noProof/>
          <w:sz w:val="24"/>
          <w:szCs w:val="24"/>
        </w:rPr>
        <w:t>Finance Research Letters</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48</w:t>
      </w:r>
      <w:r w:rsidRPr="001E61A6">
        <w:rPr>
          <w:rFonts w:ascii="Times New Roman" w:hAnsi="Times New Roman" w:cs="Times New Roman"/>
          <w:noProof/>
          <w:sz w:val="24"/>
          <w:szCs w:val="24"/>
        </w:rPr>
        <w:t>, 102934. https://doi.org/10.1016/J.FRL.2022.102934</w:t>
      </w:r>
    </w:p>
    <w:p w14:paraId="30156BC2"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Boungou, W., &amp; Yatié, A. (2022). The impact of the Ukraine–Russia war on world stock market returns. </w:t>
      </w:r>
      <w:r w:rsidRPr="001E61A6">
        <w:rPr>
          <w:rFonts w:ascii="Times New Roman" w:hAnsi="Times New Roman" w:cs="Times New Roman"/>
          <w:i/>
          <w:iCs/>
          <w:noProof/>
          <w:sz w:val="24"/>
          <w:szCs w:val="24"/>
        </w:rPr>
        <w:t>Economics Letters</w:t>
      </w:r>
      <w:r w:rsidRPr="001E61A6">
        <w:rPr>
          <w:rFonts w:ascii="Times New Roman" w:hAnsi="Times New Roman" w:cs="Times New Roman"/>
          <w:noProof/>
          <w:sz w:val="24"/>
          <w:szCs w:val="24"/>
        </w:rPr>
        <w:t>, 110516. https://doi.org/10.1016/J.ECONLET.2022.110516</w:t>
      </w:r>
    </w:p>
    <w:p w14:paraId="40D3ADF2"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Gong, X., &amp; Xu, J. (2022). Geopolitical risk and dynamic connectedness between commodity markets. </w:t>
      </w:r>
      <w:r w:rsidRPr="001E61A6">
        <w:rPr>
          <w:rFonts w:ascii="Times New Roman" w:hAnsi="Times New Roman" w:cs="Times New Roman"/>
          <w:i/>
          <w:iCs/>
          <w:noProof/>
          <w:sz w:val="24"/>
          <w:szCs w:val="24"/>
        </w:rPr>
        <w:t>Energy Economics</w:t>
      </w:r>
      <w:r w:rsidRPr="001E61A6">
        <w:rPr>
          <w:rFonts w:ascii="Times New Roman" w:hAnsi="Times New Roman" w:cs="Times New Roman"/>
          <w:noProof/>
          <w:sz w:val="24"/>
          <w:szCs w:val="24"/>
        </w:rPr>
        <w:t>, 106028. https://doi.org/10.1016/J.ENECO.2022.106028</w:t>
      </w:r>
    </w:p>
    <w:p w14:paraId="13C4E6CC"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Hasnaoui, J. A., Rizvi, S. K. A., Reddy, K., Mirza, N., &amp; Naqvi, B. (2021). Human capital efficiency, performance, market, and volatility timing of asian equity funds during COVID-19 outbreak. </w:t>
      </w:r>
      <w:r w:rsidRPr="001E61A6">
        <w:rPr>
          <w:rFonts w:ascii="Times New Roman" w:hAnsi="Times New Roman" w:cs="Times New Roman"/>
          <w:i/>
          <w:iCs/>
          <w:noProof/>
          <w:sz w:val="24"/>
          <w:szCs w:val="24"/>
        </w:rPr>
        <w:t>Journal of Asset Management 2021</w:t>
      </w:r>
      <w:r w:rsidRPr="001E61A6">
        <w:rPr>
          <w:rFonts w:ascii="Times New Roman" w:hAnsi="Times New Roman" w:cs="Times New Roman"/>
          <w:noProof/>
          <w:sz w:val="24"/>
          <w:szCs w:val="24"/>
        </w:rPr>
        <w:t>, 1–16. https://doi.org/10.1057/S41260-021-00228-Y</w:t>
      </w:r>
    </w:p>
    <w:p w14:paraId="03D6D756"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Jopp, T. A. (2020). The determinants of sovereign bond liquidity during WWI. </w:t>
      </w:r>
      <w:r w:rsidRPr="001E61A6">
        <w:rPr>
          <w:rFonts w:ascii="Times New Roman" w:hAnsi="Times New Roman" w:cs="Times New Roman"/>
          <w:i/>
          <w:iCs/>
          <w:noProof/>
          <w:sz w:val="24"/>
          <w:szCs w:val="24"/>
        </w:rPr>
        <w:t>Economics Letters</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196</w:t>
      </w:r>
      <w:r w:rsidRPr="001E61A6">
        <w:rPr>
          <w:rFonts w:ascii="Times New Roman" w:hAnsi="Times New Roman" w:cs="Times New Roman"/>
          <w:noProof/>
          <w:sz w:val="24"/>
          <w:szCs w:val="24"/>
        </w:rPr>
        <w:t>, 109555. https://doi.org/10.1016/J.ECONLET.2020.109555</w:t>
      </w:r>
    </w:p>
    <w:p w14:paraId="640FACB2"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Luo, J. hui, Gong, M., Lin, Y., &amp; Fang, Q. (2016). Political connections and stock price crash risk: Evidence from China. </w:t>
      </w:r>
      <w:r w:rsidRPr="001E61A6">
        <w:rPr>
          <w:rFonts w:ascii="Times New Roman" w:hAnsi="Times New Roman" w:cs="Times New Roman"/>
          <w:i/>
          <w:iCs/>
          <w:noProof/>
          <w:sz w:val="24"/>
          <w:szCs w:val="24"/>
        </w:rPr>
        <w:t>Economics Letters</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147</w:t>
      </w:r>
      <w:r w:rsidRPr="001E61A6">
        <w:rPr>
          <w:rFonts w:ascii="Times New Roman" w:hAnsi="Times New Roman" w:cs="Times New Roman"/>
          <w:noProof/>
          <w:sz w:val="24"/>
          <w:szCs w:val="24"/>
        </w:rPr>
        <w:t>, 90–92. https://doi.org/10.1016/J.ECONLET.2016.08.024</w:t>
      </w:r>
    </w:p>
    <w:p w14:paraId="48611A2E"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Mirza, N., Abbas Rizvi, S. K., Saba, I., Naqvi, B., &amp; Yarovaya, L. (2022). The resilience of Islamic equity funds during COVID-19: Evidence from risk adjusted performance, investment styles and volatility timing. </w:t>
      </w:r>
      <w:r w:rsidRPr="001E61A6">
        <w:rPr>
          <w:rFonts w:ascii="Times New Roman" w:hAnsi="Times New Roman" w:cs="Times New Roman"/>
          <w:i/>
          <w:iCs/>
          <w:noProof/>
          <w:sz w:val="24"/>
          <w:szCs w:val="24"/>
        </w:rPr>
        <w:t>International Review of Economics &amp; Finance</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77</w:t>
      </w:r>
      <w:r w:rsidRPr="001E61A6">
        <w:rPr>
          <w:rFonts w:ascii="Times New Roman" w:hAnsi="Times New Roman" w:cs="Times New Roman"/>
          <w:noProof/>
          <w:sz w:val="24"/>
          <w:szCs w:val="24"/>
        </w:rPr>
        <w:t>, 276–295. https://doi.org/10.1016/J.IREF.2021.09.019</w:t>
      </w:r>
    </w:p>
    <w:p w14:paraId="503637AB"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Mirza, N., Naqvi, B., Rahat, B., &amp; Rizvi, S. K. A. (2020). Price Reaction, Volatility Timing and Funds’ Performance during Covid-19. </w:t>
      </w:r>
      <w:r w:rsidRPr="001E61A6">
        <w:rPr>
          <w:rFonts w:ascii="Times New Roman" w:hAnsi="Times New Roman" w:cs="Times New Roman"/>
          <w:i/>
          <w:iCs/>
          <w:noProof/>
          <w:sz w:val="24"/>
          <w:szCs w:val="24"/>
        </w:rPr>
        <w:t>Finance Research Letters</w:t>
      </w:r>
      <w:r w:rsidRPr="001E61A6">
        <w:rPr>
          <w:rFonts w:ascii="Times New Roman" w:hAnsi="Times New Roman" w:cs="Times New Roman"/>
          <w:noProof/>
          <w:sz w:val="24"/>
          <w:szCs w:val="24"/>
        </w:rPr>
        <w:t>, 101657. https://doi.org/10.1016/j.frl.2020.101657</w:t>
      </w:r>
    </w:p>
    <w:p w14:paraId="4B02769C"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Naqvi, B., Mirza, N., Rizvi, S. K. A., Porada-Rochoń, M., &amp; Itani, R. (2021). Is there a green fund premium? Evidence from twenty seven emerging markets. </w:t>
      </w:r>
      <w:r w:rsidRPr="001E61A6">
        <w:rPr>
          <w:rFonts w:ascii="Times New Roman" w:hAnsi="Times New Roman" w:cs="Times New Roman"/>
          <w:i/>
          <w:iCs/>
          <w:noProof/>
          <w:sz w:val="24"/>
          <w:szCs w:val="24"/>
        </w:rPr>
        <w:t>Global Finance Journal</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50</w:t>
      </w:r>
      <w:r w:rsidRPr="001E61A6">
        <w:rPr>
          <w:rFonts w:ascii="Times New Roman" w:hAnsi="Times New Roman" w:cs="Times New Roman"/>
          <w:noProof/>
          <w:sz w:val="24"/>
          <w:szCs w:val="24"/>
        </w:rPr>
        <w:t>, 100656. https://doi.org/10.1016/J.GFJ.2021.100656</w:t>
      </w:r>
    </w:p>
    <w:p w14:paraId="388D1032"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Phan, D. H. B., Tran, V. T., &amp; Iyke, B. N. (2022). Geopolitical risk and bank stability. </w:t>
      </w:r>
      <w:r w:rsidRPr="001E61A6">
        <w:rPr>
          <w:rFonts w:ascii="Times New Roman" w:hAnsi="Times New Roman" w:cs="Times New Roman"/>
          <w:i/>
          <w:iCs/>
          <w:noProof/>
          <w:sz w:val="24"/>
          <w:szCs w:val="24"/>
        </w:rPr>
        <w:t>Finance Research Letters</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46</w:t>
      </w:r>
      <w:r w:rsidRPr="001E61A6">
        <w:rPr>
          <w:rFonts w:ascii="Times New Roman" w:hAnsi="Times New Roman" w:cs="Times New Roman"/>
          <w:noProof/>
          <w:sz w:val="24"/>
          <w:szCs w:val="24"/>
        </w:rPr>
        <w:t>, 102453. https://doi.org/10.1016/J.FRL.2021.102453</w:t>
      </w:r>
    </w:p>
    <w:p w14:paraId="16B3199F"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Rizvi, S. K. A., Naqvi, B., &amp; Mirza, N. (2021). Is green investment different from grey? Return and volatility spillovers between green and grey energy ETFs. </w:t>
      </w:r>
      <w:r w:rsidRPr="001E61A6">
        <w:rPr>
          <w:rFonts w:ascii="Times New Roman" w:hAnsi="Times New Roman" w:cs="Times New Roman"/>
          <w:i/>
          <w:iCs/>
          <w:noProof/>
          <w:sz w:val="24"/>
          <w:szCs w:val="24"/>
        </w:rPr>
        <w:t>Annals of Operations Research</w:t>
      </w:r>
      <w:r w:rsidRPr="001E61A6">
        <w:rPr>
          <w:rFonts w:ascii="Times New Roman" w:hAnsi="Times New Roman" w:cs="Times New Roman"/>
          <w:noProof/>
          <w:sz w:val="24"/>
          <w:szCs w:val="24"/>
        </w:rPr>
        <w:t>, 1–30. https://doi.org/10.1007/S10479-021-04367-8/FIGURES/7</w:t>
      </w:r>
    </w:p>
    <w:p w14:paraId="6FEA98DD"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Salisu, A. A., Cuñado, J., &amp; Gupta, R. (2022). Geopolitical risks and historical exchange rate volatility of the BRICS. </w:t>
      </w:r>
      <w:r w:rsidRPr="001E61A6">
        <w:rPr>
          <w:rFonts w:ascii="Times New Roman" w:hAnsi="Times New Roman" w:cs="Times New Roman"/>
          <w:i/>
          <w:iCs/>
          <w:noProof/>
          <w:sz w:val="24"/>
          <w:szCs w:val="24"/>
        </w:rPr>
        <w:t>International Review of Economics &amp; Finance</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77</w:t>
      </w:r>
      <w:r w:rsidRPr="001E61A6">
        <w:rPr>
          <w:rFonts w:ascii="Times New Roman" w:hAnsi="Times New Roman" w:cs="Times New Roman"/>
          <w:noProof/>
          <w:sz w:val="24"/>
          <w:szCs w:val="24"/>
        </w:rPr>
        <w:t>, 179–190. https://doi.org/10.1016/J.IREF.2021.09.017</w:t>
      </w:r>
    </w:p>
    <w:p w14:paraId="15F747A8"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Umar, M., Ji, X., Mirza, N., &amp; Li, H. (2022). Crypto swings and the performance of carbon-intensive equity funds in China. </w:t>
      </w:r>
      <w:r w:rsidRPr="001E61A6">
        <w:rPr>
          <w:rFonts w:ascii="Times New Roman" w:hAnsi="Times New Roman" w:cs="Times New Roman"/>
          <w:i/>
          <w:iCs/>
          <w:noProof/>
          <w:sz w:val="24"/>
          <w:szCs w:val="24"/>
        </w:rPr>
        <w:t>Resources Policy</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78</w:t>
      </w:r>
      <w:r w:rsidRPr="001E61A6">
        <w:rPr>
          <w:rFonts w:ascii="Times New Roman" w:hAnsi="Times New Roman" w:cs="Times New Roman"/>
          <w:noProof/>
          <w:sz w:val="24"/>
          <w:szCs w:val="24"/>
        </w:rPr>
        <w:t>, 102786. https://doi.org/10.1016/J.RESOURPOL.2022.102786</w:t>
      </w:r>
    </w:p>
    <w:p w14:paraId="4A84A4C3"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1E61A6">
        <w:rPr>
          <w:rFonts w:ascii="Times New Roman" w:hAnsi="Times New Roman" w:cs="Times New Roman"/>
          <w:noProof/>
          <w:sz w:val="24"/>
          <w:szCs w:val="24"/>
        </w:rPr>
        <w:t xml:space="preserve">Umar, Z., Polat, O., Choi, S.-Y., &amp; Teplova, T. (2022). The impact of the Russia-Ukraine conflict on the connectedness of financial markets. </w:t>
      </w:r>
      <w:r w:rsidRPr="001E61A6">
        <w:rPr>
          <w:rFonts w:ascii="Times New Roman" w:hAnsi="Times New Roman" w:cs="Times New Roman"/>
          <w:i/>
          <w:iCs/>
          <w:noProof/>
          <w:sz w:val="24"/>
          <w:szCs w:val="24"/>
        </w:rPr>
        <w:t>Finance Research Letters</w:t>
      </w:r>
      <w:r w:rsidRPr="001E61A6">
        <w:rPr>
          <w:rFonts w:ascii="Times New Roman" w:hAnsi="Times New Roman" w:cs="Times New Roman"/>
          <w:noProof/>
          <w:sz w:val="24"/>
          <w:szCs w:val="24"/>
        </w:rPr>
        <w:t xml:space="preserve">, </w:t>
      </w:r>
      <w:r w:rsidRPr="001E61A6">
        <w:rPr>
          <w:rFonts w:ascii="Times New Roman" w:hAnsi="Times New Roman" w:cs="Times New Roman"/>
          <w:i/>
          <w:iCs/>
          <w:noProof/>
          <w:sz w:val="24"/>
          <w:szCs w:val="24"/>
        </w:rPr>
        <w:t>48</w:t>
      </w:r>
      <w:r w:rsidRPr="001E61A6">
        <w:rPr>
          <w:rFonts w:ascii="Times New Roman" w:hAnsi="Times New Roman" w:cs="Times New Roman"/>
          <w:noProof/>
          <w:sz w:val="24"/>
          <w:szCs w:val="24"/>
        </w:rPr>
        <w:t xml:space="preserve">, </w:t>
      </w:r>
      <w:r w:rsidRPr="001E61A6">
        <w:rPr>
          <w:rFonts w:ascii="Times New Roman" w:hAnsi="Times New Roman" w:cs="Times New Roman"/>
          <w:noProof/>
          <w:sz w:val="24"/>
          <w:szCs w:val="24"/>
        </w:rPr>
        <w:lastRenderedPageBreak/>
        <w:t>102976. https://doi.org/10.1016/J.FRL.2022.102976</w:t>
      </w:r>
    </w:p>
    <w:p w14:paraId="5DB1B789" w14:textId="77777777" w:rsidR="001E61A6" w:rsidRPr="001E61A6" w:rsidRDefault="001E61A6" w:rsidP="001E61A6">
      <w:pPr>
        <w:widowControl w:val="0"/>
        <w:autoSpaceDE w:val="0"/>
        <w:autoSpaceDN w:val="0"/>
        <w:adjustRightInd w:val="0"/>
        <w:spacing w:after="120" w:line="240" w:lineRule="auto"/>
        <w:ind w:left="480" w:hanging="480"/>
        <w:rPr>
          <w:rFonts w:ascii="Times New Roman" w:hAnsi="Times New Roman" w:cs="Times New Roman"/>
          <w:noProof/>
          <w:sz w:val="24"/>
        </w:rPr>
      </w:pPr>
      <w:r w:rsidRPr="001E61A6">
        <w:rPr>
          <w:rFonts w:ascii="Times New Roman" w:hAnsi="Times New Roman" w:cs="Times New Roman"/>
          <w:noProof/>
          <w:sz w:val="24"/>
          <w:szCs w:val="24"/>
        </w:rPr>
        <w:t xml:space="preserve">Yarovaya, L., Mirza, N., Abaidi, J., &amp; Hasnaoui, A. (2020). Human Capital efficiency and equity funds’ performance during the COVID-19 pandemic. </w:t>
      </w:r>
      <w:r w:rsidRPr="001E61A6">
        <w:rPr>
          <w:rFonts w:ascii="Times New Roman" w:hAnsi="Times New Roman" w:cs="Times New Roman"/>
          <w:i/>
          <w:iCs/>
          <w:noProof/>
          <w:sz w:val="24"/>
          <w:szCs w:val="24"/>
        </w:rPr>
        <w:t>International Review of Economics &amp; Finance</w:t>
      </w:r>
      <w:r w:rsidRPr="001E61A6">
        <w:rPr>
          <w:rFonts w:ascii="Times New Roman" w:hAnsi="Times New Roman" w:cs="Times New Roman"/>
          <w:noProof/>
          <w:sz w:val="24"/>
          <w:szCs w:val="24"/>
        </w:rPr>
        <w:t>. https://doi.org/10.1016/j.iref.2020.09.017</w:t>
      </w:r>
    </w:p>
    <w:p w14:paraId="0FAB81C8" w14:textId="46EC72E9" w:rsidR="00B52BD8" w:rsidRDefault="00300445" w:rsidP="00DE01B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416E75C2" w14:textId="77777777" w:rsidR="009B052F" w:rsidRPr="009B052F" w:rsidRDefault="00B52BD8" w:rsidP="009B052F">
      <w:pPr>
        <w:jc w:val="center"/>
        <w:rPr>
          <w:rFonts w:ascii="Times New Roman" w:hAnsi="Times New Roman" w:cs="Times New Roman"/>
          <w:b/>
          <w:bCs/>
          <w:sz w:val="24"/>
          <w:szCs w:val="24"/>
        </w:rPr>
      </w:pPr>
      <w:r>
        <w:rPr>
          <w:rFonts w:ascii="Times New Roman" w:hAnsi="Times New Roman" w:cs="Times New Roman"/>
          <w:sz w:val="24"/>
          <w:szCs w:val="24"/>
        </w:rPr>
        <w:br w:type="page"/>
      </w:r>
      <w:r w:rsidR="009B052F" w:rsidRPr="009B052F">
        <w:rPr>
          <w:rFonts w:ascii="Times New Roman" w:hAnsi="Times New Roman" w:cs="Times New Roman"/>
          <w:b/>
          <w:bCs/>
          <w:sz w:val="24"/>
          <w:szCs w:val="24"/>
        </w:rPr>
        <w:lastRenderedPageBreak/>
        <w:t>Tables</w:t>
      </w:r>
    </w:p>
    <w:tbl>
      <w:tblPr>
        <w:tblW w:w="7952" w:type="dxa"/>
        <w:tblLook w:val="04A0" w:firstRow="1" w:lastRow="0" w:firstColumn="1" w:lastColumn="0" w:noHBand="0" w:noVBand="1"/>
      </w:tblPr>
      <w:tblGrid>
        <w:gridCol w:w="2487"/>
        <w:gridCol w:w="2499"/>
        <w:gridCol w:w="2966"/>
      </w:tblGrid>
      <w:tr w:rsidR="009B052F" w:rsidRPr="00324BAE" w14:paraId="69E0E94F" w14:textId="77777777" w:rsidTr="001F092A">
        <w:trPr>
          <w:trHeight w:val="278"/>
        </w:trPr>
        <w:tc>
          <w:tcPr>
            <w:tcW w:w="7952" w:type="dxa"/>
            <w:gridSpan w:val="3"/>
            <w:tcBorders>
              <w:top w:val="nil"/>
              <w:left w:val="nil"/>
              <w:bottom w:val="nil"/>
              <w:right w:val="nil"/>
            </w:tcBorders>
            <w:shd w:val="clear" w:color="auto" w:fill="auto"/>
            <w:noWrap/>
            <w:vAlign w:val="bottom"/>
            <w:hideMark/>
          </w:tcPr>
          <w:p w14:paraId="45A87017"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Table 1: Sample Description</w:t>
            </w:r>
          </w:p>
        </w:tc>
      </w:tr>
      <w:tr w:rsidR="009B052F" w:rsidRPr="00324BAE" w14:paraId="5F693066" w14:textId="77777777" w:rsidTr="001F092A">
        <w:trPr>
          <w:trHeight w:val="278"/>
        </w:trPr>
        <w:tc>
          <w:tcPr>
            <w:tcW w:w="2487" w:type="dxa"/>
            <w:tcBorders>
              <w:top w:val="single" w:sz="4" w:space="0" w:color="auto"/>
              <w:left w:val="nil"/>
              <w:bottom w:val="single" w:sz="4" w:space="0" w:color="auto"/>
              <w:right w:val="nil"/>
            </w:tcBorders>
            <w:shd w:val="clear" w:color="auto" w:fill="auto"/>
            <w:noWrap/>
            <w:vAlign w:val="bottom"/>
            <w:hideMark/>
          </w:tcPr>
          <w:p w14:paraId="74637C6C"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 </w:t>
            </w:r>
          </w:p>
        </w:tc>
        <w:tc>
          <w:tcPr>
            <w:tcW w:w="2498" w:type="dxa"/>
            <w:tcBorders>
              <w:top w:val="single" w:sz="4" w:space="0" w:color="auto"/>
              <w:left w:val="nil"/>
              <w:bottom w:val="single" w:sz="4" w:space="0" w:color="auto"/>
              <w:right w:val="nil"/>
            </w:tcBorders>
            <w:shd w:val="clear" w:color="auto" w:fill="auto"/>
            <w:noWrap/>
            <w:vAlign w:val="bottom"/>
            <w:hideMark/>
          </w:tcPr>
          <w:p w14:paraId="27A93DB0"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Country</w:t>
            </w:r>
          </w:p>
        </w:tc>
        <w:tc>
          <w:tcPr>
            <w:tcW w:w="2966" w:type="dxa"/>
            <w:tcBorders>
              <w:top w:val="single" w:sz="4" w:space="0" w:color="auto"/>
              <w:left w:val="nil"/>
              <w:bottom w:val="single" w:sz="4" w:space="0" w:color="auto"/>
              <w:right w:val="nil"/>
            </w:tcBorders>
            <w:shd w:val="clear" w:color="auto" w:fill="auto"/>
            <w:noWrap/>
            <w:vAlign w:val="bottom"/>
            <w:hideMark/>
          </w:tcPr>
          <w:p w14:paraId="22B0458E"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No of Equity Funds</w:t>
            </w:r>
          </w:p>
        </w:tc>
      </w:tr>
      <w:tr w:rsidR="009B052F" w:rsidRPr="00324BAE" w14:paraId="61A99DB9" w14:textId="77777777" w:rsidTr="001F092A">
        <w:trPr>
          <w:trHeight w:val="278"/>
        </w:trPr>
        <w:tc>
          <w:tcPr>
            <w:tcW w:w="2487" w:type="dxa"/>
            <w:vMerge w:val="restart"/>
            <w:tcBorders>
              <w:top w:val="nil"/>
              <w:left w:val="nil"/>
              <w:bottom w:val="nil"/>
              <w:right w:val="nil"/>
            </w:tcBorders>
            <w:shd w:val="clear" w:color="auto" w:fill="auto"/>
            <w:vAlign w:val="bottom"/>
            <w:hideMark/>
          </w:tcPr>
          <w:p w14:paraId="6172B4C2"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Direct Conflict Countries</w:t>
            </w:r>
          </w:p>
        </w:tc>
        <w:tc>
          <w:tcPr>
            <w:tcW w:w="2498" w:type="dxa"/>
            <w:tcBorders>
              <w:top w:val="nil"/>
              <w:left w:val="nil"/>
              <w:bottom w:val="nil"/>
              <w:right w:val="nil"/>
            </w:tcBorders>
            <w:shd w:val="clear" w:color="auto" w:fill="auto"/>
            <w:noWrap/>
            <w:vAlign w:val="bottom"/>
            <w:hideMark/>
          </w:tcPr>
          <w:p w14:paraId="088D7269"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Russia</w:t>
            </w:r>
          </w:p>
        </w:tc>
        <w:tc>
          <w:tcPr>
            <w:tcW w:w="2966" w:type="dxa"/>
            <w:tcBorders>
              <w:top w:val="nil"/>
              <w:left w:val="nil"/>
              <w:bottom w:val="nil"/>
              <w:right w:val="nil"/>
            </w:tcBorders>
            <w:shd w:val="clear" w:color="auto" w:fill="auto"/>
            <w:noWrap/>
            <w:vAlign w:val="bottom"/>
            <w:hideMark/>
          </w:tcPr>
          <w:p w14:paraId="356AEA41"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110</w:t>
            </w:r>
          </w:p>
        </w:tc>
      </w:tr>
      <w:tr w:rsidR="009B052F" w:rsidRPr="00324BAE" w14:paraId="5AD8366F" w14:textId="77777777" w:rsidTr="001F092A">
        <w:trPr>
          <w:trHeight w:val="278"/>
        </w:trPr>
        <w:tc>
          <w:tcPr>
            <w:tcW w:w="2487" w:type="dxa"/>
            <w:vMerge/>
            <w:tcBorders>
              <w:top w:val="nil"/>
              <w:left w:val="nil"/>
              <w:bottom w:val="nil"/>
              <w:right w:val="nil"/>
            </w:tcBorders>
            <w:vAlign w:val="center"/>
            <w:hideMark/>
          </w:tcPr>
          <w:p w14:paraId="4314A17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098240B9"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Uk</w:t>
            </w:r>
            <w:r>
              <w:rPr>
                <w:rFonts w:ascii="Times New Roman" w:eastAsia="Times New Roman" w:hAnsi="Times New Roman" w:cs="Times New Roman"/>
                <w:color w:val="000000"/>
                <w:lang w:eastAsia="en-GB"/>
              </w:rPr>
              <w:t>ra</w:t>
            </w:r>
            <w:r w:rsidRPr="00324BAE">
              <w:rPr>
                <w:rFonts w:ascii="Times New Roman" w:eastAsia="Times New Roman" w:hAnsi="Times New Roman" w:cs="Times New Roman"/>
                <w:color w:val="000000"/>
                <w:lang w:eastAsia="en-GB"/>
              </w:rPr>
              <w:t>ine</w:t>
            </w:r>
          </w:p>
        </w:tc>
        <w:tc>
          <w:tcPr>
            <w:tcW w:w="2966" w:type="dxa"/>
            <w:tcBorders>
              <w:top w:val="nil"/>
              <w:left w:val="nil"/>
              <w:bottom w:val="nil"/>
              <w:right w:val="nil"/>
            </w:tcBorders>
            <w:shd w:val="clear" w:color="auto" w:fill="auto"/>
            <w:noWrap/>
            <w:vAlign w:val="bottom"/>
            <w:hideMark/>
          </w:tcPr>
          <w:p w14:paraId="64F9B66C"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32</w:t>
            </w:r>
          </w:p>
        </w:tc>
      </w:tr>
      <w:tr w:rsidR="009B052F" w:rsidRPr="00324BAE" w14:paraId="453150DB" w14:textId="77777777" w:rsidTr="001F092A">
        <w:trPr>
          <w:trHeight w:val="242"/>
        </w:trPr>
        <w:tc>
          <w:tcPr>
            <w:tcW w:w="2487" w:type="dxa"/>
            <w:tcBorders>
              <w:top w:val="nil"/>
              <w:left w:val="nil"/>
              <w:bottom w:val="nil"/>
              <w:right w:val="nil"/>
            </w:tcBorders>
            <w:shd w:val="clear" w:color="auto" w:fill="auto"/>
            <w:noWrap/>
            <w:vAlign w:val="bottom"/>
            <w:hideMark/>
          </w:tcPr>
          <w:p w14:paraId="33AD1B10"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p>
        </w:tc>
        <w:tc>
          <w:tcPr>
            <w:tcW w:w="2498" w:type="dxa"/>
            <w:tcBorders>
              <w:top w:val="nil"/>
              <w:left w:val="nil"/>
              <w:bottom w:val="nil"/>
              <w:right w:val="nil"/>
            </w:tcBorders>
            <w:shd w:val="clear" w:color="auto" w:fill="auto"/>
            <w:noWrap/>
            <w:vAlign w:val="bottom"/>
            <w:hideMark/>
          </w:tcPr>
          <w:p w14:paraId="12F40D6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Total</w:t>
            </w:r>
          </w:p>
        </w:tc>
        <w:tc>
          <w:tcPr>
            <w:tcW w:w="2966" w:type="dxa"/>
            <w:tcBorders>
              <w:top w:val="nil"/>
              <w:left w:val="nil"/>
              <w:bottom w:val="nil"/>
              <w:right w:val="nil"/>
            </w:tcBorders>
            <w:shd w:val="clear" w:color="auto" w:fill="auto"/>
            <w:noWrap/>
            <w:vAlign w:val="bottom"/>
            <w:hideMark/>
          </w:tcPr>
          <w:p w14:paraId="37B2108A"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142</w:t>
            </w:r>
          </w:p>
        </w:tc>
      </w:tr>
      <w:tr w:rsidR="009B052F" w:rsidRPr="00324BAE" w14:paraId="55F263ED" w14:textId="77777777" w:rsidTr="001F092A">
        <w:trPr>
          <w:trHeight w:val="278"/>
        </w:trPr>
        <w:tc>
          <w:tcPr>
            <w:tcW w:w="2487" w:type="dxa"/>
            <w:vMerge w:val="restart"/>
            <w:tcBorders>
              <w:top w:val="nil"/>
              <w:left w:val="nil"/>
              <w:bottom w:val="nil"/>
              <w:right w:val="nil"/>
            </w:tcBorders>
            <w:shd w:val="clear" w:color="auto" w:fill="auto"/>
            <w:vAlign w:val="center"/>
            <w:hideMark/>
          </w:tcPr>
          <w:p w14:paraId="0FF7A96B"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Member States of NATO</w:t>
            </w:r>
          </w:p>
        </w:tc>
        <w:tc>
          <w:tcPr>
            <w:tcW w:w="2498" w:type="dxa"/>
            <w:tcBorders>
              <w:top w:val="nil"/>
              <w:left w:val="nil"/>
              <w:bottom w:val="nil"/>
              <w:right w:val="nil"/>
            </w:tcBorders>
            <w:shd w:val="clear" w:color="auto" w:fill="auto"/>
            <w:noWrap/>
            <w:vAlign w:val="bottom"/>
            <w:hideMark/>
          </w:tcPr>
          <w:p w14:paraId="2B2B28C4"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Albania</w:t>
            </w:r>
          </w:p>
        </w:tc>
        <w:tc>
          <w:tcPr>
            <w:tcW w:w="2966" w:type="dxa"/>
            <w:tcBorders>
              <w:top w:val="nil"/>
              <w:left w:val="nil"/>
              <w:bottom w:val="nil"/>
              <w:right w:val="nil"/>
            </w:tcBorders>
            <w:shd w:val="clear" w:color="auto" w:fill="auto"/>
            <w:noWrap/>
            <w:vAlign w:val="bottom"/>
            <w:hideMark/>
          </w:tcPr>
          <w:p w14:paraId="31C7B83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12</w:t>
            </w:r>
          </w:p>
        </w:tc>
      </w:tr>
      <w:tr w:rsidR="009B052F" w:rsidRPr="00324BAE" w14:paraId="4664E94E" w14:textId="77777777" w:rsidTr="001F092A">
        <w:trPr>
          <w:trHeight w:val="278"/>
        </w:trPr>
        <w:tc>
          <w:tcPr>
            <w:tcW w:w="2487" w:type="dxa"/>
            <w:vMerge/>
            <w:tcBorders>
              <w:top w:val="nil"/>
              <w:left w:val="nil"/>
              <w:bottom w:val="nil"/>
              <w:right w:val="nil"/>
            </w:tcBorders>
            <w:vAlign w:val="center"/>
            <w:hideMark/>
          </w:tcPr>
          <w:p w14:paraId="4EF06E69"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8C8A0E3"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Belgium</w:t>
            </w:r>
          </w:p>
        </w:tc>
        <w:tc>
          <w:tcPr>
            <w:tcW w:w="2966" w:type="dxa"/>
            <w:tcBorders>
              <w:top w:val="nil"/>
              <w:left w:val="nil"/>
              <w:bottom w:val="nil"/>
              <w:right w:val="nil"/>
            </w:tcBorders>
            <w:shd w:val="clear" w:color="auto" w:fill="auto"/>
            <w:noWrap/>
            <w:vAlign w:val="bottom"/>
            <w:hideMark/>
          </w:tcPr>
          <w:p w14:paraId="43D11023"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32</w:t>
            </w:r>
          </w:p>
        </w:tc>
      </w:tr>
      <w:tr w:rsidR="009B052F" w:rsidRPr="00324BAE" w14:paraId="1D4FB652" w14:textId="77777777" w:rsidTr="001F092A">
        <w:trPr>
          <w:trHeight w:val="278"/>
        </w:trPr>
        <w:tc>
          <w:tcPr>
            <w:tcW w:w="2487" w:type="dxa"/>
            <w:vMerge/>
            <w:tcBorders>
              <w:top w:val="nil"/>
              <w:left w:val="nil"/>
              <w:bottom w:val="nil"/>
              <w:right w:val="nil"/>
            </w:tcBorders>
            <w:vAlign w:val="center"/>
            <w:hideMark/>
          </w:tcPr>
          <w:p w14:paraId="28571FF7"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31721D46"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Bulgaria</w:t>
            </w:r>
          </w:p>
        </w:tc>
        <w:tc>
          <w:tcPr>
            <w:tcW w:w="2966" w:type="dxa"/>
            <w:tcBorders>
              <w:top w:val="nil"/>
              <w:left w:val="nil"/>
              <w:bottom w:val="nil"/>
              <w:right w:val="nil"/>
            </w:tcBorders>
            <w:shd w:val="clear" w:color="auto" w:fill="auto"/>
            <w:noWrap/>
            <w:vAlign w:val="bottom"/>
            <w:hideMark/>
          </w:tcPr>
          <w:p w14:paraId="01D9D868"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7</w:t>
            </w:r>
          </w:p>
        </w:tc>
      </w:tr>
      <w:tr w:rsidR="009B052F" w:rsidRPr="00324BAE" w14:paraId="1528CC25" w14:textId="77777777" w:rsidTr="001F092A">
        <w:trPr>
          <w:trHeight w:val="278"/>
        </w:trPr>
        <w:tc>
          <w:tcPr>
            <w:tcW w:w="2487" w:type="dxa"/>
            <w:vMerge/>
            <w:tcBorders>
              <w:top w:val="nil"/>
              <w:left w:val="nil"/>
              <w:bottom w:val="nil"/>
              <w:right w:val="nil"/>
            </w:tcBorders>
            <w:vAlign w:val="center"/>
            <w:hideMark/>
          </w:tcPr>
          <w:p w14:paraId="16122589"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5136B6A9"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Canada</w:t>
            </w:r>
          </w:p>
        </w:tc>
        <w:tc>
          <w:tcPr>
            <w:tcW w:w="2966" w:type="dxa"/>
            <w:tcBorders>
              <w:top w:val="nil"/>
              <w:left w:val="nil"/>
              <w:bottom w:val="nil"/>
              <w:right w:val="nil"/>
            </w:tcBorders>
            <w:shd w:val="clear" w:color="auto" w:fill="auto"/>
            <w:noWrap/>
            <w:vAlign w:val="bottom"/>
            <w:hideMark/>
          </w:tcPr>
          <w:p w14:paraId="3B0A4C95"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57</w:t>
            </w:r>
          </w:p>
        </w:tc>
      </w:tr>
      <w:tr w:rsidR="009B052F" w:rsidRPr="00324BAE" w14:paraId="0B1C5FDF" w14:textId="77777777" w:rsidTr="001F092A">
        <w:trPr>
          <w:trHeight w:val="278"/>
        </w:trPr>
        <w:tc>
          <w:tcPr>
            <w:tcW w:w="2487" w:type="dxa"/>
            <w:vMerge/>
            <w:tcBorders>
              <w:top w:val="nil"/>
              <w:left w:val="nil"/>
              <w:bottom w:val="nil"/>
              <w:right w:val="nil"/>
            </w:tcBorders>
            <w:vAlign w:val="center"/>
            <w:hideMark/>
          </w:tcPr>
          <w:p w14:paraId="592C5D04"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5F9376D"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Croatia</w:t>
            </w:r>
          </w:p>
        </w:tc>
        <w:tc>
          <w:tcPr>
            <w:tcW w:w="2966" w:type="dxa"/>
            <w:tcBorders>
              <w:top w:val="nil"/>
              <w:left w:val="nil"/>
              <w:bottom w:val="nil"/>
              <w:right w:val="nil"/>
            </w:tcBorders>
            <w:shd w:val="clear" w:color="auto" w:fill="auto"/>
            <w:noWrap/>
            <w:vAlign w:val="bottom"/>
            <w:hideMark/>
          </w:tcPr>
          <w:p w14:paraId="14D0035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14</w:t>
            </w:r>
          </w:p>
        </w:tc>
      </w:tr>
      <w:tr w:rsidR="009B052F" w:rsidRPr="00324BAE" w14:paraId="28D91188" w14:textId="77777777" w:rsidTr="001F092A">
        <w:trPr>
          <w:trHeight w:val="278"/>
        </w:trPr>
        <w:tc>
          <w:tcPr>
            <w:tcW w:w="2487" w:type="dxa"/>
            <w:vMerge/>
            <w:tcBorders>
              <w:top w:val="nil"/>
              <w:left w:val="nil"/>
              <w:bottom w:val="nil"/>
              <w:right w:val="nil"/>
            </w:tcBorders>
            <w:vAlign w:val="center"/>
            <w:hideMark/>
          </w:tcPr>
          <w:p w14:paraId="5A96A3E2"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601A05F1"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Czech Rep</w:t>
            </w:r>
          </w:p>
        </w:tc>
        <w:tc>
          <w:tcPr>
            <w:tcW w:w="2966" w:type="dxa"/>
            <w:tcBorders>
              <w:top w:val="nil"/>
              <w:left w:val="nil"/>
              <w:bottom w:val="nil"/>
              <w:right w:val="nil"/>
            </w:tcBorders>
            <w:shd w:val="clear" w:color="auto" w:fill="auto"/>
            <w:noWrap/>
            <w:vAlign w:val="bottom"/>
            <w:hideMark/>
          </w:tcPr>
          <w:p w14:paraId="6162DD85"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10</w:t>
            </w:r>
          </w:p>
        </w:tc>
      </w:tr>
      <w:tr w:rsidR="009B052F" w:rsidRPr="00324BAE" w14:paraId="69969D32" w14:textId="77777777" w:rsidTr="001F092A">
        <w:trPr>
          <w:trHeight w:val="278"/>
        </w:trPr>
        <w:tc>
          <w:tcPr>
            <w:tcW w:w="2487" w:type="dxa"/>
            <w:vMerge/>
            <w:tcBorders>
              <w:top w:val="nil"/>
              <w:left w:val="nil"/>
              <w:bottom w:val="nil"/>
              <w:right w:val="nil"/>
            </w:tcBorders>
            <w:vAlign w:val="center"/>
            <w:hideMark/>
          </w:tcPr>
          <w:p w14:paraId="2A825C8F"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66259EB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Denmark</w:t>
            </w:r>
          </w:p>
        </w:tc>
        <w:tc>
          <w:tcPr>
            <w:tcW w:w="2966" w:type="dxa"/>
            <w:tcBorders>
              <w:top w:val="nil"/>
              <w:left w:val="nil"/>
              <w:bottom w:val="nil"/>
              <w:right w:val="nil"/>
            </w:tcBorders>
            <w:shd w:val="clear" w:color="auto" w:fill="auto"/>
            <w:noWrap/>
            <w:vAlign w:val="bottom"/>
            <w:hideMark/>
          </w:tcPr>
          <w:p w14:paraId="4C476265"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21</w:t>
            </w:r>
          </w:p>
        </w:tc>
      </w:tr>
      <w:tr w:rsidR="009B052F" w:rsidRPr="00324BAE" w14:paraId="0DC0CB93" w14:textId="77777777" w:rsidTr="001F092A">
        <w:trPr>
          <w:trHeight w:val="278"/>
        </w:trPr>
        <w:tc>
          <w:tcPr>
            <w:tcW w:w="2487" w:type="dxa"/>
            <w:vMerge/>
            <w:tcBorders>
              <w:top w:val="nil"/>
              <w:left w:val="nil"/>
              <w:bottom w:val="nil"/>
              <w:right w:val="nil"/>
            </w:tcBorders>
            <w:vAlign w:val="center"/>
            <w:hideMark/>
          </w:tcPr>
          <w:p w14:paraId="5219859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3825F5ED"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Estonia</w:t>
            </w:r>
          </w:p>
        </w:tc>
        <w:tc>
          <w:tcPr>
            <w:tcW w:w="2966" w:type="dxa"/>
            <w:tcBorders>
              <w:top w:val="nil"/>
              <w:left w:val="nil"/>
              <w:bottom w:val="nil"/>
              <w:right w:val="nil"/>
            </w:tcBorders>
            <w:shd w:val="clear" w:color="auto" w:fill="auto"/>
            <w:noWrap/>
            <w:vAlign w:val="bottom"/>
            <w:hideMark/>
          </w:tcPr>
          <w:p w14:paraId="23584E4E"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6</w:t>
            </w:r>
          </w:p>
        </w:tc>
      </w:tr>
      <w:tr w:rsidR="009B052F" w:rsidRPr="00324BAE" w14:paraId="2A5613F7" w14:textId="77777777" w:rsidTr="001F092A">
        <w:trPr>
          <w:trHeight w:val="278"/>
        </w:trPr>
        <w:tc>
          <w:tcPr>
            <w:tcW w:w="2487" w:type="dxa"/>
            <w:vMerge/>
            <w:tcBorders>
              <w:top w:val="nil"/>
              <w:left w:val="nil"/>
              <w:bottom w:val="nil"/>
              <w:right w:val="nil"/>
            </w:tcBorders>
            <w:vAlign w:val="center"/>
            <w:hideMark/>
          </w:tcPr>
          <w:p w14:paraId="384E7396"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34B50946"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France</w:t>
            </w:r>
          </w:p>
        </w:tc>
        <w:tc>
          <w:tcPr>
            <w:tcW w:w="2966" w:type="dxa"/>
            <w:tcBorders>
              <w:top w:val="nil"/>
              <w:left w:val="nil"/>
              <w:bottom w:val="nil"/>
              <w:right w:val="nil"/>
            </w:tcBorders>
            <w:shd w:val="clear" w:color="auto" w:fill="auto"/>
            <w:noWrap/>
            <w:vAlign w:val="bottom"/>
            <w:hideMark/>
          </w:tcPr>
          <w:p w14:paraId="20319CB8"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93</w:t>
            </w:r>
          </w:p>
        </w:tc>
      </w:tr>
      <w:tr w:rsidR="009B052F" w:rsidRPr="00324BAE" w14:paraId="0857DE53" w14:textId="77777777" w:rsidTr="001F092A">
        <w:trPr>
          <w:trHeight w:val="278"/>
        </w:trPr>
        <w:tc>
          <w:tcPr>
            <w:tcW w:w="2487" w:type="dxa"/>
            <w:vMerge/>
            <w:tcBorders>
              <w:top w:val="nil"/>
              <w:left w:val="nil"/>
              <w:bottom w:val="nil"/>
              <w:right w:val="nil"/>
            </w:tcBorders>
            <w:vAlign w:val="center"/>
            <w:hideMark/>
          </w:tcPr>
          <w:p w14:paraId="4348AB65"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55E4122A"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Germany</w:t>
            </w:r>
          </w:p>
        </w:tc>
        <w:tc>
          <w:tcPr>
            <w:tcW w:w="2966" w:type="dxa"/>
            <w:tcBorders>
              <w:top w:val="nil"/>
              <w:left w:val="nil"/>
              <w:bottom w:val="nil"/>
              <w:right w:val="nil"/>
            </w:tcBorders>
            <w:shd w:val="clear" w:color="auto" w:fill="auto"/>
            <w:noWrap/>
            <w:vAlign w:val="bottom"/>
            <w:hideMark/>
          </w:tcPr>
          <w:p w14:paraId="2999B23F"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106</w:t>
            </w:r>
          </w:p>
        </w:tc>
      </w:tr>
      <w:tr w:rsidR="009B052F" w:rsidRPr="00324BAE" w14:paraId="79FE6537" w14:textId="77777777" w:rsidTr="001F092A">
        <w:trPr>
          <w:trHeight w:val="278"/>
        </w:trPr>
        <w:tc>
          <w:tcPr>
            <w:tcW w:w="2487" w:type="dxa"/>
            <w:vMerge/>
            <w:tcBorders>
              <w:top w:val="nil"/>
              <w:left w:val="nil"/>
              <w:bottom w:val="nil"/>
              <w:right w:val="nil"/>
            </w:tcBorders>
            <w:vAlign w:val="center"/>
            <w:hideMark/>
          </w:tcPr>
          <w:p w14:paraId="2DF8DBE9"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3F19579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Greece</w:t>
            </w:r>
          </w:p>
        </w:tc>
        <w:tc>
          <w:tcPr>
            <w:tcW w:w="2966" w:type="dxa"/>
            <w:tcBorders>
              <w:top w:val="nil"/>
              <w:left w:val="nil"/>
              <w:bottom w:val="nil"/>
              <w:right w:val="nil"/>
            </w:tcBorders>
            <w:shd w:val="clear" w:color="auto" w:fill="auto"/>
            <w:noWrap/>
            <w:vAlign w:val="bottom"/>
            <w:hideMark/>
          </w:tcPr>
          <w:p w14:paraId="4A42A69B"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21</w:t>
            </w:r>
          </w:p>
        </w:tc>
      </w:tr>
      <w:tr w:rsidR="009B052F" w:rsidRPr="00324BAE" w14:paraId="7848A1BD" w14:textId="77777777" w:rsidTr="001F092A">
        <w:trPr>
          <w:trHeight w:val="278"/>
        </w:trPr>
        <w:tc>
          <w:tcPr>
            <w:tcW w:w="2487" w:type="dxa"/>
            <w:vMerge/>
            <w:tcBorders>
              <w:top w:val="nil"/>
              <w:left w:val="nil"/>
              <w:bottom w:val="nil"/>
              <w:right w:val="nil"/>
            </w:tcBorders>
            <w:vAlign w:val="center"/>
            <w:hideMark/>
          </w:tcPr>
          <w:p w14:paraId="2F7DF82D"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0EA6A04E"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Hungary</w:t>
            </w:r>
          </w:p>
        </w:tc>
        <w:tc>
          <w:tcPr>
            <w:tcW w:w="2966" w:type="dxa"/>
            <w:tcBorders>
              <w:top w:val="nil"/>
              <w:left w:val="nil"/>
              <w:bottom w:val="nil"/>
              <w:right w:val="nil"/>
            </w:tcBorders>
            <w:shd w:val="clear" w:color="auto" w:fill="auto"/>
            <w:noWrap/>
            <w:vAlign w:val="bottom"/>
            <w:hideMark/>
          </w:tcPr>
          <w:p w14:paraId="29608E87"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7</w:t>
            </w:r>
          </w:p>
        </w:tc>
      </w:tr>
      <w:tr w:rsidR="009B052F" w:rsidRPr="00324BAE" w14:paraId="65021C30" w14:textId="77777777" w:rsidTr="001F092A">
        <w:trPr>
          <w:trHeight w:val="278"/>
        </w:trPr>
        <w:tc>
          <w:tcPr>
            <w:tcW w:w="2487" w:type="dxa"/>
            <w:vMerge/>
            <w:tcBorders>
              <w:top w:val="nil"/>
              <w:left w:val="nil"/>
              <w:bottom w:val="nil"/>
              <w:right w:val="nil"/>
            </w:tcBorders>
            <w:vAlign w:val="center"/>
            <w:hideMark/>
          </w:tcPr>
          <w:p w14:paraId="1571C18E"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481B1BA8"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Iceland</w:t>
            </w:r>
          </w:p>
        </w:tc>
        <w:tc>
          <w:tcPr>
            <w:tcW w:w="2966" w:type="dxa"/>
            <w:tcBorders>
              <w:top w:val="nil"/>
              <w:left w:val="nil"/>
              <w:bottom w:val="nil"/>
              <w:right w:val="nil"/>
            </w:tcBorders>
            <w:shd w:val="clear" w:color="auto" w:fill="auto"/>
            <w:noWrap/>
            <w:vAlign w:val="bottom"/>
            <w:hideMark/>
          </w:tcPr>
          <w:p w14:paraId="5300E947"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6</w:t>
            </w:r>
          </w:p>
        </w:tc>
      </w:tr>
      <w:tr w:rsidR="009B052F" w:rsidRPr="00324BAE" w14:paraId="0E39693A" w14:textId="77777777" w:rsidTr="001F092A">
        <w:trPr>
          <w:trHeight w:val="278"/>
        </w:trPr>
        <w:tc>
          <w:tcPr>
            <w:tcW w:w="2487" w:type="dxa"/>
            <w:vMerge/>
            <w:tcBorders>
              <w:top w:val="nil"/>
              <w:left w:val="nil"/>
              <w:bottom w:val="nil"/>
              <w:right w:val="nil"/>
            </w:tcBorders>
            <w:vAlign w:val="center"/>
            <w:hideMark/>
          </w:tcPr>
          <w:p w14:paraId="1D003DA6"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2D49C579"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Italy</w:t>
            </w:r>
          </w:p>
        </w:tc>
        <w:tc>
          <w:tcPr>
            <w:tcW w:w="2966" w:type="dxa"/>
            <w:tcBorders>
              <w:top w:val="nil"/>
              <w:left w:val="nil"/>
              <w:bottom w:val="nil"/>
              <w:right w:val="nil"/>
            </w:tcBorders>
            <w:shd w:val="clear" w:color="auto" w:fill="auto"/>
            <w:noWrap/>
            <w:vAlign w:val="bottom"/>
            <w:hideMark/>
          </w:tcPr>
          <w:p w14:paraId="02298755"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19</w:t>
            </w:r>
          </w:p>
        </w:tc>
      </w:tr>
      <w:tr w:rsidR="009B052F" w:rsidRPr="00324BAE" w14:paraId="79290620" w14:textId="77777777" w:rsidTr="001F092A">
        <w:trPr>
          <w:trHeight w:val="278"/>
        </w:trPr>
        <w:tc>
          <w:tcPr>
            <w:tcW w:w="2487" w:type="dxa"/>
            <w:vMerge/>
            <w:tcBorders>
              <w:top w:val="nil"/>
              <w:left w:val="nil"/>
              <w:bottom w:val="nil"/>
              <w:right w:val="nil"/>
            </w:tcBorders>
            <w:vAlign w:val="center"/>
            <w:hideMark/>
          </w:tcPr>
          <w:p w14:paraId="4B868307"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025D93CA"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Latvia</w:t>
            </w:r>
          </w:p>
        </w:tc>
        <w:tc>
          <w:tcPr>
            <w:tcW w:w="2966" w:type="dxa"/>
            <w:tcBorders>
              <w:top w:val="nil"/>
              <w:left w:val="nil"/>
              <w:bottom w:val="nil"/>
              <w:right w:val="nil"/>
            </w:tcBorders>
            <w:shd w:val="clear" w:color="auto" w:fill="auto"/>
            <w:noWrap/>
            <w:vAlign w:val="bottom"/>
            <w:hideMark/>
          </w:tcPr>
          <w:p w14:paraId="5AFB639B"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4</w:t>
            </w:r>
          </w:p>
        </w:tc>
      </w:tr>
      <w:tr w:rsidR="009B052F" w:rsidRPr="00324BAE" w14:paraId="2B0B572E" w14:textId="77777777" w:rsidTr="001F092A">
        <w:trPr>
          <w:trHeight w:val="278"/>
        </w:trPr>
        <w:tc>
          <w:tcPr>
            <w:tcW w:w="2487" w:type="dxa"/>
            <w:vMerge/>
            <w:tcBorders>
              <w:top w:val="nil"/>
              <w:left w:val="nil"/>
              <w:bottom w:val="nil"/>
              <w:right w:val="nil"/>
            </w:tcBorders>
            <w:vAlign w:val="center"/>
            <w:hideMark/>
          </w:tcPr>
          <w:p w14:paraId="35DD0225"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AA81D7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Lithuania</w:t>
            </w:r>
          </w:p>
        </w:tc>
        <w:tc>
          <w:tcPr>
            <w:tcW w:w="2966" w:type="dxa"/>
            <w:tcBorders>
              <w:top w:val="nil"/>
              <w:left w:val="nil"/>
              <w:bottom w:val="nil"/>
              <w:right w:val="nil"/>
            </w:tcBorders>
            <w:shd w:val="clear" w:color="auto" w:fill="auto"/>
            <w:noWrap/>
            <w:vAlign w:val="bottom"/>
            <w:hideMark/>
          </w:tcPr>
          <w:p w14:paraId="1E7FE1EF"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w:t>
            </w:r>
          </w:p>
        </w:tc>
      </w:tr>
      <w:tr w:rsidR="009B052F" w:rsidRPr="00324BAE" w14:paraId="63632140" w14:textId="77777777" w:rsidTr="001F092A">
        <w:trPr>
          <w:trHeight w:val="278"/>
        </w:trPr>
        <w:tc>
          <w:tcPr>
            <w:tcW w:w="2487" w:type="dxa"/>
            <w:vMerge/>
            <w:tcBorders>
              <w:top w:val="nil"/>
              <w:left w:val="nil"/>
              <w:bottom w:val="nil"/>
              <w:right w:val="nil"/>
            </w:tcBorders>
            <w:vAlign w:val="center"/>
            <w:hideMark/>
          </w:tcPr>
          <w:p w14:paraId="6D1C52E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2A47367"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Luxembourg</w:t>
            </w:r>
          </w:p>
        </w:tc>
        <w:tc>
          <w:tcPr>
            <w:tcW w:w="2966" w:type="dxa"/>
            <w:tcBorders>
              <w:top w:val="nil"/>
              <w:left w:val="nil"/>
              <w:bottom w:val="nil"/>
              <w:right w:val="nil"/>
            </w:tcBorders>
            <w:shd w:val="clear" w:color="auto" w:fill="auto"/>
            <w:noWrap/>
            <w:vAlign w:val="bottom"/>
            <w:hideMark/>
          </w:tcPr>
          <w:p w14:paraId="29EC2563"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15</w:t>
            </w:r>
          </w:p>
        </w:tc>
      </w:tr>
      <w:tr w:rsidR="009B052F" w:rsidRPr="00324BAE" w14:paraId="1EFCE4F7" w14:textId="77777777" w:rsidTr="001F092A">
        <w:trPr>
          <w:trHeight w:val="278"/>
        </w:trPr>
        <w:tc>
          <w:tcPr>
            <w:tcW w:w="2487" w:type="dxa"/>
            <w:vMerge/>
            <w:tcBorders>
              <w:top w:val="nil"/>
              <w:left w:val="nil"/>
              <w:bottom w:val="nil"/>
              <w:right w:val="nil"/>
            </w:tcBorders>
            <w:vAlign w:val="center"/>
            <w:hideMark/>
          </w:tcPr>
          <w:p w14:paraId="6CFF8FBB"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2339DFF6"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Montenegro</w:t>
            </w:r>
          </w:p>
        </w:tc>
        <w:tc>
          <w:tcPr>
            <w:tcW w:w="2966" w:type="dxa"/>
            <w:tcBorders>
              <w:top w:val="nil"/>
              <w:left w:val="nil"/>
              <w:bottom w:val="nil"/>
              <w:right w:val="nil"/>
            </w:tcBorders>
            <w:shd w:val="clear" w:color="auto" w:fill="auto"/>
            <w:noWrap/>
            <w:vAlign w:val="bottom"/>
            <w:hideMark/>
          </w:tcPr>
          <w:p w14:paraId="7E51B0E9"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6</w:t>
            </w:r>
          </w:p>
        </w:tc>
      </w:tr>
      <w:tr w:rsidR="009B052F" w:rsidRPr="00324BAE" w14:paraId="4DDA7C14" w14:textId="77777777" w:rsidTr="001F092A">
        <w:trPr>
          <w:trHeight w:val="278"/>
        </w:trPr>
        <w:tc>
          <w:tcPr>
            <w:tcW w:w="2487" w:type="dxa"/>
            <w:vMerge/>
            <w:tcBorders>
              <w:top w:val="nil"/>
              <w:left w:val="nil"/>
              <w:bottom w:val="nil"/>
              <w:right w:val="nil"/>
            </w:tcBorders>
            <w:vAlign w:val="center"/>
            <w:hideMark/>
          </w:tcPr>
          <w:p w14:paraId="66E8973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03FD2D3D"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Netherlands</w:t>
            </w:r>
          </w:p>
        </w:tc>
        <w:tc>
          <w:tcPr>
            <w:tcW w:w="2966" w:type="dxa"/>
            <w:tcBorders>
              <w:top w:val="nil"/>
              <w:left w:val="nil"/>
              <w:bottom w:val="nil"/>
              <w:right w:val="nil"/>
            </w:tcBorders>
            <w:shd w:val="clear" w:color="auto" w:fill="auto"/>
            <w:noWrap/>
            <w:vAlign w:val="bottom"/>
            <w:hideMark/>
          </w:tcPr>
          <w:p w14:paraId="22BD28FF"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27</w:t>
            </w:r>
          </w:p>
        </w:tc>
      </w:tr>
      <w:tr w:rsidR="009B052F" w:rsidRPr="00324BAE" w14:paraId="0F450774" w14:textId="77777777" w:rsidTr="001F092A">
        <w:trPr>
          <w:trHeight w:val="278"/>
        </w:trPr>
        <w:tc>
          <w:tcPr>
            <w:tcW w:w="2487" w:type="dxa"/>
            <w:vMerge/>
            <w:tcBorders>
              <w:top w:val="nil"/>
              <w:left w:val="nil"/>
              <w:bottom w:val="nil"/>
              <w:right w:val="nil"/>
            </w:tcBorders>
            <w:vAlign w:val="center"/>
            <w:hideMark/>
          </w:tcPr>
          <w:p w14:paraId="51D6E302"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3BCF921A"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North Macedonia</w:t>
            </w:r>
          </w:p>
        </w:tc>
        <w:tc>
          <w:tcPr>
            <w:tcW w:w="2966" w:type="dxa"/>
            <w:tcBorders>
              <w:top w:val="nil"/>
              <w:left w:val="nil"/>
              <w:bottom w:val="nil"/>
              <w:right w:val="nil"/>
            </w:tcBorders>
            <w:shd w:val="clear" w:color="auto" w:fill="auto"/>
            <w:noWrap/>
            <w:vAlign w:val="bottom"/>
            <w:hideMark/>
          </w:tcPr>
          <w:p w14:paraId="2524C923"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w:t>
            </w:r>
          </w:p>
        </w:tc>
      </w:tr>
      <w:tr w:rsidR="009B052F" w:rsidRPr="00324BAE" w14:paraId="0C0D63C7" w14:textId="77777777" w:rsidTr="001F092A">
        <w:trPr>
          <w:trHeight w:val="278"/>
        </w:trPr>
        <w:tc>
          <w:tcPr>
            <w:tcW w:w="2487" w:type="dxa"/>
            <w:vMerge/>
            <w:tcBorders>
              <w:top w:val="nil"/>
              <w:left w:val="nil"/>
              <w:bottom w:val="nil"/>
              <w:right w:val="nil"/>
            </w:tcBorders>
            <w:vAlign w:val="center"/>
            <w:hideMark/>
          </w:tcPr>
          <w:p w14:paraId="663BA868"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9B891A0"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Norway</w:t>
            </w:r>
          </w:p>
        </w:tc>
        <w:tc>
          <w:tcPr>
            <w:tcW w:w="2966" w:type="dxa"/>
            <w:tcBorders>
              <w:top w:val="nil"/>
              <w:left w:val="nil"/>
              <w:bottom w:val="nil"/>
              <w:right w:val="nil"/>
            </w:tcBorders>
            <w:shd w:val="clear" w:color="auto" w:fill="auto"/>
            <w:noWrap/>
            <w:vAlign w:val="bottom"/>
            <w:hideMark/>
          </w:tcPr>
          <w:p w14:paraId="58B7538E"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35</w:t>
            </w:r>
          </w:p>
        </w:tc>
      </w:tr>
      <w:tr w:rsidR="009B052F" w:rsidRPr="00324BAE" w14:paraId="3EC91C30" w14:textId="77777777" w:rsidTr="001F092A">
        <w:trPr>
          <w:trHeight w:val="278"/>
        </w:trPr>
        <w:tc>
          <w:tcPr>
            <w:tcW w:w="2487" w:type="dxa"/>
            <w:vMerge/>
            <w:tcBorders>
              <w:top w:val="nil"/>
              <w:left w:val="nil"/>
              <w:bottom w:val="nil"/>
              <w:right w:val="nil"/>
            </w:tcBorders>
            <w:vAlign w:val="center"/>
            <w:hideMark/>
          </w:tcPr>
          <w:p w14:paraId="78B98010"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F72DD8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Poland</w:t>
            </w:r>
          </w:p>
        </w:tc>
        <w:tc>
          <w:tcPr>
            <w:tcW w:w="2966" w:type="dxa"/>
            <w:tcBorders>
              <w:top w:val="nil"/>
              <w:left w:val="nil"/>
              <w:bottom w:val="nil"/>
              <w:right w:val="nil"/>
            </w:tcBorders>
            <w:shd w:val="clear" w:color="auto" w:fill="auto"/>
            <w:noWrap/>
            <w:vAlign w:val="bottom"/>
            <w:hideMark/>
          </w:tcPr>
          <w:p w14:paraId="74AA27E3"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21</w:t>
            </w:r>
          </w:p>
        </w:tc>
      </w:tr>
      <w:tr w:rsidR="009B052F" w:rsidRPr="00324BAE" w14:paraId="6F939A91" w14:textId="77777777" w:rsidTr="001F092A">
        <w:trPr>
          <w:trHeight w:val="278"/>
        </w:trPr>
        <w:tc>
          <w:tcPr>
            <w:tcW w:w="2487" w:type="dxa"/>
            <w:vMerge/>
            <w:tcBorders>
              <w:top w:val="nil"/>
              <w:left w:val="nil"/>
              <w:bottom w:val="nil"/>
              <w:right w:val="nil"/>
            </w:tcBorders>
            <w:vAlign w:val="center"/>
            <w:hideMark/>
          </w:tcPr>
          <w:p w14:paraId="444B267E"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2108D70"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 xml:space="preserve">Portugal  </w:t>
            </w:r>
          </w:p>
        </w:tc>
        <w:tc>
          <w:tcPr>
            <w:tcW w:w="2966" w:type="dxa"/>
            <w:tcBorders>
              <w:top w:val="nil"/>
              <w:left w:val="nil"/>
              <w:bottom w:val="nil"/>
              <w:right w:val="nil"/>
            </w:tcBorders>
            <w:shd w:val="clear" w:color="auto" w:fill="auto"/>
            <w:noWrap/>
            <w:vAlign w:val="bottom"/>
            <w:hideMark/>
          </w:tcPr>
          <w:p w14:paraId="200EB71D"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23</w:t>
            </w:r>
          </w:p>
        </w:tc>
      </w:tr>
      <w:tr w:rsidR="009B052F" w:rsidRPr="00324BAE" w14:paraId="6D39BA58" w14:textId="77777777" w:rsidTr="001F092A">
        <w:trPr>
          <w:trHeight w:val="278"/>
        </w:trPr>
        <w:tc>
          <w:tcPr>
            <w:tcW w:w="2487" w:type="dxa"/>
            <w:vMerge/>
            <w:tcBorders>
              <w:top w:val="nil"/>
              <w:left w:val="nil"/>
              <w:bottom w:val="nil"/>
              <w:right w:val="nil"/>
            </w:tcBorders>
            <w:vAlign w:val="center"/>
            <w:hideMark/>
          </w:tcPr>
          <w:p w14:paraId="0C9D8E03"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35DBAC5"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Romania</w:t>
            </w:r>
          </w:p>
        </w:tc>
        <w:tc>
          <w:tcPr>
            <w:tcW w:w="2966" w:type="dxa"/>
            <w:tcBorders>
              <w:top w:val="nil"/>
              <w:left w:val="nil"/>
              <w:bottom w:val="nil"/>
              <w:right w:val="nil"/>
            </w:tcBorders>
            <w:shd w:val="clear" w:color="auto" w:fill="auto"/>
            <w:noWrap/>
            <w:vAlign w:val="bottom"/>
            <w:hideMark/>
          </w:tcPr>
          <w:p w14:paraId="0DD2DB7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15</w:t>
            </w:r>
          </w:p>
        </w:tc>
      </w:tr>
      <w:tr w:rsidR="009B052F" w:rsidRPr="00324BAE" w14:paraId="32933EDA" w14:textId="77777777" w:rsidTr="001F092A">
        <w:trPr>
          <w:trHeight w:val="278"/>
        </w:trPr>
        <w:tc>
          <w:tcPr>
            <w:tcW w:w="2487" w:type="dxa"/>
            <w:vMerge/>
            <w:tcBorders>
              <w:top w:val="nil"/>
              <w:left w:val="nil"/>
              <w:bottom w:val="nil"/>
              <w:right w:val="nil"/>
            </w:tcBorders>
            <w:vAlign w:val="center"/>
            <w:hideMark/>
          </w:tcPr>
          <w:p w14:paraId="5AAEAD9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A456738"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Slovakia</w:t>
            </w:r>
          </w:p>
        </w:tc>
        <w:tc>
          <w:tcPr>
            <w:tcW w:w="2966" w:type="dxa"/>
            <w:tcBorders>
              <w:top w:val="nil"/>
              <w:left w:val="nil"/>
              <w:bottom w:val="nil"/>
              <w:right w:val="nil"/>
            </w:tcBorders>
            <w:shd w:val="clear" w:color="auto" w:fill="auto"/>
            <w:noWrap/>
            <w:vAlign w:val="bottom"/>
            <w:hideMark/>
          </w:tcPr>
          <w:p w14:paraId="5395BD7D"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6</w:t>
            </w:r>
          </w:p>
        </w:tc>
      </w:tr>
      <w:tr w:rsidR="009B052F" w:rsidRPr="00324BAE" w14:paraId="459C9BE6" w14:textId="77777777" w:rsidTr="001F092A">
        <w:trPr>
          <w:trHeight w:val="278"/>
        </w:trPr>
        <w:tc>
          <w:tcPr>
            <w:tcW w:w="2487" w:type="dxa"/>
            <w:vMerge/>
            <w:tcBorders>
              <w:top w:val="nil"/>
              <w:left w:val="nil"/>
              <w:bottom w:val="nil"/>
              <w:right w:val="nil"/>
            </w:tcBorders>
            <w:vAlign w:val="center"/>
            <w:hideMark/>
          </w:tcPr>
          <w:p w14:paraId="55DEEDE3"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6458FC3F"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Slovenia</w:t>
            </w:r>
          </w:p>
        </w:tc>
        <w:tc>
          <w:tcPr>
            <w:tcW w:w="2966" w:type="dxa"/>
            <w:tcBorders>
              <w:top w:val="nil"/>
              <w:left w:val="nil"/>
              <w:bottom w:val="nil"/>
              <w:right w:val="nil"/>
            </w:tcBorders>
            <w:shd w:val="clear" w:color="auto" w:fill="auto"/>
            <w:noWrap/>
            <w:vAlign w:val="bottom"/>
            <w:hideMark/>
          </w:tcPr>
          <w:p w14:paraId="44D1F479"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w:t>
            </w:r>
          </w:p>
        </w:tc>
      </w:tr>
      <w:tr w:rsidR="009B052F" w:rsidRPr="00324BAE" w14:paraId="2052190F" w14:textId="77777777" w:rsidTr="001F092A">
        <w:trPr>
          <w:trHeight w:val="278"/>
        </w:trPr>
        <w:tc>
          <w:tcPr>
            <w:tcW w:w="2487" w:type="dxa"/>
            <w:vMerge/>
            <w:tcBorders>
              <w:top w:val="nil"/>
              <w:left w:val="nil"/>
              <w:bottom w:val="nil"/>
              <w:right w:val="nil"/>
            </w:tcBorders>
            <w:vAlign w:val="center"/>
            <w:hideMark/>
          </w:tcPr>
          <w:p w14:paraId="2415AD82"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6EAE1DB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Spain</w:t>
            </w:r>
          </w:p>
        </w:tc>
        <w:tc>
          <w:tcPr>
            <w:tcW w:w="2966" w:type="dxa"/>
            <w:tcBorders>
              <w:top w:val="nil"/>
              <w:left w:val="nil"/>
              <w:bottom w:val="nil"/>
              <w:right w:val="nil"/>
            </w:tcBorders>
            <w:shd w:val="clear" w:color="auto" w:fill="auto"/>
            <w:noWrap/>
            <w:vAlign w:val="bottom"/>
            <w:hideMark/>
          </w:tcPr>
          <w:p w14:paraId="28B7700B"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29</w:t>
            </w:r>
          </w:p>
        </w:tc>
      </w:tr>
      <w:tr w:rsidR="009B052F" w:rsidRPr="00324BAE" w14:paraId="2B6CB63C" w14:textId="77777777" w:rsidTr="001F092A">
        <w:trPr>
          <w:trHeight w:val="278"/>
        </w:trPr>
        <w:tc>
          <w:tcPr>
            <w:tcW w:w="2487" w:type="dxa"/>
            <w:vMerge/>
            <w:tcBorders>
              <w:top w:val="nil"/>
              <w:left w:val="nil"/>
              <w:bottom w:val="nil"/>
              <w:right w:val="nil"/>
            </w:tcBorders>
            <w:vAlign w:val="center"/>
            <w:hideMark/>
          </w:tcPr>
          <w:p w14:paraId="08981DBC"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4EB95B23"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Turkey</w:t>
            </w:r>
          </w:p>
        </w:tc>
        <w:tc>
          <w:tcPr>
            <w:tcW w:w="2966" w:type="dxa"/>
            <w:tcBorders>
              <w:top w:val="nil"/>
              <w:left w:val="nil"/>
              <w:bottom w:val="nil"/>
              <w:right w:val="nil"/>
            </w:tcBorders>
            <w:shd w:val="clear" w:color="auto" w:fill="auto"/>
            <w:noWrap/>
            <w:vAlign w:val="bottom"/>
            <w:hideMark/>
          </w:tcPr>
          <w:p w14:paraId="37EA1D2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24</w:t>
            </w:r>
          </w:p>
        </w:tc>
      </w:tr>
      <w:tr w:rsidR="009B052F" w:rsidRPr="00324BAE" w14:paraId="372C8779" w14:textId="77777777" w:rsidTr="001F092A">
        <w:trPr>
          <w:trHeight w:val="278"/>
        </w:trPr>
        <w:tc>
          <w:tcPr>
            <w:tcW w:w="2487" w:type="dxa"/>
            <w:vMerge/>
            <w:tcBorders>
              <w:top w:val="nil"/>
              <w:left w:val="nil"/>
              <w:bottom w:val="nil"/>
              <w:right w:val="nil"/>
            </w:tcBorders>
            <w:vAlign w:val="center"/>
            <w:hideMark/>
          </w:tcPr>
          <w:p w14:paraId="0497F291"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54416530"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United Kingdom</w:t>
            </w:r>
          </w:p>
        </w:tc>
        <w:tc>
          <w:tcPr>
            <w:tcW w:w="2966" w:type="dxa"/>
            <w:tcBorders>
              <w:top w:val="nil"/>
              <w:left w:val="nil"/>
              <w:bottom w:val="nil"/>
              <w:right w:val="nil"/>
            </w:tcBorders>
            <w:shd w:val="clear" w:color="auto" w:fill="auto"/>
            <w:noWrap/>
            <w:vAlign w:val="bottom"/>
            <w:hideMark/>
          </w:tcPr>
          <w:p w14:paraId="6BD3CB56"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67</w:t>
            </w:r>
          </w:p>
        </w:tc>
      </w:tr>
      <w:tr w:rsidR="009B052F" w:rsidRPr="00324BAE" w14:paraId="097E3F36" w14:textId="77777777" w:rsidTr="001F092A">
        <w:trPr>
          <w:trHeight w:val="278"/>
        </w:trPr>
        <w:tc>
          <w:tcPr>
            <w:tcW w:w="2487" w:type="dxa"/>
            <w:vMerge/>
            <w:tcBorders>
              <w:top w:val="nil"/>
              <w:left w:val="nil"/>
              <w:bottom w:val="nil"/>
              <w:right w:val="nil"/>
            </w:tcBorders>
            <w:vAlign w:val="center"/>
            <w:hideMark/>
          </w:tcPr>
          <w:p w14:paraId="4255EFB8"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75DA399C"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United States</w:t>
            </w:r>
          </w:p>
        </w:tc>
        <w:tc>
          <w:tcPr>
            <w:tcW w:w="2966" w:type="dxa"/>
            <w:tcBorders>
              <w:top w:val="nil"/>
              <w:left w:val="nil"/>
              <w:bottom w:val="nil"/>
              <w:right w:val="nil"/>
            </w:tcBorders>
            <w:shd w:val="clear" w:color="auto" w:fill="auto"/>
            <w:noWrap/>
            <w:vAlign w:val="bottom"/>
            <w:hideMark/>
          </w:tcPr>
          <w:p w14:paraId="4FE118B9"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132</w:t>
            </w:r>
          </w:p>
        </w:tc>
      </w:tr>
      <w:tr w:rsidR="009B052F" w:rsidRPr="00324BAE" w14:paraId="20DC7B32" w14:textId="77777777" w:rsidTr="001F092A">
        <w:trPr>
          <w:trHeight w:val="266"/>
        </w:trPr>
        <w:tc>
          <w:tcPr>
            <w:tcW w:w="2487" w:type="dxa"/>
            <w:tcBorders>
              <w:top w:val="nil"/>
              <w:left w:val="nil"/>
              <w:bottom w:val="nil"/>
              <w:right w:val="nil"/>
            </w:tcBorders>
            <w:shd w:val="clear" w:color="auto" w:fill="auto"/>
            <w:noWrap/>
            <w:vAlign w:val="bottom"/>
            <w:hideMark/>
          </w:tcPr>
          <w:p w14:paraId="4B4BB177"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p>
        </w:tc>
        <w:tc>
          <w:tcPr>
            <w:tcW w:w="2498" w:type="dxa"/>
            <w:tcBorders>
              <w:top w:val="nil"/>
              <w:left w:val="nil"/>
              <w:bottom w:val="nil"/>
              <w:right w:val="nil"/>
            </w:tcBorders>
            <w:shd w:val="clear" w:color="auto" w:fill="auto"/>
            <w:noWrap/>
            <w:vAlign w:val="bottom"/>
            <w:hideMark/>
          </w:tcPr>
          <w:p w14:paraId="31E3FA92"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Total</w:t>
            </w:r>
          </w:p>
        </w:tc>
        <w:tc>
          <w:tcPr>
            <w:tcW w:w="2966" w:type="dxa"/>
            <w:tcBorders>
              <w:top w:val="nil"/>
              <w:left w:val="nil"/>
              <w:bottom w:val="nil"/>
              <w:right w:val="nil"/>
            </w:tcBorders>
            <w:shd w:val="clear" w:color="auto" w:fill="auto"/>
            <w:noWrap/>
            <w:vAlign w:val="bottom"/>
            <w:hideMark/>
          </w:tcPr>
          <w:p w14:paraId="121092CD"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822</w:t>
            </w:r>
          </w:p>
        </w:tc>
      </w:tr>
      <w:tr w:rsidR="009B052F" w:rsidRPr="00324BAE" w14:paraId="77A042E9" w14:textId="77777777" w:rsidTr="001F092A">
        <w:trPr>
          <w:trHeight w:val="278"/>
        </w:trPr>
        <w:tc>
          <w:tcPr>
            <w:tcW w:w="2487" w:type="dxa"/>
            <w:vMerge w:val="restart"/>
            <w:tcBorders>
              <w:top w:val="nil"/>
              <w:left w:val="nil"/>
              <w:bottom w:val="nil"/>
              <w:right w:val="nil"/>
            </w:tcBorders>
            <w:shd w:val="clear" w:color="auto" w:fill="auto"/>
            <w:vAlign w:val="center"/>
            <w:hideMark/>
          </w:tcPr>
          <w:p w14:paraId="456EF3E5"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Countries abstained from UN vote on Ukraine (March 2, 2022)</w:t>
            </w:r>
          </w:p>
        </w:tc>
        <w:tc>
          <w:tcPr>
            <w:tcW w:w="2498" w:type="dxa"/>
            <w:tcBorders>
              <w:top w:val="nil"/>
              <w:left w:val="nil"/>
              <w:bottom w:val="nil"/>
              <w:right w:val="nil"/>
            </w:tcBorders>
            <w:shd w:val="clear" w:color="auto" w:fill="auto"/>
            <w:noWrap/>
            <w:vAlign w:val="bottom"/>
            <w:hideMark/>
          </w:tcPr>
          <w:p w14:paraId="4C8F8403"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Algeria</w:t>
            </w:r>
          </w:p>
        </w:tc>
        <w:tc>
          <w:tcPr>
            <w:tcW w:w="2966" w:type="dxa"/>
            <w:tcBorders>
              <w:top w:val="nil"/>
              <w:left w:val="nil"/>
              <w:bottom w:val="nil"/>
              <w:right w:val="nil"/>
            </w:tcBorders>
            <w:shd w:val="clear" w:color="auto" w:fill="auto"/>
            <w:noWrap/>
            <w:vAlign w:val="bottom"/>
            <w:hideMark/>
          </w:tcPr>
          <w:p w14:paraId="38C84F8A"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15</w:t>
            </w:r>
          </w:p>
        </w:tc>
      </w:tr>
      <w:tr w:rsidR="009B052F" w:rsidRPr="00324BAE" w14:paraId="3417D019" w14:textId="77777777" w:rsidTr="001F092A">
        <w:trPr>
          <w:trHeight w:val="278"/>
        </w:trPr>
        <w:tc>
          <w:tcPr>
            <w:tcW w:w="2487" w:type="dxa"/>
            <w:vMerge/>
            <w:tcBorders>
              <w:top w:val="nil"/>
              <w:left w:val="nil"/>
              <w:bottom w:val="nil"/>
              <w:right w:val="nil"/>
            </w:tcBorders>
            <w:vAlign w:val="center"/>
            <w:hideMark/>
          </w:tcPr>
          <w:p w14:paraId="5A33E66B"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41B87CB"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Bangladesh</w:t>
            </w:r>
          </w:p>
        </w:tc>
        <w:tc>
          <w:tcPr>
            <w:tcW w:w="2966" w:type="dxa"/>
            <w:tcBorders>
              <w:top w:val="nil"/>
              <w:left w:val="nil"/>
              <w:bottom w:val="nil"/>
              <w:right w:val="nil"/>
            </w:tcBorders>
            <w:shd w:val="clear" w:color="auto" w:fill="auto"/>
            <w:noWrap/>
            <w:vAlign w:val="bottom"/>
            <w:hideMark/>
          </w:tcPr>
          <w:p w14:paraId="7F351FF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21</w:t>
            </w:r>
          </w:p>
        </w:tc>
      </w:tr>
      <w:tr w:rsidR="009B052F" w:rsidRPr="00324BAE" w14:paraId="1CE669CC" w14:textId="77777777" w:rsidTr="001F092A">
        <w:trPr>
          <w:trHeight w:val="278"/>
        </w:trPr>
        <w:tc>
          <w:tcPr>
            <w:tcW w:w="2487" w:type="dxa"/>
            <w:vMerge/>
            <w:tcBorders>
              <w:top w:val="nil"/>
              <w:left w:val="nil"/>
              <w:bottom w:val="nil"/>
              <w:right w:val="nil"/>
            </w:tcBorders>
            <w:vAlign w:val="center"/>
            <w:hideMark/>
          </w:tcPr>
          <w:p w14:paraId="10971DAF"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05A8ACF"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China</w:t>
            </w:r>
          </w:p>
        </w:tc>
        <w:tc>
          <w:tcPr>
            <w:tcW w:w="2966" w:type="dxa"/>
            <w:tcBorders>
              <w:top w:val="nil"/>
              <w:left w:val="nil"/>
              <w:bottom w:val="nil"/>
              <w:right w:val="nil"/>
            </w:tcBorders>
            <w:shd w:val="clear" w:color="auto" w:fill="auto"/>
            <w:noWrap/>
            <w:vAlign w:val="bottom"/>
            <w:hideMark/>
          </w:tcPr>
          <w:p w14:paraId="7C8BDE91"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95</w:t>
            </w:r>
          </w:p>
        </w:tc>
      </w:tr>
      <w:tr w:rsidR="009B052F" w:rsidRPr="00324BAE" w14:paraId="2960AAB5" w14:textId="77777777" w:rsidTr="001F092A">
        <w:trPr>
          <w:trHeight w:val="278"/>
        </w:trPr>
        <w:tc>
          <w:tcPr>
            <w:tcW w:w="2487" w:type="dxa"/>
            <w:vMerge/>
            <w:tcBorders>
              <w:top w:val="nil"/>
              <w:left w:val="nil"/>
              <w:bottom w:val="nil"/>
              <w:right w:val="nil"/>
            </w:tcBorders>
            <w:vAlign w:val="center"/>
            <w:hideMark/>
          </w:tcPr>
          <w:p w14:paraId="4E757A2B"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0BDCB345"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India</w:t>
            </w:r>
          </w:p>
        </w:tc>
        <w:tc>
          <w:tcPr>
            <w:tcW w:w="2966" w:type="dxa"/>
            <w:tcBorders>
              <w:top w:val="nil"/>
              <w:left w:val="nil"/>
              <w:bottom w:val="nil"/>
              <w:right w:val="nil"/>
            </w:tcBorders>
            <w:shd w:val="clear" w:color="auto" w:fill="auto"/>
            <w:noWrap/>
            <w:vAlign w:val="bottom"/>
            <w:hideMark/>
          </w:tcPr>
          <w:p w14:paraId="2CD603E8"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71</w:t>
            </w:r>
          </w:p>
        </w:tc>
      </w:tr>
      <w:tr w:rsidR="009B052F" w:rsidRPr="00324BAE" w14:paraId="53387575" w14:textId="77777777" w:rsidTr="001F092A">
        <w:trPr>
          <w:trHeight w:val="278"/>
        </w:trPr>
        <w:tc>
          <w:tcPr>
            <w:tcW w:w="2487" w:type="dxa"/>
            <w:vMerge/>
            <w:tcBorders>
              <w:top w:val="nil"/>
              <w:left w:val="nil"/>
              <w:bottom w:val="nil"/>
              <w:right w:val="nil"/>
            </w:tcBorders>
            <w:vAlign w:val="center"/>
            <w:hideMark/>
          </w:tcPr>
          <w:p w14:paraId="7C81A9E8"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560266A"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Pakistan</w:t>
            </w:r>
          </w:p>
        </w:tc>
        <w:tc>
          <w:tcPr>
            <w:tcW w:w="2966" w:type="dxa"/>
            <w:tcBorders>
              <w:top w:val="nil"/>
              <w:left w:val="nil"/>
              <w:bottom w:val="nil"/>
              <w:right w:val="nil"/>
            </w:tcBorders>
            <w:shd w:val="clear" w:color="auto" w:fill="auto"/>
            <w:noWrap/>
            <w:vAlign w:val="bottom"/>
            <w:hideMark/>
          </w:tcPr>
          <w:p w14:paraId="24AE712C"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36</w:t>
            </w:r>
          </w:p>
        </w:tc>
      </w:tr>
      <w:tr w:rsidR="009B052F" w:rsidRPr="00324BAE" w14:paraId="1BD194D6" w14:textId="77777777" w:rsidTr="001F092A">
        <w:trPr>
          <w:trHeight w:val="278"/>
        </w:trPr>
        <w:tc>
          <w:tcPr>
            <w:tcW w:w="2487" w:type="dxa"/>
            <w:vMerge/>
            <w:tcBorders>
              <w:top w:val="nil"/>
              <w:left w:val="nil"/>
              <w:bottom w:val="nil"/>
              <w:right w:val="nil"/>
            </w:tcBorders>
            <w:vAlign w:val="center"/>
            <w:hideMark/>
          </w:tcPr>
          <w:p w14:paraId="37FEE67E"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48DD3335"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South Africa</w:t>
            </w:r>
          </w:p>
        </w:tc>
        <w:tc>
          <w:tcPr>
            <w:tcW w:w="2966" w:type="dxa"/>
            <w:tcBorders>
              <w:top w:val="nil"/>
              <w:left w:val="nil"/>
              <w:bottom w:val="nil"/>
              <w:right w:val="nil"/>
            </w:tcBorders>
            <w:shd w:val="clear" w:color="auto" w:fill="auto"/>
            <w:noWrap/>
            <w:vAlign w:val="bottom"/>
            <w:hideMark/>
          </w:tcPr>
          <w:p w14:paraId="69026460"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39</w:t>
            </w:r>
          </w:p>
        </w:tc>
      </w:tr>
      <w:tr w:rsidR="009B052F" w:rsidRPr="00324BAE" w14:paraId="2E935A65" w14:textId="77777777" w:rsidTr="001F092A">
        <w:trPr>
          <w:trHeight w:val="278"/>
        </w:trPr>
        <w:tc>
          <w:tcPr>
            <w:tcW w:w="2487" w:type="dxa"/>
            <w:vMerge/>
            <w:tcBorders>
              <w:top w:val="nil"/>
              <w:left w:val="nil"/>
              <w:bottom w:val="nil"/>
              <w:right w:val="nil"/>
            </w:tcBorders>
            <w:vAlign w:val="center"/>
            <w:hideMark/>
          </w:tcPr>
          <w:p w14:paraId="5247A70A"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21E0078C"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proofErr w:type="spellStart"/>
            <w:r w:rsidRPr="00324BAE">
              <w:rPr>
                <w:rFonts w:ascii="Times New Roman" w:eastAsia="Times New Roman" w:hAnsi="Times New Roman" w:cs="Times New Roman"/>
                <w:color w:val="000000"/>
                <w:lang w:eastAsia="en-GB"/>
              </w:rPr>
              <w:t>Srilanka</w:t>
            </w:r>
            <w:proofErr w:type="spellEnd"/>
          </w:p>
        </w:tc>
        <w:tc>
          <w:tcPr>
            <w:tcW w:w="2966" w:type="dxa"/>
            <w:tcBorders>
              <w:top w:val="nil"/>
              <w:left w:val="nil"/>
              <w:bottom w:val="nil"/>
              <w:right w:val="nil"/>
            </w:tcBorders>
            <w:shd w:val="clear" w:color="auto" w:fill="auto"/>
            <w:noWrap/>
            <w:vAlign w:val="bottom"/>
            <w:hideMark/>
          </w:tcPr>
          <w:p w14:paraId="2A8E4254"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21</w:t>
            </w:r>
          </w:p>
        </w:tc>
      </w:tr>
      <w:tr w:rsidR="009B052F" w:rsidRPr="00324BAE" w14:paraId="73858E64" w14:textId="77777777" w:rsidTr="001F092A">
        <w:trPr>
          <w:trHeight w:val="278"/>
        </w:trPr>
        <w:tc>
          <w:tcPr>
            <w:tcW w:w="2487" w:type="dxa"/>
            <w:vMerge/>
            <w:tcBorders>
              <w:top w:val="nil"/>
              <w:left w:val="nil"/>
              <w:bottom w:val="nil"/>
              <w:right w:val="nil"/>
            </w:tcBorders>
            <w:vAlign w:val="center"/>
            <w:hideMark/>
          </w:tcPr>
          <w:p w14:paraId="65FFB246"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p>
        </w:tc>
        <w:tc>
          <w:tcPr>
            <w:tcW w:w="2498" w:type="dxa"/>
            <w:tcBorders>
              <w:top w:val="nil"/>
              <w:left w:val="nil"/>
              <w:bottom w:val="nil"/>
              <w:right w:val="nil"/>
            </w:tcBorders>
            <w:shd w:val="clear" w:color="auto" w:fill="auto"/>
            <w:noWrap/>
            <w:vAlign w:val="bottom"/>
            <w:hideMark/>
          </w:tcPr>
          <w:p w14:paraId="1D67229D"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Vietnam</w:t>
            </w:r>
          </w:p>
        </w:tc>
        <w:tc>
          <w:tcPr>
            <w:tcW w:w="2966" w:type="dxa"/>
            <w:tcBorders>
              <w:top w:val="nil"/>
              <w:left w:val="nil"/>
              <w:bottom w:val="nil"/>
              <w:right w:val="nil"/>
            </w:tcBorders>
            <w:shd w:val="clear" w:color="auto" w:fill="auto"/>
            <w:noWrap/>
            <w:vAlign w:val="bottom"/>
            <w:hideMark/>
          </w:tcPr>
          <w:p w14:paraId="18A7AC31"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19</w:t>
            </w:r>
          </w:p>
        </w:tc>
      </w:tr>
      <w:tr w:rsidR="009B052F" w:rsidRPr="00324BAE" w14:paraId="421BA69C" w14:textId="77777777" w:rsidTr="001F092A">
        <w:trPr>
          <w:trHeight w:val="278"/>
        </w:trPr>
        <w:tc>
          <w:tcPr>
            <w:tcW w:w="2487" w:type="dxa"/>
            <w:tcBorders>
              <w:top w:val="nil"/>
              <w:left w:val="nil"/>
              <w:bottom w:val="nil"/>
              <w:right w:val="nil"/>
            </w:tcBorders>
            <w:shd w:val="clear" w:color="auto" w:fill="auto"/>
            <w:noWrap/>
            <w:vAlign w:val="bottom"/>
            <w:hideMark/>
          </w:tcPr>
          <w:p w14:paraId="65B4942D" w14:textId="77777777" w:rsidR="009B052F" w:rsidRPr="00324BAE" w:rsidRDefault="009B052F" w:rsidP="001F092A">
            <w:pPr>
              <w:spacing w:after="0" w:line="240" w:lineRule="auto"/>
              <w:jc w:val="center"/>
              <w:rPr>
                <w:rFonts w:ascii="Times New Roman" w:eastAsia="Times New Roman" w:hAnsi="Times New Roman" w:cs="Times New Roman"/>
                <w:color w:val="000000"/>
                <w:lang w:eastAsia="en-GB"/>
              </w:rPr>
            </w:pPr>
          </w:p>
        </w:tc>
        <w:tc>
          <w:tcPr>
            <w:tcW w:w="2498" w:type="dxa"/>
            <w:tcBorders>
              <w:top w:val="nil"/>
              <w:left w:val="nil"/>
              <w:bottom w:val="nil"/>
              <w:right w:val="nil"/>
            </w:tcBorders>
            <w:shd w:val="clear" w:color="auto" w:fill="auto"/>
            <w:noWrap/>
            <w:vAlign w:val="bottom"/>
            <w:hideMark/>
          </w:tcPr>
          <w:p w14:paraId="5BA57A4E" w14:textId="77777777" w:rsidR="009B052F" w:rsidRPr="00324BAE" w:rsidRDefault="009B052F" w:rsidP="001F092A">
            <w:pPr>
              <w:spacing w:after="0" w:line="240" w:lineRule="auto"/>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 xml:space="preserve">Total </w:t>
            </w:r>
          </w:p>
        </w:tc>
        <w:tc>
          <w:tcPr>
            <w:tcW w:w="2966" w:type="dxa"/>
            <w:tcBorders>
              <w:top w:val="nil"/>
              <w:left w:val="nil"/>
              <w:bottom w:val="nil"/>
              <w:right w:val="nil"/>
            </w:tcBorders>
            <w:shd w:val="clear" w:color="auto" w:fill="auto"/>
            <w:noWrap/>
            <w:vAlign w:val="bottom"/>
            <w:hideMark/>
          </w:tcPr>
          <w:p w14:paraId="7651FB1E"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317</w:t>
            </w:r>
          </w:p>
        </w:tc>
      </w:tr>
      <w:tr w:rsidR="009B052F" w:rsidRPr="00324BAE" w14:paraId="1CA107B9" w14:textId="77777777" w:rsidTr="001F092A">
        <w:trPr>
          <w:trHeight w:val="278"/>
        </w:trPr>
        <w:tc>
          <w:tcPr>
            <w:tcW w:w="4986" w:type="dxa"/>
            <w:gridSpan w:val="2"/>
            <w:tcBorders>
              <w:top w:val="nil"/>
              <w:left w:val="nil"/>
              <w:bottom w:val="single" w:sz="4" w:space="0" w:color="auto"/>
              <w:right w:val="nil"/>
            </w:tcBorders>
            <w:shd w:val="clear" w:color="auto" w:fill="auto"/>
            <w:noWrap/>
            <w:vAlign w:val="bottom"/>
            <w:hideMark/>
          </w:tcPr>
          <w:p w14:paraId="39D37A20"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Total Funds in the Sample</w:t>
            </w:r>
          </w:p>
        </w:tc>
        <w:tc>
          <w:tcPr>
            <w:tcW w:w="2966" w:type="dxa"/>
            <w:tcBorders>
              <w:top w:val="nil"/>
              <w:left w:val="nil"/>
              <w:bottom w:val="single" w:sz="4" w:space="0" w:color="auto"/>
              <w:right w:val="nil"/>
            </w:tcBorders>
            <w:shd w:val="clear" w:color="auto" w:fill="auto"/>
            <w:noWrap/>
            <w:vAlign w:val="bottom"/>
            <w:hideMark/>
          </w:tcPr>
          <w:p w14:paraId="0100F419" w14:textId="77777777" w:rsidR="009B052F" w:rsidRPr="00324BAE" w:rsidRDefault="009B052F" w:rsidP="001F092A">
            <w:pPr>
              <w:spacing w:after="0" w:line="240" w:lineRule="auto"/>
              <w:jc w:val="center"/>
              <w:rPr>
                <w:rFonts w:ascii="Times New Roman" w:eastAsia="Times New Roman" w:hAnsi="Times New Roman" w:cs="Times New Roman"/>
                <w:b/>
                <w:bCs/>
                <w:color w:val="000000"/>
                <w:lang w:eastAsia="en-GB"/>
              </w:rPr>
            </w:pPr>
            <w:r w:rsidRPr="00324BAE">
              <w:rPr>
                <w:rFonts w:ascii="Times New Roman" w:eastAsia="Times New Roman" w:hAnsi="Times New Roman" w:cs="Times New Roman"/>
                <w:b/>
                <w:bCs/>
                <w:color w:val="000000"/>
                <w:lang w:eastAsia="en-GB"/>
              </w:rPr>
              <w:t>1281</w:t>
            </w:r>
          </w:p>
        </w:tc>
      </w:tr>
      <w:tr w:rsidR="009B052F" w:rsidRPr="00324BAE" w14:paraId="1331FB4E" w14:textId="77777777" w:rsidTr="001F092A">
        <w:trPr>
          <w:trHeight w:val="532"/>
        </w:trPr>
        <w:tc>
          <w:tcPr>
            <w:tcW w:w="7952" w:type="dxa"/>
            <w:gridSpan w:val="3"/>
            <w:tcBorders>
              <w:top w:val="single" w:sz="4" w:space="0" w:color="auto"/>
              <w:left w:val="nil"/>
              <w:bottom w:val="nil"/>
              <w:right w:val="nil"/>
            </w:tcBorders>
            <w:shd w:val="clear" w:color="auto" w:fill="auto"/>
            <w:vAlign w:val="bottom"/>
            <w:hideMark/>
          </w:tcPr>
          <w:p w14:paraId="68B2173A" w14:textId="77777777" w:rsidR="009B052F" w:rsidRPr="00324BAE" w:rsidRDefault="009B052F" w:rsidP="001F092A">
            <w:pPr>
              <w:spacing w:after="0" w:line="240" w:lineRule="auto"/>
              <w:rPr>
                <w:rFonts w:ascii="Times New Roman" w:eastAsia="Times New Roman" w:hAnsi="Times New Roman" w:cs="Times New Roman"/>
                <w:color w:val="000000"/>
                <w:lang w:eastAsia="en-GB"/>
              </w:rPr>
            </w:pPr>
            <w:r w:rsidRPr="00324BAE">
              <w:rPr>
                <w:rFonts w:ascii="Times New Roman" w:eastAsia="Times New Roman" w:hAnsi="Times New Roman" w:cs="Times New Roman"/>
                <w:color w:val="000000"/>
                <w:lang w:eastAsia="en-GB"/>
              </w:rPr>
              <w:t xml:space="preserve">Although </w:t>
            </w:r>
            <w:r>
              <w:rPr>
                <w:rFonts w:ascii="Times New Roman" w:eastAsia="Times New Roman" w:hAnsi="Times New Roman" w:cs="Times New Roman"/>
                <w:color w:val="000000"/>
                <w:lang w:eastAsia="en-GB"/>
              </w:rPr>
              <w:t>35 countries</w:t>
            </w:r>
            <w:r w:rsidRPr="00324BAE">
              <w:rPr>
                <w:rFonts w:ascii="Times New Roman" w:eastAsia="Times New Roman" w:hAnsi="Times New Roman" w:cs="Times New Roman"/>
                <w:color w:val="000000"/>
                <w:lang w:eastAsia="en-GB"/>
              </w:rPr>
              <w:t xml:space="preserve"> abstained</w:t>
            </w:r>
            <w:r>
              <w:rPr>
                <w:rFonts w:ascii="Times New Roman" w:eastAsia="Times New Roman" w:hAnsi="Times New Roman" w:cs="Times New Roman"/>
                <w:color w:val="000000"/>
                <w:lang w:eastAsia="en-GB"/>
              </w:rPr>
              <w:t>,</w:t>
            </w:r>
            <w:r w:rsidRPr="00324BAE">
              <w:rPr>
                <w:rFonts w:ascii="Times New Roman" w:eastAsia="Times New Roman" w:hAnsi="Times New Roman" w:cs="Times New Roman"/>
                <w:color w:val="000000"/>
                <w:lang w:eastAsia="en-GB"/>
              </w:rPr>
              <w:t xml:space="preserve"> the relevant data was available for only </w:t>
            </w:r>
            <w:r>
              <w:rPr>
                <w:rFonts w:ascii="Times New Roman" w:eastAsia="Times New Roman" w:hAnsi="Times New Roman" w:cs="Times New Roman"/>
                <w:color w:val="000000"/>
                <w:lang w:eastAsia="en-GB"/>
              </w:rPr>
              <w:t>eight</w:t>
            </w:r>
            <w:r w:rsidRPr="00324BAE">
              <w:rPr>
                <w:rFonts w:ascii="Times New Roman" w:eastAsia="Times New Roman" w:hAnsi="Times New Roman" w:cs="Times New Roman"/>
                <w:color w:val="000000"/>
                <w:lang w:eastAsia="en-GB"/>
              </w:rPr>
              <w:t xml:space="preserve"> that we include</w:t>
            </w:r>
            <w:r>
              <w:rPr>
                <w:rFonts w:ascii="Times New Roman" w:eastAsia="Times New Roman" w:hAnsi="Times New Roman" w:cs="Times New Roman"/>
                <w:color w:val="000000"/>
                <w:lang w:eastAsia="en-GB"/>
              </w:rPr>
              <w:t>d</w:t>
            </w:r>
            <w:r w:rsidRPr="00324BAE">
              <w:rPr>
                <w:rFonts w:ascii="Times New Roman" w:eastAsia="Times New Roman" w:hAnsi="Times New Roman" w:cs="Times New Roman"/>
                <w:color w:val="000000"/>
                <w:lang w:eastAsia="en-GB"/>
              </w:rPr>
              <w:t xml:space="preserve"> in this study</w:t>
            </w:r>
          </w:p>
        </w:tc>
      </w:tr>
    </w:tbl>
    <w:p w14:paraId="7F82986E" w14:textId="77777777" w:rsidR="009B052F" w:rsidRPr="00A7433F" w:rsidRDefault="009B052F" w:rsidP="009B052F">
      <w:pPr>
        <w:rPr>
          <w:rFonts w:ascii="Times New Roman" w:hAnsi="Times New Roman" w:cs="Times New Roman"/>
          <w:sz w:val="24"/>
          <w:szCs w:val="24"/>
        </w:rPr>
      </w:pPr>
    </w:p>
    <w:tbl>
      <w:tblPr>
        <w:tblW w:w="8100" w:type="dxa"/>
        <w:tblLook w:val="04A0" w:firstRow="1" w:lastRow="0" w:firstColumn="1" w:lastColumn="0" w:noHBand="0" w:noVBand="1"/>
      </w:tblPr>
      <w:tblGrid>
        <w:gridCol w:w="758"/>
        <w:gridCol w:w="1379"/>
        <w:gridCol w:w="546"/>
        <w:gridCol w:w="1378"/>
        <w:gridCol w:w="436"/>
        <w:gridCol w:w="1378"/>
        <w:gridCol w:w="546"/>
        <w:gridCol w:w="1378"/>
        <w:gridCol w:w="546"/>
      </w:tblGrid>
      <w:tr w:rsidR="009B052F" w:rsidRPr="00B469B7" w14:paraId="418E6810" w14:textId="77777777" w:rsidTr="001F092A">
        <w:trPr>
          <w:trHeight w:val="276"/>
        </w:trPr>
        <w:tc>
          <w:tcPr>
            <w:tcW w:w="8100" w:type="dxa"/>
            <w:gridSpan w:val="9"/>
            <w:tcBorders>
              <w:top w:val="nil"/>
              <w:left w:val="nil"/>
              <w:bottom w:val="nil"/>
              <w:right w:val="nil"/>
            </w:tcBorders>
            <w:shd w:val="clear" w:color="auto" w:fill="auto"/>
            <w:noWrap/>
            <w:vAlign w:val="bottom"/>
            <w:hideMark/>
          </w:tcPr>
          <w:p w14:paraId="501E9D89" w14:textId="77777777" w:rsidR="009B052F" w:rsidRPr="00B469B7" w:rsidRDefault="009B052F" w:rsidP="001F092A">
            <w:pPr>
              <w:spacing w:after="0" w:line="240" w:lineRule="auto"/>
              <w:rPr>
                <w:rFonts w:ascii="Times New Roman" w:eastAsia="Times New Roman" w:hAnsi="Times New Roman" w:cs="Times New Roman"/>
                <w:b/>
                <w:bCs/>
                <w:color w:val="000000"/>
                <w:lang w:eastAsia="en-GB"/>
              </w:rPr>
            </w:pPr>
            <w:r w:rsidRPr="00B469B7">
              <w:rPr>
                <w:rFonts w:ascii="Times New Roman" w:eastAsia="Times New Roman" w:hAnsi="Times New Roman" w:cs="Times New Roman"/>
                <w:b/>
                <w:bCs/>
                <w:color w:val="000000"/>
                <w:lang w:eastAsia="en-GB"/>
              </w:rPr>
              <w:t>Table 2: CAR for Event Windows</w:t>
            </w:r>
          </w:p>
        </w:tc>
      </w:tr>
      <w:tr w:rsidR="009B052F" w:rsidRPr="00B469B7" w14:paraId="23A4AC3B" w14:textId="77777777" w:rsidTr="001F092A">
        <w:trPr>
          <w:trHeight w:val="276"/>
        </w:trPr>
        <w:tc>
          <w:tcPr>
            <w:tcW w:w="758" w:type="dxa"/>
            <w:tcBorders>
              <w:top w:val="single" w:sz="4" w:space="0" w:color="auto"/>
              <w:left w:val="nil"/>
              <w:bottom w:val="single" w:sz="4" w:space="0" w:color="auto"/>
              <w:right w:val="nil"/>
            </w:tcBorders>
            <w:shd w:val="clear" w:color="auto" w:fill="auto"/>
            <w:noWrap/>
            <w:vAlign w:val="bottom"/>
            <w:hideMark/>
          </w:tcPr>
          <w:p w14:paraId="0F3AF8BE" w14:textId="77777777" w:rsidR="009B052F" w:rsidRPr="00B469B7" w:rsidRDefault="009B052F" w:rsidP="001F092A">
            <w:pPr>
              <w:spacing w:after="0" w:line="240" w:lineRule="auto"/>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 </w:t>
            </w:r>
          </w:p>
        </w:tc>
        <w:tc>
          <w:tcPr>
            <w:tcW w:w="1874" w:type="dxa"/>
            <w:gridSpan w:val="2"/>
            <w:tcBorders>
              <w:top w:val="single" w:sz="4" w:space="0" w:color="auto"/>
              <w:left w:val="nil"/>
              <w:bottom w:val="single" w:sz="4" w:space="0" w:color="auto"/>
              <w:right w:val="nil"/>
            </w:tcBorders>
            <w:shd w:val="clear" w:color="auto" w:fill="auto"/>
            <w:noWrap/>
            <w:vAlign w:val="bottom"/>
            <w:hideMark/>
          </w:tcPr>
          <w:p w14:paraId="64655D13" w14:textId="77777777" w:rsidR="009B052F" w:rsidRPr="00B469B7" w:rsidRDefault="009B052F" w:rsidP="001F092A">
            <w:pPr>
              <w:spacing w:after="0" w:line="240" w:lineRule="auto"/>
              <w:jc w:val="center"/>
              <w:rPr>
                <w:rFonts w:ascii="Times New Roman" w:eastAsia="Times New Roman" w:hAnsi="Times New Roman" w:cs="Times New Roman"/>
                <w:b/>
                <w:bCs/>
                <w:color w:val="000000"/>
                <w:lang w:eastAsia="en-GB"/>
              </w:rPr>
            </w:pPr>
            <w:r w:rsidRPr="00B469B7">
              <w:rPr>
                <w:rFonts w:ascii="Times New Roman" w:eastAsia="Times New Roman" w:hAnsi="Times New Roman" w:cs="Times New Roman"/>
                <w:b/>
                <w:bCs/>
                <w:color w:val="000000"/>
                <w:lang w:eastAsia="en-GB"/>
              </w:rPr>
              <w:t>Russia</w:t>
            </w:r>
          </w:p>
        </w:tc>
        <w:tc>
          <w:tcPr>
            <w:tcW w:w="1722" w:type="dxa"/>
            <w:gridSpan w:val="2"/>
            <w:tcBorders>
              <w:top w:val="single" w:sz="4" w:space="0" w:color="auto"/>
              <w:left w:val="nil"/>
              <w:bottom w:val="single" w:sz="4" w:space="0" w:color="auto"/>
              <w:right w:val="nil"/>
            </w:tcBorders>
            <w:shd w:val="clear" w:color="auto" w:fill="auto"/>
            <w:noWrap/>
            <w:vAlign w:val="bottom"/>
            <w:hideMark/>
          </w:tcPr>
          <w:p w14:paraId="1FB089C1" w14:textId="77777777" w:rsidR="009B052F" w:rsidRPr="00B469B7" w:rsidRDefault="009B052F" w:rsidP="001F092A">
            <w:pPr>
              <w:spacing w:after="0" w:line="240" w:lineRule="auto"/>
              <w:jc w:val="center"/>
              <w:rPr>
                <w:rFonts w:ascii="Times New Roman" w:eastAsia="Times New Roman" w:hAnsi="Times New Roman" w:cs="Times New Roman"/>
                <w:b/>
                <w:bCs/>
                <w:color w:val="000000"/>
                <w:lang w:eastAsia="en-GB"/>
              </w:rPr>
            </w:pPr>
            <w:r w:rsidRPr="00B469B7">
              <w:rPr>
                <w:rFonts w:ascii="Times New Roman" w:eastAsia="Times New Roman" w:hAnsi="Times New Roman" w:cs="Times New Roman"/>
                <w:b/>
                <w:bCs/>
                <w:color w:val="000000"/>
                <w:lang w:eastAsia="en-GB"/>
              </w:rPr>
              <w:t>Uk</w:t>
            </w:r>
            <w:r>
              <w:rPr>
                <w:rFonts w:ascii="Times New Roman" w:eastAsia="Times New Roman" w:hAnsi="Times New Roman" w:cs="Times New Roman"/>
                <w:b/>
                <w:bCs/>
                <w:color w:val="000000"/>
                <w:lang w:eastAsia="en-GB"/>
              </w:rPr>
              <w:t>ra</w:t>
            </w:r>
            <w:r w:rsidRPr="00B469B7">
              <w:rPr>
                <w:rFonts w:ascii="Times New Roman" w:eastAsia="Times New Roman" w:hAnsi="Times New Roman" w:cs="Times New Roman"/>
                <w:b/>
                <w:bCs/>
                <w:color w:val="000000"/>
                <w:lang w:eastAsia="en-GB"/>
              </w:rPr>
              <w:t>ine</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52A18183" w14:textId="77777777" w:rsidR="009B052F" w:rsidRPr="00B469B7" w:rsidRDefault="009B052F" w:rsidP="001F092A">
            <w:pPr>
              <w:spacing w:after="0" w:line="240" w:lineRule="auto"/>
              <w:jc w:val="center"/>
              <w:rPr>
                <w:rFonts w:ascii="Times New Roman" w:eastAsia="Times New Roman" w:hAnsi="Times New Roman" w:cs="Times New Roman"/>
                <w:b/>
                <w:bCs/>
                <w:color w:val="000000"/>
                <w:lang w:eastAsia="en-GB"/>
              </w:rPr>
            </w:pPr>
            <w:r w:rsidRPr="00B469B7">
              <w:rPr>
                <w:rFonts w:ascii="Times New Roman" w:eastAsia="Times New Roman" w:hAnsi="Times New Roman" w:cs="Times New Roman"/>
                <w:b/>
                <w:bCs/>
                <w:color w:val="000000"/>
                <w:lang w:eastAsia="en-GB"/>
              </w:rPr>
              <w:t>NATO</w:t>
            </w:r>
          </w:p>
        </w:tc>
        <w:tc>
          <w:tcPr>
            <w:tcW w:w="1873" w:type="dxa"/>
            <w:gridSpan w:val="2"/>
            <w:tcBorders>
              <w:top w:val="single" w:sz="4" w:space="0" w:color="auto"/>
              <w:left w:val="nil"/>
              <w:bottom w:val="single" w:sz="4" w:space="0" w:color="auto"/>
              <w:right w:val="nil"/>
            </w:tcBorders>
            <w:shd w:val="clear" w:color="auto" w:fill="auto"/>
            <w:noWrap/>
            <w:vAlign w:val="bottom"/>
            <w:hideMark/>
          </w:tcPr>
          <w:p w14:paraId="18F2549C" w14:textId="77777777" w:rsidR="009B052F" w:rsidRPr="00B469B7" w:rsidRDefault="009B052F" w:rsidP="001F092A">
            <w:pPr>
              <w:spacing w:after="0" w:line="240" w:lineRule="auto"/>
              <w:jc w:val="center"/>
              <w:rPr>
                <w:rFonts w:ascii="Times New Roman" w:eastAsia="Times New Roman" w:hAnsi="Times New Roman" w:cs="Times New Roman"/>
                <w:b/>
                <w:bCs/>
                <w:color w:val="000000"/>
                <w:lang w:eastAsia="en-GB"/>
              </w:rPr>
            </w:pPr>
            <w:r w:rsidRPr="00B469B7">
              <w:rPr>
                <w:rFonts w:ascii="Times New Roman" w:eastAsia="Times New Roman" w:hAnsi="Times New Roman" w:cs="Times New Roman"/>
                <w:b/>
                <w:bCs/>
                <w:color w:val="000000"/>
                <w:lang w:eastAsia="en-GB"/>
              </w:rPr>
              <w:t>Abstained</w:t>
            </w:r>
          </w:p>
        </w:tc>
      </w:tr>
      <w:tr w:rsidR="009B052F" w:rsidRPr="00B469B7" w14:paraId="0CF29EFF" w14:textId="77777777" w:rsidTr="001F092A">
        <w:trPr>
          <w:trHeight w:val="276"/>
        </w:trPr>
        <w:tc>
          <w:tcPr>
            <w:tcW w:w="758" w:type="dxa"/>
            <w:tcBorders>
              <w:top w:val="nil"/>
              <w:left w:val="nil"/>
              <w:bottom w:val="nil"/>
              <w:right w:val="nil"/>
            </w:tcBorders>
            <w:shd w:val="clear" w:color="auto" w:fill="auto"/>
            <w:noWrap/>
            <w:vAlign w:val="bottom"/>
            <w:hideMark/>
          </w:tcPr>
          <w:p w14:paraId="7F7018D0"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t - 5</w:t>
            </w:r>
          </w:p>
        </w:tc>
        <w:tc>
          <w:tcPr>
            <w:tcW w:w="1379" w:type="dxa"/>
            <w:tcBorders>
              <w:top w:val="nil"/>
              <w:left w:val="nil"/>
              <w:bottom w:val="nil"/>
              <w:right w:val="nil"/>
            </w:tcBorders>
            <w:shd w:val="clear" w:color="auto" w:fill="auto"/>
            <w:noWrap/>
            <w:vAlign w:val="bottom"/>
            <w:hideMark/>
          </w:tcPr>
          <w:p w14:paraId="0A74EB69"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-0.10773%</w:t>
            </w:r>
          </w:p>
        </w:tc>
        <w:tc>
          <w:tcPr>
            <w:tcW w:w="495" w:type="dxa"/>
            <w:tcBorders>
              <w:top w:val="nil"/>
              <w:left w:val="nil"/>
              <w:bottom w:val="nil"/>
              <w:right w:val="nil"/>
            </w:tcBorders>
            <w:shd w:val="clear" w:color="auto" w:fill="auto"/>
            <w:noWrap/>
            <w:vAlign w:val="bottom"/>
            <w:hideMark/>
          </w:tcPr>
          <w:p w14:paraId="4277DAC2"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0B10267C"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-0.13039%</w:t>
            </w:r>
          </w:p>
        </w:tc>
        <w:tc>
          <w:tcPr>
            <w:tcW w:w="344" w:type="dxa"/>
            <w:tcBorders>
              <w:top w:val="nil"/>
              <w:left w:val="nil"/>
              <w:bottom w:val="nil"/>
              <w:right w:val="nil"/>
            </w:tcBorders>
            <w:shd w:val="clear" w:color="auto" w:fill="auto"/>
            <w:noWrap/>
            <w:vAlign w:val="bottom"/>
            <w:hideMark/>
          </w:tcPr>
          <w:p w14:paraId="05A12D01"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13483D8F"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0.08787%</w:t>
            </w:r>
          </w:p>
        </w:tc>
        <w:tc>
          <w:tcPr>
            <w:tcW w:w="495" w:type="dxa"/>
            <w:tcBorders>
              <w:top w:val="nil"/>
              <w:left w:val="nil"/>
              <w:bottom w:val="nil"/>
              <w:right w:val="nil"/>
            </w:tcBorders>
            <w:shd w:val="clear" w:color="auto" w:fill="auto"/>
            <w:noWrap/>
            <w:vAlign w:val="bottom"/>
            <w:hideMark/>
          </w:tcPr>
          <w:p w14:paraId="556E4148"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01CB590D"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0.02489%</w:t>
            </w:r>
          </w:p>
        </w:tc>
        <w:tc>
          <w:tcPr>
            <w:tcW w:w="495" w:type="dxa"/>
            <w:tcBorders>
              <w:top w:val="nil"/>
              <w:left w:val="nil"/>
              <w:bottom w:val="nil"/>
              <w:right w:val="nil"/>
            </w:tcBorders>
            <w:shd w:val="clear" w:color="auto" w:fill="auto"/>
            <w:noWrap/>
            <w:vAlign w:val="bottom"/>
            <w:hideMark/>
          </w:tcPr>
          <w:p w14:paraId="7123FEC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B469B7" w14:paraId="4F12FC60" w14:textId="77777777" w:rsidTr="001F092A">
        <w:trPr>
          <w:trHeight w:val="276"/>
        </w:trPr>
        <w:tc>
          <w:tcPr>
            <w:tcW w:w="758" w:type="dxa"/>
            <w:tcBorders>
              <w:top w:val="nil"/>
              <w:left w:val="nil"/>
              <w:bottom w:val="nil"/>
              <w:right w:val="nil"/>
            </w:tcBorders>
            <w:shd w:val="clear" w:color="auto" w:fill="auto"/>
            <w:noWrap/>
            <w:vAlign w:val="bottom"/>
            <w:hideMark/>
          </w:tcPr>
          <w:p w14:paraId="52CA60B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t stats</w:t>
            </w:r>
          </w:p>
        </w:tc>
        <w:tc>
          <w:tcPr>
            <w:tcW w:w="1379" w:type="dxa"/>
            <w:tcBorders>
              <w:top w:val="nil"/>
              <w:left w:val="nil"/>
              <w:bottom w:val="nil"/>
              <w:right w:val="nil"/>
            </w:tcBorders>
            <w:shd w:val="clear" w:color="auto" w:fill="auto"/>
            <w:noWrap/>
            <w:vAlign w:val="bottom"/>
            <w:hideMark/>
          </w:tcPr>
          <w:p w14:paraId="38EE5D7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-2.03678</w:t>
            </w:r>
          </w:p>
        </w:tc>
        <w:tc>
          <w:tcPr>
            <w:tcW w:w="495" w:type="dxa"/>
            <w:tcBorders>
              <w:top w:val="nil"/>
              <w:left w:val="nil"/>
              <w:bottom w:val="nil"/>
              <w:right w:val="nil"/>
            </w:tcBorders>
            <w:shd w:val="clear" w:color="auto" w:fill="auto"/>
            <w:noWrap/>
            <w:vAlign w:val="bottom"/>
            <w:hideMark/>
          </w:tcPr>
          <w:p w14:paraId="2B85B05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42CC012E"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-2.08534</w:t>
            </w:r>
          </w:p>
        </w:tc>
        <w:tc>
          <w:tcPr>
            <w:tcW w:w="344" w:type="dxa"/>
            <w:tcBorders>
              <w:top w:val="nil"/>
              <w:left w:val="nil"/>
              <w:bottom w:val="nil"/>
              <w:right w:val="nil"/>
            </w:tcBorders>
            <w:shd w:val="clear" w:color="auto" w:fill="auto"/>
            <w:noWrap/>
            <w:vAlign w:val="bottom"/>
            <w:hideMark/>
          </w:tcPr>
          <w:p w14:paraId="2756254B"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2EE17115"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2.11374</w:t>
            </w:r>
          </w:p>
        </w:tc>
        <w:tc>
          <w:tcPr>
            <w:tcW w:w="495" w:type="dxa"/>
            <w:tcBorders>
              <w:top w:val="nil"/>
              <w:left w:val="nil"/>
              <w:bottom w:val="nil"/>
              <w:right w:val="nil"/>
            </w:tcBorders>
            <w:shd w:val="clear" w:color="auto" w:fill="auto"/>
            <w:noWrap/>
            <w:vAlign w:val="bottom"/>
            <w:hideMark/>
          </w:tcPr>
          <w:p w14:paraId="19BC0D5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5E59A7B6"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1.10967</w:t>
            </w:r>
          </w:p>
        </w:tc>
        <w:tc>
          <w:tcPr>
            <w:tcW w:w="495" w:type="dxa"/>
            <w:tcBorders>
              <w:top w:val="nil"/>
              <w:left w:val="nil"/>
              <w:bottom w:val="nil"/>
              <w:right w:val="nil"/>
            </w:tcBorders>
            <w:shd w:val="clear" w:color="auto" w:fill="auto"/>
            <w:noWrap/>
            <w:vAlign w:val="bottom"/>
            <w:hideMark/>
          </w:tcPr>
          <w:p w14:paraId="3083E5C8"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B469B7" w14:paraId="2EBEF695" w14:textId="77777777" w:rsidTr="001F092A">
        <w:trPr>
          <w:trHeight w:val="276"/>
        </w:trPr>
        <w:tc>
          <w:tcPr>
            <w:tcW w:w="758" w:type="dxa"/>
            <w:tcBorders>
              <w:top w:val="nil"/>
              <w:left w:val="nil"/>
              <w:bottom w:val="nil"/>
              <w:right w:val="nil"/>
            </w:tcBorders>
            <w:shd w:val="clear" w:color="auto" w:fill="auto"/>
            <w:noWrap/>
            <w:vAlign w:val="bottom"/>
            <w:hideMark/>
          </w:tcPr>
          <w:p w14:paraId="2668DD19"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t - 3</w:t>
            </w:r>
          </w:p>
        </w:tc>
        <w:tc>
          <w:tcPr>
            <w:tcW w:w="1379" w:type="dxa"/>
            <w:tcBorders>
              <w:top w:val="nil"/>
              <w:left w:val="nil"/>
              <w:bottom w:val="nil"/>
              <w:right w:val="nil"/>
            </w:tcBorders>
            <w:shd w:val="clear" w:color="auto" w:fill="auto"/>
            <w:noWrap/>
            <w:vAlign w:val="bottom"/>
            <w:hideMark/>
          </w:tcPr>
          <w:p w14:paraId="1FF6C2FA"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-0.19959%</w:t>
            </w:r>
          </w:p>
        </w:tc>
        <w:tc>
          <w:tcPr>
            <w:tcW w:w="495" w:type="dxa"/>
            <w:tcBorders>
              <w:top w:val="nil"/>
              <w:left w:val="nil"/>
              <w:bottom w:val="nil"/>
              <w:right w:val="nil"/>
            </w:tcBorders>
            <w:shd w:val="clear" w:color="auto" w:fill="auto"/>
            <w:noWrap/>
            <w:vAlign w:val="bottom"/>
            <w:hideMark/>
          </w:tcPr>
          <w:p w14:paraId="58A2C1D1"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76F25653"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-0.26151%</w:t>
            </w:r>
          </w:p>
        </w:tc>
        <w:tc>
          <w:tcPr>
            <w:tcW w:w="344" w:type="dxa"/>
            <w:tcBorders>
              <w:top w:val="nil"/>
              <w:left w:val="nil"/>
              <w:bottom w:val="nil"/>
              <w:right w:val="nil"/>
            </w:tcBorders>
            <w:shd w:val="clear" w:color="auto" w:fill="auto"/>
            <w:noWrap/>
            <w:vAlign w:val="bottom"/>
            <w:hideMark/>
          </w:tcPr>
          <w:p w14:paraId="49E6A177"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FCD410D"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0.16990%</w:t>
            </w:r>
          </w:p>
        </w:tc>
        <w:tc>
          <w:tcPr>
            <w:tcW w:w="495" w:type="dxa"/>
            <w:tcBorders>
              <w:top w:val="nil"/>
              <w:left w:val="nil"/>
              <w:bottom w:val="nil"/>
              <w:right w:val="nil"/>
            </w:tcBorders>
            <w:shd w:val="clear" w:color="auto" w:fill="auto"/>
            <w:noWrap/>
            <w:vAlign w:val="bottom"/>
            <w:hideMark/>
          </w:tcPr>
          <w:p w14:paraId="70455BFF"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FE74265"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-0.02491%</w:t>
            </w:r>
          </w:p>
        </w:tc>
        <w:tc>
          <w:tcPr>
            <w:tcW w:w="495" w:type="dxa"/>
            <w:tcBorders>
              <w:top w:val="nil"/>
              <w:left w:val="nil"/>
              <w:bottom w:val="nil"/>
              <w:right w:val="nil"/>
            </w:tcBorders>
            <w:shd w:val="clear" w:color="auto" w:fill="auto"/>
            <w:noWrap/>
            <w:vAlign w:val="bottom"/>
            <w:hideMark/>
          </w:tcPr>
          <w:p w14:paraId="55EAE0CD"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B469B7" w14:paraId="174B32BD" w14:textId="77777777" w:rsidTr="001F092A">
        <w:trPr>
          <w:trHeight w:val="276"/>
        </w:trPr>
        <w:tc>
          <w:tcPr>
            <w:tcW w:w="758" w:type="dxa"/>
            <w:tcBorders>
              <w:top w:val="nil"/>
              <w:left w:val="nil"/>
              <w:bottom w:val="nil"/>
              <w:right w:val="nil"/>
            </w:tcBorders>
            <w:shd w:val="clear" w:color="auto" w:fill="auto"/>
            <w:noWrap/>
            <w:vAlign w:val="bottom"/>
            <w:hideMark/>
          </w:tcPr>
          <w:p w14:paraId="6F06915C"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t stats</w:t>
            </w:r>
          </w:p>
        </w:tc>
        <w:tc>
          <w:tcPr>
            <w:tcW w:w="1379" w:type="dxa"/>
            <w:tcBorders>
              <w:top w:val="nil"/>
              <w:left w:val="nil"/>
              <w:bottom w:val="nil"/>
              <w:right w:val="nil"/>
            </w:tcBorders>
            <w:shd w:val="clear" w:color="auto" w:fill="auto"/>
            <w:noWrap/>
            <w:vAlign w:val="bottom"/>
            <w:hideMark/>
          </w:tcPr>
          <w:p w14:paraId="6A03717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-1.99841</w:t>
            </w:r>
          </w:p>
        </w:tc>
        <w:tc>
          <w:tcPr>
            <w:tcW w:w="495" w:type="dxa"/>
            <w:tcBorders>
              <w:top w:val="nil"/>
              <w:left w:val="nil"/>
              <w:bottom w:val="nil"/>
              <w:right w:val="nil"/>
            </w:tcBorders>
            <w:shd w:val="clear" w:color="auto" w:fill="auto"/>
            <w:noWrap/>
            <w:vAlign w:val="bottom"/>
            <w:hideMark/>
          </w:tcPr>
          <w:p w14:paraId="212452D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098C05CA"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-1.99941</w:t>
            </w:r>
          </w:p>
        </w:tc>
        <w:tc>
          <w:tcPr>
            <w:tcW w:w="344" w:type="dxa"/>
            <w:tcBorders>
              <w:top w:val="nil"/>
              <w:left w:val="nil"/>
              <w:bottom w:val="nil"/>
              <w:right w:val="nil"/>
            </w:tcBorders>
            <w:shd w:val="clear" w:color="auto" w:fill="auto"/>
            <w:noWrap/>
            <w:vAlign w:val="bottom"/>
            <w:hideMark/>
          </w:tcPr>
          <w:p w14:paraId="5BC6C28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73211B4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2.07715</w:t>
            </w:r>
          </w:p>
        </w:tc>
        <w:tc>
          <w:tcPr>
            <w:tcW w:w="495" w:type="dxa"/>
            <w:tcBorders>
              <w:top w:val="nil"/>
              <w:left w:val="nil"/>
              <w:bottom w:val="nil"/>
              <w:right w:val="nil"/>
            </w:tcBorders>
            <w:shd w:val="clear" w:color="auto" w:fill="auto"/>
            <w:noWrap/>
            <w:vAlign w:val="bottom"/>
            <w:hideMark/>
          </w:tcPr>
          <w:p w14:paraId="581FED52"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5BE05919"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-0.52785</w:t>
            </w:r>
          </w:p>
        </w:tc>
        <w:tc>
          <w:tcPr>
            <w:tcW w:w="495" w:type="dxa"/>
            <w:tcBorders>
              <w:top w:val="nil"/>
              <w:left w:val="nil"/>
              <w:bottom w:val="nil"/>
              <w:right w:val="nil"/>
            </w:tcBorders>
            <w:shd w:val="clear" w:color="auto" w:fill="auto"/>
            <w:noWrap/>
            <w:vAlign w:val="bottom"/>
            <w:hideMark/>
          </w:tcPr>
          <w:p w14:paraId="48C70D0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B469B7" w14:paraId="5A4B8D20" w14:textId="77777777" w:rsidTr="001F092A">
        <w:trPr>
          <w:trHeight w:val="276"/>
        </w:trPr>
        <w:tc>
          <w:tcPr>
            <w:tcW w:w="758" w:type="dxa"/>
            <w:tcBorders>
              <w:top w:val="nil"/>
              <w:left w:val="nil"/>
              <w:bottom w:val="nil"/>
              <w:right w:val="nil"/>
            </w:tcBorders>
            <w:shd w:val="clear" w:color="auto" w:fill="auto"/>
            <w:noWrap/>
            <w:vAlign w:val="bottom"/>
            <w:hideMark/>
          </w:tcPr>
          <w:p w14:paraId="3AE63FCC"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t</w:t>
            </w:r>
          </w:p>
        </w:tc>
        <w:tc>
          <w:tcPr>
            <w:tcW w:w="1379" w:type="dxa"/>
            <w:tcBorders>
              <w:top w:val="nil"/>
              <w:left w:val="nil"/>
              <w:bottom w:val="nil"/>
              <w:right w:val="nil"/>
            </w:tcBorders>
            <w:shd w:val="clear" w:color="auto" w:fill="auto"/>
            <w:noWrap/>
            <w:vAlign w:val="bottom"/>
            <w:hideMark/>
          </w:tcPr>
          <w:p w14:paraId="2E2A455C"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-0.21933%</w:t>
            </w:r>
          </w:p>
        </w:tc>
        <w:tc>
          <w:tcPr>
            <w:tcW w:w="495" w:type="dxa"/>
            <w:tcBorders>
              <w:top w:val="nil"/>
              <w:left w:val="nil"/>
              <w:bottom w:val="nil"/>
              <w:right w:val="nil"/>
            </w:tcBorders>
            <w:shd w:val="clear" w:color="auto" w:fill="auto"/>
            <w:noWrap/>
            <w:vAlign w:val="bottom"/>
            <w:hideMark/>
          </w:tcPr>
          <w:p w14:paraId="26B3A281"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546DFEA9"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-0.29986%</w:t>
            </w:r>
          </w:p>
        </w:tc>
        <w:tc>
          <w:tcPr>
            <w:tcW w:w="344" w:type="dxa"/>
            <w:tcBorders>
              <w:top w:val="nil"/>
              <w:left w:val="nil"/>
              <w:bottom w:val="nil"/>
              <w:right w:val="nil"/>
            </w:tcBorders>
            <w:shd w:val="clear" w:color="auto" w:fill="auto"/>
            <w:noWrap/>
            <w:vAlign w:val="bottom"/>
            <w:hideMark/>
          </w:tcPr>
          <w:p w14:paraId="1ACF8465"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616D8D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-0.19964%</w:t>
            </w:r>
          </w:p>
        </w:tc>
        <w:tc>
          <w:tcPr>
            <w:tcW w:w="495" w:type="dxa"/>
            <w:tcBorders>
              <w:top w:val="nil"/>
              <w:left w:val="nil"/>
              <w:bottom w:val="nil"/>
              <w:right w:val="nil"/>
            </w:tcBorders>
            <w:shd w:val="clear" w:color="auto" w:fill="auto"/>
            <w:noWrap/>
            <w:vAlign w:val="bottom"/>
            <w:hideMark/>
          </w:tcPr>
          <w:p w14:paraId="558A0BF2"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BF91A35"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0.06804%</w:t>
            </w:r>
          </w:p>
        </w:tc>
        <w:tc>
          <w:tcPr>
            <w:tcW w:w="495" w:type="dxa"/>
            <w:tcBorders>
              <w:top w:val="nil"/>
              <w:left w:val="nil"/>
              <w:bottom w:val="nil"/>
              <w:right w:val="nil"/>
            </w:tcBorders>
            <w:shd w:val="clear" w:color="auto" w:fill="auto"/>
            <w:noWrap/>
            <w:vAlign w:val="bottom"/>
            <w:hideMark/>
          </w:tcPr>
          <w:p w14:paraId="0E6F2E30"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r>
      <w:tr w:rsidR="009B052F" w:rsidRPr="00B469B7" w14:paraId="06204818" w14:textId="77777777" w:rsidTr="001F092A">
        <w:trPr>
          <w:trHeight w:val="276"/>
        </w:trPr>
        <w:tc>
          <w:tcPr>
            <w:tcW w:w="758" w:type="dxa"/>
            <w:tcBorders>
              <w:top w:val="nil"/>
              <w:left w:val="nil"/>
              <w:bottom w:val="nil"/>
              <w:right w:val="nil"/>
            </w:tcBorders>
            <w:shd w:val="clear" w:color="auto" w:fill="auto"/>
            <w:noWrap/>
            <w:vAlign w:val="bottom"/>
            <w:hideMark/>
          </w:tcPr>
          <w:p w14:paraId="1F71EC7A"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t stats</w:t>
            </w:r>
          </w:p>
        </w:tc>
        <w:tc>
          <w:tcPr>
            <w:tcW w:w="1379" w:type="dxa"/>
            <w:tcBorders>
              <w:top w:val="nil"/>
              <w:left w:val="nil"/>
              <w:bottom w:val="nil"/>
              <w:right w:val="nil"/>
            </w:tcBorders>
            <w:shd w:val="clear" w:color="auto" w:fill="auto"/>
            <w:noWrap/>
            <w:vAlign w:val="bottom"/>
            <w:hideMark/>
          </w:tcPr>
          <w:p w14:paraId="7089D4B7"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-3.82552</w:t>
            </w:r>
          </w:p>
        </w:tc>
        <w:tc>
          <w:tcPr>
            <w:tcW w:w="495" w:type="dxa"/>
            <w:tcBorders>
              <w:top w:val="nil"/>
              <w:left w:val="nil"/>
              <w:bottom w:val="nil"/>
              <w:right w:val="nil"/>
            </w:tcBorders>
            <w:shd w:val="clear" w:color="auto" w:fill="auto"/>
            <w:noWrap/>
            <w:vAlign w:val="bottom"/>
            <w:hideMark/>
          </w:tcPr>
          <w:p w14:paraId="72B26CDC"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420721D8"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-2.14787</w:t>
            </w:r>
          </w:p>
        </w:tc>
        <w:tc>
          <w:tcPr>
            <w:tcW w:w="344" w:type="dxa"/>
            <w:tcBorders>
              <w:top w:val="nil"/>
              <w:left w:val="nil"/>
              <w:bottom w:val="nil"/>
              <w:right w:val="nil"/>
            </w:tcBorders>
            <w:shd w:val="clear" w:color="auto" w:fill="auto"/>
            <w:noWrap/>
            <w:vAlign w:val="bottom"/>
            <w:hideMark/>
          </w:tcPr>
          <w:p w14:paraId="26AA20EE"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67BE0C8C"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-3.99011</w:t>
            </w:r>
          </w:p>
        </w:tc>
        <w:tc>
          <w:tcPr>
            <w:tcW w:w="495" w:type="dxa"/>
            <w:tcBorders>
              <w:top w:val="nil"/>
              <w:left w:val="nil"/>
              <w:bottom w:val="nil"/>
              <w:right w:val="nil"/>
            </w:tcBorders>
            <w:shd w:val="clear" w:color="auto" w:fill="auto"/>
            <w:noWrap/>
            <w:vAlign w:val="bottom"/>
            <w:hideMark/>
          </w:tcPr>
          <w:p w14:paraId="00F438A5"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342DC6FE"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2.07729</w:t>
            </w:r>
          </w:p>
        </w:tc>
        <w:tc>
          <w:tcPr>
            <w:tcW w:w="495" w:type="dxa"/>
            <w:tcBorders>
              <w:top w:val="nil"/>
              <w:left w:val="nil"/>
              <w:bottom w:val="nil"/>
              <w:right w:val="nil"/>
            </w:tcBorders>
            <w:shd w:val="clear" w:color="auto" w:fill="auto"/>
            <w:noWrap/>
            <w:vAlign w:val="bottom"/>
            <w:hideMark/>
          </w:tcPr>
          <w:p w14:paraId="5B37C8D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B469B7" w14:paraId="570B9206" w14:textId="77777777" w:rsidTr="001F092A">
        <w:trPr>
          <w:trHeight w:val="276"/>
        </w:trPr>
        <w:tc>
          <w:tcPr>
            <w:tcW w:w="758" w:type="dxa"/>
            <w:tcBorders>
              <w:top w:val="nil"/>
              <w:left w:val="nil"/>
              <w:bottom w:val="nil"/>
              <w:right w:val="nil"/>
            </w:tcBorders>
            <w:shd w:val="clear" w:color="auto" w:fill="auto"/>
            <w:noWrap/>
            <w:vAlign w:val="bottom"/>
            <w:hideMark/>
          </w:tcPr>
          <w:p w14:paraId="1F7A7F10"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t + 3</w:t>
            </w:r>
          </w:p>
        </w:tc>
        <w:tc>
          <w:tcPr>
            <w:tcW w:w="1379" w:type="dxa"/>
            <w:tcBorders>
              <w:top w:val="nil"/>
              <w:left w:val="nil"/>
              <w:bottom w:val="nil"/>
              <w:right w:val="nil"/>
            </w:tcBorders>
            <w:shd w:val="clear" w:color="auto" w:fill="auto"/>
            <w:noWrap/>
            <w:vAlign w:val="bottom"/>
            <w:hideMark/>
          </w:tcPr>
          <w:p w14:paraId="39694116"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-0.17798%</w:t>
            </w:r>
          </w:p>
        </w:tc>
        <w:tc>
          <w:tcPr>
            <w:tcW w:w="495" w:type="dxa"/>
            <w:tcBorders>
              <w:top w:val="nil"/>
              <w:left w:val="nil"/>
              <w:bottom w:val="nil"/>
              <w:right w:val="nil"/>
            </w:tcBorders>
            <w:shd w:val="clear" w:color="auto" w:fill="auto"/>
            <w:noWrap/>
            <w:vAlign w:val="bottom"/>
            <w:hideMark/>
          </w:tcPr>
          <w:p w14:paraId="15F2AC48"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19C7FDF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-0.36279%</w:t>
            </w:r>
          </w:p>
        </w:tc>
        <w:tc>
          <w:tcPr>
            <w:tcW w:w="344" w:type="dxa"/>
            <w:tcBorders>
              <w:top w:val="nil"/>
              <w:left w:val="nil"/>
              <w:bottom w:val="nil"/>
              <w:right w:val="nil"/>
            </w:tcBorders>
            <w:shd w:val="clear" w:color="auto" w:fill="auto"/>
            <w:noWrap/>
            <w:vAlign w:val="bottom"/>
            <w:hideMark/>
          </w:tcPr>
          <w:p w14:paraId="28674606"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1CF624B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-0.22925%</w:t>
            </w:r>
          </w:p>
        </w:tc>
        <w:tc>
          <w:tcPr>
            <w:tcW w:w="495" w:type="dxa"/>
            <w:tcBorders>
              <w:top w:val="nil"/>
              <w:left w:val="nil"/>
              <w:bottom w:val="nil"/>
              <w:right w:val="nil"/>
            </w:tcBorders>
            <w:shd w:val="clear" w:color="auto" w:fill="auto"/>
            <w:noWrap/>
            <w:vAlign w:val="bottom"/>
            <w:hideMark/>
          </w:tcPr>
          <w:p w14:paraId="29EBD787"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57B8155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0.03798%</w:t>
            </w:r>
          </w:p>
        </w:tc>
        <w:tc>
          <w:tcPr>
            <w:tcW w:w="495" w:type="dxa"/>
            <w:tcBorders>
              <w:top w:val="nil"/>
              <w:left w:val="nil"/>
              <w:bottom w:val="nil"/>
              <w:right w:val="nil"/>
            </w:tcBorders>
            <w:shd w:val="clear" w:color="auto" w:fill="auto"/>
            <w:noWrap/>
            <w:vAlign w:val="bottom"/>
            <w:hideMark/>
          </w:tcPr>
          <w:p w14:paraId="4C18308E"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r>
      <w:tr w:rsidR="009B052F" w:rsidRPr="00B469B7" w14:paraId="53CEDC84" w14:textId="77777777" w:rsidTr="001F092A">
        <w:trPr>
          <w:trHeight w:val="276"/>
        </w:trPr>
        <w:tc>
          <w:tcPr>
            <w:tcW w:w="758" w:type="dxa"/>
            <w:tcBorders>
              <w:top w:val="nil"/>
              <w:left w:val="nil"/>
              <w:bottom w:val="nil"/>
              <w:right w:val="nil"/>
            </w:tcBorders>
            <w:shd w:val="clear" w:color="auto" w:fill="auto"/>
            <w:noWrap/>
            <w:vAlign w:val="bottom"/>
            <w:hideMark/>
          </w:tcPr>
          <w:p w14:paraId="71EDD33B"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t stats</w:t>
            </w:r>
          </w:p>
        </w:tc>
        <w:tc>
          <w:tcPr>
            <w:tcW w:w="1379" w:type="dxa"/>
            <w:tcBorders>
              <w:top w:val="nil"/>
              <w:left w:val="nil"/>
              <w:bottom w:val="nil"/>
              <w:right w:val="nil"/>
            </w:tcBorders>
            <w:shd w:val="clear" w:color="auto" w:fill="auto"/>
            <w:noWrap/>
            <w:vAlign w:val="bottom"/>
            <w:hideMark/>
          </w:tcPr>
          <w:p w14:paraId="4BCD8395"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-2.17920</w:t>
            </w:r>
          </w:p>
        </w:tc>
        <w:tc>
          <w:tcPr>
            <w:tcW w:w="495" w:type="dxa"/>
            <w:tcBorders>
              <w:top w:val="nil"/>
              <w:left w:val="nil"/>
              <w:bottom w:val="nil"/>
              <w:right w:val="nil"/>
            </w:tcBorders>
            <w:shd w:val="clear" w:color="auto" w:fill="auto"/>
            <w:noWrap/>
            <w:vAlign w:val="bottom"/>
            <w:hideMark/>
          </w:tcPr>
          <w:p w14:paraId="263DBC6E"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29727E83"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-2.05343</w:t>
            </w:r>
          </w:p>
        </w:tc>
        <w:tc>
          <w:tcPr>
            <w:tcW w:w="344" w:type="dxa"/>
            <w:tcBorders>
              <w:top w:val="nil"/>
              <w:left w:val="nil"/>
              <w:bottom w:val="nil"/>
              <w:right w:val="nil"/>
            </w:tcBorders>
            <w:shd w:val="clear" w:color="auto" w:fill="auto"/>
            <w:noWrap/>
            <w:vAlign w:val="bottom"/>
            <w:hideMark/>
          </w:tcPr>
          <w:p w14:paraId="286C240F"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57B01D5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-4.97125</w:t>
            </w:r>
          </w:p>
        </w:tc>
        <w:tc>
          <w:tcPr>
            <w:tcW w:w="495" w:type="dxa"/>
            <w:tcBorders>
              <w:top w:val="nil"/>
              <w:left w:val="nil"/>
              <w:bottom w:val="nil"/>
              <w:right w:val="nil"/>
            </w:tcBorders>
            <w:shd w:val="clear" w:color="auto" w:fill="auto"/>
            <w:noWrap/>
            <w:vAlign w:val="bottom"/>
            <w:hideMark/>
          </w:tcPr>
          <w:p w14:paraId="1A61FD1B"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378" w:type="dxa"/>
            <w:tcBorders>
              <w:top w:val="nil"/>
              <w:left w:val="nil"/>
              <w:bottom w:val="nil"/>
              <w:right w:val="nil"/>
            </w:tcBorders>
            <w:shd w:val="clear" w:color="auto" w:fill="auto"/>
            <w:noWrap/>
            <w:vAlign w:val="bottom"/>
            <w:hideMark/>
          </w:tcPr>
          <w:p w14:paraId="3C37A344"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4.75987</w:t>
            </w:r>
          </w:p>
        </w:tc>
        <w:tc>
          <w:tcPr>
            <w:tcW w:w="495" w:type="dxa"/>
            <w:tcBorders>
              <w:top w:val="nil"/>
              <w:left w:val="nil"/>
              <w:bottom w:val="nil"/>
              <w:right w:val="nil"/>
            </w:tcBorders>
            <w:shd w:val="clear" w:color="auto" w:fill="auto"/>
            <w:noWrap/>
            <w:vAlign w:val="bottom"/>
            <w:hideMark/>
          </w:tcPr>
          <w:p w14:paraId="3D7F32DB"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B469B7" w14:paraId="7F21AE50" w14:textId="77777777" w:rsidTr="001F092A">
        <w:trPr>
          <w:trHeight w:val="276"/>
        </w:trPr>
        <w:tc>
          <w:tcPr>
            <w:tcW w:w="758" w:type="dxa"/>
            <w:tcBorders>
              <w:top w:val="nil"/>
              <w:left w:val="nil"/>
              <w:bottom w:val="nil"/>
              <w:right w:val="nil"/>
            </w:tcBorders>
            <w:shd w:val="clear" w:color="auto" w:fill="auto"/>
            <w:noWrap/>
            <w:vAlign w:val="bottom"/>
            <w:hideMark/>
          </w:tcPr>
          <w:p w14:paraId="41EE8F71"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t + 5</w:t>
            </w:r>
          </w:p>
        </w:tc>
        <w:tc>
          <w:tcPr>
            <w:tcW w:w="1379" w:type="dxa"/>
            <w:tcBorders>
              <w:top w:val="nil"/>
              <w:left w:val="nil"/>
              <w:bottom w:val="nil"/>
              <w:right w:val="nil"/>
            </w:tcBorders>
            <w:shd w:val="clear" w:color="auto" w:fill="auto"/>
            <w:noWrap/>
            <w:vAlign w:val="bottom"/>
            <w:hideMark/>
          </w:tcPr>
          <w:p w14:paraId="7801B392"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-0.13350%</w:t>
            </w:r>
          </w:p>
        </w:tc>
        <w:tc>
          <w:tcPr>
            <w:tcW w:w="495" w:type="dxa"/>
            <w:tcBorders>
              <w:top w:val="nil"/>
              <w:left w:val="nil"/>
              <w:bottom w:val="nil"/>
              <w:right w:val="nil"/>
            </w:tcBorders>
            <w:shd w:val="clear" w:color="auto" w:fill="auto"/>
            <w:noWrap/>
            <w:vAlign w:val="bottom"/>
            <w:hideMark/>
          </w:tcPr>
          <w:p w14:paraId="7452D9DA"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97C7D1A"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-0.40033%</w:t>
            </w:r>
          </w:p>
        </w:tc>
        <w:tc>
          <w:tcPr>
            <w:tcW w:w="344" w:type="dxa"/>
            <w:tcBorders>
              <w:top w:val="nil"/>
              <w:left w:val="nil"/>
              <w:bottom w:val="nil"/>
              <w:right w:val="nil"/>
            </w:tcBorders>
            <w:shd w:val="clear" w:color="auto" w:fill="auto"/>
            <w:noWrap/>
            <w:vAlign w:val="bottom"/>
            <w:hideMark/>
          </w:tcPr>
          <w:p w14:paraId="27D8207E"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296357A5"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-0.12433%</w:t>
            </w:r>
          </w:p>
        </w:tc>
        <w:tc>
          <w:tcPr>
            <w:tcW w:w="495" w:type="dxa"/>
            <w:tcBorders>
              <w:top w:val="nil"/>
              <w:left w:val="nil"/>
              <w:bottom w:val="nil"/>
              <w:right w:val="nil"/>
            </w:tcBorders>
            <w:shd w:val="clear" w:color="auto" w:fill="auto"/>
            <w:noWrap/>
            <w:vAlign w:val="bottom"/>
            <w:hideMark/>
          </w:tcPr>
          <w:p w14:paraId="63260E8F"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c>
          <w:tcPr>
            <w:tcW w:w="1378" w:type="dxa"/>
            <w:tcBorders>
              <w:top w:val="nil"/>
              <w:left w:val="nil"/>
              <w:bottom w:val="nil"/>
              <w:right w:val="nil"/>
            </w:tcBorders>
            <w:shd w:val="clear" w:color="auto" w:fill="auto"/>
            <w:noWrap/>
            <w:vAlign w:val="bottom"/>
            <w:hideMark/>
          </w:tcPr>
          <w:p w14:paraId="460977F0"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0.09484%</w:t>
            </w:r>
          </w:p>
        </w:tc>
        <w:tc>
          <w:tcPr>
            <w:tcW w:w="495" w:type="dxa"/>
            <w:tcBorders>
              <w:top w:val="nil"/>
              <w:left w:val="nil"/>
              <w:bottom w:val="nil"/>
              <w:right w:val="nil"/>
            </w:tcBorders>
            <w:shd w:val="clear" w:color="auto" w:fill="auto"/>
            <w:noWrap/>
            <w:vAlign w:val="bottom"/>
            <w:hideMark/>
          </w:tcPr>
          <w:p w14:paraId="744B12EB" w14:textId="77777777" w:rsidR="009B052F" w:rsidRPr="00B469B7" w:rsidRDefault="009B052F" w:rsidP="001F092A">
            <w:pPr>
              <w:spacing w:after="0" w:line="240" w:lineRule="auto"/>
              <w:jc w:val="center"/>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w:t>
            </w:r>
          </w:p>
        </w:tc>
      </w:tr>
      <w:tr w:rsidR="009B052F" w:rsidRPr="00B469B7" w14:paraId="160D3D2C" w14:textId="77777777" w:rsidTr="001F092A">
        <w:trPr>
          <w:trHeight w:val="276"/>
        </w:trPr>
        <w:tc>
          <w:tcPr>
            <w:tcW w:w="758" w:type="dxa"/>
            <w:tcBorders>
              <w:top w:val="nil"/>
              <w:left w:val="nil"/>
              <w:bottom w:val="single" w:sz="4" w:space="0" w:color="auto"/>
              <w:right w:val="nil"/>
            </w:tcBorders>
            <w:shd w:val="clear" w:color="auto" w:fill="auto"/>
            <w:noWrap/>
            <w:vAlign w:val="bottom"/>
            <w:hideMark/>
          </w:tcPr>
          <w:p w14:paraId="4A293776"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t stats</w:t>
            </w:r>
          </w:p>
        </w:tc>
        <w:tc>
          <w:tcPr>
            <w:tcW w:w="1379" w:type="dxa"/>
            <w:tcBorders>
              <w:top w:val="nil"/>
              <w:left w:val="nil"/>
              <w:bottom w:val="single" w:sz="4" w:space="0" w:color="auto"/>
              <w:right w:val="nil"/>
            </w:tcBorders>
            <w:shd w:val="clear" w:color="auto" w:fill="auto"/>
            <w:noWrap/>
            <w:vAlign w:val="bottom"/>
            <w:hideMark/>
          </w:tcPr>
          <w:p w14:paraId="2A418236"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-1.91225</w:t>
            </w:r>
          </w:p>
        </w:tc>
        <w:tc>
          <w:tcPr>
            <w:tcW w:w="495" w:type="dxa"/>
            <w:tcBorders>
              <w:top w:val="nil"/>
              <w:left w:val="nil"/>
              <w:bottom w:val="single" w:sz="4" w:space="0" w:color="auto"/>
              <w:right w:val="nil"/>
            </w:tcBorders>
            <w:shd w:val="clear" w:color="auto" w:fill="auto"/>
            <w:noWrap/>
            <w:vAlign w:val="bottom"/>
            <w:hideMark/>
          </w:tcPr>
          <w:p w14:paraId="2E2D0B04" w14:textId="77777777" w:rsidR="009B052F" w:rsidRPr="00B469B7" w:rsidRDefault="009B052F" w:rsidP="001F092A">
            <w:pPr>
              <w:spacing w:after="0" w:line="240" w:lineRule="auto"/>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 </w:t>
            </w:r>
          </w:p>
        </w:tc>
        <w:tc>
          <w:tcPr>
            <w:tcW w:w="1378" w:type="dxa"/>
            <w:tcBorders>
              <w:top w:val="nil"/>
              <w:left w:val="nil"/>
              <w:bottom w:val="single" w:sz="4" w:space="0" w:color="auto"/>
              <w:right w:val="nil"/>
            </w:tcBorders>
            <w:shd w:val="clear" w:color="auto" w:fill="auto"/>
            <w:noWrap/>
            <w:vAlign w:val="bottom"/>
            <w:hideMark/>
          </w:tcPr>
          <w:p w14:paraId="110C512D"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-1.95920</w:t>
            </w:r>
          </w:p>
        </w:tc>
        <w:tc>
          <w:tcPr>
            <w:tcW w:w="344" w:type="dxa"/>
            <w:tcBorders>
              <w:top w:val="nil"/>
              <w:left w:val="nil"/>
              <w:bottom w:val="single" w:sz="4" w:space="0" w:color="auto"/>
              <w:right w:val="nil"/>
            </w:tcBorders>
            <w:shd w:val="clear" w:color="auto" w:fill="auto"/>
            <w:noWrap/>
            <w:vAlign w:val="bottom"/>
            <w:hideMark/>
          </w:tcPr>
          <w:p w14:paraId="2092F215"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 </w:t>
            </w:r>
          </w:p>
        </w:tc>
        <w:tc>
          <w:tcPr>
            <w:tcW w:w="1378" w:type="dxa"/>
            <w:tcBorders>
              <w:top w:val="nil"/>
              <w:left w:val="nil"/>
              <w:bottom w:val="single" w:sz="4" w:space="0" w:color="auto"/>
              <w:right w:val="nil"/>
            </w:tcBorders>
            <w:shd w:val="clear" w:color="auto" w:fill="auto"/>
            <w:noWrap/>
            <w:vAlign w:val="bottom"/>
            <w:hideMark/>
          </w:tcPr>
          <w:p w14:paraId="405DD516"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-3.13061</w:t>
            </w:r>
          </w:p>
        </w:tc>
        <w:tc>
          <w:tcPr>
            <w:tcW w:w="495" w:type="dxa"/>
            <w:tcBorders>
              <w:top w:val="nil"/>
              <w:left w:val="nil"/>
              <w:bottom w:val="single" w:sz="4" w:space="0" w:color="auto"/>
              <w:right w:val="nil"/>
            </w:tcBorders>
            <w:shd w:val="clear" w:color="auto" w:fill="auto"/>
            <w:noWrap/>
            <w:vAlign w:val="bottom"/>
            <w:hideMark/>
          </w:tcPr>
          <w:p w14:paraId="6AC49571"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 </w:t>
            </w:r>
          </w:p>
        </w:tc>
        <w:tc>
          <w:tcPr>
            <w:tcW w:w="1378" w:type="dxa"/>
            <w:tcBorders>
              <w:top w:val="nil"/>
              <w:left w:val="nil"/>
              <w:bottom w:val="single" w:sz="4" w:space="0" w:color="auto"/>
              <w:right w:val="nil"/>
            </w:tcBorders>
            <w:shd w:val="clear" w:color="auto" w:fill="auto"/>
            <w:noWrap/>
            <w:vAlign w:val="bottom"/>
            <w:hideMark/>
          </w:tcPr>
          <w:p w14:paraId="12A5F1D6" w14:textId="77777777" w:rsidR="009B052F" w:rsidRPr="00B469B7" w:rsidRDefault="009B052F" w:rsidP="001F092A">
            <w:pPr>
              <w:spacing w:after="0" w:line="240" w:lineRule="auto"/>
              <w:jc w:val="center"/>
              <w:rPr>
                <w:rFonts w:ascii="Times New Roman" w:eastAsia="Times New Roman" w:hAnsi="Times New Roman" w:cs="Times New Roman"/>
                <w:i/>
                <w:iCs/>
                <w:color w:val="000000"/>
                <w:lang w:eastAsia="en-GB"/>
              </w:rPr>
            </w:pPr>
            <w:r w:rsidRPr="00B469B7">
              <w:rPr>
                <w:rFonts w:ascii="Times New Roman" w:eastAsia="Times New Roman" w:hAnsi="Times New Roman" w:cs="Times New Roman"/>
                <w:i/>
                <w:iCs/>
                <w:color w:val="000000"/>
                <w:lang w:eastAsia="en-GB"/>
              </w:rPr>
              <w:t>3.01761</w:t>
            </w:r>
          </w:p>
        </w:tc>
        <w:tc>
          <w:tcPr>
            <w:tcW w:w="495" w:type="dxa"/>
            <w:tcBorders>
              <w:top w:val="nil"/>
              <w:left w:val="nil"/>
              <w:bottom w:val="single" w:sz="4" w:space="0" w:color="auto"/>
              <w:right w:val="nil"/>
            </w:tcBorders>
            <w:shd w:val="clear" w:color="auto" w:fill="auto"/>
            <w:noWrap/>
            <w:vAlign w:val="bottom"/>
            <w:hideMark/>
          </w:tcPr>
          <w:p w14:paraId="033B53DF" w14:textId="77777777" w:rsidR="009B052F" w:rsidRPr="00B469B7" w:rsidRDefault="009B052F" w:rsidP="001F092A">
            <w:pPr>
              <w:spacing w:after="0" w:line="240" w:lineRule="auto"/>
              <w:rPr>
                <w:rFonts w:ascii="Times New Roman" w:eastAsia="Times New Roman" w:hAnsi="Times New Roman" w:cs="Times New Roman"/>
                <w:color w:val="000000"/>
                <w:lang w:eastAsia="en-GB"/>
              </w:rPr>
            </w:pPr>
            <w:r w:rsidRPr="00B469B7">
              <w:rPr>
                <w:rFonts w:ascii="Times New Roman" w:eastAsia="Times New Roman" w:hAnsi="Times New Roman" w:cs="Times New Roman"/>
                <w:color w:val="000000"/>
                <w:lang w:eastAsia="en-GB"/>
              </w:rPr>
              <w:t> </w:t>
            </w:r>
          </w:p>
        </w:tc>
      </w:tr>
      <w:tr w:rsidR="009B052F" w:rsidRPr="00B469B7" w14:paraId="6B489228" w14:textId="77777777" w:rsidTr="001F092A">
        <w:trPr>
          <w:trHeight w:val="276"/>
        </w:trPr>
        <w:tc>
          <w:tcPr>
            <w:tcW w:w="8100" w:type="dxa"/>
            <w:gridSpan w:val="9"/>
            <w:tcBorders>
              <w:top w:val="single" w:sz="4" w:space="0" w:color="auto"/>
              <w:left w:val="nil"/>
              <w:bottom w:val="nil"/>
              <w:right w:val="nil"/>
            </w:tcBorders>
            <w:shd w:val="clear" w:color="auto" w:fill="auto"/>
            <w:noWrap/>
            <w:vAlign w:val="bottom"/>
            <w:hideMark/>
          </w:tcPr>
          <w:p w14:paraId="14F08C71" w14:textId="77777777" w:rsidR="009B052F" w:rsidRPr="00B469B7" w:rsidRDefault="009B052F" w:rsidP="001F092A">
            <w:pPr>
              <w:spacing w:after="0" w:line="240" w:lineRule="auto"/>
              <w:rPr>
                <w:rFonts w:ascii="Times New Roman" w:eastAsia="Times New Roman" w:hAnsi="Times New Roman" w:cs="Times New Roman"/>
                <w:i/>
                <w:iCs/>
                <w:color w:val="000000"/>
                <w:sz w:val="20"/>
                <w:szCs w:val="20"/>
                <w:lang w:eastAsia="en-GB"/>
              </w:rPr>
            </w:pPr>
            <w:r w:rsidRPr="00B469B7">
              <w:rPr>
                <w:rFonts w:ascii="Times New Roman" w:eastAsia="Times New Roman" w:hAnsi="Times New Roman" w:cs="Times New Roman"/>
                <w:i/>
                <w:iCs/>
                <w:color w:val="000000"/>
                <w:sz w:val="20"/>
                <w:szCs w:val="20"/>
                <w:lang w:eastAsia="en-GB"/>
              </w:rPr>
              <w:t>*** represents significance at 1%, ** at 5%, and * at 10%</w:t>
            </w:r>
          </w:p>
        </w:tc>
      </w:tr>
    </w:tbl>
    <w:p w14:paraId="5A1BF0D5" w14:textId="77777777" w:rsidR="009B052F" w:rsidRDefault="009B052F" w:rsidP="009B052F">
      <w:pPr>
        <w:rPr>
          <w:rFonts w:ascii="Times New Roman" w:hAnsi="Times New Roman" w:cs="Times New Roman"/>
          <w:sz w:val="24"/>
          <w:szCs w:val="24"/>
        </w:rPr>
      </w:pPr>
    </w:p>
    <w:p w14:paraId="7CF2EF38" w14:textId="77777777" w:rsidR="009B052F" w:rsidRDefault="009B052F" w:rsidP="009B052F">
      <w:pPr>
        <w:rPr>
          <w:rFonts w:ascii="Times New Roman" w:hAnsi="Times New Roman" w:cs="Times New Roman"/>
          <w:sz w:val="24"/>
          <w:szCs w:val="24"/>
        </w:rPr>
      </w:pPr>
    </w:p>
    <w:tbl>
      <w:tblPr>
        <w:tblW w:w="9398" w:type="dxa"/>
        <w:tblLook w:val="04A0" w:firstRow="1" w:lastRow="0" w:firstColumn="1" w:lastColumn="0" w:noHBand="0" w:noVBand="1"/>
      </w:tblPr>
      <w:tblGrid>
        <w:gridCol w:w="1462"/>
        <w:gridCol w:w="1057"/>
        <w:gridCol w:w="442"/>
        <w:gridCol w:w="1057"/>
        <w:gridCol w:w="550"/>
        <w:gridCol w:w="1057"/>
        <w:gridCol w:w="550"/>
        <w:gridCol w:w="1057"/>
        <w:gridCol w:w="550"/>
        <w:gridCol w:w="1057"/>
        <w:gridCol w:w="550"/>
        <w:gridCol w:w="9"/>
      </w:tblGrid>
      <w:tr w:rsidR="009B052F" w:rsidRPr="007F6687" w14:paraId="666856BD" w14:textId="77777777" w:rsidTr="001F092A">
        <w:trPr>
          <w:trHeight w:val="279"/>
        </w:trPr>
        <w:tc>
          <w:tcPr>
            <w:tcW w:w="9398" w:type="dxa"/>
            <w:gridSpan w:val="12"/>
            <w:tcBorders>
              <w:top w:val="nil"/>
              <w:left w:val="nil"/>
              <w:bottom w:val="nil"/>
              <w:right w:val="nil"/>
            </w:tcBorders>
            <w:shd w:val="clear" w:color="auto" w:fill="auto"/>
            <w:noWrap/>
            <w:vAlign w:val="bottom"/>
            <w:hideMark/>
          </w:tcPr>
          <w:p w14:paraId="0ED0415D" w14:textId="77777777" w:rsidR="009B052F" w:rsidRPr="007F6687" w:rsidRDefault="009B052F" w:rsidP="001F092A">
            <w:pPr>
              <w:spacing w:after="0" w:line="240" w:lineRule="auto"/>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Table 3: Panel Regressions of CARs and Investment Exposures</w:t>
            </w:r>
          </w:p>
        </w:tc>
      </w:tr>
      <w:tr w:rsidR="009B052F" w:rsidRPr="007F6687" w14:paraId="5F34C417" w14:textId="77777777" w:rsidTr="001F092A">
        <w:trPr>
          <w:gridAfter w:val="1"/>
          <w:wAfter w:w="9" w:type="dxa"/>
          <w:trHeight w:val="279"/>
        </w:trPr>
        <w:tc>
          <w:tcPr>
            <w:tcW w:w="1462" w:type="dxa"/>
            <w:tcBorders>
              <w:top w:val="single" w:sz="4" w:space="0" w:color="auto"/>
              <w:left w:val="nil"/>
              <w:bottom w:val="single" w:sz="4" w:space="0" w:color="auto"/>
              <w:right w:val="nil"/>
            </w:tcBorders>
            <w:shd w:val="clear" w:color="auto" w:fill="auto"/>
            <w:noWrap/>
            <w:vAlign w:val="bottom"/>
            <w:hideMark/>
          </w:tcPr>
          <w:p w14:paraId="4BD47537"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c>
          <w:tcPr>
            <w:tcW w:w="1057" w:type="dxa"/>
            <w:tcBorders>
              <w:top w:val="single" w:sz="4" w:space="0" w:color="auto"/>
              <w:left w:val="nil"/>
              <w:bottom w:val="single" w:sz="4" w:space="0" w:color="auto"/>
              <w:right w:val="nil"/>
            </w:tcBorders>
            <w:shd w:val="clear" w:color="auto" w:fill="auto"/>
            <w:noWrap/>
            <w:vAlign w:val="bottom"/>
            <w:hideMark/>
          </w:tcPr>
          <w:p w14:paraId="30A18FAE"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 xml:space="preserve">t -5 </w:t>
            </w:r>
          </w:p>
        </w:tc>
        <w:tc>
          <w:tcPr>
            <w:tcW w:w="442" w:type="dxa"/>
            <w:tcBorders>
              <w:top w:val="single" w:sz="4" w:space="0" w:color="auto"/>
              <w:left w:val="nil"/>
              <w:bottom w:val="single" w:sz="4" w:space="0" w:color="auto"/>
              <w:right w:val="nil"/>
            </w:tcBorders>
            <w:shd w:val="clear" w:color="auto" w:fill="auto"/>
            <w:noWrap/>
            <w:vAlign w:val="bottom"/>
            <w:hideMark/>
          </w:tcPr>
          <w:p w14:paraId="4111D1BD"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 </w:t>
            </w:r>
          </w:p>
        </w:tc>
        <w:tc>
          <w:tcPr>
            <w:tcW w:w="1057" w:type="dxa"/>
            <w:tcBorders>
              <w:top w:val="single" w:sz="4" w:space="0" w:color="auto"/>
              <w:left w:val="nil"/>
              <w:bottom w:val="single" w:sz="4" w:space="0" w:color="auto"/>
              <w:right w:val="nil"/>
            </w:tcBorders>
            <w:shd w:val="clear" w:color="auto" w:fill="auto"/>
            <w:noWrap/>
            <w:vAlign w:val="bottom"/>
            <w:hideMark/>
          </w:tcPr>
          <w:p w14:paraId="63A81D18"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t - 3</w:t>
            </w:r>
          </w:p>
        </w:tc>
        <w:tc>
          <w:tcPr>
            <w:tcW w:w="550" w:type="dxa"/>
            <w:tcBorders>
              <w:top w:val="single" w:sz="4" w:space="0" w:color="auto"/>
              <w:left w:val="nil"/>
              <w:bottom w:val="single" w:sz="4" w:space="0" w:color="auto"/>
              <w:right w:val="nil"/>
            </w:tcBorders>
            <w:shd w:val="clear" w:color="auto" w:fill="auto"/>
            <w:noWrap/>
            <w:vAlign w:val="bottom"/>
            <w:hideMark/>
          </w:tcPr>
          <w:p w14:paraId="43710EF7"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 </w:t>
            </w:r>
          </w:p>
        </w:tc>
        <w:tc>
          <w:tcPr>
            <w:tcW w:w="1057" w:type="dxa"/>
            <w:tcBorders>
              <w:top w:val="single" w:sz="4" w:space="0" w:color="auto"/>
              <w:left w:val="nil"/>
              <w:bottom w:val="single" w:sz="4" w:space="0" w:color="auto"/>
              <w:right w:val="nil"/>
            </w:tcBorders>
            <w:shd w:val="clear" w:color="auto" w:fill="auto"/>
            <w:noWrap/>
            <w:vAlign w:val="bottom"/>
            <w:hideMark/>
          </w:tcPr>
          <w:p w14:paraId="6357ED20"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t</w:t>
            </w:r>
          </w:p>
        </w:tc>
        <w:tc>
          <w:tcPr>
            <w:tcW w:w="550" w:type="dxa"/>
            <w:tcBorders>
              <w:top w:val="single" w:sz="4" w:space="0" w:color="auto"/>
              <w:left w:val="nil"/>
              <w:bottom w:val="single" w:sz="4" w:space="0" w:color="auto"/>
              <w:right w:val="nil"/>
            </w:tcBorders>
            <w:shd w:val="clear" w:color="auto" w:fill="auto"/>
            <w:noWrap/>
            <w:vAlign w:val="bottom"/>
            <w:hideMark/>
          </w:tcPr>
          <w:p w14:paraId="3F30C4D5"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 </w:t>
            </w:r>
          </w:p>
        </w:tc>
        <w:tc>
          <w:tcPr>
            <w:tcW w:w="1057" w:type="dxa"/>
            <w:tcBorders>
              <w:top w:val="single" w:sz="4" w:space="0" w:color="auto"/>
              <w:left w:val="nil"/>
              <w:bottom w:val="single" w:sz="4" w:space="0" w:color="auto"/>
              <w:right w:val="nil"/>
            </w:tcBorders>
            <w:shd w:val="clear" w:color="auto" w:fill="auto"/>
            <w:noWrap/>
            <w:vAlign w:val="bottom"/>
            <w:hideMark/>
          </w:tcPr>
          <w:p w14:paraId="4CFC01E9"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t+3</w:t>
            </w:r>
          </w:p>
        </w:tc>
        <w:tc>
          <w:tcPr>
            <w:tcW w:w="550" w:type="dxa"/>
            <w:tcBorders>
              <w:top w:val="single" w:sz="4" w:space="0" w:color="auto"/>
              <w:left w:val="nil"/>
              <w:bottom w:val="single" w:sz="4" w:space="0" w:color="auto"/>
              <w:right w:val="nil"/>
            </w:tcBorders>
            <w:shd w:val="clear" w:color="auto" w:fill="auto"/>
            <w:noWrap/>
            <w:vAlign w:val="bottom"/>
            <w:hideMark/>
          </w:tcPr>
          <w:p w14:paraId="7AE21C03"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 </w:t>
            </w:r>
          </w:p>
        </w:tc>
        <w:tc>
          <w:tcPr>
            <w:tcW w:w="1057" w:type="dxa"/>
            <w:tcBorders>
              <w:top w:val="single" w:sz="4" w:space="0" w:color="auto"/>
              <w:left w:val="nil"/>
              <w:bottom w:val="single" w:sz="4" w:space="0" w:color="auto"/>
              <w:right w:val="nil"/>
            </w:tcBorders>
            <w:shd w:val="clear" w:color="auto" w:fill="auto"/>
            <w:noWrap/>
            <w:vAlign w:val="bottom"/>
            <w:hideMark/>
          </w:tcPr>
          <w:p w14:paraId="4F598D29" w14:textId="77777777" w:rsidR="009B052F" w:rsidRPr="007F6687" w:rsidRDefault="009B052F" w:rsidP="001F092A">
            <w:pPr>
              <w:spacing w:after="0" w:line="240" w:lineRule="auto"/>
              <w:jc w:val="center"/>
              <w:rPr>
                <w:rFonts w:ascii="Times New Roman" w:eastAsia="Times New Roman" w:hAnsi="Times New Roman" w:cs="Times New Roman"/>
                <w:b/>
                <w:bCs/>
                <w:color w:val="000000"/>
                <w:lang w:eastAsia="en-GB"/>
              </w:rPr>
            </w:pPr>
            <w:r w:rsidRPr="007F6687">
              <w:rPr>
                <w:rFonts w:ascii="Times New Roman" w:eastAsia="Times New Roman" w:hAnsi="Times New Roman" w:cs="Times New Roman"/>
                <w:b/>
                <w:bCs/>
                <w:color w:val="000000"/>
                <w:lang w:eastAsia="en-GB"/>
              </w:rPr>
              <w:t>t +5</w:t>
            </w:r>
          </w:p>
        </w:tc>
        <w:tc>
          <w:tcPr>
            <w:tcW w:w="550" w:type="dxa"/>
            <w:tcBorders>
              <w:top w:val="single" w:sz="4" w:space="0" w:color="auto"/>
              <w:left w:val="nil"/>
              <w:bottom w:val="single" w:sz="4" w:space="0" w:color="auto"/>
              <w:right w:val="nil"/>
            </w:tcBorders>
            <w:shd w:val="clear" w:color="auto" w:fill="auto"/>
            <w:noWrap/>
            <w:vAlign w:val="bottom"/>
            <w:hideMark/>
          </w:tcPr>
          <w:p w14:paraId="3989314A"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r>
      <w:tr w:rsidR="009B052F" w:rsidRPr="007F6687" w14:paraId="0736C962"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065388E4"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Conflict</w:t>
            </w:r>
          </w:p>
        </w:tc>
        <w:tc>
          <w:tcPr>
            <w:tcW w:w="1057" w:type="dxa"/>
            <w:tcBorders>
              <w:top w:val="nil"/>
              <w:left w:val="nil"/>
              <w:bottom w:val="nil"/>
              <w:right w:val="nil"/>
            </w:tcBorders>
            <w:shd w:val="clear" w:color="auto" w:fill="auto"/>
            <w:noWrap/>
            <w:vAlign w:val="bottom"/>
            <w:hideMark/>
          </w:tcPr>
          <w:p w14:paraId="4DB740D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-0.03555</w:t>
            </w:r>
          </w:p>
        </w:tc>
        <w:tc>
          <w:tcPr>
            <w:tcW w:w="442" w:type="dxa"/>
            <w:tcBorders>
              <w:top w:val="nil"/>
              <w:left w:val="nil"/>
              <w:bottom w:val="nil"/>
              <w:right w:val="nil"/>
            </w:tcBorders>
            <w:shd w:val="clear" w:color="auto" w:fill="auto"/>
            <w:noWrap/>
            <w:vAlign w:val="bottom"/>
            <w:hideMark/>
          </w:tcPr>
          <w:p w14:paraId="0A3F197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31C0241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-0.03807</w:t>
            </w:r>
          </w:p>
        </w:tc>
        <w:tc>
          <w:tcPr>
            <w:tcW w:w="550" w:type="dxa"/>
            <w:tcBorders>
              <w:top w:val="nil"/>
              <w:left w:val="nil"/>
              <w:bottom w:val="nil"/>
              <w:right w:val="nil"/>
            </w:tcBorders>
            <w:shd w:val="clear" w:color="auto" w:fill="auto"/>
            <w:noWrap/>
            <w:vAlign w:val="bottom"/>
            <w:hideMark/>
          </w:tcPr>
          <w:p w14:paraId="3335AC53"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D20AC7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-0.04573</w:t>
            </w:r>
          </w:p>
        </w:tc>
        <w:tc>
          <w:tcPr>
            <w:tcW w:w="550" w:type="dxa"/>
            <w:tcBorders>
              <w:top w:val="nil"/>
              <w:left w:val="nil"/>
              <w:bottom w:val="nil"/>
              <w:right w:val="nil"/>
            </w:tcBorders>
            <w:shd w:val="clear" w:color="auto" w:fill="auto"/>
            <w:noWrap/>
            <w:vAlign w:val="bottom"/>
            <w:hideMark/>
          </w:tcPr>
          <w:p w14:paraId="59843F0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41737A9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-0.04113</w:t>
            </w:r>
          </w:p>
        </w:tc>
        <w:tc>
          <w:tcPr>
            <w:tcW w:w="550" w:type="dxa"/>
            <w:tcBorders>
              <w:top w:val="nil"/>
              <w:left w:val="nil"/>
              <w:bottom w:val="nil"/>
              <w:right w:val="nil"/>
            </w:tcBorders>
            <w:shd w:val="clear" w:color="auto" w:fill="auto"/>
            <w:noWrap/>
            <w:vAlign w:val="bottom"/>
            <w:hideMark/>
          </w:tcPr>
          <w:p w14:paraId="0632B46C"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6240443C"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-0.03720</w:t>
            </w:r>
          </w:p>
        </w:tc>
        <w:tc>
          <w:tcPr>
            <w:tcW w:w="550" w:type="dxa"/>
            <w:tcBorders>
              <w:top w:val="nil"/>
              <w:left w:val="nil"/>
              <w:bottom w:val="nil"/>
              <w:right w:val="nil"/>
            </w:tcBorders>
            <w:shd w:val="clear" w:color="auto" w:fill="auto"/>
            <w:noWrap/>
            <w:vAlign w:val="bottom"/>
            <w:hideMark/>
          </w:tcPr>
          <w:p w14:paraId="5686AA0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r>
      <w:tr w:rsidR="009B052F" w:rsidRPr="007F6687" w14:paraId="51AFEE86"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5BD87676"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1A45801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-2.03083</w:t>
            </w:r>
          </w:p>
        </w:tc>
        <w:tc>
          <w:tcPr>
            <w:tcW w:w="442" w:type="dxa"/>
            <w:tcBorders>
              <w:top w:val="nil"/>
              <w:left w:val="nil"/>
              <w:bottom w:val="nil"/>
              <w:right w:val="nil"/>
            </w:tcBorders>
            <w:shd w:val="clear" w:color="auto" w:fill="auto"/>
            <w:noWrap/>
            <w:vAlign w:val="bottom"/>
            <w:hideMark/>
          </w:tcPr>
          <w:p w14:paraId="77507395"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46F0AE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-1.97567</w:t>
            </w:r>
          </w:p>
        </w:tc>
        <w:tc>
          <w:tcPr>
            <w:tcW w:w="550" w:type="dxa"/>
            <w:tcBorders>
              <w:top w:val="nil"/>
              <w:left w:val="nil"/>
              <w:bottom w:val="nil"/>
              <w:right w:val="nil"/>
            </w:tcBorders>
            <w:shd w:val="clear" w:color="auto" w:fill="auto"/>
            <w:noWrap/>
            <w:vAlign w:val="bottom"/>
            <w:hideMark/>
          </w:tcPr>
          <w:p w14:paraId="1302D9E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F6D2D8E"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-3.29621</w:t>
            </w:r>
          </w:p>
        </w:tc>
        <w:tc>
          <w:tcPr>
            <w:tcW w:w="550" w:type="dxa"/>
            <w:tcBorders>
              <w:top w:val="nil"/>
              <w:left w:val="nil"/>
              <w:bottom w:val="nil"/>
              <w:right w:val="nil"/>
            </w:tcBorders>
            <w:shd w:val="clear" w:color="auto" w:fill="auto"/>
            <w:noWrap/>
            <w:vAlign w:val="bottom"/>
            <w:hideMark/>
          </w:tcPr>
          <w:p w14:paraId="4A798FDB"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3490945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-2.11487</w:t>
            </w:r>
          </w:p>
        </w:tc>
        <w:tc>
          <w:tcPr>
            <w:tcW w:w="550" w:type="dxa"/>
            <w:tcBorders>
              <w:top w:val="nil"/>
              <w:left w:val="nil"/>
              <w:bottom w:val="nil"/>
              <w:right w:val="nil"/>
            </w:tcBorders>
            <w:shd w:val="clear" w:color="auto" w:fill="auto"/>
            <w:noWrap/>
            <w:vAlign w:val="bottom"/>
            <w:hideMark/>
          </w:tcPr>
          <w:p w14:paraId="2998520F"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5390CB9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-1.99153</w:t>
            </w:r>
          </w:p>
        </w:tc>
        <w:tc>
          <w:tcPr>
            <w:tcW w:w="550" w:type="dxa"/>
            <w:tcBorders>
              <w:top w:val="nil"/>
              <w:left w:val="nil"/>
              <w:bottom w:val="nil"/>
              <w:right w:val="nil"/>
            </w:tcBorders>
            <w:shd w:val="clear" w:color="auto" w:fill="auto"/>
            <w:noWrap/>
            <w:vAlign w:val="bottom"/>
            <w:hideMark/>
          </w:tcPr>
          <w:p w14:paraId="74E0086B"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5D3E23CE"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655E7C0B"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NATO</w:t>
            </w:r>
          </w:p>
        </w:tc>
        <w:tc>
          <w:tcPr>
            <w:tcW w:w="1057" w:type="dxa"/>
            <w:tcBorders>
              <w:top w:val="nil"/>
              <w:left w:val="nil"/>
              <w:bottom w:val="nil"/>
              <w:right w:val="nil"/>
            </w:tcBorders>
            <w:shd w:val="clear" w:color="auto" w:fill="auto"/>
            <w:noWrap/>
            <w:vAlign w:val="bottom"/>
            <w:hideMark/>
          </w:tcPr>
          <w:p w14:paraId="74C9AB6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0.01580</w:t>
            </w:r>
          </w:p>
        </w:tc>
        <w:tc>
          <w:tcPr>
            <w:tcW w:w="442" w:type="dxa"/>
            <w:tcBorders>
              <w:top w:val="nil"/>
              <w:left w:val="nil"/>
              <w:bottom w:val="nil"/>
              <w:right w:val="nil"/>
            </w:tcBorders>
            <w:shd w:val="clear" w:color="auto" w:fill="auto"/>
            <w:noWrap/>
            <w:vAlign w:val="bottom"/>
            <w:hideMark/>
          </w:tcPr>
          <w:p w14:paraId="77C08BF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30C679F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0.01280</w:t>
            </w:r>
          </w:p>
        </w:tc>
        <w:tc>
          <w:tcPr>
            <w:tcW w:w="550" w:type="dxa"/>
            <w:tcBorders>
              <w:top w:val="nil"/>
              <w:left w:val="nil"/>
              <w:bottom w:val="nil"/>
              <w:right w:val="nil"/>
            </w:tcBorders>
            <w:shd w:val="clear" w:color="auto" w:fill="auto"/>
            <w:noWrap/>
            <w:vAlign w:val="bottom"/>
            <w:hideMark/>
          </w:tcPr>
          <w:p w14:paraId="4940EC1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5AAE0A8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-0.01666</w:t>
            </w:r>
          </w:p>
        </w:tc>
        <w:tc>
          <w:tcPr>
            <w:tcW w:w="550" w:type="dxa"/>
            <w:tcBorders>
              <w:top w:val="nil"/>
              <w:left w:val="nil"/>
              <w:bottom w:val="nil"/>
              <w:right w:val="nil"/>
            </w:tcBorders>
            <w:shd w:val="clear" w:color="auto" w:fill="auto"/>
            <w:noWrap/>
            <w:vAlign w:val="bottom"/>
            <w:hideMark/>
          </w:tcPr>
          <w:p w14:paraId="61D653D3"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765AB8B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-0.02908</w:t>
            </w:r>
          </w:p>
        </w:tc>
        <w:tc>
          <w:tcPr>
            <w:tcW w:w="550" w:type="dxa"/>
            <w:tcBorders>
              <w:top w:val="nil"/>
              <w:left w:val="nil"/>
              <w:bottom w:val="nil"/>
              <w:right w:val="nil"/>
            </w:tcBorders>
            <w:shd w:val="clear" w:color="auto" w:fill="auto"/>
            <w:noWrap/>
            <w:vAlign w:val="bottom"/>
            <w:hideMark/>
          </w:tcPr>
          <w:p w14:paraId="116E2AD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4A6F3208"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-0.03697</w:t>
            </w:r>
          </w:p>
        </w:tc>
        <w:tc>
          <w:tcPr>
            <w:tcW w:w="550" w:type="dxa"/>
            <w:tcBorders>
              <w:top w:val="nil"/>
              <w:left w:val="nil"/>
              <w:bottom w:val="nil"/>
              <w:right w:val="nil"/>
            </w:tcBorders>
            <w:shd w:val="clear" w:color="auto" w:fill="auto"/>
            <w:noWrap/>
            <w:vAlign w:val="bottom"/>
            <w:hideMark/>
          </w:tcPr>
          <w:p w14:paraId="26DF3D4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r>
      <w:tr w:rsidR="009B052F" w:rsidRPr="007F6687" w14:paraId="3F93BFE3"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33F08854"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2DAAC6F9"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2.19544</w:t>
            </w:r>
          </w:p>
        </w:tc>
        <w:tc>
          <w:tcPr>
            <w:tcW w:w="442" w:type="dxa"/>
            <w:tcBorders>
              <w:top w:val="nil"/>
              <w:left w:val="nil"/>
              <w:bottom w:val="nil"/>
              <w:right w:val="nil"/>
            </w:tcBorders>
            <w:shd w:val="clear" w:color="auto" w:fill="auto"/>
            <w:noWrap/>
            <w:vAlign w:val="bottom"/>
            <w:hideMark/>
          </w:tcPr>
          <w:p w14:paraId="0BA00AB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15C8A4B1"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3.56815</w:t>
            </w:r>
          </w:p>
        </w:tc>
        <w:tc>
          <w:tcPr>
            <w:tcW w:w="550" w:type="dxa"/>
            <w:tcBorders>
              <w:top w:val="nil"/>
              <w:left w:val="nil"/>
              <w:bottom w:val="nil"/>
              <w:right w:val="nil"/>
            </w:tcBorders>
            <w:shd w:val="clear" w:color="auto" w:fill="auto"/>
            <w:noWrap/>
            <w:vAlign w:val="bottom"/>
            <w:hideMark/>
          </w:tcPr>
          <w:p w14:paraId="4D62DE56"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4F86062"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-3.68266</w:t>
            </w:r>
          </w:p>
        </w:tc>
        <w:tc>
          <w:tcPr>
            <w:tcW w:w="550" w:type="dxa"/>
            <w:tcBorders>
              <w:top w:val="nil"/>
              <w:left w:val="nil"/>
              <w:bottom w:val="nil"/>
              <w:right w:val="nil"/>
            </w:tcBorders>
            <w:shd w:val="clear" w:color="auto" w:fill="auto"/>
            <w:noWrap/>
            <w:vAlign w:val="bottom"/>
            <w:hideMark/>
          </w:tcPr>
          <w:p w14:paraId="279672F5"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51C4F54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-2.18417</w:t>
            </w:r>
          </w:p>
        </w:tc>
        <w:tc>
          <w:tcPr>
            <w:tcW w:w="550" w:type="dxa"/>
            <w:tcBorders>
              <w:top w:val="nil"/>
              <w:left w:val="nil"/>
              <w:bottom w:val="nil"/>
              <w:right w:val="nil"/>
            </w:tcBorders>
            <w:shd w:val="clear" w:color="auto" w:fill="auto"/>
            <w:noWrap/>
            <w:vAlign w:val="bottom"/>
            <w:hideMark/>
          </w:tcPr>
          <w:p w14:paraId="0C034BB7"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757C5C8E"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-2.07893</w:t>
            </w:r>
          </w:p>
        </w:tc>
        <w:tc>
          <w:tcPr>
            <w:tcW w:w="550" w:type="dxa"/>
            <w:tcBorders>
              <w:top w:val="nil"/>
              <w:left w:val="nil"/>
              <w:bottom w:val="nil"/>
              <w:right w:val="nil"/>
            </w:tcBorders>
            <w:shd w:val="clear" w:color="auto" w:fill="auto"/>
            <w:noWrap/>
            <w:vAlign w:val="bottom"/>
            <w:hideMark/>
          </w:tcPr>
          <w:p w14:paraId="3EF7B2D1"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37B07402"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223537A4"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beta</w:t>
            </w:r>
          </w:p>
        </w:tc>
        <w:tc>
          <w:tcPr>
            <w:tcW w:w="1057" w:type="dxa"/>
            <w:tcBorders>
              <w:top w:val="nil"/>
              <w:left w:val="nil"/>
              <w:bottom w:val="nil"/>
              <w:right w:val="nil"/>
            </w:tcBorders>
            <w:shd w:val="clear" w:color="auto" w:fill="auto"/>
            <w:noWrap/>
            <w:vAlign w:val="bottom"/>
            <w:hideMark/>
          </w:tcPr>
          <w:p w14:paraId="6EA44FB0"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1.19427</w:t>
            </w:r>
          </w:p>
        </w:tc>
        <w:tc>
          <w:tcPr>
            <w:tcW w:w="442" w:type="dxa"/>
            <w:tcBorders>
              <w:top w:val="nil"/>
              <w:left w:val="nil"/>
              <w:bottom w:val="nil"/>
              <w:right w:val="nil"/>
            </w:tcBorders>
            <w:shd w:val="clear" w:color="auto" w:fill="auto"/>
            <w:noWrap/>
            <w:vAlign w:val="bottom"/>
            <w:hideMark/>
          </w:tcPr>
          <w:p w14:paraId="30920D3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6E1207F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0.70797</w:t>
            </w:r>
          </w:p>
        </w:tc>
        <w:tc>
          <w:tcPr>
            <w:tcW w:w="550" w:type="dxa"/>
            <w:tcBorders>
              <w:top w:val="nil"/>
              <w:left w:val="nil"/>
              <w:bottom w:val="nil"/>
              <w:right w:val="nil"/>
            </w:tcBorders>
            <w:shd w:val="clear" w:color="auto" w:fill="auto"/>
            <w:noWrap/>
            <w:vAlign w:val="bottom"/>
            <w:hideMark/>
          </w:tcPr>
          <w:p w14:paraId="44C87AC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5A1AFB6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-1.29004</w:t>
            </w:r>
          </w:p>
        </w:tc>
        <w:tc>
          <w:tcPr>
            <w:tcW w:w="550" w:type="dxa"/>
            <w:tcBorders>
              <w:top w:val="nil"/>
              <w:left w:val="nil"/>
              <w:bottom w:val="nil"/>
              <w:right w:val="nil"/>
            </w:tcBorders>
            <w:shd w:val="clear" w:color="auto" w:fill="auto"/>
            <w:noWrap/>
            <w:vAlign w:val="bottom"/>
            <w:hideMark/>
          </w:tcPr>
          <w:p w14:paraId="582CB4A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461C4B8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-1.03977</w:t>
            </w:r>
          </w:p>
        </w:tc>
        <w:tc>
          <w:tcPr>
            <w:tcW w:w="550" w:type="dxa"/>
            <w:tcBorders>
              <w:top w:val="nil"/>
              <w:left w:val="nil"/>
              <w:bottom w:val="nil"/>
              <w:right w:val="nil"/>
            </w:tcBorders>
            <w:shd w:val="clear" w:color="auto" w:fill="auto"/>
            <w:noWrap/>
            <w:vAlign w:val="bottom"/>
            <w:hideMark/>
          </w:tcPr>
          <w:p w14:paraId="46897AF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33F2D2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-0.97495</w:t>
            </w:r>
          </w:p>
        </w:tc>
        <w:tc>
          <w:tcPr>
            <w:tcW w:w="550" w:type="dxa"/>
            <w:tcBorders>
              <w:top w:val="nil"/>
              <w:left w:val="nil"/>
              <w:bottom w:val="nil"/>
              <w:right w:val="nil"/>
            </w:tcBorders>
            <w:shd w:val="clear" w:color="auto" w:fill="auto"/>
            <w:noWrap/>
            <w:vAlign w:val="bottom"/>
            <w:hideMark/>
          </w:tcPr>
          <w:p w14:paraId="49B4C9D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r>
      <w:tr w:rsidR="009B052F" w:rsidRPr="007F6687" w14:paraId="0BC2F6AB"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075F32F8"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6A32F715"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2.19830</w:t>
            </w:r>
          </w:p>
        </w:tc>
        <w:tc>
          <w:tcPr>
            <w:tcW w:w="442" w:type="dxa"/>
            <w:tcBorders>
              <w:top w:val="nil"/>
              <w:left w:val="nil"/>
              <w:bottom w:val="nil"/>
              <w:right w:val="nil"/>
            </w:tcBorders>
            <w:shd w:val="clear" w:color="auto" w:fill="auto"/>
            <w:noWrap/>
            <w:vAlign w:val="bottom"/>
            <w:hideMark/>
          </w:tcPr>
          <w:p w14:paraId="403DDA2A"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1FE7489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1.81659</w:t>
            </w:r>
          </w:p>
        </w:tc>
        <w:tc>
          <w:tcPr>
            <w:tcW w:w="550" w:type="dxa"/>
            <w:tcBorders>
              <w:top w:val="nil"/>
              <w:left w:val="nil"/>
              <w:bottom w:val="nil"/>
              <w:right w:val="nil"/>
            </w:tcBorders>
            <w:shd w:val="clear" w:color="auto" w:fill="auto"/>
            <w:noWrap/>
            <w:vAlign w:val="bottom"/>
            <w:hideMark/>
          </w:tcPr>
          <w:p w14:paraId="06D784D9"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151025B8"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-2.04449</w:t>
            </w:r>
          </w:p>
        </w:tc>
        <w:tc>
          <w:tcPr>
            <w:tcW w:w="550" w:type="dxa"/>
            <w:tcBorders>
              <w:top w:val="nil"/>
              <w:left w:val="nil"/>
              <w:bottom w:val="nil"/>
              <w:right w:val="nil"/>
            </w:tcBorders>
            <w:shd w:val="clear" w:color="auto" w:fill="auto"/>
            <w:noWrap/>
            <w:vAlign w:val="bottom"/>
            <w:hideMark/>
          </w:tcPr>
          <w:p w14:paraId="2783AFC1"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01FA4387"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-3.44069</w:t>
            </w:r>
          </w:p>
        </w:tc>
        <w:tc>
          <w:tcPr>
            <w:tcW w:w="550" w:type="dxa"/>
            <w:tcBorders>
              <w:top w:val="nil"/>
              <w:left w:val="nil"/>
              <w:bottom w:val="nil"/>
              <w:right w:val="nil"/>
            </w:tcBorders>
            <w:shd w:val="clear" w:color="auto" w:fill="auto"/>
            <w:noWrap/>
            <w:vAlign w:val="bottom"/>
            <w:hideMark/>
          </w:tcPr>
          <w:p w14:paraId="78FD3F4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26723BBA"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-2.50834</w:t>
            </w:r>
          </w:p>
        </w:tc>
        <w:tc>
          <w:tcPr>
            <w:tcW w:w="550" w:type="dxa"/>
            <w:tcBorders>
              <w:top w:val="nil"/>
              <w:left w:val="nil"/>
              <w:bottom w:val="nil"/>
              <w:right w:val="nil"/>
            </w:tcBorders>
            <w:shd w:val="clear" w:color="auto" w:fill="auto"/>
            <w:noWrap/>
            <w:vAlign w:val="bottom"/>
            <w:hideMark/>
          </w:tcPr>
          <w:p w14:paraId="076A1562"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765C8208"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517DBC16"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AUM</w:t>
            </w:r>
          </w:p>
        </w:tc>
        <w:tc>
          <w:tcPr>
            <w:tcW w:w="1057" w:type="dxa"/>
            <w:tcBorders>
              <w:top w:val="nil"/>
              <w:left w:val="nil"/>
              <w:bottom w:val="nil"/>
              <w:right w:val="nil"/>
            </w:tcBorders>
            <w:shd w:val="clear" w:color="auto" w:fill="auto"/>
            <w:noWrap/>
            <w:vAlign w:val="bottom"/>
            <w:hideMark/>
          </w:tcPr>
          <w:p w14:paraId="5FA57A2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0.36310</w:t>
            </w:r>
          </w:p>
        </w:tc>
        <w:tc>
          <w:tcPr>
            <w:tcW w:w="442" w:type="dxa"/>
            <w:tcBorders>
              <w:top w:val="nil"/>
              <w:left w:val="nil"/>
              <w:bottom w:val="nil"/>
              <w:right w:val="nil"/>
            </w:tcBorders>
            <w:shd w:val="clear" w:color="auto" w:fill="auto"/>
            <w:noWrap/>
            <w:vAlign w:val="bottom"/>
            <w:hideMark/>
          </w:tcPr>
          <w:p w14:paraId="6A4BDBB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7B3817F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0.16016</w:t>
            </w:r>
          </w:p>
        </w:tc>
        <w:tc>
          <w:tcPr>
            <w:tcW w:w="550" w:type="dxa"/>
            <w:tcBorders>
              <w:top w:val="nil"/>
              <w:left w:val="nil"/>
              <w:bottom w:val="nil"/>
              <w:right w:val="nil"/>
            </w:tcBorders>
            <w:shd w:val="clear" w:color="auto" w:fill="auto"/>
            <w:noWrap/>
            <w:vAlign w:val="bottom"/>
            <w:hideMark/>
          </w:tcPr>
          <w:p w14:paraId="31FCA34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441052A0"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0.57192</w:t>
            </w:r>
          </w:p>
        </w:tc>
        <w:tc>
          <w:tcPr>
            <w:tcW w:w="550" w:type="dxa"/>
            <w:tcBorders>
              <w:top w:val="nil"/>
              <w:left w:val="nil"/>
              <w:bottom w:val="nil"/>
              <w:right w:val="nil"/>
            </w:tcBorders>
            <w:shd w:val="clear" w:color="auto" w:fill="auto"/>
            <w:noWrap/>
            <w:vAlign w:val="bottom"/>
            <w:hideMark/>
          </w:tcPr>
          <w:p w14:paraId="413EA5A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1B66F11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0.50834</w:t>
            </w:r>
          </w:p>
        </w:tc>
        <w:tc>
          <w:tcPr>
            <w:tcW w:w="550" w:type="dxa"/>
            <w:tcBorders>
              <w:top w:val="nil"/>
              <w:left w:val="nil"/>
              <w:bottom w:val="nil"/>
              <w:right w:val="nil"/>
            </w:tcBorders>
            <w:shd w:val="clear" w:color="auto" w:fill="auto"/>
            <w:noWrap/>
            <w:vAlign w:val="bottom"/>
            <w:hideMark/>
          </w:tcPr>
          <w:p w14:paraId="573B898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2188E50"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0.76648</w:t>
            </w:r>
          </w:p>
        </w:tc>
        <w:tc>
          <w:tcPr>
            <w:tcW w:w="550" w:type="dxa"/>
            <w:tcBorders>
              <w:top w:val="nil"/>
              <w:left w:val="nil"/>
              <w:bottom w:val="nil"/>
              <w:right w:val="nil"/>
            </w:tcBorders>
            <w:shd w:val="clear" w:color="auto" w:fill="auto"/>
            <w:noWrap/>
            <w:vAlign w:val="bottom"/>
            <w:hideMark/>
          </w:tcPr>
          <w:p w14:paraId="23184D5C"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r>
      <w:tr w:rsidR="009B052F" w:rsidRPr="007F6687" w14:paraId="271978E8"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55F57546"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44A0EEBF"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1.81944</w:t>
            </w:r>
          </w:p>
        </w:tc>
        <w:tc>
          <w:tcPr>
            <w:tcW w:w="442" w:type="dxa"/>
            <w:tcBorders>
              <w:top w:val="nil"/>
              <w:left w:val="nil"/>
              <w:bottom w:val="nil"/>
              <w:right w:val="nil"/>
            </w:tcBorders>
            <w:shd w:val="clear" w:color="auto" w:fill="auto"/>
            <w:noWrap/>
            <w:vAlign w:val="bottom"/>
            <w:hideMark/>
          </w:tcPr>
          <w:p w14:paraId="6CF3F9F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6C8633F"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0.80053</w:t>
            </w:r>
          </w:p>
        </w:tc>
        <w:tc>
          <w:tcPr>
            <w:tcW w:w="550" w:type="dxa"/>
            <w:tcBorders>
              <w:top w:val="nil"/>
              <w:left w:val="nil"/>
              <w:bottom w:val="nil"/>
              <w:right w:val="nil"/>
            </w:tcBorders>
            <w:shd w:val="clear" w:color="auto" w:fill="auto"/>
            <w:noWrap/>
            <w:vAlign w:val="bottom"/>
            <w:hideMark/>
          </w:tcPr>
          <w:p w14:paraId="309459DB"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4647E499"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2.06420</w:t>
            </w:r>
          </w:p>
        </w:tc>
        <w:tc>
          <w:tcPr>
            <w:tcW w:w="550" w:type="dxa"/>
            <w:tcBorders>
              <w:top w:val="nil"/>
              <w:left w:val="nil"/>
              <w:bottom w:val="nil"/>
              <w:right w:val="nil"/>
            </w:tcBorders>
            <w:shd w:val="clear" w:color="auto" w:fill="auto"/>
            <w:noWrap/>
            <w:vAlign w:val="bottom"/>
            <w:hideMark/>
          </w:tcPr>
          <w:p w14:paraId="4F19AAB5"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26B6B587"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1.99914</w:t>
            </w:r>
          </w:p>
        </w:tc>
        <w:tc>
          <w:tcPr>
            <w:tcW w:w="550" w:type="dxa"/>
            <w:tcBorders>
              <w:top w:val="nil"/>
              <w:left w:val="nil"/>
              <w:bottom w:val="nil"/>
              <w:right w:val="nil"/>
            </w:tcBorders>
            <w:shd w:val="clear" w:color="auto" w:fill="auto"/>
            <w:noWrap/>
            <w:vAlign w:val="bottom"/>
            <w:hideMark/>
          </w:tcPr>
          <w:p w14:paraId="4A5EB25E"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2DED8E13"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2.18603</w:t>
            </w:r>
          </w:p>
        </w:tc>
        <w:tc>
          <w:tcPr>
            <w:tcW w:w="550" w:type="dxa"/>
            <w:tcBorders>
              <w:top w:val="nil"/>
              <w:left w:val="nil"/>
              <w:bottom w:val="nil"/>
              <w:right w:val="nil"/>
            </w:tcBorders>
            <w:shd w:val="clear" w:color="auto" w:fill="auto"/>
            <w:noWrap/>
            <w:vAlign w:val="bottom"/>
            <w:hideMark/>
          </w:tcPr>
          <w:p w14:paraId="0D704526"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34DC61DE"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1740154E"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alpha</w:t>
            </w:r>
          </w:p>
        </w:tc>
        <w:tc>
          <w:tcPr>
            <w:tcW w:w="1057" w:type="dxa"/>
            <w:tcBorders>
              <w:top w:val="nil"/>
              <w:left w:val="nil"/>
              <w:bottom w:val="nil"/>
              <w:right w:val="nil"/>
            </w:tcBorders>
            <w:shd w:val="clear" w:color="auto" w:fill="auto"/>
            <w:noWrap/>
            <w:vAlign w:val="bottom"/>
            <w:hideMark/>
          </w:tcPr>
          <w:p w14:paraId="107E0D9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0.36489</w:t>
            </w:r>
          </w:p>
        </w:tc>
        <w:tc>
          <w:tcPr>
            <w:tcW w:w="442" w:type="dxa"/>
            <w:tcBorders>
              <w:top w:val="nil"/>
              <w:left w:val="nil"/>
              <w:bottom w:val="nil"/>
              <w:right w:val="nil"/>
            </w:tcBorders>
            <w:shd w:val="clear" w:color="auto" w:fill="auto"/>
            <w:noWrap/>
            <w:vAlign w:val="bottom"/>
            <w:hideMark/>
          </w:tcPr>
          <w:p w14:paraId="4EDBC21A"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5FB2496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0.29021</w:t>
            </w:r>
          </w:p>
        </w:tc>
        <w:tc>
          <w:tcPr>
            <w:tcW w:w="550" w:type="dxa"/>
            <w:tcBorders>
              <w:top w:val="nil"/>
              <w:left w:val="nil"/>
              <w:bottom w:val="nil"/>
              <w:right w:val="nil"/>
            </w:tcBorders>
            <w:shd w:val="clear" w:color="auto" w:fill="auto"/>
            <w:noWrap/>
            <w:vAlign w:val="bottom"/>
            <w:hideMark/>
          </w:tcPr>
          <w:p w14:paraId="55B67B63"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54A85AA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0.51360</w:t>
            </w:r>
          </w:p>
        </w:tc>
        <w:tc>
          <w:tcPr>
            <w:tcW w:w="550" w:type="dxa"/>
            <w:tcBorders>
              <w:top w:val="nil"/>
              <w:left w:val="nil"/>
              <w:bottom w:val="nil"/>
              <w:right w:val="nil"/>
            </w:tcBorders>
            <w:shd w:val="clear" w:color="auto" w:fill="auto"/>
            <w:noWrap/>
            <w:vAlign w:val="bottom"/>
            <w:hideMark/>
          </w:tcPr>
          <w:p w14:paraId="59ABBD9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C9652A2"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0.08993</w:t>
            </w:r>
          </w:p>
        </w:tc>
        <w:tc>
          <w:tcPr>
            <w:tcW w:w="550" w:type="dxa"/>
            <w:tcBorders>
              <w:top w:val="nil"/>
              <w:left w:val="nil"/>
              <w:bottom w:val="nil"/>
              <w:right w:val="nil"/>
            </w:tcBorders>
            <w:shd w:val="clear" w:color="auto" w:fill="auto"/>
            <w:noWrap/>
            <w:vAlign w:val="bottom"/>
            <w:hideMark/>
          </w:tcPr>
          <w:p w14:paraId="1DECCA7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020519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0.01546</w:t>
            </w:r>
          </w:p>
        </w:tc>
        <w:tc>
          <w:tcPr>
            <w:tcW w:w="550" w:type="dxa"/>
            <w:tcBorders>
              <w:top w:val="nil"/>
              <w:left w:val="nil"/>
              <w:bottom w:val="nil"/>
              <w:right w:val="nil"/>
            </w:tcBorders>
            <w:shd w:val="clear" w:color="auto" w:fill="auto"/>
            <w:noWrap/>
            <w:vAlign w:val="bottom"/>
            <w:hideMark/>
          </w:tcPr>
          <w:p w14:paraId="12E6A1D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7F6687" w14:paraId="3BD02A8D"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05A35F8A"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6794D519"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0.83446</w:t>
            </w:r>
          </w:p>
        </w:tc>
        <w:tc>
          <w:tcPr>
            <w:tcW w:w="442" w:type="dxa"/>
            <w:tcBorders>
              <w:top w:val="nil"/>
              <w:left w:val="nil"/>
              <w:bottom w:val="nil"/>
              <w:right w:val="nil"/>
            </w:tcBorders>
            <w:shd w:val="clear" w:color="auto" w:fill="auto"/>
            <w:noWrap/>
            <w:vAlign w:val="bottom"/>
            <w:hideMark/>
          </w:tcPr>
          <w:p w14:paraId="53C0011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07F797FF"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0.91761</w:t>
            </w:r>
          </w:p>
        </w:tc>
        <w:tc>
          <w:tcPr>
            <w:tcW w:w="550" w:type="dxa"/>
            <w:tcBorders>
              <w:top w:val="nil"/>
              <w:left w:val="nil"/>
              <w:bottom w:val="nil"/>
              <w:right w:val="nil"/>
            </w:tcBorders>
            <w:shd w:val="clear" w:color="auto" w:fill="auto"/>
            <w:noWrap/>
            <w:vAlign w:val="bottom"/>
            <w:hideMark/>
          </w:tcPr>
          <w:p w14:paraId="408EB8A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3E4F90A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2.16932</w:t>
            </w:r>
          </w:p>
        </w:tc>
        <w:tc>
          <w:tcPr>
            <w:tcW w:w="550" w:type="dxa"/>
            <w:tcBorders>
              <w:top w:val="nil"/>
              <w:left w:val="nil"/>
              <w:bottom w:val="nil"/>
              <w:right w:val="nil"/>
            </w:tcBorders>
            <w:shd w:val="clear" w:color="auto" w:fill="auto"/>
            <w:noWrap/>
            <w:vAlign w:val="bottom"/>
            <w:hideMark/>
          </w:tcPr>
          <w:p w14:paraId="0D6E0FC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5260BB82"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2.07762</w:t>
            </w:r>
          </w:p>
        </w:tc>
        <w:tc>
          <w:tcPr>
            <w:tcW w:w="550" w:type="dxa"/>
            <w:tcBorders>
              <w:top w:val="nil"/>
              <w:left w:val="nil"/>
              <w:bottom w:val="nil"/>
              <w:right w:val="nil"/>
            </w:tcBorders>
            <w:shd w:val="clear" w:color="auto" w:fill="auto"/>
            <w:noWrap/>
            <w:vAlign w:val="bottom"/>
            <w:hideMark/>
          </w:tcPr>
          <w:p w14:paraId="64063F1E"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5EB05A62"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1.07322</w:t>
            </w:r>
          </w:p>
        </w:tc>
        <w:tc>
          <w:tcPr>
            <w:tcW w:w="550" w:type="dxa"/>
            <w:tcBorders>
              <w:top w:val="nil"/>
              <w:left w:val="nil"/>
              <w:bottom w:val="nil"/>
              <w:right w:val="nil"/>
            </w:tcBorders>
            <w:shd w:val="clear" w:color="auto" w:fill="auto"/>
            <w:noWrap/>
            <w:vAlign w:val="bottom"/>
            <w:hideMark/>
          </w:tcPr>
          <w:p w14:paraId="2E883E7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3F890C55"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3BFD3139"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BM</w:t>
            </w:r>
          </w:p>
        </w:tc>
        <w:tc>
          <w:tcPr>
            <w:tcW w:w="1057" w:type="dxa"/>
            <w:tcBorders>
              <w:top w:val="nil"/>
              <w:left w:val="nil"/>
              <w:bottom w:val="nil"/>
              <w:right w:val="nil"/>
            </w:tcBorders>
            <w:shd w:val="clear" w:color="auto" w:fill="auto"/>
            <w:noWrap/>
            <w:vAlign w:val="bottom"/>
            <w:hideMark/>
          </w:tcPr>
          <w:p w14:paraId="7B5634EA"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0.17787</w:t>
            </w:r>
          </w:p>
        </w:tc>
        <w:tc>
          <w:tcPr>
            <w:tcW w:w="442" w:type="dxa"/>
            <w:tcBorders>
              <w:top w:val="nil"/>
              <w:left w:val="nil"/>
              <w:bottom w:val="nil"/>
              <w:right w:val="nil"/>
            </w:tcBorders>
            <w:shd w:val="clear" w:color="auto" w:fill="auto"/>
            <w:noWrap/>
            <w:vAlign w:val="bottom"/>
            <w:hideMark/>
          </w:tcPr>
          <w:p w14:paraId="3538F3B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64EA6CF3"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0.27356</w:t>
            </w:r>
          </w:p>
        </w:tc>
        <w:tc>
          <w:tcPr>
            <w:tcW w:w="550" w:type="dxa"/>
            <w:tcBorders>
              <w:top w:val="nil"/>
              <w:left w:val="nil"/>
              <w:bottom w:val="nil"/>
              <w:right w:val="nil"/>
            </w:tcBorders>
            <w:shd w:val="clear" w:color="auto" w:fill="auto"/>
            <w:noWrap/>
            <w:vAlign w:val="bottom"/>
            <w:hideMark/>
          </w:tcPr>
          <w:p w14:paraId="10628C5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2FAE5B7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0.06848</w:t>
            </w:r>
          </w:p>
        </w:tc>
        <w:tc>
          <w:tcPr>
            <w:tcW w:w="550" w:type="dxa"/>
            <w:tcBorders>
              <w:top w:val="nil"/>
              <w:left w:val="nil"/>
              <w:bottom w:val="nil"/>
              <w:right w:val="nil"/>
            </w:tcBorders>
            <w:shd w:val="clear" w:color="auto" w:fill="auto"/>
            <w:noWrap/>
            <w:vAlign w:val="bottom"/>
            <w:hideMark/>
          </w:tcPr>
          <w:p w14:paraId="4EF8B69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36823D3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0.16796</w:t>
            </w:r>
          </w:p>
        </w:tc>
        <w:tc>
          <w:tcPr>
            <w:tcW w:w="550" w:type="dxa"/>
            <w:tcBorders>
              <w:top w:val="nil"/>
              <w:left w:val="nil"/>
              <w:bottom w:val="nil"/>
              <w:right w:val="nil"/>
            </w:tcBorders>
            <w:shd w:val="clear" w:color="auto" w:fill="auto"/>
            <w:noWrap/>
            <w:vAlign w:val="bottom"/>
            <w:hideMark/>
          </w:tcPr>
          <w:p w14:paraId="3D741A5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2A233288"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0.24501</w:t>
            </w:r>
          </w:p>
        </w:tc>
        <w:tc>
          <w:tcPr>
            <w:tcW w:w="550" w:type="dxa"/>
            <w:tcBorders>
              <w:top w:val="nil"/>
              <w:left w:val="nil"/>
              <w:bottom w:val="nil"/>
              <w:right w:val="nil"/>
            </w:tcBorders>
            <w:shd w:val="clear" w:color="auto" w:fill="auto"/>
            <w:noWrap/>
            <w:vAlign w:val="bottom"/>
            <w:hideMark/>
          </w:tcPr>
          <w:p w14:paraId="2356445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7F6687" w14:paraId="64E1A2BD"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07AAF857"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4505E4D1"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1.72285</w:t>
            </w:r>
          </w:p>
        </w:tc>
        <w:tc>
          <w:tcPr>
            <w:tcW w:w="442" w:type="dxa"/>
            <w:tcBorders>
              <w:top w:val="nil"/>
              <w:left w:val="nil"/>
              <w:bottom w:val="nil"/>
              <w:right w:val="nil"/>
            </w:tcBorders>
            <w:shd w:val="clear" w:color="auto" w:fill="auto"/>
            <w:noWrap/>
            <w:vAlign w:val="bottom"/>
            <w:hideMark/>
          </w:tcPr>
          <w:p w14:paraId="0E27FD25"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2F273867"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0.37769</w:t>
            </w:r>
          </w:p>
        </w:tc>
        <w:tc>
          <w:tcPr>
            <w:tcW w:w="550" w:type="dxa"/>
            <w:tcBorders>
              <w:top w:val="nil"/>
              <w:left w:val="nil"/>
              <w:bottom w:val="nil"/>
              <w:right w:val="nil"/>
            </w:tcBorders>
            <w:shd w:val="clear" w:color="auto" w:fill="auto"/>
            <w:noWrap/>
            <w:vAlign w:val="bottom"/>
            <w:hideMark/>
          </w:tcPr>
          <w:p w14:paraId="0EAB9798"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7E36354"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0.66049</w:t>
            </w:r>
          </w:p>
        </w:tc>
        <w:tc>
          <w:tcPr>
            <w:tcW w:w="550" w:type="dxa"/>
            <w:tcBorders>
              <w:top w:val="nil"/>
              <w:left w:val="nil"/>
              <w:bottom w:val="nil"/>
              <w:right w:val="nil"/>
            </w:tcBorders>
            <w:shd w:val="clear" w:color="auto" w:fill="auto"/>
            <w:noWrap/>
            <w:vAlign w:val="bottom"/>
            <w:hideMark/>
          </w:tcPr>
          <w:p w14:paraId="196687C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0D7487B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1.20641</w:t>
            </w:r>
          </w:p>
        </w:tc>
        <w:tc>
          <w:tcPr>
            <w:tcW w:w="550" w:type="dxa"/>
            <w:tcBorders>
              <w:top w:val="nil"/>
              <w:left w:val="nil"/>
              <w:bottom w:val="nil"/>
              <w:right w:val="nil"/>
            </w:tcBorders>
            <w:shd w:val="clear" w:color="auto" w:fill="auto"/>
            <w:noWrap/>
            <w:vAlign w:val="bottom"/>
            <w:hideMark/>
          </w:tcPr>
          <w:p w14:paraId="4A87FCFB"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5E01002D"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0.61215</w:t>
            </w:r>
          </w:p>
        </w:tc>
        <w:tc>
          <w:tcPr>
            <w:tcW w:w="550" w:type="dxa"/>
            <w:tcBorders>
              <w:top w:val="nil"/>
              <w:left w:val="nil"/>
              <w:bottom w:val="nil"/>
              <w:right w:val="nil"/>
            </w:tcBorders>
            <w:shd w:val="clear" w:color="auto" w:fill="auto"/>
            <w:noWrap/>
            <w:vAlign w:val="bottom"/>
            <w:hideMark/>
          </w:tcPr>
          <w:p w14:paraId="677093C4"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0CA9BCC3"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3F2D1303"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MoM</w:t>
            </w:r>
          </w:p>
        </w:tc>
        <w:tc>
          <w:tcPr>
            <w:tcW w:w="1057" w:type="dxa"/>
            <w:tcBorders>
              <w:top w:val="nil"/>
              <w:left w:val="nil"/>
              <w:bottom w:val="nil"/>
              <w:right w:val="nil"/>
            </w:tcBorders>
            <w:shd w:val="clear" w:color="auto" w:fill="auto"/>
            <w:noWrap/>
            <w:vAlign w:val="bottom"/>
            <w:hideMark/>
          </w:tcPr>
          <w:p w14:paraId="3F3F3893"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0.02027</w:t>
            </w:r>
          </w:p>
        </w:tc>
        <w:tc>
          <w:tcPr>
            <w:tcW w:w="442" w:type="dxa"/>
            <w:tcBorders>
              <w:top w:val="nil"/>
              <w:left w:val="nil"/>
              <w:bottom w:val="nil"/>
              <w:right w:val="nil"/>
            </w:tcBorders>
            <w:shd w:val="clear" w:color="auto" w:fill="auto"/>
            <w:noWrap/>
            <w:vAlign w:val="bottom"/>
            <w:hideMark/>
          </w:tcPr>
          <w:p w14:paraId="776A3B1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416AADF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0.04472</w:t>
            </w:r>
          </w:p>
        </w:tc>
        <w:tc>
          <w:tcPr>
            <w:tcW w:w="550" w:type="dxa"/>
            <w:tcBorders>
              <w:top w:val="nil"/>
              <w:left w:val="nil"/>
              <w:bottom w:val="nil"/>
              <w:right w:val="nil"/>
            </w:tcBorders>
            <w:shd w:val="clear" w:color="auto" w:fill="auto"/>
            <w:noWrap/>
            <w:vAlign w:val="bottom"/>
            <w:hideMark/>
          </w:tcPr>
          <w:p w14:paraId="34A09BE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10897EC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0.08317</w:t>
            </w:r>
          </w:p>
        </w:tc>
        <w:tc>
          <w:tcPr>
            <w:tcW w:w="550" w:type="dxa"/>
            <w:tcBorders>
              <w:top w:val="nil"/>
              <w:left w:val="nil"/>
              <w:bottom w:val="nil"/>
              <w:right w:val="nil"/>
            </w:tcBorders>
            <w:shd w:val="clear" w:color="auto" w:fill="auto"/>
            <w:noWrap/>
            <w:vAlign w:val="bottom"/>
            <w:hideMark/>
          </w:tcPr>
          <w:p w14:paraId="05D06E6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c>
          <w:tcPr>
            <w:tcW w:w="1057" w:type="dxa"/>
            <w:tcBorders>
              <w:top w:val="nil"/>
              <w:left w:val="nil"/>
              <w:bottom w:val="nil"/>
              <w:right w:val="nil"/>
            </w:tcBorders>
            <w:shd w:val="clear" w:color="auto" w:fill="auto"/>
            <w:noWrap/>
            <w:vAlign w:val="bottom"/>
            <w:hideMark/>
          </w:tcPr>
          <w:p w14:paraId="2829544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0.02454</w:t>
            </w:r>
          </w:p>
        </w:tc>
        <w:tc>
          <w:tcPr>
            <w:tcW w:w="550" w:type="dxa"/>
            <w:tcBorders>
              <w:top w:val="nil"/>
              <w:left w:val="nil"/>
              <w:bottom w:val="nil"/>
              <w:right w:val="nil"/>
            </w:tcBorders>
            <w:shd w:val="clear" w:color="auto" w:fill="auto"/>
            <w:noWrap/>
            <w:vAlign w:val="bottom"/>
            <w:hideMark/>
          </w:tcPr>
          <w:p w14:paraId="54929A88"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173F277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0.07379</w:t>
            </w:r>
          </w:p>
        </w:tc>
        <w:tc>
          <w:tcPr>
            <w:tcW w:w="550" w:type="dxa"/>
            <w:tcBorders>
              <w:top w:val="nil"/>
              <w:left w:val="nil"/>
              <w:bottom w:val="nil"/>
              <w:right w:val="nil"/>
            </w:tcBorders>
            <w:shd w:val="clear" w:color="auto" w:fill="auto"/>
            <w:noWrap/>
            <w:vAlign w:val="bottom"/>
            <w:hideMark/>
          </w:tcPr>
          <w:p w14:paraId="6CDA458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w:t>
            </w:r>
          </w:p>
        </w:tc>
      </w:tr>
      <w:tr w:rsidR="009B052F" w:rsidRPr="007F6687" w14:paraId="4B5DC554"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66BB3637" w14:textId="77777777" w:rsidR="009B052F" w:rsidRPr="007F6687" w:rsidRDefault="009B052F" w:rsidP="001F092A">
            <w:pPr>
              <w:spacing w:after="0" w:line="240" w:lineRule="auto"/>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t stats</w:t>
            </w:r>
          </w:p>
        </w:tc>
        <w:tc>
          <w:tcPr>
            <w:tcW w:w="1057" w:type="dxa"/>
            <w:tcBorders>
              <w:top w:val="nil"/>
              <w:left w:val="nil"/>
              <w:bottom w:val="nil"/>
              <w:right w:val="nil"/>
            </w:tcBorders>
            <w:shd w:val="clear" w:color="auto" w:fill="auto"/>
            <w:noWrap/>
            <w:vAlign w:val="bottom"/>
            <w:hideMark/>
          </w:tcPr>
          <w:p w14:paraId="371BD0B8"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0.00556</w:t>
            </w:r>
          </w:p>
        </w:tc>
        <w:tc>
          <w:tcPr>
            <w:tcW w:w="442" w:type="dxa"/>
            <w:tcBorders>
              <w:top w:val="nil"/>
              <w:left w:val="nil"/>
              <w:bottom w:val="nil"/>
              <w:right w:val="nil"/>
            </w:tcBorders>
            <w:shd w:val="clear" w:color="auto" w:fill="auto"/>
            <w:noWrap/>
            <w:vAlign w:val="bottom"/>
            <w:hideMark/>
          </w:tcPr>
          <w:p w14:paraId="4122FC88"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763ED78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0.64482</w:t>
            </w:r>
          </w:p>
        </w:tc>
        <w:tc>
          <w:tcPr>
            <w:tcW w:w="550" w:type="dxa"/>
            <w:tcBorders>
              <w:top w:val="nil"/>
              <w:left w:val="nil"/>
              <w:bottom w:val="nil"/>
              <w:right w:val="nil"/>
            </w:tcBorders>
            <w:shd w:val="clear" w:color="auto" w:fill="auto"/>
            <w:noWrap/>
            <w:vAlign w:val="bottom"/>
            <w:hideMark/>
          </w:tcPr>
          <w:p w14:paraId="63DE517E"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2E942B0"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1.98121</w:t>
            </w:r>
          </w:p>
        </w:tc>
        <w:tc>
          <w:tcPr>
            <w:tcW w:w="550" w:type="dxa"/>
            <w:tcBorders>
              <w:top w:val="nil"/>
              <w:left w:val="nil"/>
              <w:bottom w:val="nil"/>
              <w:right w:val="nil"/>
            </w:tcBorders>
            <w:shd w:val="clear" w:color="auto" w:fill="auto"/>
            <w:noWrap/>
            <w:vAlign w:val="bottom"/>
            <w:hideMark/>
          </w:tcPr>
          <w:p w14:paraId="29B033B4"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67BC4B18"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1.12624</w:t>
            </w:r>
          </w:p>
        </w:tc>
        <w:tc>
          <w:tcPr>
            <w:tcW w:w="550" w:type="dxa"/>
            <w:tcBorders>
              <w:top w:val="nil"/>
              <w:left w:val="nil"/>
              <w:bottom w:val="nil"/>
              <w:right w:val="nil"/>
            </w:tcBorders>
            <w:shd w:val="clear" w:color="auto" w:fill="auto"/>
            <w:noWrap/>
            <w:vAlign w:val="bottom"/>
            <w:hideMark/>
          </w:tcPr>
          <w:p w14:paraId="3D99B53B"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57" w:type="dxa"/>
            <w:tcBorders>
              <w:top w:val="nil"/>
              <w:left w:val="nil"/>
              <w:bottom w:val="nil"/>
              <w:right w:val="nil"/>
            </w:tcBorders>
            <w:shd w:val="clear" w:color="auto" w:fill="auto"/>
            <w:noWrap/>
            <w:vAlign w:val="bottom"/>
            <w:hideMark/>
          </w:tcPr>
          <w:p w14:paraId="4CCA6649"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r w:rsidRPr="007F6687">
              <w:rPr>
                <w:rFonts w:ascii="Times New Roman" w:eastAsia="Times New Roman" w:hAnsi="Times New Roman" w:cs="Times New Roman"/>
                <w:i/>
                <w:iCs/>
                <w:color w:val="000000"/>
                <w:lang w:eastAsia="en-GB"/>
              </w:rPr>
              <w:t>1.32951</w:t>
            </w:r>
          </w:p>
        </w:tc>
        <w:tc>
          <w:tcPr>
            <w:tcW w:w="550" w:type="dxa"/>
            <w:tcBorders>
              <w:top w:val="nil"/>
              <w:left w:val="nil"/>
              <w:bottom w:val="nil"/>
              <w:right w:val="nil"/>
            </w:tcBorders>
            <w:shd w:val="clear" w:color="auto" w:fill="auto"/>
            <w:noWrap/>
            <w:vAlign w:val="bottom"/>
            <w:hideMark/>
          </w:tcPr>
          <w:p w14:paraId="0BC2CDCC" w14:textId="77777777" w:rsidR="009B052F" w:rsidRPr="007F668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7F6687" w14:paraId="6485418B"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67680686"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proofErr w:type="spellStart"/>
            <w:r w:rsidRPr="007F6687">
              <w:rPr>
                <w:rFonts w:ascii="Times New Roman" w:eastAsia="Times New Roman" w:hAnsi="Times New Roman" w:cs="Times New Roman"/>
                <w:color w:val="000000"/>
                <w:lang w:eastAsia="en-GB"/>
              </w:rPr>
              <w:t>Obs</w:t>
            </w:r>
            <w:proofErr w:type="spellEnd"/>
          </w:p>
        </w:tc>
        <w:tc>
          <w:tcPr>
            <w:tcW w:w="1057" w:type="dxa"/>
            <w:tcBorders>
              <w:top w:val="nil"/>
              <w:left w:val="nil"/>
              <w:bottom w:val="nil"/>
              <w:right w:val="nil"/>
            </w:tcBorders>
            <w:shd w:val="clear" w:color="auto" w:fill="auto"/>
            <w:noWrap/>
            <w:vAlign w:val="bottom"/>
            <w:hideMark/>
          </w:tcPr>
          <w:p w14:paraId="1CCF28C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1281</w:t>
            </w:r>
          </w:p>
        </w:tc>
        <w:tc>
          <w:tcPr>
            <w:tcW w:w="442" w:type="dxa"/>
            <w:tcBorders>
              <w:top w:val="nil"/>
              <w:left w:val="nil"/>
              <w:bottom w:val="nil"/>
              <w:right w:val="nil"/>
            </w:tcBorders>
            <w:shd w:val="clear" w:color="auto" w:fill="auto"/>
            <w:noWrap/>
            <w:vAlign w:val="bottom"/>
            <w:hideMark/>
          </w:tcPr>
          <w:p w14:paraId="525D56C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61D6F85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1281</w:t>
            </w:r>
          </w:p>
        </w:tc>
        <w:tc>
          <w:tcPr>
            <w:tcW w:w="550" w:type="dxa"/>
            <w:tcBorders>
              <w:top w:val="nil"/>
              <w:left w:val="nil"/>
              <w:bottom w:val="nil"/>
              <w:right w:val="nil"/>
            </w:tcBorders>
            <w:shd w:val="clear" w:color="auto" w:fill="auto"/>
            <w:noWrap/>
            <w:vAlign w:val="bottom"/>
            <w:hideMark/>
          </w:tcPr>
          <w:p w14:paraId="0F03137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040E12C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1281</w:t>
            </w:r>
          </w:p>
        </w:tc>
        <w:tc>
          <w:tcPr>
            <w:tcW w:w="550" w:type="dxa"/>
            <w:tcBorders>
              <w:top w:val="nil"/>
              <w:left w:val="nil"/>
              <w:bottom w:val="nil"/>
              <w:right w:val="nil"/>
            </w:tcBorders>
            <w:shd w:val="clear" w:color="auto" w:fill="auto"/>
            <w:noWrap/>
            <w:vAlign w:val="bottom"/>
            <w:hideMark/>
          </w:tcPr>
          <w:p w14:paraId="2AF3E4C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699CFA90"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1281</w:t>
            </w:r>
          </w:p>
        </w:tc>
        <w:tc>
          <w:tcPr>
            <w:tcW w:w="550" w:type="dxa"/>
            <w:tcBorders>
              <w:top w:val="nil"/>
              <w:left w:val="nil"/>
              <w:bottom w:val="nil"/>
              <w:right w:val="nil"/>
            </w:tcBorders>
            <w:shd w:val="clear" w:color="auto" w:fill="auto"/>
            <w:noWrap/>
            <w:vAlign w:val="bottom"/>
            <w:hideMark/>
          </w:tcPr>
          <w:p w14:paraId="464556B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6D1C22E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1281</w:t>
            </w:r>
          </w:p>
        </w:tc>
        <w:tc>
          <w:tcPr>
            <w:tcW w:w="550" w:type="dxa"/>
            <w:tcBorders>
              <w:top w:val="nil"/>
              <w:left w:val="nil"/>
              <w:bottom w:val="nil"/>
              <w:right w:val="nil"/>
            </w:tcBorders>
            <w:shd w:val="clear" w:color="auto" w:fill="auto"/>
            <w:noWrap/>
            <w:vAlign w:val="bottom"/>
            <w:hideMark/>
          </w:tcPr>
          <w:p w14:paraId="6B74379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7F6687" w14:paraId="52DA7080" w14:textId="77777777" w:rsidTr="001F092A">
        <w:trPr>
          <w:gridAfter w:val="1"/>
          <w:wAfter w:w="9" w:type="dxa"/>
          <w:trHeight w:val="279"/>
        </w:trPr>
        <w:tc>
          <w:tcPr>
            <w:tcW w:w="1462" w:type="dxa"/>
            <w:tcBorders>
              <w:top w:val="nil"/>
              <w:left w:val="nil"/>
              <w:bottom w:val="nil"/>
              <w:right w:val="nil"/>
            </w:tcBorders>
            <w:shd w:val="clear" w:color="auto" w:fill="auto"/>
            <w:noWrap/>
            <w:vAlign w:val="bottom"/>
            <w:hideMark/>
          </w:tcPr>
          <w:p w14:paraId="6730596B"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Adjusted R2</w:t>
            </w:r>
          </w:p>
        </w:tc>
        <w:tc>
          <w:tcPr>
            <w:tcW w:w="1057" w:type="dxa"/>
            <w:tcBorders>
              <w:top w:val="nil"/>
              <w:left w:val="nil"/>
              <w:bottom w:val="nil"/>
              <w:right w:val="nil"/>
            </w:tcBorders>
            <w:shd w:val="clear" w:color="auto" w:fill="auto"/>
            <w:noWrap/>
            <w:vAlign w:val="bottom"/>
            <w:hideMark/>
          </w:tcPr>
          <w:p w14:paraId="44E35B9A"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0.67446</w:t>
            </w:r>
          </w:p>
        </w:tc>
        <w:tc>
          <w:tcPr>
            <w:tcW w:w="442" w:type="dxa"/>
            <w:tcBorders>
              <w:top w:val="nil"/>
              <w:left w:val="nil"/>
              <w:bottom w:val="nil"/>
              <w:right w:val="nil"/>
            </w:tcBorders>
            <w:shd w:val="clear" w:color="auto" w:fill="auto"/>
            <w:noWrap/>
            <w:vAlign w:val="bottom"/>
            <w:hideMark/>
          </w:tcPr>
          <w:p w14:paraId="613DF4D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20E6CA6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0.62116</w:t>
            </w:r>
          </w:p>
        </w:tc>
        <w:tc>
          <w:tcPr>
            <w:tcW w:w="550" w:type="dxa"/>
            <w:tcBorders>
              <w:top w:val="nil"/>
              <w:left w:val="nil"/>
              <w:bottom w:val="nil"/>
              <w:right w:val="nil"/>
            </w:tcBorders>
            <w:shd w:val="clear" w:color="auto" w:fill="auto"/>
            <w:noWrap/>
            <w:vAlign w:val="bottom"/>
            <w:hideMark/>
          </w:tcPr>
          <w:p w14:paraId="50EF9347"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11F1FE09"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0.70195</w:t>
            </w:r>
          </w:p>
        </w:tc>
        <w:tc>
          <w:tcPr>
            <w:tcW w:w="550" w:type="dxa"/>
            <w:tcBorders>
              <w:top w:val="nil"/>
              <w:left w:val="nil"/>
              <w:bottom w:val="nil"/>
              <w:right w:val="nil"/>
            </w:tcBorders>
            <w:shd w:val="clear" w:color="auto" w:fill="auto"/>
            <w:noWrap/>
            <w:vAlign w:val="bottom"/>
            <w:hideMark/>
          </w:tcPr>
          <w:p w14:paraId="0BAB60A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48A8E30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0.64432</w:t>
            </w:r>
          </w:p>
        </w:tc>
        <w:tc>
          <w:tcPr>
            <w:tcW w:w="550" w:type="dxa"/>
            <w:tcBorders>
              <w:top w:val="nil"/>
              <w:left w:val="nil"/>
              <w:bottom w:val="nil"/>
              <w:right w:val="nil"/>
            </w:tcBorders>
            <w:shd w:val="clear" w:color="auto" w:fill="auto"/>
            <w:noWrap/>
            <w:vAlign w:val="bottom"/>
            <w:hideMark/>
          </w:tcPr>
          <w:p w14:paraId="1219778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c>
          <w:tcPr>
            <w:tcW w:w="1057" w:type="dxa"/>
            <w:tcBorders>
              <w:top w:val="nil"/>
              <w:left w:val="nil"/>
              <w:bottom w:val="nil"/>
              <w:right w:val="nil"/>
            </w:tcBorders>
            <w:shd w:val="clear" w:color="auto" w:fill="auto"/>
            <w:noWrap/>
            <w:vAlign w:val="bottom"/>
            <w:hideMark/>
          </w:tcPr>
          <w:p w14:paraId="760A570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0.60516</w:t>
            </w:r>
          </w:p>
        </w:tc>
        <w:tc>
          <w:tcPr>
            <w:tcW w:w="550" w:type="dxa"/>
            <w:tcBorders>
              <w:top w:val="nil"/>
              <w:left w:val="nil"/>
              <w:bottom w:val="nil"/>
              <w:right w:val="nil"/>
            </w:tcBorders>
            <w:shd w:val="clear" w:color="auto" w:fill="auto"/>
            <w:noWrap/>
            <w:vAlign w:val="bottom"/>
            <w:hideMark/>
          </w:tcPr>
          <w:p w14:paraId="05BA3045"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7F6687" w14:paraId="4C412781" w14:textId="77777777" w:rsidTr="001F092A">
        <w:trPr>
          <w:gridAfter w:val="1"/>
          <w:wAfter w:w="9" w:type="dxa"/>
          <w:trHeight w:val="279"/>
        </w:trPr>
        <w:tc>
          <w:tcPr>
            <w:tcW w:w="1462" w:type="dxa"/>
            <w:tcBorders>
              <w:top w:val="nil"/>
              <w:left w:val="nil"/>
              <w:bottom w:val="single" w:sz="4" w:space="0" w:color="auto"/>
              <w:right w:val="nil"/>
            </w:tcBorders>
            <w:shd w:val="clear" w:color="auto" w:fill="auto"/>
            <w:noWrap/>
            <w:vAlign w:val="bottom"/>
            <w:hideMark/>
          </w:tcPr>
          <w:p w14:paraId="211AC980" w14:textId="77777777" w:rsidR="009B052F" w:rsidRPr="007F6687" w:rsidRDefault="009B052F" w:rsidP="001F092A">
            <w:pPr>
              <w:spacing w:after="0" w:line="240" w:lineRule="auto"/>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Country FE</w:t>
            </w:r>
          </w:p>
        </w:tc>
        <w:tc>
          <w:tcPr>
            <w:tcW w:w="1057" w:type="dxa"/>
            <w:tcBorders>
              <w:top w:val="nil"/>
              <w:left w:val="nil"/>
              <w:bottom w:val="single" w:sz="4" w:space="0" w:color="auto"/>
              <w:right w:val="nil"/>
            </w:tcBorders>
            <w:shd w:val="clear" w:color="auto" w:fill="auto"/>
            <w:noWrap/>
            <w:vAlign w:val="bottom"/>
            <w:hideMark/>
          </w:tcPr>
          <w:p w14:paraId="1BB0F5AA"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YES</w:t>
            </w:r>
          </w:p>
        </w:tc>
        <w:tc>
          <w:tcPr>
            <w:tcW w:w="442" w:type="dxa"/>
            <w:tcBorders>
              <w:top w:val="nil"/>
              <w:left w:val="nil"/>
              <w:bottom w:val="single" w:sz="4" w:space="0" w:color="auto"/>
              <w:right w:val="nil"/>
            </w:tcBorders>
            <w:shd w:val="clear" w:color="auto" w:fill="auto"/>
            <w:noWrap/>
            <w:vAlign w:val="bottom"/>
            <w:hideMark/>
          </w:tcPr>
          <w:p w14:paraId="6ECD3D2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c>
          <w:tcPr>
            <w:tcW w:w="1057" w:type="dxa"/>
            <w:tcBorders>
              <w:top w:val="nil"/>
              <w:left w:val="nil"/>
              <w:bottom w:val="single" w:sz="4" w:space="0" w:color="auto"/>
              <w:right w:val="nil"/>
            </w:tcBorders>
            <w:shd w:val="clear" w:color="auto" w:fill="auto"/>
            <w:noWrap/>
            <w:vAlign w:val="bottom"/>
            <w:hideMark/>
          </w:tcPr>
          <w:p w14:paraId="52AF8BBB"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YES</w:t>
            </w:r>
          </w:p>
        </w:tc>
        <w:tc>
          <w:tcPr>
            <w:tcW w:w="550" w:type="dxa"/>
            <w:tcBorders>
              <w:top w:val="nil"/>
              <w:left w:val="nil"/>
              <w:bottom w:val="single" w:sz="4" w:space="0" w:color="auto"/>
              <w:right w:val="nil"/>
            </w:tcBorders>
            <w:shd w:val="clear" w:color="auto" w:fill="auto"/>
            <w:noWrap/>
            <w:vAlign w:val="bottom"/>
            <w:hideMark/>
          </w:tcPr>
          <w:p w14:paraId="3390764D"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c>
          <w:tcPr>
            <w:tcW w:w="1057" w:type="dxa"/>
            <w:tcBorders>
              <w:top w:val="nil"/>
              <w:left w:val="nil"/>
              <w:bottom w:val="single" w:sz="4" w:space="0" w:color="auto"/>
              <w:right w:val="nil"/>
            </w:tcBorders>
            <w:shd w:val="clear" w:color="auto" w:fill="auto"/>
            <w:noWrap/>
            <w:vAlign w:val="bottom"/>
            <w:hideMark/>
          </w:tcPr>
          <w:p w14:paraId="48173AFE"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YES</w:t>
            </w:r>
          </w:p>
        </w:tc>
        <w:tc>
          <w:tcPr>
            <w:tcW w:w="550" w:type="dxa"/>
            <w:tcBorders>
              <w:top w:val="nil"/>
              <w:left w:val="nil"/>
              <w:bottom w:val="single" w:sz="4" w:space="0" w:color="auto"/>
              <w:right w:val="nil"/>
            </w:tcBorders>
            <w:shd w:val="clear" w:color="auto" w:fill="auto"/>
            <w:noWrap/>
            <w:vAlign w:val="bottom"/>
            <w:hideMark/>
          </w:tcPr>
          <w:p w14:paraId="3E3F0601"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c>
          <w:tcPr>
            <w:tcW w:w="1057" w:type="dxa"/>
            <w:tcBorders>
              <w:top w:val="nil"/>
              <w:left w:val="nil"/>
              <w:bottom w:val="single" w:sz="4" w:space="0" w:color="auto"/>
              <w:right w:val="nil"/>
            </w:tcBorders>
            <w:shd w:val="clear" w:color="auto" w:fill="auto"/>
            <w:noWrap/>
            <w:vAlign w:val="bottom"/>
            <w:hideMark/>
          </w:tcPr>
          <w:p w14:paraId="12D6252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YES</w:t>
            </w:r>
          </w:p>
        </w:tc>
        <w:tc>
          <w:tcPr>
            <w:tcW w:w="550" w:type="dxa"/>
            <w:tcBorders>
              <w:top w:val="nil"/>
              <w:left w:val="nil"/>
              <w:bottom w:val="single" w:sz="4" w:space="0" w:color="auto"/>
              <w:right w:val="nil"/>
            </w:tcBorders>
            <w:shd w:val="clear" w:color="auto" w:fill="auto"/>
            <w:noWrap/>
            <w:vAlign w:val="bottom"/>
            <w:hideMark/>
          </w:tcPr>
          <w:p w14:paraId="3C5B8236"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c>
          <w:tcPr>
            <w:tcW w:w="1057" w:type="dxa"/>
            <w:tcBorders>
              <w:top w:val="nil"/>
              <w:left w:val="nil"/>
              <w:bottom w:val="single" w:sz="4" w:space="0" w:color="auto"/>
              <w:right w:val="nil"/>
            </w:tcBorders>
            <w:shd w:val="clear" w:color="auto" w:fill="auto"/>
            <w:noWrap/>
            <w:vAlign w:val="bottom"/>
            <w:hideMark/>
          </w:tcPr>
          <w:p w14:paraId="1D9F2AEF"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YES</w:t>
            </w:r>
          </w:p>
        </w:tc>
        <w:tc>
          <w:tcPr>
            <w:tcW w:w="550" w:type="dxa"/>
            <w:tcBorders>
              <w:top w:val="nil"/>
              <w:left w:val="nil"/>
              <w:bottom w:val="single" w:sz="4" w:space="0" w:color="auto"/>
              <w:right w:val="nil"/>
            </w:tcBorders>
            <w:shd w:val="clear" w:color="auto" w:fill="auto"/>
            <w:noWrap/>
            <w:vAlign w:val="bottom"/>
            <w:hideMark/>
          </w:tcPr>
          <w:p w14:paraId="7E3EDA14" w14:textId="77777777" w:rsidR="009B052F" w:rsidRPr="007F6687" w:rsidRDefault="009B052F" w:rsidP="001F092A">
            <w:pPr>
              <w:spacing w:after="0" w:line="240" w:lineRule="auto"/>
              <w:jc w:val="center"/>
              <w:rPr>
                <w:rFonts w:ascii="Times New Roman" w:eastAsia="Times New Roman" w:hAnsi="Times New Roman" w:cs="Times New Roman"/>
                <w:color w:val="000000"/>
                <w:lang w:eastAsia="en-GB"/>
              </w:rPr>
            </w:pPr>
            <w:r w:rsidRPr="007F6687">
              <w:rPr>
                <w:rFonts w:ascii="Times New Roman" w:eastAsia="Times New Roman" w:hAnsi="Times New Roman" w:cs="Times New Roman"/>
                <w:color w:val="000000"/>
                <w:lang w:eastAsia="en-GB"/>
              </w:rPr>
              <w:t> </w:t>
            </w:r>
          </w:p>
        </w:tc>
      </w:tr>
      <w:tr w:rsidR="009B052F" w:rsidRPr="007F6687" w14:paraId="4C82B860" w14:textId="77777777" w:rsidTr="001F092A">
        <w:trPr>
          <w:trHeight w:val="279"/>
        </w:trPr>
        <w:tc>
          <w:tcPr>
            <w:tcW w:w="9398" w:type="dxa"/>
            <w:gridSpan w:val="12"/>
            <w:tcBorders>
              <w:top w:val="single" w:sz="4" w:space="0" w:color="auto"/>
              <w:left w:val="nil"/>
              <w:bottom w:val="nil"/>
              <w:right w:val="nil"/>
            </w:tcBorders>
            <w:shd w:val="clear" w:color="auto" w:fill="auto"/>
            <w:noWrap/>
            <w:vAlign w:val="bottom"/>
            <w:hideMark/>
          </w:tcPr>
          <w:p w14:paraId="7A954B9D" w14:textId="77777777" w:rsidR="009B052F" w:rsidRPr="007F6687" w:rsidRDefault="009B052F" w:rsidP="001F092A">
            <w:pPr>
              <w:spacing w:after="0" w:line="240" w:lineRule="auto"/>
              <w:rPr>
                <w:rFonts w:ascii="Times New Roman" w:eastAsia="Times New Roman" w:hAnsi="Times New Roman" w:cs="Times New Roman"/>
                <w:i/>
                <w:iCs/>
                <w:color w:val="000000"/>
                <w:sz w:val="20"/>
                <w:szCs w:val="20"/>
                <w:lang w:eastAsia="en-GB"/>
              </w:rPr>
            </w:pPr>
            <w:r w:rsidRPr="007F6687">
              <w:rPr>
                <w:rFonts w:ascii="Times New Roman" w:eastAsia="Times New Roman" w:hAnsi="Times New Roman" w:cs="Times New Roman"/>
                <w:i/>
                <w:iCs/>
                <w:color w:val="000000"/>
                <w:sz w:val="20"/>
                <w:szCs w:val="20"/>
                <w:lang w:eastAsia="en-GB"/>
              </w:rPr>
              <w:t>*** represents significance at 1%, ** at 5%, and * at 10%</w:t>
            </w:r>
          </w:p>
        </w:tc>
      </w:tr>
    </w:tbl>
    <w:p w14:paraId="4DE81BE8" w14:textId="77777777" w:rsidR="009B052F" w:rsidRDefault="009B052F" w:rsidP="009B052F">
      <w:pPr>
        <w:rPr>
          <w:rFonts w:ascii="Times New Roman" w:hAnsi="Times New Roman" w:cs="Times New Roman"/>
          <w:sz w:val="24"/>
          <w:szCs w:val="24"/>
        </w:rPr>
      </w:pPr>
    </w:p>
    <w:p w14:paraId="5C8375BC" w14:textId="77777777" w:rsidR="009B052F" w:rsidRDefault="009B052F" w:rsidP="009B052F">
      <w:pPr>
        <w:rPr>
          <w:rFonts w:ascii="Times New Roman" w:hAnsi="Times New Roman" w:cs="Times New Roman"/>
          <w:sz w:val="24"/>
          <w:szCs w:val="24"/>
        </w:rPr>
      </w:pPr>
      <w:r>
        <w:rPr>
          <w:rFonts w:ascii="Times New Roman" w:hAnsi="Times New Roman" w:cs="Times New Roman"/>
          <w:sz w:val="24"/>
          <w:szCs w:val="24"/>
        </w:rPr>
        <w:br w:type="page"/>
      </w:r>
    </w:p>
    <w:tbl>
      <w:tblPr>
        <w:tblW w:w="9463" w:type="dxa"/>
        <w:tblLook w:val="04A0" w:firstRow="1" w:lastRow="0" w:firstColumn="1" w:lastColumn="0" w:noHBand="0" w:noVBand="1"/>
      </w:tblPr>
      <w:tblGrid>
        <w:gridCol w:w="1422"/>
        <w:gridCol w:w="1025"/>
        <w:gridCol w:w="583"/>
        <w:gridCol w:w="1025"/>
        <w:gridCol w:w="583"/>
        <w:gridCol w:w="1025"/>
        <w:gridCol w:w="583"/>
        <w:gridCol w:w="1025"/>
        <w:gridCol w:w="583"/>
        <w:gridCol w:w="1025"/>
        <w:gridCol w:w="584"/>
      </w:tblGrid>
      <w:tr w:rsidR="009B052F" w:rsidRPr="00E15B91" w14:paraId="0F57AEA5" w14:textId="77777777" w:rsidTr="001F092A">
        <w:trPr>
          <w:trHeight w:val="282"/>
        </w:trPr>
        <w:tc>
          <w:tcPr>
            <w:tcW w:w="9463" w:type="dxa"/>
            <w:gridSpan w:val="11"/>
            <w:tcBorders>
              <w:top w:val="nil"/>
              <w:left w:val="nil"/>
              <w:bottom w:val="nil"/>
              <w:right w:val="nil"/>
            </w:tcBorders>
            <w:shd w:val="clear" w:color="auto" w:fill="auto"/>
            <w:noWrap/>
            <w:vAlign w:val="bottom"/>
            <w:hideMark/>
          </w:tcPr>
          <w:p w14:paraId="3A48A110" w14:textId="77777777" w:rsidR="009B052F" w:rsidRPr="00E15B91" w:rsidRDefault="009B052F" w:rsidP="001F092A">
            <w:pPr>
              <w:spacing w:after="0" w:line="240" w:lineRule="auto"/>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lastRenderedPageBreak/>
              <w:t>Table 4: Panel Regression of CAR for Conflict Countries</w:t>
            </w:r>
          </w:p>
        </w:tc>
      </w:tr>
      <w:tr w:rsidR="009B052F" w:rsidRPr="00E15B91" w14:paraId="10C179A1" w14:textId="77777777" w:rsidTr="001F092A">
        <w:trPr>
          <w:trHeight w:val="282"/>
        </w:trPr>
        <w:tc>
          <w:tcPr>
            <w:tcW w:w="1422" w:type="dxa"/>
            <w:tcBorders>
              <w:top w:val="single" w:sz="4" w:space="0" w:color="auto"/>
              <w:left w:val="nil"/>
              <w:bottom w:val="single" w:sz="4" w:space="0" w:color="auto"/>
              <w:right w:val="nil"/>
            </w:tcBorders>
            <w:shd w:val="clear" w:color="auto" w:fill="auto"/>
            <w:noWrap/>
            <w:vAlign w:val="bottom"/>
            <w:hideMark/>
          </w:tcPr>
          <w:p w14:paraId="31D39C86"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14:paraId="1E289D71"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 xml:space="preserve">t -5 </w:t>
            </w:r>
          </w:p>
        </w:tc>
        <w:tc>
          <w:tcPr>
            <w:tcW w:w="583" w:type="dxa"/>
            <w:tcBorders>
              <w:top w:val="single" w:sz="4" w:space="0" w:color="auto"/>
              <w:left w:val="nil"/>
              <w:bottom w:val="single" w:sz="4" w:space="0" w:color="auto"/>
              <w:right w:val="nil"/>
            </w:tcBorders>
            <w:shd w:val="clear" w:color="auto" w:fill="auto"/>
            <w:noWrap/>
            <w:vAlign w:val="bottom"/>
            <w:hideMark/>
          </w:tcPr>
          <w:p w14:paraId="172CCCF3"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14:paraId="2CBF3209"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t - 3</w:t>
            </w:r>
          </w:p>
        </w:tc>
        <w:tc>
          <w:tcPr>
            <w:tcW w:w="583" w:type="dxa"/>
            <w:tcBorders>
              <w:top w:val="single" w:sz="4" w:space="0" w:color="auto"/>
              <w:left w:val="nil"/>
              <w:bottom w:val="single" w:sz="4" w:space="0" w:color="auto"/>
              <w:right w:val="nil"/>
            </w:tcBorders>
            <w:shd w:val="clear" w:color="auto" w:fill="auto"/>
            <w:noWrap/>
            <w:vAlign w:val="bottom"/>
            <w:hideMark/>
          </w:tcPr>
          <w:p w14:paraId="3DEF601B"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14:paraId="2346C7AC"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t</w:t>
            </w:r>
          </w:p>
        </w:tc>
        <w:tc>
          <w:tcPr>
            <w:tcW w:w="583" w:type="dxa"/>
            <w:tcBorders>
              <w:top w:val="single" w:sz="4" w:space="0" w:color="auto"/>
              <w:left w:val="nil"/>
              <w:bottom w:val="single" w:sz="4" w:space="0" w:color="auto"/>
              <w:right w:val="nil"/>
            </w:tcBorders>
            <w:shd w:val="clear" w:color="auto" w:fill="auto"/>
            <w:noWrap/>
            <w:vAlign w:val="bottom"/>
            <w:hideMark/>
          </w:tcPr>
          <w:p w14:paraId="6D66DF7B"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14:paraId="1E987543"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t+3</w:t>
            </w:r>
          </w:p>
        </w:tc>
        <w:tc>
          <w:tcPr>
            <w:tcW w:w="583" w:type="dxa"/>
            <w:tcBorders>
              <w:top w:val="single" w:sz="4" w:space="0" w:color="auto"/>
              <w:left w:val="nil"/>
              <w:bottom w:val="single" w:sz="4" w:space="0" w:color="auto"/>
              <w:right w:val="nil"/>
            </w:tcBorders>
            <w:shd w:val="clear" w:color="auto" w:fill="auto"/>
            <w:noWrap/>
            <w:vAlign w:val="bottom"/>
            <w:hideMark/>
          </w:tcPr>
          <w:p w14:paraId="59D73D51"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 </w:t>
            </w:r>
          </w:p>
        </w:tc>
        <w:tc>
          <w:tcPr>
            <w:tcW w:w="1025" w:type="dxa"/>
            <w:tcBorders>
              <w:top w:val="single" w:sz="4" w:space="0" w:color="auto"/>
              <w:left w:val="nil"/>
              <w:bottom w:val="single" w:sz="4" w:space="0" w:color="auto"/>
              <w:right w:val="nil"/>
            </w:tcBorders>
            <w:shd w:val="clear" w:color="auto" w:fill="auto"/>
            <w:noWrap/>
            <w:vAlign w:val="bottom"/>
            <w:hideMark/>
          </w:tcPr>
          <w:p w14:paraId="31582C2F" w14:textId="77777777" w:rsidR="009B052F" w:rsidRPr="00E15B91" w:rsidRDefault="009B052F" w:rsidP="001F092A">
            <w:pPr>
              <w:spacing w:after="0" w:line="240" w:lineRule="auto"/>
              <w:jc w:val="center"/>
              <w:rPr>
                <w:rFonts w:ascii="Times New Roman" w:eastAsia="Times New Roman" w:hAnsi="Times New Roman" w:cs="Times New Roman"/>
                <w:b/>
                <w:bCs/>
                <w:color w:val="000000"/>
                <w:lang w:eastAsia="en-GB"/>
              </w:rPr>
            </w:pPr>
            <w:r w:rsidRPr="00E15B91">
              <w:rPr>
                <w:rFonts w:ascii="Times New Roman" w:eastAsia="Times New Roman" w:hAnsi="Times New Roman" w:cs="Times New Roman"/>
                <w:b/>
                <w:bCs/>
                <w:color w:val="000000"/>
                <w:lang w:eastAsia="en-GB"/>
              </w:rPr>
              <w:t>t +5</w:t>
            </w:r>
          </w:p>
        </w:tc>
        <w:tc>
          <w:tcPr>
            <w:tcW w:w="583" w:type="dxa"/>
            <w:tcBorders>
              <w:top w:val="single" w:sz="4" w:space="0" w:color="auto"/>
              <w:left w:val="nil"/>
              <w:bottom w:val="single" w:sz="4" w:space="0" w:color="auto"/>
              <w:right w:val="nil"/>
            </w:tcBorders>
            <w:shd w:val="clear" w:color="auto" w:fill="auto"/>
            <w:noWrap/>
            <w:vAlign w:val="bottom"/>
            <w:hideMark/>
          </w:tcPr>
          <w:p w14:paraId="1EA3E629"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r>
      <w:tr w:rsidR="009B052F" w:rsidRPr="00E15B91" w14:paraId="1BB80032" w14:textId="77777777" w:rsidTr="001F092A">
        <w:trPr>
          <w:trHeight w:val="282"/>
        </w:trPr>
        <w:tc>
          <w:tcPr>
            <w:tcW w:w="1422" w:type="dxa"/>
            <w:tcBorders>
              <w:top w:val="nil"/>
              <w:left w:val="nil"/>
              <w:bottom w:val="nil"/>
              <w:right w:val="nil"/>
            </w:tcBorders>
            <w:shd w:val="clear" w:color="auto" w:fill="auto"/>
            <w:noWrap/>
            <w:vAlign w:val="bottom"/>
            <w:hideMark/>
          </w:tcPr>
          <w:p w14:paraId="6963DAF2"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Conflict</w:t>
            </w:r>
          </w:p>
        </w:tc>
        <w:tc>
          <w:tcPr>
            <w:tcW w:w="1025" w:type="dxa"/>
            <w:tcBorders>
              <w:top w:val="nil"/>
              <w:left w:val="nil"/>
              <w:bottom w:val="nil"/>
              <w:right w:val="nil"/>
            </w:tcBorders>
            <w:shd w:val="clear" w:color="auto" w:fill="auto"/>
            <w:noWrap/>
            <w:vAlign w:val="bottom"/>
            <w:hideMark/>
          </w:tcPr>
          <w:p w14:paraId="36D35E5D"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-0.03915</w:t>
            </w:r>
          </w:p>
        </w:tc>
        <w:tc>
          <w:tcPr>
            <w:tcW w:w="583" w:type="dxa"/>
            <w:tcBorders>
              <w:top w:val="nil"/>
              <w:left w:val="nil"/>
              <w:bottom w:val="nil"/>
              <w:right w:val="nil"/>
            </w:tcBorders>
            <w:shd w:val="clear" w:color="auto" w:fill="auto"/>
            <w:noWrap/>
            <w:vAlign w:val="bottom"/>
            <w:hideMark/>
          </w:tcPr>
          <w:p w14:paraId="65D7F79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2941511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-0.04116</w:t>
            </w:r>
          </w:p>
        </w:tc>
        <w:tc>
          <w:tcPr>
            <w:tcW w:w="583" w:type="dxa"/>
            <w:tcBorders>
              <w:top w:val="nil"/>
              <w:left w:val="nil"/>
              <w:bottom w:val="nil"/>
              <w:right w:val="nil"/>
            </w:tcBorders>
            <w:shd w:val="clear" w:color="auto" w:fill="auto"/>
            <w:noWrap/>
            <w:vAlign w:val="bottom"/>
            <w:hideMark/>
          </w:tcPr>
          <w:p w14:paraId="49D0A9E9"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65131F3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-0.04246</w:t>
            </w:r>
          </w:p>
        </w:tc>
        <w:tc>
          <w:tcPr>
            <w:tcW w:w="583" w:type="dxa"/>
            <w:tcBorders>
              <w:top w:val="nil"/>
              <w:left w:val="nil"/>
              <w:bottom w:val="nil"/>
              <w:right w:val="nil"/>
            </w:tcBorders>
            <w:shd w:val="clear" w:color="auto" w:fill="auto"/>
            <w:noWrap/>
            <w:vAlign w:val="bottom"/>
            <w:hideMark/>
          </w:tcPr>
          <w:p w14:paraId="29A17D70"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3356003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-0.04346</w:t>
            </w:r>
          </w:p>
        </w:tc>
        <w:tc>
          <w:tcPr>
            <w:tcW w:w="583" w:type="dxa"/>
            <w:tcBorders>
              <w:top w:val="nil"/>
              <w:left w:val="nil"/>
              <w:bottom w:val="nil"/>
              <w:right w:val="nil"/>
            </w:tcBorders>
            <w:shd w:val="clear" w:color="auto" w:fill="auto"/>
            <w:noWrap/>
            <w:vAlign w:val="bottom"/>
            <w:hideMark/>
          </w:tcPr>
          <w:p w14:paraId="0552FF3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5C16CF6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-0.04693</w:t>
            </w:r>
          </w:p>
        </w:tc>
        <w:tc>
          <w:tcPr>
            <w:tcW w:w="583" w:type="dxa"/>
            <w:tcBorders>
              <w:top w:val="nil"/>
              <w:left w:val="nil"/>
              <w:bottom w:val="nil"/>
              <w:right w:val="nil"/>
            </w:tcBorders>
            <w:shd w:val="clear" w:color="auto" w:fill="auto"/>
            <w:noWrap/>
            <w:vAlign w:val="bottom"/>
            <w:hideMark/>
          </w:tcPr>
          <w:p w14:paraId="721E9E9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6E0EB7C8" w14:textId="77777777" w:rsidTr="001F092A">
        <w:trPr>
          <w:trHeight w:val="282"/>
        </w:trPr>
        <w:tc>
          <w:tcPr>
            <w:tcW w:w="1422" w:type="dxa"/>
            <w:tcBorders>
              <w:top w:val="nil"/>
              <w:left w:val="nil"/>
              <w:bottom w:val="nil"/>
              <w:right w:val="nil"/>
            </w:tcBorders>
            <w:shd w:val="clear" w:color="auto" w:fill="auto"/>
            <w:noWrap/>
            <w:vAlign w:val="bottom"/>
            <w:hideMark/>
          </w:tcPr>
          <w:p w14:paraId="7CEC4E1C"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107D811C"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-2.08263</w:t>
            </w:r>
          </w:p>
        </w:tc>
        <w:tc>
          <w:tcPr>
            <w:tcW w:w="583" w:type="dxa"/>
            <w:tcBorders>
              <w:top w:val="nil"/>
              <w:left w:val="nil"/>
              <w:bottom w:val="nil"/>
              <w:right w:val="nil"/>
            </w:tcBorders>
            <w:shd w:val="clear" w:color="auto" w:fill="auto"/>
            <w:noWrap/>
            <w:vAlign w:val="bottom"/>
            <w:hideMark/>
          </w:tcPr>
          <w:p w14:paraId="39CEC93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4D0B209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-3.16925</w:t>
            </w:r>
          </w:p>
        </w:tc>
        <w:tc>
          <w:tcPr>
            <w:tcW w:w="583" w:type="dxa"/>
            <w:tcBorders>
              <w:top w:val="nil"/>
              <w:left w:val="nil"/>
              <w:bottom w:val="nil"/>
              <w:right w:val="nil"/>
            </w:tcBorders>
            <w:shd w:val="clear" w:color="auto" w:fill="auto"/>
            <w:noWrap/>
            <w:vAlign w:val="bottom"/>
            <w:hideMark/>
          </w:tcPr>
          <w:p w14:paraId="3EEE5597"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8564AAF"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-3.62458</w:t>
            </w:r>
          </w:p>
        </w:tc>
        <w:tc>
          <w:tcPr>
            <w:tcW w:w="583" w:type="dxa"/>
            <w:tcBorders>
              <w:top w:val="nil"/>
              <w:left w:val="nil"/>
              <w:bottom w:val="nil"/>
              <w:right w:val="nil"/>
            </w:tcBorders>
            <w:shd w:val="clear" w:color="auto" w:fill="auto"/>
            <w:noWrap/>
            <w:vAlign w:val="bottom"/>
            <w:hideMark/>
          </w:tcPr>
          <w:p w14:paraId="017C0AB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0EB31074"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-3.04992</w:t>
            </w:r>
          </w:p>
        </w:tc>
        <w:tc>
          <w:tcPr>
            <w:tcW w:w="583" w:type="dxa"/>
            <w:tcBorders>
              <w:top w:val="nil"/>
              <w:left w:val="nil"/>
              <w:bottom w:val="nil"/>
              <w:right w:val="nil"/>
            </w:tcBorders>
            <w:shd w:val="clear" w:color="auto" w:fill="auto"/>
            <w:noWrap/>
            <w:vAlign w:val="bottom"/>
            <w:hideMark/>
          </w:tcPr>
          <w:p w14:paraId="068AF80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1C5ADBC3"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-2.04484</w:t>
            </w:r>
          </w:p>
        </w:tc>
        <w:tc>
          <w:tcPr>
            <w:tcW w:w="583" w:type="dxa"/>
            <w:tcBorders>
              <w:top w:val="nil"/>
              <w:left w:val="nil"/>
              <w:bottom w:val="nil"/>
              <w:right w:val="nil"/>
            </w:tcBorders>
            <w:shd w:val="clear" w:color="auto" w:fill="auto"/>
            <w:noWrap/>
            <w:vAlign w:val="bottom"/>
            <w:hideMark/>
          </w:tcPr>
          <w:p w14:paraId="64AD792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E15B91" w14:paraId="04F205DD" w14:textId="77777777" w:rsidTr="001F092A">
        <w:trPr>
          <w:trHeight w:val="282"/>
        </w:trPr>
        <w:tc>
          <w:tcPr>
            <w:tcW w:w="1422" w:type="dxa"/>
            <w:tcBorders>
              <w:top w:val="nil"/>
              <w:left w:val="nil"/>
              <w:bottom w:val="nil"/>
              <w:right w:val="nil"/>
            </w:tcBorders>
            <w:shd w:val="clear" w:color="auto" w:fill="auto"/>
            <w:noWrap/>
            <w:vAlign w:val="bottom"/>
            <w:hideMark/>
          </w:tcPr>
          <w:p w14:paraId="45AD628D"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NATO</w:t>
            </w:r>
          </w:p>
        </w:tc>
        <w:tc>
          <w:tcPr>
            <w:tcW w:w="1025" w:type="dxa"/>
            <w:tcBorders>
              <w:top w:val="nil"/>
              <w:left w:val="nil"/>
              <w:bottom w:val="nil"/>
              <w:right w:val="nil"/>
            </w:tcBorders>
            <w:shd w:val="clear" w:color="auto" w:fill="auto"/>
            <w:noWrap/>
            <w:vAlign w:val="bottom"/>
            <w:hideMark/>
          </w:tcPr>
          <w:p w14:paraId="27AA8E78"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-0.03489</w:t>
            </w:r>
          </w:p>
        </w:tc>
        <w:tc>
          <w:tcPr>
            <w:tcW w:w="583" w:type="dxa"/>
            <w:tcBorders>
              <w:top w:val="nil"/>
              <w:left w:val="nil"/>
              <w:bottom w:val="nil"/>
              <w:right w:val="nil"/>
            </w:tcBorders>
            <w:shd w:val="clear" w:color="auto" w:fill="auto"/>
            <w:noWrap/>
            <w:vAlign w:val="bottom"/>
            <w:hideMark/>
          </w:tcPr>
          <w:p w14:paraId="552863DD"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98C0010"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-0.03755</w:t>
            </w:r>
          </w:p>
        </w:tc>
        <w:tc>
          <w:tcPr>
            <w:tcW w:w="583" w:type="dxa"/>
            <w:tcBorders>
              <w:top w:val="nil"/>
              <w:left w:val="nil"/>
              <w:bottom w:val="nil"/>
              <w:right w:val="nil"/>
            </w:tcBorders>
            <w:shd w:val="clear" w:color="auto" w:fill="auto"/>
            <w:noWrap/>
            <w:vAlign w:val="bottom"/>
            <w:hideMark/>
          </w:tcPr>
          <w:p w14:paraId="5AEB131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747684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-0.04345</w:t>
            </w:r>
          </w:p>
        </w:tc>
        <w:tc>
          <w:tcPr>
            <w:tcW w:w="583" w:type="dxa"/>
            <w:tcBorders>
              <w:top w:val="nil"/>
              <w:left w:val="nil"/>
              <w:bottom w:val="nil"/>
              <w:right w:val="nil"/>
            </w:tcBorders>
            <w:shd w:val="clear" w:color="auto" w:fill="auto"/>
            <w:noWrap/>
            <w:vAlign w:val="bottom"/>
            <w:hideMark/>
          </w:tcPr>
          <w:p w14:paraId="5978B50D"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6C68938"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-0.04485</w:t>
            </w:r>
          </w:p>
        </w:tc>
        <w:tc>
          <w:tcPr>
            <w:tcW w:w="583" w:type="dxa"/>
            <w:tcBorders>
              <w:top w:val="nil"/>
              <w:left w:val="nil"/>
              <w:bottom w:val="nil"/>
              <w:right w:val="nil"/>
            </w:tcBorders>
            <w:shd w:val="clear" w:color="auto" w:fill="auto"/>
            <w:noWrap/>
            <w:vAlign w:val="bottom"/>
            <w:hideMark/>
          </w:tcPr>
          <w:p w14:paraId="098AE67D"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30B9054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-0.04934</w:t>
            </w:r>
          </w:p>
        </w:tc>
        <w:tc>
          <w:tcPr>
            <w:tcW w:w="583" w:type="dxa"/>
            <w:tcBorders>
              <w:top w:val="nil"/>
              <w:left w:val="nil"/>
              <w:bottom w:val="nil"/>
              <w:right w:val="nil"/>
            </w:tcBorders>
            <w:shd w:val="clear" w:color="auto" w:fill="auto"/>
            <w:noWrap/>
            <w:vAlign w:val="bottom"/>
            <w:hideMark/>
          </w:tcPr>
          <w:p w14:paraId="450C53A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34FA5DE2" w14:textId="77777777" w:rsidTr="001F092A">
        <w:trPr>
          <w:trHeight w:val="282"/>
        </w:trPr>
        <w:tc>
          <w:tcPr>
            <w:tcW w:w="1422" w:type="dxa"/>
            <w:tcBorders>
              <w:top w:val="nil"/>
              <w:left w:val="nil"/>
              <w:bottom w:val="nil"/>
              <w:right w:val="nil"/>
            </w:tcBorders>
            <w:shd w:val="clear" w:color="auto" w:fill="auto"/>
            <w:noWrap/>
            <w:vAlign w:val="bottom"/>
            <w:hideMark/>
          </w:tcPr>
          <w:p w14:paraId="53D79ABE"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1158525A"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-3.64555</w:t>
            </w:r>
          </w:p>
        </w:tc>
        <w:tc>
          <w:tcPr>
            <w:tcW w:w="583" w:type="dxa"/>
            <w:tcBorders>
              <w:top w:val="nil"/>
              <w:left w:val="nil"/>
              <w:bottom w:val="nil"/>
              <w:right w:val="nil"/>
            </w:tcBorders>
            <w:shd w:val="clear" w:color="auto" w:fill="auto"/>
            <w:noWrap/>
            <w:vAlign w:val="bottom"/>
            <w:hideMark/>
          </w:tcPr>
          <w:p w14:paraId="045C0CAF"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A5F3BB6"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-3.77758</w:t>
            </w:r>
          </w:p>
        </w:tc>
        <w:tc>
          <w:tcPr>
            <w:tcW w:w="583" w:type="dxa"/>
            <w:tcBorders>
              <w:top w:val="nil"/>
              <w:left w:val="nil"/>
              <w:bottom w:val="nil"/>
              <w:right w:val="nil"/>
            </w:tcBorders>
            <w:shd w:val="clear" w:color="auto" w:fill="auto"/>
            <w:noWrap/>
            <w:vAlign w:val="bottom"/>
            <w:hideMark/>
          </w:tcPr>
          <w:p w14:paraId="1282A06B"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3850E08B"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-3.28504</w:t>
            </w:r>
          </w:p>
        </w:tc>
        <w:tc>
          <w:tcPr>
            <w:tcW w:w="583" w:type="dxa"/>
            <w:tcBorders>
              <w:top w:val="nil"/>
              <w:left w:val="nil"/>
              <w:bottom w:val="nil"/>
              <w:right w:val="nil"/>
            </w:tcBorders>
            <w:shd w:val="clear" w:color="auto" w:fill="auto"/>
            <w:noWrap/>
            <w:vAlign w:val="bottom"/>
            <w:hideMark/>
          </w:tcPr>
          <w:p w14:paraId="11C30CC4"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02CD6DA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-2.01540</w:t>
            </w:r>
          </w:p>
        </w:tc>
        <w:tc>
          <w:tcPr>
            <w:tcW w:w="583" w:type="dxa"/>
            <w:tcBorders>
              <w:top w:val="nil"/>
              <w:left w:val="nil"/>
              <w:bottom w:val="nil"/>
              <w:right w:val="nil"/>
            </w:tcBorders>
            <w:shd w:val="clear" w:color="auto" w:fill="auto"/>
            <w:noWrap/>
            <w:vAlign w:val="bottom"/>
            <w:hideMark/>
          </w:tcPr>
          <w:p w14:paraId="1DF39CB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25CF1F07"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-1.99781</w:t>
            </w:r>
          </w:p>
        </w:tc>
        <w:tc>
          <w:tcPr>
            <w:tcW w:w="583" w:type="dxa"/>
            <w:tcBorders>
              <w:top w:val="nil"/>
              <w:left w:val="nil"/>
              <w:bottom w:val="nil"/>
              <w:right w:val="nil"/>
            </w:tcBorders>
            <w:shd w:val="clear" w:color="auto" w:fill="auto"/>
            <w:noWrap/>
            <w:vAlign w:val="bottom"/>
            <w:hideMark/>
          </w:tcPr>
          <w:p w14:paraId="15E6092A"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E15B91" w14:paraId="769359BD" w14:textId="77777777" w:rsidTr="001F092A">
        <w:trPr>
          <w:trHeight w:val="282"/>
        </w:trPr>
        <w:tc>
          <w:tcPr>
            <w:tcW w:w="1422" w:type="dxa"/>
            <w:tcBorders>
              <w:top w:val="nil"/>
              <w:left w:val="nil"/>
              <w:bottom w:val="nil"/>
              <w:right w:val="nil"/>
            </w:tcBorders>
            <w:shd w:val="clear" w:color="auto" w:fill="auto"/>
            <w:noWrap/>
            <w:vAlign w:val="bottom"/>
            <w:hideMark/>
          </w:tcPr>
          <w:p w14:paraId="03F087D7"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beta</w:t>
            </w:r>
          </w:p>
        </w:tc>
        <w:tc>
          <w:tcPr>
            <w:tcW w:w="1025" w:type="dxa"/>
            <w:tcBorders>
              <w:top w:val="nil"/>
              <w:left w:val="nil"/>
              <w:bottom w:val="nil"/>
              <w:right w:val="nil"/>
            </w:tcBorders>
            <w:shd w:val="clear" w:color="auto" w:fill="auto"/>
            <w:noWrap/>
            <w:vAlign w:val="bottom"/>
            <w:hideMark/>
          </w:tcPr>
          <w:p w14:paraId="3D97E353"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-1.02210</w:t>
            </w:r>
          </w:p>
        </w:tc>
        <w:tc>
          <w:tcPr>
            <w:tcW w:w="583" w:type="dxa"/>
            <w:tcBorders>
              <w:top w:val="nil"/>
              <w:left w:val="nil"/>
              <w:bottom w:val="nil"/>
              <w:right w:val="nil"/>
            </w:tcBorders>
            <w:shd w:val="clear" w:color="auto" w:fill="auto"/>
            <w:noWrap/>
            <w:vAlign w:val="bottom"/>
            <w:hideMark/>
          </w:tcPr>
          <w:p w14:paraId="06F8C50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10ABDAF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-1.04622</w:t>
            </w:r>
          </w:p>
        </w:tc>
        <w:tc>
          <w:tcPr>
            <w:tcW w:w="583" w:type="dxa"/>
            <w:tcBorders>
              <w:top w:val="nil"/>
              <w:left w:val="nil"/>
              <w:bottom w:val="nil"/>
              <w:right w:val="nil"/>
            </w:tcBorders>
            <w:shd w:val="clear" w:color="auto" w:fill="auto"/>
            <w:noWrap/>
            <w:vAlign w:val="bottom"/>
            <w:hideMark/>
          </w:tcPr>
          <w:p w14:paraId="2BFBF06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7B425B82"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-1.20233</w:t>
            </w:r>
          </w:p>
        </w:tc>
        <w:tc>
          <w:tcPr>
            <w:tcW w:w="583" w:type="dxa"/>
            <w:tcBorders>
              <w:top w:val="nil"/>
              <w:left w:val="nil"/>
              <w:bottom w:val="nil"/>
              <w:right w:val="nil"/>
            </w:tcBorders>
            <w:shd w:val="clear" w:color="auto" w:fill="auto"/>
            <w:noWrap/>
            <w:vAlign w:val="bottom"/>
            <w:hideMark/>
          </w:tcPr>
          <w:p w14:paraId="3BBD7DF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6F97452C"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-1.27516</w:t>
            </w:r>
          </w:p>
        </w:tc>
        <w:tc>
          <w:tcPr>
            <w:tcW w:w="583" w:type="dxa"/>
            <w:tcBorders>
              <w:top w:val="nil"/>
              <w:left w:val="nil"/>
              <w:bottom w:val="nil"/>
              <w:right w:val="nil"/>
            </w:tcBorders>
            <w:shd w:val="clear" w:color="auto" w:fill="auto"/>
            <w:noWrap/>
            <w:vAlign w:val="bottom"/>
            <w:hideMark/>
          </w:tcPr>
          <w:p w14:paraId="1945A944"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207B47F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-1.09719</w:t>
            </w:r>
          </w:p>
        </w:tc>
        <w:tc>
          <w:tcPr>
            <w:tcW w:w="583" w:type="dxa"/>
            <w:tcBorders>
              <w:top w:val="nil"/>
              <w:left w:val="nil"/>
              <w:bottom w:val="nil"/>
              <w:right w:val="nil"/>
            </w:tcBorders>
            <w:shd w:val="clear" w:color="auto" w:fill="auto"/>
            <w:noWrap/>
            <w:vAlign w:val="bottom"/>
            <w:hideMark/>
          </w:tcPr>
          <w:p w14:paraId="34853D74"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3C0E47BC" w14:textId="77777777" w:rsidTr="001F092A">
        <w:trPr>
          <w:trHeight w:val="282"/>
        </w:trPr>
        <w:tc>
          <w:tcPr>
            <w:tcW w:w="1422" w:type="dxa"/>
            <w:tcBorders>
              <w:top w:val="nil"/>
              <w:left w:val="nil"/>
              <w:bottom w:val="nil"/>
              <w:right w:val="nil"/>
            </w:tcBorders>
            <w:shd w:val="clear" w:color="auto" w:fill="auto"/>
            <w:noWrap/>
            <w:vAlign w:val="bottom"/>
            <w:hideMark/>
          </w:tcPr>
          <w:p w14:paraId="0DE69642"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621F1959"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-1.99070</w:t>
            </w:r>
          </w:p>
        </w:tc>
        <w:tc>
          <w:tcPr>
            <w:tcW w:w="583" w:type="dxa"/>
            <w:tcBorders>
              <w:top w:val="nil"/>
              <w:left w:val="nil"/>
              <w:bottom w:val="nil"/>
              <w:right w:val="nil"/>
            </w:tcBorders>
            <w:shd w:val="clear" w:color="auto" w:fill="auto"/>
            <w:noWrap/>
            <w:vAlign w:val="bottom"/>
            <w:hideMark/>
          </w:tcPr>
          <w:p w14:paraId="5E1C4E16"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7EEC8B43"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-2.18355</w:t>
            </w:r>
          </w:p>
        </w:tc>
        <w:tc>
          <w:tcPr>
            <w:tcW w:w="583" w:type="dxa"/>
            <w:tcBorders>
              <w:top w:val="nil"/>
              <w:left w:val="nil"/>
              <w:bottom w:val="nil"/>
              <w:right w:val="nil"/>
            </w:tcBorders>
            <w:shd w:val="clear" w:color="auto" w:fill="auto"/>
            <w:noWrap/>
            <w:vAlign w:val="bottom"/>
            <w:hideMark/>
          </w:tcPr>
          <w:p w14:paraId="53A79169"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E823D96"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-2.06996</w:t>
            </w:r>
          </w:p>
        </w:tc>
        <w:tc>
          <w:tcPr>
            <w:tcW w:w="583" w:type="dxa"/>
            <w:tcBorders>
              <w:top w:val="nil"/>
              <w:left w:val="nil"/>
              <w:bottom w:val="nil"/>
              <w:right w:val="nil"/>
            </w:tcBorders>
            <w:shd w:val="clear" w:color="auto" w:fill="auto"/>
            <w:noWrap/>
            <w:vAlign w:val="bottom"/>
            <w:hideMark/>
          </w:tcPr>
          <w:p w14:paraId="4581988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17C5689C"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-2.19425</w:t>
            </w:r>
          </w:p>
        </w:tc>
        <w:tc>
          <w:tcPr>
            <w:tcW w:w="583" w:type="dxa"/>
            <w:tcBorders>
              <w:top w:val="nil"/>
              <w:left w:val="nil"/>
              <w:bottom w:val="nil"/>
              <w:right w:val="nil"/>
            </w:tcBorders>
            <w:shd w:val="clear" w:color="auto" w:fill="auto"/>
            <w:noWrap/>
            <w:vAlign w:val="bottom"/>
            <w:hideMark/>
          </w:tcPr>
          <w:p w14:paraId="0B4ADBED"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1E3CFDD"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-3.18071</w:t>
            </w:r>
          </w:p>
        </w:tc>
        <w:tc>
          <w:tcPr>
            <w:tcW w:w="583" w:type="dxa"/>
            <w:tcBorders>
              <w:top w:val="nil"/>
              <w:left w:val="nil"/>
              <w:bottom w:val="nil"/>
              <w:right w:val="nil"/>
            </w:tcBorders>
            <w:shd w:val="clear" w:color="auto" w:fill="auto"/>
            <w:noWrap/>
            <w:vAlign w:val="bottom"/>
            <w:hideMark/>
          </w:tcPr>
          <w:p w14:paraId="2BAA370A"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E15B91" w14:paraId="0DAB18B4" w14:textId="77777777" w:rsidTr="001F092A">
        <w:trPr>
          <w:trHeight w:val="282"/>
        </w:trPr>
        <w:tc>
          <w:tcPr>
            <w:tcW w:w="1422" w:type="dxa"/>
            <w:tcBorders>
              <w:top w:val="nil"/>
              <w:left w:val="nil"/>
              <w:bottom w:val="nil"/>
              <w:right w:val="nil"/>
            </w:tcBorders>
            <w:shd w:val="clear" w:color="auto" w:fill="auto"/>
            <w:noWrap/>
            <w:vAlign w:val="bottom"/>
            <w:hideMark/>
          </w:tcPr>
          <w:p w14:paraId="0AE2CD9E"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AUM</w:t>
            </w:r>
          </w:p>
        </w:tc>
        <w:tc>
          <w:tcPr>
            <w:tcW w:w="1025" w:type="dxa"/>
            <w:tcBorders>
              <w:top w:val="nil"/>
              <w:left w:val="nil"/>
              <w:bottom w:val="nil"/>
              <w:right w:val="nil"/>
            </w:tcBorders>
            <w:shd w:val="clear" w:color="auto" w:fill="auto"/>
            <w:noWrap/>
            <w:vAlign w:val="bottom"/>
            <w:hideMark/>
          </w:tcPr>
          <w:p w14:paraId="39F6E37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0.08207</w:t>
            </w:r>
          </w:p>
        </w:tc>
        <w:tc>
          <w:tcPr>
            <w:tcW w:w="583" w:type="dxa"/>
            <w:tcBorders>
              <w:top w:val="nil"/>
              <w:left w:val="nil"/>
              <w:bottom w:val="nil"/>
              <w:right w:val="nil"/>
            </w:tcBorders>
            <w:shd w:val="clear" w:color="auto" w:fill="auto"/>
            <w:noWrap/>
            <w:vAlign w:val="bottom"/>
            <w:hideMark/>
          </w:tcPr>
          <w:p w14:paraId="4F81277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28D4EFC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0.03308</w:t>
            </w:r>
          </w:p>
        </w:tc>
        <w:tc>
          <w:tcPr>
            <w:tcW w:w="583" w:type="dxa"/>
            <w:tcBorders>
              <w:top w:val="nil"/>
              <w:left w:val="nil"/>
              <w:bottom w:val="nil"/>
              <w:right w:val="nil"/>
            </w:tcBorders>
            <w:shd w:val="clear" w:color="auto" w:fill="auto"/>
            <w:noWrap/>
            <w:vAlign w:val="bottom"/>
            <w:hideMark/>
          </w:tcPr>
          <w:p w14:paraId="0BFE96E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40F0FDC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0.04399</w:t>
            </w:r>
          </w:p>
        </w:tc>
        <w:tc>
          <w:tcPr>
            <w:tcW w:w="583" w:type="dxa"/>
            <w:tcBorders>
              <w:top w:val="nil"/>
              <w:left w:val="nil"/>
              <w:bottom w:val="nil"/>
              <w:right w:val="nil"/>
            </w:tcBorders>
            <w:shd w:val="clear" w:color="auto" w:fill="auto"/>
            <w:noWrap/>
            <w:vAlign w:val="bottom"/>
            <w:hideMark/>
          </w:tcPr>
          <w:p w14:paraId="78459D6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21B462E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0.02046</w:t>
            </w:r>
          </w:p>
        </w:tc>
        <w:tc>
          <w:tcPr>
            <w:tcW w:w="583" w:type="dxa"/>
            <w:tcBorders>
              <w:top w:val="nil"/>
              <w:left w:val="nil"/>
              <w:bottom w:val="nil"/>
              <w:right w:val="nil"/>
            </w:tcBorders>
            <w:shd w:val="clear" w:color="auto" w:fill="auto"/>
            <w:noWrap/>
            <w:vAlign w:val="bottom"/>
            <w:hideMark/>
          </w:tcPr>
          <w:p w14:paraId="2042A304"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3774904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0.06080</w:t>
            </w:r>
          </w:p>
        </w:tc>
        <w:tc>
          <w:tcPr>
            <w:tcW w:w="583" w:type="dxa"/>
            <w:tcBorders>
              <w:top w:val="nil"/>
              <w:left w:val="nil"/>
              <w:bottom w:val="nil"/>
              <w:right w:val="nil"/>
            </w:tcBorders>
            <w:shd w:val="clear" w:color="auto" w:fill="auto"/>
            <w:noWrap/>
            <w:vAlign w:val="bottom"/>
            <w:hideMark/>
          </w:tcPr>
          <w:p w14:paraId="0DD05DCC"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37BA6787" w14:textId="77777777" w:rsidTr="001F092A">
        <w:trPr>
          <w:trHeight w:val="282"/>
        </w:trPr>
        <w:tc>
          <w:tcPr>
            <w:tcW w:w="1422" w:type="dxa"/>
            <w:tcBorders>
              <w:top w:val="nil"/>
              <w:left w:val="nil"/>
              <w:bottom w:val="nil"/>
              <w:right w:val="nil"/>
            </w:tcBorders>
            <w:shd w:val="clear" w:color="auto" w:fill="auto"/>
            <w:noWrap/>
            <w:vAlign w:val="bottom"/>
            <w:hideMark/>
          </w:tcPr>
          <w:p w14:paraId="77DF70B4"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51F395E3"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1.07814</w:t>
            </w:r>
          </w:p>
        </w:tc>
        <w:tc>
          <w:tcPr>
            <w:tcW w:w="583" w:type="dxa"/>
            <w:tcBorders>
              <w:top w:val="nil"/>
              <w:left w:val="nil"/>
              <w:bottom w:val="nil"/>
              <w:right w:val="nil"/>
            </w:tcBorders>
            <w:shd w:val="clear" w:color="auto" w:fill="auto"/>
            <w:noWrap/>
            <w:vAlign w:val="bottom"/>
            <w:hideMark/>
          </w:tcPr>
          <w:p w14:paraId="08C9FFE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486B23F9"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0.18537</w:t>
            </w:r>
          </w:p>
        </w:tc>
        <w:tc>
          <w:tcPr>
            <w:tcW w:w="583" w:type="dxa"/>
            <w:tcBorders>
              <w:top w:val="nil"/>
              <w:left w:val="nil"/>
              <w:bottom w:val="nil"/>
              <w:right w:val="nil"/>
            </w:tcBorders>
            <w:shd w:val="clear" w:color="auto" w:fill="auto"/>
            <w:noWrap/>
            <w:vAlign w:val="bottom"/>
            <w:hideMark/>
          </w:tcPr>
          <w:p w14:paraId="514FE63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0140A9C0"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0.69559</w:t>
            </w:r>
          </w:p>
        </w:tc>
        <w:tc>
          <w:tcPr>
            <w:tcW w:w="583" w:type="dxa"/>
            <w:tcBorders>
              <w:top w:val="nil"/>
              <w:left w:val="nil"/>
              <w:bottom w:val="nil"/>
              <w:right w:val="nil"/>
            </w:tcBorders>
            <w:shd w:val="clear" w:color="auto" w:fill="auto"/>
            <w:noWrap/>
            <w:vAlign w:val="bottom"/>
            <w:hideMark/>
          </w:tcPr>
          <w:p w14:paraId="28BCDA55"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7010AF77"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3.70313</w:t>
            </w:r>
          </w:p>
        </w:tc>
        <w:tc>
          <w:tcPr>
            <w:tcW w:w="583" w:type="dxa"/>
            <w:tcBorders>
              <w:top w:val="nil"/>
              <w:left w:val="nil"/>
              <w:bottom w:val="nil"/>
              <w:right w:val="nil"/>
            </w:tcBorders>
            <w:shd w:val="clear" w:color="auto" w:fill="auto"/>
            <w:noWrap/>
            <w:vAlign w:val="bottom"/>
            <w:hideMark/>
          </w:tcPr>
          <w:p w14:paraId="4B286399"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6781D473"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2.16647</w:t>
            </w:r>
          </w:p>
        </w:tc>
        <w:tc>
          <w:tcPr>
            <w:tcW w:w="583" w:type="dxa"/>
            <w:tcBorders>
              <w:top w:val="nil"/>
              <w:left w:val="nil"/>
              <w:bottom w:val="nil"/>
              <w:right w:val="nil"/>
            </w:tcBorders>
            <w:shd w:val="clear" w:color="auto" w:fill="auto"/>
            <w:noWrap/>
            <w:vAlign w:val="bottom"/>
            <w:hideMark/>
          </w:tcPr>
          <w:p w14:paraId="7AC020E2"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E15B91" w14:paraId="4DB21337" w14:textId="77777777" w:rsidTr="001F092A">
        <w:trPr>
          <w:trHeight w:val="282"/>
        </w:trPr>
        <w:tc>
          <w:tcPr>
            <w:tcW w:w="1422" w:type="dxa"/>
            <w:tcBorders>
              <w:top w:val="nil"/>
              <w:left w:val="nil"/>
              <w:bottom w:val="nil"/>
              <w:right w:val="nil"/>
            </w:tcBorders>
            <w:shd w:val="clear" w:color="auto" w:fill="auto"/>
            <w:noWrap/>
            <w:vAlign w:val="bottom"/>
            <w:hideMark/>
          </w:tcPr>
          <w:p w14:paraId="05226F67"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alpha</w:t>
            </w:r>
          </w:p>
        </w:tc>
        <w:tc>
          <w:tcPr>
            <w:tcW w:w="1025" w:type="dxa"/>
            <w:tcBorders>
              <w:top w:val="nil"/>
              <w:left w:val="nil"/>
              <w:bottom w:val="nil"/>
              <w:right w:val="nil"/>
            </w:tcBorders>
            <w:shd w:val="clear" w:color="auto" w:fill="auto"/>
            <w:noWrap/>
            <w:vAlign w:val="bottom"/>
            <w:hideMark/>
          </w:tcPr>
          <w:p w14:paraId="15186F3A"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0.02441</w:t>
            </w:r>
          </w:p>
        </w:tc>
        <w:tc>
          <w:tcPr>
            <w:tcW w:w="583" w:type="dxa"/>
            <w:tcBorders>
              <w:top w:val="nil"/>
              <w:left w:val="nil"/>
              <w:bottom w:val="nil"/>
              <w:right w:val="nil"/>
            </w:tcBorders>
            <w:shd w:val="clear" w:color="auto" w:fill="auto"/>
            <w:noWrap/>
            <w:vAlign w:val="bottom"/>
            <w:hideMark/>
          </w:tcPr>
          <w:p w14:paraId="656FCF5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D735E69"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0.06858</w:t>
            </w:r>
          </w:p>
        </w:tc>
        <w:tc>
          <w:tcPr>
            <w:tcW w:w="583" w:type="dxa"/>
            <w:tcBorders>
              <w:top w:val="nil"/>
              <w:left w:val="nil"/>
              <w:bottom w:val="nil"/>
              <w:right w:val="nil"/>
            </w:tcBorders>
            <w:shd w:val="clear" w:color="auto" w:fill="auto"/>
            <w:noWrap/>
            <w:vAlign w:val="bottom"/>
            <w:hideMark/>
          </w:tcPr>
          <w:p w14:paraId="1DF98F0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9F0D1D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0.09428</w:t>
            </w:r>
          </w:p>
        </w:tc>
        <w:tc>
          <w:tcPr>
            <w:tcW w:w="583" w:type="dxa"/>
            <w:tcBorders>
              <w:top w:val="nil"/>
              <w:left w:val="nil"/>
              <w:bottom w:val="nil"/>
              <w:right w:val="nil"/>
            </w:tcBorders>
            <w:shd w:val="clear" w:color="auto" w:fill="auto"/>
            <w:noWrap/>
            <w:vAlign w:val="bottom"/>
            <w:hideMark/>
          </w:tcPr>
          <w:p w14:paraId="76AE035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CC2CDD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0.03187</w:t>
            </w:r>
          </w:p>
        </w:tc>
        <w:tc>
          <w:tcPr>
            <w:tcW w:w="583" w:type="dxa"/>
            <w:tcBorders>
              <w:top w:val="nil"/>
              <w:left w:val="nil"/>
              <w:bottom w:val="nil"/>
              <w:right w:val="nil"/>
            </w:tcBorders>
            <w:shd w:val="clear" w:color="auto" w:fill="auto"/>
            <w:noWrap/>
            <w:vAlign w:val="bottom"/>
            <w:hideMark/>
          </w:tcPr>
          <w:p w14:paraId="28606609"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15373D7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0.90566</w:t>
            </w:r>
          </w:p>
        </w:tc>
        <w:tc>
          <w:tcPr>
            <w:tcW w:w="583" w:type="dxa"/>
            <w:tcBorders>
              <w:top w:val="nil"/>
              <w:left w:val="nil"/>
              <w:bottom w:val="nil"/>
              <w:right w:val="nil"/>
            </w:tcBorders>
            <w:shd w:val="clear" w:color="auto" w:fill="auto"/>
            <w:noWrap/>
            <w:vAlign w:val="bottom"/>
            <w:hideMark/>
          </w:tcPr>
          <w:p w14:paraId="033CC72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001FEE6F" w14:textId="77777777" w:rsidTr="001F092A">
        <w:trPr>
          <w:trHeight w:val="282"/>
        </w:trPr>
        <w:tc>
          <w:tcPr>
            <w:tcW w:w="1422" w:type="dxa"/>
            <w:tcBorders>
              <w:top w:val="nil"/>
              <w:left w:val="nil"/>
              <w:bottom w:val="nil"/>
              <w:right w:val="nil"/>
            </w:tcBorders>
            <w:shd w:val="clear" w:color="auto" w:fill="auto"/>
            <w:noWrap/>
            <w:vAlign w:val="bottom"/>
            <w:hideMark/>
          </w:tcPr>
          <w:p w14:paraId="43980737"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3A59987B"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1.99255</w:t>
            </w:r>
          </w:p>
        </w:tc>
        <w:tc>
          <w:tcPr>
            <w:tcW w:w="583" w:type="dxa"/>
            <w:tcBorders>
              <w:top w:val="nil"/>
              <w:left w:val="nil"/>
              <w:bottom w:val="nil"/>
              <w:right w:val="nil"/>
            </w:tcBorders>
            <w:shd w:val="clear" w:color="auto" w:fill="auto"/>
            <w:noWrap/>
            <w:vAlign w:val="bottom"/>
            <w:hideMark/>
          </w:tcPr>
          <w:p w14:paraId="1A3B75CF"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762358D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2.17750</w:t>
            </w:r>
          </w:p>
        </w:tc>
        <w:tc>
          <w:tcPr>
            <w:tcW w:w="583" w:type="dxa"/>
            <w:tcBorders>
              <w:top w:val="nil"/>
              <w:left w:val="nil"/>
              <w:bottom w:val="nil"/>
              <w:right w:val="nil"/>
            </w:tcBorders>
            <w:shd w:val="clear" w:color="auto" w:fill="auto"/>
            <w:noWrap/>
            <w:vAlign w:val="bottom"/>
            <w:hideMark/>
          </w:tcPr>
          <w:p w14:paraId="45143DB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3490A15F"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2.10201</w:t>
            </w:r>
          </w:p>
        </w:tc>
        <w:tc>
          <w:tcPr>
            <w:tcW w:w="583" w:type="dxa"/>
            <w:tcBorders>
              <w:top w:val="nil"/>
              <w:left w:val="nil"/>
              <w:bottom w:val="nil"/>
              <w:right w:val="nil"/>
            </w:tcBorders>
            <w:shd w:val="clear" w:color="auto" w:fill="auto"/>
            <w:noWrap/>
            <w:vAlign w:val="bottom"/>
            <w:hideMark/>
          </w:tcPr>
          <w:p w14:paraId="2B8B9813"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2555CD39"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2.78213</w:t>
            </w:r>
          </w:p>
        </w:tc>
        <w:tc>
          <w:tcPr>
            <w:tcW w:w="583" w:type="dxa"/>
            <w:tcBorders>
              <w:top w:val="nil"/>
              <w:left w:val="nil"/>
              <w:bottom w:val="nil"/>
              <w:right w:val="nil"/>
            </w:tcBorders>
            <w:shd w:val="clear" w:color="auto" w:fill="auto"/>
            <w:noWrap/>
            <w:vAlign w:val="bottom"/>
            <w:hideMark/>
          </w:tcPr>
          <w:p w14:paraId="67AEBFA6"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35FB292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3.88139</w:t>
            </w:r>
          </w:p>
        </w:tc>
        <w:tc>
          <w:tcPr>
            <w:tcW w:w="583" w:type="dxa"/>
            <w:tcBorders>
              <w:top w:val="nil"/>
              <w:left w:val="nil"/>
              <w:bottom w:val="nil"/>
              <w:right w:val="nil"/>
            </w:tcBorders>
            <w:shd w:val="clear" w:color="auto" w:fill="auto"/>
            <w:noWrap/>
            <w:vAlign w:val="bottom"/>
            <w:hideMark/>
          </w:tcPr>
          <w:p w14:paraId="7F65D16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E15B91" w14:paraId="78CB1AC5" w14:textId="77777777" w:rsidTr="001F092A">
        <w:trPr>
          <w:trHeight w:val="282"/>
        </w:trPr>
        <w:tc>
          <w:tcPr>
            <w:tcW w:w="1422" w:type="dxa"/>
            <w:tcBorders>
              <w:top w:val="nil"/>
              <w:left w:val="nil"/>
              <w:bottom w:val="nil"/>
              <w:right w:val="nil"/>
            </w:tcBorders>
            <w:shd w:val="clear" w:color="auto" w:fill="auto"/>
            <w:noWrap/>
            <w:vAlign w:val="bottom"/>
            <w:hideMark/>
          </w:tcPr>
          <w:p w14:paraId="640AD5D7"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BM</w:t>
            </w:r>
          </w:p>
        </w:tc>
        <w:tc>
          <w:tcPr>
            <w:tcW w:w="1025" w:type="dxa"/>
            <w:tcBorders>
              <w:top w:val="nil"/>
              <w:left w:val="nil"/>
              <w:bottom w:val="nil"/>
              <w:right w:val="nil"/>
            </w:tcBorders>
            <w:shd w:val="clear" w:color="auto" w:fill="auto"/>
            <w:noWrap/>
            <w:vAlign w:val="bottom"/>
            <w:hideMark/>
          </w:tcPr>
          <w:p w14:paraId="0EBA77D2"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0.33947</w:t>
            </w:r>
          </w:p>
        </w:tc>
        <w:tc>
          <w:tcPr>
            <w:tcW w:w="583" w:type="dxa"/>
            <w:tcBorders>
              <w:top w:val="nil"/>
              <w:left w:val="nil"/>
              <w:bottom w:val="nil"/>
              <w:right w:val="nil"/>
            </w:tcBorders>
            <w:shd w:val="clear" w:color="auto" w:fill="auto"/>
            <w:noWrap/>
            <w:vAlign w:val="bottom"/>
            <w:hideMark/>
          </w:tcPr>
          <w:p w14:paraId="2293659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BAC40F3"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0.40383</w:t>
            </w:r>
          </w:p>
        </w:tc>
        <w:tc>
          <w:tcPr>
            <w:tcW w:w="583" w:type="dxa"/>
            <w:tcBorders>
              <w:top w:val="nil"/>
              <w:left w:val="nil"/>
              <w:bottom w:val="nil"/>
              <w:right w:val="nil"/>
            </w:tcBorders>
            <w:shd w:val="clear" w:color="auto" w:fill="auto"/>
            <w:noWrap/>
            <w:vAlign w:val="bottom"/>
            <w:hideMark/>
          </w:tcPr>
          <w:p w14:paraId="6A445283"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5A1E5A2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0.22399</w:t>
            </w:r>
          </w:p>
        </w:tc>
        <w:tc>
          <w:tcPr>
            <w:tcW w:w="583" w:type="dxa"/>
            <w:tcBorders>
              <w:top w:val="nil"/>
              <w:left w:val="nil"/>
              <w:bottom w:val="nil"/>
              <w:right w:val="nil"/>
            </w:tcBorders>
            <w:shd w:val="clear" w:color="auto" w:fill="auto"/>
            <w:noWrap/>
            <w:vAlign w:val="bottom"/>
            <w:hideMark/>
          </w:tcPr>
          <w:p w14:paraId="59769ACF"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361DD9F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0.42766</w:t>
            </w:r>
          </w:p>
        </w:tc>
        <w:tc>
          <w:tcPr>
            <w:tcW w:w="583" w:type="dxa"/>
            <w:tcBorders>
              <w:top w:val="nil"/>
              <w:left w:val="nil"/>
              <w:bottom w:val="nil"/>
              <w:right w:val="nil"/>
            </w:tcBorders>
            <w:shd w:val="clear" w:color="auto" w:fill="auto"/>
            <w:noWrap/>
            <w:vAlign w:val="bottom"/>
            <w:hideMark/>
          </w:tcPr>
          <w:p w14:paraId="323F4EE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41C348B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0.11172</w:t>
            </w:r>
          </w:p>
        </w:tc>
        <w:tc>
          <w:tcPr>
            <w:tcW w:w="583" w:type="dxa"/>
            <w:tcBorders>
              <w:top w:val="nil"/>
              <w:left w:val="nil"/>
              <w:bottom w:val="nil"/>
              <w:right w:val="nil"/>
            </w:tcBorders>
            <w:shd w:val="clear" w:color="auto" w:fill="auto"/>
            <w:noWrap/>
            <w:vAlign w:val="bottom"/>
            <w:hideMark/>
          </w:tcPr>
          <w:p w14:paraId="7BC968EC"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399D37F9" w14:textId="77777777" w:rsidTr="001F092A">
        <w:trPr>
          <w:trHeight w:val="282"/>
        </w:trPr>
        <w:tc>
          <w:tcPr>
            <w:tcW w:w="1422" w:type="dxa"/>
            <w:tcBorders>
              <w:top w:val="nil"/>
              <w:left w:val="nil"/>
              <w:bottom w:val="nil"/>
              <w:right w:val="nil"/>
            </w:tcBorders>
            <w:shd w:val="clear" w:color="auto" w:fill="auto"/>
            <w:noWrap/>
            <w:vAlign w:val="bottom"/>
            <w:hideMark/>
          </w:tcPr>
          <w:p w14:paraId="22CEED48"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7771A46A"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1.84696</w:t>
            </w:r>
          </w:p>
        </w:tc>
        <w:tc>
          <w:tcPr>
            <w:tcW w:w="583" w:type="dxa"/>
            <w:tcBorders>
              <w:top w:val="nil"/>
              <w:left w:val="nil"/>
              <w:bottom w:val="nil"/>
              <w:right w:val="nil"/>
            </w:tcBorders>
            <w:shd w:val="clear" w:color="auto" w:fill="auto"/>
            <w:noWrap/>
            <w:vAlign w:val="bottom"/>
            <w:hideMark/>
          </w:tcPr>
          <w:p w14:paraId="5DBD7EBA"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49B3881A"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0.80842</w:t>
            </w:r>
          </w:p>
        </w:tc>
        <w:tc>
          <w:tcPr>
            <w:tcW w:w="583" w:type="dxa"/>
            <w:tcBorders>
              <w:top w:val="nil"/>
              <w:left w:val="nil"/>
              <w:bottom w:val="nil"/>
              <w:right w:val="nil"/>
            </w:tcBorders>
            <w:shd w:val="clear" w:color="auto" w:fill="auto"/>
            <w:noWrap/>
            <w:vAlign w:val="bottom"/>
            <w:hideMark/>
          </w:tcPr>
          <w:p w14:paraId="077921D1"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4D1316A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2.06780</w:t>
            </w:r>
          </w:p>
        </w:tc>
        <w:tc>
          <w:tcPr>
            <w:tcW w:w="583" w:type="dxa"/>
            <w:tcBorders>
              <w:top w:val="nil"/>
              <w:left w:val="nil"/>
              <w:bottom w:val="nil"/>
              <w:right w:val="nil"/>
            </w:tcBorders>
            <w:shd w:val="clear" w:color="auto" w:fill="auto"/>
            <w:noWrap/>
            <w:vAlign w:val="bottom"/>
            <w:hideMark/>
          </w:tcPr>
          <w:p w14:paraId="7058182B"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7EA4293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2.13107</w:t>
            </w:r>
          </w:p>
        </w:tc>
        <w:tc>
          <w:tcPr>
            <w:tcW w:w="583" w:type="dxa"/>
            <w:tcBorders>
              <w:top w:val="nil"/>
              <w:left w:val="nil"/>
              <w:bottom w:val="nil"/>
              <w:right w:val="nil"/>
            </w:tcBorders>
            <w:shd w:val="clear" w:color="auto" w:fill="auto"/>
            <w:noWrap/>
            <w:vAlign w:val="bottom"/>
            <w:hideMark/>
          </w:tcPr>
          <w:p w14:paraId="7ACE566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8D6BB5C"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2.10961</w:t>
            </w:r>
          </w:p>
        </w:tc>
        <w:tc>
          <w:tcPr>
            <w:tcW w:w="583" w:type="dxa"/>
            <w:tcBorders>
              <w:top w:val="nil"/>
              <w:left w:val="nil"/>
              <w:bottom w:val="nil"/>
              <w:right w:val="nil"/>
            </w:tcBorders>
            <w:shd w:val="clear" w:color="auto" w:fill="auto"/>
            <w:noWrap/>
            <w:vAlign w:val="bottom"/>
            <w:hideMark/>
          </w:tcPr>
          <w:p w14:paraId="40DEACF0"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E15B91" w14:paraId="40D61E9F" w14:textId="77777777" w:rsidTr="001F092A">
        <w:trPr>
          <w:trHeight w:val="282"/>
        </w:trPr>
        <w:tc>
          <w:tcPr>
            <w:tcW w:w="1422" w:type="dxa"/>
            <w:tcBorders>
              <w:top w:val="nil"/>
              <w:left w:val="nil"/>
              <w:bottom w:val="nil"/>
              <w:right w:val="nil"/>
            </w:tcBorders>
            <w:shd w:val="clear" w:color="auto" w:fill="auto"/>
            <w:noWrap/>
            <w:vAlign w:val="bottom"/>
            <w:hideMark/>
          </w:tcPr>
          <w:p w14:paraId="5F791B8E"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MoM</w:t>
            </w:r>
          </w:p>
        </w:tc>
        <w:tc>
          <w:tcPr>
            <w:tcW w:w="1025" w:type="dxa"/>
            <w:tcBorders>
              <w:top w:val="nil"/>
              <w:left w:val="nil"/>
              <w:bottom w:val="nil"/>
              <w:right w:val="nil"/>
            </w:tcBorders>
            <w:shd w:val="clear" w:color="auto" w:fill="auto"/>
            <w:noWrap/>
            <w:vAlign w:val="bottom"/>
            <w:hideMark/>
          </w:tcPr>
          <w:p w14:paraId="4422F718"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-0.60073</w:t>
            </w:r>
          </w:p>
        </w:tc>
        <w:tc>
          <w:tcPr>
            <w:tcW w:w="583" w:type="dxa"/>
            <w:tcBorders>
              <w:top w:val="nil"/>
              <w:left w:val="nil"/>
              <w:bottom w:val="nil"/>
              <w:right w:val="nil"/>
            </w:tcBorders>
            <w:shd w:val="clear" w:color="auto" w:fill="auto"/>
            <w:noWrap/>
            <w:vAlign w:val="bottom"/>
            <w:hideMark/>
          </w:tcPr>
          <w:p w14:paraId="0C6E2BC3"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79919BB9"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-0.25723</w:t>
            </w:r>
          </w:p>
        </w:tc>
        <w:tc>
          <w:tcPr>
            <w:tcW w:w="583" w:type="dxa"/>
            <w:tcBorders>
              <w:top w:val="nil"/>
              <w:left w:val="nil"/>
              <w:bottom w:val="nil"/>
              <w:right w:val="nil"/>
            </w:tcBorders>
            <w:shd w:val="clear" w:color="auto" w:fill="auto"/>
            <w:noWrap/>
            <w:vAlign w:val="bottom"/>
            <w:hideMark/>
          </w:tcPr>
          <w:p w14:paraId="620FF7C6"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19A1529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-0.57103</w:t>
            </w:r>
          </w:p>
        </w:tc>
        <w:tc>
          <w:tcPr>
            <w:tcW w:w="583" w:type="dxa"/>
            <w:tcBorders>
              <w:top w:val="nil"/>
              <w:left w:val="nil"/>
              <w:bottom w:val="nil"/>
              <w:right w:val="nil"/>
            </w:tcBorders>
            <w:shd w:val="clear" w:color="auto" w:fill="auto"/>
            <w:noWrap/>
            <w:vAlign w:val="bottom"/>
            <w:hideMark/>
          </w:tcPr>
          <w:p w14:paraId="5CEAB87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c>
          <w:tcPr>
            <w:tcW w:w="1025" w:type="dxa"/>
            <w:tcBorders>
              <w:top w:val="nil"/>
              <w:left w:val="nil"/>
              <w:bottom w:val="nil"/>
              <w:right w:val="nil"/>
            </w:tcBorders>
            <w:shd w:val="clear" w:color="auto" w:fill="auto"/>
            <w:noWrap/>
            <w:vAlign w:val="bottom"/>
            <w:hideMark/>
          </w:tcPr>
          <w:p w14:paraId="33B34A87"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-0.52701</w:t>
            </w:r>
          </w:p>
        </w:tc>
        <w:tc>
          <w:tcPr>
            <w:tcW w:w="583" w:type="dxa"/>
            <w:tcBorders>
              <w:top w:val="nil"/>
              <w:left w:val="nil"/>
              <w:bottom w:val="nil"/>
              <w:right w:val="nil"/>
            </w:tcBorders>
            <w:shd w:val="clear" w:color="auto" w:fill="auto"/>
            <w:noWrap/>
            <w:vAlign w:val="bottom"/>
            <w:hideMark/>
          </w:tcPr>
          <w:p w14:paraId="003EF7B6"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c>
          <w:tcPr>
            <w:tcW w:w="1025" w:type="dxa"/>
            <w:tcBorders>
              <w:top w:val="nil"/>
              <w:left w:val="nil"/>
              <w:bottom w:val="nil"/>
              <w:right w:val="nil"/>
            </w:tcBorders>
            <w:shd w:val="clear" w:color="auto" w:fill="auto"/>
            <w:noWrap/>
            <w:vAlign w:val="bottom"/>
            <w:hideMark/>
          </w:tcPr>
          <w:p w14:paraId="0AB1AC5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-0.28142</w:t>
            </w:r>
          </w:p>
        </w:tc>
        <w:tc>
          <w:tcPr>
            <w:tcW w:w="583" w:type="dxa"/>
            <w:tcBorders>
              <w:top w:val="nil"/>
              <w:left w:val="nil"/>
              <w:bottom w:val="nil"/>
              <w:right w:val="nil"/>
            </w:tcBorders>
            <w:shd w:val="clear" w:color="auto" w:fill="auto"/>
            <w:noWrap/>
            <w:vAlign w:val="bottom"/>
            <w:hideMark/>
          </w:tcPr>
          <w:p w14:paraId="5D2DCB1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w:t>
            </w:r>
          </w:p>
        </w:tc>
      </w:tr>
      <w:tr w:rsidR="009B052F" w:rsidRPr="00E15B91" w14:paraId="16AA2028" w14:textId="77777777" w:rsidTr="001F092A">
        <w:trPr>
          <w:trHeight w:val="282"/>
        </w:trPr>
        <w:tc>
          <w:tcPr>
            <w:tcW w:w="1422" w:type="dxa"/>
            <w:tcBorders>
              <w:top w:val="nil"/>
              <w:left w:val="nil"/>
              <w:bottom w:val="nil"/>
              <w:right w:val="nil"/>
            </w:tcBorders>
            <w:shd w:val="clear" w:color="auto" w:fill="auto"/>
            <w:noWrap/>
            <w:vAlign w:val="bottom"/>
            <w:hideMark/>
          </w:tcPr>
          <w:p w14:paraId="7161976B"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t stats</w:t>
            </w:r>
          </w:p>
        </w:tc>
        <w:tc>
          <w:tcPr>
            <w:tcW w:w="1025" w:type="dxa"/>
            <w:tcBorders>
              <w:top w:val="nil"/>
              <w:left w:val="nil"/>
              <w:bottom w:val="nil"/>
              <w:right w:val="nil"/>
            </w:tcBorders>
            <w:shd w:val="clear" w:color="auto" w:fill="auto"/>
            <w:noWrap/>
            <w:vAlign w:val="bottom"/>
            <w:hideMark/>
          </w:tcPr>
          <w:p w14:paraId="47FAE605"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-0.10114</w:t>
            </w:r>
          </w:p>
        </w:tc>
        <w:tc>
          <w:tcPr>
            <w:tcW w:w="583" w:type="dxa"/>
            <w:tcBorders>
              <w:top w:val="nil"/>
              <w:left w:val="nil"/>
              <w:bottom w:val="nil"/>
              <w:right w:val="nil"/>
            </w:tcBorders>
            <w:shd w:val="clear" w:color="auto" w:fill="auto"/>
            <w:noWrap/>
            <w:vAlign w:val="bottom"/>
            <w:hideMark/>
          </w:tcPr>
          <w:p w14:paraId="7F573B48"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08A47D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-0.25726</w:t>
            </w:r>
          </w:p>
        </w:tc>
        <w:tc>
          <w:tcPr>
            <w:tcW w:w="583" w:type="dxa"/>
            <w:tcBorders>
              <w:top w:val="nil"/>
              <w:left w:val="nil"/>
              <w:bottom w:val="nil"/>
              <w:right w:val="nil"/>
            </w:tcBorders>
            <w:shd w:val="clear" w:color="auto" w:fill="auto"/>
            <w:noWrap/>
            <w:vAlign w:val="bottom"/>
            <w:hideMark/>
          </w:tcPr>
          <w:p w14:paraId="63F21722"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596E5701"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-0.43414</w:t>
            </w:r>
          </w:p>
        </w:tc>
        <w:tc>
          <w:tcPr>
            <w:tcW w:w="583" w:type="dxa"/>
            <w:tcBorders>
              <w:top w:val="nil"/>
              <w:left w:val="nil"/>
              <w:bottom w:val="nil"/>
              <w:right w:val="nil"/>
            </w:tcBorders>
            <w:shd w:val="clear" w:color="auto" w:fill="auto"/>
            <w:noWrap/>
            <w:vAlign w:val="bottom"/>
            <w:hideMark/>
          </w:tcPr>
          <w:p w14:paraId="790CB187"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77038505"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-2.17786</w:t>
            </w:r>
          </w:p>
        </w:tc>
        <w:tc>
          <w:tcPr>
            <w:tcW w:w="583" w:type="dxa"/>
            <w:tcBorders>
              <w:top w:val="nil"/>
              <w:left w:val="nil"/>
              <w:bottom w:val="nil"/>
              <w:right w:val="nil"/>
            </w:tcBorders>
            <w:shd w:val="clear" w:color="auto" w:fill="auto"/>
            <w:noWrap/>
            <w:vAlign w:val="bottom"/>
            <w:hideMark/>
          </w:tcPr>
          <w:p w14:paraId="5D13101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025" w:type="dxa"/>
            <w:tcBorders>
              <w:top w:val="nil"/>
              <w:left w:val="nil"/>
              <w:bottom w:val="nil"/>
              <w:right w:val="nil"/>
            </w:tcBorders>
            <w:shd w:val="clear" w:color="auto" w:fill="auto"/>
            <w:noWrap/>
            <w:vAlign w:val="bottom"/>
            <w:hideMark/>
          </w:tcPr>
          <w:p w14:paraId="3F5E401E" w14:textId="77777777" w:rsidR="009B052F" w:rsidRPr="00E15B91" w:rsidRDefault="009B052F" w:rsidP="001F092A">
            <w:pPr>
              <w:spacing w:after="0" w:line="240" w:lineRule="auto"/>
              <w:jc w:val="center"/>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-2.03643</w:t>
            </w:r>
          </w:p>
        </w:tc>
        <w:tc>
          <w:tcPr>
            <w:tcW w:w="583" w:type="dxa"/>
            <w:tcBorders>
              <w:top w:val="nil"/>
              <w:left w:val="nil"/>
              <w:bottom w:val="nil"/>
              <w:right w:val="nil"/>
            </w:tcBorders>
            <w:shd w:val="clear" w:color="auto" w:fill="auto"/>
            <w:noWrap/>
            <w:vAlign w:val="bottom"/>
            <w:hideMark/>
          </w:tcPr>
          <w:p w14:paraId="1DCE83FC"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E15B91" w14:paraId="37DB4AAB" w14:textId="77777777" w:rsidTr="001F092A">
        <w:trPr>
          <w:trHeight w:val="282"/>
        </w:trPr>
        <w:tc>
          <w:tcPr>
            <w:tcW w:w="1422" w:type="dxa"/>
            <w:tcBorders>
              <w:top w:val="nil"/>
              <w:left w:val="nil"/>
              <w:bottom w:val="single" w:sz="4" w:space="0" w:color="auto"/>
              <w:right w:val="nil"/>
            </w:tcBorders>
            <w:shd w:val="clear" w:color="auto" w:fill="auto"/>
            <w:noWrap/>
            <w:vAlign w:val="bottom"/>
            <w:hideMark/>
          </w:tcPr>
          <w:p w14:paraId="17A06E8F" w14:textId="77777777" w:rsidR="009B052F" w:rsidRPr="00E15B91" w:rsidRDefault="009B052F" w:rsidP="001F092A">
            <w:pPr>
              <w:spacing w:after="0" w:line="240" w:lineRule="auto"/>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Adjusted R2</w:t>
            </w:r>
          </w:p>
        </w:tc>
        <w:tc>
          <w:tcPr>
            <w:tcW w:w="1025" w:type="dxa"/>
            <w:tcBorders>
              <w:top w:val="nil"/>
              <w:left w:val="nil"/>
              <w:bottom w:val="single" w:sz="4" w:space="0" w:color="auto"/>
              <w:right w:val="nil"/>
            </w:tcBorders>
            <w:shd w:val="clear" w:color="auto" w:fill="auto"/>
            <w:noWrap/>
            <w:vAlign w:val="bottom"/>
            <w:hideMark/>
          </w:tcPr>
          <w:p w14:paraId="00BE1721"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0.64196</w:t>
            </w:r>
          </w:p>
        </w:tc>
        <w:tc>
          <w:tcPr>
            <w:tcW w:w="583" w:type="dxa"/>
            <w:tcBorders>
              <w:top w:val="nil"/>
              <w:left w:val="nil"/>
              <w:bottom w:val="single" w:sz="4" w:space="0" w:color="auto"/>
              <w:right w:val="nil"/>
            </w:tcBorders>
            <w:shd w:val="clear" w:color="auto" w:fill="auto"/>
            <w:noWrap/>
            <w:vAlign w:val="bottom"/>
            <w:hideMark/>
          </w:tcPr>
          <w:p w14:paraId="178A02CA"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c>
          <w:tcPr>
            <w:tcW w:w="1025" w:type="dxa"/>
            <w:tcBorders>
              <w:top w:val="nil"/>
              <w:left w:val="nil"/>
              <w:bottom w:val="single" w:sz="4" w:space="0" w:color="auto"/>
              <w:right w:val="nil"/>
            </w:tcBorders>
            <w:shd w:val="clear" w:color="auto" w:fill="auto"/>
            <w:noWrap/>
            <w:vAlign w:val="bottom"/>
            <w:hideMark/>
          </w:tcPr>
          <w:p w14:paraId="2499C2E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0.61738</w:t>
            </w:r>
          </w:p>
        </w:tc>
        <w:tc>
          <w:tcPr>
            <w:tcW w:w="583" w:type="dxa"/>
            <w:tcBorders>
              <w:top w:val="nil"/>
              <w:left w:val="nil"/>
              <w:bottom w:val="single" w:sz="4" w:space="0" w:color="auto"/>
              <w:right w:val="nil"/>
            </w:tcBorders>
            <w:shd w:val="clear" w:color="auto" w:fill="auto"/>
            <w:noWrap/>
            <w:vAlign w:val="bottom"/>
            <w:hideMark/>
          </w:tcPr>
          <w:p w14:paraId="39D6A36C"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c>
          <w:tcPr>
            <w:tcW w:w="1025" w:type="dxa"/>
            <w:tcBorders>
              <w:top w:val="nil"/>
              <w:left w:val="nil"/>
              <w:bottom w:val="single" w:sz="4" w:space="0" w:color="auto"/>
              <w:right w:val="nil"/>
            </w:tcBorders>
            <w:shd w:val="clear" w:color="auto" w:fill="auto"/>
            <w:noWrap/>
            <w:vAlign w:val="bottom"/>
            <w:hideMark/>
          </w:tcPr>
          <w:p w14:paraId="7A48285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0.69974</w:t>
            </w:r>
          </w:p>
        </w:tc>
        <w:tc>
          <w:tcPr>
            <w:tcW w:w="583" w:type="dxa"/>
            <w:tcBorders>
              <w:top w:val="nil"/>
              <w:left w:val="nil"/>
              <w:bottom w:val="single" w:sz="4" w:space="0" w:color="auto"/>
              <w:right w:val="nil"/>
            </w:tcBorders>
            <w:shd w:val="clear" w:color="auto" w:fill="auto"/>
            <w:noWrap/>
            <w:vAlign w:val="bottom"/>
            <w:hideMark/>
          </w:tcPr>
          <w:p w14:paraId="3D41238B"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c>
          <w:tcPr>
            <w:tcW w:w="1025" w:type="dxa"/>
            <w:tcBorders>
              <w:top w:val="nil"/>
              <w:left w:val="nil"/>
              <w:bottom w:val="single" w:sz="4" w:space="0" w:color="auto"/>
              <w:right w:val="nil"/>
            </w:tcBorders>
            <w:shd w:val="clear" w:color="auto" w:fill="auto"/>
            <w:noWrap/>
            <w:vAlign w:val="bottom"/>
            <w:hideMark/>
          </w:tcPr>
          <w:p w14:paraId="06FD6856"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0.63451</w:t>
            </w:r>
          </w:p>
        </w:tc>
        <w:tc>
          <w:tcPr>
            <w:tcW w:w="583" w:type="dxa"/>
            <w:tcBorders>
              <w:top w:val="nil"/>
              <w:left w:val="nil"/>
              <w:bottom w:val="single" w:sz="4" w:space="0" w:color="auto"/>
              <w:right w:val="nil"/>
            </w:tcBorders>
            <w:shd w:val="clear" w:color="auto" w:fill="auto"/>
            <w:noWrap/>
            <w:vAlign w:val="bottom"/>
            <w:hideMark/>
          </w:tcPr>
          <w:p w14:paraId="429860BE"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c>
          <w:tcPr>
            <w:tcW w:w="1025" w:type="dxa"/>
            <w:tcBorders>
              <w:top w:val="nil"/>
              <w:left w:val="nil"/>
              <w:bottom w:val="single" w:sz="4" w:space="0" w:color="auto"/>
              <w:right w:val="nil"/>
            </w:tcBorders>
            <w:shd w:val="clear" w:color="auto" w:fill="auto"/>
            <w:noWrap/>
            <w:vAlign w:val="bottom"/>
            <w:hideMark/>
          </w:tcPr>
          <w:p w14:paraId="6AC42706"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0.70281</w:t>
            </w:r>
          </w:p>
        </w:tc>
        <w:tc>
          <w:tcPr>
            <w:tcW w:w="583" w:type="dxa"/>
            <w:tcBorders>
              <w:top w:val="nil"/>
              <w:left w:val="nil"/>
              <w:bottom w:val="single" w:sz="4" w:space="0" w:color="auto"/>
              <w:right w:val="nil"/>
            </w:tcBorders>
            <w:shd w:val="clear" w:color="auto" w:fill="auto"/>
            <w:noWrap/>
            <w:vAlign w:val="bottom"/>
            <w:hideMark/>
          </w:tcPr>
          <w:p w14:paraId="0219EE65" w14:textId="77777777" w:rsidR="009B052F" w:rsidRPr="00E15B91" w:rsidRDefault="009B052F" w:rsidP="001F092A">
            <w:pPr>
              <w:spacing w:after="0" w:line="240" w:lineRule="auto"/>
              <w:jc w:val="center"/>
              <w:rPr>
                <w:rFonts w:ascii="Times New Roman" w:eastAsia="Times New Roman" w:hAnsi="Times New Roman" w:cs="Times New Roman"/>
                <w:color w:val="000000"/>
                <w:lang w:eastAsia="en-GB"/>
              </w:rPr>
            </w:pPr>
            <w:r w:rsidRPr="00E15B91">
              <w:rPr>
                <w:rFonts w:ascii="Times New Roman" w:eastAsia="Times New Roman" w:hAnsi="Times New Roman" w:cs="Times New Roman"/>
                <w:color w:val="000000"/>
                <w:lang w:eastAsia="en-GB"/>
              </w:rPr>
              <w:t> </w:t>
            </w:r>
          </w:p>
        </w:tc>
      </w:tr>
      <w:tr w:rsidR="009B052F" w:rsidRPr="00E15B91" w14:paraId="25D3EAD4" w14:textId="77777777" w:rsidTr="001F092A">
        <w:trPr>
          <w:trHeight w:val="282"/>
        </w:trPr>
        <w:tc>
          <w:tcPr>
            <w:tcW w:w="9463" w:type="dxa"/>
            <w:gridSpan w:val="11"/>
            <w:tcBorders>
              <w:top w:val="single" w:sz="4" w:space="0" w:color="auto"/>
              <w:left w:val="nil"/>
              <w:bottom w:val="nil"/>
              <w:right w:val="nil"/>
            </w:tcBorders>
            <w:shd w:val="clear" w:color="auto" w:fill="auto"/>
            <w:noWrap/>
            <w:vAlign w:val="bottom"/>
            <w:hideMark/>
          </w:tcPr>
          <w:p w14:paraId="72CC61E1" w14:textId="77777777" w:rsidR="009B052F" w:rsidRPr="00E15B91" w:rsidRDefault="009B052F" w:rsidP="001F092A">
            <w:pPr>
              <w:spacing w:after="0" w:line="240" w:lineRule="auto"/>
              <w:rPr>
                <w:rFonts w:ascii="Times New Roman" w:eastAsia="Times New Roman" w:hAnsi="Times New Roman" w:cs="Times New Roman"/>
                <w:i/>
                <w:iCs/>
                <w:color w:val="000000"/>
                <w:lang w:eastAsia="en-GB"/>
              </w:rPr>
            </w:pPr>
            <w:r w:rsidRPr="00E15B91">
              <w:rPr>
                <w:rFonts w:ascii="Times New Roman" w:eastAsia="Times New Roman" w:hAnsi="Times New Roman" w:cs="Times New Roman"/>
                <w:i/>
                <w:iCs/>
                <w:color w:val="000000"/>
                <w:lang w:eastAsia="en-GB"/>
              </w:rPr>
              <w:t>*** represents significance at 1%, ** at 5%, and * at 10%</w:t>
            </w:r>
          </w:p>
        </w:tc>
      </w:tr>
    </w:tbl>
    <w:p w14:paraId="4DE484AE" w14:textId="77777777" w:rsidR="009B052F" w:rsidRDefault="009B052F" w:rsidP="009B052F">
      <w:pPr>
        <w:rPr>
          <w:rFonts w:ascii="Times New Roman" w:hAnsi="Times New Roman" w:cs="Times New Roman"/>
          <w:sz w:val="24"/>
          <w:szCs w:val="24"/>
        </w:rPr>
      </w:pPr>
    </w:p>
    <w:tbl>
      <w:tblPr>
        <w:tblW w:w="9927" w:type="dxa"/>
        <w:tblLook w:val="04A0" w:firstRow="1" w:lastRow="0" w:firstColumn="1" w:lastColumn="0" w:noHBand="0" w:noVBand="1"/>
      </w:tblPr>
      <w:tblGrid>
        <w:gridCol w:w="1417"/>
        <w:gridCol w:w="1130"/>
        <w:gridCol w:w="595"/>
        <w:gridCol w:w="1130"/>
        <w:gridCol w:w="476"/>
        <w:gridCol w:w="1130"/>
        <w:gridCol w:w="595"/>
        <w:gridCol w:w="1130"/>
        <w:gridCol w:w="595"/>
        <w:gridCol w:w="1130"/>
        <w:gridCol w:w="599"/>
      </w:tblGrid>
      <w:tr w:rsidR="009B052F" w:rsidRPr="00FE791B" w14:paraId="1C1200F0" w14:textId="77777777" w:rsidTr="001F092A">
        <w:trPr>
          <w:trHeight w:val="284"/>
        </w:trPr>
        <w:tc>
          <w:tcPr>
            <w:tcW w:w="9927" w:type="dxa"/>
            <w:gridSpan w:val="11"/>
            <w:tcBorders>
              <w:top w:val="nil"/>
              <w:left w:val="nil"/>
              <w:bottom w:val="nil"/>
              <w:right w:val="nil"/>
            </w:tcBorders>
            <w:shd w:val="clear" w:color="auto" w:fill="auto"/>
            <w:noWrap/>
            <w:vAlign w:val="bottom"/>
            <w:hideMark/>
          </w:tcPr>
          <w:p w14:paraId="52C2F3DB" w14:textId="77777777" w:rsidR="009B052F" w:rsidRPr="00FE791B" w:rsidRDefault="009B052F" w:rsidP="001F092A">
            <w:pPr>
              <w:spacing w:after="0" w:line="240" w:lineRule="auto"/>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xml:space="preserve">Table 5: Panel Regression of CAR for </w:t>
            </w:r>
            <w:r>
              <w:rPr>
                <w:rFonts w:ascii="Times New Roman" w:eastAsia="Times New Roman" w:hAnsi="Times New Roman" w:cs="Times New Roman"/>
                <w:b/>
                <w:bCs/>
                <w:color w:val="000000"/>
                <w:lang w:eastAsia="en-GB"/>
              </w:rPr>
              <w:t xml:space="preserve">the </w:t>
            </w:r>
            <w:r w:rsidRPr="00FE791B">
              <w:rPr>
                <w:rFonts w:ascii="Times New Roman" w:eastAsia="Times New Roman" w:hAnsi="Times New Roman" w:cs="Times New Roman"/>
                <w:b/>
                <w:bCs/>
                <w:color w:val="000000"/>
                <w:lang w:eastAsia="en-GB"/>
              </w:rPr>
              <w:t>NATO States</w:t>
            </w:r>
          </w:p>
        </w:tc>
      </w:tr>
      <w:tr w:rsidR="009B052F" w:rsidRPr="00FE791B" w14:paraId="399EB0C1" w14:textId="77777777" w:rsidTr="001F092A">
        <w:trPr>
          <w:trHeight w:val="284"/>
        </w:trPr>
        <w:tc>
          <w:tcPr>
            <w:tcW w:w="1417" w:type="dxa"/>
            <w:tcBorders>
              <w:top w:val="single" w:sz="4" w:space="0" w:color="auto"/>
              <w:left w:val="nil"/>
              <w:bottom w:val="single" w:sz="4" w:space="0" w:color="auto"/>
              <w:right w:val="nil"/>
            </w:tcBorders>
            <w:shd w:val="clear" w:color="auto" w:fill="auto"/>
            <w:noWrap/>
            <w:vAlign w:val="bottom"/>
            <w:hideMark/>
          </w:tcPr>
          <w:p w14:paraId="79BAABA2"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c>
          <w:tcPr>
            <w:tcW w:w="1130" w:type="dxa"/>
            <w:tcBorders>
              <w:top w:val="single" w:sz="4" w:space="0" w:color="auto"/>
              <w:left w:val="nil"/>
              <w:bottom w:val="single" w:sz="4" w:space="0" w:color="auto"/>
              <w:right w:val="nil"/>
            </w:tcBorders>
            <w:shd w:val="clear" w:color="auto" w:fill="auto"/>
            <w:noWrap/>
            <w:vAlign w:val="bottom"/>
            <w:hideMark/>
          </w:tcPr>
          <w:p w14:paraId="09576BC1"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xml:space="preserve">t -5 </w:t>
            </w:r>
          </w:p>
        </w:tc>
        <w:tc>
          <w:tcPr>
            <w:tcW w:w="595" w:type="dxa"/>
            <w:tcBorders>
              <w:top w:val="single" w:sz="4" w:space="0" w:color="auto"/>
              <w:left w:val="nil"/>
              <w:bottom w:val="single" w:sz="4" w:space="0" w:color="auto"/>
              <w:right w:val="nil"/>
            </w:tcBorders>
            <w:shd w:val="clear" w:color="auto" w:fill="auto"/>
            <w:noWrap/>
            <w:vAlign w:val="bottom"/>
            <w:hideMark/>
          </w:tcPr>
          <w:p w14:paraId="79CD6F00"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w:t>
            </w:r>
          </w:p>
        </w:tc>
        <w:tc>
          <w:tcPr>
            <w:tcW w:w="1130" w:type="dxa"/>
            <w:tcBorders>
              <w:top w:val="single" w:sz="4" w:space="0" w:color="auto"/>
              <w:left w:val="nil"/>
              <w:bottom w:val="single" w:sz="4" w:space="0" w:color="auto"/>
              <w:right w:val="nil"/>
            </w:tcBorders>
            <w:shd w:val="clear" w:color="auto" w:fill="auto"/>
            <w:noWrap/>
            <w:vAlign w:val="bottom"/>
            <w:hideMark/>
          </w:tcPr>
          <w:p w14:paraId="5928536D"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t - 3</w:t>
            </w:r>
          </w:p>
        </w:tc>
        <w:tc>
          <w:tcPr>
            <w:tcW w:w="476" w:type="dxa"/>
            <w:tcBorders>
              <w:top w:val="single" w:sz="4" w:space="0" w:color="auto"/>
              <w:left w:val="nil"/>
              <w:bottom w:val="single" w:sz="4" w:space="0" w:color="auto"/>
              <w:right w:val="nil"/>
            </w:tcBorders>
            <w:shd w:val="clear" w:color="auto" w:fill="auto"/>
            <w:noWrap/>
            <w:vAlign w:val="bottom"/>
            <w:hideMark/>
          </w:tcPr>
          <w:p w14:paraId="7B156352"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w:t>
            </w:r>
          </w:p>
        </w:tc>
        <w:tc>
          <w:tcPr>
            <w:tcW w:w="1130" w:type="dxa"/>
            <w:tcBorders>
              <w:top w:val="single" w:sz="4" w:space="0" w:color="auto"/>
              <w:left w:val="nil"/>
              <w:bottom w:val="single" w:sz="4" w:space="0" w:color="auto"/>
              <w:right w:val="nil"/>
            </w:tcBorders>
            <w:shd w:val="clear" w:color="auto" w:fill="auto"/>
            <w:noWrap/>
            <w:vAlign w:val="bottom"/>
            <w:hideMark/>
          </w:tcPr>
          <w:p w14:paraId="7E90421D"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t</w:t>
            </w:r>
          </w:p>
        </w:tc>
        <w:tc>
          <w:tcPr>
            <w:tcW w:w="595" w:type="dxa"/>
            <w:tcBorders>
              <w:top w:val="single" w:sz="4" w:space="0" w:color="auto"/>
              <w:left w:val="nil"/>
              <w:bottom w:val="single" w:sz="4" w:space="0" w:color="auto"/>
              <w:right w:val="nil"/>
            </w:tcBorders>
            <w:shd w:val="clear" w:color="auto" w:fill="auto"/>
            <w:noWrap/>
            <w:vAlign w:val="bottom"/>
            <w:hideMark/>
          </w:tcPr>
          <w:p w14:paraId="7F454027"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w:t>
            </w:r>
          </w:p>
        </w:tc>
        <w:tc>
          <w:tcPr>
            <w:tcW w:w="1130" w:type="dxa"/>
            <w:tcBorders>
              <w:top w:val="single" w:sz="4" w:space="0" w:color="auto"/>
              <w:left w:val="nil"/>
              <w:bottom w:val="single" w:sz="4" w:space="0" w:color="auto"/>
              <w:right w:val="nil"/>
            </w:tcBorders>
            <w:shd w:val="clear" w:color="auto" w:fill="auto"/>
            <w:noWrap/>
            <w:vAlign w:val="bottom"/>
            <w:hideMark/>
          </w:tcPr>
          <w:p w14:paraId="1EBB0E7B"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t+3</w:t>
            </w:r>
          </w:p>
        </w:tc>
        <w:tc>
          <w:tcPr>
            <w:tcW w:w="595" w:type="dxa"/>
            <w:tcBorders>
              <w:top w:val="single" w:sz="4" w:space="0" w:color="auto"/>
              <w:left w:val="nil"/>
              <w:bottom w:val="single" w:sz="4" w:space="0" w:color="auto"/>
              <w:right w:val="nil"/>
            </w:tcBorders>
            <w:shd w:val="clear" w:color="auto" w:fill="auto"/>
            <w:noWrap/>
            <w:vAlign w:val="bottom"/>
            <w:hideMark/>
          </w:tcPr>
          <w:p w14:paraId="09275755"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 </w:t>
            </w:r>
          </w:p>
        </w:tc>
        <w:tc>
          <w:tcPr>
            <w:tcW w:w="1130" w:type="dxa"/>
            <w:tcBorders>
              <w:top w:val="single" w:sz="4" w:space="0" w:color="auto"/>
              <w:left w:val="nil"/>
              <w:bottom w:val="single" w:sz="4" w:space="0" w:color="auto"/>
              <w:right w:val="nil"/>
            </w:tcBorders>
            <w:shd w:val="clear" w:color="auto" w:fill="auto"/>
            <w:noWrap/>
            <w:vAlign w:val="bottom"/>
            <w:hideMark/>
          </w:tcPr>
          <w:p w14:paraId="454E18C4" w14:textId="77777777" w:rsidR="009B052F" w:rsidRPr="00FE791B" w:rsidRDefault="009B052F" w:rsidP="001F092A">
            <w:pPr>
              <w:spacing w:after="0" w:line="240" w:lineRule="auto"/>
              <w:jc w:val="center"/>
              <w:rPr>
                <w:rFonts w:ascii="Times New Roman" w:eastAsia="Times New Roman" w:hAnsi="Times New Roman" w:cs="Times New Roman"/>
                <w:b/>
                <w:bCs/>
                <w:color w:val="000000"/>
                <w:lang w:eastAsia="en-GB"/>
              </w:rPr>
            </w:pPr>
            <w:r w:rsidRPr="00FE791B">
              <w:rPr>
                <w:rFonts w:ascii="Times New Roman" w:eastAsia="Times New Roman" w:hAnsi="Times New Roman" w:cs="Times New Roman"/>
                <w:b/>
                <w:bCs/>
                <w:color w:val="000000"/>
                <w:lang w:eastAsia="en-GB"/>
              </w:rPr>
              <w:t>t +5</w:t>
            </w:r>
          </w:p>
        </w:tc>
        <w:tc>
          <w:tcPr>
            <w:tcW w:w="595" w:type="dxa"/>
            <w:tcBorders>
              <w:top w:val="single" w:sz="4" w:space="0" w:color="auto"/>
              <w:left w:val="nil"/>
              <w:bottom w:val="single" w:sz="4" w:space="0" w:color="auto"/>
              <w:right w:val="nil"/>
            </w:tcBorders>
            <w:shd w:val="clear" w:color="auto" w:fill="auto"/>
            <w:noWrap/>
            <w:vAlign w:val="bottom"/>
            <w:hideMark/>
          </w:tcPr>
          <w:p w14:paraId="6018FC94"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r>
      <w:tr w:rsidR="009B052F" w:rsidRPr="00FE791B" w14:paraId="7A1CC582" w14:textId="77777777" w:rsidTr="001F092A">
        <w:trPr>
          <w:trHeight w:val="284"/>
        </w:trPr>
        <w:tc>
          <w:tcPr>
            <w:tcW w:w="1417" w:type="dxa"/>
            <w:tcBorders>
              <w:top w:val="nil"/>
              <w:left w:val="nil"/>
              <w:bottom w:val="nil"/>
              <w:right w:val="nil"/>
            </w:tcBorders>
            <w:shd w:val="clear" w:color="auto" w:fill="auto"/>
            <w:noWrap/>
            <w:vAlign w:val="bottom"/>
            <w:hideMark/>
          </w:tcPr>
          <w:p w14:paraId="17EFA0AD"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Conflict</w:t>
            </w:r>
          </w:p>
        </w:tc>
        <w:tc>
          <w:tcPr>
            <w:tcW w:w="1130" w:type="dxa"/>
            <w:tcBorders>
              <w:top w:val="nil"/>
              <w:left w:val="nil"/>
              <w:bottom w:val="nil"/>
              <w:right w:val="nil"/>
            </w:tcBorders>
            <w:shd w:val="clear" w:color="auto" w:fill="auto"/>
            <w:noWrap/>
            <w:vAlign w:val="bottom"/>
            <w:hideMark/>
          </w:tcPr>
          <w:p w14:paraId="5EF3C80A"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-0.04313</w:t>
            </w:r>
          </w:p>
        </w:tc>
        <w:tc>
          <w:tcPr>
            <w:tcW w:w="595" w:type="dxa"/>
            <w:tcBorders>
              <w:top w:val="nil"/>
              <w:left w:val="nil"/>
              <w:bottom w:val="nil"/>
              <w:right w:val="nil"/>
            </w:tcBorders>
            <w:shd w:val="clear" w:color="auto" w:fill="auto"/>
            <w:noWrap/>
            <w:vAlign w:val="bottom"/>
            <w:hideMark/>
          </w:tcPr>
          <w:p w14:paraId="494E1481"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53756FC7"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-0.04450</w:t>
            </w:r>
          </w:p>
        </w:tc>
        <w:tc>
          <w:tcPr>
            <w:tcW w:w="476" w:type="dxa"/>
            <w:tcBorders>
              <w:top w:val="nil"/>
              <w:left w:val="nil"/>
              <w:bottom w:val="nil"/>
              <w:right w:val="nil"/>
            </w:tcBorders>
            <w:shd w:val="clear" w:color="auto" w:fill="auto"/>
            <w:noWrap/>
            <w:vAlign w:val="bottom"/>
            <w:hideMark/>
          </w:tcPr>
          <w:p w14:paraId="5B4E1A1B"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5E4C5E77"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-0.04713</w:t>
            </w:r>
          </w:p>
        </w:tc>
        <w:tc>
          <w:tcPr>
            <w:tcW w:w="595" w:type="dxa"/>
            <w:tcBorders>
              <w:top w:val="nil"/>
              <w:left w:val="nil"/>
              <w:bottom w:val="nil"/>
              <w:right w:val="nil"/>
            </w:tcBorders>
            <w:shd w:val="clear" w:color="auto" w:fill="auto"/>
            <w:noWrap/>
            <w:vAlign w:val="bottom"/>
            <w:hideMark/>
          </w:tcPr>
          <w:p w14:paraId="32D0E13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125C9043"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-0.04874</w:t>
            </w:r>
          </w:p>
        </w:tc>
        <w:tc>
          <w:tcPr>
            <w:tcW w:w="595" w:type="dxa"/>
            <w:tcBorders>
              <w:top w:val="nil"/>
              <w:left w:val="nil"/>
              <w:bottom w:val="nil"/>
              <w:right w:val="nil"/>
            </w:tcBorders>
            <w:shd w:val="clear" w:color="auto" w:fill="auto"/>
            <w:noWrap/>
            <w:vAlign w:val="bottom"/>
            <w:hideMark/>
          </w:tcPr>
          <w:p w14:paraId="0417244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06D835CE"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-0.05076</w:t>
            </w:r>
          </w:p>
        </w:tc>
        <w:tc>
          <w:tcPr>
            <w:tcW w:w="595" w:type="dxa"/>
            <w:tcBorders>
              <w:top w:val="nil"/>
              <w:left w:val="nil"/>
              <w:bottom w:val="nil"/>
              <w:right w:val="nil"/>
            </w:tcBorders>
            <w:shd w:val="clear" w:color="auto" w:fill="auto"/>
            <w:noWrap/>
            <w:vAlign w:val="bottom"/>
            <w:hideMark/>
          </w:tcPr>
          <w:p w14:paraId="2F94CA2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r>
      <w:tr w:rsidR="009B052F" w:rsidRPr="00FE791B" w14:paraId="4936817C" w14:textId="77777777" w:rsidTr="001F092A">
        <w:trPr>
          <w:trHeight w:val="284"/>
        </w:trPr>
        <w:tc>
          <w:tcPr>
            <w:tcW w:w="1417" w:type="dxa"/>
            <w:tcBorders>
              <w:top w:val="nil"/>
              <w:left w:val="nil"/>
              <w:bottom w:val="nil"/>
              <w:right w:val="nil"/>
            </w:tcBorders>
            <w:shd w:val="clear" w:color="auto" w:fill="auto"/>
            <w:noWrap/>
            <w:vAlign w:val="bottom"/>
            <w:hideMark/>
          </w:tcPr>
          <w:p w14:paraId="3CD21007"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61BDA380"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-1.97172</w:t>
            </w:r>
          </w:p>
        </w:tc>
        <w:tc>
          <w:tcPr>
            <w:tcW w:w="595" w:type="dxa"/>
            <w:tcBorders>
              <w:top w:val="nil"/>
              <w:left w:val="nil"/>
              <w:bottom w:val="nil"/>
              <w:right w:val="nil"/>
            </w:tcBorders>
            <w:shd w:val="clear" w:color="auto" w:fill="auto"/>
            <w:noWrap/>
            <w:vAlign w:val="bottom"/>
            <w:hideMark/>
          </w:tcPr>
          <w:p w14:paraId="43363FDD"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133CDD60"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-2.11293</w:t>
            </w:r>
          </w:p>
        </w:tc>
        <w:tc>
          <w:tcPr>
            <w:tcW w:w="476" w:type="dxa"/>
            <w:tcBorders>
              <w:top w:val="nil"/>
              <w:left w:val="nil"/>
              <w:bottom w:val="nil"/>
              <w:right w:val="nil"/>
            </w:tcBorders>
            <w:shd w:val="clear" w:color="auto" w:fill="auto"/>
            <w:noWrap/>
            <w:vAlign w:val="bottom"/>
            <w:hideMark/>
          </w:tcPr>
          <w:p w14:paraId="2105686B"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6783A1B7"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-2.17622</w:t>
            </w:r>
          </w:p>
        </w:tc>
        <w:tc>
          <w:tcPr>
            <w:tcW w:w="595" w:type="dxa"/>
            <w:tcBorders>
              <w:top w:val="nil"/>
              <w:left w:val="nil"/>
              <w:bottom w:val="nil"/>
              <w:right w:val="nil"/>
            </w:tcBorders>
            <w:shd w:val="clear" w:color="auto" w:fill="auto"/>
            <w:noWrap/>
            <w:vAlign w:val="bottom"/>
            <w:hideMark/>
          </w:tcPr>
          <w:p w14:paraId="3FDFE94F"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0C0650E5"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-2.15120</w:t>
            </w:r>
          </w:p>
        </w:tc>
        <w:tc>
          <w:tcPr>
            <w:tcW w:w="595" w:type="dxa"/>
            <w:tcBorders>
              <w:top w:val="nil"/>
              <w:left w:val="nil"/>
              <w:bottom w:val="nil"/>
              <w:right w:val="nil"/>
            </w:tcBorders>
            <w:shd w:val="clear" w:color="auto" w:fill="auto"/>
            <w:noWrap/>
            <w:vAlign w:val="bottom"/>
            <w:hideMark/>
          </w:tcPr>
          <w:p w14:paraId="695A28D2"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42DCF301"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-2.08069</w:t>
            </w:r>
          </w:p>
        </w:tc>
        <w:tc>
          <w:tcPr>
            <w:tcW w:w="595" w:type="dxa"/>
            <w:tcBorders>
              <w:top w:val="nil"/>
              <w:left w:val="nil"/>
              <w:bottom w:val="nil"/>
              <w:right w:val="nil"/>
            </w:tcBorders>
            <w:shd w:val="clear" w:color="auto" w:fill="auto"/>
            <w:noWrap/>
            <w:vAlign w:val="bottom"/>
            <w:hideMark/>
          </w:tcPr>
          <w:p w14:paraId="31634ABA"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FE791B" w14:paraId="5214883F" w14:textId="77777777" w:rsidTr="001F092A">
        <w:trPr>
          <w:trHeight w:val="284"/>
        </w:trPr>
        <w:tc>
          <w:tcPr>
            <w:tcW w:w="1417" w:type="dxa"/>
            <w:tcBorders>
              <w:top w:val="nil"/>
              <w:left w:val="nil"/>
              <w:bottom w:val="nil"/>
              <w:right w:val="nil"/>
            </w:tcBorders>
            <w:shd w:val="clear" w:color="auto" w:fill="auto"/>
            <w:noWrap/>
            <w:vAlign w:val="bottom"/>
            <w:hideMark/>
          </w:tcPr>
          <w:p w14:paraId="4B124990"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NATO</w:t>
            </w:r>
          </w:p>
        </w:tc>
        <w:tc>
          <w:tcPr>
            <w:tcW w:w="1130" w:type="dxa"/>
            <w:tcBorders>
              <w:top w:val="nil"/>
              <w:left w:val="nil"/>
              <w:bottom w:val="nil"/>
              <w:right w:val="nil"/>
            </w:tcBorders>
            <w:shd w:val="clear" w:color="auto" w:fill="auto"/>
            <w:noWrap/>
            <w:vAlign w:val="bottom"/>
            <w:hideMark/>
          </w:tcPr>
          <w:p w14:paraId="179CF92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0.01662</w:t>
            </w:r>
          </w:p>
        </w:tc>
        <w:tc>
          <w:tcPr>
            <w:tcW w:w="595" w:type="dxa"/>
            <w:tcBorders>
              <w:top w:val="nil"/>
              <w:left w:val="nil"/>
              <w:bottom w:val="nil"/>
              <w:right w:val="nil"/>
            </w:tcBorders>
            <w:shd w:val="clear" w:color="auto" w:fill="auto"/>
            <w:noWrap/>
            <w:vAlign w:val="bottom"/>
            <w:hideMark/>
          </w:tcPr>
          <w:p w14:paraId="7C0EE67E"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62AD58BF"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0.01798</w:t>
            </w:r>
          </w:p>
        </w:tc>
        <w:tc>
          <w:tcPr>
            <w:tcW w:w="476" w:type="dxa"/>
            <w:tcBorders>
              <w:top w:val="nil"/>
              <w:left w:val="nil"/>
              <w:bottom w:val="nil"/>
              <w:right w:val="nil"/>
            </w:tcBorders>
            <w:shd w:val="clear" w:color="auto" w:fill="auto"/>
            <w:noWrap/>
            <w:vAlign w:val="bottom"/>
            <w:hideMark/>
          </w:tcPr>
          <w:p w14:paraId="2F3283A9"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3FF1AFEE"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-0.01802</w:t>
            </w:r>
          </w:p>
        </w:tc>
        <w:tc>
          <w:tcPr>
            <w:tcW w:w="595" w:type="dxa"/>
            <w:tcBorders>
              <w:top w:val="nil"/>
              <w:left w:val="nil"/>
              <w:bottom w:val="nil"/>
              <w:right w:val="nil"/>
            </w:tcBorders>
            <w:shd w:val="clear" w:color="auto" w:fill="auto"/>
            <w:noWrap/>
            <w:vAlign w:val="bottom"/>
            <w:hideMark/>
          </w:tcPr>
          <w:p w14:paraId="35F70684"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60C1D39D"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-0.01986</w:t>
            </w:r>
          </w:p>
        </w:tc>
        <w:tc>
          <w:tcPr>
            <w:tcW w:w="595" w:type="dxa"/>
            <w:tcBorders>
              <w:top w:val="nil"/>
              <w:left w:val="nil"/>
              <w:bottom w:val="nil"/>
              <w:right w:val="nil"/>
            </w:tcBorders>
            <w:shd w:val="clear" w:color="auto" w:fill="auto"/>
            <w:noWrap/>
            <w:vAlign w:val="bottom"/>
            <w:hideMark/>
          </w:tcPr>
          <w:p w14:paraId="06E009D3"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5BE5AAAF"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-0.02584</w:t>
            </w:r>
          </w:p>
        </w:tc>
        <w:tc>
          <w:tcPr>
            <w:tcW w:w="595" w:type="dxa"/>
            <w:tcBorders>
              <w:top w:val="nil"/>
              <w:left w:val="nil"/>
              <w:bottom w:val="nil"/>
              <w:right w:val="nil"/>
            </w:tcBorders>
            <w:shd w:val="clear" w:color="auto" w:fill="auto"/>
            <w:noWrap/>
            <w:vAlign w:val="bottom"/>
            <w:hideMark/>
          </w:tcPr>
          <w:p w14:paraId="14D1DCE9"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r>
      <w:tr w:rsidR="009B052F" w:rsidRPr="00FE791B" w14:paraId="5095C67D" w14:textId="77777777" w:rsidTr="001F092A">
        <w:trPr>
          <w:trHeight w:val="284"/>
        </w:trPr>
        <w:tc>
          <w:tcPr>
            <w:tcW w:w="1417" w:type="dxa"/>
            <w:tcBorders>
              <w:top w:val="nil"/>
              <w:left w:val="nil"/>
              <w:bottom w:val="nil"/>
              <w:right w:val="nil"/>
            </w:tcBorders>
            <w:shd w:val="clear" w:color="auto" w:fill="auto"/>
            <w:noWrap/>
            <w:vAlign w:val="bottom"/>
            <w:hideMark/>
          </w:tcPr>
          <w:p w14:paraId="78BBBC2A"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552E8AF2"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3.02199</w:t>
            </w:r>
          </w:p>
        </w:tc>
        <w:tc>
          <w:tcPr>
            <w:tcW w:w="595" w:type="dxa"/>
            <w:tcBorders>
              <w:top w:val="nil"/>
              <w:left w:val="nil"/>
              <w:bottom w:val="nil"/>
              <w:right w:val="nil"/>
            </w:tcBorders>
            <w:shd w:val="clear" w:color="auto" w:fill="auto"/>
            <w:noWrap/>
            <w:vAlign w:val="bottom"/>
            <w:hideMark/>
          </w:tcPr>
          <w:p w14:paraId="75955122"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7C5682C7"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1.98745</w:t>
            </w:r>
          </w:p>
        </w:tc>
        <w:tc>
          <w:tcPr>
            <w:tcW w:w="476" w:type="dxa"/>
            <w:tcBorders>
              <w:top w:val="nil"/>
              <w:left w:val="nil"/>
              <w:bottom w:val="nil"/>
              <w:right w:val="nil"/>
            </w:tcBorders>
            <w:shd w:val="clear" w:color="auto" w:fill="auto"/>
            <w:noWrap/>
            <w:vAlign w:val="bottom"/>
            <w:hideMark/>
          </w:tcPr>
          <w:p w14:paraId="1DE40F32"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5127B13A"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-2.08037</w:t>
            </w:r>
          </w:p>
        </w:tc>
        <w:tc>
          <w:tcPr>
            <w:tcW w:w="595" w:type="dxa"/>
            <w:tcBorders>
              <w:top w:val="nil"/>
              <w:left w:val="nil"/>
              <w:bottom w:val="nil"/>
              <w:right w:val="nil"/>
            </w:tcBorders>
            <w:shd w:val="clear" w:color="auto" w:fill="auto"/>
            <w:noWrap/>
            <w:vAlign w:val="bottom"/>
            <w:hideMark/>
          </w:tcPr>
          <w:p w14:paraId="7AC6E385"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3B136346"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-2.07931</w:t>
            </w:r>
          </w:p>
        </w:tc>
        <w:tc>
          <w:tcPr>
            <w:tcW w:w="595" w:type="dxa"/>
            <w:tcBorders>
              <w:top w:val="nil"/>
              <w:left w:val="nil"/>
              <w:bottom w:val="nil"/>
              <w:right w:val="nil"/>
            </w:tcBorders>
            <w:shd w:val="clear" w:color="auto" w:fill="auto"/>
            <w:noWrap/>
            <w:vAlign w:val="bottom"/>
            <w:hideMark/>
          </w:tcPr>
          <w:p w14:paraId="71D434F1"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30" w:type="dxa"/>
            <w:tcBorders>
              <w:top w:val="nil"/>
              <w:left w:val="nil"/>
              <w:bottom w:val="nil"/>
              <w:right w:val="nil"/>
            </w:tcBorders>
            <w:shd w:val="clear" w:color="auto" w:fill="auto"/>
            <w:noWrap/>
            <w:vAlign w:val="bottom"/>
            <w:hideMark/>
          </w:tcPr>
          <w:p w14:paraId="74FFEA73"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-3.47796</w:t>
            </w:r>
          </w:p>
        </w:tc>
        <w:tc>
          <w:tcPr>
            <w:tcW w:w="595" w:type="dxa"/>
            <w:tcBorders>
              <w:top w:val="nil"/>
              <w:left w:val="nil"/>
              <w:bottom w:val="nil"/>
              <w:right w:val="nil"/>
            </w:tcBorders>
            <w:shd w:val="clear" w:color="auto" w:fill="auto"/>
            <w:noWrap/>
            <w:vAlign w:val="bottom"/>
            <w:hideMark/>
          </w:tcPr>
          <w:p w14:paraId="18D22302" w14:textId="77777777" w:rsidR="009B052F" w:rsidRPr="00FE791B"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FE791B" w14:paraId="1EA83DE7" w14:textId="77777777" w:rsidTr="001F092A">
        <w:trPr>
          <w:trHeight w:val="284"/>
        </w:trPr>
        <w:tc>
          <w:tcPr>
            <w:tcW w:w="1417" w:type="dxa"/>
            <w:tcBorders>
              <w:top w:val="nil"/>
              <w:left w:val="nil"/>
              <w:bottom w:val="nil"/>
              <w:right w:val="nil"/>
            </w:tcBorders>
            <w:shd w:val="clear" w:color="auto" w:fill="auto"/>
            <w:noWrap/>
            <w:vAlign w:val="bottom"/>
            <w:hideMark/>
          </w:tcPr>
          <w:p w14:paraId="1CEC7D2F"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beta</w:t>
            </w:r>
          </w:p>
        </w:tc>
        <w:tc>
          <w:tcPr>
            <w:tcW w:w="1130" w:type="dxa"/>
            <w:tcBorders>
              <w:top w:val="nil"/>
              <w:left w:val="nil"/>
              <w:bottom w:val="nil"/>
              <w:right w:val="nil"/>
            </w:tcBorders>
            <w:shd w:val="clear" w:color="auto" w:fill="auto"/>
            <w:noWrap/>
            <w:vAlign w:val="bottom"/>
            <w:hideMark/>
          </w:tcPr>
          <w:p w14:paraId="378B2A66"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-1.12448</w:t>
            </w:r>
          </w:p>
        </w:tc>
        <w:tc>
          <w:tcPr>
            <w:tcW w:w="595" w:type="dxa"/>
            <w:tcBorders>
              <w:top w:val="nil"/>
              <w:left w:val="nil"/>
              <w:bottom w:val="nil"/>
              <w:right w:val="nil"/>
            </w:tcBorders>
            <w:shd w:val="clear" w:color="auto" w:fill="auto"/>
            <w:noWrap/>
            <w:vAlign w:val="bottom"/>
            <w:hideMark/>
          </w:tcPr>
          <w:p w14:paraId="70E658F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4FF06B6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-0.94745</w:t>
            </w:r>
          </w:p>
        </w:tc>
        <w:tc>
          <w:tcPr>
            <w:tcW w:w="476" w:type="dxa"/>
            <w:tcBorders>
              <w:top w:val="nil"/>
              <w:left w:val="nil"/>
              <w:bottom w:val="nil"/>
              <w:right w:val="nil"/>
            </w:tcBorders>
            <w:shd w:val="clear" w:color="auto" w:fill="auto"/>
            <w:noWrap/>
            <w:vAlign w:val="bottom"/>
            <w:hideMark/>
          </w:tcPr>
          <w:p w14:paraId="55561122"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61DC2BB4"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-1.38947</w:t>
            </w:r>
          </w:p>
        </w:tc>
        <w:tc>
          <w:tcPr>
            <w:tcW w:w="595" w:type="dxa"/>
            <w:tcBorders>
              <w:top w:val="nil"/>
              <w:left w:val="nil"/>
              <w:bottom w:val="nil"/>
              <w:right w:val="nil"/>
            </w:tcBorders>
            <w:shd w:val="clear" w:color="auto" w:fill="auto"/>
            <w:noWrap/>
            <w:vAlign w:val="bottom"/>
            <w:hideMark/>
          </w:tcPr>
          <w:p w14:paraId="568576E0"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592E4B16"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-1.35639</w:t>
            </w:r>
          </w:p>
        </w:tc>
        <w:tc>
          <w:tcPr>
            <w:tcW w:w="595" w:type="dxa"/>
            <w:tcBorders>
              <w:top w:val="nil"/>
              <w:left w:val="nil"/>
              <w:bottom w:val="nil"/>
              <w:right w:val="nil"/>
            </w:tcBorders>
            <w:shd w:val="clear" w:color="auto" w:fill="auto"/>
            <w:noWrap/>
            <w:vAlign w:val="bottom"/>
            <w:hideMark/>
          </w:tcPr>
          <w:p w14:paraId="6003716B"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7F22FB52"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-1.41876</w:t>
            </w:r>
          </w:p>
        </w:tc>
        <w:tc>
          <w:tcPr>
            <w:tcW w:w="595" w:type="dxa"/>
            <w:tcBorders>
              <w:top w:val="nil"/>
              <w:left w:val="nil"/>
              <w:bottom w:val="nil"/>
              <w:right w:val="nil"/>
            </w:tcBorders>
            <w:shd w:val="clear" w:color="auto" w:fill="auto"/>
            <w:noWrap/>
            <w:vAlign w:val="bottom"/>
            <w:hideMark/>
          </w:tcPr>
          <w:p w14:paraId="7C1076BD"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r>
      <w:tr w:rsidR="009B052F" w:rsidRPr="00FE791B" w14:paraId="31315D0A" w14:textId="77777777" w:rsidTr="001F092A">
        <w:trPr>
          <w:trHeight w:val="284"/>
        </w:trPr>
        <w:tc>
          <w:tcPr>
            <w:tcW w:w="1417" w:type="dxa"/>
            <w:tcBorders>
              <w:top w:val="nil"/>
              <w:left w:val="nil"/>
              <w:bottom w:val="nil"/>
              <w:right w:val="nil"/>
            </w:tcBorders>
            <w:shd w:val="clear" w:color="auto" w:fill="auto"/>
            <w:noWrap/>
            <w:vAlign w:val="bottom"/>
            <w:hideMark/>
          </w:tcPr>
          <w:p w14:paraId="375B8988"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4DB7EC3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-0.91733</w:t>
            </w:r>
          </w:p>
        </w:tc>
        <w:tc>
          <w:tcPr>
            <w:tcW w:w="595" w:type="dxa"/>
            <w:tcBorders>
              <w:top w:val="nil"/>
              <w:left w:val="nil"/>
              <w:bottom w:val="nil"/>
              <w:right w:val="nil"/>
            </w:tcBorders>
            <w:shd w:val="clear" w:color="auto" w:fill="auto"/>
            <w:noWrap/>
            <w:vAlign w:val="bottom"/>
            <w:hideMark/>
          </w:tcPr>
          <w:p w14:paraId="23EEC517"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1A0BD08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-1.06287</w:t>
            </w:r>
          </w:p>
        </w:tc>
        <w:tc>
          <w:tcPr>
            <w:tcW w:w="476" w:type="dxa"/>
            <w:tcBorders>
              <w:top w:val="nil"/>
              <w:left w:val="nil"/>
              <w:bottom w:val="nil"/>
              <w:right w:val="nil"/>
            </w:tcBorders>
            <w:shd w:val="clear" w:color="auto" w:fill="auto"/>
            <w:noWrap/>
            <w:vAlign w:val="bottom"/>
            <w:hideMark/>
          </w:tcPr>
          <w:p w14:paraId="524BCEB1"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41453B9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-3.08134</w:t>
            </w:r>
          </w:p>
        </w:tc>
        <w:tc>
          <w:tcPr>
            <w:tcW w:w="595" w:type="dxa"/>
            <w:tcBorders>
              <w:top w:val="nil"/>
              <w:left w:val="nil"/>
              <w:bottom w:val="nil"/>
              <w:right w:val="nil"/>
            </w:tcBorders>
            <w:shd w:val="clear" w:color="auto" w:fill="auto"/>
            <w:noWrap/>
            <w:vAlign w:val="bottom"/>
            <w:hideMark/>
          </w:tcPr>
          <w:p w14:paraId="180CAB50"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914D52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-2.04227</w:t>
            </w:r>
          </w:p>
        </w:tc>
        <w:tc>
          <w:tcPr>
            <w:tcW w:w="595" w:type="dxa"/>
            <w:tcBorders>
              <w:top w:val="nil"/>
              <w:left w:val="nil"/>
              <w:bottom w:val="nil"/>
              <w:right w:val="nil"/>
            </w:tcBorders>
            <w:shd w:val="clear" w:color="auto" w:fill="auto"/>
            <w:noWrap/>
            <w:vAlign w:val="bottom"/>
            <w:hideMark/>
          </w:tcPr>
          <w:p w14:paraId="6F42491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5CFB6806"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-2.16838</w:t>
            </w:r>
          </w:p>
        </w:tc>
        <w:tc>
          <w:tcPr>
            <w:tcW w:w="595" w:type="dxa"/>
            <w:tcBorders>
              <w:top w:val="nil"/>
              <w:left w:val="nil"/>
              <w:bottom w:val="nil"/>
              <w:right w:val="nil"/>
            </w:tcBorders>
            <w:shd w:val="clear" w:color="auto" w:fill="auto"/>
            <w:noWrap/>
            <w:vAlign w:val="bottom"/>
            <w:hideMark/>
          </w:tcPr>
          <w:p w14:paraId="33D29881"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7424203E" w14:textId="77777777" w:rsidTr="001F092A">
        <w:trPr>
          <w:trHeight w:val="284"/>
        </w:trPr>
        <w:tc>
          <w:tcPr>
            <w:tcW w:w="1417" w:type="dxa"/>
            <w:tcBorders>
              <w:top w:val="nil"/>
              <w:left w:val="nil"/>
              <w:bottom w:val="nil"/>
              <w:right w:val="nil"/>
            </w:tcBorders>
            <w:shd w:val="clear" w:color="auto" w:fill="auto"/>
            <w:noWrap/>
            <w:vAlign w:val="bottom"/>
            <w:hideMark/>
          </w:tcPr>
          <w:p w14:paraId="4DCB09BF"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AUM</w:t>
            </w:r>
          </w:p>
        </w:tc>
        <w:tc>
          <w:tcPr>
            <w:tcW w:w="1130" w:type="dxa"/>
            <w:tcBorders>
              <w:top w:val="nil"/>
              <w:left w:val="nil"/>
              <w:bottom w:val="nil"/>
              <w:right w:val="nil"/>
            </w:tcBorders>
            <w:shd w:val="clear" w:color="auto" w:fill="auto"/>
            <w:noWrap/>
            <w:vAlign w:val="bottom"/>
            <w:hideMark/>
          </w:tcPr>
          <w:p w14:paraId="0141B850"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0.066132</w:t>
            </w:r>
          </w:p>
        </w:tc>
        <w:tc>
          <w:tcPr>
            <w:tcW w:w="595" w:type="dxa"/>
            <w:tcBorders>
              <w:top w:val="nil"/>
              <w:left w:val="nil"/>
              <w:bottom w:val="nil"/>
              <w:right w:val="nil"/>
            </w:tcBorders>
            <w:shd w:val="clear" w:color="auto" w:fill="auto"/>
            <w:noWrap/>
            <w:vAlign w:val="bottom"/>
            <w:hideMark/>
          </w:tcPr>
          <w:p w14:paraId="514872F5"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636F0D0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0.096507</w:t>
            </w:r>
          </w:p>
        </w:tc>
        <w:tc>
          <w:tcPr>
            <w:tcW w:w="476" w:type="dxa"/>
            <w:tcBorders>
              <w:top w:val="nil"/>
              <w:left w:val="nil"/>
              <w:bottom w:val="nil"/>
              <w:right w:val="nil"/>
            </w:tcBorders>
            <w:shd w:val="clear" w:color="auto" w:fill="auto"/>
            <w:noWrap/>
            <w:vAlign w:val="bottom"/>
            <w:hideMark/>
          </w:tcPr>
          <w:p w14:paraId="36548E2E"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64DF481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0.083911</w:t>
            </w:r>
          </w:p>
        </w:tc>
        <w:tc>
          <w:tcPr>
            <w:tcW w:w="595" w:type="dxa"/>
            <w:tcBorders>
              <w:top w:val="nil"/>
              <w:left w:val="nil"/>
              <w:bottom w:val="nil"/>
              <w:right w:val="nil"/>
            </w:tcBorders>
            <w:shd w:val="clear" w:color="auto" w:fill="auto"/>
            <w:noWrap/>
            <w:vAlign w:val="bottom"/>
            <w:hideMark/>
          </w:tcPr>
          <w:p w14:paraId="64DE4C5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3F245EBB"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0.027673</w:t>
            </w:r>
          </w:p>
        </w:tc>
        <w:tc>
          <w:tcPr>
            <w:tcW w:w="595" w:type="dxa"/>
            <w:tcBorders>
              <w:top w:val="nil"/>
              <w:left w:val="nil"/>
              <w:bottom w:val="nil"/>
              <w:right w:val="nil"/>
            </w:tcBorders>
            <w:shd w:val="clear" w:color="auto" w:fill="auto"/>
            <w:noWrap/>
            <w:vAlign w:val="bottom"/>
            <w:hideMark/>
          </w:tcPr>
          <w:p w14:paraId="715308B1"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1981698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0.054184</w:t>
            </w:r>
          </w:p>
        </w:tc>
        <w:tc>
          <w:tcPr>
            <w:tcW w:w="595" w:type="dxa"/>
            <w:tcBorders>
              <w:top w:val="nil"/>
              <w:left w:val="nil"/>
              <w:bottom w:val="nil"/>
              <w:right w:val="nil"/>
            </w:tcBorders>
            <w:shd w:val="clear" w:color="auto" w:fill="auto"/>
            <w:noWrap/>
            <w:vAlign w:val="bottom"/>
            <w:hideMark/>
          </w:tcPr>
          <w:p w14:paraId="14BB652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r>
      <w:tr w:rsidR="009B052F" w:rsidRPr="00FE791B" w14:paraId="1637309A" w14:textId="77777777" w:rsidTr="001F092A">
        <w:trPr>
          <w:trHeight w:val="284"/>
        </w:trPr>
        <w:tc>
          <w:tcPr>
            <w:tcW w:w="1417" w:type="dxa"/>
            <w:tcBorders>
              <w:top w:val="nil"/>
              <w:left w:val="nil"/>
              <w:bottom w:val="nil"/>
              <w:right w:val="nil"/>
            </w:tcBorders>
            <w:shd w:val="clear" w:color="auto" w:fill="auto"/>
            <w:noWrap/>
            <w:vAlign w:val="bottom"/>
            <w:hideMark/>
          </w:tcPr>
          <w:p w14:paraId="28F5E8A1"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7CEA36E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0.270125</w:t>
            </w:r>
          </w:p>
        </w:tc>
        <w:tc>
          <w:tcPr>
            <w:tcW w:w="595" w:type="dxa"/>
            <w:tcBorders>
              <w:top w:val="nil"/>
              <w:left w:val="nil"/>
              <w:bottom w:val="nil"/>
              <w:right w:val="nil"/>
            </w:tcBorders>
            <w:shd w:val="clear" w:color="auto" w:fill="auto"/>
            <w:noWrap/>
            <w:vAlign w:val="bottom"/>
            <w:hideMark/>
          </w:tcPr>
          <w:p w14:paraId="404A75D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0397C59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1.19232</w:t>
            </w:r>
          </w:p>
        </w:tc>
        <w:tc>
          <w:tcPr>
            <w:tcW w:w="476" w:type="dxa"/>
            <w:tcBorders>
              <w:top w:val="nil"/>
              <w:left w:val="nil"/>
              <w:bottom w:val="nil"/>
              <w:right w:val="nil"/>
            </w:tcBorders>
            <w:shd w:val="clear" w:color="auto" w:fill="auto"/>
            <w:noWrap/>
            <w:vAlign w:val="bottom"/>
            <w:hideMark/>
          </w:tcPr>
          <w:p w14:paraId="7084482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1DD134F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2.087209</w:t>
            </w:r>
          </w:p>
        </w:tc>
        <w:tc>
          <w:tcPr>
            <w:tcW w:w="595" w:type="dxa"/>
            <w:tcBorders>
              <w:top w:val="nil"/>
              <w:left w:val="nil"/>
              <w:bottom w:val="nil"/>
              <w:right w:val="nil"/>
            </w:tcBorders>
            <w:shd w:val="clear" w:color="auto" w:fill="auto"/>
            <w:noWrap/>
            <w:vAlign w:val="bottom"/>
            <w:hideMark/>
          </w:tcPr>
          <w:p w14:paraId="7DE9F37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132E3995"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1.987531</w:t>
            </w:r>
          </w:p>
        </w:tc>
        <w:tc>
          <w:tcPr>
            <w:tcW w:w="595" w:type="dxa"/>
            <w:tcBorders>
              <w:top w:val="nil"/>
              <w:left w:val="nil"/>
              <w:bottom w:val="nil"/>
              <w:right w:val="nil"/>
            </w:tcBorders>
            <w:shd w:val="clear" w:color="auto" w:fill="auto"/>
            <w:noWrap/>
            <w:vAlign w:val="bottom"/>
            <w:hideMark/>
          </w:tcPr>
          <w:p w14:paraId="6F63CDB0"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62D6BA7E"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1.999025</w:t>
            </w:r>
          </w:p>
        </w:tc>
        <w:tc>
          <w:tcPr>
            <w:tcW w:w="595" w:type="dxa"/>
            <w:tcBorders>
              <w:top w:val="nil"/>
              <w:left w:val="nil"/>
              <w:bottom w:val="nil"/>
              <w:right w:val="nil"/>
            </w:tcBorders>
            <w:shd w:val="clear" w:color="auto" w:fill="auto"/>
            <w:noWrap/>
            <w:vAlign w:val="bottom"/>
            <w:hideMark/>
          </w:tcPr>
          <w:p w14:paraId="62BD60CB"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53310347" w14:textId="77777777" w:rsidTr="001F092A">
        <w:trPr>
          <w:trHeight w:val="284"/>
        </w:trPr>
        <w:tc>
          <w:tcPr>
            <w:tcW w:w="1417" w:type="dxa"/>
            <w:tcBorders>
              <w:top w:val="nil"/>
              <w:left w:val="nil"/>
              <w:bottom w:val="nil"/>
              <w:right w:val="nil"/>
            </w:tcBorders>
            <w:shd w:val="clear" w:color="auto" w:fill="auto"/>
            <w:noWrap/>
            <w:vAlign w:val="bottom"/>
            <w:hideMark/>
          </w:tcPr>
          <w:p w14:paraId="5E504A27"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alpha</w:t>
            </w:r>
          </w:p>
        </w:tc>
        <w:tc>
          <w:tcPr>
            <w:tcW w:w="1130" w:type="dxa"/>
            <w:tcBorders>
              <w:top w:val="nil"/>
              <w:left w:val="nil"/>
              <w:bottom w:val="nil"/>
              <w:right w:val="nil"/>
            </w:tcBorders>
            <w:shd w:val="clear" w:color="auto" w:fill="auto"/>
            <w:noWrap/>
            <w:vAlign w:val="bottom"/>
            <w:hideMark/>
          </w:tcPr>
          <w:p w14:paraId="49399B93"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0.052849</w:t>
            </w:r>
          </w:p>
        </w:tc>
        <w:tc>
          <w:tcPr>
            <w:tcW w:w="595" w:type="dxa"/>
            <w:tcBorders>
              <w:top w:val="nil"/>
              <w:left w:val="nil"/>
              <w:bottom w:val="nil"/>
              <w:right w:val="nil"/>
            </w:tcBorders>
            <w:shd w:val="clear" w:color="auto" w:fill="auto"/>
            <w:noWrap/>
            <w:vAlign w:val="bottom"/>
            <w:hideMark/>
          </w:tcPr>
          <w:p w14:paraId="42123556"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4F950367"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0.075101</w:t>
            </w:r>
          </w:p>
        </w:tc>
        <w:tc>
          <w:tcPr>
            <w:tcW w:w="476" w:type="dxa"/>
            <w:tcBorders>
              <w:top w:val="nil"/>
              <w:left w:val="nil"/>
              <w:bottom w:val="nil"/>
              <w:right w:val="nil"/>
            </w:tcBorders>
            <w:shd w:val="clear" w:color="auto" w:fill="auto"/>
            <w:noWrap/>
            <w:vAlign w:val="bottom"/>
            <w:hideMark/>
          </w:tcPr>
          <w:p w14:paraId="22B0541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6197EA9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0.064859</w:t>
            </w:r>
          </w:p>
        </w:tc>
        <w:tc>
          <w:tcPr>
            <w:tcW w:w="595" w:type="dxa"/>
            <w:tcBorders>
              <w:top w:val="nil"/>
              <w:left w:val="nil"/>
              <w:bottom w:val="nil"/>
              <w:right w:val="nil"/>
            </w:tcBorders>
            <w:shd w:val="clear" w:color="auto" w:fill="auto"/>
            <w:noWrap/>
            <w:vAlign w:val="bottom"/>
            <w:hideMark/>
          </w:tcPr>
          <w:p w14:paraId="1C0FD869"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26EDEC0B"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0.013121</w:t>
            </w:r>
          </w:p>
        </w:tc>
        <w:tc>
          <w:tcPr>
            <w:tcW w:w="595" w:type="dxa"/>
            <w:tcBorders>
              <w:top w:val="nil"/>
              <w:left w:val="nil"/>
              <w:bottom w:val="nil"/>
              <w:right w:val="nil"/>
            </w:tcBorders>
            <w:shd w:val="clear" w:color="auto" w:fill="auto"/>
            <w:noWrap/>
            <w:vAlign w:val="bottom"/>
            <w:hideMark/>
          </w:tcPr>
          <w:p w14:paraId="108528CE"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5F7B3343"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0.022351</w:t>
            </w:r>
          </w:p>
        </w:tc>
        <w:tc>
          <w:tcPr>
            <w:tcW w:w="595" w:type="dxa"/>
            <w:tcBorders>
              <w:top w:val="nil"/>
              <w:left w:val="nil"/>
              <w:bottom w:val="nil"/>
              <w:right w:val="nil"/>
            </w:tcBorders>
            <w:shd w:val="clear" w:color="auto" w:fill="auto"/>
            <w:noWrap/>
            <w:vAlign w:val="bottom"/>
            <w:hideMark/>
          </w:tcPr>
          <w:p w14:paraId="146A75A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4B047284" w14:textId="77777777" w:rsidTr="001F092A">
        <w:trPr>
          <w:trHeight w:val="284"/>
        </w:trPr>
        <w:tc>
          <w:tcPr>
            <w:tcW w:w="1417" w:type="dxa"/>
            <w:tcBorders>
              <w:top w:val="nil"/>
              <w:left w:val="nil"/>
              <w:bottom w:val="nil"/>
              <w:right w:val="nil"/>
            </w:tcBorders>
            <w:shd w:val="clear" w:color="auto" w:fill="auto"/>
            <w:noWrap/>
            <w:vAlign w:val="bottom"/>
            <w:hideMark/>
          </w:tcPr>
          <w:p w14:paraId="1A5792B0"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2CA31FE3"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1.167871</w:t>
            </w:r>
          </w:p>
        </w:tc>
        <w:tc>
          <w:tcPr>
            <w:tcW w:w="595" w:type="dxa"/>
            <w:tcBorders>
              <w:top w:val="nil"/>
              <w:left w:val="nil"/>
              <w:bottom w:val="nil"/>
              <w:right w:val="nil"/>
            </w:tcBorders>
            <w:shd w:val="clear" w:color="auto" w:fill="auto"/>
            <w:noWrap/>
            <w:vAlign w:val="bottom"/>
            <w:hideMark/>
          </w:tcPr>
          <w:p w14:paraId="090B18E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09C78D7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0.381975</w:t>
            </w:r>
          </w:p>
        </w:tc>
        <w:tc>
          <w:tcPr>
            <w:tcW w:w="476" w:type="dxa"/>
            <w:tcBorders>
              <w:top w:val="nil"/>
              <w:left w:val="nil"/>
              <w:bottom w:val="nil"/>
              <w:right w:val="nil"/>
            </w:tcBorders>
            <w:shd w:val="clear" w:color="auto" w:fill="auto"/>
            <w:noWrap/>
            <w:vAlign w:val="bottom"/>
            <w:hideMark/>
          </w:tcPr>
          <w:p w14:paraId="478BF55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5F50BB6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2.21059</w:t>
            </w:r>
          </w:p>
        </w:tc>
        <w:tc>
          <w:tcPr>
            <w:tcW w:w="595" w:type="dxa"/>
            <w:tcBorders>
              <w:top w:val="nil"/>
              <w:left w:val="nil"/>
              <w:bottom w:val="nil"/>
              <w:right w:val="nil"/>
            </w:tcBorders>
            <w:shd w:val="clear" w:color="auto" w:fill="auto"/>
            <w:noWrap/>
            <w:vAlign w:val="bottom"/>
            <w:hideMark/>
          </w:tcPr>
          <w:p w14:paraId="3732A80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2D65CCB2"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1.310622</w:t>
            </w:r>
          </w:p>
        </w:tc>
        <w:tc>
          <w:tcPr>
            <w:tcW w:w="595" w:type="dxa"/>
            <w:tcBorders>
              <w:top w:val="nil"/>
              <w:left w:val="nil"/>
              <w:bottom w:val="nil"/>
              <w:right w:val="nil"/>
            </w:tcBorders>
            <w:shd w:val="clear" w:color="auto" w:fill="auto"/>
            <w:noWrap/>
            <w:vAlign w:val="bottom"/>
            <w:hideMark/>
          </w:tcPr>
          <w:p w14:paraId="356A9791"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5545536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0.972296</w:t>
            </w:r>
          </w:p>
        </w:tc>
        <w:tc>
          <w:tcPr>
            <w:tcW w:w="595" w:type="dxa"/>
            <w:tcBorders>
              <w:top w:val="nil"/>
              <w:left w:val="nil"/>
              <w:bottom w:val="nil"/>
              <w:right w:val="nil"/>
            </w:tcBorders>
            <w:shd w:val="clear" w:color="auto" w:fill="auto"/>
            <w:noWrap/>
            <w:vAlign w:val="bottom"/>
            <w:hideMark/>
          </w:tcPr>
          <w:p w14:paraId="5F9DFD1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46EC207A" w14:textId="77777777" w:rsidTr="001F092A">
        <w:trPr>
          <w:trHeight w:val="284"/>
        </w:trPr>
        <w:tc>
          <w:tcPr>
            <w:tcW w:w="1417" w:type="dxa"/>
            <w:tcBorders>
              <w:top w:val="nil"/>
              <w:left w:val="nil"/>
              <w:bottom w:val="nil"/>
              <w:right w:val="nil"/>
            </w:tcBorders>
            <w:shd w:val="clear" w:color="auto" w:fill="auto"/>
            <w:noWrap/>
            <w:vAlign w:val="bottom"/>
            <w:hideMark/>
          </w:tcPr>
          <w:p w14:paraId="04AA0D25"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BM</w:t>
            </w:r>
          </w:p>
        </w:tc>
        <w:tc>
          <w:tcPr>
            <w:tcW w:w="1130" w:type="dxa"/>
            <w:tcBorders>
              <w:top w:val="nil"/>
              <w:left w:val="nil"/>
              <w:bottom w:val="nil"/>
              <w:right w:val="nil"/>
            </w:tcBorders>
            <w:shd w:val="clear" w:color="auto" w:fill="auto"/>
            <w:noWrap/>
            <w:vAlign w:val="bottom"/>
            <w:hideMark/>
          </w:tcPr>
          <w:p w14:paraId="0AC6FA1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0.373423</w:t>
            </w:r>
          </w:p>
        </w:tc>
        <w:tc>
          <w:tcPr>
            <w:tcW w:w="595" w:type="dxa"/>
            <w:tcBorders>
              <w:top w:val="nil"/>
              <w:left w:val="nil"/>
              <w:bottom w:val="nil"/>
              <w:right w:val="nil"/>
            </w:tcBorders>
            <w:shd w:val="clear" w:color="auto" w:fill="auto"/>
            <w:noWrap/>
            <w:vAlign w:val="bottom"/>
            <w:hideMark/>
          </w:tcPr>
          <w:p w14:paraId="0E75204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E64B237"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0.462116</w:t>
            </w:r>
          </w:p>
        </w:tc>
        <w:tc>
          <w:tcPr>
            <w:tcW w:w="476" w:type="dxa"/>
            <w:tcBorders>
              <w:top w:val="nil"/>
              <w:left w:val="nil"/>
              <w:bottom w:val="nil"/>
              <w:right w:val="nil"/>
            </w:tcBorders>
            <w:shd w:val="clear" w:color="auto" w:fill="auto"/>
            <w:noWrap/>
            <w:vAlign w:val="bottom"/>
            <w:hideMark/>
          </w:tcPr>
          <w:p w14:paraId="3815C112"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59CA841"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0.844924</w:t>
            </w:r>
          </w:p>
        </w:tc>
        <w:tc>
          <w:tcPr>
            <w:tcW w:w="595" w:type="dxa"/>
            <w:tcBorders>
              <w:top w:val="nil"/>
              <w:left w:val="nil"/>
              <w:bottom w:val="nil"/>
              <w:right w:val="nil"/>
            </w:tcBorders>
            <w:shd w:val="clear" w:color="auto" w:fill="auto"/>
            <w:noWrap/>
            <w:vAlign w:val="bottom"/>
            <w:hideMark/>
          </w:tcPr>
          <w:p w14:paraId="55EFA1D9"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6520F2A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0.804606</w:t>
            </w:r>
          </w:p>
        </w:tc>
        <w:tc>
          <w:tcPr>
            <w:tcW w:w="595" w:type="dxa"/>
            <w:tcBorders>
              <w:top w:val="nil"/>
              <w:left w:val="nil"/>
              <w:bottom w:val="nil"/>
              <w:right w:val="nil"/>
            </w:tcBorders>
            <w:shd w:val="clear" w:color="auto" w:fill="auto"/>
            <w:noWrap/>
            <w:vAlign w:val="bottom"/>
            <w:hideMark/>
          </w:tcPr>
          <w:p w14:paraId="3C0A9F74"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7E93FF5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0.283901</w:t>
            </w:r>
          </w:p>
        </w:tc>
        <w:tc>
          <w:tcPr>
            <w:tcW w:w="595" w:type="dxa"/>
            <w:tcBorders>
              <w:top w:val="nil"/>
              <w:left w:val="nil"/>
              <w:bottom w:val="nil"/>
              <w:right w:val="nil"/>
            </w:tcBorders>
            <w:shd w:val="clear" w:color="auto" w:fill="auto"/>
            <w:noWrap/>
            <w:vAlign w:val="bottom"/>
            <w:hideMark/>
          </w:tcPr>
          <w:p w14:paraId="0EB8143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r>
      <w:tr w:rsidR="009B052F" w:rsidRPr="00FE791B" w14:paraId="2CDC6017" w14:textId="77777777" w:rsidTr="001F092A">
        <w:trPr>
          <w:trHeight w:val="284"/>
        </w:trPr>
        <w:tc>
          <w:tcPr>
            <w:tcW w:w="1417" w:type="dxa"/>
            <w:tcBorders>
              <w:top w:val="nil"/>
              <w:left w:val="nil"/>
              <w:bottom w:val="nil"/>
              <w:right w:val="nil"/>
            </w:tcBorders>
            <w:shd w:val="clear" w:color="auto" w:fill="auto"/>
            <w:noWrap/>
            <w:vAlign w:val="bottom"/>
            <w:hideMark/>
          </w:tcPr>
          <w:p w14:paraId="6BA6BF62"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7709155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0.520799</w:t>
            </w:r>
          </w:p>
        </w:tc>
        <w:tc>
          <w:tcPr>
            <w:tcW w:w="595" w:type="dxa"/>
            <w:tcBorders>
              <w:top w:val="nil"/>
              <w:left w:val="nil"/>
              <w:bottom w:val="nil"/>
              <w:right w:val="nil"/>
            </w:tcBorders>
            <w:shd w:val="clear" w:color="auto" w:fill="auto"/>
            <w:noWrap/>
            <w:vAlign w:val="bottom"/>
            <w:hideMark/>
          </w:tcPr>
          <w:p w14:paraId="3284F630"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1E556D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0.718078</w:t>
            </w:r>
          </w:p>
        </w:tc>
        <w:tc>
          <w:tcPr>
            <w:tcW w:w="476" w:type="dxa"/>
            <w:tcBorders>
              <w:top w:val="nil"/>
              <w:left w:val="nil"/>
              <w:bottom w:val="nil"/>
              <w:right w:val="nil"/>
            </w:tcBorders>
            <w:shd w:val="clear" w:color="auto" w:fill="auto"/>
            <w:noWrap/>
            <w:vAlign w:val="bottom"/>
            <w:hideMark/>
          </w:tcPr>
          <w:p w14:paraId="46417A47"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58FCDF84"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4.163975</w:t>
            </w:r>
          </w:p>
        </w:tc>
        <w:tc>
          <w:tcPr>
            <w:tcW w:w="595" w:type="dxa"/>
            <w:tcBorders>
              <w:top w:val="nil"/>
              <w:left w:val="nil"/>
              <w:bottom w:val="nil"/>
              <w:right w:val="nil"/>
            </w:tcBorders>
            <w:shd w:val="clear" w:color="auto" w:fill="auto"/>
            <w:noWrap/>
            <w:vAlign w:val="bottom"/>
            <w:hideMark/>
          </w:tcPr>
          <w:p w14:paraId="7817B01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FCBDDE4"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2.993589</w:t>
            </w:r>
          </w:p>
        </w:tc>
        <w:tc>
          <w:tcPr>
            <w:tcW w:w="595" w:type="dxa"/>
            <w:tcBorders>
              <w:top w:val="nil"/>
              <w:left w:val="nil"/>
              <w:bottom w:val="nil"/>
              <w:right w:val="nil"/>
            </w:tcBorders>
            <w:shd w:val="clear" w:color="auto" w:fill="auto"/>
            <w:noWrap/>
            <w:vAlign w:val="bottom"/>
            <w:hideMark/>
          </w:tcPr>
          <w:p w14:paraId="0B0C44D4"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70B93A0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1.901436</w:t>
            </w:r>
          </w:p>
        </w:tc>
        <w:tc>
          <w:tcPr>
            <w:tcW w:w="595" w:type="dxa"/>
            <w:tcBorders>
              <w:top w:val="nil"/>
              <w:left w:val="nil"/>
              <w:bottom w:val="nil"/>
              <w:right w:val="nil"/>
            </w:tcBorders>
            <w:shd w:val="clear" w:color="auto" w:fill="auto"/>
            <w:noWrap/>
            <w:vAlign w:val="bottom"/>
            <w:hideMark/>
          </w:tcPr>
          <w:p w14:paraId="0CF4F80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59DD0E27" w14:textId="77777777" w:rsidTr="001F092A">
        <w:trPr>
          <w:trHeight w:val="284"/>
        </w:trPr>
        <w:tc>
          <w:tcPr>
            <w:tcW w:w="1417" w:type="dxa"/>
            <w:tcBorders>
              <w:top w:val="nil"/>
              <w:left w:val="nil"/>
              <w:bottom w:val="nil"/>
              <w:right w:val="nil"/>
            </w:tcBorders>
            <w:shd w:val="clear" w:color="auto" w:fill="auto"/>
            <w:noWrap/>
            <w:vAlign w:val="bottom"/>
            <w:hideMark/>
          </w:tcPr>
          <w:p w14:paraId="1D5F1EA3"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MoM</w:t>
            </w:r>
          </w:p>
        </w:tc>
        <w:tc>
          <w:tcPr>
            <w:tcW w:w="1130" w:type="dxa"/>
            <w:tcBorders>
              <w:top w:val="nil"/>
              <w:left w:val="nil"/>
              <w:bottom w:val="nil"/>
              <w:right w:val="nil"/>
            </w:tcBorders>
            <w:shd w:val="clear" w:color="auto" w:fill="auto"/>
            <w:noWrap/>
            <w:vAlign w:val="bottom"/>
            <w:hideMark/>
          </w:tcPr>
          <w:p w14:paraId="6527033E"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0.182019</w:t>
            </w:r>
          </w:p>
        </w:tc>
        <w:tc>
          <w:tcPr>
            <w:tcW w:w="595" w:type="dxa"/>
            <w:tcBorders>
              <w:top w:val="nil"/>
              <w:left w:val="nil"/>
              <w:bottom w:val="nil"/>
              <w:right w:val="nil"/>
            </w:tcBorders>
            <w:shd w:val="clear" w:color="auto" w:fill="auto"/>
            <w:noWrap/>
            <w:vAlign w:val="bottom"/>
            <w:hideMark/>
          </w:tcPr>
          <w:p w14:paraId="24B44BE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3D173E1"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0.017468</w:t>
            </w:r>
          </w:p>
        </w:tc>
        <w:tc>
          <w:tcPr>
            <w:tcW w:w="476" w:type="dxa"/>
            <w:tcBorders>
              <w:top w:val="nil"/>
              <w:left w:val="nil"/>
              <w:bottom w:val="nil"/>
              <w:right w:val="nil"/>
            </w:tcBorders>
            <w:shd w:val="clear" w:color="auto" w:fill="auto"/>
            <w:noWrap/>
            <w:vAlign w:val="bottom"/>
            <w:hideMark/>
          </w:tcPr>
          <w:p w14:paraId="05573BB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7E9B4939"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-0.48853</w:t>
            </w:r>
          </w:p>
        </w:tc>
        <w:tc>
          <w:tcPr>
            <w:tcW w:w="595" w:type="dxa"/>
            <w:tcBorders>
              <w:top w:val="nil"/>
              <w:left w:val="nil"/>
              <w:bottom w:val="nil"/>
              <w:right w:val="nil"/>
            </w:tcBorders>
            <w:shd w:val="clear" w:color="auto" w:fill="auto"/>
            <w:noWrap/>
            <w:vAlign w:val="bottom"/>
            <w:hideMark/>
          </w:tcPr>
          <w:p w14:paraId="26551D2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2A4CF86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-0.48525</w:t>
            </w:r>
          </w:p>
        </w:tc>
        <w:tc>
          <w:tcPr>
            <w:tcW w:w="595" w:type="dxa"/>
            <w:tcBorders>
              <w:top w:val="nil"/>
              <w:left w:val="nil"/>
              <w:bottom w:val="nil"/>
              <w:right w:val="nil"/>
            </w:tcBorders>
            <w:shd w:val="clear" w:color="auto" w:fill="auto"/>
            <w:noWrap/>
            <w:vAlign w:val="bottom"/>
            <w:hideMark/>
          </w:tcPr>
          <w:p w14:paraId="65E3467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w:t>
            </w:r>
          </w:p>
        </w:tc>
        <w:tc>
          <w:tcPr>
            <w:tcW w:w="1130" w:type="dxa"/>
            <w:tcBorders>
              <w:top w:val="nil"/>
              <w:left w:val="nil"/>
              <w:bottom w:val="nil"/>
              <w:right w:val="nil"/>
            </w:tcBorders>
            <w:shd w:val="clear" w:color="auto" w:fill="auto"/>
            <w:noWrap/>
            <w:vAlign w:val="bottom"/>
            <w:hideMark/>
          </w:tcPr>
          <w:p w14:paraId="5B13070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-0.37483</w:t>
            </w:r>
          </w:p>
        </w:tc>
        <w:tc>
          <w:tcPr>
            <w:tcW w:w="595" w:type="dxa"/>
            <w:tcBorders>
              <w:top w:val="nil"/>
              <w:left w:val="nil"/>
              <w:bottom w:val="nil"/>
              <w:right w:val="nil"/>
            </w:tcBorders>
            <w:shd w:val="clear" w:color="auto" w:fill="auto"/>
            <w:noWrap/>
            <w:vAlign w:val="bottom"/>
            <w:hideMark/>
          </w:tcPr>
          <w:p w14:paraId="0401F33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09BCE934" w14:textId="77777777" w:rsidTr="001F092A">
        <w:trPr>
          <w:trHeight w:val="284"/>
        </w:trPr>
        <w:tc>
          <w:tcPr>
            <w:tcW w:w="1417" w:type="dxa"/>
            <w:tcBorders>
              <w:top w:val="nil"/>
              <w:left w:val="nil"/>
              <w:bottom w:val="nil"/>
              <w:right w:val="nil"/>
            </w:tcBorders>
            <w:shd w:val="clear" w:color="auto" w:fill="auto"/>
            <w:noWrap/>
            <w:vAlign w:val="bottom"/>
            <w:hideMark/>
          </w:tcPr>
          <w:p w14:paraId="1074C157"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t stats</w:t>
            </w:r>
          </w:p>
        </w:tc>
        <w:tc>
          <w:tcPr>
            <w:tcW w:w="1130" w:type="dxa"/>
            <w:tcBorders>
              <w:top w:val="nil"/>
              <w:left w:val="nil"/>
              <w:bottom w:val="nil"/>
              <w:right w:val="nil"/>
            </w:tcBorders>
            <w:shd w:val="clear" w:color="auto" w:fill="auto"/>
            <w:noWrap/>
            <w:vAlign w:val="bottom"/>
            <w:hideMark/>
          </w:tcPr>
          <w:p w14:paraId="6A29F1E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0.558348</w:t>
            </w:r>
          </w:p>
        </w:tc>
        <w:tc>
          <w:tcPr>
            <w:tcW w:w="595" w:type="dxa"/>
            <w:tcBorders>
              <w:top w:val="nil"/>
              <w:left w:val="nil"/>
              <w:bottom w:val="nil"/>
              <w:right w:val="nil"/>
            </w:tcBorders>
            <w:shd w:val="clear" w:color="auto" w:fill="auto"/>
            <w:noWrap/>
            <w:vAlign w:val="bottom"/>
            <w:hideMark/>
          </w:tcPr>
          <w:p w14:paraId="6632402C"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30D4D19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0.67405</w:t>
            </w:r>
          </w:p>
        </w:tc>
        <w:tc>
          <w:tcPr>
            <w:tcW w:w="476" w:type="dxa"/>
            <w:tcBorders>
              <w:top w:val="nil"/>
              <w:left w:val="nil"/>
              <w:bottom w:val="nil"/>
              <w:right w:val="nil"/>
            </w:tcBorders>
            <w:shd w:val="clear" w:color="auto" w:fill="auto"/>
            <w:noWrap/>
            <w:vAlign w:val="bottom"/>
            <w:hideMark/>
          </w:tcPr>
          <w:p w14:paraId="6F79867D"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2429542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-2.07303</w:t>
            </w:r>
          </w:p>
        </w:tc>
        <w:tc>
          <w:tcPr>
            <w:tcW w:w="595" w:type="dxa"/>
            <w:tcBorders>
              <w:top w:val="nil"/>
              <w:left w:val="nil"/>
              <w:bottom w:val="nil"/>
              <w:right w:val="nil"/>
            </w:tcBorders>
            <w:shd w:val="clear" w:color="auto" w:fill="auto"/>
            <w:noWrap/>
            <w:vAlign w:val="bottom"/>
            <w:hideMark/>
          </w:tcPr>
          <w:p w14:paraId="608F62C4"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77CCF548"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-2681479</w:t>
            </w:r>
          </w:p>
        </w:tc>
        <w:tc>
          <w:tcPr>
            <w:tcW w:w="595" w:type="dxa"/>
            <w:tcBorders>
              <w:top w:val="nil"/>
              <w:left w:val="nil"/>
              <w:bottom w:val="nil"/>
              <w:right w:val="nil"/>
            </w:tcBorders>
            <w:shd w:val="clear" w:color="auto" w:fill="auto"/>
            <w:noWrap/>
            <w:vAlign w:val="bottom"/>
            <w:hideMark/>
          </w:tcPr>
          <w:p w14:paraId="0CEAC392"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c>
          <w:tcPr>
            <w:tcW w:w="1130" w:type="dxa"/>
            <w:tcBorders>
              <w:top w:val="nil"/>
              <w:left w:val="nil"/>
              <w:bottom w:val="nil"/>
              <w:right w:val="nil"/>
            </w:tcBorders>
            <w:shd w:val="clear" w:color="auto" w:fill="auto"/>
            <w:noWrap/>
            <w:vAlign w:val="bottom"/>
            <w:hideMark/>
          </w:tcPr>
          <w:p w14:paraId="255D679F"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-0.66654</w:t>
            </w:r>
          </w:p>
        </w:tc>
        <w:tc>
          <w:tcPr>
            <w:tcW w:w="595" w:type="dxa"/>
            <w:tcBorders>
              <w:top w:val="nil"/>
              <w:left w:val="nil"/>
              <w:bottom w:val="nil"/>
              <w:right w:val="nil"/>
            </w:tcBorders>
            <w:shd w:val="clear" w:color="auto" w:fill="auto"/>
            <w:noWrap/>
            <w:vAlign w:val="bottom"/>
            <w:hideMark/>
          </w:tcPr>
          <w:p w14:paraId="0B5CFF5A" w14:textId="77777777" w:rsidR="009B052F" w:rsidRPr="00FE791B" w:rsidRDefault="009B052F" w:rsidP="001F092A">
            <w:pPr>
              <w:spacing w:after="0" w:line="240" w:lineRule="auto"/>
              <w:jc w:val="right"/>
              <w:rPr>
                <w:rFonts w:ascii="Times New Roman" w:eastAsia="Times New Roman" w:hAnsi="Times New Roman" w:cs="Times New Roman"/>
                <w:color w:val="000000"/>
                <w:lang w:eastAsia="en-GB"/>
              </w:rPr>
            </w:pPr>
          </w:p>
        </w:tc>
      </w:tr>
      <w:tr w:rsidR="009B052F" w:rsidRPr="00FE791B" w14:paraId="6DDA923A" w14:textId="77777777" w:rsidTr="001F092A">
        <w:trPr>
          <w:trHeight w:val="284"/>
        </w:trPr>
        <w:tc>
          <w:tcPr>
            <w:tcW w:w="1417" w:type="dxa"/>
            <w:tcBorders>
              <w:top w:val="nil"/>
              <w:left w:val="nil"/>
              <w:bottom w:val="single" w:sz="4" w:space="0" w:color="auto"/>
              <w:right w:val="nil"/>
            </w:tcBorders>
            <w:shd w:val="clear" w:color="auto" w:fill="auto"/>
            <w:noWrap/>
            <w:vAlign w:val="bottom"/>
            <w:hideMark/>
          </w:tcPr>
          <w:p w14:paraId="2F4B2AA3" w14:textId="77777777" w:rsidR="009B052F" w:rsidRPr="00FE791B" w:rsidRDefault="009B052F" w:rsidP="001F092A">
            <w:pPr>
              <w:spacing w:after="0" w:line="240" w:lineRule="auto"/>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Adjusted R2</w:t>
            </w:r>
          </w:p>
        </w:tc>
        <w:tc>
          <w:tcPr>
            <w:tcW w:w="1130" w:type="dxa"/>
            <w:tcBorders>
              <w:top w:val="nil"/>
              <w:left w:val="nil"/>
              <w:bottom w:val="single" w:sz="4" w:space="0" w:color="auto"/>
              <w:right w:val="nil"/>
            </w:tcBorders>
            <w:shd w:val="clear" w:color="auto" w:fill="auto"/>
            <w:noWrap/>
            <w:vAlign w:val="bottom"/>
            <w:hideMark/>
          </w:tcPr>
          <w:p w14:paraId="71AF7246"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0.70913</w:t>
            </w:r>
          </w:p>
        </w:tc>
        <w:tc>
          <w:tcPr>
            <w:tcW w:w="595" w:type="dxa"/>
            <w:tcBorders>
              <w:top w:val="nil"/>
              <w:left w:val="nil"/>
              <w:bottom w:val="single" w:sz="4" w:space="0" w:color="auto"/>
              <w:right w:val="nil"/>
            </w:tcBorders>
            <w:shd w:val="clear" w:color="auto" w:fill="auto"/>
            <w:noWrap/>
            <w:vAlign w:val="bottom"/>
            <w:hideMark/>
          </w:tcPr>
          <w:p w14:paraId="72BFD712"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c>
          <w:tcPr>
            <w:tcW w:w="1130" w:type="dxa"/>
            <w:tcBorders>
              <w:top w:val="nil"/>
              <w:left w:val="nil"/>
              <w:bottom w:val="single" w:sz="4" w:space="0" w:color="auto"/>
              <w:right w:val="nil"/>
            </w:tcBorders>
            <w:shd w:val="clear" w:color="auto" w:fill="auto"/>
            <w:noWrap/>
            <w:vAlign w:val="bottom"/>
            <w:hideMark/>
          </w:tcPr>
          <w:p w14:paraId="44AAC041"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0.68361</w:t>
            </w:r>
          </w:p>
        </w:tc>
        <w:tc>
          <w:tcPr>
            <w:tcW w:w="476" w:type="dxa"/>
            <w:tcBorders>
              <w:top w:val="nil"/>
              <w:left w:val="nil"/>
              <w:bottom w:val="single" w:sz="4" w:space="0" w:color="auto"/>
              <w:right w:val="nil"/>
            </w:tcBorders>
            <w:shd w:val="clear" w:color="auto" w:fill="auto"/>
            <w:noWrap/>
            <w:vAlign w:val="bottom"/>
            <w:hideMark/>
          </w:tcPr>
          <w:p w14:paraId="659E5B0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c>
          <w:tcPr>
            <w:tcW w:w="1130" w:type="dxa"/>
            <w:tcBorders>
              <w:top w:val="nil"/>
              <w:left w:val="nil"/>
              <w:bottom w:val="single" w:sz="4" w:space="0" w:color="auto"/>
              <w:right w:val="nil"/>
            </w:tcBorders>
            <w:shd w:val="clear" w:color="auto" w:fill="auto"/>
            <w:noWrap/>
            <w:vAlign w:val="bottom"/>
            <w:hideMark/>
          </w:tcPr>
          <w:p w14:paraId="0717C89C"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0.63154</w:t>
            </w:r>
          </w:p>
        </w:tc>
        <w:tc>
          <w:tcPr>
            <w:tcW w:w="595" w:type="dxa"/>
            <w:tcBorders>
              <w:top w:val="nil"/>
              <w:left w:val="nil"/>
              <w:bottom w:val="single" w:sz="4" w:space="0" w:color="auto"/>
              <w:right w:val="nil"/>
            </w:tcBorders>
            <w:shd w:val="clear" w:color="auto" w:fill="auto"/>
            <w:noWrap/>
            <w:vAlign w:val="bottom"/>
            <w:hideMark/>
          </w:tcPr>
          <w:p w14:paraId="3677B5B4"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c>
          <w:tcPr>
            <w:tcW w:w="1130" w:type="dxa"/>
            <w:tcBorders>
              <w:top w:val="nil"/>
              <w:left w:val="nil"/>
              <w:bottom w:val="single" w:sz="4" w:space="0" w:color="auto"/>
              <w:right w:val="nil"/>
            </w:tcBorders>
            <w:shd w:val="clear" w:color="auto" w:fill="auto"/>
            <w:noWrap/>
            <w:vAlign w:val="bottom"/>
            <w:hideMark/>
          </w:tcPr>
          <w:p w14:paraId="29829A9A"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0.62881</w:t>
            </w:r>
          </w:p>
        </w:tc>
        <w:tc>
          <w:tcPr>
            <w:tcW w:w="595" w:type="dxa"/>
            <w:tcBorders>
              <w:top w:val="nil"/>
              <w:left w:val="nil"/>
              <w:bottom w:val="single" w:sz="4" w:space="0" w:color="auto"/>
              <w:right w:val="nil"/>
            </w:tcBorders>
            <w:shd w:val="clear" w:color="auto" w:fill="auto"/>
            <w:noWrap/>
            <w:vAlign w:val="bottom"/>
            <w:hideMark/>
          </w:tcPr>
          <w:p w14:paraId="1271C21E"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c>
          <w:tcPr>
            <w:tcW w:w="1130" w:type="dxa"/>
            <w:tcBorders>
              <w:top w:val="nil"/>
              <w:left w:val="nil"/>
              <w:bottom w:val="single" w:sz="4" w:space="0" w:color="auto"/>
              <w:right w:val="nil"/>
            </w:tcBorders>
            <w:shd w:val="clear" w:color="auto" w:fill="auto"/>
            <w:noWrap/>
            <w:vAlign w:val="bottom"/>
            <w:hideMark/>
          </w:tcPr>
          <w:p w14:paraId="3130A6E8"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0.64978</w:t>
            </w:r>
          </w:p>
        </w:tc>
        <w:tc>
          <w:tcPr>
            <w:tcW w:w="595" w:type="dxa"/>
            <w:tcBorders>
              <w:top w:val="nil"/>
              <w:left w:val="nil"/>
              <w:bottom w:val="single" w:sz="4" w:space="0" w:color="auto"/>
              <w:right w:val="nil"/>
            </w:tcBorders>
            <w:shd w:val="clear" w:color="auto" w:fill="auto"/>
            <w:noWrap/>
            <w:vAlign w:val="bottom"/>
            <w:hideMark/>
          </w:tcPr>
          <w:p w14:paraId="327FD9FD" w14:textId="77777777" w:rsidR="009B052F" w:rsidRPr="00FE791B" w:rsidRDefault="009B052F" w:rsidP="001F092A">
            <w:pPr>
              <w:spacing w:after="0" w:line="240" w:lineRule="auto"/>
              <w:jc w:val="center"/>
              <w:rPr>
                <w:rFonts w:ascii="Times New Roman" w:eastAsia="Times New Roman" w:hAnsi="Times New Roman" w:cs="Times New Roman"/>
                <w:color w:val="000000"/>
                <w:lang w:eastAsia="en-GB"/>
              </w:rPr>
            </w:pPr>
            <w:r w:rsidRPr="00FE791B">
              <w:rPr>
                <w:rFonts w:ascii="Times New Roman" w:eastAsia="Times New Roman" w:hAnsi="Times New Roman" w:cs="Times New Roman"/>
                <w:color w:val="000000"/>
                <w:lang w:eastAsia="en-GB"/>
              </w:rPr>
              <w:t> </w:t>
            </w:r>
          </w:p>
        </w:tc>
      </w:tr>
      <w:tr w:rsidR="009B052F" w:rsidRPr="00FE791B" w14:paraId="368E3F36" w14:textId="77777777" w:rsidTr="001F092A">
        <w:trPr>
          <w:trHeight w:val="284"/>
        </w:trPr>
        <w:tc>
          <w:tcPr>
            <w:tcW w:w="9927" w:type="dxa"/>
            <w:gridSpan w:val="11"/>
            <w:tcBorders>
              <w:top w:val="single" w:sz="4" w:space="0" w:color="auto"/>
              <w:left w:val="nil"/>
              <w:bottom w:val="nil"/>
              <w:right w:val="nil"/>
            </w:tcBorders>
            <w:shd w:val="clear" w:color="auto" w:fill="auto"/>
            <w:noWrap/>
            <w:vAlign w:val="bottom"/>
            <w:hideMark/>
          </w:tcPr>
          <w:p w14:paraId="7528BAAC" w14:textId="77777777" w:rsidR="009B052F" w:rsidRPr="00FE791B" w:rsidRDefault="009B052F" w:rsidP="001F092A">
            <w:pPr>
              <w:spacing w:after="0" w:line="240" w:lineRule="auto"/>
              <w:rPr>
                <w:rFonts w:ascii="Times New Roman" w:eastAsia="Times New Roman" w:hAnsi="Times New Roman" w:cs="Times New Roman"/>
                <w:i/>
                <w:iCs/>
                <w:color w:val="000000"/>
                <w:lang w:eastAsia="en-GB"/>
              </w:rPr>
            </w:pPr>
            <w:r w:rsidRPr="00FE791B">
              <w:rPr>
                <w:rFonts w:ascii="Times New Roman" w:eastAsia="Times New Roman" w:hAnsi="Times New Roman" w:cs="Times New Roman"/>
                <w:i/>
                <w:iCs/>
                <w:color w:val="000000"/>
                <w:lang w:eastAsia="en-GB"/>
              </w:rPr>
              <w:t>*** represents significance at 1%, ** at 5%, and * at 10%</w:t>
            </w:r>
          </w:p>
        </w:tc>
      </w:tr>
    </w:tbl>
    <w:p w14:paraId="0A1BD5A9" w14:textId="77777777" w:rsidR="009B052F" w:rsidRDefault="009B052F" w:rsidP="009B052F">
      <w:pPr>
        <w:rPr>
          <w:rFonts w:ascii="Times New Roman" w:hAnsi="Times New Roman" w:cs="Times New Roman"/>
          <w:sz w:val="24"/>
          <w:szCs w:val="24"/>
        </w:rPr>
      </w:pPr>
    </w:p>
    <w:p w14:paraId="68E05C1B" w14:textId="77777777" w:rsidR="009B052F" w:rsidRDefault="009B052F" w:rsidP="009B052F">
      <w:pPr>
        <w:rPr>
          <w:rFonts w:ascii="Times New Roman" w:hAnsi="Times New Roman" w:cs="Times New Roman"/>
          <w:sz w:val="24"/>
          <w:szCs w:val="24"/>
        </w:rPr>
      </w:pPr>
      <w:r>
        <w:rPr>
          <w:rFonts w:ascii="Times New Roman" w:hAnsi="Times New Roman" w:cs="Times New Roman"/>
          <w:sz w:val="24"/>
          <w:szCs w:val="24"/>
        </w:rPr>
        <w:br w:type="page"/>
      </w:r>
    </w:p>
    <w:tbl>
      <w:tblPr>
        <w:tblW w:w="9528" w:type="dxa"/>
        <w:tblLook w:val="04A0" w:firstRow="1" w:lastRow="0" w:firstColumn="1" w:lastColumn="0" w:noHBand="0" w:noVBand="1"/>
      </w:tblPr>
      <w:tblGrid>
        <w:gridCol w:w="1360"/>
        <w:gridCol w:w="1102"/>
        <w:gridCol w:w="461"/>
        <w:gridCol w:w="1102"/>
        <w:gridCol w:w="461"/>
        <w:gridCol w:w="1102"/>
        <w:gridCol w:w="578"/>
        <w:gridCol w:w="1102"/>
        <w:gridCol w:w="578"/>
        <w:gridCol w:w="1102"/>
        <w:gridCol w:w="580"/>
      </w:tblGrid>
      <w:tr w:rsidR="009B052F" w:rsidRPr="00AA4E57" w14:paraId="13E7CD22" w14:textId="77777777" w:rsidTr="001F092A">
        <w:trPr>
          <w:trHeight w:val="279"/>
        </w:trPr>
        <w:tc>
          <w:tcPr>
            <w:tcW w:w="9528" w:type="dxa"/>
            <w:gridSpan w:val="11"/>
            <w:tcBorders>
              <w:top w:val="nil"/>
              <w:left w:val="nil"/>
              <w:bottom w:val="nil"/>
              <w:right w:val="nil"/>
            </w:tcBorders>
            <w:shd w:val="clear" w:color="auto" w:fill="auto"/>
            <w:noWrap/>
            <w:vAlign w:val="bottom"/>
            <w:hideMark/>
          </w:tcPr>
          <w:p w14:paraId="023A5BFE" w14:textId="77777777" w:rsidR="009B052F" w:rsidRPr="00AA4E57" w:rsidRDefault="009B052F" w:rsidP="001F092A">
            <w:pPr>
              <w:spacing w:after="0" w:line="240" w:lineRule="auto"/>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lastRenderedPageBreak/>
              <w:t>Table 6: Panel Regression of CAR for "Abstained" Countries</w:t>
            </w:r>
          </w:p>
        </w:tc>
      </w:tr>
      <w:tr w:rsidR="009B052F" w:rsidRPr="00AA4E57" w14:paraId="017DBD7A" w14:textId="77777777" w:rsidTr="001F092A">
        <w:trPr>
          <w:trHeight w:val="279"/>
        </w:trPr>
        <w:tc>
          <w:tcPr>
            <w:tcW w:w="1360" w:type="dxa"/>
            <w:tcBorders>
              <w:top w:val="single" w:sz="4" w:space="0" w:color="auto"/>
              <w:left w:val="nil"/>
              <w:bottom w:val="single" w:sz="4" w:space="0" w:color="auto"/>
              <w:right w:val="nil"/>
            </w:tcBorders>
            <w:shd w:val="clear" w:color="auto" w:fill="auto"/>
            <w:noWrap/>
            <w:vAlign w:val="bottom"/>
            <w:hideMark/>
          </w:tcPr>
          <w:p w14:paraId="3EB54B20" w14:textId="77777777" w:rsidR="009B052F" w:rsidRPr="00AA4E57" w:rsidRDefault="009B052F" w:rsidP="001F092A">
            <w:pPr>
              <w:spacing w:after="0" w:line="240" w:lineRule="auto"/>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c>
          <w:tcPr>
            <w:tcW w:w="1102" w:type="dxa"/>
            <w:tcBorders>
              <w:top w:val="single" w:sz="4" w:space="0" w:color="auto"/>
              <w:left w:val="nil"/>
              <w:bottom w:val="single" w:sz="4" w:space="0" w:color="auto"/>
              <w:right w:val="nil"/>
            </w:tcBorders>
            <w:shd w:val="clear" w:color="auto" w:fill="auto"/>
            <w:noWrap/>
            <w:vAlign w:val="bottom"/>
            <w:hideMark/>
          </w:tcPr>
          <w:p w14:paraId="4C0FD6D4"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xml:space="preserve">t -5 </w:t>
            </w:r>
          </w:p>
        </w:tc>
        <w:tc>
          <w:tcPr>
            <w:tcW w:w="461" w:type="dxa"/>
            <w:tcBorders>
              <w:top w:val="single" w:sz="4" w:space="0" w:color="auto"/>
              <w:left w:val="nil"/>
              <w:bottom w:val="single" w:sz="4" w:space="0" w:color="auto"/>
              <w:right w:val="nil"/>
            </w:tcBorders>
            <w:shd w:val="clear" w:color="auto" w:fill="auto"/>
            <w:noWrap/>
            <w:vAlign w:val="bottom"/>
            <w:hideMark/>
          </w:tcPr>
          <w:p w14:paraId="16B15271"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c>
          <w:tcPr>
            <w:tcW w:w="1102" w:type="dxa"/>
            <w:tcBorders>
              <w:top w:val="single" w:sz="4" w:space="0" w:color="auto"/>
              <w:left w:val="nil"/>
              <w:bottom w:val="single" w:sz="4" w:space="0" w:color="auto"/>
              <w:right w:val="nil"/>
            </w:tcBorders>
            <w:shd w:val="clear" w:color="auto" w:fill="auto"/>
            <w:noWrap/>
            <w:vAlign w:val="bottom"/>
            <w:hideMark/>
          </w:tcPr>
          <w:p w14:paraId="2BB48135"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t - 3</w:t>
            </w:r>
          </w:p>
        </w:tc>
        <w:tc>
          <w:tcPr>
            <w:tcW w:w="461" w:type="dxa"/>
            <w:tcBorders>
              <w:top w:val="single" w:sz="4" w:space="0" w:color="auto"/>
              <w:left w:val="nil"/>
              <w:bottom w:val="single" w:sz="4" w:space="0" w:color="auto"/>
              <w:right w:val="nil"/>
            </w:tcBorders>
            <w:shd w:val="clear" w:color="auto" w:fill="auto"/>
            <w:noWrap/>
            <w:vAlign w:val="bottom"/>
            <w:hideMark/>
          </w:tcPr>
          <w:p w14:paraId="46CDA505"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c>
          <w:tcPr>
            <w:tcW w:w="1102" w:type="dxa"/>
            <w:tcBorders>
              <w:top w:val="single" w:sz="4" w:space="0" w:color="auto"/>
              <w:left w:val="nil"/>
              <w:bottom w:val="single" w:sz="4" w:space="0" w:color="auto"/>
              <w:right w:val="nil"/>
            </w:tcBorders>
            <w:shd w:val="clear" w:color="auto" w:fill="auto"/>
            <w:noWrap/>
            <w:vAlign w:val="bottom"/>
            <w:hideMark/>
          </w:tcPr>
          <w:p w14:paraId="5A4097B1"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t</w:t>
            </w:r>
          </w:p>
        </w:tc>
        <w:tc>
          <w:tcPr>
            <w:tcW w:w="578" w:type="dxa"/>
            <w:tcBorders>
              <w:top w:val="single" w:sz="4" w:space="0" w:color="auto"/>
              <w:left w:val="nil"/>
              <w:bottom w:val="single" w:sz="4" w:space="0" w:color="auto"/>
              <w:right w:val="nil"/>
            </w:tcBorders>
            <w:shd w:val="clear" w:color="auto" w:fill="auto"/>
            <w:noWrap/>
            <w:vAlign w:val="bottom"/>
            <w:hideMark/>
          </w:tcPr>
          <w:p w14:paraId="7B084A32"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c>
          <w:tcPr>
            <w:tcW w:w="1102" w:type="dxa"/>
            <w:tcBorders>
              <w:top w:val="single" w:sz="4" w:space="0" w:color="auto"/>
              <w:left w:val="nil"/>
              <w:bottom w:val="single" w:sz="4" w:space="0" w:color="auto"/>
              <w:right w:val="nil"/>
            </w:tcBorders>
            <w:shd w:val="clear" w:color="auto" w:fill="auto"/>
            <w:noWrap/>
            <w:vAlign w:val="bottom"/>
            <w:hideMark/>
          </w:tcPr>
          <w:p w14:paraId="08136BC2"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t+3</w:t>
            </w:r>
          </w:p>
        </w:tc>
        <w:tc>
          <w:tcPr>
            <w:tcW w:w="578" w:type="dxa"/>
            <w:tcBorders>
              <w:top w:val="single" w:sz="4" w:space="0" w:color="auto"/>
              <w:left w:val="nil"/>
              <w:bottom w:val="single" w:sz="4" w:space="0" w:color="auto"/>
              <w:right w:val="nil"/>
            </w:tcBorders>
            <w:shd w:val="clear" w:color="auto" w:fill="auto"/>
            <w:noWrap/>
            <w:vAlign w:val="bottom"/>
            <w:hideMark/>
          </w:tcPr>
          <w:p w14:paraId="6C19B43C"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c>
          <w:tcPr>
            <w:tcW w:w="1102" w:type="dxa"/>
            <w:tcBorders>
              <w:top w:val="single" w:sz="4" w:space="0" w:color="auto"/>
              <w:left w:val="nil"/>
              <w:bottom w:val="single" w:sz="4" w:space="0" w:color="auto"/>
              <w:right w:val="nil"/>
            </w:tcBorders>
            <w:shd w:val="clear" w:color="auto" w:fill="auto"/>
            <w:noWrap/>
            <w:vAlign w:val="bottom"/>
            <w:hideMark/>
          </w:tcPr>
          <w:p w14:paraId="31245BEE"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t +5</w:t>
            </w:r>
          </w:p>
        </w:tc>
        <w:tc>
          <w:tcPr>
            <w:tcW w:w="578" w:type="dxa"/>
            <w:tcBorders>
              <w:top w:val="single" w:sz="4" w:space="0" w:color="auto"/>
              <w:left w:val="nil"/>
              <w:bottom w:val="single" w:sz="4" w:space="0" w:color="auto"/>
              <w:right w:val="nil"/>
            </w:tcBorders>
            <w:shd w:val="clear" w:color="auto" w:fill="auto"/>
            <w:noWrap/>
            <w:vAlign w:val="bottom"/>
            <w:hideMark/>
          </w:tcPr>
          <w:p w14:paraId="5AE7964C" w14:textId="77777777" w:rsidR="009B052F" w:rsidRPr="00AA4E57" w:rsidRDefault="009B052F" w:rsidP="001F092A">
            <w:pPr>
              <w:spacing w:after="0" w:line="240" w:lineRule="auto"/>
              <w:jc w:val="center"/>
              <w:rPr>
                <w:rFonts w:ascii="Times New Roman" w:eastAsia="Times New Roman" w:hAnsi="Times New Roman" w:cs="Times New Roman"/>
                <w:b/>
                <w:bCs/>
                <w:color w:val="000000"/>
                <w:lang w:eastAsia="en-GB"/>
              </w:rPr>
            </w:pPr>
            <w:r w:rsidRPr="00AA4E57">
              <w:rPr>
                <w:rFonts w:ascii="Times New Roman" w:eastAsia="Times New Roman" w:hAnsi="Times New Roman" w:cs="Times New Roman"/>
                <w:b/>
                <w:bCs/>
                <w:color w:val="000000"/>
                <w:lang w:eastAsia="en-GB"/>
              </w:rPr>
              <w:t> </w:t>
            </w:r>
          </w:p>
        </w:tc>
      </w:tr>
      <w:tr w:rsidR="009B052F" w:rsidRPr="00AA4E57" w14:paraId="15788D73" w14:textId="77777777" w:rsidTr="001F092A">
        <w:trPr>
          <w:trHeight w:val="279"/>
        </w:trPr>
        <w:tc>
          <w:tcPr>
            <w:tcW w:w="1360" w:type="dxa"/>
            <w:tcBorders>
              <w:top w:val="nil"/>
              <w:left w:val="nil"/>
              <w:bottom w:val="nil"/>
              <w:right w:val="nil"/>
            </w:tcBorders>
            <w:shd w:val="clear" w:color="auto" w:fill="auto"/>
            <w:noWrap/>
            <w:vAlign w:val="bottom"/>
            <w:hideMark/>
          </w:tcPr>
          <w:p w14:paraId="4FDA98F5"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Conflict</w:t>
            </w:r>
          </w:p>
        </w:tc>
        <w:tc>
          <w:tcPr>
            <w:tcW w:w="1102" w:type="dxa"/>
            <w:tcBorders>
              <w:top w:val="nil"/>
              <w:left w:val="nil"/>
              <w:bottom w:val="nil"/>
              <w:right w:val="nil"/>
            </w:tcBorders>
            <w:shd w:val="clear" w:color="auto" w:fill="auto"/>
            <w:noWrap/>
            <w:vAlign w:val="bottom"/>
            <w:hideMark/>
          </w:tcPr>
          <w:p w14:paraId="102ACC3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0.08552</w:t>
            </w:r>
          </w:p>
        </w:tc>
        <w:tc>
          <w:tcPr>
            <w:tcW w:w="461" w:type="dxa"/>
            <w:tcBorders>
              <w:top w:val="nil"/>
              <w:left w:val="nil"/>
              <w:bottom w:val="nil"/>
              <w:right w:val="nil"/>
            </w:tcBorders>
            <w:shd w:val="clear" w:color="auto" w:fill="auto"/>
            <w:noWrap/>
            <w:vAlign w:val="bottom"/>
            <w:hideMark/>
          </w:tcPr>
          <w:p w14:paraId="54E93DC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12F41FC3"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0.09488</w:t>
            </w:r>
          </w:p>
        </w:tc>
        <w:tc>
          <w:tcPr>
            <w:tcW w:w="461" w:type="dxa"/>
            <w:tcBorders>
              <w:top w:val="nil"/>
              <w:left w:val="nil"/>
              <w:bottom w:val="nil"/>
              <w:right w:val="nil"/>
            </w:tcBorders>
            <w:shd w:val="clear" w:color="auto" w:fill="auto"/>
            <w:noWrap/>
            <w:vAlign w:val="bottom"/>
            <w:hideMark/>
          </w:tcPr>
          <w:p w14:paraId="3A734A3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73F2F9A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-0.02192</w:t>
            </w:r>
          </w:p>
        </w:tc>
        <w:tc>
          <w:tcPr>
            <w:tcW w:w="578" w:type="dxa"/>
            <w:tcBorders>
              <w:top w:val="nil"/>
              <w:left w:val="nil"/>
              <w:bottom w:val="nil"/>
              <w:right w:val="nil"/>
            </w:tcBorders>
            <w:shd w:val="clear" w:color="auto" w:fill="auto"/>
            <w:noWrap/>
            <w:vAlign w:val="bottom"/>
            <w:hideMark/>
          </w:tcPr>
          <w:p w14:paraId="4B60FF3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632BE8F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0.01204</w:t>
            </w:r>
          </w:p>
        </w:tc>
        <w:tc>
          <w:tcPr>
            <w:tcW w:w="578" w:type="dxa"/>
            <w:tcBorders>
              <w:top w:val="nil"/>
              <w:left w:val="nil"/>
              <w:bottom w:val="nil"/>
              <w:right w:val="nil"/>
            </w:tcBorders>
            <w:shd w:val="clear" w:color="auto" w:fill="auto"/>
            <w:noWrap/>
            <w:vAlign w:val="bottom"/>
            <w:hideMark/>
          </w:tcPr>
          <w:p w14:paraId="26958C4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5234126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0.09503</w:t>
            </w:r>
          </w:p>
        </w:tc>
        <w:tc>
          <w:tcPr>
            <w:tcW w:w="578" w:type="dxa"/>
            <w:tcBorders>
              <w:top w:val="nil"/>
              <w:left w:val="nil"/>
              <w:bottom w:val="nil"/>
              <w:right w:val="nil"/>
            </w:tcBorders>
            <w:shd w:val="clear" w:color="auto" w:fill="auto"/>
            <w:noWrap/>
            <w:vAlign w:val="bottom"/>
            <w:hideMark/>
          </w:tcPr>
          <w:p w14:paraId="32B2EE9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61FE16AC" w14:textId="77777777" w:rsidTr="001F092A">
        <w:trPr>
          <w:trHeight w:val="279"/>
        </w:trPr>
        <w:tc>
          <w:tcPr>
            <w:tcW w:w="1360" w:type="dxa"/>
            <w:tcBorders>
              <w:top w:val="nil"/>
              <w:left w:val="nil"/>
              <w:bottom w:val="nil"/>
              <w:right w:val="nil"/>
            </w:tcBorders>
            <w:shd w:val="clear" w:color="auto" w:fill="auto"/>
            <w:noWrap/>
            <w:vAlign w:val="bottom"/>
            <w:hideMark/>
          </w:tcPr>
          <w:p w14:paraId="4CD71FC9"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73EB45E5"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1.99101</w:t>
            </w:r>
          </w:p>
        </w:tc>
        <w:tc>
          <w:tcPr>
            <w:tcW w:w="461" w:type="dxa"/>
            <w:tcBorders>
              <w:top w:val="nil"/>
              <w:left w:val="nil"/>
              <w:bottom w:val="nil"/>
              <w:right w:val="nil"/>
            </w:tcBorders>
            <w:shd w:val="clear" w:color="auto" w:fill="auto"/>
            <w:noWrap/>
            <w:vAlign w:val="bottom"/>
            <w:hideMark/>
          </w:tcPr>
          <w:p w14:paraId="23E56744"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32B765F5"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2.10486</w:t>
            </w:r>
          </w:p>
        </w:tc>
        <w:tc>
          <w:tcPr>
            <w:tcW w:w="461" w:type="dxa"/>
            <w:tcBorders>
              <w:top w:val="nil"/>
              <w:left w:val="nil"/>
              <w:bottom w:val="nil"/>
              <w:right w:val="nil"/>
            </w:tcBorders>
            <w:shd w:val="clear" w:color="auto" w:fill="auto"/>
            <w:noWrap/>
            <w:vAlign w:val="bottom"/>
            <w:hideMark/>
          </w:tcPr>
          <w:p w14:paraId="40CF4211"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6A266CC0"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-3.10049</w:t>
            </w:r>
          </w:p>
        </w:tc>
        <w:tc>
          <w:tcPr>
            <w:tcW w:w="578" w:type="dxa"/>
            <w:tcBorders>
              <w:top w:val="nil"/>
              <w:left w:val="nil"/>
              <w:bottom w:val="nil"/>
              <w:right w:val="nil"/>
            </w:tcBorders>
            <w:shd w:val="clear" w:color="auto" w:fill="auto"/>
            <w:noWrap/>
            <w:vAlign w:val="bottom"/>
            <w:hideMark/>
          </w:tcPr>
          <w:p w14:paraId="5F26F523"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7497356D"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0.79522</w:t>
            </w:r>
          </w:p>
        </w:tc>
        <w:tc>
          <w:tcPr>
            <w:tcW w:w="578" w:type="dxa"/>
            <w:tcBorders>
              <w:top w:val="nil"/>
              <w:left w:val="nil"/>
              <w:bottom w:val="nil"/>
              <w:right w:val="nil"/>
            </w:tcBorders>
            <w:shd w:val="clear" w:color="auto" w:fill="auto"/>
            <w:noWrap/>
            <w:vAlign w:val="bottom"/>
            <w:hideMark/>
          </w:tcPr>
          <w:p w14:paraId="67E97E25"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039952D9"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1.07383</w:t>
            </w:r>
          </w:p>
        </w:tc>
        <w:tc>
          <w:tcPr>
            <w:tcW w:w="578" w:type="dxa"/>
            <w:tcBorders>
              <w:top w:val="nil"/>
              <w:left w:val="nil"/>
              <w:bottom w:val="nil"/>
              <w:right w:val="nil"/>
            </w:tcBorders>
            <w:shd w:val="clear" w:color="auto" w:fill="auto"/>
            <w:noWrap/>
            <w:vAlign w:val="bottom"/>
            <w:hideMark/>
          </w:tcPr>
          <w:p w14:paraId="2C0BF68C"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AA4E57" w14:paraId="137061D7" w14:textId="77777777" w:rsidTr="001F092A">
        <w:trPr>
          <w:trHeight w:val="279"/>
        </w:trPr>
        <w:tc>
          <w:tcPr>
            <w:tcW w:w="1360" w:type="dxa"/>
            <w:tcBorders>
              <w:top w:val="nil"/>
              <w:left w:val="nil"/>
              <w:bottom w:val="nil"/>
              <w:right w:val="nil"/>
            </w:tcBorders>
            <w:shd w:val="clear" w:color="auto" w:fill="auto"/>
            <w:noWrap/>
            <w:vAlign w:val="bottom"/>
            <w:hideMark/>
          </w:tcPr>
          <w:p w14:paraId="6BB8BF11"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NATO</w:t>
            </w:r>
          </w:p>
        </w:tc>
        <w:tc>
          <w:tcPr>
            <w:tcW w:w="1102" w:type="dxa"/>
            <w:tcBorders>
              <w:top w:val="nil"/>
              <w:left w:val="nil"/>
              <w:bottom w:val="nil"/>
              <w:right w:val="nil"/>
            </w:tcBorders>
            <w:shd w:val="clear" w:color="auto" w:fill="auto"/>
            <w:noWrap/>
            <w:vAlign w:val="bottom"/>
            <w:hideMark/>
          </w:tcPr>
          <w:p w14:paraId="2986CF4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-0.01090</w:t>
            </w:r>
          </w:p>
        </w:tc>
        <w:tc>
          <w:tcPr>
            <w:tcW w:w="461" w:type="dxa"/>
            <w:tcBorders>
              <w:top w:val="nil"/>
              <w:left w:val="nil"/>
              <w:bottom w:val="nil"/>
              <w:right w:val="nil"/>
            </w:tcBorders>
            <w:shd w:val="clear" w:color="auto" w:fill="auto"/>
            <w:noWrap/>
            <w:vAlign w:val="bottom"/>
            <w:hideMark/>
          </w:tcPr>
          <w:p w14:paraId="33CBE55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3029F3B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-0.03953</w:t>
            </w:r>
          </w:p>
        </w:tc>
        <w:tc>
          <w:tcPr>
            <w:tcW w:w="461" w:type="dxa"/>
            <w:tcBorders>
              <w:top w:val="nil"/>
              <w:left w:val="nil"/>
              <w:bottom w:val="nil"/>
              <w:right w:val="nil"/>
            </w:tcBorders>
            <w:shd w:val="clear" w:color="auto" w:fill="auto"/>
            <w:noWrap/>
            <w:vAlign w:val="bottom"/>
            <w:hideMark/>
          </w:tcPr>
          <w:p w14:paraId="5477039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74D2022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-0.08968</w:t>
            </w:r>
          </w:p>
        </w:tc>
        <w:tc>
          <w:tcPr>
            <w:tcW w:w="578" w:type="dxa"/>
            <w:tcBorders>
              <w:top w:val="nil"/>
              <w:left w:val="nil"/>
              <w:bottom w:val="nil"/>
              <w:right w:val="nil"/>
            </w:tcBorders>
            <w:shd w:val="clear" w:color="auto" w:fill="auto"/>
            <w:noWrap/>
            <w:vAlign w:val="bottom"/>
            <w:hideMark/>
          </w:tcPr>
          <w:p w14:paraId="37A9C93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0799399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-0.06945</w:t>
            </w:r>
          </w:p>
        </w:tc>
        <w:tc>
          <w:tcPr>
            <w:tcW w:w="578" w:type="dxa"/>
            <w:tcBorders>
              <w:top w:val="nil"/>
              <w:left w:val="nil"/>
              <w:bottom w:val="nil"/>
              <w:right w:val="nil"/>
            </w:tcBorders>
            <w:shd w:val="clear" w:color="auto" w:fill="auto"/>
            <w:noWrap/>
            <w:vAlign w:val="bottom"/>
            <w:hideMark/>
          </w:tcPr>
          <w:p w14:paraId="1C43444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5BA00DC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-0.05339</w:t>
            </w:r>
          </w:p>
        </w:tc>
        <w:tc>
          <w:tcPr>
            <w:tcW w:w="578" w:type="dxa"/>
            <w:tcBorders>
              <w:top w:val="nil"/>
              <w:left w:val="nil"/>
              <w:bottom w:val="nil"/>
              <w:right w:val="nil"/>
            </w:tcBorders>
            <w:shd w:val="clear" w:color="auto" w:fill="auto"/>
            <w:noWrap/>
            <w:vAlign w:val="bottom"/>
            <w:hideMark/>
          </w:tcPr>
          <w:p w14:paraId="263D299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r>
      <w:tr w:rsidR="009B052F" w:rsidRPr="00AA4E57" w14:paraId="639145E4" w14:textId="77777777" w:rsidTr="001F092A">
        <w:trPr>
          <w:trHeight w:val="279"/>
        </w:trPr>
        <w:tc>
          <w:tcPr>
            <w:tcW w:w="1360" w:type="dxa"/>
            <w:tcBorders>
              <w:top w:val="nil"/>
              <w:left w:val="nil"/>
              <w:bottom w:val="nil"/>
              <w:right w:val="nil"/>
            </w:tcBorders>
            <w:shd w:val="clear" w:color="auto" w:fill="auto"/>
            <w:noWrap/>
            <w:vAlign w:val="bottom"/>
            <w:hideMark/>
          </w:tcPr>
          <w:p w14:paraId="5966377E"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416BB411"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-2.06965</w:t>
            </w:r>
          </w:p>
        </w:tc>
        <w:tc>
          <w:tcPr>
            <w:tcW w:w="461" w:type="dxa"/>
            <w:tcBorders>
              <w:top w:val="nil"/>
              <w:left w:val="nil"/>
              <w:bottom w:val="nil"/>
              <w:right w:val="nil"/>
            </w:tcBorders>
            <w:shd w:val="clear" w:color="auto" w:fill="auto"/>
            <w:noWrap/>
            <w:vAlign w:val="bottom"/>
            <w:hideMark/>
          </w:tcPr>
          <w:p w14:paraId="5BE7BB1A"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6401C6DC"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-2.16715</w:t>
            </w:r>
          </w:p>
        </w:tc>
        <w:tc>
          <w:tcPr>
            <w:tcW w:w="461" w:type="dxa"/>
            <w:tcBorders>
              <w:top w:val="nil"/>
              <w:left w:val="nil"/>
              <w:bottom w:val="nil"/>
              <w:right w:val="nil"/>
            </w:tcBorders>
            <w:shd w:val="clear" w:color="auto" w:fill="auto"/>
            <w:noWrap/>
            <w:vAlign w:val="bottom"/>
            <w:hideMark/>
          </w:tcPr>
          <w:p w14:paraId="3336CDC6"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5880F554"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-3.51712</w:t>
            </w:r>
          </w:p>
        </w:tc>
        <w:tc>
          <w:tcPr>
            <w:tcW w:w="578" w:type="dxa"/>
            <w:tcBorders>
              <w:top w:val="nil"/>
              <w:left w:val="nil"/>
              <w:bottom w:val="nil"/>
              <w:right w:val="nil"/>
            </w:tcBorders>
            <w:shd w:val="clear" w:color="auto" w:fill="auto"/>
            <w:noWrap/>
            <w:vAlign w:val="bottom"/>
            <w:hideMark/>
          </w:tcPr>
          <w:p w14:paraId="66506D88"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3686E854"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-3.17609</w:t>
            </w:r>
          </w:p>
        </w:tc>
        <w:tc>
          <w:tcPr>
            <w:tcW w:w="578" w:type="dxa"/>
            <w:tcBorders>
              <w:top w:val="nil"/>
              <w:left w:val="nil"/>
              <w:bottom w:val="nil"/>
              <w:right w:val="nil"/>
            </w:tcBorders>
            <w:shd w:val="clear" w:color="auto" w:fill="auto"/>
            <w:noWrap/>
            <w:vAlign w:val="bottom"/>
            <w:hideMark/>
          </w:tcPr>
          <w:p w14:paraId="708BA3E6"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c>
          <w:tcPr>
            <w:tcW w:w="1102" w:type="dxa"/>
            <w:tcBorders>
              <w:top w:val="nil"/>
              <w:left w:val="nil"/>
              <w:bottom w:val="nil"/>
              <w:right w:val="nil"/>
            </w:tcBorders>
            <w:shd w:val="clear" w:color="auto" w:fill="auto"/>
            <w:noWrap/>
            <w:vAlign w:val="bottom"/>
            <w:hideMark/>
          </w:tcPr>
          <w:p w14:paraId="381B900A"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-2.97038</w:t>
            </w:r>
          </w:p>
        </w:tc>
        <w:tc>
          <w:tcPr>
            <w:tcW w:w="578" w:type="dxa"/>
            <w:tcBorders>
              <w:top w:val="nil"/>
              <w:left w:val="nil"/>
              <w:bottom w:val="nil"/>
              <w:right w:val="nil"/>
            </w:tcBorders>
            <w:shd w:val="clear" w:color="auto" w:fill="auto"/>
            <w:noWrap/>
            <w:vAlign w:val="bottom"/>
            <w:hideMark/>
          </w:tcPr>
          <w:p w14:paraId="14718F40" w14:textId="77777777" w:rsidR="009B052F" w:rsidRPr="00AA4E57" w:rsidRDefault="009B052F" w:rsidP="001F092A">
            <w:pPr>
              <w:spacing w:after="0" w:line="240" w:lineRule="auto"/>
              <w:jc w:val="center"/>
              <w:rPr>
                <w:rFonts w:ascii="Times New Roman" w:eastAsia="Times New Roman" w:hAnsi="Times New Roman" w:cs="Times New Roman"/>
                <w:i/>
                <w:iCs/>
                <w:color w:val="000000"/>
                <w:lang w:eastAsia="en-GB"/>
              </w:rPr>
            </w:pPr>
          </w:p>
        </w:tc>
      </w:tr>
      <w:tr w:rsidR="009B052F" w:rsidRPr="00AA4E57" w14:paraId="27F0AB23" w14:textId="77777777" w:rsidTr="001F092A">
        <w:trPr>
          <w:trHeight w:val="279"/>
        </w:trPr>
        <w:tc>
          <w:tcPr>
            <w:tcW w:w="1360" w:type="dxa"/>
            <w:tcBorders>
              <w:top w:val="nil"/>
              <w:left w:val="nil"/>
              <w:bottom w:val="nil"/>
              <w:right w:val="nil"/>
            </w:tcBorders>
            <w:shd w:val="clear" w:color="auto" w:fill="auto"/>
            <w:noWrap/>
            <w:vAlign w:val="bottom"/>
            <w:hideMark/>
          </w:tcPr>
          <w:p w14:paraId="57332C25"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beta</w:t>
            </w:r>
          </w:p>
        </w:tc>
        <w:tc>
          <w:tcPr>
            <w:tcW w:w="1102" w:type="dxa"/>
            <w:tcBorders>
              <w:top w:val="nil"/>
              <w:left w:val="nil"/>
              <w:bottom w:val="nil"/>
              <w:right w:val="nil"/>
            </w:tcBorders>
            <w:shd w:val="clear" w:color="auto" w:fill="auto"/>
            <w:noWrap/>
            <w:vAlign w:val="bottom"/>
            <w:hideMark/>
          </w:tcPr>
          <w:p w14:paraId="61316BF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1.38991</w:t>
            </w:r>
          </w:p>
        </w:tc>
        <w:tc>
          <w:tcPr>
            <w:tcW w:w="461" w:type="dxa"/>
            <w:tcBorders>
              <w:top w:val="nil"/>
              <w:left w:val="nil"/>
              <w:bottom w:val="nil"/>
              <w:right w:val="nil"/>
            </w:tcBorders>
            <w:shd w:val="clear" w:color="auto" w:fill="auto"/>
            <w:noWrap/>
            <w:vAlign w:val="bottom"/>
            <w:hideMark/>
          </w:tcPr>
          <w:p w14:paraId="4008E65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0793CC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1.618369</w:t>
            </w:r>
          </w:p>
        </w:tc>
        <w:tc>
          <w:tcPr>
            <w:tcW w:w="461" w:type="dxa"/>
            <w:tcBorders>
              <w:top w:val="nil"/>
              <w:left w:val="nil"/>
              <w:bottom w:val="nil"/>
              <w:right w:val="nil"/>
            </w:tcBorders>
            <w:shd w:val="clear" w:color="auto" w:fill="auto"/>
            <w:noWrap/>
            <w:vAlign w:val="bottom"/>
            <w:hideMark/>
          </w:tcPr>
          <w:p w14:paraId="361D2F0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8A1004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0.88199</w:t>
            </w:r>
          </w:p>
        </w:tc>
        <w:tc>
          <w:tcPr>
            <w:tcW w:w="578" w:type="dxa"/>
            <w:tcBorders>
              <w:top w:val="nil"/>
              <w:left w:val="nil"/>
              <w:bottom w:val="nil"/>
              <w:right w:val="nil"/>
            </w:tcBorders>
            <w:shd w:val="clear" w:color="auto" w:fill="auto"/>
            <w:noWrap/>
            <w:vAlign w:val="bottom"/>
            <w:hideMark/>
          </w:tcPr>
          <w:p w14:paraId="7393444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73AF5E5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0.436867</w:t>
            </w:r>
          </w:p>
        </w:tc>
        <w:tc>
          <w:tcPr>
            <w:tcW w:w="578" w:type="dxa"/>
            <w:tcBorders>
              <w:top w:val="nil"/>
              <w:left w:val="nil"/>
              <w:bottom w:val="nil"/>
              <w:right w:val="nil"/>
            </w:tcBorders>
            <w:shd w:val="clear" w:color="auto" w:fill="auto"/>
            <w:noWrap/>
            <w:vAlign w:val="bottom"/>
            <w:hideMark/>
          </w:tcPr>
          <w:p w14:paraId="29C3F85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5E1A0FD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0.208586</w:t>
            </w:r>
          </w:p>
        </w:tc>
        <w:tc>
          <w:tcPr>
            <w:tcW w:w="578" w:type="dxa"/>
            <w:tcBorders>
              <w:top w:val="nil"/>
              <w:left w:val="nil"/>
              <w:bottom w:val="nil"/>
              <w:right w:val="nil"/>
            </w:tcBorders>
            <w:shd w:val="clear" w:color="auto" w:fill="auto"/>
            <w:noWrap/>
            <w:vAlign w:val="bottom"/>
            <w:hideMark/>
          </w:tcPr>
          <w:p w14:paraId="28DFACB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r>
      <w:tr w:rsidR="009B052F" w:rsidRPr="00AA4E57" w14:paraId="12E5884B" w14:textId="77777777" w:rsidTr="001F092A">
        <w:trPr>
          <w:trHeight w:val="279"/>
        </w:trPr>
        <w:tc>
          <w:tcPr>
            <w:tcW w:w="1360" w:type="dxa"/>
            <w:tcBorders>
              <w:top w:val="nil"/>
              <w:left w:val="nil"/>
              <w:bottom w:val="nil"/>
              <w:right w:val="nil"/>
            </w:tcBorders>
            <w:shd w:val="clear" w:color="auto" w:fill="auto"/>
            <w:noWrap/>
            <w:vAlign w:val="bottom"/>
            <w:hideMark/>
          </w:tcPr>
          <w:p w14:paraId="56E23754"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3F7174A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0.828603</w:t>
            </w:r>
          </w:p>
        </w:tc>
        <w:tc>
          <w:tcPr>
            <w:tcW w:w="461" w:type="dxa"/>
            <w:tcBorders>
              <w:top w:val="nil"/>
              <w:left w:val="nil"/>
              <w:bottom w:val="nil"/>
              <w:right w:val="nil"/>
            </w:tcBorders>
            <w:shd w:val="clear" w:color="auto" w:fill="auto"/>
            <w:noWrap/>
            <w:vAlign w:val="bottom"/>
            <w:hideMark/>
          </w:tcPr>
          <w:p w14:paraId="7E94C3B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2C2450C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0.592996</w:t>
            </w:r>
          </w:p>
        </w:tc>
        <w:tc>
          <w:tcPr>
            <w:tcW w:w="461" w:type="dxa"/>
            <w:tcBorders>
              <w:top w:val="nil"/>
              <w:left w:val="nil"/>
              <w:bottom w:val="nil"/>
              <w:right w:val="nil"/>
            </w:tcBorders>
            <w:shd w:val="clear" w:color="auto" w:fill="auto"/>
            <w:noWrap/>
            <w:vAlign w:val="bottom"/>
            <w:hideMark/>
          </w:tcPr>
          <w:p w14:paraId="083B459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64E9C29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2.041395</w:t>
            </w:r>
          </w:p>
        </w:tc>
        <w:tc>
          <w:tcPr>
            <w:tcW w:w="578" w:type="dxa"/>
            <w:tcBorders>
              <w:top w:val="nil"/>
              <w:left w:val="nil"/>
              <w:bottom w:val="nil"/>
              <w:right w:val="nil"/>
            </w:tcBorders>
            <w:shd w:val="clear" w:color="auto" w:fill="auto"/>
            <w:noWrap/>
            <w:vAlign w:val="bottom"/>
            <w:hideMark/>
          </w:tcPr>
          <w:p w14:paraId="76DBFE8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0C0D77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1.98999</w:t>
            </w:r>
          </w:p>
        </w:tc>
        <w:tc>
          <w:tcPr>
            <w:tcW w:w="578" w:type="dxa"/>
            <w:tcBorders>
              <w:top w:val="nil"/>
              <w:left w:val="nil"/>
              <w:bottom w:val="nil"/>
              <w:right w:val="nil"/>
            </w:tcBorders>
            <w:shd w:val="clear" w:color="auto" w:fill="auto"/>
            <w:noWrap/>
            <w:vAlign w:val="bottom"/>
            <w:hideMark/>
          </w:tcPr>
          <w:p w14:paraId="3117AAD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402624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2.167296</w:t>
            </w:r>
          </w:p>
        </w:tc>
        <w:tc>
          <w:tcPr>
            <w:tcW w:w="578" w:type="dxa"/>
            <w:tcBorders>
              <w:top w:val="nil"/>
              <w:left w:val="nil"/>
              <w:bottom w:val="nil"/>
              <w:right w:val="nil"/>
            </w:tcBorders>
            <w:shd w:val="clear" w:color="auto" w:fill="auto"/>
            <w:noWrap/>
            <w:vAlign w:val="bottom"/>
            <w:hideMark/>
          </w:tcPr>
          <w:p w14:paraId="1A8246D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7A8C0D1B" w14:textId="77777777" w:rsidTr="001F092A">
        <w:trPr>
          <w:trHeight w:val="279"/>
        </w:trPr>
        <w:tc>
          <w:tcPr>
            <w:tcW w:w="1360" w:type="dxa"/>
            <w:tcBorders>
              <w:top w:val="nil"/>
              <w:left w:val="nil"/>
              <w:bottom w:val="nil"/>
              <w:right w:val="nil"/>
            </w:tcBorders>
            <w:shd w:val="clear" w:color="auto" w:fill="auto"/>
            <w:noWrap/>
            <w:vAlign w:val="bottom"/>
            <w:hideMark/>
          </w:tcPr>
          <w:p w14:paraId="0AAA7054"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AUM</w:t>
            </w:r>
          </w:p>
        </w:tc>
        <w:tc>
          <w:tcPr>
            <w:tcW w:w="1102" w:type="dxa"/>
            <w:tcBorders>
              <w:top w:val="nil"/>
              <w:left w:val="nil"/>
              <w:bottom w:val="nil"/>
              <w:right w:val="nil"/>
            </w:tcBorders>
            <w:shd w:val="clear" w:color="auto" w:fill="auto"/>
            <w:noWrap/>
            <w:vAlign w:val="bottom"/>
            <w:hideMark/>
          </w:tcPr>
          <w:p w14:paraId="47A3FA2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0.051026</w:t>
            </w:r>
          </w:p>
        </w:tc>
        <w:tc>
          <w:tcPr>
            <w:tcW w:w="461" w:type="dxa"/>
            <w:tcBorders>
              <w:top w:val="nil"/>
              <w:left w:val="nil"/>
              <w:bottom w:val="nil"/>
              <w:right w:val="nil"/>
            </w:tcBorders>
            <w:shd w:val="clear" w:color="auto" w:fill="auto"/>
            <w:noWrap/>
            <w:vAlign w:val="bottom"/>
            <w:hideMark/>
          </w:tcPr>
          <w:p w14:paraId="78C016A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C332F1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0.098328</w:t>
            </w:r>
          </w:p>
        </w:tc>
        <w:tc>
          <w:tcPr>
            <w:tcW w:w="461" w:type="dxa"/>
            <w:tcBorders>
              <w:top w:val="nil"/>
              <w:left w:val="nil"/>
              <w:bottom w:val="nil"/>
              <w:right w:val="nil"/>
            </w:tcBorders>
            <w:shd w:val="clear" w:color="auto" w:fill="auto"/>
            <w:noWrap/>
            <w:vAlign w:val="bottom"/>
            <w:hideMark/>
          </w:tcPr>
          <w:p w14:paraId="52A22E0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2CD27C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0.073522</w:t>
            </w:r>
          </w:p>
        </w:tc>
        <w:tc>
          <w:tcPr>
            <w:tcW w:w="578" w:type="dxa"/>
            <w:tcBorders>
              <w:top w:val="nil"/>
              <w:left w:val="nil"/>
              <w:bottom w:val="nil"/>
              <w:right w:val="nil"/>
            </w:tcBorders>
            <w:shd w:val="clear" w:color="auto" w:fill="auto"/>
            <w:noWrap/>
            <w:vAlign w:val="bottom"/>
            <w:hideMark/>
          </w:tcPr>
          <w:p w14:paraId="037ABCB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6A70C7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0.033487</w:t>
            </w:r>
          </w:p>
        </w:tc>
        <w:tc>
          <w:tcPr>
            <w:tcW w:w="578" w:type="dxa"/>
            <w:tcBorders>
              <w:top w:val="nil"/>
              <w:left w:val="nil"/>
              <w:bottom w:val="nil"/>
              <w:right w:val="nil"/>
            </w:tcBorders>
            <w:shd w:val="clear" w:color="auto" w:fill="auto"/>
            <w:noWrap/>
            <w:vAlign w:val="bottom"/>
            <w:hideMark/>
          </w:tcPr>
          <w:p w14:paraId="219592A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0228330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0.083823</w:t>
            </w:r>
          </w:p>
        </w:tc>
        <w:tc>
          <w:tcPr>
            <w:tcW w:w="578" w:type="dxa"/>
            <w:tcBorders>
              <w:top w:val="nil"/>
              <w:left w:val="nil"/>
              <w:bottom w:val="nil"/>
              <w:right w:val="nil"/>
            </w:tcBorders>
            <w:shd w:val="clear" w:color="auto" w:fill="auto"/>
            <w:noWrap/>
            <w:vAlign w:val="bottom"/>
            <w:hideMark/>
          </w:tcPr>
          <w:p w14:paraId="5B3AD1B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r>
      <w:tr w:rsidR="009B052F" w:rsidRPr="00AA4E57" w14:paraId="52A2062E" w14:textId="77777777" w:rsidTr="001F092A">
        <w:trPr>
          <w:trHeight w:val="279"/>
        </w:trPr>
        <w:tc>
          <w:tcPr>
            <w:tcW w:w="1360" w:type="dxa"/>
            <w:tcBorders>
              <w:top w:val="nil"/>
              <w:left w:val="nil"/>
              <w:bottom w:val="nil"/>
              <w:right w:val="nil"/>
            </w:tcBorders>
            <w:shd w:val="clear" w:color="auto" w:fill="auto"/>
            <w:noWrap/>
            <w:vAlign w:val="bottom"/>
            <w:hideMark/>
          </w:tcPr>
          <w:p w14:paraId="69DFBB6B"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4725E66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0.781734</w:t>
            </w:r>
          </w:p>
        </w:tc>
        <w:tc>
          <w:tcPr>
            <w:tcW w:w="461" w:type="dxa"/>
            <w:tcBorders>
              <w:top w:val="nil"/>
              <w:left w:val="nil"/>
              <w:bottom w:val="nil"/>
              <w:right w:val="nil"/>
            </w:tcBorders>
            <w:shd w:val="clear" w:color="auto" w:fill="auto"/>
            <w:noWrap/>
            <w:vAlign w:val="bottom"/>
            <w:hideMark/>
          </w:tcPr>
          <w:p w14:paraId="1404611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070DBC9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1.099497</w:t>
            </w:r>
          </w:p>
        </w:tc>
        <w:tc>
          <w:tcPr>
            <w:tcW w:w="461" w:type="dxa"/>
            <w:tcBorders>
              <w:top w:val="nil"/>
              <w:left w:val="nil"/>
              <w:bottom w:val="nil"/>
              <w:right w:val="nil"/>
            </w:tcBorders>
            <w:shd w:val="clear" w:color="auto" w:fill="auto"/>
            <w:noWrap/>
            <w:vAlign w:val="bottom"/>
            <w:hideMark/>
          </w:tcPr>
          <w:p w14:paraId="3508FC1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4BCF02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0.221318</w:t>
            </w:r>
          </w:p>
        </w:tc>
        <w:tc>
          <w:tcPr>
            <w:tcW w:w="578" w:type="dxa"/>
            <w:tcBorders>
              <w:top w:val="nil"/>
              <w:left w:val="nil"/>
              <w:bottom w:val="nil"/>
              <w:right w:val="nil"/>
            </w:tcBorders>
            <w:shd w:val="clear" w:color="auto" w:fill="auto"/>
            <w:noWrap/>
            <w:vAlign w:val="bottom"/>
            <w:hideMark/>
          </w:tcPr>
          <w:p w14:paraId="4F54E4A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06D58DA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1.15317</w:t>
            </w:r>
          </w:p>
        </w:tc>
        <w:tc>
          <w:tcPr>
            <w:tcW w:w="578" w:type="dxa"/>
            <w:tcBorders>
              <w:top w:val="nil"/>
              <w:left w:val="nil"/>
              <w:bottom w:val="nil"/>
              <w:right w:val="nil"/>
            </w:tcBorders>
            <w:shd w:val="clear" w:color="auto" w:fill="auto"/>
            <w:noWrap/>
            <w:vAlign w:val="bottom"/>
            <w:hideMark/>
          </w:tcPr>
          <w:p w14:paraId="49A7FA1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4C32F81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1.91608</w:t>
            </w:r>
          </w:p>
        </w:tc>
        <w:tc>
          <w:tcPr>
            <w:tcW w:w="578" w:type="dxa"/>
            <w:tcBorders>
              <w:top w:val="nil"/>
              <w:left w:val="nil"/>
              <w:bottom w:val="nil"/>
              <w:right w:val="nil"/>
            </w:tcBorders>
            <w:shd w:val="clear" w:color="auto" w:fill="auto"/>
            <w:noWrap/>
            <w:vAlign w:val="bottom"/>
            <w:hideMark/>
          </w:tcPr>
          <w:p w14:paraId="5A643DC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71962A03" w14:textId="77777777" w:rsidTr="001F092A">
        <w:trPr>
          <w:trHeight w:val="279"/>
        </w:trPr>
        <w:tc>
          <w:tcPr>
            <w:tcW w:w="1360" w:type="dxa"/>
            <w:tcBorders>
              <w:top w:val="nil"/>
              <w:left w:val="nil"/>
              <w:bottom w:val="nil"/>
              <w:right w:val="nil"/>
            </w:tcBorders>
            <w:shd w:val="clear" w:color="auto" w:fill="auto"/>
            <w:noWrap/>
            <w:vAlign w:val="bottom"/>
            <w:hideMark/>
          </w:tcPr>
          <w:p w14:paraId="2CD3F039"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alpha</w:t>
            </w:r>
          </w:p>
        </w:tc>
        <w:tc>
          <w:tcPr>
            <w:tcW w:w="1102" w:type="dxa"/>
            <w:tcBorders>
              <w:top w:val="nil"/>
              <w:left w:val="nil"/>
              <w:bottom w:val="nil"/>
              <w:right w:val="nil"/>
            </w:tcBorders>
            <w:shd w:val="clear" w:color="auto" w:fill="auto"/>
            <w:noWrap/>
            <w:vAlign w:val="bottom"/>
            <w:hideMark/>
          </w:tcPr>
          <w:p w14:paraId="59B3888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0.098328</w:t>
            </w:r>
          </w:p>
        </w:tc>
        <w:tc>
          <w:tcPr>
            <w:tcW w:w="461" w:type="dxa"/>
            <w:tcBorders>
              <w:top w:val="nil"/>
              <w:left w:val="nil"/>
              <w:bottom w:val="nil"/>
              <w:right w:val="nil"/>
            </w:tcBorders>
            <w:shd w:val="clear" w:color="auto" w:fill="auto"/>
            <w:noWrap/>
            <w:vAlign w:val="bottom"/>
            <w:hideMark/>
          </w:tcPr>
          <w:p w14:paraId="578AA53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CF15C4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0.024016</w:t>
            </w:r>
          </w:p>
        </w:tc>
        <w:tc>
          <w:tcPr>
            <w:tcW w:w="461" w:type="dxa"/>
            <w:tcBorders>
              <w:top w:val="nil"/>
              <w:left w:val="nil"/>
              <w:bottom w:val="nil"/>
              <w:right w:val="nil"/>
            </w:tcBorders>
            <w:shd w:val="clear" w:color="auto" w:fill="auto"/>
            <w:noWrap/>
            <w:vAlign w:val="bottom"/>
            <w:hideMark/>
          </w:tcPr>
          <w:p w14:paraId="526E61E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6FAE4DF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0.038437</w:t>
            </w:r>
          </w:p>
        </w:tc>
        <w:tc>
          <w:tcPr>
            <w:tcW w:w="578" w:type="dxa"/>
            <w:tcBorders>
              <w:top w:val="nil"/>
              <w:left w:val="nil"/>
              <w:bottom w:val="nil"/>
              <w:right w:val="nil"/>
            </w:tcBorders>
            <w:shd w:val="clear" w:color="auto" w:fill="auto"/>
            <w:noWrap/>
            <w:vAlign w:val="bottom"/>
            <w:hideMark/>
          </w:tcPr>
          <w:p w14:paraId="0CF1799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26D2315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0.070178</w:t>
            </w:r>
          </w:p>
        </w:tc>
        <w:tc>
          <w:tcPr>
            <w:tcW w:w="578" w:type="dxa"/>
            <w:tcBorders>
              <w:top w:val="nil"/>
              <w:left w:val="nil"/>
              <w:bottom w:val="nil"/>
              <w:right w:val="nil"/>
            </w:tcBorders>
            <w:shd w:val="clear" w:color="auto" w:fill="auto"/>
            <w:noWrap/>
            <w:vAlign w:val="bottom"/>
            <w:hideMark/>
          </w:tcPr>
          <w:p w14:paraId="68BC3CE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87A849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0.099167</w:t>
            </w:r>
          </w:p>
        </w:tc>
        <w:tc>
          <w:tcPr>
            <w:tcW w:w="578" w:type="dxa"/>
            <w:tcBorders>
              <w:top w:val="nil"/>
              <w:left w:val="nil"/>
              <w:bottom w:val="nil"/>
              <w:right w:val="nil"/>
            </w:tcBorders>
            <w:shd w:val="clear" w:color="auto" w:fill="auto"/>
            <w:noWrap/>
            <w:vAlign w:val="bottom"/>
            <w:hideMark/>
          </w:tcPr>
          <w:p w14:paraId="2F3DD16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55AD4234" w14:textId="77777777" w:rsidTr="001F092A">
        <w:trPr>
          <w:trHeight w:val="279"/>
        </w:trPr>
        <w:tc>
          <w:tcPr>
            <w:tcW w:w="1360" w:type="dxa"/>
            <w:tcBorders>
              <w:top w:val="nil"/>
              <w:left w:val="nil"/>
              <w:bottom w:val="nil"/>
              <w:right w:val="nil"/>
            </w:tcBorders>
            <w:shd w:val="clear" w:color="auto" w:fill="auto"/>
            <w:noWrap/>
            <w:vAlign w:val="bottom"/>
            <w:hideMark/>
          </w:tcPr>
          <w:p w14:paraId="28D6A2A3"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4D2A104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0.818302</w:t>
            </w:r>
          </w:p>
        </w:tc>
        <w:tc>
          <w:tcPr>
            <w:tcW w:w="461" w:type="dxa"/>
            <w:tcBorders>
              <w:top w:val="nil"/>
              <w:left w:val="nil"/>
              <w:bottom w:val="nil"/>
              <w:right w:val="nil"/>
            </w:tcBorders>
            <w:shd w:val="clear" w:color="auto" w:fill="auto"/>
            <w:noWrap/>
            <w:vAlign w:val="bottom"/>
            <w:hideMark/>
          </w:tcPr>
          <w:p w14:paraId="61BF04B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8252F5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0.56754</w:t>
            </w:r>
          </w:p>
        </w:tc>
        <w:tc>
          <w:tcPr>
            <w:tcW w:w="461" w:type="dxa"/>
            <w:tcBorders>
              <w:top w:val="nil"/>
              <w:left w:val="nil"/>
              <w:bottom w:val="nil"/>
              <w:right w:val="nil"/>
            </w:tcBorders>
            <w:shd w:val="clear" w:color="auto" w:fill="auto"/>
            <w:noWrap/>
            <w:vAlign w:val="bottom"/>
            <w:hideMark/>
          </w:tcPr>
          <w:p w14:paraId="4596A37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F097A7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1.866769</w:t>
            </w:r>
          </w:p>
        </w:tc>
        <w:tc>
          <w:tcPr>
            <w:tcW w:w="578" w:type="dxa"/>
            <w:tcBorders>
              <w:top w:val="nil"/>
              <w:left w:val="nil"/>
              <w:bottom w:val="nil"/>
              <w:right w:val="nil"/>
            </w:tcBorders>
            <w:shd w:val="clear" w:color="auto" w:fill="auto"/>
            <w:noWrap/>
            <w:vAlign w:val="bottom"/>
            <w:hideMark/>
          </w:tcPr>
          <w:p w14:paraId="69AC4BE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1E9800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0.362262</w:t>
            </w:r>
          </w:p>
        </w:tc>
        <w:tc>
          <w:tcPr>
            <w:tcW w:w="578" w:type="dxa"/>
            <w:tcBorders>
              <w:top w:val="nil"/>
              <w:left w:val="nil"/>
              <w:bottom w:val="nil"/>
              <w:right w:val="nil"/>
            </w:tcBorders>
            <w:shd w:val="clear" w:color="auto" w:fill="auto"/>
            <w:noWrap/>
            <w:vAlign w:val="bottom"/>
            <w:hideMark/>
          </w:tcPr>
          <w:p w14:paraId="45E0E6C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60024B8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0.123729</w:t>
            </w:r>
          </w:p>
        </w:tc>
        <w:tc>
          <w:tcPr>
            <w:tcW w:w="578" w:type="dxa"/>
            <w:tcBorders>
              <w:top w:val="nil"/>
              <w:left w:val="nil"/>
              <w:bottom w:val="nil"/>
              <w:right w:val="nil"/>
            </w:tcBorders>
            <w:shd w:val="clear" w:color="auto" w:fill="auto"/>
            <w:noWrap/>
            <w:vAlign w:val="bottom"/>
            <w:hideMark/>
          </w:tcPr>
          <w:p w14:paraId="5317DE0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47E256EC" w14:textId="77777777" w:rsidTr="001F092A">
        <w:trPr>
          <w:trHeight w:val="279"/>
        </w:trPr>
        <w:tc>
          <w:tcPr>
            <w:tcW w:w="1360" w:type="dxa"/>
            <w:tcBorders>
              <w:top w:val="nil"/>
              <w:left w:val="nil"/>
              <w:bottom w:val="nil"/>
              <w:right w:val="nil"/>
            </w:tcBorders>
            <w:shd w:val="clear" w:color="auto" w:fill="auto"/>
            <w:noWrap/>
            <w:vAlign w:val="bottom"/>
            <w:hideMark/>
          </w:tcPr>
          <w:p w14:paraId="72D19D4E"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BM</w:t>
            </w:r>
          </w:p>
        </w:tc>
        <w:tc>
          <w:tcPr>
            <w:tcW w:w="1102" w:type="dxa"/>
            <w:tcBorders>
              <w:top w:val="nil"/>
              <w:left w:val="nil"/>
              <w:bottom w:val="nil"/>
              <w:right w:val="nil"/>
            </w:tcBorders>
            <w:shd w:val="clear" w:color="auto" w:fill="auto"/>
            <w:noWrap/>
            <w:vAlign w:val="bottom"/>
            <w:hideMark/>
          </w:tcPr>
          <w:p w14:paraId="6E8CA00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0.241366</w:t>
            </w:r>
          </w:p>
        </w:tc>
        <w:tc>
          <w:tcPr>
            <w:tcW w:w="461" w:type="dxa"/>
            <w:tcBorders>
              <w:top w:val="nil"/>
              <w:left w:val="nil"/>
              <w:bottom w:val="nil"/>
              <w:right w:val="nil"/>
            </w:tcBorders>
            <w:shd w:val="clear" w:color="auto" w:fill="auto"/>
            <w:noWrap/>
            <w:vAlign w:val="bottom"/>
            <w:hideMark/>
          </w:tcPr>
          <w:p w14:paraId="23E560D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1C1595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0.453213</w:t>
            </w:r>
          </w:p>
        </w:tc>
        <w:tc>
          <w:tcPr>
            <w:tcW w:w="461" w:type="dxa"/>
            <w:tcBorders>
              <w:top w:val="nil"/>
              <w:left w:val="nil"/>
              <w:bottom w:val="nil"/>
              <w:right w:val="nil"/>
            </w:tcBorders>
            <w:shd w:val="clear" w:color="auto" w:fill="auto"/>
            <w:noWrap/>
            <w:vAlign w:val="bottom"/>
            <w:hideMark/>
          </w:tcPr>
          <w:p w14:paraId="618D701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0A12FF0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-0.13233</w:t>
            </w:r>
          </w:p>
        </w:tc>
        <w:tc>
          <w:tcPr>
            <w:tcW w:w="578" w:type="dxa"/>
            <w:tcBorders>
              <w:top w:val="nil"/>
              <w:left w:val="nil"/>
              <w:bottom w:val="nil"/>
              <w:right w:val="nil"/>
            </w:tcBorders>
            <w:shd w:val="clear" w:color="auto" w:fill="auto"/>
            <w:noWrap/>
            <w:vAlign w:val="bottom"/>
            <w:hideMark/>
          </w:tcPr>
          <w:p w14:paraId="15CD5D2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027B2C7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-0.78215</w:t>
            </w:r>
          </w:p>
        </w:tc>
        <w:tc>
          <w:tcPr>
            <w:tcW w:w="578" w:type="dxa"/>
            <w:tcBorders>
              <w:top w:val="nil"/>
              <w:left w:val="nil"/>
              <w:bottom w:val="nil"/>
              <w:right w:val="nil"/>
            </w:tcBorders>
            <w:shd w:val="clear" w:color="auto" w:fill="auto"/>
            <w:noWrap/>
            <w:vAlign w:val="bottom"/>
            <w:hideMark/>
          </w:tcPr>
          <w:p w14:paraId="4A6654E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52D51E0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-0.47436</w:t>
            </w:r>
          </w:p>
        </w:tc>
        <w:tc>
          <w:tcPr>
            <w:tcW w:w="578" w:type="dxa"/>
            <w:tcBorders>
              <w:top w:val="nil"/>
              <w:left w:val="nil"/>
              <w:bottom w:val="nil"/>
              <w:right w:val="nil"/>
            </w:tcBorders>
            <w:shd w:val="clear" w:color="auto" w:fill="auto"/>
            <w:noWrap/>
            <w:vAlign w:val="bottom"/>
            <w:hideMark/>
          </w:tcPr>
          <w:p w14:paraId="54EDF52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r>
      <w:tr w:rsidR="009B052F" w:rsidRPr="00AA4E57" w14:paraId="5AEC3476" w14:textId="77777777" w:rsidTr="001F092A">
        <w:trPr>
          <w:trHeight w:val="279"/>
        </w:trPr>
        <w:tc>
          <w:tcPr>
            <w:tcW w:w="1360" w:type="dxa"/>
            <w:tcBorders>
              <w:top w:val="nil"/>
              <w:left w:val="nil"/>
              <w:bottom w:val="nil"/>
              <w:right w:val="nil"/>
            </w:tcBorders>
            <w:shd w:val="clear" w:color="auto" w:fill="auto"/>
            <w:noWrap/>
            <w:vAlign w:val="bottom"/>
            <w:hideMark/>
          </w:tcPr>
          <w:p w14:paraId="512D6457"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556F37D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1.316573</w:t>
            </w:r>
          </w:p>
        </w:tc>
        <w:tc>
          <w:tcPr>
            <w:tcW w:w="461" w:type="dxa"/>
            <w:tcBorders>
              <w:top w:val="nil"/>
              <w:left w:val="nil"/>
              <w:bottom w:val="nil"/>
              <w:right w:val="nil"/>
            </w:tcBorders>
            <w:shd w:val="clear" w:color="auto" w:fill="auto"/>
            <w:noWrap/>
            <w:vAlign w:val="bottom"/>
            <w:hideMark/>
          </w:tcPr>
          <w:p w14:paraId="26BD417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458450D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1.381458</w:t>
            </w:r>
          </w:p>
        </w:tc>
        <w:tc>
          <w:tcPr>
            <w:tcW w:w="461" w:type="dxa"/>
            <w:tcBorders>
              <w:top w:val="nil"/>
              <w:left w:val="nil"/>
              <w:bottom w:val="nil"/>
              <w:right w:val="nil"/>
            </w:tcBorders>
            <w:shd w:val="clear" w:color="auto" w:fill="auto"/>
            <w:noWrap/>
            <w:vAlign w:val="bottom"/>
            <w:hideMark/>
          </w:tcPr>
          <w:p w14:paraId="001DF1D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7D3A59E"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-3.42525</w:t>
            </w:r>
          </w:p>
        </w:tc>
        <w:tc>
          <w:tcPr>
            <w:tcW w:w="578" w:type="dxa"/>
            <w:tcBorders>
              <w:top w:val="nil"/>
              <w:left w:val="nil"/>
              <w:bottom w:val="nil"/>
              <w:right w:val="nil"/>
            </w:tcBorders>
            <w:shd w:val="clear" w:color="auto" w:fill="auto"/>
            <w:noWrap/>
            <w:vAlign w:val="bottom"/>
            <w:hideMark/>
          </w:tcPr>
          <w:p w14:paraId="2D85501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6E5DE18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-2.02168</w:t>
            </w:r>
          </w:p>
        </w:tc>
        <w:tc>
          <w:tcPr>
            <w:tcW w:w="578" w:type="dxa"/>
            <w:tcBorders>
              <w:top w:val="nil"/>
              <w:left w:val="nil"/>
              <w:bottom w:val="nil"/>
              <w:right w:val="nil"/>
            </w:tcBorders>
            <w:shd w:val="clear" w:color="auto" w:fill="auto"/>
            <w:noWrap/>
            <w:vAlign w:val="bottom"/>
            <w:hideMark/>
          </w:tcPr>
          <w:p w14:paraId="22A1779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2775D8C3"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-1.98998</w:t>
            </w:r>
          </w:p>
        </w:tc>
        <w:tc>
          <w:tcPr>
            <w:tcW w:w="578" w:type="dxa"/>
            <w:tcBorders>
              <w:top w:val="nil"/>
              <w:left w:val="nil"/>
              <w:bottom w:val="nil"/>
              <w:right w:val="nil"/>
            </w:tcBorders>
            <w:shd w:val="clear" w:color="auto" w:fill="auto"/>
            <w:noWrap/>
            <w:vAlign w:val="bottom"/>
            <w:hideMark/>
          </w:tcPr>
          <w:p w14:paraId="6F0982C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0008BE74" w14:textId="77777777" w:rsidTr="001F092A">
        <w:trPr>
          <w:trHeight w:val="279"/>
        </w:trPr>
        <w:tc>
          <w:tcPr>
            <w:tcW w:w="1360" w:type="dxa"/>
            <w:tcBorders>
              <w:top w:val="nil"/>
              <w:left w:val="nil"/>
              <w:bottom w:val="nil"/>
              <w:right w:val="nil"/>
            </w:tcBorders>
            <w:shd w:val="clear" w:color="auto" w:fill="auto"/>
            <w:noWrap/>
            <w:vAlign w:val="bottom"/>
            <w:hideMark/>
          </w:tcPr>
          <w:p w14:paraId="32A5770C"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MoM</w:t>
            </w:r>
          </w:p>
        </w:tc>
        <w:tc>
          <w:tcPr>
            <w:tcW w:w="1102" w:type="dxa"/>
            <w:tcBorders>
              <w:top w:val="nil"/>
              <w:left w:val="nil"/>
              <w:bottom w:val="nil"/>
              <w:right w:val="nil"/>
            </w:tcBorders>
            <w:shd w:val="clear" w:color="auto" w:fill="auto"/>
            <w:noWrap/>
            <w:vAlign w:val="bottom"/>
            <w:hideMark/>
          </w:tcPr>
          <w:p w14:paraId="10D4DB9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0.892246</w:t>
            </w:r>
          </w:p>
        </w:tc>
        <w:tc>
          <w:tcPr>
            <w:tcW w:w="461" w:type="dxa"/>
            <w:tcBorders>
              <w:top w:val="nil"/>
              <w:left w:val="nil"/>
              <w:bottom w:val="nil"/>
              <w:right w:val="nil"/>
            </w:tcBorders>
            <w:shd w:val="clear" w:color="auto" w:fill="auto"/>
            <w:noWrap/>
            <w:vAlign w:val="bottom"/>
            <w:hideMark/>
          </w:tcPr>
          <w:p w14:paraId="50F89CE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6CA7FF1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0.151352</w:t>
            </w:r>
          </w:p>
        </w:tc>
        <w:tc>
          <w:tcPr>
            <w:tcW w:w="461" w:type="dxa"/>
            <w:tcBorders>
              <w:top w:val="nil"/>
              <w:left w:val="nil"/>
              <w:bottom w:val="nil"/>
              <w:right w:val="nil"/>
            </w:tcBorders>
            <w:shd w:val="clear" w:color="auto" w:fill="auto"/>
            <w:noWrap/>
            <w:vAlign w:val="bottom"/>
            <w:hideMark/>
          </w:tcPr>
          <w:p w14:paraId="03F2FA6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B7C95BD"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-0.77609</w:t>
            </w:r>
          </w:p>
        </w:tc>
        <w:tc>
          <w:tcPr>
            <w:tcW w:w="578" w:type="dxa"/>
            <w:tcBorders>
              <w:top w:val="nil"/>
              <w:left w:val="nil"/>
              <w:bottom w:val="nil"/>
              <w:right w:val="nil"/>
            </w:tcBorders>
            <w:shd w:val="clear" w:color="auto" w:fill="auto"/>
            <w:noWrap/>
            <w:vAlign w:val="bottom"/>
            <w:hideMark/>
          </w:tcPr>
          <w:p w14:paraId="15892B1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4A47948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-0.73552</w:t>
            </w:r>
          </w:p>
        </w:tc>
        <w:tc>
          <w:tcPr>
            <w:tcW w:w="578" w:type="dxa"/>
            <w:tcBorders>
              <w:top w:val="nil"/>
              <w:left w:val="nil"/>
              <w:bottom w:val="nil"/>
              <w:right w:val="nil"/>
            </w:tcBorders>
            <w:shd w:val="clear" w:color="auto" w:fill="auto"/>
            <w:noWrap/>
            <w:vAlign w:val="bottom"/>
            <w:hideMark/>
          </w:tcPr>
          <w:p w14:paraId="371A0A8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c>
          <w:tcPr>
            <w:tcW w:w="1102" w:type="dxa"/>
            <w:tcBorders>
              <w:top w:val="nil"/>
              <w:left w:val="nil"/>
              <w:bottom w:val="nil"/>
              <w:right w:val="nil"/>
            </w:tcBorders>
            <w:shd w:val="clear" w:color="auto" w:fill="auto"/>
            <w:noWrap/>
            <w:vAlign w:val="bottom"/>
            <w:hideMark/>
          </w:tcPr>
          <w:p w14:paraId="7D13F20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-0.27355</w:t>
            </w:r>
          </w:p>
        </w:tc>
        <w:tc>
          <w:tcPr>
            <w:tcW w:w="578" w:type="dxa"/>
            <w:tcBorders>
              <w:top w:val="nil"/>
              <w:left w:val="nil"/>
              <w:bottom w:val="nil"/>
              <w:right w:val="nil"/>
            </w:tcBorders>
            <w:shd w:val="clear" w:color="auto" w:fill="auto"/>
            <w:noWrap/>
            <w:vAlign w:val="bottom"/>
            <w:hideMark/>
          </w:tcPr>
          <w:p w14:paraId="0138EDD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w:t>
            </w:r>
          </w:p>
        </w:tc>
      </w:tr>
      <w:tr w:rsidR="009B052F" w:rsidRPr="00AA4E57" w14:paraId="5185ED43" w14:textId="77777777" w:rsidTr="001F092A">
        <w:trPr>
          <w:trHeight w:val="279"/>
        </w:trPr>
        <w:tc>
          <w:tcPr>
            <w:tcW w:w="1360" w:type="dxa"/>
            <w:tcBorders>
              <w:top w:val="nil"/>
              <w:left w:val="nil"/>
              <w:bottom w:val="nil"/>
              <w:right w:val="nil"/>
            </w:tcBorders>
            <w:shd w:val="clear" w:color="auto" w:fill="auto"/>
            <w:noWrap/>
            <w:vAlign w:val="bottom"/>
            <w:hideMark/>
          </w:tcPr>
          <w:p w14:paraId="6A7F12D9"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t stats</w:t>
            </w:r>
          </w:p>
        </w:tc>
        <w:tc>
          <w:tcPr>
            <w:tcW w:w="1102" w:type="dxa"/>
            <w:tcBorders>
              <w:top w:val="nil"/>
              <w:left w:val="nil"/>
              <w:bottom w:val="nil"/>
              <w:right w:val="nil"/>
            </w:tcBorders>
            <w:shd w:val="clear" w:color="auto" w:fill="auto"/>
            <w:noWrap/>
            <w:vAlign w:val="bottom"/>
            <w:hideMark/>
          </w:tcPr>
          <w:p w14:paraId="280308B4"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0.488803</w:t>
            </w:r>
          </w:p>
        </w:tc>
        <w:tc>
          <w:tcPr>
            <w:tcW w:w="461" w:type="dxa"/>
            <w:tcBorders>
              <w:top w:val="nil"/>
              <w:left w:val="nil"/>
              <w:bottom w:val="nil"/>
              <w:right w:val="nil"/>
            </w:tcBorders>
            <w:shd w:val="clear" w:color="auto" w:fill="auto"/>
            <w:noWrap/>
            <w:vAlign w:val="bottom"/>
            <w:hideMark/>
          </w:tcPr>
          <w:p w14:paraId="1771A40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7DAD803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0.223383</w:t>
            </w:r>
          </w:p>
        </w:tc>
        <w:tc>
          <w:tcPr>
            <w:tcW w:w="461" w:type="dxa"/>
            <w:tcBorders>
              <w:top w:val="nil"/>
              <w:left w:val="nil"/>
              <w:bottom w:val="nil"/>
              <w:right w:val="nil"/>
            </w:tcBorders>
            <w:shd w:val="clear" w:color="auto" w:fill="auto"/>
            <w:noWrap/>
            <w:vAlign w:val="bottom"/>
            <w:hideMark/>
          </w:tcPr>
          <w:p w14:paraId="041BE319"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3CE3DCF8"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-2.07151</w:t>
            </w:r>
          </w:p>
        </w:tc>
        <w:tc>
          <w:tcPr>
            <w:tcW w:w="578" w:type="dxa"/>
            <w:tcBorders>
              <w:top w:val="nil"/>
              <w:left w:val="nil"/>
              <w:bottom w:val="nil"/>
              <w:right w:val="nil"/>
            </w:tcBorders>
            <w:shd w:val="clear" w:color="auto" w:fill="auto"/>
            <w:noWrap/>
            <w:vAlign w:val="bottom"/>
            <w:hideMark/>
          </w:tcPr>
          <w:p w14:paraId="0CA0FA5A"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6B10386"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-2.18099</w:t>
            </w:r>
          </w:p>
        </w:tc>
        <w:tc>
          <w:tcPr>
            <w:tcW w:w="578" w:type="dxa"/>
            <w:tcBorders>
              <w:top w:val="nil"/>
              <w:left w:val="nil"/>
              <w:bottom w:val="nil"/>
              <w:right w:val="nil"/>
            </w:tcBorders>
            <w:shd w:val="clear" w:color="auto" w:fill="auto"/>
            <w:noWrap/>
            <w:vAlign w:val="bottom"/>
            <w:hideMark/>
          </w:tcPr>
          <w:p w14:paraId="1FE0E15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c>
          <w:tcPr>
            <w:tcW w:w="1102" w:type="dxa"/>
            <w:tcBorders>
              <w:top w:val="nil"/>
              <w:left w:val="nil"/>
              <w:bottom w:val="nil"/>
              <w:right w:val="nil"/>
            </w:tcBorders>
            <w:shd w:val="clear" w:color="auto" w:fill="auto"/>
            <w:noWrap/>
            <w:vAlign w:val="bottom"/>
            <w:hideMark/>
          </w:tcPr>
          <w:p w14:paraId="11312F7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-2.06162</w:t>
            </w:r>
          </w:p>
        </w:tc>
        <w:tc>
          <w:tcPr>
            <w:tcW w:w="578" w:type="dxa"/>
            <w:tcBorders>
              <w:top w:val="nil"/>
              <w:left w:val="nil"/>
              <w:bottom w:val="nil"/>
              <w:right w:val="nil"/>
            </w:tcBorders>
            <w:shd w:val="clear" w:color="auto" w:fill="auto"/>
            <w:noWrap/>
            <w:vAlign w:val="bottom"/>
            <w:hideMark/>
          </w:tcPr>
          <w:p w14:paraId="26F64A1C"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p>
        </w:tc>
      </w:tr>
      <w:tr w:rsidR="009B052F" w:rsidRPr="00AA4E57" w14:paraId="72DAD871" w14:textId="77777777" w:rsidTr="001F092A">
        <w:trPr>
          <w:trHeight w:val="279"/>
        </w:trPr>
        <w:tc>
          <w:tcPr>
            <w:tcW w:w="1360" w:type="dxa"/>
            <w:tcBorders>
              <w:top w:val="nil"/>
              <w:left w:val="nil"/>
              <w:bottom w:val="single" w:sz="4" w:space="0" w:color="auto"/>
              <w:right w:val="nil"/>
            </w:tcBorders>
            <w:shd w:val="clear" w:color="auto" w:fill="auto"/>
            <w:noWrap/>
            <w:vAlign w:val="bottom"/>
            <w:hideMark/>
          </w:tcPr>
          <w:p w14:paraId="19EBFC0F" w14:textId="77777777" w:rsidR="009B052F" w:rsidRPr="00AA4E57" w:rsidRDefault="009B052F" w:rsidP="001F092A">
            <w:pPr>
              <w:spacing w:after="0" w:line="240" w:lineRule="auto"/>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Adjusted R2</w:t>
            </w:r>
          </w:p>
        </w:tc>
        <w:tc>
          <w:tcPr>
            <w:tcW w:w="1102" w:type="dxa"/>
            <w:tcBorders>
              <w:top w:val="nil"/>
              <w:left w:val="nil"/>
              <w:bottom w:val="single" w:sz="4" w:space="0" w:color="auto"/>
              <w:right w:val="nil"/>
            </w:tcBorders>
            <w:shd w:val="clear" w:color="auto" w:fill="auto"/>
            <w:noWrap/>
            <w:vAlign w:val="bottom"/>
            <w:hideMark/>
          </w:tcPr>
          <w:p w14:paraId="0D318153"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0.62706</w:t>
            </w:r>
          </w:p>
        </w:tc>
        <w:tc>
          <w:tcPr>
            <w:tcW w:w="461" w:type="dxa"/>
            <w:tcBorders>
              <w:top w:val="nil"/>
              <w:left w:val="nil"/>
              <w:bottom w:val="single" w:sz="4" w:space="0" w:color="auto"/>
              <w:right w:val="nil"/>
            </w:tcBorders>
            <w:shd w:val="clear" w:color="auto" w:fill="auto"/>
            <w:noWrap/>
            <w:vAlign w:val="bottom"/>
            <w:hideMark/>
          </w:tcPr>
          <w:p w14:paraId="3F3B17A2"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 </w:t>
            </w:r>
          </w:p>
        </w:tc>
        <w:tc>
          <w:tcPr>
            <w:tcW w:w="1102" w:type="dxa"/>
            <w:tcBorders>
              <w:top w:val="nil"/>
              <w:left w:val="nil"/>
              <w:bottom w:val="single" w:sz="4" w:space="0" w:color="auto"/>
              <w:right w:val="nil"/>
            </w:tcBorders>
            <w:shd w:val="clear" w:color="auto" w:fill="auto"/>
            <w:noWrap/>
            <w:vAlign w:val="bottom"/>
            <w:hideMark/>
          </w:tcPr>
          <w:p w14:paraId="59066A7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0.65732</w:t>
            </w:r>
          </w:p>
        </w:tc>
        <w:tc>
          <w:tcPr>
            <w:tcW w:w="461" w:type="dxa"/>
            <w:tcBorders>
              <w:top w:val="nil"/>
              <w:left w:val="nil"/>
              <w:bottom w:val="single" w:sz="4" w:space="0" w:color="auto"/>
              <w:right w:val="nil"/>
            </w:tcBorders>
            <w:shd w:val="clear" w:color="auto" w:fill="auto"/>
            <w:noWrap/>
            <w:vAlign w:val="bottom"/>
            <w:hideMark/>
          </w:tcPr>
          <w:p w14:paraId="662EE4B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 </w:t>
            </w:r>
          </w:p>
        </w:tc>
        <w:tc>
          <w:tcPr>
            <w:tcW w:w="1102" w:type="dxa"/>
            <w:tcBorders>
              <w:top w:val="nil"/>
              <w:left w:val="nil"/>
              <w:bottom w:val="single" w:sz="4" w:space="0" w:color="auto"/>
              <w:right w:val="nil"/>
            </w:tcBorders>
            <w:shd w:val="clear" w:color="auto" w:fill="auto"/>
            <w:noWrap/>
            <w:vAlign w:val="bottom"/>
            <w:hideMark/>
          </w:tcPr>
          <w:p w14:paraId="300934FF"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0.64287</w:t>
            </w:r>
          </w:p>
        </w:tc>
        <w:tc>
          <w:tcPr>
            <w:tcW w:w="578" w:type="dxa"/>
            <w:tcBorders>
              <w:top w:val="nil"/>
              <w:left w:val="nil"/>
              <w:bottom w:val="single" w:sz="4" w:space="0" w:color="auto"/>
              <w:right w:val="nil"/>
            </w:tcBorders>
            <w:shd w:val="clear" w:color="auto" w:fill="auto"/>
            <w:noWrap/>
            <w:vAlign w:val="bottom"/>
            <w:hideMark/>
          </w:tcPr>
          <w:p w14:paraId="6C42DF6B"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 </w:t>
            </w:r>
          </w:p>
        </w:tc>
        <w:tc>
          <w:tcPr>
            <w:tcW w:w="1102" w:type="dxa"/>
            <w:tcBorders>
              <w:top w:val="nil"/>
              <w:left w:val="nil"/>
              <w:bottom w:val="single" w:sz="4" w:space="0" w:color="auto"/>
              <w:right w:val="nil"/>
            </w:tcBorders>
            <w:shd w:val="clear" w:color="auto" w:fill="auto"/>
            <w:noWrap/>
            <w:vAlign w:val="bottom"/>
            <w:hideMark/>
          </w:tcPr>
          <w:p w14:paraId="5C820255"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0.71775</w:t>
            </w:r>
          </w:p>
        </w:tc>
        <w:tc>
          <w:tcPr>
            <w:tcW w:w="578" w:type="dxa"/>
            <w:tcBorders>
              <w:top w:val="nil"/>
              <w:left w:val="nil"/>
              <w:bottom w:val="single" w:sz="4" w:space="0" w:color="auto"/>
              <w:right w:val="nil"/>
            </w:tcBorders>
            <w:shd w:val="clear" w:color="auto" w:fill="auto"/>
            <w:noWrap/>
            <w:vAlign w:val="bottom"/>
            <w:hideMark/>
          </w:tcPr>
          <w:p w14:paraId="02A05777"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 </w:t>
            </w:r>
          </w:p>
        </w:tc>
        <w:tc>
          <w:tcPr>
            <w:tcW w:w="1102" w:type="dxa"/>
            <w:tcBorders>
              <w:top w:val="nil"/>
              <w:left w:val="nil"/>
              <w:bottom w:val="single" w:sz="4" w:space="0" w:color="auto"/>
              <w:right w:val="nil"/>
            </w:tcBorders>
            <w:shd w:val="clear" w:color="auto" w:fill="auto"/>
            <w:noWrap/>
            <w:vAlign w:val="bottom"/>
            <w:hideMark/>
          </w:tcPr>
          <w:p w14:paraId="5C4828E0"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0.60783</w:t>
            </w:r>
          </w:p>
        </w:tc>
        <w:tc>
          <w:tcPr>
            <w:tcW w:w="578" w:type="dxa"/>
            <w:tcBorders>
              <w:top w:val="nil"/>
              <w:left w:val="nil"/>
              <w:bottom w:val="single" w:sz="4" w:space="0" w:color="auto"/>
              <w:right w:val="nil"/>
            </w:tcBorders>
            <w:shd w:val="clear" w:color="auto" w:fill="auto"/>
            <w:noWrap/>
            <w:vAlign w:val="bottom"/>
            <w:hideMark/>
          </w:tcPr>
          <w:p w14:paraId="5754FF81" w14:textId="77777777" w:rsidR="009B052F" w:rsidRPr="00AA4E57" w:rsidRDefault="009B052F" w:rsidP="001F092A">
            <w:pPr>
              <w:spacing w:after="0" w:line="240" w:lineRule="auto"/>
              <w:jc w:val="center"/>
              <w:rPr>
                <w:rFonts w:ascii="Times New Roman" w:eastAsia="Times New Roman" w:hAnsi="Times New Roman" w:cs="Times New Roman"/>
                <w:color w:val="000000"/>
                <w:lang w:eastAsia="en-GB"/>
              </w:rPr>
            </w:pPr>
            <w:r w:rsidRPr="00AA4E57">
              <w:rPr>
                <w:rFonts w:ascii="Times New Roman" w:eastAsia="Times New Roman" w:hAnsi="Times New Roman" w:cs="Times New Roman"/>
                <w:color w:val="000000"/>
                <w:lang w:eastAsia="en-GB"/>
              </w:rPr>
              <w:t> </w:t>
            </w:r>
          </w:p>
        </w:tc>
      </w:tr>
      <w:tr w:rsidR="009B052F" w:rsidRPr="00AA4E57" w14:paraId="4E82515C" w14:textId="77777777" w:rsidTr="001F092A">
        <w:trPr>
          <w:trHeight w:val="279"/>
        </w:trPr>
        <w:tc>
          <w:tcPr>
            <w:tcW w:w="9528" w:type="dxa"/>
            <w:gridSpan w:val="11"/>
            <w:tcBorders>
              <w:top w:val="single" w:sz="4" w:space="0" w:color="auto"/>
              <w:left w:val="nil"/>
              <w:bottom w:val="nil"/>
              <w:right w:val="nil"/>
            </w:tcBorders>
            <w:shd w:val="clear" w:color="auto" w:fill="auto"/>
            <w:noWrap/>
            <w:vAlign w:val="bottom"/>
            <w:hideMark/>
          </w:tcPr>
          <w:p w14:paraId="50AE6C6C" w14:textId="77777777" w:rsidR="009B052F" w:rsidRPr="00AA4E57" w:rsidRDefault="009B052F" w:rsidP="001F092A">
            <w:pPr>
              <w:spacing w:after="0" w:line="240" w:lineRule="auto"/>
              <w:rPr>
                <w:rFonts w:ascii="Times New Roman" w:eastAsia="Times New Roman" w:hAnsi="Times New Roman" w:cs="Times New Roman"/>
                <w:i/>
                <w:iCs/>
                <w:color w:val="000000"/>
                <w:lang w:eastAsia="en-GB"/>
              </w:rPr>
            </w:pPr>
            <w:r w:rsidRPr="00AA4E57">
              <w:rPr>
                <w:rFonts w:ascii="Times New Roman" w:eastAsia="Times New Roman" w:hAnsi="Times New Roman" w:cs="Times New Roman"/>
                <w:i/>
                <w:iCs/>
                <w:color w:val="000000"/>
                <w:lang w:eastAsia="en-GB"/>
              </w:rPr>
              <w:t>*** represents significance at 1%, ** at 5%, and * at 10%</w:t>
            </w:r>
          </w:p>
        </w:tc>
      </w:tr>
    </w:tbl>
    <w:p w14:paraId="7878265D" w14:textId="77777777" w:rsidR="009B052F" w:rsidRPr="00A7433F" w:rsidRDefault="009B052F" w:rsidP="009B052F">
      <w:pPr>
        <w:rPr>
          <w:rFonts w:ascii="Times New Roman" w:hAnsi="Times New Roman" w:cs="Times New Roman"/>
          <w:sz w:val="24"/>
          <w:szCs w:val="24"/>
        </w:rPr>
      </w:pPr>
    </w:p>
    <w:p w14:paraId="795EDA5F" w14:textId="3464A5DD" w:rsidR="00300445" w:rsidRPr="00176E2A" w:rsidRDefault="00300445" w:rsidP="0018549F">
      <w:pPr>
        <w:rPr>
          <w:rFonts w:ascii="Times New Roman" w:hAnsi="Times New Roman" w:cs="Times New Roman"/>
          <w:sz w:val="24"/>
          <w:szCs w:val="24"/>
        </w:rPr>
      </w:pPr>
    </w:p>
    <w:sectPr w:rsidR="00300445" w:rsidRPr="00176E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0F4C" w14:textId="77777777" w:rsidR="00B137DE" w:rsidRDefault="00B137DE" w:rsidP="00AF0072">
      <w:pPr>
        <w:spacing w:after="0" w:line="240" w:lineRule="auto"/>
      </w:pPr>
      <w:r>
        <w:separator/>
      </w:r>
    </w:p>
  </w:endnote>
  <w:endnote w:type="continuationSeparator" w:id="0">
    <w:p w14:paraId="20BBD2EB" w14:textId="77777777" w:rsidR="00B137DE" w:rsidRDefault="00B137DE" w:rsidP="00AF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E5CD" w14:textId="77777777" w:rsidR="00B137DE" w:rsidRDefault="00B137DE" w:rsidP="00AF0072">
      <w:pPr>
        <w:spacing w:after="0" w:line="240" w:lineRule="auto"/>
      </w:pPr>
      <w:r>
        <w:separator/>
      </w:r>
    </w:p>
  </w:footnote>
  <w:footnote w:type="continuationSeparator" w:id="0">
    <w:p w14:paraId="03FD20F8" w14:textId="77777777" w:rsidR="00B137DE" w:rsidRDefault="00B137DE" w:rsidP="00AF00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MDIzMTY1Mbc0tLRU0lEKTi0uzszPAykwNKsFAO7GGastAAAA"/>
  </w:docVars>
  <w:rsids>
    <w:rsidRoot w:val="00583F11"/>
    <w:rsid w:val="00002EFF"/>
    <w:rsid w:val="00002F0B"/>
    <w:rsid w:val="00003981"/>
    <w:rsid w:val="00004926"/>
    <w:rsid w:val="00004C23"/>
    <w:rsid w:val="00007DEA"/>
    <w:rsid w:val="00020FA4"/>
    <w:rsid w:val="00027B58"/>
    <w:rsid w:val="000335A2"/>
    <w:rsid w:val="000347EF"/>
    <w:rsid w:val="00034AE7"/>
    <w:rsid w:val="00037120"/>
    <w:rsid w:val="00040C98"/>
    <w:rsid w:val="00041D47"/>
    <w:rsid w:val="00045F79"/>
    <w:rsid w:val="000501A4"/>
    <w:rsid w:val="00051B89"/>
    <w:rsid w:val="00052837"/>
    <w:rsid w:val="00052943"/>
    <w:rsid w:val="00052D1A"/>
    <w:rsid w:val="00054E6B"/>
    <w:rsid w:val="00060C7C"/>
    <w:rsid w:val="00064881"/>
    <w:rsid w:val="000663F6"/>
    <w:rsid w:val="00067266"/>
    <w:rsid w:val="00067B63"/>
    <w:rsid w:val="00070832"/>
    <w:rsid w:val="00073F20"/>
    <w:rsid w:val="00080594"/>
    <w:rsid w:val="000824AF"/>
    <w:rsid w:val="00087BDA"/>
    <w:rsid w:val="000A0F93"/>
    <w:rsid w:val="000A544C"/>
    <w:rsid w:val="000A5AC9"/>
    <w:rsid w:val="000A7981"/>
    <w:rsid w:val="000B0BAB"/>
    <w:rsid w:val="000B3D84"/>
    <w:rsid w:val="000B7503"/>
    <w:rsid w:val="000C2688"/>
    <w:rsid w:val="000C53E5"/>
    <w:rsid w:val="000C5870"/>
    <w:rsid w:val="000D285E"/>
    <w:rsid w:val="000D31BD"/>
    <w:rsid w:val="000D36AF"/>
    <w:rsid w:val="000E0A83"/>
    <w:rsid w:val="000E382C"/>
    <w:rsid w:val="000E6F85"/>
    <w:rsid w:val="000F7E14"/>
    <w:rsid w:val="00100448"/>
    <w:rsid w:val="00100A1A"/>
    <w:rsid w:val="00105BD4"/>
    <w:rsid w:val="00110762"/>
    <w:rsid w:val="0011444A"/>
    <w:rsid w:val="001159A1"/>
    <w:rsid w:val="00115E36"/>
    <w:rsid w:val="00117031"/>
    <w:rsid w:val="001279BB"/>
    <w:rsid w:val="00134A7C"/>
    <w:rsid w:val="001378AC"/>
    <w:rsid w:val="0014012C"/>
    <w:rsid w:val="00141C6A"/>
    <w:rsid w:val="00142373"/>
    <w:rsid w:val="001477EE"/>
    <w:rsid w:val="00151127"/>
    <w:rsid w:val="001539C1"/>
    <w:rsid w:val="00154DB3"/>
    <w:rsid w:val="00155CE7"/>
    <w:rsid w:val="00161847"/>
    <w:rsid w:val="00162EAB"/>
    <w:rsid w:val="00163F12"/>
    <w:rsid w:val="00165DAE"/>
    <w:rsid w:val="00176E2A"/>
    <w:rsid w:val="001829D0"/>
    <w:rsid w:val="00183585"/>
    <w:rsid w:val="0018549F"/>
    <w:rsid w:val="00185A69"/>
    <w:rsid w:val="00190BBD"/>
    <w:rsid w:val="00193825"/>
    <w:rsid w:val="00195E49"/>
    <w:rsid w:val="001A649B"/>
    <w:rsid w:val="001A7C59"/>
    <w:rsid w:val="001B0446"/>
    <w:rsid w:val="001B32D9"/>
    <w:rsid w:val="001B4506"/>
    <w:rsid w:val="001B4730"/>
    <w:rsid w:val="001B624E"/>
    <w:rsid w:val="001C0112"/>
    <w:rsid w:val="001C274D"/>
    <w:rsid w:val="001C3C8D"/>
    <w:rsid w:val="001D313B"/>
    <w:rsid w:val="001D55C7"/>
    <w:rsid w:val="001E27A8"/>
    <w:rsid w:val="001E2D42"/>
    <w:rsid w:val="001E2F88"/>
    <w:rsid w:val="001E61A6"/>
    <w:rsid w:val="001E7E0E"/>
    <w:rsid w:val="001F0336"/>
    <w:rsid w:val="001F39ED"/>
    <w:rsid w:val="001F52F4"/>
    <w:rsid w:val="00206201"/>
    <w:rsid w:val="00206763"/>
    <w:rsid w:val="00211359"/>
    <w:rsid w:val="0022395A"/>
    <w:rsid w:val="0022396B"/>
    <w:rsid w:val="00224FFF"/>
    <w:rsid w:val="002259AB"/>
    <w:rsid w:val="00227E56"/>
    <w:rsid w:val="00230CB7"/>
    <w:rsid w:val="00236EE4"/>
    <w:rsid w:val="00244290"/>
    <w:rsid w:val="0024735F"/>
    <w:rsid w:val="00247414"/>
    <w:rsid w:val="00251A49"/>
    <w:rsid w:val="002547F5"/>
    <w:rsid w:val="00255310"/>
    <w:rsid w:val="00257386"/>
    <w:rsid w:val="00260BA4"/>
    <w:rsid w:val="002625F9"/>
    <w:rsid w:val="0026280B"/>
    <w:rsid w:val="00264FA1"/>
    <w:rsid w:val="002664F5"/>
    <w:rsid w:val="0028015A"/>
    <w:rsid w:val="00283EB6"/>
    <w:rsid w:val="00287E15"/>
    <w:rsid w:val="00292B44"/>
    <w:rsid w:val="002934A9"/>
    <w:rsid w:val="00295898"/>
    <w:rsid w:val="00297A47"/>
    <w:rsid w:val="002A1E7B"/>
    <w:rsid w:val="002A62FC"/>
    <w:rsid w:val="002B3724"/>
    <w:rsid w:val="002B493D"/>
    <w:rsid w:val="002C1EDB"/>
    <w:rsid w:val="002C6893"/>
    <w:rsid w:val="002D020D"/>
    <w:rsid w:val="002D1793"/>
    <w:rsid w:val="002D2225"/>
    <w:rsid w:val="002D36F4"/>
    <w:rsid w:val="002D425A"/>
    <w:rsid w:val="002E1629"/>
    <w:rsid w:val="002E5D5D"/>
    <w:rsid w:val="002E6E54"/>
    <w:rsid w:val="002F0CCE"/>
    <w:rsid w:val="002F1372"/>
    <w:rsid w:val="00300445"/>
    <w:rsid w:val="003062C5"/>
    <w:rsid w:val="003066B8"/>
    <w:rsid w:val="00307A34"/>
    <w:rsid w:val="00313547"/>
    <w:rsid w:val="00323362"/>
    <w:rsid w:val="00323EE0"/>
    <w:rsid w:val="0033058B"/>
    <w:rsid w:val="003316A6"/>
    <w:rsid w:val="00337073"/>
    <w:rsid w:val="00343671"/>
    <w:rsid w:val="00347DD4"/>
    <w:rsid w:val="00354395"/>
    <w:rsid w:val="0035627D"/>
    <w:rsid w:val="00361C71"/>
    <w:rsid w:val="0036225A"/>
    <w:rsid w:val="003625DE"/>
    <w:rsid w:val="00365023"/>
    <w:rsid w:val="00365909"/>
    <w:rsid w:val="00367DA7"/>
    <w:rsid w:val="00371214"/>
    <w:rsid w:val="00372844"/>
    <w:rsid w:val="0037684F"/>
    <w:rsid w:val="00381CCA"/>
    <w:rsid w:val="00383D32"/>
    <w:rsid w:val="00384C7E"/>
    <w:rsid w:val="00386411"/>
    <w:rsid w:val="00387F12"/>
    <w:rsid w:val="00393F8F"/>
    <w:rsid w:val="00394F2F"/>
    <w:rsid w:val="003A6A35"/>
    <w:rsid w:val="003A6F31"/>
    <w:rsid w:val="003B023E"/>
    <w:rsid w:val="003B2561"/>
    <w:rsid w:val="003B41D8"/>
    <w:rsid w:val="003B6BD9"/>
    <w:rsid w:val="003B70E0"/>
    <w:rsid w:val="003C058F"/>
    <w:rsid w:val="003C6550"/>
    <w:rsid w:val="003D15A0"/>
    <w:rsid w:val="003D6213"/>
    <w:rsid w:val="003D7212"/>
    <w:rsid w:val="003D726C"/>
    <w:rsid w:val="003E0DFC"/>
    <w:rsid w:val="003E115E"/>
    <w:rsid w:val="003F0B5A"/>
    <w:rsid w:val="003F15CB"/>
    <w:rsid w:val="003F36A3"/>
    <w:rsid w:val="003F5A5F"/>
    <w:rsid w:val="00410F7B"/>
    <w:rsid w:val="00414A6D"/>
    <w:rsid w:val="004200ED"/>
    <w:rsid w:val="00421225"/>
    <w:rsid w:val="0042130F"/>
    <w:rsid w:val="00421795"/>
    <w:rsid w:val="00423633"/>
    <w:rsid w:val="00426A34"/>
    <w:rsid w:val="004306C4"/>
    <w:rsid w:val="0044178E"/>
    <w:rsid w:val="004417FD"/>
    <w:rsid w:val="00441A48"/>
    <w:rsid w:val="004422B3"/>
    <w:rsid w:val="00446337"/>
    <w:rsid w:val="0045241B"/>
    <w:rsid w:val="00454757"/>
    <w:rsid w:val="00460BB2"/>
    <w:rsid w:val="00462BB3"/>
    <w:rsid w:val="00472375"/>
    <w:rsid w:val="00475715"/>
    <w:rsid w:val="00476BC1"/>
    <w:rsid w:val="0047702C"/>
    <w:rsid w:val="004810F8"/>
    <w:rsid w:val="0048266D"/>
    <w:rsid w:val="00483BCC"/>
    <w:rsid w:val="004847E6"/>
    <w:rsid w:val="00490A69"/>
    <w:rsid w:val="00491180"/>
    <w:rsid w:val="004931B6"/>
    <w:rsid w:val="004A163F"/>
    <w:rsid w:val="004A536C"/>
    <w:rsid w:val="004B24F8"/>
    <w:rsid w:val="004B380C"/>
    <w:rsid w:val="004B5C0A"/>
    <w:rsid w:val="004C173E"/>
    <w:rsid w:val="004C6B63"/>
    <w:rsid w:val="004C78AF"/>
    <w:rsid w:val="004D1AF4"/>
    <w:rsid w:val="004D2623"/>
    <w:rsid w:val="004D40C5"/>
    <w:rsid w:val="004F1856"/>
    <w:rsid w:val="004F1C78"/>
    <w:rsid w:val="004F344F"/>
    <w:rsid w:val="004F5B6D"/>
    <w:rsid w:val="004F770F"/>
    <w:rsid w:val="00501DF9"/>
    <w:rsid w:val="00516A2F"/>
    <w:rsid w:val="00520238"/>
    <w:rsid w:val="00522403"/>
    <w:rsid w:val="0052627B"/>
    <w:rsid w:val="00527B8E"/>
    <w:rsid w:val="00545045"/>
    <w:rsid w:val="00545F2F"/>
    <w:rsid w:val="00547E0F"/>
    <w:rsid w:val="0055148A"/>
    <w:rsid w:val="005540AD"/>
    <w:rsid w:val="0055730F"/>
    <w:rsid w:val="0055737D"/>
    <w:rsid w:val="0056533A"/>
    <w:rsid w:val="00570C06"/>
    <w:rsid w:val="00572324"/>
    <w:rsid w:val="0057491C"/>
    <w:rsid w:val="00574BAB"/>
    <w:rsid w:val="0057642A"/>
    <w:rsid w:val="005817FF"/>
    <w:rsid w:val="005820B6"/>
    <w:rsid w:val="00583F11"/>
    <w:rsid w:val="00587196"/>
    <w:rsid w:val="00592B50"/>
    <w:rsid w:val="00593146"/>
    <w:rsid w:val="0059366B"/>
    <w:rsid w:val="00596338"/>
    <w:rsid w:val="0059742E"/>
    <w:rsid w:val="00597572"/>
    <w:rsid w:val="005A1F9A"/>
    <w:rsid w:val="005A2B86"/>
    <w:rsid w:val="005A6229"/>
    <w:rsid w:val="005B3EB6"/>
    <w:rsid w:val="005C20EE"/>
    <w:rsid w:val="005C233C"/>
    <w:rsid w:val="005C2ADB"/>
    <w:rsid w:val="005C4812"/>
    <w:rsid w:val="005D15C0"/>
    <w:rsid w:val="005D30CD"/>
    <w:rsid w:val="005D3AA0"/>
    <w:rsid w:val="005D4DC6"/>
    <w:rsid w:val="005D5DE0"/>
    <w:rsid w:val="005E1C97"/>
    <w:rsid w:val="005E5C05"/>
    <w:rsid w:val="005F1486"/>
    <w:rsid w:val="005F2135"/>
    <w:rsid w:val="005F6BE4"/>
    <w:rsid w:val="005F75F1"/>
    <w:rsid w:val="00600650"/>
    <w:rsid w:val="00600A8D"/>
    <w:rsid w:val="006033E0"/>
    <w:rsid w:val="006041AA"/>
    <w:rsid w:val="006073CD"/>
    <w:rsid w:val="0061609F"/>
    <w:rsid w:val="00622402"/>
    <w:rsid w:val="0062313B"/>
    <w:rsid w:val="00633B43"/>
    <w:rsid w:val="00634411"/>
    <w:rsid w:val="006411FF"/>
    <w:rsid w:val="00641F21"/>
    <w:rsid w:val="006421AA"/>
    <w:rsid w:val="0064381E"/>
    <w:rsid w:val="00653704"/>
    <w:rsid w:val="00654924"/>
    <w:rsid w:val="00656B3E"/>
    <w:rsid w:val="006612C8"/>
    <w:rsid w:val="0066133C"/>
    <w:rsid w:val="00667BFA"/>
    <w:rsid w:val="006726A9"/>
    <w:rsid w:val="0068382F"/>
    <w:rsid w:val="0069020B"/>
    <w:rsid w:val="0069078A"/>
    <w:rsid w:val="00691F5E"/>
    <w:rsid w:val="00696DBB"/>
    <w:rsid w:val="006A5D46"/>
    <w:rsid w:val="006B335C"/>
    <w:rsid w:val="006C0235"/>
    <w:rsid w:val="006C335C"/>
    <w:rsid w:val="006C61C9"/>
    <w:rsid w:val="006C75BF"/>
    <w:rsid w:val="006D0964"/>
    <w:rsid w:val="006D0D84"/>
    <w:rsid w:val="006D1C3E"/>
    <w:rsid w:val="006E39B2"/>
    <w:rsid w:val="006E5317"/>
    <w:rsid w:val="006E6038"/>
    <w:rsid w:val="006E798D"/>
    <w:rsid w:val="006E7D90"/>
    <w:rsid w:val="006E7EE9"/>
    <w:rsid w:val="006F302A"/>
    <w:rsid w:val="006F4CDF"/>
    <w:rsid w:val="0070040E"/>
    <w:rsid w:val="0070339B"/>
    <w:rsid w:val="0070398A"/>
    <w:rsid w:val="00703AD8"/>
    <w:rsid w:val="00710A58"/>
    <w:rsid w:val="00710C6B"/>
    <w:rsid w:val="007144BD"/>
    <w:rsid w:val="0071696C"/>
    <w:rsid w:val="0072109E"/>
    <w:rsid w:val="00721203"/>
    <w:rsid w:val="00724F18"/>
    <w:rsid w:val="00727F8A"/>
    <w:rsid w:val="007333C5"/>
    <w:rsid w:val="0073750B"/>
    <w:rsid w:val="00743538"/>
    <w:rsid w:val="00745D61"/>
    <w:rsid w:val="00747C5E"/>
    <w:rsid w:val="00747E8E"/>
    <w:rsid w:val="0075654F"/>
    <w:rsid w:val="00760F3A"/>
    <w:rsid w:val="00765F63"/>
    <w:rsid w:val="007703D8"/>
    <w:rsid w:val="0077123E"/>
    <w:rsid w:val="0077462F"/>
    <w:rsid w:val="0078293E"/>
    <w:rsid w:val="00786005"/>
    <w:rsid w:val="0078743C"/>
    <w:rsid w:val="007942F8"/>
    <w:rsid w:val="00797C76"/>
    <w:rsid w:val="007A0C7F"/>
    <w:rsid w:val="007A2FB1"/>
    <w:rsid w:val="007A4385"/>
    <w:rsid w:val="007B14C5"/>
    <w:rsid w:val="007B1E39"/>
    <w:rsid w:val="007B2324"/>
    <w:rsid w:val="007B6F3E"/>
    <w:rsid w:val="007C2F8F"/>
    <w:rsid w:val="007C3461"/>
    <w:rsid w:val="007C432A"/>
    <w:rsid w:val="007C6488"/>
    <w:rsid w:val="007C73C0"/>
    <w:rsid w:val="007D285F"/>
    <w:rsid w:val="007D5505"/>
    <w:rsid w:val="007D6074"/>
    <w:rsid w:val="007E498F"/>
    <w:rsid w:val="007E5E29"/>
    <w:rsid w:val="007E7028"/>
    <w:rsid w:val="007E73EC"/>
    <w:rsid w:val="007F4D0A"/>
    <w:rsid w:val="007F5D60"/>
    <w:rsid w:val="007F5E05"/>
    <w:rsid w:val="008067BE"/>
    <w:rsid w:val="00810804"/>
    <w:rsid w:val="00816C1D"/>
    <w:rsid w:val="00822332"/>
    <w:rsid w:val="008262F4"/>
    <w:rsid w:val="0082641A"/>
    <w:rsid w:val="008302FC"/>
    <w:rsid w:val="00830799"/>
    <w:rsid w:val="008408A5"/>
    <w:rsid w:val="008478C9"/>
    <w:rsid w:val="0085123D"/>
    <w:rsid w:val="0085796D"/>
    <w:rsid w:val="00861E9B"/>
    <w:rsid w:val="0086543D"/>
    <w:rsid w:val="00874756"/>
    <w:rsid w:val="00874CD2"/>
    <w:rsid w:val="008804CC"/>
    <w:rsid w:val="0088081F"/>
    <w:rsid w:val="0088215B"/>
    <w:rsid w:val="00884C3D"/>
    <w:rsid w:val="0089091F"/>
    <w:rsid w:val="008A1456"/>
    <w:rsid w:val="008A1ECE"/>
    <w:rsid w:val="008A21A2"/>
    <w:rsid w:val="008A306E"/>
    <w:rsid w:val="008A38AC"/>
    <w:rsid w:val="008A5497"/>
    <w:rsid w:val="008A6C9C"/>
    <w:rsid w:val="008B2BCA"/>
    <w:rsid w:val="008B728F"/>
    <w:rsid w:val="008B7C87"/>
    <w:rsid w:val="008B7F57"/>
    <w:rsid w:val="008C1A27"/>
    <w:rsid w:val="008C5CAF"/>
    <w:rsid w:val="008D1017"/>
    <w:rsid w:val="008D7035"/>
    <w:rsid w:val="008E3740"/>
    <w:rsid w:val="008E5668"/>
    <w:rsid w:val="008F2BBD"/>
    <w:rsid w:val="008F4F0B"/>
    <w:rsid w:val="008F5490"/>
    <w:rsid w:val="008F6BB8"/>
    <w:rsid w:val="009043D7"/>
    <w:rsid w:val="0090688B"/>
    <w:rsid w:val="009108EB"/>
    <w:rsid w:val="00915271"/>
    <w:rsid w:val="0092149D"/>
    <w:rsid w:val="0093082D"/>
    <w:rsid w:val="009312F6"/>
    <w:rsid w:val="009326D1"/>
    <w:rsid w:val="00940D84"/>
    <w:rsid w:val="00941A60"/>
    <w:rsid w:val="009425CF"/>
    <w:rsid w:val="009437D0"/>
    <w:rsid w:val="00944F62"/>
    <w:rsid w:val="00951EAB"/>
    <w:rsid w:val="00952B71"/>
    <w:rsid w:val="00954089"/>
    <w:rsid w:val="00957009"/>
    <w:rsid w:val="0097315A"/>
    <w:rsid w:val="0097751F"/>
    <w:rsid w:val="0099036B"/>
    <w:rsid w:val="009B052F"/>
    <w:rsid w:val="009B4264"/>
    <w:rsid w:val="009B54F2"/>
    <w:rsid w:val="009B5F0D"/>
    <w:rsid w:val="009C121A"/>
    <w:rsid w:val="009C5FAB"/>
    <w:rsid w:val="009C67D8"/>
    <w:rsid w:val="009C6C2F"/>
    <w:rsid w:val="009D276E"/>
    <w:rsid w:val="009E02B2"/>
    <w:rsid w:val="009F24F2"/>
    <w:rsid w:val="009F4D02"/>
    <w:rsid w:val="009F5440"/>
    <w:rsid w:val="009F5615"/>
    <w:rsid w:val="009F69D3"/>
    <w:rsid w:val="00A041CA"/>
    <w:rsid w:val="00A07B5D"/>
    <w:rsid w:val="00A11403"/>
    <w:rsid w:val="00A11F36"/>
    <w:rsid w:val="00A14A30"/>
    <w:rsid w:val="00A1645F"/>
    <w:rsid w:val="00A2258A"/>
    <w:rsid w:val="00A245DD"/>
    <w:rsid w:val="00A30C80"/>
    <w:rsid w:val="00A34CB1"/>
    <w:rsid w:val="00A42897"/>
    <w:rsid w:val="00A43C93"/>
    <w:rsid w:val="00A45520"/>
    <w:rsid w:val="00A46706"/>
    <w:rsid w:val="00A47E81"/>
    <w:rsid w:val="00A54F72"/>
    <w:rsid w:val="00A56E6C"/>
    <w:rsid w:val="00A603AA"/>
    <w:rsid w:val="00A60961"/>
    <w:rsid w:val="00A67397"/>
    <w:rsid w:val="00A70545"/>
    <w:rsid w:val="00A7059F"/>
    <w:rsid w:val="00A70C76"/>
    <w:rsid w:val="00A72F49"/>
    <w:rsid w:val="00A75770"/>
    <w:rsid w:val="00A77527"/>
    <w:rsid w:val="00A81D46"/>
    <w:rsid w:val="00A835B3"/>
    <w:rsid w:val="00A83DB7"/>
    <w:rsid w:val="00A846DE"/>
    <w:rsid w:val="00A90A2D"/>
    <w:rsid w:val="00A91DF3"/>
    <w:rsid w:val="00AA6D9D"/>
    <w:rsid w:val="00AA78F4"/>
    <w:rsid w:val="00AC2D53"/>
    <w:rsid w:val="00AC4E00"/>
    <w:rsid w:val="00AC6662"/>
    <w:rsid w:val="00AD4356"/>
    <w:rsid w:val="00AD629D"/>
    <w:rsid w:val="00AE1343"/>
    <w:rsid w:val="00AE146D"/>
    <w:rsid w:val="00AE1A43"/>
    <w:rsid w:val="00AE4468"/>
    <w:rsid w:val="00AE5C9C"/>
    <w:rsid w:val="00AE63DB"/>
    <w:rsid w:val="00AF0072"/>
    <w:rsid w:val="00AF40CF"/>
    <w:rsid w:val="00AF725A"/>
    <w:rsid w:val="00B03962"/>
    <w:rsid w:val="00B06BD2"/>
    <w:rsid w:val="00B07005"/>
    <w:rsid w:val="00B079B4"/>
    <w:rsid w:val="00B11B86"/>
    <w:rsid w:val="00B137DE"/>
    <w:rsid w:val="00B24BD4"/>
    <w:rsid w:val="00B365F4"/>
    <w:rsid w:val="00B37D2C"/>
    <w:rsid w:val="00B47DE6"/>
    <w:rsid w:val="00B52BD8"/>
    <w:rsid w:val="00B5671F"/>
    <w:rsid w:val="00B63052"/>
    <w:rsid w:val="00B632B5"/>
    <w:rsid w:val="00B8032B"/>
    <w:rsid w:val="00B810B4"/>
    <w:rsid w:val="00B81E4D"/>
    <w:rsid w:val="00B8371A"/>
    <w:rsid w:val="00B849F1"/>
    <w:rsid w:val="00B91817"/>
    <w:rsid w:val="00B92D26"/>
    <w:rsid w:val="00B93817"/>
    <w:rsid w:val="00B9599F"/>
    <w:rsid w:val="00B970FF"/>
    <w:rsid w:val="00BA2FC4"/>
    <w:rsid w:val="00BB0A05"/>
    <w:rsid w:val="00BB1D75"/>
    <w:rsid w:val="00BB59E9"/>
    <w:rsid w:val="00BB6FC8"/>
    <w:rsid w:val="00BC52D8"/>
    <w:rsid w:val="00BC7267"/>
    <w:rsid w:val="00BC7F33"/>
    <w:rsid w:val="00BD27C2"/>
    <w:rsid w:val="00BD3FA9"/>
    <w:rsid w:val="00BD6D82"/>
    <w:rsid w:val="00BF199F"/>
    <w:rsid w:val="00BF2409"/>
    <w:rsid w:val="00BF2822"/>
    <w:rsid w:val="00C034E0"/>
    <w:rsid w:val="00C07A6F"/>
    <w:rsid w:val="00C13DC8"/>
    <w:rsid w:val="00C1540B"/>
    <w:rsid w:val="00C16B1C"/>
    <w:rsid w:val="00C16B8A"/>
    <w:rsid w:val="00C22169"/>
    <w:rsid w:val="00C22400"/>
    <w:rsid w:val="00C25A90"/>
    <w:rsid w:val="00C34797"/>
    <w:rsid w:val="00C45B6A"/>
    <w:rsid w:val="00C51423"/>
    <w:rsid w:val="00C51EE9"/>
    <w:rsid w:val="00C5206B"/>
    <w:rsid w:val="00C53BAD"/>
    <w:rsid w:val="00C54567"/>
    <w:rsid w:val="00C5461A"/>
    <w:rsid w:val="00C55524"/>
    <w:rsid w:val="00C57508"/>
    <w:rsid w:val="00C60592"/>
    <w:rsid w:val="00C63764"/>
    <w:rsid w:val="00C70E0C"/>
    <w:rsid w:val="00C80494"/>
    <w:rsid w:val="00C80726"/>
    <w:rsid w:val="00C817DA"/>
    <w:rsid w:val="00C86967"/>
    <w:rsid w:val="00C87BD2"/>
    <w:rsid w:val="00CA1C63"/>
    <w:rsid w:val="00CC150F"/>
    <w:rsid w:val="00CC3055"/>
    <w:rsid w:val="00CC6994"/>
    <w:rsid w:val="00CC6A91"/>
    <w:rsid w:val="00CC737C"/>
    <w:rsid w:val="00CC79F4"/>
    <w:rsid w:val="00CD08E5"/>
    <w:rsid w:val="00CD3045"/>
    <w:rsid w:val="00CE091E"/>
    <w:rsid w:val="00CE2D4C"/>
    <w:rsid w:val="00CE2EBC"/>
    <w:rsid w:val="00CE4A82"/>
    <w:rsid w:val="00CF29F6"/>
    <w:rsid w:val="00CF3936"/>
    <w:rsid w:val="00CF7CF3"/>
    <w:rsid w:val="00D00923"/>
    <w:rsid w:val="00D030F2"/>
    <w:rsid w:val="00D04CBB"/>
    <w:rsid w:val="00D05609"/>
    <w:rsid w:val="00D0640E"/>
    <w:rsid w:val="00D11E38"/>
    <w:rsid w:val="00D15EC3"/>
    <w:rsid w:val="00D15F1B"/>
    <w:rsid w:val="00D20FEF"/>
    <w:rsid w:val="00D24290"/>
    <w:rsid w:val="00D268CD"/>
    <w:rsid w:val="00D27703"/>
    <w:rsid w:val="00D316B0"/>
    <w:rsid w:val="00D42CB7"/>
    <w:rsid w:val="00D43519"/>
    <w:rsid w:val="00D43782"/>
    <w:rsid w:val="00D460BD"/>
    <w:rsid w:val="00D4696D"/>
    <w:rsid w:val="00D47872"/>
    <w:rsid w:val="00D50BC0"/>
    <w:rsid w:val="00D60F7F"/>
    <w:rsid w:val="00D646C8"/>
    <w:rsid w:val="00D7285C"/>
    <w:rsid w:val="00D80CE2"/>
    <w:rsid w:val="00D8189D"/>
    <w:rsid w:val="00D86523"/>
    <w:rsid w:val="00DA2B72"/>
    <w:rsid w:val="00DA3E81"/>
    <w:rsid w:val="00DA523D"/>
    <w:rsid w:val="00DB01F7"/>
    <w:rsid w:val="00DB1F00"/>
    <w:rsid w:val="00DB28D0"/>
    <w:rsid w:val="00DB3D8A"/>
    <w:rsid w:val="00DB4CE5"/>
    <w:rsid w:val="00DC1A35"/>
    <w:rsid w:val="00DC39A6"/>
    <w:rsid w:val="00DC7350"/>
    <w:rsid w:val="00DD0CF4"/>
    <w:rsid w:val="00DD7572"/>
    <w:rsid w:val="00DE01BB"/>
    <w:rsid w:val="00DE19FB"/>
    <w:rsid w:val="00DE1A3F"/>
    <w:rsid w:val="00DF6751"/>
    <w:rsid w:val="00E00F9F"/>
    <w:rsid w:val="00E02731"/>
    <w:rsid w:val="00E10D16"/>
    <w:rsid w:val="00E1220C"/>
    <w:rsid w:val="00E2380E"/>
    <w:rsid w:val="00E3284C"/>
    <w:rsid w:val="00E4083A"/>
    <w:rsid w:val="00E41185"/>
    <w:rsid w:val="00E45039"/>
    <w:rsid w:val="00E549FC"/>
    <w:rsid w:val="00E57B74"/>
    <w:rsid w:val="00E60196"/>
    <w:rsid w:val="00E60542"/>
    <w:rsid w:val="00E662A4"/>
    <w:rsid w:val="00E704E9"/>
    <w:rsid w:val="00E708A7"/>
    <w:rsid w:val="00E71F5B"/>
    <w:rsid w:val="00E7357C"/>
    <w:rsid w:val="00E77AE1"/>
    <w:rsid w:val="00E87792"/>
    <w:rsid w:val="00E95630"/>
    <w:rsid w:val="00EA6177"/>
    <w:rsid w:val="00EB2AD4"/>
    <w:rsid w:val="00EB2EE1"/>
    <w:rsid w:val="00EB3999"/>
    <w:rsid w:val="00EB4B06"/>
    <w:rsid w:val="00EC0AD6"/>
    <w:rsid w:val="00EC3D71"/>
    <w:rsid w:val="00EC67F1"/>
    <w:rsid w:val="00ED62C3"/>
    <w:rsid w:val="00ED64CB"/>
    <w:rsid w:val="00EE78F8"/>
    <w:rsid w:val="00EE7DF6"/>
    <w:rsid w:val="00EF342D"/>
    <w:rsid w:val="00EF50A8"/>
    <w:rsid w:val="00EF7527"/>
    <w:rsid w:val="00F0215F"/>
    <w:rsid w:val="00F051E5"/>
    <w:rsid w:val="00F05AD5"/>
    <w:rsid w:val="00F171AF"/>
    <w:rsid w:val="00F2487F"/>
    <w:rsid w:val="00F24B58"/>
    <w:rsid w:val="00F25278"/>
    <w:rsid w:val="00F2749B"/>
    <w:rsid w:val="00F376B3"/>
    <w:rsid w:val="00F4415C"/>
    <w:rsid w:val="00F80C3A"/>
    <w:rsid w:val="00F81459"/>
    <w:rsid w:val="00F81CE8"/>
    <w:rsid w:val="00F82F7D"/>
    <w:rsid w:val="00F85201"/>
    <w:rsid w:val="00F95FA4"/>
    <w:rsid w:val="00FA1B13"/>
    <w:rsid w:val="00FA1E99"/>
    <w:rsid w:val="00FA4197"/>
    <w:rsid w:val="00FA5568"/>
    <w:rsid w:val="00FA7CAA"/>
    <w:rsid w:val="00FB1358"/>
    <w:rsid w:val="00FB1E72"/>
    <w:rsid w:val="00FB3D7F"/>
    <w:rsid w:val="00FB7217"/>
    <w:rsid w:val="00FD1ED1"/>
    <w:rsid w:val="00FD456B"/>
    <w:rsid w:val="00FE650F"/>
    <w:rsid w:val="00FF1CC2"/>
    <w:rsid w:val="00FF34CE"/>
    <w:rsid w:val="00FF4FAA"/>
    <w:rsid w:val="00FF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E5E4"/>
  <w15:chartTrackingRefBased/>
  <w15:docId w15:val="{4ACC8F01-9BD5-4C10-990F-F408EFAA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146"/>
    <w:pPr>
      <w:ind w:left="720"/>
      <w:contextualSpacing/>
    </w:pPr>
  </w:style>
  <w:style w:type="paragraph" w:styleId="FootnoteText">
    <w:name w:val="footnote text"/>
    <w:basedOn w:val="Normal"/>
    <w:link w:val="FootnoteTextChar"/>
    <w:uiPriority w:val="99"/>
    <w:semiHidden/>
    <w:unhideWhenUsed/>
    <w:rsid w:val="00AF00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072"/>
    <w:rPr>
      <w:sz w:val="20"/>
      <w:szCs w:val="20"/>
    </w:rPr>
  </w:style>
  <w:style w:type="character" w:styleId="FootnoteReference">
    <w:name w:val="footnote reference"/>
    <w:basedOn w:val="DefaultParagraphFont"/>
    <w:uiPriority w:val="99"/>
    <w:semiHidden/>
    <w:unhideWhenUsed/>
    <w:rsid w:val="00AF0072"/>
    <w:rPr>
      <w:vertAlign w:val="superscript"/>
    </w:rPr>
  </w:style>
  <w:style w:type="character" w:styleId="PlaceholderText">
    <w:name w:val="Placeholder Text"/>
    <w:basedOn w:val="DefaultParagraphFont"/>
    <w:uiPriority w:val="99"/>
    <w:semiHidden/>
    <w:rsid w:val="000D36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DD8F8-7051-4B48-941F-3EF5512D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13</Pages>
  <Words>6814</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ELAHI Mirza-Nawazish</dc:creator>
  <cp:keywords/>
  <dc:description/>
  <cp:lastModifiedBy>Larisa Yarovaya</cp:lastModifiedBy>
  <cp:revision>729</cp:revision>
  <dcterms:created xsi:type="dcterms:W3CDTF">2022-04-21T08:17:00Z</dcterms:created>
  <dcterms:modified xsi:type="dcterms:W3CDTF">2022-10-28T14:17:00Z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7cabbb68-82a4-30d1-9b27-70bac98783fa</vt:lpwstr>
  </property>
  <property fmtid="{D5CDD505-2E9C-101B-9397-08002B2CF9AE}" pid="24" name="Mendeley Citation Style_1">
    <vt:lpwstr>http://www.zotero.org/styles/apa</vt:lpwstr>
  </property>
</Properties>
</file>