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C627E" w14:textId="77777777" w:rsidR="00060E3B" w:rsidRPr="00060E3B" w:rsidRDefault="00060E3B" w:rsidP="009340A4">
      <w:pPr>
        <w:spacing w:line="480" w:lineRule="auto"/>
        <w:jc w:val="center"/>
        <w:rPr>
          <w:b/>
          <w:bCs/>
          <w:sz w:val="24"/>
          <w:szCs w:val="24"/>
        </w:rPr>
      </w:pPr>
      <w:bookmarkStart w:id="0" w:name="_Hlk90301223"/>
      <w:r w:rsidRPr="00060E3B">
        <w:rPr>
          <w:b/>
          <w:bCs/>
          <w:sz w:val="24"/>
          <w:szCs w:val="24"/>
        </w:rPr>
        <w:t>Can a conditional financial incentive (CFI) reduce socio-demographic inequalities in home-based HIV testing uptake? A secondary analysis of the HITS clinical trial intervention in rural South Africa</w:t>
      </w:r>
      <w:bookmarkEnd w:id="0"/>
      <w:r w:rsidRPr="00060E3B">
        <w:rPr>
          <w:b/>
          <w:bCs/>
          <w:sz w:val="24"/>
          <w:szCs w:val="24"/>
        </w:rPr>
        <w:t>.</w:t>
      </w:r>
    </w:p>
    <w:p w14:paraId="3BC7DB1F" w14:textId="2684B36A" w:rsidR="001A02EC" w:rsidRDefault="001A02EC" w:rsidP="009340A4">
      <w:pPr>
        <w:pStyle w:val="Heading1"/>
        <w:spacing w:line="480" w:lineRule="auto"/>
      </w:pPr>
      <w:r>
        <w:t>Background</w:t>
      </w:r>
    </w:p>
    <w:p w14:paraId="190BD37C" w14:textId="5846FDAF" w:rsidR="004074F6" w:rsidRDefault="00507EBC" w:rsidP="009340A4">
      <w:pPr>
        <w:spacing w:after="0" w:line="480" w:lineRule="auto"/>
      </w:pPr>
      <w:r>
        <w:t>Changing individual health behaviours is notoriously difficult but conditional financial incentives (CFI) show considerable promise</w:t>
      </w:r>
      <w:r w:rsidR="000600F7">
        <w:t xml:space="preserve"> </w:t>
      </w:r>
      <w:r w:rsidR="000600F7">
        <w:fldChar w:fldCharType="begin"/>
      </w:r>
      <w:r w:rsidR="002B64C9">
        <w:instrText xml:space="preserve"> ADDIN ZOTERO_ITEM CSL_CITATION {"citationID":"k4GC5gmA","properties":{"formattedCitation":"(1,2)","plainCitation":"(1,2)","noteIndex":0},"citationItems":[{"id":4847,"uris":["http://zotero.org/users/1653264/items/2JG8W2XQ"],"itemData":{"id":4847,"type":"article-journal","abstract":"Background\nFinancial incentive interventions have been suggested as one method of promoting healthy behaviour change.\n\nObjectives\nTo conduct a systematic review of the effectiveness of financial incentive interventions for encouraging healthy behaviour change; to explore whether effects vary according to the type of behaviour incentivised, post-intervention follow-up time, or incentive value.\n\nData Sources\nSearches were of relevant electronic databases, research registers, www.google.com, and the reference lists of previous reviews; and requests for information sent to relevant mailing lists.\n\nEligibility Criteria\nControlled evaluations of the effectiveness of financial incentive interventions, compared to no intervention or usual care, to encourage healthy behaviour change, in non-clinical adult populations, living in high-income countries, were included.\n\nStudy Appraisal and Synthesis\nThe Cochrane Risk of Bias tool was used to assess all included studies. Meta-analysis was used to explore the effect of financial incentive interventions within groups of similar behaviours and overall. Meta-regression was used to determine if effect varied according to post-intervention follow up time, or incentive value.\n\nResults\nSeventeen papers reporting on 16 studies on smoking cessation (n = 10), attendance for vaccination or screening (n = 5), and physical activity (n = 1) were included. In meta-analyses, the average effect of incentive interventions was greater than control for short-term (≤six months) smoking cessation (relative risk (95% confidence intervals): 2.48 (1.77 to 3.46); long-term (&gt;six months) smoking cessation (1.50 (1.05 to 2.14)); attendance for vaccination or screening (1.92 (1.46 to 2.53)); and for all behaviours combined (1.62 (1.38 to 1.91)). There was not convincing evidence that effects were different between different groups of behaviours. Meta-regression found some, limited, evidence that effect sizes decreased as post-intervention follow-up period and incentive value increased. However, the latter effect may be confounded by the former.\n\nConclusions\nThe available evidence suggests that financial incentive interventions are more effective than usual care or no intervention for encouraging healthy behaviour change.\n\nTrial Registration\nPROSPERO CRD42012002393","container-title":"PLoS ONE","DOI":"10.1371/journal.pone.0090347","ISSN":"1932-6203","issue":"3","journalAbbreviation":"PLoS One","note":"PMID: 24618584\nPMCID: PMC3949711","source":"PubMed Central","title":"The Effectiveness of Financial Incentives for Health Behaviour Change: Systematic Review and Meta-Analysis","title-short":"The Effectiveness of Financial Incentives for Health Behaviour Change","URL":"https://www.ncbi.nlm.nih.gov/pmc/articles/PMC3949711/","volume":"9","author":[{"family":"Giles","given":"Emma L."},{"family":"Robalino","given":"Shannon"},{"family":"McColl","given":"Elaine"},{"family":"Sniehotta","given":"Falko F."},{"family":"Adams","given":"Jean"}],"accessed":{"date-parts":[["2020",4,20]]},"issued":{"date-parts":[["2014",3,11]]}},"label":"page"},{"id":4842,"uris":["http://zotero.org/users/1653264/items/K782VRWM"],"itemData":{"id":4842,"type":"article-journal","abstract":"Financial incentive interventions are increasingly used as a method of encouraging healthy behaviours, from attending for vaccinations to taking part in regular physical activity. There is a growing body of research on the effectiveness of financial incentive interventions for health behaviours. Wide variations in the nature of these interventions make it difficult to draw firm conclusions about what makes an effective incentive, for whom and under what circumstances. Whilst there has been some recognition of the theoretical complexity of financial incentive interventions for health behaviours, there is no framework that categorises these interventions. This limits the research community's ability to clearly establish which components of financial incentives interventions are more and less effective, and how these components might interact to enable behavioural change. We propose a framework for describing health-promoting financial incentive interventions. Drawing on our experience of a recently completed systematic review, we identify nine domains that are required to describe any financial incentive intervention designed to help individuals change their health behaviours. These are: direction, form, magnitude, certainty, target, frequency, immediacy, schedule and recipient. Our framework should help researchers and policy-makers identify the most effective incentive configurations for helping individuals adopt healthy behaviours.","container-title":"Health Psychology Review","DOI":"10.1080/17437199.2013.848410","ISSN":"1743-7202","issue":"3","journalAbbreviation":"Health Psychol Rev","language":"eng","note":"PMID: 25053215","page":"286-295","source":"PubMed","title":"Carrots, sticks and health behaviours: a framework for documenting the complexity of financial incentive interventions to change health behaviours","title-short":"Carrots, sticks and health behaviours","volume":"8","author":[{"family":"Adams","given":"Jean"},{"family":"Giles","given":"Emma L."},{"family":"McColl","given":"Elaine"},{"family":"Sniehotta","given":"Falko F."}],"issued":{"date-parts":[["2014"]]}}}],"schema":"https://github.com/citation-style-language/schema/raw/master/csl-citation.json"} </w:instrText>
      </w:r>
      <w:r w:rsidR="000600F7">
        <w:fldChar w:fldCharType="separate"/>
      </w:r>
      <w:r w:rsidR="00A81A45" w:rsidRPr="00A81A45">
        <w:rPr>
          <w:rFonts w:ascii="Calibri" w:hAnsi="Calibri" w:cs="Calibri"/>
        </w:rPr>
        <w:t>(1,2)</w:t>
      </w:r>
      <w:r w:rsidR="000600F7">
        <w:fldChar w:fldCharType="end"/>
      </w:r>
      <w:r>
        <w:t xml:space="preserve">. CFI operate by offering an immediate reward when the future benefit of adopting a health behaviour is perceived as uncertain </w:t>
      </w:r>
      <w:r w:rsidR="000600F7">
        <w:fldChar w:fldCharType="begin"/>
      </w:r>
      <w:r w:rsidR="002B64C9">
        <w:instrText xml:space="preserve"> ADDIN ZOTERO_ITEM CSL_CITATION {"citationID":"kgFt8Fds","properties":{"formattedCitation":"(1)","plainCitation":"(1)","noteIndex":0},"citationItems":[{"id":4847,"uris":["http://zotero.org/users/1653264/items/2JG8W2XQ"],"itemData":{"id":4847,"type":"article-journal","abstract":"Background\nFinancial incentive interventions have been suggested as one method of promoting healthy behaviour change.\n\nObjectives\nTo conduct a systematic review of the effectiveness of financial incentive interventions for encouraging healthy behaviour change; to explore whether effects vary according to the type of behaviour incentivised, post-intervention follow-up time, or incentive value.\n\nData Sources\nSearches were of relevant electronic databases, research registers, www.google.com, and the reference lists of previous reviews; and requests for information sent to relevant mailing lists.\n\nEligibility Criteria\nControlled evaluations of the effectiveness of financial incentive interventions, compared to no intervention or usual care, to encourage healthy behaviour change, in non-clinical adult populations, living in high-income countries, were included.\n\nStudy Appraisal and Synthesis\nThe Cochrane Risk of Bias tool was used to assess all included studies. Meta-analysis was used to explore the effect of financial incentive interventions within groups of similar behaviours and overall. Meta-regression was used to determine if effect varied according to post-intervention follow up time, or incentive value.\n\nResults\nSeventeen papers reporting on 16 studies on smoking cessation (n = 10), attendance for vaccination or screening (n = 5), and physical activity (n = 1) were included. In meta-analyses, the average effect of incentive interventions was greater than control for short-term (≤six months) smoking cessation (relative risk (95% confidence intervals): 2.48 (1.77 to 3.46); long-term (&gt;six months) smoking cessation (1.50 (1.05 to 2.14)); attendance for vaccination or screening (1.92 (1.46 to 2.53)); and for all behaviours combined (1.62 (1.38 to 1.91)). There was not convincing evidence that effects were different between different groups of behaviours. Meta-regression found some, limited, evidence that effect sizes decreased as post-intervention follow-up period and incentive value increased. However, the latter effect may be confounded by the former.\n\nConclusions\nThe available evidence suggests that financial incentive interventions are more effective than usual care or no intervention for encouraging healthy behaviour change.\n\nTrial Registration\nPROSPERO CRD42012002393","container-title":"PLoS ONE","DOI":"10.1371/journal.pone.0090347","ISSN":"1932-6203","issue":"3","journalAbbreviation":"PLoS One","note":"PMID: 24618584\nPMCID: PMC3949711","source":"PubMed Central","title":"The Effectiveness of Financial Incentives for Health Behaviour Change: Systematic Review and Meta-Analysis","title-short":"The Effectiveness of Financial Incentives for Health Behaviour Change","URL":"https://www.ncbi.nlm.nih.gov/pmc/articles/PMC3949711/","volume":"9","author":[{"family":"Giles","given":"Emma L."},{"family":"Robalino","given":"Shannon"},{"family":"McColl","given":"Elaine"},{"family":"Sniehotta","given":"Falko F."},{"family":"Adams","given":"Jean"}],"accessed":{"date-parts":[["2020",4,20]]},"issued":{"date-parts":[["2014",3,11]]}}}],"schema":"https://github.com/citation-style-language/schema/raw/master/csl-citation.json"} </w:instrText>
      </w:r>
      <w:r w:rsidR="000600F7">
        <w:fldChar w:fldCharType="separate"/>
      </w:r>
      <w:r w:rsidR="00A81A45" w:rsidRPr="00A81A45">
        <w:rPr>
          <w:rFonts w:ascii="Calibri" w:hAnsi="Calibri" w:cs="Calibri"/>
        </w:rPr>
        <w:t>(1)</w:t>
      </w:r>
      <w:r w:rsidR="000600F7">
        <w:fldChar w:fldCharType="end"/>
      </w:r>
      <w:r>
        <w:t xml:space="preserve">. They are particularly effective in promoting one-off behaviours such as adult vaccination and screening </w:t>
      </w:r>
      <w:r w:rsidR="000600F7">
        <w:fldChar w:fldCharType="begin"/>
      </w:r>
      <w:r w:rsidR="002B64C9">
        <w:instrText xml:space="preserve"> ADDIN ZOTERO_ITEM CSL_CITATION {"citationID":"JpoelaTT","properties":{"unsorted":true,"formattedCitation":"(3)","plainCitation":"(3)","noteIndex":0},"citationItems":[{"id":4804,"uris":["http://zotero.org/users/1653264/items/NH7IE5L6"],"itemData":{"id":4804,"type":"article-journal","container-title":"Annals of Internal Medicine","DOI":"10.7326/0003-4819-136-9-200205070-00006","ISSN":"0003-4819","issue":"9","journalAbbreviation":"Ann Intern Med","language":"en","page":"641","source":"DOI.org (Crossref)","title":"Interventions That Increase Use of Adult Immunization and Cancer Screening Services: A Meta-Analysis","title-short":"Interventions That Increase Use of Adult Immunization and Cancer Screening Services","volume":"136","author":[{"family":"Stone","given":"Erin G."},{"family":"Morton","given":"Sally C."},{"family":"Hulscher","given":"Marlies E."},{"family":"Maglione","given":"Margaret A."},{"family":"Roth","given":"Elizabeth A."},{"family":"Grimshaw","given":"Jeremy M."},{"family":"Mittman","given":"Brian S."},{"family":"Rubenstein","given":"Lisa V."},{"family":"Rubenstein","given":"Laurence Z."},{"family":"Shekelle","given":"Paul G."}],"issued":{"date-parts":[["2002",5,7]]}}}],"schema":"https://github.com/citation-style-language/schema/raw/master/csl-citation.json"} </w:instrText>
      </w:r>
      <w:r w:rsidR="000600F7">
        <w:fldChar w:fldCharType="separate"/>
      </w:r>
      <w:r w:rsidR="00A81A45" w:rsidRPr="00A81A45">
        <w:rPr>
          <w:rFonts w:ascii="Calibri" w:hAnsi="Calibri" w:cs="Calibri"/>
        </w:rPr>
        <w:t>(3)</w:t>
      </w:r>
      <w:r w:rsidR="000600F7">
        <w:fldChar w:fldCharType="end"/>
      </w:r>
      <w:r w:rsidR="000600F7">
        <w:t xml:space="preserve">, </w:t>
      </w:r>
      <w:r>
        <w:t xml:space="preserve">although their use can be interpreted as coercion or even deemed as inappropriate and wasteful </w:t>
      </w:r>
      <w:r w:rsidR="000600F7">
        <w:fldChar w:fldCharType="begin"/>
      </w:r>
      <w:r w:rsidR="002B64C9">
        <w:instrText xml:space="preserve"> ADDIN ZOTERO_ITEM CSL_CITATION {"citationID":"jYY4Dlof","properties":{"formattedCitation":"(4)","plainCitation":"(4)","noteIndex":0},"citationItems":[{"id":4800,"uris":["http://zotero.org/users/1653264/items/7RU4L773"],"itemData":{"id":4800,"type":"article-journal","abstract":"Introduction\nSince the 1990s strenuous attempts have been made to rebuild trust in childhood immunisations. This study aimed to understand if financial incentives (FI) or quasi-mandatory schemes (QMS), e.g. mandating immunisations for entry to universal services such as day care or school, might be acceptable interventions to increase immunisations uptake for preschool children.\nMaterial and methods\nParents and carers of preschool children (n=91); health and other professionals (n=18); and those responsible for developing and commissioning immunisation services (n=6) took part in the study. Qualitative methods were employed to explore the acceptability of FI/QMS with stakeholders. Framework analysis was used to develop a coding framework that was applied to the whole dataset. Interpretations of the emergent themes were verified between researchers and presented to the project's Parent Reference Group to ensure coherence and relevance.\nResults\n(1) FI: parents and professionals felt introducing FI was inappropriate. It was acknowledged FI may encourage families living in disadvantage to prioritise immunisation, but unintended consequences could outweigh any advantage. FI essentially changes behaviour into a cash transaction which many equated to bribery that could inadvertently create inequalities. (2) QMS: parents and professionals highlighted the positives of introducing QMS, stating it felt natural, fair and less likely to create inequality. Despite QMS’ potential to positively impact on uptake there were concerns about the implementation and workability of such schemes.\nDiscussion and conclusion\nFI for preschool immunisation may not be acceptable, within a UK context. Introducing FI could have detrimental effects on uptake if it were associated with bribery and coercion. Quasi-mandatory schemes, mandating immunisation for universal service entry, was the most acceptable option and could contribute to the normalising of immunisation. Future work would be needed to assess how this could be successfully implemented and if it did indeed increase uptake.","container-title":"Vaccine","DOI":"10.1016/j.vaccine.2016.03.009","ISSN":"0264-410X","issue":"19","journalAbbreviation":"Vaccine","language":"en","page":"2259-2266","source":"ScienceDirect","title":"Acceptability of financial incentives or quasi-mandatory schemes to increase uptake of immunisations in preschool children in the United Kingdom: Qualitative study with parents and service delivery staff","title-short":"Acceptability of financial incentives or quasi-mandatory schemes to increase uptake of immunisations in preschool children in the United Kingdom","volume":"34","author":[{"family":"McNaughton","given":"Rebekah Jayne"},{"family":"Adams","given":"Jean"},{"family":"Shucksmith","given":"Janet"}],"issued":{"date-parts":[["2016",4,27]]}}}],"schema":"https://github.com/citation-style-language/schema/raw/master/csl-citation.json"} </w:instrText>
      </w:r>
      <w:r w:rsidR="000600F7">
        <w:fldChar w:fldCharType="separate"/>
      </w:r>
      <w:r w:rsidR="00A81A45" w:rsidRPr="00A81A45">
        <w:rPr>
          <w:rFonts w:ascii="Calibri" w:hAnsi="Calibri" w:cs="Calibri"/>
        </w:rPr>
        <w:t>(4)</w:t>
      </w:r>
      <w:r w:rsidR="000600F7">
        <w:fldChar w:fldCharType="end"/>
      </w:r>
      <w:r>
        <w:t>.</w:t>
      </w:r>
      <w:r w:rsidR="00BE082B" w:rsidRPr="00BE082B">
        <w:t xml:space="preserve"> </w:t>
      </w:r>
      <w:r w:rsidR="00BE082B">
        <w:t xml:space="preserve">With regard to HIV-related behaviours, CFI have been shown to be effective for several behaviours including testing, adherence to antiretroviral treatment (ART) and continuity in care </w:t>
      </w:r>
      <w:r w:rsidR="00BE082B">
        <w:fldChar w:fldCharType="begin"/>
      </w:r>
      <w:r w:rsidR="00BE082B">
        <w:instrText xml:space="preserve"> ADDIN ZOTERO_ITEM CSL_CITATION {"citationID":"jOJfOnXt","properties":{"formattedCitation":"(5)","plainCitation":"(5)","noteIndex":0},"citationItems":[{"id":17896,"uris":["http://zotero.org/users/1653264/items/8BE6QF7B"],"itemData":{"id":17896,"type":"article-journal","abstract":"Financial incentives influence behavioural changes and the current review was done to assess the effectiveness of this intervention in improving HIV care continuum. We conducted systematic searches in MEDLINE, Cochrane library, ScienceDirect and Google Scholar from inception until July 2019. We carried out a meta-analysis with random-effects model quantifying inconsistency (I2) for heterogeneity and reported pooled Risk Ratios (RR) with 95% confidence intervals (CIs). A total of 22 studies with 38,119 participants were included. All the six outcomes showed better results in financial incentive arm compared to standard care with statistical significance in three outcomes-HIV testing uptake (pooled RR: 2.42; 95%CI 1.06-5.54; I2 = 100%), antiretroviral therapy (ART) adherence (pooled RR: 1.30; 95%CI 1.13-1.50; I2 = 44%), and continuity in care (pooled RR: 1.24; 95%CI 1.09-1.41; I2 = 86%). To summarize, financial incentives can be helpful in improving the uptake of HIV testing, ART adherence and continuity of care while it was better for achieving viral load suppression among studies conducted in high-income countries.","container-title":"AIDS and behavior","DOI":"10.1007/s10461-020-03038-2","ISSN":"1573-3254","issue":"3","journalAbbreviation":"AIDS Behav","language":"eng","note":"PMID: 32968885","page":"814-825","source":"PubMed","title":"Effectiveness of Financial Incentives in Achieving UNAID Fast-Track 90-90-90 and 95-95-95 Target of HIV Care Continuum: A Systematic Review and Meta-Analysis of Randomized Controlled Trials","title-short":"Effectiveness of Financial Incentives in Achieving UNAID Fast-Track 90-90-90 and 95-95-95 Target of HIV Care Continuum","volume":"25","author":[{"family":"Krishnamoorthy","given":"Yuvaraj"},{"family":"Rehman","given":"Tanveer"},{"family":"Sakthivel","given":"Manikandanesan"}],"issued":{"date-parts":[["2021",3]]}}}],"schema":"https://github.com/citation-style-language/schema/raw/master/csl-citation.json"} </w:instrText>
      </w:r>
      <w:r w:rsidR="00BE082B">
        <w:fldChar w:fldCharType="separate"/>
      </w:r>
      <w:r w:rsidR="00A81A45" w:rsidRPr="00A81A45">
        <w:rPr>
          <w:rFonts w:ascii="Calibri" w:hAnsi="Calibri" w:cs="Calibri"/>
        </w:rPr>
        <w:t>(5)</w:t>
      </w:r>
      <w:r w:rsidR="00BE082B">
        <w:fldChar w:fldCharType="end"/>
      </w:r>
      <w:r w:rsidR="00BE082B">
        <w:t xml:space="preserve">. They lead to higher HIV-testing uptake among men and women </w:t>
      </w:r>
      <w:r w:rsidR="00BE082B">
        <w:fldChar w:fldCharType="begin"/>
      </w:r>
      <w:r w:rsidR="00BE082B">
        <w:instrText xml:space="preserve"> ADDIN ZOTERO_ITEM CSL_CITATION {"citationID":"PASCRNuI","properties":{"formattedCitation":"(6\\uc0\\u8211{}10)","plainCitation":"(6–10)","noteIndex":0},"citationItems":[{"id":95,"uris":["http://zotero.org/users/1653264/items/Y9VSYVSN"],"itemData":{"id":95,"type":"article-journal","abstract":"We use data from a randomized controlled trial in Ethiopia and examine the causal effects of HIV/AIDS education, home-based voluntary HIV counseling and testing (VCT), and conditional cash transfers (CCT) for facility-based VCT on HIV/AIDS knowledge and demand for HIV testing. HIV/AIDS education significantly increases HIV/AIDS knowledge but has a limited effect on testing take-up. However, when HIV/AIDS education is combined with either home-based VCT or CCT for facility-based VCT, take-up increases substantially by about 63 and 57 percentage points, respectively. We also demonstrate evidence of persistence in test-taking behavior, where past HIV testing does not dampen demand for testing. Lastly, we find suggestive evidence that home-based VCT could be more effective at detecting HIV-positive cases relative to CCT for facility-based VCT. Our findings highlight the importance of geographic accessibility in the testing decision and persistence in demand for HIV testing.","container-title":"Health Economics","DOI":"10.1002/hec.3425","ISSN":"1057-9230","issue":"11","journalAbbreviation":"Health Economics","note":"publisher: John Wiley &amp; Sons, Ltd","page":"1394-1411","source":"onlinelibrary.wiley.com (Atypon)","title":"Promotion and Persistence of HIV Testing and HIV/AIDS Knowledge: Evidence From a Randomized Controlled Trial in Ethiopia","title-short":"Promotion and Persistence of HIV Testing and HIV/AIDS Knowledge","volume":"26","author":[{"family":"Kim","given":"Hyuncheol Bryant"},{"family":"Haile","given":"Beliyou"},{"family":"Lee","given":"Taewha"}],"issued":{"date-parts":[["2017",11,1]]}}},{"id":96,"uris":["http://zotero.org/users/1653264/items/IX3UDBM4"],"itemData":{"id":96,"type":"article-journal","abstract":"Background\nHIV testing is the important entry point for HIV care and prevention service, but uptake of HIV testing and thus coverage of antiretroviral therapy are much lower in older children and adolescents than in adults. We investigated the effect of economic incentives provided to caregivers of children aged 8–17 years on uptake of HIV testing and counselling in Harare, Zimbabwe.\n\nMethods\nThis randomised controlled trial was nested within a household HIV prevalence survey of children aged 8–17 years in Harare. Households with one or more survey participants whose HIV status was unknown were eligible to participate in the trial. Eligible households were randomly assigned (1:1:1) to either receive no incentive, receive a fixed US$2 incentive, or participate in a lottery for $5 or $10 if the participant presented for HIV testing and counselling at a local primary health-care centre. The survey fieldworkers who enrolled participants were not blinded to trial arm allocation, but the statistician was blinded for analysis of outcome. The primary outcome was the proportion of households in which at least one child had an HIV test within 4 weeks of enrolment. HIV test uptake in the incentivised groups was compared with uptake in the non-incentivised group using logistic regression, adjusting for community and number of children as fixed effects and research assistant as a random effect. All analyses were by intention to treat. The trial is registered with the Pan African Clinical Trials Registry, number PACTR201605001615280.\n\nFindings\nBetween Aug 4, and Dec 18, 2015, 2050 eligible households were enrolled in the prevalence survey. 649 (32%) households were assigned no incentive, 740 (34%) households were assigned a $2 incentive, and 661 (32%) households were assigned to lottery participation. Children were unavailable in 148 households in the no-incentive group, 63 households in the $2 incentive group, and 81 households in the lottery group. 1688 households had at least one child with unknown HIV status and were enrolled into the trial. 22 households had no undiagnosed child, and one household refused consent. The primary outcome of HIV testing was assessed in 472 (28%) households in the no-incentive group, 654 (39%) households in the $2 incentive group, and 562 (33%) households in the lottery group. At least one child was HIV tested in 93 (20%) households in the no-incentive group, in 316 (48%) households in the $2 incentive group (adjusted odds ratio 3·67, 95% CI 2·77–4·85; p&lt;0·0001), and in 223 (40%) of 562 households in the lottery group (2·66, 2·00–3·55; p&lt;0·0001). No adverse events were reported.\n\nInterpretation\nFixed incentives and lottery-based incentives increased the uptake of HIV testing by older children and adolescents, a key hard-to-reach population. This strategy would be sustainable in the context of vertical HIV infection as repeated testing would not be necessary until sexual debut.","container-title":"The Lancet HIV","DOI":"10.1016/S2352-3018(17)30176-5","ISSN":"2352-3018","issue":"2","journalAbbreviation":"The Lancet HIV","language":"English","note":"publisher: Elsevier\nPMID: 29170030","page":"e79-e86","source":"www.thelancet.com","title":"Economic incentives for HIV testing by adolescents in Zimbabwe: a randomised controlled trial","title-short":"Economic incentives for HIV testing by adolescents in Zimbabwe","volume":"5","author":[{"family":"Kranzer","given":"Katharina"},{"family":"Simms","given":"Victoria"},{"family":"Bandason","given":"Tsitsi"},{"family":"Dauya","given":"Ethel"},{"family":"McHugh","given":"Grace"},{"family":"Munyati","given":"Shungu"},{"family":"Chonzi","given":"Prosper"},{"family":"Dakshina","given":"Suba"},{"family":"Mujuru","given":"Hilda"},{"family":"Weiss","given":"Helen A."},{"family":"Ferrand","given":"Rashida A."}],"issued":{"date-parts":[["2018",2,1]]}}},{"id":4760,"uris":["http://zotero.org/users/1653264/items/IT59JT6J"],"itemData":{"id":4760,"type":"article-journal","abstract":"This paper evaluates an experiment in which individuals in rural Malawi were randomly assigned monetary incentives to learn their HIV results after being tested. Distance to the HIV results centers was also randomly assigned. Without any incentive, 34 percent of the participants learned their HIV results. However, even the smallest incentive doubled that share. Using the randomly assigned incentives and distance from results centers as instruments for the knowledge of HIV status, sexually active HIV-positive individuals who learned their results are three times more likely to purchase condoms two months later than sexually active HIV-positive individuals who did not learn their results; however, HIV-positive individuals who learned their results purchase only two additional condoms than those who did not. There is no significant effect of learning HIV-negative status on the purchase of condoms.","container-title":"The American economic review","DOI":"10.1257/aer.98.5.1829","ISSN":"0002-8282","issue":"5","journalAbbreviation":"Am Econ Rev","note":"PMID: 21687831\nPMCID: PMC3115776","page":"1829-1863","source":"PubMed Central","title":"The Demand for, and Impact of, Learning HIV Status","volume":"98","author":[{"family":"Thornton","given":"Rebecca L."}],"issued":{"date-parts":[["2008",12,1]]}}},{"id":17904,"uris":["http://zotero.org/users/1653264/items/GLJVTUXP"],"itemData":{"id":17904,"type":"article-journal","abstract":"BACKGROUND: Concerning gaps in the HIV care continuum compromise individual and population health. We evaluated a combination intervention strategy (CIS) targeting prevalent barriers to timely linkage and sustained retention in HIV care in Mozambique.\nMETHODS AND FINDINGS: In this cluster-randomized trial, 10 primary health facilities in the city of Maputo and Inhambane Province were randomly assigned to provide the CIS or the standard of care (SOC). The CIS included point-of-care CD4 testing at the time of diagnosis, accelerated ART initiation, and short message service (SMS) health messages and appointment reminders. A pre-post intervention 2-sample design was nested within the CIS arm to assess the effectiveness of CIS+, an enhanced version of the CIS that additionally included conditional non-cash financial incentives for linkage and retention. The primary outcome was a combined outcome of linkage to care within 1 month and retention at 12 months after diagnosis. From April 22, 2013, to June 30, 2015, we enrolled 2,004 out of 5,327 adults ≥18 years of age diagnosed with HIV in the voluntary counseling and testing clinics of participating health facilities: 744 (37%) in the CIS group, 493 (25%) in the CIS+ group, and 767 (38%) in the SOC group. Fifty-seven percent of the CIS group achieved the primary outcome versus 35% in the SOC group (relative risk [RR]CIS vs SOC = 1.58, 95% CI 1.05-2.39). Eighty-nine percent of the CIS group linked to care on the day of diagnosis versus 16% of the SOC group (RRCIS vs SOC = 9.13, 95% CI 1.65-50.40). There was no significant benefit of adding financial incentives to the CIS in terms of the combined outcome (55% of the CIS+ group achieved the primary outcome, RRCIS+ vs CIS = 0.96, 95% CI 0.81-1.16). Key limitations include the use of existing medical records to assess outcomes, the inability to isolate the effect of each component of the CIS, non-concurrent enrollment of the CIS+ group, and exclusion of many patients newly diagnosed with HIV.\nCONCLUSIONS: The CIS showed promise for making much needed gains in the HIV care continuum in our study, particularly in the critical first step of timely linkage to care following diagnosis.\nTRIAL REGISTRATION: ClinicalTrials.gov NCT01930084.","container-title":"PLoS medicine","DOI":"10.1371/journal.pmed.1002433","ISSN":"1549-1676","issue":"11","journalAbbreviation":"PLoS Med","language":"eng","note":"PMID: 29136001\nPMCID: PMC5685437","page":"e1002433","source":"PubMed","title":"A combination intervention strategy to improve linkage to and retention in HIV care following diagnosis in Mozambique: A cluster-randomized study","title-short":"A combination intervention strategy to improve linkage to and retention in HIV care following diagnosis in Mozambique","volume":"14","author":[{"family":"Elul","given":"Batya"},{"family":"Lamb","given":"Matthew R."},{"family":"Lahuerta","given":"Maria"},{"family":"Abacassamo","given":"Fatima"},{"family":"Ahoua","given":"Laurence"},{"family":"Kujawski","given":"Stephanie A."},{"family":"Tomo","given":"Maria"},{"family":"Jani","given":"Ilesh"}],"issued":{"date-parts":[["2017",11]]}}},{"id":4911,"uris":["http://zotero.org/users/1653264/items/6J2NZ36E"],"itemData":{"id":4911,"type":"article-journal","abstract":"INTRODUCTION: The uptake of HIV testing and linkage to care remains low among men, contributing to high HIV incidence in women in South Africa. We conducted the \"Home-Based Intervention to Test and Start\" (HITS) in a 2x2 factorial cluster randomized controlled trial in one of the World's largest ongoing HIV cohorts in rural South Africa aimed at enhancing both intrinsic and extrinsic motivations for HIV testing.\nMETHODS: Between February and December 2018, in the uMkhanyakude district of KwaZulu-Natal, we randomly assigned 45 communities (clusters) (n = 13,838 residents) to one of the four arms: (i) financial incentives for home-based HIV testing and linkage to care (R50 [$3] food voucher each); (ii) male-targeted HIV-specific decision support application, called EPIC-HIV; (iii) both financial incentives and male-targeted HIV-specific decision support application and (iv) standard of care (SoC). EPIC-HIV was developed to encourage and serve as an intrinsic motivator for HIV testing and linkage to care, and individually offered to men via a tablet device. Financial incentives were offered to both men and women. Here we report the effect of the interventions on uptake of home-based HIV testing among men. Intention-to-treat (ITT) analysis was performed using modified Poisson regression with adjustment for clustering of standard errors at the cluster levels.\nRESULTS: Among all 13,838 men ≥ 15 years living in the 45 communities, the overall population coverage during a single round of home-based HIV testing was 20.7%. The uptake of HIV testing was 27.5% (683/2481) in the financial incentives arm, 17.1% (433/2534) in the EPIC-HIV arm, 26.8% (568/2120) in the arm receiving both interventions and 17.8% in the SoC arm. The probability of HIV testing increased substantially by 55% in the financial incentives arm (risk ratio (RR)=1.55, 95% CI: 1.31 to 1.82, p &lt; 0.001) and 51% in the arm receiving both interventions (RR = 1.51, 95% CI: 1.21 to 1.87 p &lt; 0.001), compared to men in the SoC arm. The probability of HIV testing did not significantly differ in the EPIC-HIV arm (RR = 0.96, 95% CI: 0.76 to 1.20, p = 0.70).\nCONCLUSIONS: The provision of a small financial incentive acted as a powerful extrinsic motivator substantially increasing the uptake of home-based HIV testing among men in rural South Africa. In contrast, the counselling and testing application which was designed to encourage and serve as an intrinsic motivator to test for HIV did not increase the uptake of home-based testing.","container-title":"Journal of the International AIDS Society","DOI":"10.1002/jia2.25665","ISSN":"1758-2652","issue":"2","journalAbbreviation":"J Int AIDS Soc","language":"eng","note":"PMID: 33586911\nPMCID: PMC7883477","page":"e25665","source":"PubMed","title":"Home-Based Intervention to Test and Start (HITS): a community-randomized controlled trial to increase HIV testing uptake among men in rural South Africa","title-short":"Home-Based Intervention to Test and Start (HITS)","volume":"24","author":[{"family":"Tanser","given":"Frank C."},{"family":"Kim","given":"Hae-Young"},{"family":"Mathenjwa","given":"Thulile"},{"family":"Shahmanesh","given":"Maryam"},{"family":"Seeley","given":"Janet"},{"family":"Matthews","given":"Phillippa"},{"family":"Wyke","given":"Sally"},{"family":"McGrath","given":"Nuala"},{"family":"Adeagbo","given":"Oluwafemi"},{"family":"Sartorius","given":"Benn"},{"family":"Yapa","given":"Handurugamage Manisha"},{"family":"Zuma","given":"Thembelihle"},{"family":"Zeitlin","given":"Anya"},{"family":"Blandford","given":"Ann"},{"family":"Dobra","given":"Adrian"},{"family":"Bärnighausen","given":"Till"}],"issued":{"date-parts":[["2021",2]]}}}],"schema":"https://github.com/citation-style-language/schema/raw/master/csl-citation.json"} </w:instrText>
      </w:r>
      <w:r w:rsidR="00BE082B">
        <w:fldChar w:fldCharType="separate"/>
      </w:r>
      <w:r w:rsidR="00A81A45" w:rsidRPr="00A81A45">
        <w:rPr>
          <w:rFonts w:ascii="Calibri" w:hAnsi="Calibri" w:cs="Calibri"/>
          <w:szCs w:val="24"/>
        </w:rPr>
        <w:t>(6–10)</w:t>
      </w:r>
      <w:r w:rsidR="00BE082B">
        <w:fldChar w:fldCharType="end"/>
      </w:r>
      <w:r w:rsidR="00BE082B">
        <w:t xml:space="preserve"> and linkage to ART for those HIV-positive </w:t>
      </w:r>
      <w:r w:rsidR="00BE082B">
        <w:fldChar w:fldCharType="begin"/>
      </w:r>
      <w:r w:rsidR="00BE082B">
        <w:instrText xml:space="preserve"> ADDIN ZOTERO_ITEM CSL_CITATION {"citationID":"KJh28v8h","properties":{"formattedCitation":"(9,11)","plainCitation":"(9,11)","noteIndex":0},"citationItems":[{"id":17904,"uris":["http://zotero.org/users/1653264/items/GLJVTUXP"],"itemData":{"id":17904,"type":"article-journal","abstract":"BACKGROUND: Concerning gaps in the HIV care continuum compromise individual and population health. We evaluated a combination intervention strategy (CIS) targeting prevalent barriers to timely linkage and sustained retention in HIV care in Mozambique.\nMETHODS AND FINDINGS: In this cluster-randomized trial, 10 primary health facilities in the city of Maputo and Inhambane Province were randomly assigned to provide the CIS or the standard of care (SOC). The CIS included point-of-care CD4 testing at the time of diagnosis, accelerated ART initiation, and short message service (SMS) health messages and appointment reminders. A pre-post intervention 2-sample design was nested within the CIS arm to assess the effectiveness of CIS+, an enhanced version of the CIS that additionally included conditional non-cash financial incentives for linkage and retention. The primary outcome was a combined outcome of linkage to care within 1 month and retention at 12 months after diagnosis. From April 22, 2013, to June 30, 2015, we enrolled 2,004 out of 5,327 adults ≥18 years of age diagnosed with HIV in the voluntary counseling and testing clinics of participating health facilities: 744 (37%) in the CIS group, 493 (25%) in the CIS+ group, and 767 (38%) in the SOC group. Fifty-seven percent of the CIS group achieved the primary outcome versus 35% in the SOC group (relative risk [RR]CIS vs SOC = 1.58, 95% CI 1.05-2.39). Eighty-nine percent of the CIS group linked to care on the day of diagnosis versus 16% of the SOC group (RRCIS vs SOC = 9.13, 95% CI 1.65-50.40). There was no significant benefit of adding financial incentives to the CIS in terms of the combined outcome (55% of the CIS+ group achieved the primary outcome, RRCIS+ vs CIS = 0.96, 95% CI 0.81-1.16). Key limitations include the use of existing medical records to assess outcomes, the inability to isolate the effect of each component of the CIS, non-concurrent enrollment of the CIS+ group, and exclusion of many patients newly diagnosed with HIV.\nCONCLUSIONS: The CIS showed promise for making much needed gains in the HIV care continuum in our study, particularly in the critical first step of timely linkage to care following diagnosis.\nTRIAL REGISTRATION: ClinicalTrials.gov NCT01930084.","container-title":"PLoS medicine","DOI":"10.1371/journal.pmed.1002433","ISSN":"1549-1676","issue":"11","journalAbbreviation":"PLoS Med","language":"eng","note":"PMID: 29136001\nPMCID: PMC5685437","page":"e1002433","source":"PubMed","title":"A combination intervention strategy to improve linkage to and retention in HIV care following diagnosis in Mozambique: A cluster-randomized study","title-short":"A combination intervention strategy to improve linkage to and retention in HIV care following diagnosis in Mozambique","volume":"14","author":[{"family":"Elul","given":"Batya"},{"family":"Lamb","given":"Matthew R."},{"family":"Lahuerta","given":"Maria"},{"family":"Abacassamo","given":"Fatima"},{"family":"Ahoua","given":"Laurence"},{"family":"Kujawski","given":"Stephanie A."},{"family":"Tomo","given":"Maria"},{"family":"Jani","given":"Ilesh"}],"issued":{"date-parts":[["2017",11]]}}},{"id":17901,"uris":["http://zotero.org/users/1653264/items/BCFI4I7J"],"itemData":{"id":17901,"type":"article-journal","abstract":"BACKGROUND: Gaps in the HIV care continuum contribute to poor health outcomes and increase HIV transmission. A combination of interventions targeting multiple steps in the continuum is needed to achieve the full beneficial impact of HIV treatment.\nMETHODS AND FINDINGS: Link4Health, a cluster-randomized controlled trial, evaluated the effectiveness of a combination intervention strategy (CIS) versus the standard of care (SOC) on the primary outcome of linkage to care within 1 month plus retention in care at 12 months after HIV-positive testing. Ten clusters of HIV clinics in Swaziland were randomized 1:1 to CIS versus SOC. The CIS included point-of-care CD4+ testing at the time of an HIV-positive test, accelerated antiretroviral therapy (ART) initiation for treatment-eligible participants, mobile phone appointment reminders, health educational packages, and noncash financial incentives. Secondary outcomes included each component of the primary outcome, mean time to linkage, assessment for ART eligibility, ART initiation and time to ART initiation, viral suppression defined as HIV-1 RNA &lt; 1,000 copies/mL at 12 months after HIV testing among patients on ART ≥6 months, and loss to follow-up and death at 12 months after HIV testing. A total of 2,197 adults aged ≥18 years, newly tested HIV positive, were enrolled from 19 August 2013 to 21 November 2014 (1,096 CIS arm; 1,101 SOC arm) and followed for 12 months. The median participant age was 31 years (IQR 26-39), and 59% were women. In an intention-to-treat analysis, 64% (705/1,096) of participants at the CIS sites achieved the primary outcome versus 43% (477/1,101) at the SOC sites (adjusted relative risk [RR] 1.52, 95% CI 1.19-1.96, p = 0.002). Participants in the CIS arm versus the SOC arm had the following secondary outcomes: linkage to care regardless of retention at 12 months (RR 1.08, 95% CI 0.97-1.21, p = 0.13), mean time to linkage (2.5 days versus 7.5 days, p = 0.189), retention in care at 12 months regardless of time to linkage (RR 1.48, 95% CI 1.18-1.86, p = 0.002), assessment for ART eligibility (RR 1.20, 95% CI 1.07-1.34, p = 0.004), ART initiation (RR 1.16, 95% CI 0.96-1.40, p = 0.12), mean time to ART initiation from time of HIV testing (7 days versus 14 days, p &lt; 0.001), viral suppression among those on ART for ≥6 months (RR 0.97, 95% CI 0.88-1.07, p = 0.55), loss to follow-up at 12 months after HIV testing (RR 0.56, 95% CI 0.40-0.79, p = 0.002), and death (N = 78) within 12 months of HIV testing (RR 0.80, 95% CI 0.46-1.35, p = 0.41). Limitations of this study include a small number of clusters and the inability to evaluate the incremental effectiveness of individual components of the combination strategy.\nCONCLUSIONS: A combination strategy inclusive of 5 evidence-based interventions aimed at multiple steps in the HIV care continuum was associated with significant increase in linkage to care plus 12-month retention. This strategy offers promise of enhanced outcomes for HIV-positive patients.\nTRIAL REGISTRATION: ClinicalTrials.gov NCT01904994.","container-title":"PLoS medicine","DOI":"10.1371/journal.pmed.1002420","ISSN":"1549-1676","issue":"11","journalAbbreviation":"PLoS Med","language":"eng","note":"PMID: 29112963\nPMCID: PMC5675376","page":"e1002420","source":"PubMed","title":"Effectiveness of a combination strategy for linkage and retention in adult HIV care in Swaziland: The Link4Health cluster randomized trial","title-short":"Effectiveness of a combination strategy for linkage and retention in adult HIV care in Swaziland","volume":"14","author":[{"family":"McNairy","given":"Margaret L."},{"family":"Lamb","given":"Matthew R."},{"family":"Gachuhi","given":"Averie B."},{"family":"Nuwagaba-Biribonwoha","given":"Harriet"},{"family":"Burke","given":"Sean"},{"family":"Mazibuko","given":"Sikhathele"},{"family":"Okello","given":"Velephi"},{"family":"Ehrenkranz","given":"Peter"},{"family":"Sahabo","given":"Ruben"},{"family":"El-Sadr","given":"Wafaa M."}],"issued":{"date-parts":[["2017",11]]}}}],"schema":"https://github.com/citation-style-language/schema/raw/master/csl-citation.json"} </w:instrText>
      </w:r>
      <w:r w:rsidR="00BE082B">
        <w:fldChar w:fldCharType="separate"/>
      </w:r>
      <w:r w:rsidR="00A81A45" w:rsidRPr="00A81A45">
        <w:rPr>
          <w:rFonts w:ascii="Calibri" w:hAnsi="Calibri" w:cs="Calibri"/>
        </w:rPr>
        <w:t>(9,11)</w:t>
      </w:r>
      <w:r w:rsidR="00BE082B">
        <w:fldChar w:fldCharType="end"/>
      </w:r>
      <w:r w:rsidR="00BE082B">
        <w:t xml:space="preserve"> although their effect on longer term viral suppression remains unproven </w:t>
      </w:r>
      <w:r w:rsidR="00BE082B">
        <w:fldChar w:fldCharType="begin"/>
      </w:r>
      <w:r w:rsidR="00BE082B">
        <w:instrText xml:space="preserve"> ADDIN ZOTERO_ITEM CSL_CITATION {"citationID":"4s5QNas5","properties":{"formattedCitation":"(11\\uc0\\u8211{}13)","plainCitation":"(11–13)","noteIndex":0},"citationItems":[{"id":17901,"uris":["http://zotero.org/users/1653264/items/BCFI4I7J"],"itemData":{"id":17901,"type":"article-journal","abstract":"BACKGROUND: Gaps in the HIV care continuum contribute to poor health outcomes and increase HIV transmission. A combination of interventions targeting multiple steps in the continuum is needed to achieve the full beneficial impact of HIV treatment.\nMETHODS AND FINDINGS: Link4Health, a cluster-randomized controlled trial, evaluated the effectiveness of a combination intervention strategy (CIS) versus the standard of care (SOC) on the primary outcome of linkage to care within 1 month plus retention in care at 12 months after HIV-positive testing. Ten clusters of HIV clinics in Swaziland were randomized 1:1 to CIS versus SOC. The CIS included point-of-care CD4+ testing at the time of an HIV-positive test, accelerated antiretroviral therapy (ART) initiation for treatment-eligible participants, mobile phone appointment reminders, health educational packages, and noncash financial incentives. Secondary outcomes included each component of the primary outcome, mean time to linkage, assessment for ART eligibility, ART initiation and time to ART initiation, viral suppression defined as HIV-1 RNA &lt; 1,000 copies/mL at 12 months after HIV testing among patients on ART ≥6 months, and loss to follow-up and death at 12 months after HIV testing. A total of 2,197 adults aged ≥18 years, newly tested HIV positive, were enrolled from 19 August 2013 to 21 November 2014 (1,096 CIS arm; 1,101 SOC arm) and followed for 12 months. The median participant age was 31 years (IQR 26-39), and 59% were women. In an intention-to-treat analysis, 64% (705/1,096) of participants at the CIS sites achieved the primary outcome versus 43% (477/1,101) at the SOC sites (adjusted relative risk [RR] 1.52, 95% CI 1.19-1.96, p = 0.002). Participants in the CIS arm versus the SOC arm had the following secondary outcomes: linkage to care regardless of retention at 12 months (RR 1.08, 95% CI 0.97-1.21, p = 0.13), mean time to linkage (2.5 days versus 7.5 days, p = 0.189), retention in care at 12 months regardless of time to linkage (RR 1.48, 95% CI 1.18-1.86, p = 0.002), assessment for ART eligibility (RR 1.20, 95% CI 1.07-1.34, p = 0.004), ART initiation (RR 1.16, 95% CI 0.96-1.40, p = 0.12), mean time to ART initiation from time of HIV testing (7 days versus 14 days, p &lt; 0.001), viral suppression among those on ART for ≥6 months (RR 0.97, 95% CI 0.88-1.07, p = 0.55), loss to follow-up at 12 months after HIV testing (RR 0.56, 95% CI 0.40-0.79, p = 0.002), and death (N = 78) within 12 months of HIV testing (RR 0.80, 95% CI 0.46-1.35, p = 0.41). Limitations of this study include a small number of clusters and the inability to evaluate the incremental effectiveness of individual components of the combination strategy.\nCONCLUSIONS: A combination strategy inclusive of 5 evidence-based interventions aimed at multiple steps in the HIV care continuum was associated with significant increase in linkage to care plus 12-month retention. This strategy offers promise of enhanced outcomes for HIV-positive patients.\nTRIAL REGISTRATION: ClinicalTrials.gov NCT01904994.","container-title":"PLoS medicine","DOI":"10.1371/journal.pmed.1002420","ISSN":"1549-1676","issue":"11","journalAbbreviation":"PLoS Med","language":"eng","note":"PMID: 29112963\nPMCID: PMC5675376","page":"e1002420","source":"PubMed","title":"Effectiveness of a combination strategy for linkage and retention in adult HIV care in Swaziland: The Link4Health cluster randomized trial","title-short":"Effectiveness of a combination strategy for linkage and retention in adult HIV care in Swaziland","volume":"14","author":[{"family":"McNairy","given":"Margaret L."},{"family":"Lamb","given":"Matthew R."},{"family":"Gachuhi","given":"Averie B."},{"family":"Nuwagaba-Biribonwoha","given":"Harriet"},{"family":"Burke","given":"Sean"},{"family":"Mazibuko","given":"Sikhathele"},{"family":"Okello","given":"Velephi"},{"family":"Ehrenkranz","given":"Peter"},{"family":"Sahabo","given":"Ruben"},{"family":"El-Sadr","given":"Wafaa M."}],"issued":{"date-parts":[["2017",11]]}}},{"id":4745,"uris":["http://zotero.org/users/1653264/items/RZFV59U5"],"itemData":{"id":4745,"type":"article-journal","abstract":"Background\nViral suppression among HIV-positive individuals is essential for protecting health and preventing HIV transmission. Financial incentives have shown promise in modifying various health behaviors in low-income countries but few studies have assessed whether they can improve HIV treatment outcomes. We aimed to determine the impact of time-limited financial incentives on viral suppression among HIV-positive adults in rural Uganda.\n\nMethods\nWe conducted a randomized trial in four rural Ugandan parishes between June 27, 2016 and May 25, 2018. HIV-positive individuals aged ≥18 years were recruited from community health campaigns that included HIV testing services or at a local government health facility where HIV treatment is offered. Participants included those who were initiating antiretroviral therapy (ART) or already receiving ART. We measured participants’ viral load at baseline, 6, 12, 24, and 48 weeks and provided results along with viral load counseling. Participants randomized to the intervention group received financial incentives for viral suppression at 6, 12, and 24 weeks, with incentive amounts escalating from US$4 to US$12.5. The primary outcome was viral suppression (viral load&lt;400 copies per mL) at 24 weeks. To assess longerterm effects of time-limited incentives, the secondary outcome was viral suppression at 48 weeks. This trial is registered with ClinicalTrials.gov (NCT02890459).\n\nFindings\n400 adults were enrolled in the study, 324 from community health campaigns and 76 from the government clinic. Of these, eight (2%) withdrew from the study and were not included in analyses. Over the 48-week follow-up period, 35 (9%) died or were lost-to-follow-up. Participants’ median daily income was US$0.79. At baseline, 300 participants (77%) were virally suppressed. In intention-to-treat analyses, 168 participants (84%) in the intervention group and 156 participants (82%) in the control group were virally suppressed at 24 weeks (odds ratio, OR, 1.14, 95% CI 0.68–1.93, p=0.62. In per-protocol analyses limited to participants with viral load measurements at 24 weeks, there was no difference between study groups in viral suppression (OR 0.91, 95% CI 0.45–1.83, p=0.78). Withdrawal of incentives at 24 weeks did not affect long-term viral suppression, with 176 (88%) and 154 (81%) participants in the intervention and control groups, respectively, being virally suppressed at 48 weeks (p=0.06).\n\nInterpretation\nFinancial incentives had no effect on viral suppression among HIV-positive adults. High baseline viral suppression and provision of viral load results might have contributed to high viral suppression among participants. The results underscore the need for interventions that promote achievement of viral suppression among unsuppressed individuals.","container-title":"The lancet. HIV","DOI":"10.1016/S2352-3018(18)30330-8","ISSN":"2405-4704","issue":"3","journalAbbreviation":"Lancet HIV","note":"PMID: 30660594\nPMCID: PMC6421075","page":"e155-e163","source":"PubMed Central","title":"Financial Incentives for Achieving and Maintaining Viral Suppression Among HIV-Positive Adults in Uganda: A Randomized Trial","title-short":"Financial Incentives for Achieving and Maintaining Viral Suppression Among HIV-Positive Adults in Uganda","volume":"6","author":[{"family":"Thirumurthy","given":"Harsha"},{"family":"Ndyabakira","given":"Alex"},{"family":"Marson","given":"Kara"},{"family":"Emperador","given":"Devy"},{"family":"Kamya","given":"Moses"},{"family":"Havlir","given":"Diane"},{"family":"Kwarisiima","given":"Dalsone"},{"family":"Chamie","given":"Gabriel"}],"issued":{"date-parts":[["2019",3]]}}},{"id":2921,"uris":["http://zotero.org/users/1653264/items/WPV6V6WH"],"itemData":{"id":2921,"type":"article-journal","abstract":"BACKGROUND: Novel strategies are needed to increase retention in and uptake of prevention of mother-to-child HIV transmission (PMTCT) services in sub-Saharan Africa. We aimed to determine whether small, increasing cash payments, which were conditional on attendance at scheduled clinic visits and receipt of proposed services can increase the proportions of HIV-infected pregnant women who accept available PMTCT services and remain in care.\nMETHODS: In this randomised controlled trial, we recruited newly diagnosed HIV-infected women, who were 32 or less weeks pregnant, from 89 antenatal care clinics in Kinshasa, Democratic Republic of Congo, and randomly assigned (1:1) them to either the intervention group or the control group using computer-based randomisation with varying block sizes of four, six, and eight. The intervention group received compensation on the condition that they attended scheduled clinic visits and accepted offered PMTCT services (US$5, plus US$1 increment at every subsequent visit), whereas the control group received usual care. Outcomes assessed included retention in care at 6 weeks' post partum and uptake of PMTCT services, measured by attendance of all scheduled clinic visits and acceptance of proposed services up to 6 weeks' post partum. Analyses were by intention to treat. This trial is registered with ClinicalTrials.org, number NCT01838005.\nFINDINGS: Between April 18, 2013, and Aug 30, 2014, 612 potential participants were identified, 545 were screened, and 433 were enrolled and randomly assigned; 217 to the control group and 216 to the intervention group. At 6 weeks' post partum, 174 participants in the intervention group (81%) and 157 in the control group (72%) were retained in care (risk ratio [RR] 1·11; 95% CI 1·00-1·24). 146 participants in the intervention group (68%) and 116 in the control group (54%) attended all clinic visits and accepted proposed services (RR 1·26; 95% CI 1·08-1·48). Results were similar after adjustment for marital status, age, and education.\nINTERPRETATION: Among women with newly diagnosed HIV, small, incremental cash incentives resulted in increased retention along the PMTCT cascade and uptake of available services. The cost-effectiveness of these incentives and their effect on HIV-free survival warrant further investigation.\nFUNDING: President's Emergency Plan for AIDS Relief and the National Institute of Health and Child Development.","container-title":"The lancet. HIV","DOI":"10.1016/S2352-3018(15)00247-7","ISSN":"2352-3018","issue":"2","journalAbbreviation":"Lancet HIV","language":"eng","note":"PMID: 26847230","page":"e85-93","source":"PubMed","title":"Conditional cash transfers and uptake of and retention in prevention of mother-to-child HIV transmission care: a randomised controlled trial","title-short":"Conditional cash transfers and uptake of and retention in prevention of mother-to-child HIV transmission care","volume":"3","author":[{"family":"Yotebieng","given":"Marcel"},{"family":"Thirumurthy","given":"Harsha"},{"family":"Moracco","given":"Kathryn E."},{"family":"Kawende","given":"Bienvenu"},{"family":"Chalachala","given":"Jean Lambert"},{"family":"Wenzi","given":"Landry Kipula"},{"family":"Ravelomanana","given":"Noro Lantoniaina Rosa"},{"family":"Edmonds","given":"Andrew"},{"family":"Thompson","given":"Deidre"},{"family":"Okitolonda","given":"Emile W."},{"family":"Behets","given":"Frieda"}],"issued":{"date-parts":[["2016",2]]}}}],"schema":"https://github.com/citation-style-language/schema/raw/master/csl-citation.json"} </w:instrText>
      </w:r>
      <w:r w:rsidR="00BE082B">
        <w:fldChar w:fldCharType="separate"/>
      </w:r>
      <w:r w:rsidR="00A81A45" w:rsidRPr="00A81A45">
        <w:rPr>
          <w:rFonts w:ascii="Calibri" w:hAnsi="Calibri" w:cs="Calibri"/>
          <w:szCs w:val="24"/>
        </w:rPr>
        <w:t>(11–13)</w:t>
      </w:r>
      <w:r w:rsidR="00BE082B">
        <w:fldChar w:fldCharType="end"/>
      </w:r>
      <w:r w:rsidR="00BE082B">
        <w:t>.</w:t>
      </w:r>
      <w:bookmarkStart w:id="1" w:name="_Hlk101200070"/>
      <w:bookmarkStart w:id="2" w:name="_Hlk100747177"/>
    </w:p>
    <w:p w14:paraId="39307C25" w14:textId="77777777" w:rsidR="0032072C" w:rsidRDefault="0032072C" w:rsidP="009340A4">
      <w:pPr>
        <w:spacing w:after="0" w:line="480" w:lineRule="auto"/>
      </w:pPr>
    </w:p>
    <w:p w14:paraId="67037B18" w14:textId="72763205" w:rsidR="00BE6E2D" w:rsidRDefault="0032351C" w:rsidP="009340A4">
      <w:pPr>
        <w:spacing w:after="0" w:line="480" w:lineRule="auto"/>
      </w:pPr>
      <w:r>
        <w:t xml:space="preserve">CFI focuses on psychological leverage of an immediate reward when the future benefit of adopting a health behaviour is perceived as uncertain </w:t>
      </w:r>
      <w:r>
        <w:fldChar w:fldCharType="begin"/>
      </w:r>
      <w:r>
        <w:instrText xml:space="preserve"> ADDIN ZOTERO_ITEM CSL_CITATION {"citationID":"vPLbRl2i","properties":{"formattedCitation":"(1)","plainCitation":"(1)","noteIndex":0},"citationItems":[{"id":4847,"uris":["http://zotero.org/users/1653264/items/2JG8W2XQ"],"itemData":{"id":4847,"type":"article-journal","abstract":"Background\nFinancial incentive interventions have been suggested as one method of promoting healthy behaviour change.\n\nObjectives\nTo conduct a systematic review of the effectiveness of financial incentive interventions for encouraging healthy behaviour change; to explore whether effects vary according to the type of behaviour incentivised, post-intervention follow-up time, or incentive value.\n\nData Sources\nSearches were of relevant electronic databases, research registers, www.google.com, and the reference lists of previous reviews; and requests for information sent to relevant mailing lists.\n\nEligibility Criteria\nControlled evaluations of the effectiveness of financial incentive interventions, compared to no intervention or usual care, to encourage healthy behaviour change, in non-clinical adult populations, living in high-income countries, were included.\n\nStudy Appraisal and Synthesis\nThe Cochrane Risk of Bias tool was used to assess all included studies. Meta-analysis was used to explore the effect of financial incentive interventions within groups of similar behaviours and overall. Meta-regression was used to determine if effect varied according to post-intervention follow up time, or incentive value.\n\nResults\nSeventeen papers reporting on 16 studies on smoking cessation (n = 10), attendance for vaccination or screening (n = 5), and physical activity (n = 1) were included. In meta-analyses, the average effect of incentive interventions was greater than control for short-term (≤six months) smoking cessation (relative risk (95% confidence intervals): 2.48 (1.77 to 3.46); long-term (&gt;six months) smoking cessation (1.50 (1.05 to 2.14)); attendance for vaccination or screening (1.92 (1.46 to 2.53)); and for all behaviours combined (1.62 (1.38 to 1.91)). There was not convincing evidence that effects were different between different groups of behaviours. Meta-regression found some, limited, evidence that effect sizes decreased as post-intervention follow-up period and incentive value increased. However, the latter effect may be confounded by the former.\n\nConclusions\nThe available evidence suggests that financial incentive interventions are more effective than usual care or no intervention for encouraging healthy behaviour change.\n\nTrial Registration\nPROSPERO CRD42012002393","container-title":"PLoS ONE","DOI":"10.1371/journal.pone.0090347","ISSN":"1932-6203","issue":"3","journalAbbreviation":"PLoS One","note":"PMID: 24618584\nPMCID: PMC3949711","source":"PubMed Central","title":"The Effectiveness of Financial Incentives for Health Behaviour Change: Systematic Review and Meta-Analysis","title-short":"The Effectiveness of Financial Incentives for Health Behaviour Change","URL":"https://www.ncbi.nlm.nih.gov/pmc/articles/PMC3949711/","volume":"9","author":[{"family":"Giles","given":"Emma L."},{"family":"Robalino","given":"Shannon"},{"family":"McColl","given":"Elaine"},{"family":"Sniehotta","given":"Falko F."},{"family":"Adams","given":"Jean"}],"accessed":{"date-parts":[["2020",4,20]]},"issued":{"date-parts":[["2014",3,11]]}}}],"schema":"https://github.com/citation-style-language/schema/raw/master/csl-citation.json"} </w:instrText>
      </w:r>
      <w:r>
        <w:fldChar w:fldCharType="separate"/>
      </w:r>
      <w:r w:rsidR="00A81A45" w:rsidRPr="00A81A45">
        <w:rPr>
          <w:rFonts w:ascii="Calibri" w:hAnsi="Calibri" w:cs="Calibri"/>
        </w:rPr>
        <w:t>(1)</w:t>
      </w:r>
      <w:r>
        <w:fldChar w:fldCharType="end"/>
      </w:r>
      <w:r>
        <w:t>. Individuals are not perfect rational choice makers and can be present</w:t>
      </w:r>
      <w:r w:rsidR="00CE3AF1">
        <w:t>-</w:t>
      </w:r>
      <w:r>
        <w:t xml:space="preserve">biased (i.e. favouring immediate rewards) and value more immediate or short-term consequences rather than those in the distant future with greater benefits </w:t>
      </w:r>
      <w:r>
        <w:fldChar w:fldCharType="begin"/>
      </w:r>
      <w:r w:rsidR="00BE082B">
        <w:instrText xml:space="preserve"> ADDIN ZOTERO_ITEM CSL_CITATION {"citationID":"i1js7xjA","properties":{"unsorted":true,"formattedCitation":"(14)","plainCitation":"(14)","noteIndex":0},"citationItems":[{"id":4802,"uris":["http://zotero.org/users/1653264/items/6CZUQAUD"],"itemData":{"id":4802,"type":"article-journal","archive":"JSTOR","container-title":"Journal of Economic Literature","ISSN":"0022-0515","issue":"2","note":"publisher: American Economic Association","page":"351-401","source":"JSTOR","title":"Time Discounting and Time Preference: A Critical Review","title-short":"Time Discounting and Time Preference","volume":"40","author":[{"family":"Frederick","given":"Shane"},{"family":"Loewenstein","given":"George"},{"family":"O'Donoghue","given":"Ted"}],"issued":{"date-parts":[["2002"]]}}}],"schema":"https://github.com/citation-style-language/schema/raw/master/csl-citation.json"} </w:instrText>
      </w:r>
      <w:r>
        <w:fldChar w:fldCharType="separate"/>
      </w:r>
      <w:r w:rsidR="00A81A45" w:rsidRPr="00A81A45">
        <w:rPr>
          <w:rFonts w:ascii="Calibri" w:hAnsi="Calibri" w:cs="Calibri"/>
        </w:rPr>
        <w:t>(14)</w:t>
      </w:r>
      <w:r>
        <w:fldChar w:fldCharType="end"/>
      </w:r>
      <w:r>
        <w:t>.</w:t>
      </w:r>
      <w:r w:rsidR="00BE6E2D" w:rsidRPr="00BE6E2D">
        <w:t xml:space="preserve"> </w:t>
      </w:r>
      <w:r w:rsidR="00BE6E2D">
        <w:t xml:space="preserve">Although the effect of CFI on one-off health behaviours is clear, whether they operate differently in different socio-economic groups and thus their potential to reduce health inequalities is suggested but not demonstrated </w:t>
      </w:r>
      <w:r w:rsidR="00BE6E2D">
        <w:fldChar w:fldCharType="begin"/>
      </w:r>
      <w:r w:rsidR="00BE082B">
        <w:instrText xml:space="preserve"> ADDIN ZOTERO_ITEM CSL_CITATION {"citationID":"7RV3F1tg","properties":{"unsorted":true,"formattedCitation":"(15,16)","plainCitation":"(15,16)","noteIndex":0},"citationItems":[{"id":4840,"uris":["http://zotero.org/users/1653264/items/4P44YDIM"],"itemData":{"id":4840,"type":"article-journal","abstract":"Objective.To evaluate the use of behavioral economics to design financial incentives to promote health behavior change and to explore associations with demographic characteristics.Data Source.Studies performed by the Center for Health Incentives and Behavioral Economics at the University of Pennsylvania published between January 2006 and March 2014.Study Inclusion and Exclusion Criteria.Randomized, controlled trials with available participant-level data. Studies that did not use financial incentives to promote health behavior change were excluded.Data Extraction.Participant-level data from seven studies were pooled.Data Synthesis.Meta-analysis on the pooled sample using a random-effects model with interaction terms to examine treatment effects and whether they varied by incentive structure or demographic characteristics.Results.The pooled study sample comprised 1403 participants, of whom 35% were female, 70% were white, 24% were black, and the mean age was 48 years (standard deviation 11.2 years). In the fully adjusted model, participants offered financial incentives had higher odds of behavior change (odds ratio [OR]: 3.96; p &lt; .01) when compared to control. There were no significant interactions between financial incentives and gender, age, race, income, or education. When further adjusting for incentive structure, blacks had higher odds than whites of achieving behavior change (OR: 1.67; p&lt; .05) with a conditional payment. Compared to lower-income participants, higher-income participants had lower odds of behavior change (OR: 0.46; p = .01) with a regret lottery.Conclusion.Financial incentives designed using concepts from behavioral economics were effective for promoting health behavior change. There were no large and consistent relationships between the effectiveness of financial incentives and observable demographic characteristics. Second-order examinations of incentive structure suggest potential relationships among the effectiveness of financial incentives, incentive structure, and the demographic characteristics of race and income.","container-title":"American Journal of Health Promotion","DOI":"10.4278/ajhp.140714-LIT-333","ISSN":"0890-1171","issue":"5","journalAbbreviation":"Am J Health Promot","language":"en","note":"publisher: SAGE Publications Inc","page":"314-323","source":"SAGE Journals","title":"The Role of Behavioral Economic Incentive Design and Demographic Characteristics in Financial Incentive-Based Approaches to Changing Health Behaviors: A Meta-Analysis","title-short":"The Role of Behavioral Economic Incentive Design and Demographic Characteristics in Financial Incentive-Based Approaches to Changing Health Behaviors","volume":"29","author":[{"family":"Haff","given":"Nancy"},{"family":"Patel","given":"Mitesh S."},{"family":"Lim","given":"Raymond"},{"family":"Zhu","given":"Jingsan"},{"family":"Troxel","given":"Andrea B."},{"family":"Asch","given":"David A."},{"family":"Volpp","given":"Kevin G."}],"issued":{"date-parts":[["2015",5,1]]}}},{"id":4732,"uris":["http://zotero.org/users/1653264/items/CBIARXJD"],"itemData":{"id":4732,"type":"article-journal","abstract":"Health inequalities and user financial incentives to encourage health-related behavior change are two topical issues in the health policy discourse, and this article attempts to combine the two; namely, we try to address whether the latter can be used to reduce the former in the contexts of the United Kingdom and the United States. Payments for some aspects of medical adherence may offer a promising way to address, to some extent, inequalities in health and health care in both countries. However, payments for more sustained behavior change, such as that associated with smoking cessation and weight loss, have thus far shown little long-term effect, although more research that tests the effectiveness of different incentive mechanism designs, informed by the findings of behavioral economics, ought to be undertaken. Many practical, political, ethical, and ideological objections can be waged against user financial incentives in health, and this article reviews a number of them, but the justifiability of and limits to these incentives require more academic and public discourse so as to gain a better understanding of the circumstances in which they can legitimately be used.","container-title":"Journal of Health Politics, Policy and Law","ISSN":"0361-6878","issue":"2","language":"eng","note":"number: 2\npublisher: Duke University Press","page":"201-226","source":"eprints.lse.ac.uk","title":"A consideration of user financial incentives to address health inequalities","volume":"37","author":[{"family":"Oliver","given":"Adam"},{"family":"Brown","given":"Lawrence D."}],"issued":{"date-parts":[["2012",4]]}}}],"schema":"https://github.com/citation-style-language/schema/raw/master/csl-citation.json"} </w:instrText>
      </w:r>
      <w:r w:rsidR="00BE6E2D">
        <w:fldChar w:fldCharType="separate"/>
      </w:r>
      <w:r w:rsidR="00A81A45" w:rsidRPr="00A81A45">
        <w:rPr>
          <w:rFonts w:ascii="Calibri" w:hAnsi="Calibri" w:cs="Calibri"/>
        </w:rPr>
        <w:t>(15,16)</w:t>
      </w:r>
      <w:r w:rsidR="00BE6E2D">
        <w:fldChar w:fldCharType="end"/>
      </w:r>
      <w:r w:rsidR="00BE6E2D">
        <w:t xml:space="preserve">. </w:t>
      </w:r>
      <w:r w:rsidR="00A32BE8" w:rsidRPr="00A32BE8">
        <w:t>On the other hand</w:t>
      </w:r>
      <w:r w:rsidR="00BE6E2D" w:rsidRPr="00BE6E2D">
        <w:t>,</w:t>
      </w:r>
      <w:r w:rsidR="00BE6E2D">
        <w:t xml:space="preserve"> while</w:t>
      </w:r>
      <w:r w:rsidR="00BE6E2D" w:rsidRPr="00BE6E2D">
        <w:t xml:space="preserve"> </w:t>
      </w:r>
      <w:r w:rsidR="00BE6E2D">
        <w:t>p</w:t>
      </w:r>
      <w:r w:rsidR="00BE6E2D" w:rsidRPr="00BE6E2D">
        <w:t>resent</w:t>
      </w:r>
      <w:r w:rsidR="00CE3AF1">
        <w:t xml:space="preserve"> </w:t>
      </w:r>
      <w:r w:rsidR="00BE6E2D" w:rsidRPr="00BE6E2D">
        <w:t>bias</w:t>
      </w:r>
      <w:r w:rsidR="00990EE0">
        <w:t>edness</w:t>
      </w:r>
      <w:r w:rsidR="00BE6E2D">
        <w:t xml:space="preserve"> remain</w:t>
      </w:r>
      <w:r w:rsidR="006C66AE">
        <w:t>s</w:t>
      </w:r>
      <w:r w:rsidR="00BE6E2D">
        <w:t xml:space="preserve"> the main mechanism leveraged by CFI, </w:t>
      </w:r>
      <w:r w:rsidR="00BE6E2D" w:rsidRPr="00BE6E2D">
        <w:t xml:space="preserve">evidence </w:t>
      </w:r>
      <w:r w:rsidR="00A32BE8">
        <w:t>show</w:t>
      </w:r>
      <w:r w:rsidR="00BE6E2D" w:rsidRPr="00BE6E2D">
        <w:t xml:space="preserve"> that</w:t>
      </w:r>
      <w:r w:rsidR="00001ED0">
        <w:t xml:space="preserve"> the level of</w:t>
      </w:r>
      <w:r w:rsidR="00BE6E2D" w:rsidRPr="00BE6E2D">
        <w:t xml:space="preserve"> </w:t>
      </w:r>
      <w:r w:rsidR="00BE6E2D">
        <w:t>p</w:t>
      </w:r>
      <w:r w:rsidR="00BE6E2D" w:rsidRPr="00BE6E2D">
        <w:t>resent</w:t>
      </w:r>
      <w:r w:rsidR="00CE3AF1">
        <w:t xml:space="preserve"> </w:t>
      </w:r>
      <w:r w:rsidR="006C66AE" w:rsidRPr="00BE6E2D">
        <w:t>bias</w:t>
      </w:r>
      <w:r w:rsidR="006C66AE">
        <w:t xml:space="preserve">edness </w:t>
      </w:r>
      <w:r w:rsidR="00075F08">
        <w:t>can vary between</w:t>
      </w:r>
      <w:r w:rsidR="00BE6E2D" w:rsidRPr="00BE6E2D">
        <w:t xml:space="preserve"> </w:t>
      </w:r>
      <w:r w:rsidR="006C66AE">
        <w:t xml:space="preserve">age, gender, socio-economic situation or marital status </w:t>
      </w:r>
      <w:r w:rsidR="00BE6E2D" w:rsidRPr="00BE6E2D">
        <w:fldChar w:fldCharType="begin"/>
      </w:r>
      <w:r w:rsidR="00BE082B">
        <w:instrText xml:space="preserve"> ADDIN ZOTERO_ITEM CSL_CITATION {"citationID":"pbxw2PAu","properties":{"formattedCitation":"(17)","plainCitation":"(17)","noteIndex":0},"citationItems":[{"id":18123,"uris":["http://zotero.org/users/1653264/items/PR39KBEF"],"itemData":{"id":18123,"type":"article-journal","abstract":"The decision to initiate or maintain a healthy habit, such as physical activity involves a trade-off between a short-term cost, such as time and effort, which are commonly identified as barriers to physical activity, and a long-term health benefit. Research suggests that individual time preference may be associated with unhealthy behaviors. However, empirical evidence of this for physical activity is scant. This study investigated the relationship between time preference and physical activity, and how this might influence behavior change.","container-title":"BMC Public Health","DOI":"10.1186/s12889-018-6305-9","ISSN":"1471-2458","issue":"1","journalAbbreviation":"BMC Public Health","page":"1388","source":"BioMed Central","title":"Association between time preference, present-bias and physical activity: implications for designing behavior change interventions","title-short":"Association between time preference, present-bias and physical activity","volume":"18","author":[{"family":"Hunter","given":"Ruth F."},{"family":"Tang","given":"Jianjun"},{"family":"Hutchinson","given":"George"},{"family":"Chilton","given":"Susan"},{"family":"Holmes","given":"David"},{"family":"Kee","given":"Frank"}],"issued":{"date-parts":[["2018",12,19]]}}}],"schema":"https://github.com/citation-style-language/schema/raw/master/csl-citation.json"} </w:instrText>
      </w:r>
      <w:r w:rsidR="00BE6E2D" w:rsidRPr="00BE6E2D">
        <w:fldChar w:fldCharType="separate"/>
      </w:r>
      <w:r w:rsidR="00A81A45" w:rsidRPr="00A81A45">
        <w:rPr>
          <w:rFonts w:ascii="Calibri" w:hAnsi="Calibri" w:cs="Calibri"/>
        </w:rPr>
        <w:t>(17)</w:t>
      </w:r>
      <w:r w:rsidR="00BE6E2D" w:rsidRPr="00BE6E2D">
        <w:fldChar w:fldCharType="end"/>
      </w:r>
      <w:r w:rsidR="00A32BE8">
        <w:t xml:space="preserve">. </w:t>
      </w:r>
      <w:r w:rsidR="00075F08">
        <w:t>Thus</w:t>
      </w:r>
      <w:r w:rsidR="006C66AE">
        <w:t>,</w:t>
      </w:r>
      <w:r w:rsidR="00A32BE8">
        <w:t xml:space="preserve"> </w:t>
      </w:r>
      <w:r w:rsidR="00E8536C">
        <w:t>offering</w:t>
      </w:r>
      <w:r w:rsidR="00A32BE8">
        <w:t xml:space="preserve"> </w:t>
      </w:r>
      <w:r w:rsidR="00E8536C">
        <w:t xml:space="preserve">a </w:t>
      </w:r>
      <w:r w:rsidR="00A32BE8">
        <w:t>CFI</w:t>
      </w:r>
      <w:r w:rsidR="00E8536C">
        <w:t xml:space="preserve"> for the adoption of a health behaviour</w:t>
      </w:r>
      <w:r w:rsidR="00A32BE8">
        <w:t xml:space="preserve"> </w:t>
      </w:r>
      <w:r w:rsidR="00E8536C">
        <w:t xml:space="preserve">may lead to </w:t>
      </w:r>
      <w:r w:rsidR="00990EE0">
        <w:t>different level of</w:t>
      </w:r>
      <w:r w:rsidR="00E8536C">
        <w:t xml:space="preserve"> adoption </w:t>
      </w:r>
      <w:r w:rsidR="00990EE0">
        <w:t>by</w:t>
      </w:r>
      <w:r w:rsidR="00A32BE8">
        <w:t xml:space="preserve"> </w:t>
      </w:r>
      <w:r w:rsidR="00E8536C" w:rsidRPr="00BE6E2D">
        <w:t xml:space="preserve">sociodemographic </w:t>
      </w:r>
      <w:r w:rsidR="006C66AE">
        <w:t>sub</w:t>
      </w:r>
      <w:r w:rsidR="00E8536C" w:rsidRPr="00BE6E2D">
        <w:t>group</w:t>
      </w:r>
      <w:r w:rsidR="00E8536C">
        <w:t>s</w:t>
      </w:r>
      <w:r w:rsidR="00A32BE8">
        <w:t xml:space="preserve">. Understanding </w:t>
      </w:r>
      <w:r w:rsidR="00446889">
        <w:t xml:space="preserve">the </w:t>
      </w:r>
      <w:r w:rsidR="00E8536C">
        <w:t>differential effect</w:t>
      </w:r>
      <w:r w:rsidR="00404E7B">
        <w:t xml:space="preserve"> of </w:t>
      </w:r>
      <w:r w:rsidR="00404E7B">
        <w:lastRenderedPageBreak/>
        <w:t xml:space="preserve">CFI on </w:t>
      </w:r>
      <w:r w:rsidR="00E8536C">
        <w:t xml:space="preserve">health </w:t>
      </w:r>
      <w:r w:rsidR="00404E7B">
        <w:t>behaviour adoption is important to ensure that it</w:t>
      </w:r>
      <w:r w:rsidR="00E8536C">
        <w:t xml:space="preserve"> does not </w:t>
      </w:r>
      <w:r w:rsidR="00404E7B">
        <w:t>create or</w:t>
      </w:r>
      <w:r w:rsidR="00990EE0">
        <w:t xml:space="preserve"> increase existing inequalities </w:t>
      </w:r>
      <w:bookmarkStart w:id="3" w:name="_Hlk101200250"/>
      <w:r w:rsidR="00446889">
        <w:t>for</w:t>
      </w:r>
      <w:r w:rsidR="00001ED0">
        <w:t xml:space="preserve"> that</w:t>
      </w:r>
      <w:r w:rsidR="00404E7B">
        <w:t xml:space="preserve"> </w:t>
      </w:r>
      <w:r w:rsidR="00446889">
        <w:t>behaviour</w:t>
      </w:r>
      <w:r w:rsidR="00404E7B">
        <w:t>.</w:t>
      </w:r>
      <w:bookmarkEnd w:id="3"/>
    </w:p>
    <w:p w14:paraId="45103A07" w14:textId="77777777" w:rsidR="0032072C" w:rsidRDefault="0032072C" w:rsidP="009340A4">
      <w:pPr>
        <w:spacing w:after="0" w:line="480" w:lineRule="auto"/>
      </w:pPr>
    </w:p>
    <w:bookmarkEnd w:id="1"/>
    <w:p w14:paraId="59FE3CC1" w14:textId="2E2ADAC3" w:rsidR="00A32BE8" w:rsidRDefault="00A32BE8" w:rsidP="009340A4">
      <w:pPr>
        <w:spacing w:after="0" w:line="480" w:lineRule="auto"/>
      </w:pPr>
      <w:r>
        <w:t xml:space="preserve">Most studies on CFI demonstrate the overall effect of CFI rather than its effect on sub-groups </w:t>
      </w:r>
      <w:r>
        <w:fldChar w:fldCharType="begin"/>
      </w:r>
      <w:r w:rsidR="00BE082B">
        <w:instrText xml:space="preserve"> ADDIN ZOTERO_ITEM CSL_CITATION {"citationID":"pepqyj0E","properties":{"unsorted":true,"formattedCitation":"(16)","plainCitation":"(16)","noteIndex":0},"citationItems":[{"id":4732,"uris":["http://zotero.org/users/1653264/items/CBIARXJD"],"itemData":{"id":4732,"type":"article-journal","abstract":"Health inequalities and user financial incentives to encourage health-related behavior change are two topical issues in the health policy discourse, and this article attempts to combine the two; namely, we try to address whether the latter can be used to reduce the former in the contexts of the United Kingdom and the United States. Payments for some aspects of medical adherence may offer a promising way to address, to some extent, inequalities in health and health care in both countries. However, payments for more sustained behavior change, such as that associated with smoking cessation and weight loss, have thus far shown little long-term effect, although more research that tests the effectiveness of different incentive mechanism designs, informed by the findings of behavioral economics, ought to be undertaken. Many practical, political, ethical, and ideological objections can be waged against user financial incentives in health, and this article reviews a number of them, but the justifiability of and limits to these incentives require more academic and public discourse so as to gain a better understanding of the circumstances in which they can legitimately be used.","container-title":"Journal of Health Politics, Policy and Law","ISSN":"0361-6878","issue":"2","language":"eng","note":"number: 2\npublisher: Duke University Press","page":"201-226","source":"eprints.lse.ac.uk","title":"A consideration of user financial incentives to address health inequalities","volume":"37","author":[{"family":"Oliver","given":"Adam"},{"family":"Brown","given":"Lawrence D."}],"issued":{"date-parts":[["2012",4]]}}}],"schema":"https://github.com/citation-style-language/schema/raw/master/csl-citation.json"} </w:instrText>
      </w:r>
      <w:r>
        <w:fldChar w:fldCharType="separate"/>
      </w:r>
      <w:r w:rsidR="00A81A45" w:rsidRPr="00A81A45">
        <w:rPr>
          <w:rFonts w:ascii="Calibri" w:hAnsi="Calibri" w:cs="Calibri"/>
        </w:rPr>
        <w:t>(16)</w:t>
      </w:r>
      <w:r>
        <w:fldChar w:fldCharType="end"/>
      </w:r>
      <w:r>
        <w:t xml:space="preserve"> and participant-level data, required to conduct a robust analysis of effect on sub-groups, are not commonly published </w:t>
      </w:r>
      <w:r>
        <w:fldChar w:fldCharType="begin"/>
      </w:r>
      <w:r w:rsidR="00BE082B">
        <w:instrText xml:space="preserve"> ADDIN ZOTERO_ITEM CSL_CITATION {"citationID":"OzDJTEas","properties":{"formattedCitation":"(18)","plainCitation":"(18)","noteIndex":0},"citationItems":[{"id":4835,"uris":["http://zotero.org/users/1653264/items/WMN64YX9"],"itemData":{"id":4835,"type":"article-journal","abstract":"Medical progress is possible only because altruistic volunteers put themselves at risk in clinical trials. The results of those trials are then used to inform medical decisions. The traditional system of relying on investigators, sponsors, and journal editors to decide whether, when, and how to report trial results was based on trust. There was no way to know what trials had been conducted, what data were collected, how they were analyzed, and whether the reported data were complete and accurate. Policies mandating the registration of trials and the reporting of summary results were instituted to provide greater transparency. In turn, . . .","container-title":"New England Journal of Medicine","DOI":"10.1056/NEJMe1307268","ISSN":"0028-4793","issue":"5","note":"publisher: Massachusetts Medical Society\n_eprint: https://doi.org/10.1056/NEJMe1307268\nPMID: 23902488","page":"468-469","source":"Taylor and Francis+NEJM","title":"Participant-Level Data and the New Frontier in Trial Transparency","volume":"369","author":[{"family":"Zarin","given":"Deborah A."}],"issued":{"date-parts":[["2013",8,1]]}}}],"schema":"https://github.com/citation-style-language/schema/raw/master/csl-citation.json"} </w:instrText>
      </w:r>
      <w:r>
        <w:fldChar w:fldCharType="separate"/>
      </w:r>
      <w:r w:rsidR="00A81A45" w:rsidRPr="00A81A45">
        <w:rPr>
          <w:rFonts w:ascii="Calibri" w:hAnsi="Calibri" w:cs="Calibri"/>
        </w:rPr>
        <w:t>(18)</w:t>
      </w:r>
      <w:r>
        <w:fldChar w:fldCharType="end"/>
      </w:r>
      <w:r>
        <w:t xml:space="preserve">. In the US and UK, the few studies that were conducted found no difference in CFI effect by gender, age, race, income or education </w:t>
      </w:r>
      <w:r>
        <w:fldChar w:fldCharType="begin"/>
      </w:r>
      <w:r w:rsidR="00BE082B">
        <w:instrText xml:space="preserve"> ADDIN ZOTERO_ITEM CSL_CITATION {"citationID":"sKRQqRY8","properties":{"formattedCitation":"(15,19)","plainCitation":"(15,19)","noteIndex":0},"citationItems":[{"id":4799,"uris":["http://zotero.org/users/1653264/items/HUKSDIH5"],"itemData":{"id":4799,"type":"article-journal","abstract":"Objective: Uptake of human papillomavirus (HPV) vaccinations by 17- to 18-year-old girls in England is below (&lt;35%) target (80%). This trial assesses (a) the impact of financial incentives on uptake and completion of an HPV vaccination program, and (b) whether impacts are moderated by participants’ deprivation level. It also assesses the impact of incentives on decision quality to get vaccinated, as measured by attitudes toward the vaccination and knowledge of its consequences. Method: One thousand 16- to 18-year-old girls were invited to participate in an HPV vaccination program: 500 previously uninvited, and 500 unresponsive to previous invitations. Girls randomly received either a standard invitation letter or a letter including the offer of vouchers worth £45 (€56; $73) for undergoing 3 vaccinations. Girls attending their first vaccination appointment completed a questionnaire assessing decision quality to be vaccinated. Outcomes were uptake of the first and third vaccinations and decision quality. Results: The intervention increased uptake of the first (first-time invitees: 28.4% vs. 19.6%, odds ratio [OR] = 1.63, 95% confidence interval [CI; 1.08, 2.47]; previous nonattenders: 23.6% vs. 10.4%, OR = 2.65, 95% CI [1.61, 4.38]) and third (first-time invitees: 22.4% vs. 12%, OR = 2.15, 95% CI [1.32, 3.50]; previous nonattenders: 12.4% vs. 3%, OR = 4.28, 95% CI [1.92, 9.55]) vaccinations. Impacts were not moderated by deprivation level. Decision quality was unaffected by the intervention. Conclusions: Although the intervention increased completion of HPV vaccinations, uptake remained lower than the national target, which, in addition to cost effectiveness and acceptability issues, necessitates consideration of other ways of achieving it.","container-title":"Health Psychology","DOI":"10.1037/hea0000088","ISSN":"0278-6133","issue":"2","journalAbbreviation":"Health Psychol","note":"PMID: 25133822\nPMCID: PMC4312136","page":"160-171","source":"PubMed Central","title":"Financial Incentives for Increasing Uptake of HPV Vaccinations: A Randomized Controlled Trial","title-short":"Financial Incentives for Increasing Uptake of HPV Vaccinations","volume":"34","author":[{"family":"Mantzari","given":"Eleni"},{"family":"Vogt","given":"Florian"},{"family":"Marteau","given":"Theresa M."}],"issued":{"date-parts":[["2015",2]]}},"label":"page"},{"id":4840,"uris":["http://zotero.org/users/1653264/items/4P44YDIM"],"itemData":{"id":4840,"type":"article-journal","abstract":"Objective.To evaluate the use of behavioral economics to design financial incentives to promote health behavior change and to explore associations with demographic characteristics.Data Source.Studies performed by the Center for Health Incentives and Behavioral Economics at the University of Pennsylvania published between January 2006 and March 2014.Study Inclusion and Exclusion Criteria.Randomized, controlled trials with available participant-level data. Studies that did not use financial incentives to promote health behavior change were excluded.Data Extraction.Participant-level data from seven studies were pooled.Data Synthesis.Meta-analysis on the pooled sample using a random-effects model with interaction terms to examine treatment effects and whether they varied by incentive structure or demographic characteristics.Results.The pooled study sample comprised 1403 participants, of whom 35% were female, 70% were white, 24% were black, and the mean age was 48 years (standard deviation 11.2 years). In the fully adjusted model, participants offered financial incentives had higher odds of behavior change (odds ratio [OR]: 3.96; p &lt; .01) when compared to control. There were no significant interactions between financial incentives and gender, age, race, income, or education. When further adjusting for incentive structure, blacks had higher odds than whites of achieving behavior change (OR: 1.67; p&lt; .05) with a conditional payment. Compared to lower-income participants, higher-income participants had lower odds of behavior change (OR: 0.46; p = .01) with a regret lottery.Conclusion.Financial incentives designed using concepts from behavioral economics were effective for promoting health behavior change. There were no large and consistent relationships between the effectiveness of financial incentives and observable demographic characteristics. Second-order examinations of incentive structure suggest potential relationships among the effectiveness of financial incentives, incentive structure, and the demographic characteristics of race and income.","container-title":"American Journal of Health Promotion","DOI":"10.4278/ajhp.140714-LIT-333","ISSN":"0890-1171","issue":"5","journalAbbreviation":"Am J Health Promot","language":"en","note":"publisher: SAGE Publications Inc","page":"314-323","source":"SAGE Journals","title":"The Role of Behavioral Economic Incentive Design and Demographic Characteristics in Financial Incentive-Based Approaches to Changing Health Behaviors: A Meta-Analysis","title-short":"The Role of Behavioral Economic Incentive Design and Demographic Characteristics in Financial Incentive-Based Approaches to Changing Health Behaviors","volume":"29","author":[{"family":"Haff","given":"Nancy"},{"family":"Patel","given":"Mitesh S."},{"family":"Lim","given":"Raymond"},{"family":"Zhu","given":"Jingsan"},{"family":"Troxel","given":"Andrea B."},{"family":"Asch","given":"David A."},{"family":"Volpp","given":"Kevin G."}],"issued":{"date-parts":[["2015",5,1]]}},"label":"page"}],"schema":"https://github.com/citation-style-language/schema/raw/master/csl-citation.json"} </w:instrText>
      </w:r>
      <w:r>
        <w:fldChar w:fldCharType="separate"/>
      </w:r>
      <w:r w:rsidR="00A81A45" w:rsidRPr="00A81A45">
        <w:rPr>
          <w:rFonts w:ascii="Calibri" w:hAnsi="Calibri" w:cs="Calibri"/>
        </w:rPr>
        <w:t>(15,19)</w:t>
      </w:r>
      <w:r>
        <w:fldChar w:fldCharType="end"/>
      </w:r>
      <w:r>
        <w:t xml:space="preserve">. Another US study, conducted in a healthcare management company, showed a higher effect of a lottery-based CFI among people with a lower income </w:t>
      </w:r>
      <w:r>
        <w:fldChar w:fldCharType="begin"/>
      </w:r>
      <w:r w:rsidR="00BE082B">
        <w:instrText xml:space="preserve"> ADDIN ZOTERO_ITEM CSL_CITATION {"citationID":"U3j9qchW","properties":{"formattedCitation":"(20)","plainCitation":"(20)","noteIndex":0},"citationItems":[{"id":4834,"uris":["http://zotero.org/users/1653264/items/RQ6KRLWI"],"itemData":{"id":4834,"type":"article-journal","abstract":"PURPOSE: The biggest challenge for corporate wellness initiatives is low rates of employee participation. We test whether a behavioral economic approach to incentive design (i.e., a lottery) is more effective than a direct economic payment of equivalent monetary value (i.e., a grocery gift certificate) in encouraging employees to complete health risk assessments (HRAs).\nDESIGN: Employees were assigned to one of three arms. Assignment to a treatment arm versus the nontreatment arm was determined by management. Assignment to an arm among those eligible for treatment was randomized by office.\nSETTING: A large health care management and information technology consulting company.\nPATIENTS: A total of 1299 employees across 14 offices participated.\nINTERVENTION: All employees were eligible to receive $25 for completing the HRA. Those in the lottery condition were assigned to teams of four to eight people and, conditional on HRA completion, were entered into a lottery with a prize of $100 (expected value, $25) and a bonus value of an additional $25 if 80% of team members participated. Those in the grocery gift certificate condition who completed an HRA received a $25 grocery gift certificate. Those in the comparison condition received no additional incentive.\nMEASURES: HRA completion rates.\nANALYSIS: Logistic regression analysis.\nRESULTS: HRA completion rates were significantly higher among participations in the lottery incentive condition (64%) than in both the grocery gift certificate condition (44%) and the comparison condition (40%). Effects were larger for lower-income employees, as indicated by a significant interaction between income and the lottery incentive.\nCONCLUSION: Lottery incentives that incorporate regret aversion and social pressure can provide higher impact for the same amount of money as simple economic incentives.","container-title":"American journal of health promotion: AJHP","DOI":"10.4278/ajhp.100729-ARB-257","ISSN":"2168-6602","issue":"3","journalAbbreviation":"Am J Health Promot","language":"eng","note":"PMID: 22208418","page":"184-188","source":"PubMed","title":"The impact of alternative incentive schemes on completion of health risk assessments","volume":"26","author":[{"family":"Haisley","given":"Emily"},{"family":"Volpp","given":"Kevin G."},{"family":"Pellathy","given":"Thomas"},{"family":"Loewenstein","given":"George"}],"issued":{"date-parts":[["2012",2]]}}}],"schema":"https://github.com/citation-style-language/schema/raw/master/csl-citation.json"} </w:instrText>
      </w:r>
      <w:r>
        <w:fldChar w:fldCharType="separate"/>
      </w:r>
      <w:r w:rsidR="00A81A45" w:rsidRPr="00A81A45">
        <w:rPr>
          <w:rFonts w:ascii="Calibri" w:hAnsi="Calibri" w:cs="Calibri"/>
        </w:rPr>
        <w:t>(20)</w:t>
      </w:r>
      <w:r>
        <w:fldChar w:fldCharType="end"/>
      </w:r>
      <w:r>
        <w:t xml:space="preserve">. In low and middle-income countries, we found a single survey documenting the link between socio-demographic characteristics and CFI effect for a health intervention, which was attaining a HIV result centre after accepting a free door-to-door HIV test in rural Malawi </w:t>
      </w:r>
      <w:r>
        <w:fldChar w:fldCharType="begin"/>
      </w:r>
      <w:r>
        <w:instrText xml:space="preserve"> ADDIN ZOTERO_ITEM CSL_CITATION {"citationID":"B3l2u2Xa","properties":{"formattedCitation":"(8)","plainCitation":"(8)","noteIndex":0},"citationItems":[{"id":4760,"uris":["http://zotero.org/users/1653264/items/IT59JT6J"],"itemData":{"id":4760,"type":"article-journal","abstract":"This paper evaluates an experiment in which individuals in rural Malawi were randomly assigned monetary incentives to learn their HIV results after being tested. Distance to the HIV results centers was also randomly assigned. Without any incentive, 34 percent of the participants learned their HIV results. However, even the smallest incentive doubled that share. Using the randomly assigned incentives and distance from results centers as instruments for the knowledge of HIV status, sexually active HIV-positive individuals who learned their results are three times more likely to purchase condoms two months later than sexually active HIV-positive individuals who did not learn their results; however, HIV-positive individuals who learned their results purchase only two additional condoms than those who did not. There is no significant effect of learning HIV-negative status on the purchase of condoms.","container-title":"The American economic review","DOI":"10.1257/aer.98.5.1829","ISSN":"0002-8282","issue":"5","journalAbbreviation":"Am Econ Rev","note":"PMID: 21687831\nPMCID: PMC3115776","page":"1829-1863","source":"PubMed Central","title":"The Demand for, and Impact of, Learning HIV Status","volume":"98","author":[{"family":"Thornton","given":"Rebecca L."}],"issued":{"date-parts":[["2008",12,1]]}}}],"schema":"https://github.com/citation-style-language/schema/raw/master/csl-citation.json"} </w:instrText>
      </w:r>
      <w:r>
        <w:fldChar w:fldCharType="separate"/>
      </w:r>
      <w:r w:rsidR="00A81A45" w:rsidRPr="00A81A45">
        <w:rPr>
          <w:rFonts w:ascii="Calibri" w:hAnsi="Calibri" w:cs="Calibri"/>
        </w:rPr>
        <w:t>(8)</w:t>
      </w:r>
      <w:r>
        <w:fldChar w:fldCharType="end"/>
      </w:r>
      <w:r>
        <w:t>. This study showed various effects of the CFI on gender depending on the study district considered; the author suggested that a woman may be less likely to obtain their test results as she might need to ask her husband permission first in some of the studied sites.</w:t>
      </w:r>
    </w:p>
    <w:p w14:paraId="7008AB25" w14:textId="0E3A9470" w:rsidR="0032351C" w:rsidRDefault="0032351C" w:rsidP="009340A4">
      <w:pPr>
        <w:spacing w:after="0" w:line="480" w:lineRule="auto"/>
      </w:pPr>
    </w:p>
    <w:p w14:paraId="0CA3F296" w14:textId="34D43AB4" w:rsidR="002B64C9" w:rsidRDefault="00E266EE" w:rsidP="009340A4">
      <w:pPr>
        <w:spacing w:after="0" w:line="480" w:lineRule="auto"/>
      </w:pPr>
      <w:bookmarkStart w:id="4" w:name="_Hlk101201440"/>
      <w:r>
        <w:t xml:space="preserve">In relation to HIV-testing, there are clear inequalities in </w:t>
      </w:r>
      <w:r w:rsidR="002B64C9">
        <w:t xml:space="preserve">access and </w:t>
      </w:r>
      <w:r>
        <w:t>uptake</w:t>
      </w:r>
      <w:r w:rsidR="002B64C9">
        <w:t xml:space="preserve"> </w:t>
      </w:r>
      <w:r w:rsidR="002B64C9">
        <w:fldChar w:fldCharType="begin"/>
      </w:r>
      <w:r w:rsidR="00BE082B">
        <w:instrText xml:space="preserve"> ADDIN ZOTERO_ITEM CSL_CITATION {"citationID":"NHtoJ4ab","properties":{"formattedCitation":"(21)","plainCitation":"(21)","noteIndex":0},"citationItems":[{"id":18120,"uris":["http://zotero.org/users/1653264/items/A9P4U6WR"],"itemData":{"id":18120,"type":"article-journal","abstract":"Background\nOverall increases in the uptake of HIV testing in the past two decades might hide discrepancies across socioeconomic groups. We used data from population-based surveys done in sub-Saharan Africa to quantify socioeconomic inequalities in uptake of HIV testing, and to establish trends in testing uptake in the past two decades.\nMethods\nWe analysed data from 16 countries in sub-Saharan Africa where at least one Demographic and Health Survey was done before and after 2008. We assessed the country-specific and sex-specific proportions of participants who had undergone HIV testing in the previous 12 months across wealth and education groups, and quantified socioeconomic inequalities with both the relative and slope indices of inequalities. We assessed time trends in inequalities, and calculated mean results across countries with random-effects meta-analyses.\nFindings\nWe analysed data for 537 784 participants aged 15–59 years (most aged 15–49 years) from 32 surveys done between 2003 and 2016 (16 before 2008, and 16 after 2008) in Cameroon, Côte d'Ivoire, DR Congo, Ethiopia, Guinea, Kenya, Lesotho, Liberia, Malawi, Mali, Niger, Rwanda, Sierra Leone, Tanzania, Zambia, and Zimbabwe. A higher proportion of female participants than male participants reported uptake of HIV testing in the previous 12 months in five of 16 countries in the pre-2008 surveys, and in 14 of 16 countries in the post-2008 surveys. After 2008, in the overall sample, the wealthiest female participants were 2·77 (95% CI 1·42–5·40) times more likely to report HIV testing in the previous 12 months than were the poorest female participants, whereas the richest male participants were 3·55 (1·85–6·81) times more likely to report HIV testing than in the poorest male participants. The mean absolute difference in uptake of HIV testing between the richest and poorest participants was 11·1 (95% CI 4·6–17·5) percentage points in female participants and 15·1 (9·6–20·6) in male participants. Over time (ie, when pre-2008 and post-2008 data were compared), socioeconomic inequalities in the uptake of HIV testing in the previous 12 months decreased in male and female participants, whereas absolute inequalities remained similar in female participants and increased in male participants.\nInterpretation\nAlthough relative socioeconomic inequalities in uptake of HIV testing in sub-Saharan Africa has decreased, absolute inequalities have persisted or increased. Greater priority should be given to socioeconomic equity in assessments of HIV-testing programmes.\nFunding\nINSERM-ANRS (France Recherche Nord and Sud Sida-HIV Hépatites).","container-title":"The Lancet Global Health","DOI":"10.1016/S2214-109X(20)30108-X","ISSN":"2214-109X","issue":"6","journalAbbreviation":"The Lancet Global Health","language":"en","page":"e808-e818","source":"ScienceDirect","title":"Temporal trends in socioeconomic inequalities in HIV testing: an analysis of cross-sectional surveys from 16 sub-Saharan African countries","title-short":"Temporal trends in socioeconomic inequalities in HIV testing","volume":"8","author":[{"family":"Ante-Testard","given":"Pearl Anne"},{"family":"Benmarhnia","given":"Tarik"},{"family":"Bekelynck","given":"Anne"},{"family":"Baggaley","given":"Rachel"},{"family":"Ouattara","given":"Eric"},{"family":"Temime","given":"Laura"},{"family":"Jean","given":"Kévin"}],"issued":{"date-parts":[["2020",6,1]]}}}],"schema":"https://github.com/citation-style-language/schema/raw/master/csl-citation.json"} </w:instrText>
      </w:r>
      <w:r w:rsidR="002B64C9">
        <w:fldChar w:fldCharType="separate"/>
      </w:r>
      <w:r w:rsidR="00A81A45" w:rsidRPr="00A81A45">
        <w:rPr>
          <w:rFonts w:ascii="Calibri" w:hAnsi="Calibri" w:cs="Calibri"/>
        </w:rPr>
        <w:t>(21)</w:t>
      </w:r>
      <w:r w:rsidR="002B64C9">
        <w:fldChar w:fldCharType="end"/>
      </w:r>
      <w:r w:rsidR="00526402">
        <w:t>.</w:t>
      </w:r>
      <w:r>
        <w:t xml:space="preserve"> </w:t>
      </w:r>
      <w:bookmarkEnd w:id="2"/>
      <w:r w:rsidR="00BE082B">
        <w:t xml:space="preserve">In South Africa, </w:t>
      </w:r>
      <w:r w:rsidR="00BE082B" w:rsidRPr="00BE082B">
        <w:t xml:space="preserve">the country hardest hit by the </w:t>
      </w:r>
      <w:r w:rsidR="00BE082B">
        <w:t>HIV-</w:t>
      </w:r>
      <w:r w:rsidR="00BE082B" w:rsidRPr="00BE082B">
        <w:t>epidemi</w:t>
      </w:r>
      <w:r w:rsidR="00BE082B">
        <w:t xml:space="preserve">c </w:t>
      </w:r>
      <w:r w:rsidR="00BE082B">
        <w:fldChar w:fldCharType="begin"/>
      </w:r>
      <w:r w:rsidR="00BE082B">
        <w:instrText xml:space="preserve"> ADDIN ZOTERO_ITEM CSL_CITATION {"citationID":"9wSv8qsj","properties":{"formattedCitation":"(22)","plainCitation":"(22)","noteIndex":0},"citationItems":[{"id":17959,"uris":["http://zotero.org/users/1653264/items/3R5U2YT7"],"itemData":{"id":17959,"type":"report","publisher":"Geneva: Joint United Nations Programme on HIV/AIDS","title":"UNAIDS data 2021","issued":{"date-parts":[["2021"]]}}}],"schema":"https://github.com/citation-style-language/schema/raw/master/csl-citation.json"} </w:instrText>
      </w:r>
      <w:r w:rsidR="00BE082B">
        <w:fldChar w:fldCharType="separate"/>
      </w:r>
      <w:r w:rsidR="00A81A45" w:rsidRPr="00A81A45">
        <w:rPr>
          <w:rFonts w:ascii="Calibri" w:hAnsi="Calibri" w:cs="Calibri"/>
        </w:rPr>
        <w:t>(22)</w:t>
      </w:r>
      <w:r w:rsidR="00BE082B">
        <w:fldChar w:fldCharType="end"/>
      </w:r>
      <w:r w:rsidR="00BE082B">
        <w:t xml:space="preserve">, HIV testing </w:t>
      </w:r>
      <w:r w:rsidR="00075F08">
        <w:t xml:space="preserve">access </w:t>
      </w:r>
      <w:r w:rsidR="00BE082B">
        <w:t xml:space="preserve">remain lower </w:t>
      </w:r>
      <w:r w:rsidR="00167CB7">
        <w:t xml:space="preserve">among </w:t>
      </w:r>
      <w:r w:rsidR="00D40108">
        <w:t>men, young</w:t>
      </w:r>
      <w:r w:rsidR="00167CB7">
        <w:t>,</w:t>
      </w:r>
      <w:r w:rsidR="00D40108">
        <w:t xml:space="preserve"> single,</w:t>
      </w:r>
      <w:r w:rsidR="00167CB7">
        <w:t xml:space="preserve"> </w:t>
      </w:r>
      <w:r w:rsidR="00D40108">
        <w:t xml:space="preserve">unemployed or </w:t>
      </w:r>
      <w:r w:rsidR="00167CB7">
        <w:t xml:space="preserve">less educated people </w:t>
      </w:r>
      <w:r w:rsidR="00167CB7">
        <w:fldChar w:fldCharType="begin"/>
      </w:r>
      <w:r w:rsidR="00D40108">
        <w:instrText xml:space="preserve"> ADDIN ZOTERO_ITEM CSL_CITATION {"citationID":"hRme0gTz","properties":{"unsorted":true,"formattedCitation":"(23,24)","plainCitation":"(23,24)","noteIndex":0},"citationItems":[{"id":4730,"uris":["http://zotero.org/users/1653264/items/RC7VUN2V"],"itemData":{"id":4730,"type":"report","event-place":"Pretoria, South Africa, and Rockville, Maryland, USA: NDoH, Stats SA, SAMRC, and ICF","publisher-place":"Pretoria, South Africa, and Rockville, Maryland, USA: NDoH, Stats SA, SAMRC, and ICF","title":"South Africa Demographic and Health Survey 2016","author":[{"family":"National Department of Health [South Africa]","given":""},{"family":"Statistics South Africa","given":""},{"family":"South African Medical Research Council","given":""},{"family":"ICF","given":""}],"issued":{"date-parts":[["2019"]]}},"label":"page"},{"id":4907,"uris":["http://zotero.org/users/1653264/items/YDRV9SDW"],"itemData":{"id":4907,"type":"article-journal","abstract":"Background\nWith increasing calls for linking HIV-infected individuals to treatment and care via expanded testing, we examined socio-demographic and behavioral characteristics associated with HIV testing among men and women in Soweto, South Africa.\n\nMethods\nWe conducted a cross-sectional household survey involving 1539 men and 1877 women as part of the community-randomized prevention trial Project ACCEPT/HPTN043 between July 2007-October 2007. Multivariable logistic regression models, stratified by sex, assessed factors associated with HIV testing, and then repeated testing.\n\nResults\nMost women (64.8%) and 28.9% of men reported ever having been tested for HIV, among whom 57.9% reported repeated HIV testing. In multivariable analyses, youth and students had a lower odds of HIV testing. Men and women who had conversations about HIV/AIDS with increasing frequency and who had heard about antiretroviral therapy were more likely to report HIV testing, as well as repeated testing. Men who had ≥12 years of education and who were of high socio-economic status; and women who were married, who were of low socio-economic status, and who had children under their care had a higher odds of HIV testing. Women, older individuals, those with higher levels of education, married individuals, and those with children under their care had a higher odds of reporting repeated HIV testing. Uptake of HIV testing was not associated with condom use, having multiple sex partners, and HIV-related stigma.\n\nConclusions\nGiven the low uptake of HIV testing among men and youth, further targeted interventions could facilitate a test and treat strategy among urban South Africans.","container-title":"Journal of acquired immune deficiency syndromes (1999)","DOI":"10.1097/QAI.0b013e318202c82c","ISSN":"1525-4135","issue":"2","journalAbbreviation":"J Acquir Immune Defic Syndr","note":"PMID: 21084993\nPMCID: PMC3137901","page":"151-165","source":"PubMed Central","title":"Who gets tested for HIV in a South African urban township? Implications for test and treat and gender-based prevention interventions","title-short":"Who gets tested for HIV in a South African urban township?","volume":"56","author":[{"family":"Venkatesh","given":"Kartik K"},{"family":"Madiba","given":"Precious"},{"family":"De Bruyn","given":"Guy"},{"family":"Lurie","given":"Mark N"},{"family":"Coates","given":"Thomas J"},{"family":"Gray","given":"Glenda E"}],"issued":{"date-parts":[["2011",2,1]]}},"label":"page"}],"schema":"https://github.com/citation-style-language/schema/raw/master/csl-citation.json"} </w:instrText>
      </w:r>
      <w:r w:rsidR="00167CB7">
        <w:fldChar w:fldCharType="separate"/>
      </w:r>
      <w:r w:rsidR="00A81A45" w:rsidRPr="00A81A45">
        <w:rPr>
          <w:rFonts w:ascii="Calibri" w:hAnsi="Calibri" w:cs="Calibri"/>
        </w:rPr>
        <w:t>(23,24)</w:t>
      </w:r>
      <w:r w:rsidR="00167CB7">
        <w:fldChar w:fldCharType="end"/>
      </w:r>
      <w:r w:rsidR="00167CB7">
        <w:t xml:space="preserve">. </w:t>
      </w:r>
      <w:r w:rsidR="00D40108">
        <w:t xml:space="preserve">Interventions such as </w:t>
      </w:r>
      <w:r w:rsidR="00D40108" w:rsidRPr="00D40108">
        <w:t>home-based HIV testing</w:t>
      </w:r>
      <w:r w:rsidR="00D40108">
        <w:t xml:space="preserve"> </w:t>
      </w:r>
      <w:r w:rsidR="00FD5639">
        <w:t>are</w:t>
      </w:r>
      <w:r w:rsidR="00D40108">
        <w:t xml:space="preserve"> design</w:t>
      </w:r>
      <w:r w:rsidR="00FD5639">
        <w:t xml:space="preserve">ed to increase HIV testing uptake among these sub-groups </w:t>
      </w:r>
      <w:r w:rsidR="00FD5639">
        <w:fldChar w:fldCharType="begin"/>
      </w:r>
      <w:r w:rsidR="00FD5639">
        <w:instrText xml:space="preserve"> ADDIN ZOTERO_ITEM CSL_CITATION {"citationID":"zlldcUAY","properties":{"formattedCitation":"(25)","plainCitation":"(25)","noteIndex":0},"citationItems":[{"id":17923,"uris":["http://zotero.org/users/1653264/items/LTU5NNLA"],"itemData":{"id":17923,"type":"article-journal","abstract":"Objectives The aim of the study was to estimate rates of linkage to HIV care and antiretroviral treatment (ART) initiation after the introduction of home-based HIV counselling and testing (HBHCT) and telephone-facilitated support for linkage in rural South Africa. Methods A population-based prospective cohort study was carried out in KwaZulu Natal, South Africa. All residents aged ≥ 15 years were eligible for HBHCT. Those who tested positive and were not in care were referred for ART at one of 11 public-sector clinics. Individuals who did not attend the clinic within 2 weeks were sent a short message service (SMS) reminder; those who had not attended after a further 2 weeks were telephoned by a nurse counsellor, to discuss concerns and encourage linkage. Kaplan–Meier methods were used to estimate the proportion of newly diagnosed individuals linking to care and initiating ART. Results Among 38 827 individuals visited, 26% accepted HBHCT. Uptake was higher in women than in men (30% versus 20%, respectively), but similar in people aged &lt; 30 years and ≥ 30 years (28% versus 26%, respectively). A total of 784 (8%) tested HIV positive, of whom 427 (54%) were newly diagnosed. Within 6 months, 31% of women and 18% of men &lt; 30 years old had linked to care, and 29% and 16%, respectively, had started ART. Among those ≥ 30 years, 41% of women and 38% of men had linked to care within 6 months, and 41% and 35%, respectively, had started ART. Conclusions Despite facilitated linkage, rates of timely linkage to care and ART initiation after HBHCT were very low, particularly among young men. Innovations are needed to provide effective HIV care and prevention interventions to young people, and thus maximize the benefits of universal test and treat.","container-title":"HIV Medicine","DOI":"10.1111/hiv.12787","ISSN":"1468-1293","issue":"10","language":"en","note":"_eprint: https://onlinelibrary.wiley.com/doi/pdf/10.1111/hiv.12787","page":"704-708","source":"Wiley Online Library","title":"Findings from home-based HIV testing and facilitated linkage after scale-up of test and treat in rural South Africa: young people still missing","title-short":"Findings from home-based HIV testing and facilitated linkage after scale-up of test and treat in rural South Africa","volume":"20","author":[{"family":"Baisley","given":"Kj"},{"family":"Seeley","given":"J"},{"family":"Siedner","given":"Mj"},{"family":"Koole","given":"K"},{"family":"Matthews","given":"P"},{"family":"Tanser","given":"F"},{"family":"Bärnighausen","given":"T"},{"family":"Smit","given":"T"},{"family":"Gareta","given":"D"},{"family":"Dlamini","given":"S"},{"family":"Herbst","given":"K"},{"family":"Hm","given":"Yapa"},{"family":"Cc","given":"Iwuji"},{"family":"Hy","given":"Kim"},{"family":"D","given":"Pillay"},{"family":"M","given":"Shahmanesh"}],"issued":{"date-parts":[["2019"]]}}}],"schema":"https://github.com/citation-style-language/schema/raw/master/csl-citation.json"} </w:instrText>
      </w:r>
      <w:r w:rsidR="00FD5639">
        <w:fldChar w:fldCharType="separate"/>
      </w:r>
      <w:r w:rsidR="00A81A45" w:rsidRPr="00A81A45">
        <w:rPr>
          <w:rFonts w:ascii="Calibri" w:hAnsi="Calibri" w:cs="Calibri"/>
        </w:rPr>
        <w:t>(25)</w:t>
      </w:r>
      <w:r w:rsidR="00FD5639">
        <w:fldChar w:fldCharType="end"/>
      </w:r>
      <w:r w:rsidR="00FD5639">
        <w:t xml:space="preserve">. While </w:t>
      </w:r>
      <w:r w:rsidR="00FD5639" w:rsidRPr="00D40108">
        <w:t>home-based HIV testing</w:t>
      </w:r>
      <w:r w:rsidR="00FD5639">
        <w:t xml:space="preserve"> is shown to increase uptake among unemployed or younger individual, uptake remains </w:t>
      </w:r>
      <w:r w:rsidR="00001ED0">
        <w:t xml:space="preserve">overall low with lower level of uptake among </w:t>
      </w:r>
      <w:r w:rsidR="00FD5639">
        <w:t xml:space="preserve">men </w:t>
      </w:r>
      <w:r w:rsidR="00FD5639">
        <w:fldChar w:fldCharType="begin"/>
      </w:r>
      <w:r w:rsidR="00E22AF4">
        <w:instrText xml:space="preserve"> ADDIN ZOTERO_ITEM CSL_CITATION {"citationID":"GGRo9AQI","properties":{"formattedCitation":"(25)","plainCitation":"(25)","noteIndex":0},"citationItems":[{"id":17923,"uris":["http://zotero.org/users/1653264/items/LTU5NNLA"],"itemData":{"id":17923,"type":"article-journal","abstract":"Objectives The aim of the study was to estimate rates of linkage to HIV care and antiretroviral treatment (ART) initiation after the introduction of home-based HIV counselling and testing (HBHCT) and telephone-facilitated support for linkage in rural South Africa. Methods A population-based prospective cohort study was carried out in KwaZulu Natal, South Africa. All residents aged ≥ 15 years were eligible for HBHCT. Those who tested positive and were not in care were referred for ART at one of 11 public-sector clinics. Individuals who did not attend the clinic within 2 weeks were sent a short message service (SMS) reminder; those who had not attended after a further 2 weeks were telephoned by a nurse counsellor, to discuss concerns and encourage linkage. Kaplan–Meier methods were used to estimate the proportion of newly diagnosed individuals linking to care and initiating ART. Results Among 38 827 individuals visited, 26% accepted HBHCT. Uptake was higher in women than in men (30% versus 20%, respectively), but similar in people aged &lt; 30 years and ≥ 30 years (28% versus 26%, respectively). A total of 784 (8%) tested HIV positive, of whom 427 (54%) were newly diagnosed. Within 6 months, 31% of women and 18% of men &lt; 30 years old had linked to care, and 29% and 16%, respectively, had started ART. Among those ≥ 30 years, 41% of women and 38% of men had linked to care within 6 months, and 41% and 35%, respectively, had started ART. Conclusions Despite facilitated linkage, rates of timely linkage to care and ART initiation after HBHCT were very low, particularly among young men. Innovations are needed to provide effective HIV care and prevention interventions to young people, and thus maximize the benefits of universal test and treat.","container-title":"HIV Medicine","DOI":"10.1111/hiv.12787","ISSN":"1468-1293","issue":"10","language":"en","note":"_eprint: https://onlinelibrary.wiley.com/doi/pdf/10.1111/hiv.12787","page":"704-708","source":"Wiley Online Library","title":"Findings from home-based HIV testing and facilitated linkage after scale-up of test and treat in rural South Africa: young people still missing","title-short":"Findings from home-based HIV testing and facilitated linkage after scale-up of test and treat in rural South Africa","volume":"20","author":[{"family":"Baisley","given":"Kj"},{"family":"Seeley","given":"J"},{"family":"Siedner","given":"Mj"},{"family":"Koole","given":"K"},{"family":"Matthews","given":"P"},{"family":"Tanser","given":"F"},{"family":"Bärnighausen","given":"T"},{"family":"Smit","given":"T"},{"family":"Gareta","given":"D"},{"family":"Dlamini","given":"S"},{"family":"Herbst","given":"K"},{"family":"Hm","given":"Yapa"},{"family":"Cc","given":"Iwuji"},{"family":"Hy","given":"Kim"},{"family":"D","given":"Pillay"},{"family":"M","given":"Shahmanesh"}],"issued":{"date-parts":[["2019"]]}}}],"schema":"https://github.com/citation-style-language/schema/raw/master/csl-citation.json"} </w:instrText>
      </w:r>
      <w:r w:rsidR="00FD5639">
        <w:fldChar w:fldCharType="separate"/>
      </w:r>
      <w:r w:rsidR="00A81A45" w:rsidRPr="00A81A45">
        <w:rPr>
          <w:rFonts w:ascii="Calibri" w:hAnsi="Calibri" w:cs="Calibri"/>
        </w:rPr>
        <w:t>(25)</w:t>
      </w:r>
      <w:r w:rsidR="00FD5639">
        <w:fldChar w:fldCharType="end"/>
      </w:r>
      <w:r w:rsidR="00FD5639">
        <w:t>.</w:t>
      </w:r>
      <w:r w:rsidR="003F556E">
        <w:t xml:space="preserve"> </w:t>
      </w:r>
      <w:bookmarkStart w:id="5" w:name="_Hlk102741317"/>
      <w:bookmarkEnd w:id="4"/>
      <w:r w:rsidR="003F556E">
        <w:t xml:space="preserve">To address </w:t>
      </w:r>
      <w:r w:rsidR="00E7181C">
        <w:t xml:space="preserve">the later, </w:t>
      </w:r>
      <w:r w:rsidR="00BC75B3">
        <w:t xml:space="preserve">a recent clinical trial (the </w:t>
      </w:r>
      <w:r w:rsidR="00BC75B3" w:rsidRPr="00F80EC4">
        <w:t>Home-Based Intervention to Test and Start (HITS)</w:t>
      </w:r>
      <w:r w:rsidR="00BC75B3">
        <w:t xml:space="preserve"> clinical trial</w:t>
      </w:r>
      <w:r w:rsidR="00BC75B3">
        <w:softHyphen/>
        <w:t>)</w:t>
      </w:r>
      <w:r w:rsidR="00E7181C">
        <w:t xml:space="preserve"> have been</w:t>
      </w:r>
      <w:r w:rsidR="0020629C">
        <w:t xml:space="preserve"> conducted </w:t>
      </w:r>
      <w:r w:rsidR="00E7181C">
        <w:t xml:space="preserve">to investigate the use of CFI to increase home-based HIV testing uptake among men </w:t>
      </w:r>
      <w:r w:rsidR="0020629C">
        <w:t>in rural South Africa</w:t>
      </w:r>
      <w:r w:rsidR="00E7181C">
        <w:t xml:space="preserve"> </w:t>
      </w:r>
      <w:r w:rsidR="00E7181C" w:rsidRPr="00860FFF">
        <w:rPr>
          <w:rFonts w:cstheme="minorHAnsi"/>
        </w:rPr>
        <w:fldChar w:fldCharType="begin"/>
      </w:r>
      <w:r w:rsidR="00E22AF4">
        <w:rPr>
          <w:rFonts w:cstheme="minorHAnsi"/>
        </w:rPr>
        <w:instrText xml:space="preserve"> ADDIN ZOTERO_ITEM CSL_CITATION {"citationID":"Cu5o5Bqd","properties":{"formattedCitation":"(26)","plainCitation":"(26)","noteIndex":0},"citationItems":[{"id":4794,"uris":["http://zotero.org/users/1653264/items/ABAWHW65"],"itemData":{"id":4794,"type":"article-journal","abstract":"BACKGROUND: To realize the full benefits of treatment as prevention in many hyperendemic African contexts, there is an urgent need to increase uptake of HIV testing and HIV treatment among men to reduce the rate of HIV transmission to (particularly young) women. This trial aims to evaluate the effect of two interventions - micro-incentives and a tablet-based male-targeted HIV decision support application - on increasing home-based HIV testing and linkage to HIV care among men with the ultimate aim of reducing HIV-related mortality in men and HIV incidence in young women.\nMETHODS/DESIGN: This is a cluster randomized trial of 45 communities (clusters) in a rural area in the uMkhanyakude district of KwaZulu Natal, South Africa (2018-2021). The study is built upon the Africa Health Research Institute (AHRI)'s HIV testing platform, which offers annual home-based rapid HIV testing to individuals aged 15 years and above. In a 2 × 2 factorial design, individuals aged ≥15 years living in the 45 clusters are randomly assigned to one of four arms: i) a financial micro-incentive (food voucher) (n = 8); ii) male-targeted HIV specific decision support (EPIC-HIV) (n = 8); iii) both the micro incentives and male-targeted decision support (n = 8); and iv) standard of care (n = 21). The EPIC-HIV application is developed and delivered via a tablet to encourage HIV testing and linkage to care among men. A mixed method approach is adopted to supplement the randomized control trial and meet the study aims.\nDISCUSSION: The findings of this trial will provide evidence on the feasibility and causal impact of two interventions - micro-incentives and a male-targeted HIV specific decision support - on uptake of home-based HIV testing, linkage to care, as well as population health outcomes including population viral load, HIV related mortality in men, and HIV incidence in young women (15-30 years of age).\nTRIAL REGISTRATION: This trial was registered on 28 November 2018 on, identifier https://clinicaltrials.gov/ .","container-title":"BMC public health","DOI":"10.1186/s12889-019-7277-0","ISSN":"1471-2458","issue":"1","journalAbbreviation":"BMC Public Health","language":"eng","note":"PMID: 31324175\nPMCID: PMC6642506","page":"969","source":"PubMed","title":"Home-based intervention to test and start (HITS) protocol: a cluster-randomized controlled trial to reduce HIV-related mortality in men and HIV incidence in women through increased coverage of HIV treatment","title-short":"Home-based intervention to test and start (HITS) protocol","volume":"19","author":[{"family":"Mathenjwa","given":"T."},{"family":"Kim","given":"H.-Y."},{"family":"Zuma","given":"T."},{"family":"Shahmanesh","given":"M."},{"family":"Seeley","given":"J."},{"family":"Matthews","given":"P."},{"family":"Wyke","given":"S."},{"family":"McGrath","given":"N."},{"family":"Sartorius","given":"B."},{"family":"Yapa","given":"H. M."},{"family":"Adeagbo","given":"O."},{"family":"Blandford","given":"A."},{"family":"Dobra","given":"A."},{"family":"Bäernighausen","given":"T."},{"family":"Tanser","given":"F."}],"issued":{"date-parts":[["2019",7,19]]}}}],"schema":"https://github.com/citation-style-language/schema/raw/master/csl-citation.json"} </w:instrText>
      </w:r>
      <w:r w:rsidR="00E7181C" w:rsidRPr="00860FFF">
        <w:rPr>
          <w:rFonts w:cstheme="minorHAnsi"/>
        </w:rPr>
        <w:fldChar w:fldCharType="separate"/>
      </w:r>
      <w:r w:rsidR="00A81A45" w:rsidRPr="00A81A45">
        <w:rPr>
          <w:rFonts w:ascii="Calibri" w:hAnsi="Calibri" w:cs="Calibri"/>
        </w:rPr>
        <w:t>(26)</w:t>
      </w:r>
      <w:r w:rsidR="00E7181C" w:rsidRPr="00860FFF">
        <w:rPr>
          <w:rFonts w:cstheme="minorHAnsi"/>
        </w:rPr>
        <w:fldChar w:fldCharType="end"/>
      </w:r>
      <w:r w:rsidR="00E7181C" w:rsidRPr="00860FFF">
        <w:rPr>
          <w:rFonts w:cstheme="minorHAnsi"/>
        </w:rPr>
        <w:t>.</w:t>
      </w:r>
      <w:r w:rsidR="00E7181C">
        <w:rPr>
          <w:rFonts w:cstheme="minorHAnsi"/>
        </w:rPr>
        <w:t xml:space="preserve"> The preliminary results of that trial have shown </w:t>
      </w:r>
      <w:r w:rsidR="00E7181C">
        <w:t>that a CFI increased testing uptake by 55% among men</w:t>
      </w:r>
      <w:r w:rsidR="00E7181C">
        <w:rPr>
          <w:rFonts w:cstheme="minorHAnsi"/>
        </w:rPr>
        <w:t xml:space="preserve"> </w:t>
      </w:r>
      <w:r w:rsidR="00E7181C">
        <w:fldChar w:fldCharType="begin"/>
      </w:r>
      <w:r w:rsidR="00E7181C">
        <w:instrText xml:space="preserve"> ADDIN ZOTERO_ITEM CSL_CITATION {"citationID":"wrBoPzew","properties":{"formattedCitation":"(10)","plainCitation":"(10)","noteIndex":0},"citationItems":[{"id":4911,"uris":["http://zotero.org/users/1653264/items/6J2NZ36E"],"itemData":{"id":4911,"type":"article-journal","abstract":"INTRODUCTION: The uptake of HIV testing and linkage to care remains low among men, contributing to high HIV incidence in women in South Africa. We conducted the \"Home-Based Intervention to Test and Start\" (HITS) in a 2x2 factorial cluster randomized controlled trial in one of the World's largest ongoing HIV cohorts in rural South Africa aimed at enhancing both intrinsic and extrinsic motivations for HIV testing.\nMETHODS: Between February and December 2018, in the uMkhanyakude district of KwaZulu-Natal, we randomly assigned 45 communities (clusters) (n = 13,838 residents) to one of the four arms: (i) financial incentives for home-based HIV testing and linkage to care (R50 [$3] food voucher each); (ii) male-targeted HIV-specific decision support application, called EPIC-HIV; (iii) both financial incentives and male-targeted HIV-specific decision support application and (iv) standard of care (SoC). EPIC-HIV was developed to encourage and serve as an intrinsic motivator for HIV testing and linkage to care, and individually offered to men via a tablet device. Financial incentives were offered to both men and women. Here we report the effect of the interventions on uptake of home-based HIV testing among men. Intention-to-treat (ITT) analysis was performed using modified Poisson regression with adjustment for clustering of standard errors at the cluster levels.\nRESULTS: Among all 13,838 men ≥ 15 years living in the 45 communities, the overall population coverage during a single round of home-based HIV testing was 20.7%. The uptake of HIV testing was 27.5% (683/2481) in the financial incentives arm, 17.1% (433/2534) in the EPIC-HIV arm, 26.8% (568/2120) in the arm receiving both interventions and 17.8% in the SoC arm. The probability of HIV testing increased substantially by 55% in the financial incentives arm (risk ratio (RR)=1.55, 95% CI: 1.31 to 1.82, p &lt; 0.001) and 51% in the arm receiving both interventions (RR = 1.51, 95% CI: 1.21 to 1.87 p &lt; 0.001), compared to men in the SoC arm. The probability of HIV testing did not significantly differ in the EPIC-HIV arm (RR = 0.96, 95% CI: 0.76 to 1.20, p = 0.70).\nCONCLUSIONS: The provision of a small financial incentive acted as a powerful extrinsic motivator substantially increasing the uptake of home-based HIV testing among men in rural South Africa. In contrast, the counselling and testing application which was designed to encourage and serve as an intrinsic motivator to test for HIV did not increase the uptake of home-based testing.","container-title":"Journal of the International AIDS Society","DOI":"10.1002/jia2.25665","ISSN":"1758-2652","issue":"2","journalAbbreviation":"J Int AIDS Soc","language":"eng","note":"PMID: 33586911\nPMCID: PMC7883477","page":"e25665","source":"PubMed","title":"Home-Based Intervention to Test and Start (HITS): a community-randomized controlled trial to increase HIV testing uptake among men in rural South Africa","title-short":"Home-Based Intervention to Test and Start (HITS)","volume":"24","author":[{"family":"Tanser","given":"Frank C."},{"family":"Kim","given":"Hae-Young"},{"family":"Mathenjwa","given":"Thulile"},{"family":"Shahmanesh","given":"Maryam"},{"family":"Seeley","given":"Janet"},{"family":"Matthews","given":"Phillippa"},{"family":"Wyke","given":"Sally"},{"family":"McGrath","given":"Nuala"},{"family":"Adeagbo","given":"Oluwafemi"},{"family":"Sartorius","given":"Benn"},{"family":"Yapa","given":"Handurugamage Manisha"},{"family":"Zuma","given":"Thembelihle"},{"family":"Zeitlin","given":"Anya"},{"family":"Blandford","given":"Ann"},{"family":"Dobra","given":"Adrian"},{"family":"Bärnighausen","given":"Till"}],"issued":{"date-parts":[["2021",2]]}}}],"schema":"https://github.com/citation-style-language/schema/raw/master/csl-citation.json"} </w:instrText>
      </w:r>
      <w:r w:rsidR="00E7181C">
        <w:fldChar w:fldCharType="separate"/>
      </w:r>
      <w:r w:rsidR="00A81A45" w:rsidRPr="00A81A45">
        <w:rPr>
          <w:rFonts w:ascii="Calibri" w:hAnsi="Calibri" w:cs="Calibri"/>
        </w:rPr>
        <w:t>(10)</w:t>
      </w:r>
      <w:r w:rsidR="00E7181C">
        <w:fldChar w:fldCharType="end"/>
      </w:r>
      <w:r w:rsidR="00E7181C">
        <w:t xml:space="preserve">. </w:t>
      </w:r>
      <w:bookmarkEnd w:id="5"/>
      <w:r w:rsidR="00E7181C">
        <w:t xml:space="preserve">Yet, whether the CFI was able to reduce home-based HIV testing uptake gaps based on gender or other socio-demographic </w:t>
      </w:r>
      <w:r w:rsidR="00E7181C" w:rsidRPr="00AC1868">
        <w:t xml:space="preserve">characteristics have not been explored. </w:t>
      </w:r>
      <w:bookmarkStart w:id="6" w:name="_Hlk101203996"/>
      <w:bookmarkStart w:id="7" w:name="_Hlk100747432"/>
      <w:r w:rsidR="00AC1868" w:rsidRPr="00AC1868">
        <w:t xml:space="preserve">Such analysis is important to ensure that </w:t>
      </w:r>
      <w:r w:rsidR="00AC1868" w:rsidRPr="00AC1868">
        <w:lastRenderedPageBreak/>
        <w:t>combining a CFI to home-based HIV testing contribute to higher testing uptake among those with less access to HIV testing.</w:t>
      </w:r>
      <w:r w:rsidR="00AC1868">
        <w:t xml:space="preserve"> </w:t>
      </w:r>
      <w:bookmarkEnd w:id="6"/>
      <w:r w:rsidR="00BC75B3">
        <w:t xml:space="preserve">Using </w:t>
      </w:r>
      <w:bookmarkStart w:id="8" w:name="_Hlk101201398"/>
      <w:r w:rsidR="00BC75B3">
        <w:t xml:space="preserve">the </w:t>
      </w:r>
      <w:r w:rsidR="00E7181C">
        <w:t>HITS</w:t>
      </w:r>
      <w:r w:rsidR="00714369">
        <w:t xml:space="preserve"> clinical</w:t>
      </w:r>
      <w:r w:rsidR="00E7181C">
        <w:t xml:space="preserve"> trial</w:t>
      </w:r>
      <w:r w:rsidR="00BC75B3">
        <w:t xml:space="preserve"> </w:t>
      </w:r>
      <w:bookmarkEnd w:id="8"/>
      <w:r w:rsidR="00BC75B3">
        <w:t>data</w:t>
      </w:r>
      <w:r w:rsidR="0020629C">
        <w:t>set</w:t>
      </w:r>
      <w:r w:rsidR="00BC75B3">
        <w:t xml:space="preserve">, we aim to investigate </w:t>
      </w:r>
      <w:r w:rsidR="009B26FD">
        <w:t xml:space="preserve">whether a CFI was able to reduce home-based testing uptake </w:t>
      </w:r>
      <w:r w:rsidR="00D37879">
        <w:t>inequalities</w:t>
      </w:r>
      <w:r w:rsidR="009B26FD">
        <w:t xml:space="preserve"> observed by socio-demographic groups </w:t>
      </w:r>
      <w:r w:rsidR="0020629C">
        <w:t>by</w:t>
      </w:r>
      <w:r w:rsidR="001A02EC">
        <w:t xml:space="preserve"> (i) measur</w:t>
      </w:r>
      <w:r w:rsidR="0020629C">
        <w:t>ing</w:t>
      </w:r>
      <w:r w:rsidR="001A02EC">
        <w:t xml:space="preserve"> the effect CFI on existing </w:t>
      </w:r>
      <w:r w:rsidR="009D67C9">
        <w:t>socio-demographic</w:t>
      </w:r>
      <w:r w:rsidR="001A02EC">
        <w:t xml:space="preserve"> </w:t>
      </w:r>
      <w:r w:rsidR="00F83E4F" w:rsidRPr="00F83E4F">
        <w:t>differentials</w:t>
      </w:r>
      <w:r w:rsidR="00F83E4F">
        <w:t xml:space="preserve"> </w:t>
      </w:r>
      <w:r w:rsidR="001F2ECF">
        <w:t xml:space="preserve">and (ii) </w:t>
      </w:r>
      <w:r w:rsidR="002B64C9">
        <w:t>assessing whether the effect of CFI was different depending on socio-demographic characteristics</w:t>
      </w:r>
      <w:r w:rsidR="001D2466">
        <w:t xml:space="preserve"> </w:t>
      </w:r>
      <w:r w:rsidR="001D2466" w:rsidRPr="001D2466">
        <w:t>of individuals</w:t>
      </w:r>
      <w:r w:rsidR="002B64C9">
        <w:t>.</w:t>
      </w:r>
    </w:p>
    <w:bookmarkEnd w:id="7"/>
    <w:p w14:paraId="3DC0DA02" w14:textId="77777777" w:rsidR="001A02EC" w:rsidRDefault="001A02EC" w:rsidP="009340A4">
      <w:pPr>
        <w:pStyle w:val="Heading1"/>
        <w:spacing w:line="480" w:lineRule="auto"/>
      </w:pPr>
      <w:r>
        <w:t>Methods</w:t>
      </w:r>
    </w:p>
    <w:p w14:paraId="709B988A" w14:textId="77777777" w:rsidR="00D37879" w:rsidRPr="00860FFF" w:rsidRDefault="00D37879" w:rsidP="009340A4">
      <w:pPr>
        <w:pStyle w:val="Heading2"/>
        <w:spacing w:line="480" w:lineRule="auto"/>
      </w:pPr>
      <w:r w:rsidRPr="00860FFF">
        <w:t>Setting</w:t>
      </w:r>
    </w:p>
    <w:p w14:paraId="1C37D1E2" w14:textId="43316BA7" w:rsidR="00D37879" w:rsidRPr="00860FFF" w:rsidRDefault="00D37879" w:rsidP="009340A4">
      <w:pPr>
        <w:spacing w:after="120" w:line="480" w:lineRule="auto"/>
        <w:rPr>
          <w:rStyle w:val="normaltextrun"/>
          <w:rFonts w:cstheme="minorHAnsi"/>
        </w:rPr>
      </w:pPr>
      <w:r w:rsidRPr="00860FFF">
        <w:rPr>
          <w:rFonts w:cstheme="minorHAnsi"/>
        </w:rPr>
        <w:t xml:space="preserve">The study was conducted in the </w:t>
      </w:r>
      <w:r w:rsidRPr="00860FFF">
        <w:rPr>
          <w:rFonts w:cstheme="minorHAnsi"/>
          <w:bCs/>
        </w:rPr>
        <w:t xml:space="preserve">Africa Health Research Institute (AHRI) </w:t>
      </w:r>
      <w:r w:rsidRPr="00860FFF">
        <w:rPr>
          <w:rFonts w:cstheme="minorHAnsi"/>
          <w:lang w:eastAsia="en-GB"/>
        </w:rPr>
        <w:t xml:space="preserve">demographic </w:t>
      </w:r>
      <w:r>
        <w:rPr>
          <w:rFonts w:cstheme="minorHAnsi"/>
          <w:lang w:eastAsia="en-GB"/>
        </w:rPr>
        <w:t>s</w:t>
      </w:r>
      <w:r w:rsidRPr="00860FFF">
        <w:rPr>
          <w:rFonts w:cstheme="minorHAnsi"/>
          <w:lang w:eastAsia="en-GB"/>
        </w:rPr>
        <w:t xml:space="preserve">urveillance </w:t>
      </w:r>
      <w:r>
        <w:rPr>
          <w:rFonts w:cstheme="minorHAnsi"/>
          <w:lang w:eastAsia="en-GB"/>
        </w:rPr>
        <w:t>s</w:t>
      </w:r>
      <w:r w:rsidRPr="00860FFF">
        <w:rPr>
          <w:rFonts w:cstheme="minorHAnsi"/>
          <w:lang w:eastAsia="en-GB"/>
        </w:rPr>
        <w:t xml:space="preserve">ystem </w:t>
      </w:r>
      <w:r w:rsidRPr="00860FFF">
        <w:rPr>
          <w:rFonts w:cstheme="minorHAnsi"/>
        </w:rPr>
        <w:t xml:space="preserve">which provides an annual </w:t>
      </w:r>
      <w:r w:rsidR="00A70BEA">
        <w:t>population-based HIV survey</w:t>
      </w:r>
      <w:r w:rsidR="00A70BEA" w:rsidRPr="00860FFF">
        <w:rPr>
          <w:rFonts w:cstheme="minorHAnsi"/>
        </w:rPr>
        <w:t xml:space="preserve"> </w:t>
      </w:r>
      <w:r w:rsidR="00A70BEA">
        <w:rPr>
          <w:rFonts w:cstheme="minorHAnsi"/>
        </w:rPr>
        <w:t xml:space="preserve">and </w:t>
      </w:r>
      <w:r w:rsidRPr="00860FFF">
        <w:rPr>
          <w:rFonts w:cstheme="minorHAnsi"/>
        </w:rPr>
        <w:t>census of people residing in the uMkhanyakude district in KwaZulu-Natal, South Africa</w:t>
      </w:r>
      <w:r>
        <w:rPr>
          <w:rFonts w:cstheme="minorHAnsi"/>
        </w:rPr>
        <w:t xml:space="preserve"> </w:t>
      </w:r>
      <w:r>
        <w:rPr>
          <w:rFonts w:cstheme="minorHAnsi"/>
          <w:lang w:eastAsia="en-GB"/>
        </w:rPr>
        <w:fldChar w:fldCharType="begin"/>
      </w:r>
      <w:r w:rsidR="00E22AF4">
        <w:rPr>
          <w:rFonts w:cstheme="minorHAnsi"/>
          <w:lang w:eastAsia="en-GB"/>
        </w:rPr>
        <w:instrText xml:space="preserve"> ADDIN ZOTERO_ITEM CSL_CITATION {"citationID":"kaGLU4kS","properties":{"formattedCitation":"(27)","plainCitation":"(27)","noteIndex":0},"citationItems":[{"id":17926,"uris":["http://zotero.org/users/1653264/items/8639C99P"],"itemData":{"id":17926,"type":"article-journal","container-title":"International Journal of Epidemiology","DOI":"10.1093/ije/dyaa264","ISSN":"0300-5771","issue":"1","journalAbbreviation":"Int J Epidemiol","note":"PMID: 33437994\nPMCID: PMC7938501","page":"33-34","source":"PubMed Central","title":"Cohort Profile Update: Africa Centre Demographic Information System (ACDIS) and population-based HIV survey","title-short":"Cohort Profile Update","volume":"50","author":[{"family":"Gareta","given":"Dickman"},{"family":"Baisley","given":"Kathy"},{"family":"Mngomezulu","given":"Thobeka"},{"family":"Smit","given":"Theresa"},{"family":"Khoza","given":"Thandeka"},{"family":"Nxumalo","given":"Siyabonga"},{"family":"Dreyer","given":"Jaco"},{"family":"Dube","given":"Sweetness"},{"family":"Majozi","given":"Nomathamsanqa"},{"family":"Ording-Jesperson","given":"Gregory"},{"family":"Ehlers","given":"Eugene"},{"family":"Harling","given":"Guy"},{"family":"Shahmanesh","given":"Maryam"},{"family":"Siedner","given":"Mark"},{"family":"Hanekom","given":"Willem"},{"family":"Herbst","given":"Kobus"}],"issued":{"date-parts":[["2021",1,12]]}}}],"schema":"https://github.com/citation-style-language/schema/raw/master/csl-citation.json"} </w:instrText>
      </w:r>
      <w:r>
        <w:rPr>
          <w:rFonts w:cstheme="minorHAnsi"/>
          <w:lang w:eastAsia="en-GB"/>
        </w:rPr>
        <w:fldChar w:fldCharType="separate"/>
      </w:r>
      <w:r w:rsidR="00A81A45" w:rsidRPr="00A81A45">
        <w:rPr>
          <w:rFonts w:ascii="Calibri" w:hAnsi="Calibri" w:cs="Calibri"/>
        </w:rPr>
        <w:t>(27)</w:t>
      </w:r>
      <w:r>
        <w:rPr>
          <w:rFonts w:cstheme="minorHAnsi"/>
          <w:lang w:eastAsia="en-GB"/>
        </w:rPr>
        <w:fldChar w:fldCharType="end"/>
      </w:r>
      <w:r w:rsidRPr="00860FFF">
        <w:rPr>
          <w:rFonts w:cstheme="minorHAnsi"/>
        </w:rPr>
        <w:t>.</w:t>
      </w:r>
      <w:r w:rsidRPr="00860FFF">
        <w:rPr>
          <w:rFonts w:cstheme="minorHAnsi"/>
          <w:sz w:val="24"/>
          <w:szCs w:val="24"/>
        </w:rPr>
        <w:t xml:space="preserve"> </w:t>
      </w:r>
      <w:r w:rsidRPr="00860FFF">
        <w:rPr>
          <w:rFonts w:cstheme="minorHAnsi"/>
        </w:rPr>
        <w:t>The area is primarily rural, though also has a number of smaller communities with denser housing, and one large town, which young people often migrate to. Overall, across the area there are high levels of unemployment with only 18% of those aged 18-35 years who are out of school in full-time employment, and two-thirds of households receive social grants. There are also high-levels of circular-migration to larger urban centres and vice versa.</w:t>
      </w:r>
    </w:p>
    <w:p w14:paraId="2A786515" w14:textId="0550F354" w:rsidR="001A02EC" w:rsidRDefault="00E07CAF" w:rsidP="009340A4">
      <w:pPr>
        <w:pStyle w:val="Heading2"/>
        <w:spacing w:line="480" w:lineRule="auto"/>
      </w:pPr>
      <w:r>
        <w:t>Data</w:t>
      </w:r>
    </w:p>
    <w:p w14:paraId="6A3CA3EB" w14:textId="4C0843FB" w:rsidR="00D570EB" w:rsidRDefault="001A02EC" w:rsidP="009340A4">
      <w:pPr>
        <w:spacing w:after="240" w:line="480" w:lineRule="auto"/>
        <w:rPr>
          <w:rFonts w:cstheme="minorHAnsi"/>
        </w:rPr>
      </w:pPr>
      <w:bookmarkStart w:id="9" w:name="_Hlk101207522"/>
      <w:bookmarkStart w:id="10" w:name="_Hlk101207541"/>
      <w:r>
        <w:t xml:space="preserve">We </w:t>
      </w:r>
      <w:r w:rsidR="00587DC7">
        <w:t>conducted a secondary analysis using</w:t>
      </w:r>
      <w:r>
        <w:t xml:space="preserve"> data from </w:t>
      </w:r>
      <w:r w:rsidR="00C135C4">
        <w:t xml:space="preserve">the HITS clinical trial </w:t>
      </w:r>
      <w:bookmarkEnd w:id="9"/>
      <w:r w:rsidR="00C135C4">
        <w:t>(</w:t>
      </w:r>
      <w:r w:rsidR="00C135C4" w:rsidRPr="00F80EC4">
        <w:t xml:space="preserve">Clinical Trial Number: </w:t>
      </w:r>
      <w:r w:rsidR="00C135C4">
        <w:t xml:space="preserve">NCT03757104) which was </w:t>
      </w:r>
      <w:r>
        <w:t xml:space="preserve">a 2x2 factorial design cluster-randomized clinical trial </w:t>
      </w:r>
      <w:r w:rsidR="00A70BEA">
        <w:t>embedded in the AHRI’s ongoing population-based HIV surveillance</w:t>
      </w:r>
      <w:r>
        <w:t xml:space="preserve">. </w:t>
      </w:r>
      <w:bookmarkEnd w:id="10"/>
      <w:r w:rsidR="00A70BEA">
        <w:t>One of the</w:t>
      </w:r>
      <w:r w:rsidR="00834122">
        <w:t xml:space="preserve"> </w:t>
      </w:r>
      <w:r w:rsidR="00A70BEA">
        <w:t>aims</w:t>
      </w:r>
      <w:r w:rsidR="00834122">
        <w:t xml:space="preserve"> </w:t>
      </w:r>
      <w:r>
        <w:t xml:space="preserve">of the trial </w:t>
      </w:r>
      <w:r w:rsidR="007402AB">
        <w:t>was</w:t>
      </w:r>
      <w:r>
        <w:t xml:space="preserve"> to measure the impact of two interventions (a CFI and a male-targeted HIV-specific decision support application, called EPIC-HIV —Empowering People through Informed Choices for HIV) on </w:t>
      </w:r>
      <w:r w:rsidR="00341CF4">
        <w:t xml:space="preserve">home-based HIV testing </w:t>
      </w:r>
      <w:r>
        <w:t xml:space="preserve">uptake and linkage to HIV care among the general population. 45 clusters were randomized into 4 arms: (i) </w:t>
      </w:r>
      <w:r w:rsidR="00834122">
        <w:t>CFI</w:t>
      </w:r>
      <w:r>
        <w:t xml:space="preserve"> (8 clusters), (ii) EPIC-HIV (8 clusters), (iii) CFI and EPIC-HIV (8 clusters), (iv) control (21 clusters). A full description of the trial </w:t>
      </w:r>
      <w:r w:rsidRPr="00860FFF">
        <w:rPr>
          <w:rFonts w:cstheme="minorHAnsi"/>
        </w:rPr>
        <w:t xml:space="preserve">design has been published elsewhere </w:t>
      </w:r>
      <w:r w:rsidRPr="00860FFF">
        <w:rPr>
          <w:rFonts w:cstheme="minorHAnsi"/>
        </w:rPr>
        <w:fldChar w:fldCharType="begin"/>
      </w:r>
      <w:r w:rsidR="00E22AF4">
        <w:rPr>
          <w:rFonts w:cstheme="minorHAnsi"/>
        </w:rPr>
        <w:instrText xml:space="preserve"> ADDIN ZOTERO_ITEM CSL_CITATION {"citationID":"idtn743y","properties":{"formattedCitation":"(26)","plainCitation":"(26)","noteIndex":0},"citationItems":[{"id":4794,"uris":["http://zotero.org/users/1653264/items/ABAWHW65"],"itemData":{"id":4794,"type":"article-journal","abstract":"BACKGROUND: To realize the full benefits of treatment as prevention in many hyperendemic African contexts, there is an urgent need to increase uptake of HIV testing and HIV treatment among men to reduce the rate of HIV transmission to (particularly young) women. This trial aims to evaluate the effect of two interventions - micro-incentives and a tablet-based male-targeted HIV decision support application - on increasing home-based HIV testing and linkage to HIV care among men with the ultimate aim of reducing HIV-related mortality in men and HIV incidence in young women.\nMETHODS/DESIGN: This is a cluster randomized trial of 45 communities (clusters) in a rural area in the uMkhanyakude district of KwaZulu Natal, South Africa (2018-2021). The study is built upon the Africa Health Research Institute (AHRI)'s HIV testing platform, which offers annual home-based rapid HIV testing to individuals aged 15 years and above. In a 2 × 2 factorial design, individuals aged ≥15 years living in the 45 clusters are randomly assigned to one of four arms: i) a financial micro-incentive (food voucher) (n = 8); ii) male-targeted HIV specific decision support (EPIC-HIV) (n = 8); iii) both the micro incentives and male-targeted decision support (n = 8); and iv) standard of care (n = 21). The EPIC-HIV application is developed and delivered via a tablet to encourage HIV testing and linkage to care among men. A mixed method approach is adopted to supplement the randomized control trial and meet the study aims.\nDISCUSSION: The findings of this trial will provide evidence on the feasibility and causal impact of two interventions - micro-incentives and a male-targeted HIV specific decision support - on uptake of home-based HIV testing, linkage to care, as well as population health outcomes including population viral load, HIV related mortality in men, and HIV incidence in young women (15-30 years of age).\nTRIAL REGISTRATION: This trial was registered on 28 November 2018 on, identifier https://clinicaltrials.gov/ .","container-title":"BMC public health","DOI":"10.1186/s12889-019-7277-0","ISSN":"1471-2458","issue":"1","journalAbbreviation":"BMC Public Health","language":"eng","note":"PMID: 31324175\nPMCID: PMC6642506","page":"969","source":"PubMed","title":"Home-based intervention to test and start (HITS) protocol: a cluster-randomized controlled trial to reduce HIV-related mortality in men and HIV incidence in women through increased coverage of HIV treatment","title-short":"Home-based intervention to test and start (HITS) protocol","volume":"19","author":[{"family":"Mathenjwa","given":"T."},{"family":"Kim","given":"H.-Y."},{"family":"Zuma","given":"T."},{"family":"Shahmanesh","given":"M."},{"family":"Seeley","given":"J."},{"family":"Matthews","given":"P."},{"family":"Wyke","given":"S."},{"family":"McGrath","given":"N."},{"family":"Sartorius","given":"B."},{"family":"Yapa","given":"H. M."},{"family":"Adeagbo","given":"O."},{"family":"Blandford","given":"A."},{"family":"Dobra","given":"A."},{"family":"Bäernighausen","given":"T."},{"family":"Tanser","given":"F."}],"issued":{"date-parts":[["2019",7,19]]}}}],"schema":"https://github.com/citation-style-language/schema/raw/master/csl-citation.json"} </w:instrText>
      </w:r>
      <w:r w:rsidRPr="00860FFF">
        <w:rPr>
          <w:rFonts w:cstheme="minorHAnsi"/>
        </w:rPr>
        <w:fldChar w:fldCharType="separate"/>
      </w:r>
      <w:r w:rsidR="00A81A45" w:rsidRPr="00A81A45">
        <w:rPr>
          <w:rFonts w:ascii="Calibri" w:hAnsi="Calibri" w:cs="Calibri"/>
        </w:rPr>
        <w:t>(26)</w:t>
      </w:r>
      <w:r w:rsidRPr="00860FFF">
        <w:rPr>
          <w:rFonts w:cstheme="minorHAnsi"/>
        </w:rPr>
        <w:fldChar w:fldCharType="end"/>
      </w:r>
      <w:r w:rsidRPr="00860FFF">
        <w:rPr>
          <w:rFonts w:cstheme="minorHAnsi"/>
        </w:rPr>
        <w:t>.</w:t>
      </w:r>
    </w:p>
    <w:p w14:paraId="2203904C" w14:textId="77777777" w:rsidR="001A02EC" w:rsidRDefault="001A02EC" w:rsidP="009340A4">
      <w:pPr>
        <w:pStyle w:val="Heading2"/>
        <w:spacing w:line="480" w:lineRule="auto"/>
      </w:pPr>
      <w:r>
        <w:lastRenderedPageBreak/>
        <w:t>Eligibility criteria</w:t>
      </w:r>
    </w:p>
    <w:p w14:paraId="7DC372B2" w14:textId="6FE3D3EB" w:rsidR="001A02EC" w:rsidRPr="0006569A" w:rsidRDefault="001A02EC" w:rsidP="009340A4">
      <w:pPr>
        <w:spacing w:line="480" w:lineRule="auto"/>
      </w:pPr>
      <w:bookmarkStart w:id="11" w:name="_Hlk105753906"/>
      <w:r>
        <w:t xml:space="preserve">All residents aged </w:t>
      </w:r>
      <w:r>
        <w:rPr>
          <w:rFonts w:cstheme="minorHAnsi"/>
        </w:rPr>
        <w:t>≥</w:t>
      </w:r>
      <w:r>
        <w:t>15 years who have participated to the AHRI’s population-based HIV surveillance survey, conducted from 1</w:t>
      </w:r>
      <w:r w:rsidRPr="00A15468">
        <w:rPr>
          <w:vertAlign w:val="superscript"/>
        </w:rPr>
        <w:t>st</w:t>
      </w:r>
      <w:r>
        <w:t xml:space="preserve"> January 2018 to 31</w:t>
      </w:r>
      <w:r w:rsidRPr="00A15468">
        <w:rPr>
          <w:vertAlign w:val="superscript"/>
        </w:rPr>
        <w:t>st</w:t>
      </w:r>
      <w:r>
        <w:t xml:space="preserve"> December 2018, were eligible to participate in the HITS trial. </w:t>
      </w:r>
      <w:bookmarkStart w:id="12" w:name="_Hlk101366549"/>
      <w:r w:rsidR="00714369">
        <w:t>The intervention</w:t>
      </w:r>
      <w:r w:rsidR="00741716">
        <w:t xml:space="preserve"> activities</w:t>
      </w:r>
      <w:r w:rsidR="00714369">
        <w:t xml:space="preserve"> and data collection related to the HITS </w:t>
      </w:r>
      <w:r w:rsidR="00741716">
        <w:t xml:space="preserve">clinical </w:t>
      </w:r>
      <w:r w:rsidR="00714369">
        <w:t>trial were</w:t>
      </w:r>
      <w:r w:rsidR="00741716">
        <w:t xml:space="preserve"> integrated to the </w:t>
      </w:r>
      <w:r w:rsidR="00374DF5">
        <w:t xml:space="preserve">2018 </w:t>
      </w:r>
      <w:r w:rsidR="00741716">
        <w:t xml:space="preserve">annual AHRI’s population-based HIV surveillance visit. </w:t>
      </w:r>
      <w:bookmarkStart w:id="13" w:name="_Hlk106013643"/>
      <w:bookmarkEnd w:id="11"/>
      <w:r>
        <w:t>People who self-reported both being HIV-positive and being already on ART were not eligible for the trial</w:t>
      </w:r>
      <w:bookmarkEnd w:id="13"/>
      <w:r>
        <w:t xml:space="preserve">; those who self-reported being HIV-positive but not currently on ART (never been or who have interrupted their treatment) were eligible for the trial. </w:t>
      </w:r>
      <w:bookmarkEnd w:id="12"/>
      <w:r>
        <w:t xml:space="preserve">Those individuals who tested HIV-positive by the rapid-test were eligible to receive a second intervention to increase linkage to ART which was not considered in this analysis but has been </w:t>
      </w:r>
      <w:r w:rsidR="001A76CD">
        <w:t xml:space="preserve">described </w:t>
      </w:r>
      <w:r>
        <w:t xml:space="preserve">elsewhere </w:t>
      </w:r>
      <w:r>
        <w:fldChar w:fldCharType="begin"/>
      </w:r>
      <w:r w:rsidR="00E22AF4">
        <w:instrText xml:space="preserve"> ADDIN ZOTERO_ITEM CSL_CITATION {"citationID":"dX5wbhyO","properties":{"formattedCitation":"(26)","plainCitation":"(26)","noteIndex":0},"citationItems":[{"id":4794,"uris":["http://zotero.org/users/1653264/items/ABAWHW65"],"itemData":{"id":4794,"type":"article-journal","abstract":"BACKGROUND: To realize the full benefits of treatment as prevention in many hyperendemic African contexts, there is an urgent need to increase uptake of HIV testing and HIV treatment among men to reduce the rate of HIV transmission to (particularly young) women. This trial aims to evaluate the effect of two interventions - micro-incentives and a tablet-based male-targeted HIV decision support application - on increasing home-based HIV testing and linkage to HIV care among men with the ultimate aim of reducing HIV-related mortality in men and HIV incidence in young women.\nMETHODS/DESIGN: This is a cluster randomized trial of 45 communities (clusters) in a rural area in the uMkhanyakude district of KwaZulu Natal, South Africa (2018-2021). The study is built upon the Africa Health Research Institute (AHRI)'s HIV testing platform, which offers annual home-based rapid HIV testing to individuals aged 15 years and above. In a 2 × 2 factorial design, individuals aged ≥15 years living in the 45 clusters are randomly assigned to one of four arms: i) a financial micro-incentive (food voucher) (n = 8); ii) male-targeted HIV specific decision support (EPIC-HIV) (n = 8); iii) both the micro incentives and male-targeted decision support (n = 8); and iv) standard of care (n = 21). The EPIC-HIV application is developed and delivered via a tablet to encourage HIV testing and linkage to care among men. A mixed method approach is adopted to supplement the randomized control trial and meet the study aims.\nDISCUSSION: The findings of this trial will provide evidence on the feasibility and causal impact of two interventions - micro-incentives and a male-targeted HIV specific decision support - on uptake of home-based HIV testing, linkage to care, as well as population health outcomes including population viral load, HIV related mortality in men, and HIV incidence in young women (15-30 years of age).\nTRIAL REGISTRATION: This trial was registered on 28 November 2018 on, identifier https://clinicaltrials.gov/ .","container-title":"BMC public health","DOI":"10.1186/s12889-019-7277-0","ISSN":"1471-2458","issue":"1","journalAbbreviation":"BMC Public Health","language":"eng","note":"PMID: 31324175\nPMCID: PMC6642506","page":"969","source":"PubMed","title":"Home-based intervention to test and start (HITS) protocol: a cluster-randomized controlled trial to reduce HIV-related mortality in men and HIV incidence in women through increased coverage of HIV treatment","title-short":"Home-based intervention to test and start (HITS) protocol","volume":"19","author":[{"family":"Mathenjwa","given":"T."},{"family":"Kim","given":"H.-Y."},{"family":"Zuma","given":"T."},{"family":"Shahmanesh","given":"M."},{"family":"Seeley","given":"J."},{"family":"Matthews","given":"P."},{"family":"Wyke","given":"S."},{"family":"McGrath","given":"N."},{"family":"Sartorius","given":"B."},{"family":"Yapa","given":"H. M."},{"family":"Adeagbo","given":"O."},{"family":"Blandford","given":"A."},{"family":"Dobra","given":"A."},{"family":"Bäernighausen","given":"T."},{"family":"Tanser","given":"F."}],"issued":{"date-parts":[["2019",7,19]]}}}],"schema":"https://github.com/citation-style-language/schema/raw/master/csl-citation.json"} </w:instrText>
      </w:r>
      <w:r>
        <w:fldChar w:fldCharType="separate"/>
      </w:r>
      <w:r w:rsidR="00A81A45" w:rsidRPr="00A81A45">
        <w:rPr>
          <w:rFonts w:ascii="Calibri" w:hAnsi="Calibri" w:cs="Calibri"/>
        </w:rPr>
        <w:t>(26)</w:t>
      </w:r>
      <w:r>
        <w:fldChar w:fldCharType="end"/>
      </w:r>
      <w:r>
        <w:t>.</w:t>
      </w:r>
    </w:p>
    <w:p w14:paraId="4E14149E" w14:textId="77777777" w:rsidR="001A02EC" w:rsidRDefault="001A02EC" w:rsidP="009340A4">
      <w:pPr>
        <w:pStyle w:val="Heading2"/>
        <w:spacing w:line="480" w:lineRule="auto"/>
      </w:pPr>
      <w:r>
        <w:t>Control arm</w:t>
      </w:r>
    </w:p>
    <w:p w14:paraId="7367D846" w14:textId="0EF97717" w:rsidR="001A02EC" w:rsidRDefault="001A02EC" w:rsidP="009340A4">
      <w:pPr>
        <w:spacing w:line="480" w:lineRule="auto"/>
      </w:pPr>
      <w:r>
        <w:t xml:space="preserve">All eligible individuals were invited to participate in the survey. </w:t>
      </w:r>
      <w:bookmarkStart w:id="14" w:name="_Hlk105754684"/>
      <w:r>
        <w:t xml:space="preserve">Participants were offered a </w:t>
      </w:r>
      <w:r w:rsidR="00E62626">
        <w:t xml:space="preserve">free </w:t>
      </w:r>
      <w:r>
        <w:t>home-based rapid HIV-test with an immediate result</w:t>
      </w:r>
      <w:r w:rsidR="00E62626">
        <w:t xml:space="preserve"> performed by a field worker</w:t>
      </w:r>
      <w:r>
        <w:t>.</w:t>
      </w:r>
      <w:bookmarkEnd w:id="14"/>
    </w:p>
    <w:p w14:paraId="71E0DE54" w14:textId="77777777" w:rsidR="001A02EC" w:rsidRDefault="001A02EC" w:rsidP="009340A4">
      <w:pPr>
        <w:pStyle w:val="Heading2"/>
        <w:spacing w:line="480" w:lineRule="auto"/>
      </w:pPr>
      <w:bookmarkStart w:id="15" w:name="_Hlk101365106"/>
      <w:r>
        <w:t>Intervention arms</w:t>
      </w:r>
    </w:p>
    <w:p w14:paraId="41B70F61" w14:textId="2546448C" w:rsidR="003818A6" w:rsidRDefault="001A02EC" w:rsidP="009340A4">
      <w:pPr>
        <w:spacing w:after="0" w:line="480" w:lineRule="auto"/>
      </w:pPr>
      <w:bookmarkStart w:id="16" w:name="_Hlk105762088"/>
      <w:r>
        <w:t xml:space="preserve">In the first arm, all eligible individuals accepting to undergo the </w:t>
      </w:r>
      <w:r w:rsidR="000D6F1B">
        <w:t xml:space="preserve">free </w:t>
      </w:r>
      <w:r>
        <w:t xml:space="preserve">home-based HIV testing were given a food voucher of a value of 50 Rands (~3.5 US dollars). </w:t>
      </w:r>
      <w:bookmarkEnd w:id="16"/>
      <w:r w:rsidR="00C25036">
        <w:t xml:space="preserve">The value of the food voucher is equivalent to three time the individual daily 2019 </w:t>
      </w:r>
      <w:r w:rsidR="00C25036" w:rsidRPr="00C25036">
        <w:t xml:space="preserve">Food poverty line </w:t>
      </w:r>
      <w:r w:rsidR="00C25036">
        <w:t xml:space="preserve">(i.e., the amount of money that an individual will need to afford the minimum required daily energy intake) </w:t>
      </w:r>
      <w:r w:rsidR="001966C2">
        <w:fldChar w:fldCharType="begin"/>
      </w:r>
      <w:r w:rsidR="001966C2">
        <w:instrText xml:space="preserve"> ADDIN ZOTERO_ITEM CSL_CITATION {"citationID":"s6bP45D5","properties":{"formattedCitation":"(28)","plainCitation":"(28)","noteIndex":0},"citationItems":[{"id":18331,"uris":["http://zotero.org/users/1653264/items/M5AXE6AH"],"itemData":{"id":18331,"type":"report","event-place":"Pretoria","publisher":"Department: Statistics South Africa [Republic of South Africa]","publisher-place":"Pretoria","title":"National Poverty Lines 2019","author":[{"family":"Stats SA","given":""}],"issued":{"date-parts":[["2020"]]}}}],"schema":"https://github.com/citation-style-language/schema/raw/master/csl-citation.json"} </w:instrText>
      </w:r>
      <w:r w:rsidR="001966C2">
        <w:fldChar w:fldCharType="separate"/>
      </w:r>
      <w:r w:rsidR="001966C2" w:rsidRPr="001966C2">
        <w:rPr>
          <w:rFonts w:ascii="Calibri" w:hAnsi="Calibri" w:cs="Calibri"/>
        </w:rPr>
        <w:t>(28)</w:t>
      </w:r>
      <w:r w:rsidR="001966C2">
        <w:fldChar w:fldCharType="end"/>
      </w:r>
      <w:r w:rsidR="00C25036">
        <w:t>.</w:t>
      </w:r>
      <w:r w:rsidR="009423D4">
        <w:t xml:space="preserve"> </w:t>
      </w:r>
      <w:r w:rsidR="003818A6">
        <w:t>A previous study conducted in rural Malawi, in a similar context to our study, show</w:t>
      </w:r>
      <w:r w:rsidR="00736880">
        <w:t>ed</w:t>
      </w:r>
      <w:r w:rsidR="003818A6">
        <w:t xml:space="preserve"> that the effect of the total amount of an incentive does not change over a 1.5–3.0 US dollars value </w:t>
      </w:r>
      <w:r w:rsidR="003818A6">
        <w:fldChar w:fldCharType="begin"/>
      </w:r>
      <w:r w:rsidR="003818A6">
        <w:instrText xml:space="preserve"> ADDIN ZOTERO_ITEM CSL_CITATION {"citationID":"6z4APv4w","properties":{"formattedCitation":"(8)","plainCitation":"(8)","noteIndex":0},"citationItems":[{"id":4760,"uris":["http://zotero.org/users/1653264/items/IT59JT6J"],"itemData":{"id":4760,"type":"article-journal","abstract":"This paper evaluates an experiment in which individuals in rural Malawi were randomly assigned monetary incentives to learn their HIV results after being tested. Distance to the HIV results centers was also randomly assigned. Without any incentive, 34 percent of the participants learned their HIV results. However, even the smallest incentive doubled that share. Using the randomly assigned incentives and distance from results centers as instruments for the knowledge of HIV status, sexually active HIV-positive individuals who learned their results are three times more likely to purchase condoms two months later than sexually active HIV-positive individuals who did not learn their results; however, HIV-positive individuals who learned their results purchase only two additional condoms than those who did not. There is no significant effect of learning HIV-negative status on the purchase of condoms.","container-title":"The American economic review","DOI":"10.1257/aer.98.5.1829","ISSN":"0002-8282","issue":"5","journalAbbreviation":"Am Econ Rev","note":"PMID: 21687831\nPMCID: PMC3115776","page":"1829-1863","source":"PubMed Central","title":"The Demand for, and Impact of, Learning HIV Status","volume":"98","author":[{"family":"Thornton","given":"Rebecca L."}],"issued":{"date-parts":[["2008",12,1]]}}}],"schema":"https://github.com/citation-style-language/schema/raw/master/csl-citation.json"} </w:instrText>
      </w:r>
      <w:r w:rsidR="003818A6">
        <w:fldChar w:fldCharType="separate"/>
      </w:r>
      <w:r w:rsidR="003818A6" w:rsidRPr="003818A6">
        <w:rPr>
          <w:rFonts w:ascii="Calibri" w:hAnsi="Calibri" w:cs="Calibri"/>
        </w:rPr>
        <w:t>(8)</w:t>
      </w:r>
      <w:r w:rsidR="003818A6">
        <w:fldChar w:fldCharType="end"/>
      </w:r>
      <w:r w:rsidR="003818A6">
        <w:t xml:space="preserve">. </w:t>
      </w:r>
    </w:p>
    <w:p w14:paraId="5ABE21BE" w14:textId="6203AAA9" w:rsidR="001A02EC" w:rsidRDefault="001A02EC" w:rsidP="009340A4">
      <w:pPr>
        <w:spacing w:after="0" w:line="480" w:lineRule="auto"/>
      </w:pPr>
      <w:r>
        <w:t xml:space="preserve">In the second arm, men were offered the EPIC-HIV application, which included </w:t>
      </w:r>
      <w:r w:rsidR="001A76CD">
        <w:t xml:space="preserve">tailored information </w:t>
      </w:r>
      <w:r>
        <w:t xml:space="preserve">to raise awareness of the benefits of knowing their HIV-status and linkage to care if diagnosed with HIV. </w:t>
      </w:r>
      <w:r w:rsidRPr="003B0360">
        <w:t>The third arm combined the interventions of the first two arms.</w:t>
      </w:r>
      <w:r w:rsidR="00671265">
        <w:t xml:space="preserve"> </w:t>
      </w:r>
      <w:bookmarkStart w:id="17" w:name="_Hlk101365090"/>
      <w:r w:rsidR="00671265">
        <w:t>Individuals were informed about both intervention</w:t>
      </w:r>
      <w:r w:rsidR="00D233B1">
        <w:t>s</w:t>
      </w:r>
      <w:r w:rsidR="00671265">
        <w:t xml:space="preserve"> prior </w:t>
      </w:r>
      <w:r w:rsidR="00D233B1">
        <w:t xml:space="preserve">to </w:t>
      </w:r>
      <w:r w:rsidR="00671265">
        <w:t>their participation.</w:t>
      </w:r>
      <w:bookmarkEnd w:id="17"/>
    </w:p>
    <w:bookmarkEnd w:id="15"/>
    <w:p w14:paraId="4B215F26" w14:textId="77777777" w:rsidR="001A02EC" w:rsidRDefault="001A02EC" w:rsidP="009340A4">
      <w:pPr>
        <w:spacing w:after="0" w:line="480" w:lineRule="auto"/>
      </w:pPr>
    </w:p>
    <w:p w14:paraId="5A4C0893" w14:textId="77777777" w:rsidR="001A02EC" w:rsidRDefault="001A02EC" w:rsidP="009340A4">
      <w:pPr>
        <w:pStyle w:val="Heading2"/>
        <w:spacing w:line="480" w:lineRule="auto"/>
      </w:pPr>
      <w:r>
        <w:lastRenderedPageBreak/>
        <w:t>Data collected</w:t>
      </w:r>
    </w:p>
    <w:p w14:paraId="31F1CC17" w14:textId="75947F66" w:rsidR="001A02EC" w:rsidRDefault="009D67C9" w:rsidP="009340A4">
      <w:pPr>
        <w:spacing w:after="0" w:line="480" w:lineRule="auto"/>
      </w:pPr>
      <w:bookmarkStart w:id="18" w:name="_Hlk101360347"/>
      <w:bookmarkStart w:id="19" w:name="_Hlk101207033"/>
      <w:r>
        <w:t>Socio-demographic</w:t>
      </w:r>
      <w:r w:rsidR="001A02EC">
        <w:t xml:space="preserve"> (e.g., sex, age, education, employment status, household assets index) and geographical (e.g., distance from nearest clinic, urban/rural living area) </w:t>
      </w:r>
      <w:bookmarkEnd w:id="18"/>
      <w:r w:rsidR="001A02EC">
        <w:t xml:space="preserve">data were collected for each individual. </w:t>
      </w:r>
      <w:r w:rsidR="00C57D8B">
        <w:t xml:space="preserve">The selection of these variables were based on existing work showing HIV-testing inequalities linked to individuals’ socio-demographic and geographic characteristics </w:t>
      </w:r>
      <w:r w:rsidR="00C57D8B">
        <w:fldChar w:fldCharType="begin"/>
      </w:r>
      <w:r w:rsidR="00C57D8B">
        <w:instrText xml:space="preserve"> ADDIN ZOTERO_ITEM CSL_CITATION {"citationID":"DzXO4P4c","properties":{"unsorted":true,"formattedCitation":"(23\\uc0\\u8211{}25)","plainCitation":"(23–25)","noteIndex":0},"citationItems":[{"id":4730,"uris":["http://zotero.org/users/1653264/items/RC7VUN2V"],"itemData":{"id":4730,"type":"report","event-place":"Pretoria, South Africa, and Rockville, Maryland, USA: NDoH, Stats SA, SAMRC, and ICF","publisher-place":"Pretoria, South Africa, and Rockville, Maryland, USA: NDoH, Stats SA, SAMRC, and ICF","title":"South Africa Demographic and Health Survey 2016","author":[{"family":"National Department of Health [South Africa]","given":""},{"family":"Statistics South Africa","given":""},{"family":"South African Medical Research Council","given":""},{"family":"ICF","given":""}],"issued":{"date-parts":[["2019"]]}},"label":"page"},{"id":4907,"uris":["http://zotero.org/users/1653264/items/YDRV9SDW"],"itemData":{"id":4907,"type":"article-journal","abstract":"Background\nWith increasing calls for linking HIV-infected individuals to treatment and care via expanded testing, we examined socio-demographic and behavioral characteristics associated with HIV testing among men and women in Soweto, South Africa.\n\nMethods\nWe conducted a cross-sectional household survey involving 1539 men and 1877 women as part of the community-randomized prevention trial Project ACCEPT/HPTN043 between July 2007-October 2007. Multivariable logistic regression models, stratified by sex, assessed factors associated with HIV testing, and then repeated testing.\n\nResults\nMost women (64.8%) and 28.9% of men reported ever having been tested for HIV, among whom 57.9% reported repeated HIV testing. In multivariable analyses, youth and students had a lower odds of HIV testing. Men and women who had conversations about HIV/AIDS with increasing frequency and who had heard about antiretroviral therapy were more likely to report HIV testing, as well as repeated testing. Men who had ≥12 years of education and who were of high socio-economic status; and women who were married, who were of low socio-economic status, and who had children under their care had a higher odds of HIV testing. Women, older individuals, those with higher levels of education, married individuals, and those with children under their care had a higher odds of reporting repeated HIV testing. Uptake of HIV testing was not associated with condom use, having multiple sex partners, and HIV-related stigma.\n\nConclusions\nGiven the low uptake of HIV testing among men and youth, further targeted interventions could facilitate a test and treat strategy among urban South Africans.","container-title":"Journal of acquired immune deficiency syndromes (1999)","DOI":"10.1097/QAI.0b013e318202c82c","ISSN":"1525-4135","issue":"2","journalAbbreviation":"J Acquir Immune Defic Syndr","note":"PMID: 21084993\nPMCID: PMC3137901","page":"151-165","source":"PubMed Central","title":"Who gets tested for HIV in a South African urban township? Implications for test and treat and gender-based prevention interventions","title-short":"Who gets tested for HIV in a South African urban township?","volume":"56","author":[{"family":"Venkatesh","given":"Kartik K"},{"family":"Madiba","given":"Precious"},{"family":"De Bruyn","given":"Guy"},{"family":"Lurie","given":"Mark N"},{"family":"Coates","given":"Thomas J"},{"family":"Gray","given":"Glenda E"}],"issued":{"date-parts":[["2011",2,1]]}},"label":"page"},{"id":17923,"uris":["http://zotero.org/users/1653264/items/LTU5NNLA"],"itemData":{"id":17923,"type":"article-journal","abstract":"Objectives The aim of the study was to estimate rates of linkage to HIV care and antiretroviral treatment (ART) initiation after the introduction of home-based HIV counselling and testing (HBHCT) and telephone-facilitated support for linkage in rural South Africa. Methods A population-based prospective cohort study was carried out in KwaZulu Natal, South Africa. All residents aged ≥ 15 years were eligible for HBHCT. Those who tested positive and were not in care were referred for ART at one of 11 public-sector clinics. Individuals who did not attend the clinic within 2 weeks were sent a short message service (SMS) reminder; those who had not attended after a further 2 weeks were telephoned by a nurse counsellor, to discuss concerns and encourage linkage. Kaplan–Meier methods were used to estimate the proportion of newly diagnosed individuals linking to care and initiating ART. Results Among 38 827 individuals visited, 26% accepted HBHCT. Uptake was higher in women than in men (30% versus 20%, respectively), but similar in people aged &lt; 30 years and ≥ 30 years (28% versus 26%, respectively). A total of 784 (8%) tested HIV positive, of whom 427 (54%) were newly diagnosed. Within 6 months, 31% of women and 18% of men &lt; 30 years old had linked to care, and 29% and 16%, respectively, had started ART. Among those ≥ 30 years, 41% of women and 38% of men had linked to care within 6 months, and 41% and 35%, respectively, had started ART. Conclusions Despite facilitated linkage, rates of timely linkage to care and ART initiation after HBHCT were very low, particularly among young men. Innovations are needed to provide effective HIV care and prevention interventions to young people, and thus maximize the benefits of universal test and treat.","container-title":"HIV Medicine","DOI":"10.1111/hiv.12787","ISSN":"1468-1293","issue":"10","language":"en","note":"_eprint: https://onlinelibrary.wiley.com/doi/pdf/10.1111/hiv.12787","page":"704-708","source":"Wiley Online Library","title":"Findings from home-based HIV testing and facilitated linkage after scale-up of test and treat in rural South Africa: young people still missing","title-short":"Findings from home-based HIV testing and facilitated linkage after scale-up of test and treat in rural South Africa","volume":"20","author":[{"family":"Baisley","given":"Kj"},{"family":"Seeley","given":"J"},{"family":"Siedner","given":"Mj"},{"family":"Koole","given":"K"},{"family":"Matthews","given":"P"},{"family":"Tanser","given":"F"},{"family":"Bärnighausen","given":"T"},{"family":"Smit","given":"T"},{"family":"Gareta","given":"D"},{"family":"Dlamini","given":"S"},{"family":"Herbst","given":"K"},{"family":"Hm","given":"Yapa"},{"family":"Cc","given":"Iwuji"},{"family":"Hy","given":"Kim"},{"family":"D","given":"Pillay"},{"family":"M","given":"Shahmanesh"}],"issued":{"date-parts":[["2019"]]}}}],"schema":"https://github.com/citation-style-language/schema/raw/master/csl-citation.json"} </w:instrText>
      </w:r>
      <w:r w:rsidR="00C57D8B">
        <w:fldChar w:fldCharType="separate"/>
      </w:r>
      <w:r w:rsidR="00A81A45" w:rsidRPr="00A81A45">
        <w:rPr>
          <w:rFonts w:ascii="Calibri" w:hAnsi="Calibri" w:cs="Calibri"/>
          <w:szCs w:val="24"/>
        </w:rPr>
        <w:t>(23–25)</w:t>
      </w:r>
      <w:r w:rsidR="00C57D8B">
        <w:fldChar w:fldCharType="end"/>
      </w:r>
      <w:r w:rsidR="00C57D8B">
        <w:t xml:space="preserve">. </w:t>
      </w:r>
      <w:bookmarkEnd w:id="19"/>
      <w:r w:rsidR="001A02EC">
        <w:t xml:space="preserve">Where available, missing data on </w:t>
      </w:r>
      <w:r>
        <w:t>socio-demographic</w:t>
      </w:r>
      <w:r w:rsidR="001A02EC">
        <w:t xml:space="preserve"> characteristics were completed from the previous data surveillance round that occurred less than one year before the trial. </w:t>
      </w:r>
    </w:p>
    <w:p w14:paraId="242F5C48" w14:textId="5764B013" w:rsidR="001A02EC" w:rsidRDefault="001A02EC" w:rsidP="00616A80">
      <w:pPr>
        <w:spacing w:after="0" w:line="480" w:lineRule="auto"/>
      </w:pPr>
      <w:bookmarkStart w:id="20" w:name="_Hlk93507933"/>
      <w:r>
        <w:t xml:space="preserve">The household assets index was obtained using a component analysis of data on house ownership, energy, water source, electricity, toilet type and 27 other household assets based on Filmer and Pritchett works </w:t>
      </w:r>
      <w:r>
        <w:fldChar w:fldCharType="begin"/>
      </w:r>
      <w:r w:rsidR="001966C2">
        <w:instrText xml:space="preserve"> ADDIN ZOTERO_ITEM CSL_CITATION {"citationID":"3orxcrov","properties":{"formattedCitation":"(29)","plainCitation":"(29)","noteIndex":0},"citationItems":[{"id":4740,"uris":["http://zotero.org/users/1653264/items/3HSNVM2N"],"itemData":{"id":4740,"type":"article-journal","abstract":"Using data from India, we estimate the relationship between household wealth and children's school enrollment. We proxy wealth by constructing a linear index from asset ownership indicators, using principal-components analysis to derive weights. In Indian data this index is robust to the assets included, and produces internally coherent results. State-level results correspond well to independent data on per capita output and poverty. To validate the method and to show that the asset index predicts enrollments as accurately as expenditures, or more so, we use data sets from Indonesia, Pakistan, and Nepal that contain information on both expenditures and assets. The results show large, variable wealth gaps in children's enrollment across Indian states. On average a \"rich\" child is 31 percentage points more likely to be enrolled than a \"poor\" child, but this gap varies from only 4.6 percentage points in Kerala to 38.2 in Uttar Pradesh and 42.6 in Bihar.","container-title":"Demography","DOI":"10.1353/dem.2001.0003","ISSN":"0070-3370","issue":"1","journalAbbreviation":"Demography","language":"eng","note":"PMID: 11227840","page":"115-132","source":"PubMed","title":"Estimating wealth effects without expenditure data--or tears: an application to educational enrollments in states of India","title-short":"Estimating wealth effects without expenditure data--or tears","volume":"38","author":[{"family":"Filmer","given":"D."},{"family":"Pritchett","given":"L. H."}],"issued":{"date-parts":[["2001",2]]}}}],"schema":"https://github.com/citation-style-language/schema/raw/master/csl-citation.json"} </w:instrText>
      </w:r>
      <w:r>
        <w:fldChar w:fldCharType="separate"/>
      </w:r>
      <w:r w:rsidR="001966C2" w:rsidRPr="001966C2">
        <w:rPr>
          <w:rFonts w:ascii="Calibri" w:hAnsi="Calibri" w:cs="Calibri"/>
        </w:rPr>
        <w:t>(29)</w:t>
      </w:r>
      <w:r>
        <w:fldChar w:fldCharType="end"/>
      </w:r>
      <w:r>
        <w:t xml:space="preserve">. This variable categorized households as poorest 40%, middle 40% or the wealthiest 20%. We choose these three categories because they have been found to capture wealth effect well in several economical and health surveys within poor provinces in South Africa </w:t>
      </w:r>
      <w:r>
        <w:fldChar w:fldCharType="begin"/>
      </w:r>
      <w:r w:rsidR="001966C2">
        <w:instrText xml:space="preserve"> ADDIN ZOTERO_ITEM CSL_CITATION {"citationID":"zaWtbBkG","properties":{"formattedCitation":"(30\\uc0\\u8211{}32)","plainCitation":"(30–32)","noteIndex":0},"citationItems":[{"id":4739,"uris":["http://zotero.org/users/1653264/items/V6P5MYNG"],"itemData":{"id":4739,"type":"article-journal","abstract":"Background\nKnowledge of the effect of socioeconomic status (SES) on HIV infection in Africa stems largely from cross-sectional studies. Cross-sectional studies suffer from two important limitations: two-way causality between SES and HIV serostatus and simultaneous effects of SES on HIV incidence and on HIV-positive survival time. Both problems are avoided in longitudinal cohort studies.\n\nMethods\nWe used data from a longitudinal HIV surveillance and a linked demographic surveillance in a poor rural community in KwaZulu-Natal, South Africa, to investigate the effect of three measures of SES – educational attainment, household wealth categories (based on a ranking of households on an assets index scale) and per capita household expenditure – on HIV incidence. Our sample comprised of 3325 individuals who tested HIV-negative at baseline and either HIV-negative or HIV-positive on a second test (on average 1.3 years after the first).\n\nResults\nIn multivariable survival analysis, one additional year of education reduced the hazard of acquiring HIV by 7% (p = 0.017) net of sex, age, wealth, household expenditure, rural vs. urban/periurban residence, migration status and partnership status. Holding other factors equal, members of households that fell into the middle 40% of relative wealth had a 72% higher hazard of HIV acquisition than members of the 40% poorest households (p = 0.012). Per capita household expenditure did not significantly affect HIV incidence (p = 0.669).\n\nDiscussion\nWhile poverty reduction is important for obvious reasons, it may not be as effective as anticipated in reducing the spread of HIV in rural South Africa. In contrast, our results suggest that increasing educational attainment in the general population may lower HIV incidence.","container-title":"AIDS (London, England)","DOI":"10.1097/01.aids.0000300533.59483.95","ISSN":"0269-9370","issue":"Suppl 7","journalAbbreviation":"AIDS","note":"PMID: 18040162\nPMCID: PMC2847257","page":"S29-S38","source":"PubMed Central","title":"The socioeconomic determinants of HIV incidence: evidence from a longitudinal, population-based study in rural South Africa","title-short":"The socioeconomic determinants of HIV incidence","volume":"21","author":[{"family":"Bärnighausen","given":"Till"},{"family":"Hosegood","given":"Victoria"},{"family":"Timaeus","given":"Ian M."},{"family":"Newell","given":"Marie-Louise"}],"issued":{"date-parts":[["2007",11]]}},"label":"page"},{"id":4737,"uris":["http://zotero.org/users/1653264/items/P39P6JKD"],"itemData":{"id":4737,"type":"article-journal","abstract":"Research on income distribution in South Africa has, for obvious reasons, focused on interracial (inter-group) income distribution. Quite dramatic changes have occurred in interracial income distribution patterns since the 1970s, with the black share of income rising for the first time and at times exceeding the rise in their population share. This implies a narrowing inter-racial income gap.","container-title":"South African Journal of Economics","DOI":"10.1111/j.1813-6982.2004.tb00125.x","ISSN":"00382280","issue":"3","language":"en","page":"546-572","source":"DOI.org (Crossref)","title":"Changing patterns of South African income distribution: towards time series estimates of distribution and poverty","title-short":"CHANGING PATTERNS OF SOUTH AFRICAN INCOME DISTRIBUTION","volume":"72","author":[{"family":"Berg","given":"Servaas"},{"family":"Louw","given":"Megan"}],"issued":{"date-parts":[["2005",7,6]]}},"label":"page"},{"id":4738,"uris":["http://zotero.org/users/1653264/items/LXRLSKAY"],"itemData":{"id":4738,"type":"article-journal","abstract":"There are different approaches to the measurement of poverty. These depend on the objective of the analysis, the nature of the data and the method employed in measuring poverty. The asset index approach applied to data from Demographic and Health Surveys (DHS) has gained increasing\npopularity in recent years, particularly in analyses of the relationship between poverty, health and population issues. The results presented in this paper suggest that it is possible, in the absence of income and expenditure data, to employ the available data from the DHS to measure differences\nin the socioeconomic status of South African households. The asset index represents an internally coherent, robust and comparable indicator of poverty. An analysis of the relationship between poverty, health and population issues, for which the DHS data set presents a wealth of data, will\nbe impossible without such an asset index.","container-title":"Studies in Economics and Econometrics","issue":"3","journalAbbreviation":"Studies in Economics and Econometrics","page":"53-70","source":"IngentaConnect","title":"Using demographic and health surveys to measure poverty - an application to South Africa","volume":"26","author":[{"family":"Booysen","given":"F. Le R."}],"issued":{"date-parts":[["2002",11,1]]}},"label":"page"}],"schema":"https://github.com/citation-style-language/schema/raw/master/csl-citation.json"} </w:instrText>
      </w:r>
      <w:r>
        <w:fldChar w:fldCharType="separate"/>
      </w:r>
      <w:r w:rsidR="001966C2" w:rsidRPr="001966C2">
        <w:rPr>
          <w:rFonts w:ascii="Calibri" w:hAnsi="Calibri" w:cs="Calibri"/>
          <w:szCs w:val="24"/>
        </w:rPr>
        <w:t>(30–32)</w:t>
      </w:r>
      <w:r>
        <w:fldChar w:fldCharType="end"/>
      </w:r>
      <w:r>
        <w:t>.</w:t>
      </w:r>
    </w:p>
    <w:p w14:paraId="4CC3A8A9" w14:textId="442BDF2B" w:rsidR="00616A80" w:rsidRDefault="00616A80" w:rsidP="009340A4">
      <w:pPr>
        <w:spacing w:line="480" w:lineRule="auto"/>
      </w:pPr>
      <w:bookmarkStart w:id="21" w:name="_Hlk106013514"/>
      <w:r>
        <w:t xml:space="preserve">Home-based HIV testing uptake was defined as the acceptance of the testing offer and its </w:t>
      </w:r>
      <w:r w:rsidRPr="00616A80">
        <w:t xml:space="preserve">performance </w:t>
      </w:r>
      <w:r>
        <w:t>by a field worker.</w:t>
      </w:r>
    </w:p>
    <w:bookmarkEnd w:id="20"/>
    <w:bookmarkEnd w:id="21"/>
    <w:p w14:paraId="47F40C66" w14:textId="77777777" w:rsidR="001A02EC" w:rsidRDefault="001A02EC" w:rsidP="009340A4">
      <w:pPr>
        <w:pStyle w:val="Heading2"/>
        <w:spacing w:line="480" w:lineRule="auto"/>
      </w:pPr>
      <w:r>
        <w:t>Statistical analysis</w:t>
      </w:r>
    </w:p>
    <w:p w14:paraId="788C8183" w14:textId="7890F08A" w:rsidR="001A02EC" w:rsidRDefault="001A02EC" w:rsidP="009340A4">
      <w:pPr>
        <w:spacing w:line="480" w:lineRule="auto"/>
      </w:pPr>
      <w:r>
        <w:t xml:space="preserve">Since the focus of this analysis was on the effect of the CFI intervention, </w:t>
      </w:r>
      <w:r w:rsidR="001A76CD">
        <w:t>and because EPIC-HIV had no effect on HIV testing uptake</w:t>
      </w:r>
      <w:r w:rsidR="00A70BEA">
        <w:t xml:space="preserve"> </w:t>
      </w:r>
      <w:r>
        <w:fldChar w:fldCharType="begin"/>
      </w:r>
      <w:r w:rsidR="002B64C9">
        <w:instrText xml:space="preserve"> ADDIN ZOTERO_ITEM CSL_CITATION {"citationID":"12AGwCkh","properties":{"formattedCitation":"(10)","plainCitation":"(10)","noteIndex":0},"citationItems":[{"id":4911,"uris":["http://zotero.org/users/1653264/items/6J2NZ36E"],"itemData":{"id":4911,"type":"article-journal","abstract":"INTRODUCTION: The uptake of HIV testing and linkage to care remains low among men, contributing to high HIV incidence in women in South Africa. We conducted the \"Home-Based Intervention to Test and Start\" (HITS) in a 2x2 factorial cluster randomized controlled trial in one of the World's largest ongoing HIV cohorts in rural South Africa aimed at enhancing both intrinsic and extrinsic motivations for HIV testing.\nMETHODS: Between February and December 2018, in the uMkhanyakude district of KwaZulu-Natal, we randomly assigned 45 communities (clusters) (n = 13,838 residents) to one of the four arms: (i) financial incentives for home-based HIV testing and linkage to care (R50 [$3] food voucher each); (ii) male-targeted HIV-specific decision support application, called EPIC-HIV; (iii) both financial incentives and male-targeted HIV-specific decision support application and (iv) standard of care (SoC). EPIC-HIV was developed to encourage and serve as an intrinsic motivator for HIV testing and linkage to care, and individually offered to men via a tablet device. Financial incentives were offered to both men and women. Here we report the effect of the interventions on uptake of home-based HIV testing among men. Intention-to-treat (ITT) analysis was performed using modified Poisson regression with adjustment for clustering of standard errors at the cluster levels.\nRESULTS: Among all 13,838 men ≥ 15 years living in the 45 communities, the overall population coverage during a single round of home-based HIV testing was 20.7%. The uptake of HIV testing was 27.5% (683/2481) in the financial incentives arm, 17.1% (433/2534) in the EPIC-HIV arm, 26.8% (568/2120) in the arm receiving both interventions and 17.8% in the SoC arm. The probability of HIV testing increased substantially by 55% in the financial incentives arm (risk ratio (RR)=1.55, 95% CI: 1.31 to 1.82, p &lt; 0.001) and 51% in the arm receiving both interventions (RR = 1.51, 95% CI: 1.21 to 1.87 p &lt; 0.001), compared to men in the SoC arm. The probability of HIV testing did not significantly differ in the EPIC-HIV arm (RR = 0.96, 95% CI: 0.76 to 1.20, p = 0.70).\nCONCLUSIONS: The provision of a small financial incentive acted as a powerful extrinsic motivator substantially increasing the uptake of home-based HIV testing among men in rural South Africa. In contrast, the counselling and testing application which was designed to encourage and serve as an intrinsic motivator to test for HIV did not increase the uptake of home-based testing.","container-title":"Journal of the International AIDS Society","DOI":"10.1002/jia2.25665","ISSN":"1758-2652","issue":"2","journalAbbreviation":"J Int AIDS Soc","language":"eng","note":"PMID: 33586911\nPMCID: PMC7883477","page":"e25665","source":"PubMed","title":"Home-Based Intervention to Test and Start (HITS): a community-randomized controlled trial to increase HIV testing uptake among men in rural South Africa","title-short":"Home-Based Intervention to Test and Start (HITS)","volume":"24","author":[{"family":"Tanser","given":"Frank C."},{"family":"Kim","given":"Hae-Young"},{"family":"Mathenjwa","given":"Thulile"},{"family":"Shahmanesh","given":"Maryam"},{"family":"Seeley","given":"Janet"},{"family":"Matthews","given":"Phillippa"},{"family":"Wyke","given":"Sally"},{"family":"McGrath","given":"Nuala"},{"family":"Adeagbo","given":"Oluwafemi"},{"family":"Sartorius","given":"Benn"},{"family":"Yapa","given":"Handurugamage Manisha"},{"family":"Zuma","given":"Thembelihle"},{"family":"Zeitlin","given":"Anya"},{"family":"Blandford","given":"Ann"},{"family":"Dobra","given":"Adrian"},{"family":"Bärnighausen","given":"Till"}],"issued":{"date-parts":[["2021",2]]}}}],"schema":"https://github.com/citation-style-language/schema/raw/master/csl-citation.json"} </w:instrText>
      </w:r>
      <w:r>
        <w:fldChar w:fldCharType="separate"/>
      </w:r>
      <w:r w:rsidR="00A81A45" w:rsidRPr="00A81A45">
        <w:rPr>
          <w:rFonts w:ascii="Calibri" w:hAnsi="Calibri" w:cs="Calibri"/>
        </w:rPr>
        <w:t>(10)</w:t>
      </w:r>
      <w:r>
        <w:fldChar w:fldCharType="end"/>
      </w:r>
      <w:r>
        <w:t xml:space="preserve">, the EPIC-HIV and CFI arm was grouped with the CFI arm only and the EPIC-HIV alone was grouped with the control arm (i.e. non-CFI arms). The analysis was conducted among all individuals contacted even if they did not participate in the HIV surveillance. </w:t>
      </w:r>
      <w:bookmarkStart w:id="22" w:name="_Hlk101204897"/>
      <w:r>
        <w:t xml:space="preserve">Analyses were stratified </w:t>
      </w:r>
      <w:r w:rsidR="001A76CD">
        <w:t xml:space="preserve">by </w:t>
      </w:r>
      <w:r>
        <w:t>sex</w:t>
      </w:r>
      <w:r w:rsidR="00E22AF4">
        <w:t xml:space="preserve"> as HIV testing uptake and related barriers can greatly vary according to gender </w:t>
      </w:r>
      <w:r w:rsidR="00E22AF4">
        <w:fldChar w:fldCharType="begin"/>
      </w:r>
      <w:r w:rsidR="001966C2">
        <w:instrText xml:space="preserve"> ADDIN ZOTERO_ITEM CSL_CITATION {"citationID":"oyre3WUD","properties":{"formattedCitation":"(33)","plainCitation":"(33)","noteIndex":0},"citationItems":[{"id":311,"uris":["http://zotero.org/users/1653264/items/GFETV8V4"],"itemData":{"id":311,"type":"article-journal","abstract":"Against the background of debates about expanding HIV testing and counseling, we summarize the evidence on the social and behavioral dimension of testing and its implications for programs. The discrepancy between acceptance of testing and returning for results and the difficulties of disclosure are examined in light of research on risk perceptions and the influence of gender and stigma. We also summarize the evidence on the provision of testing and counseling, the implementation of practices regarding confidentiality and consent, and the results of interventions. We demonstrate that social factors have a considerable impact on testing, show that the services linked to testing are key determinants of utilization, and consider the implications of these findings for HIV testing programs.","container-title":"American journal of public health","DOI":"10.2105/AJPH.2006.096263","ISSN":"1541-0048","issue":"10","journalAbbreviation":"Am J Public Health","language":"eng","note":"PMID: 17761565 \nPMCID: PMC1994175","page":"1762-1774","source":"NCBI PubMed","title":"The utilization of testing and counseling for HIV: a review of the social and behavioral evidence","title-short":"The utilization of testing and counseling for HIV","volume":"97","author":[{"family":"Obermeyer","given":"Carla Makhlouf"},{"family":"Osborn","given":"Michelle"}],"issued":{"date-parts":[["2007",10]]}}}],"schema":"https://github.com/citation-style-language/schema/raw/master/csl-citation.json"} </w:instrText>
      </w:r>
      <w:r w:rsidR="00E22AF4">
        <w:fldChar w:fldCharType="separate"/>
      </w:r>
      <w:r w:rsidR="001966C2" w:rsidRPr="001966C2">
        <w:rPr>
          <w:rFonts w:ascii="Calibri" w:hAnsi="Calibri" w:cs="Calibri"/>
        </w:rPr>
        <w:t>(33)</w:t>
      </w:r>
      <w:r w:rsidR="00E22AF4">
        <w:fldChar w:fldCharType="end"/>
      </w:r>
      <w:r>
        <w:t>.</w:t>
      </w:r>
      <w:bookmarkEnd w:id="22"/>
    </w:p>
    <w:p w14:paraId="084A807C" w14:textId="7F19FBF7" w:rsidR="00A70BEA" w:rsidRDefault="005F1E6E" w:rsidP="009340A4">
      <w:pPr>
        <w:spacing w:after="0" w:line="480" w:lineRule="auto"/>
      </w:pPr>
      <w:r>
        <w:t>To</w:t>
      </w:r>
      <w:r w:rsidR="00A70BEA">
        <w:t xml:space="preserve"> measuring the effect of using a CFI on existing socio-demographic </w:t>
      </w:r>
      <w:r w:rsidR="00A70BEA" w:rsidRPr="00F83E4F">
        <w:t>differentials</w:t>
      </w:r>
      <w:r w:rsidR="00D13AB0">
        <w:t xml:space="preserve"> in home-based HIV testing uptake</w:t>
      </w:r>
      <w:r>
        <w:t>, we computed</w:t>
      </w:r>
      <w:r w:rsidRPr="005F1E6E">
        <w:t xml:space="preserve"> </w:t>
      </w:r>
      <w:r>
        <w:t xml:space="preserve">the absolute differences in uptake of home-based HIV testing </w:t>
      </w:r>
      <w:r w:rsidRPr="00087600">
        <w:t>between CFI and non-CFI arms</w:t>
      </w:r>
      <w:r>
        <w:t xml:space="preserve"> were measured for </w:t>
      </w:r>
      <w:r w:rsidRPr="00087600">
        <w:t xml:space="preserve">each </w:t>
      </w:r>
      <w:r>
        <w:t>socio-demographic</w:t>
      </w:r>
      <w:r w:rsidRPr="00087600">
        <w:t xml:space="preserve"> characteristic</w:t>
      </w:r>
      <w:r w:rsidR="00F37271">
        <w:t>.</w:t>
      </w:r>
    </w:p>
    <w:p w14:paraId="2E3FB6CC" w14:textId="44F82322" w:rsidR="00F37271" w:rsidRDefault="005F1E6E" w:rsidP="009340A4">
      <w:pPr>
        <w:spacing w:after="240" w:line="480" w:lineRule="auto"/>
      </w:pPr>
      <w:r>
        <w:t xml:space="preserve">To </w:t>
      </w:r>
      <w:r w:rsidR="00D13AB0">
        <w:t>assessing whether the effect of CFI was different depending on socio-demographic characteristics</w:t>
      </w:r>
      <w:r w:rsidR="001D2466">
        <w:t xml:space="preserve"> of </w:t>
      </w:r>
      <w:r w:rsidR="001D2466" w:rsidRPr="001D2466">
        <w:t>individuals</w:t>
      </w:r>
      <w:r>
        <w:t>, we computed the</w:t>
      </w:r>
      <w:r w:rsidRPr="005F1E6E">
        <w:t xml:space="preserve"> </w:t>
      </w:r>
      <w:r>
        <w:t xml:space="preserve">relative </w:t>
      </w:r>
      <w:r w:rsidR="00F37271" w:rsidRPr="00F37271">
        <w:t xml:space="preserve">risk factors associated with home-based HIV testing uptake </w:t>
      </w:r>
      <w:r w:rsidR="00F37271" w:rsidRPr="00F37271">
        <w:lastRenderedPageBreak/>
        <w:t>among individual depending on intervention arm.</w:t>
      </w:r>
      <w:r w:rsidR="00F37271">
        <w:t xml:space="preserve"> Relative </w:t>
      </w:r>
      <w:r w:rsidR="00F37271" w:rsidRPr="00F37271">
        <w:t>risk factors</w:t>
      </w:r>
      <w:r w:rsidR="001A02EC">
        <w:t xml:space="preserve"> w</w:t>
      </w:r>
      <w:r w:rsidR="00F37271">
        <w:t>ere</w:t>
      </w:r>
      <w:r w:rsidR="001A02EC">
        <w:t xml:space="preserve"> investigated by running a modified Poisson regression model with a logarithm link function adjusted for community-level clustering and binary outcomes through clustered sandwich estimators </w:t>
      </w:r>
      <w:r w:rsidR="001A02EC">
        <w:fldChar w:fldCharType="begin"/>
      </w:r>
      <w:r w:rsidR="001966C2">
        <w:instrText xml:space="preserve"> ADDIN ZOTERO_ITEM CSL_CITATION {"citationID":"AReFduPq","properties":{"formattedCitation":"(34,35)","plainCitation":"(34,35)","noteIndex":0},"citationItems":[{"id":76,"uris":["http://zotero.org/users/1653264/items/8L8NV2LH"],"itemData":{"id":76,"type":"article-journal","abstract":"Standard large-sample confidence intervals about a maximum likelihood estimator θ̂ are two-thirds robust; i.e. when the parametric model is imperfect θ̂ often remains consistent and asymptotically normal. The confidence intervals are invalidated only because the third necessary condition, consistency of the variance estimator, fails. The 'delta method' provides a simple alternative variance estimator which remains consistent under more general conditions and provides robust large-sample confidence intervals. /// Les intervalles de confiance habituels calculés à partir de la théorie des grands échantillons des estimateurs du maximum de vraisemblance sont robustes à deux tiers-lorsque le modèle paramétrique fait défaut, l'estimateur du maximum de vraisemblance θ̂ demeure souvent consistant et asymptotiquement normal. Les intervalles de confiance sont invalidés seulement à cause de l'échec de la troisième condition nécessaire: la consistance de l'estimateur de la variance. La \"méthode delta\" fournit un estimateur alternatif simple de la variance qui demeure consistant sous des conditions plus générales et qui donne par conséquent des intervalles de confiance robustes.","container-title":"International Statistical Review / Revue Internationale de Statistique","DOI":"10.2307/1403146","ISSN":"0306-7734","issue":"2","note":"publisher: [Wiley, International Statistical Institute (ISI)]","page":"221-226","source":"JSTOR","title":"Model Robust Confidence Intervals Using Maximum Likelihood Estimators","volume":"54","author":[{"family":"Royall","given":"Richard M."}],"issued":{"date-parts":[["1986"]]}},"label":"page"},{"id":77,"uris":["http://zotero.org/users/1653264/items/ZLHSVWJ7"],"itemData":{"id":77,"type":"article-journal","abstract":"Abstract. Relative risk is usually the parameter of interest in epidemiologic and medical studies. In this paper, the author proposes a modified Poisson regress","container-title":"American Journal of Epidemiology","DOI":"10.1093/aje/kwh090","ISSN":"0002-9262","issue":"7","journalAbbreviation":"Am J Epidemiol","language":"en","note":"publisher: Oxford Academic","page":"702-706","source":"academic.oup.com","title":"A Modified Poisson Regression Approach to Prospective Studies with Binary Data","volume":"159","author":[{"family":"Zou","given":"Guangyong"}],"issued":{"date-parts":[["2004",4,1]]}},"label":"page"}],"schema":"https://github.com/citation-style-language/schema/raw/master/csl-citation.json"} </w:instrText>
      </w:r>
      <w:r w:rsidR="001A02EC">
        <w:fldChar w:fldCharType="separate"/>
      </w:r>
      <w:r w:rsidR="001966C2" w:rsidRPr="001966C2">
        <w:rPr>
          <w:rFonts w:ascii="Calibri" w:hAnsi="Calibri" w:cs="Calibri"/>
        </w:rPr>
        <w:t>(34,35)</w:t>
      </w:r>
      <w:r w:rsidR="001A02EC">
        <w:fldChar w:fldCharType="end"/>
      </w:r>
      <w:r w:rsidR="001A02EC">
        <w:t xml:space="preserve">. The interaction terms between </w:t>
      </w:r>
      <w:r w:rsidR="00341CF4">
        <w:t xml:space="preserve">home-based HIV testing </w:t>
      </w:r>
      <w:r w:rsidR="001A02EC">
        <w:t xml:space="preserve">uptake and each </w:t>
      </w:r>
      <w:r w:rsidR="009D67C9">
        <w:t>socio-demographic</w:t>
      </w:r>
      <w:r w:rsidR="001A02EC">
        <w:t xml:space="preserve"> variable </w:t>
      </w:r>
      <w:r w:rsidR="00D13AB0">
        <w:t>were</w:t>
      </w:r>
      <w:r w:rsidR="001A02EC">
        <w:t xml:space="preserve"> computed to measure any change in the effect of the CFI between two </w:t>
      </w:r>
      <w:r w:rsidR="009D67C9">
        <w:t>socio-demographic</w:t>
      </w:r>
      <w:r w:rsidR="001A02EC">
        <w:t xml:space="preserve"> groups. Multivariate models included all variables but only interaction terms significant to the p</w:t>
      </w:r>
      <w:r w:rsidR="001A02EC" w:rsidRPr="0459DA95">
        <w:t>≤</w:t>
      </w:r>
      <w:r w:rsidR="001A02EC">
        <w:t xml:space="preserve">0.2 threshold in the univariate analysis. Statistical tests were performed using likelihood-ratio tests. </w:t>
      </w:r>
    </w:p>
    <w:p w14:paraId="3A3F750A" w14:textId="55043320" w:rsidR="001A02EC" w:rsidRDefault="001A02EC" w:rsidP="009340A4">
      <w:pPr>
        <w:spacing w:after="240" w:line="480" w:lineRule="auto"/>
      </w:pPr>
      <w:r>
        <w:t xml:space="preserve">All analyses were conducted in R 3.6.3. with the packages </w:t>
      </w:r>
      <w:r w:rsidRPr="0459DA95">
        <w:rPr>
          <w:i/>
          <w:iCs/>
        </w:rPr>
        <w:t>sandwich</w:t>
      </w:r>
      <w:r>
        <w:t xml:space="preserve"> for the models' estimators and related confidence intervals and the package </w:t>
      </w:r>
      <w:r w:rsidRPr="0459DA95">
        <w:rPr>
          <w:i/>
          <w:iCs/>
        </w:rPr>
        <w:t>survey</w:t>
      </w:r>
      <w:r>
        <w:t xml:space="preserve"> for the cluster-adjusted confidence intervals of descriptive results </w:t>
      </w:r>
      <w:r>
        <w:fldChar w:fldCharType="begin"/>
      </w:r>
      <w:r w:rsidR="001966C2">
        <w:instrText xml:space="preserve"> ADDIN ZOTERO_ITEM CSL_CITATION {"citationID":"sMjwk3WV","properties":{"unsorted":true,"formattedCitation":"(36,37)","plainCitation":"(36,37)","noteIndex":0},"citationItems":[{"id":75,"uris":["http://zotero.org/users/1653264/items/TIQTC3JD"],"itemData":{"id":75,"type":"book","abstract":"Object-oriented software for model-robust covariance matrix estimators. Starting out from the basic robust Eicker-Huber-White sandwich covariance methods include: heteroscedasticity-consistent (HC) covariances for cross-section data; heteroscedasticity- and autocorrelation-consistent (HAC) covariances for time series data (such as Andrews' kernel HAC, Newey-West, and WEAVE estimators); clustered covariances (one-way and multi-way); panel and panel-corrected covariances; outer-product-of-gradients covariances; and (clustered) bootstrap covariances. All methods are applicable to (generalized) linear model objects fitted by lm() and glm() but can also be adapted to other classes through S3 methods. Details can be found in Zeileis et al. (2020) &lt;doi:10.18637/jss.v095.i01&gt;, Zeileis (2004) &lt;doi:10.18637/jss.v011.i10&gt; and Zeileis (2006) &lt;doi:10.18637/jss.v016.i09&gt;.","source":"R-Packages","title":"sandwich: Robust Covariance Matrix Estimators","title-short":"sandwich","URL":"https://CRAN.R-project.org/package=sandwich","version":"3.0-0","author":[{"family":"Zeileis","given":"Achim"},{"family":"Lumley","given":"Thomas"},{"family":"Graham","given":"Nathaniel"},{"family":"Koell","given":"Susanne"}],"accessed":{"date-parts":[["2020",12,3]]},"issued":{"date-parts":[["2020",10,2]]}},"label":"page"},{"id":4420,"uris":["http://zotero.org/users/1653264/items/VBZ3EMB9"],"itemData":{"id":4420,"type":"article-journal","container-title":"Journal of Statistical Software","DOI":"10.18637/jss.v009.i08","ISSN":"1548-7660","issue":"1","language":"en","page":"1-19","source":"www.jstatsoft.org","title":"Analysis of Complex Survey Samples","volume":"9","author":[{"family":"Lumley","given":"Thomas"}],"issued":{"date-parts":[["2004",4,15]]}},"label":"page"}],"schema":"https://github.com/citation-style-language/schema/raw/master/csl-citation.json"} </w:instrText>
      </w:r>
      <w:r>
        <w:fldChar w:fldCharType="separate"/>
      </w:r>
      <w:r w:rsidR="001966C2" w:rsidRPr="001966C2">
        <w:rPr>
          <w:rFonts w:ascii="Calibri" w:hAnsi="Calibri" w:cs="Calibri"/>
        </w:rPr>
        <w:t>(36,37)</w:t>
      </w:r>
      <w:r>
        <w:fldChar w:fldCharType="end"/>
      </w:r>
      <w:r>
        <w:t>.</w:t>
      </w:r>
    </w:p>
    <w:p w14:paraId="2F79E676" w14:textId="77777777" w:rsidR="001A02EC" w:rsidRDefault="001A02EC" w:rsidP="009340A4">
      <w:pPr>
        <w:pStyle w:val="Heading2"/>
        <w:spacing w:line="480" w:lineRule="auto"/>
      </w:pPr>
      <w:r>
        <w:t>Ethical approval and consent to participate</w:t>
      </w:r>
    </w:p>
    <w:p w14:paraId="728B10EF" w14:textId="4D7257E2" w:rsidR="001A02EC" w:rsidRDefault="000D6F1B" w:rsidP="009340A4">
      <w:pPr>
        <w:spacing w:line="480" w:lineRule="auto"/>
      </w:pPr>
      <w:bookmarkStart w:id="23" w:name="_Hlk105762601"/>
      <w:r>
        <w:t xml:space="preserve">Participant were informed about the clinical trial prior their participation in the AHRI’s population-based HIV surveillance survey and reminded their right to declining the home-based HIV testing. Rapid tests were realised at the home of participant or any close area where confidentiality could be maintained. Participants were not asked to disclose the results of their test to anyone. </w:t>
      </w:r>
      <w:bookmarkEnd w:id="23"/>
      <w:r w:rsidR="001A02EC">
        <w:t>The trial has been conducted with the AHRI’s ongoing population-based HIV surveillance platform which received approval by the Biomedical Research Ethics Committee of the University of KwaZulu-Natal (BE290/16). Additional ethical approval specific to the HITS intervention was received on 28 June 2017 (BFC398/16). The trial is being conducted with permission from the KwaZulu-Natal Department of Health, South Africa. Written informed consent is sought from individuals aged 18+ and parental/guardian consent with individuals 15–17 years old.</w:t>
      </w:r>
    </w:p>
    <w:p w14:paraId="5C159962" w14:textId="77777777" w:rsidR="001A02EC" w:rsidRDefault="001A02EC" w:rsidP="009340A4">
      <w:pPr>
        <w:pStyle w:val="Heading1"/>
        <w:spacing w:line="480" w:lineRule="auto"/>
      </w:pPr>
      <w:r>
        <w:t>Results</w:t>
      </w:r>
    </w:p>
    <w:p w14:paraId="43AA287B" w14:textId="05D32005" w:rsidR="001A02EC" w:rsidRDefault="001A02EC" w:rsidP="009340A4">
      <w:pPr>
        <w:spacing w:line="480" w:lineRule="auto"/>
      </w:pPr>
      <w:bookmarkStart w:id="24" w:name="_Hlk101365556"/>
      <w:r>
        <w:t xml:space="preserve">Overall, the 45 clusters </w:t>
      </w:r>
      <w:r w:rsidR="001C175F">
        <w:t>included</w:t>
      </w:r>
      <w:r>
        <w:t xml:space="preserve"> 37,028 individuals (Figure 1.A). Among them 3,252 (1591 men and 1661 women) were excluded because they died or out-migrated during the study period. </w:t>
      </w:r>
      <w:bookmarkStart w:id="25" w:name="_Hlk101365511"/>
      <w:r>
        <w:t xml:space="preserve">Thus, 13,893 </w:t>
      </w:r>
      <w:r>
        <w:lastRenderedPageBreak/>
        <w:t xml:space="preserve">men and 19,883 women were eligible to participate in the AHRI HIV surveillance </w:t>
      </w:r>
      <w:bookmarkStart w:id="26" w:name="_Hlk101207686"/>
      <w:r>
        <w:t>survey round</w:t>
      </w:r>
      <w:bookmarkEnd w:id="26"/>
      <w:r>
        <w:t xml:space="preserve">. </w:t>
      </w:r>
      <w:bookmarkStart w:id="27" w:name="_Hlk101207625"/>
      <w:bookmarkEnd w:id="25"/>
      <w:r>
        <w:t>Among them, 8,188 individuals (24.2%) were not contacted</w:t>
      </w:r>
      <w:r w:rsidR="00587DC7">
        <w:t xml:space="preserve"> because they were not at home during the survey round visit</w:t>
      </w:r>
      <w:r>
        <w:t xml:space="preserve"> and were </w:t>
      </w:r>
      <w:r w:rsidR="00587DC7">
        <w:t xml:space="preserve">thus </w:t>
      </w:r>
      <w:r>
        <w:t xml:space="preserve">excluded from our analysis. </w:t>
      </w:r>
      <w:bookmarkEnd w:id="24"/>
      <w:bookmarkEnd w:id="27"/>
      <w:r>
        <w:t>Compared to those contacted, non-contacted individuals were more likely to be men, younger (among men), older (among women), to report no education or primary education and not currently working (Table S1, supplementary material).</w:t>
      </w:r>
    </w:p>
    <w:p w14:paraId="71DFD564" w14:textId="49E7A313" w:rsidR="001A02EC" w:rsidRDefault="001A02EC" w:rsidP="009340A4">
      <w:pPr>
        <w:spacing w:line="480" w:lineRule="auto"/>
      </w:pPr>
      <w:r>
        <w:t xml:space="preserve">Among the 25,588 contacted individuals, 61.3% have participated </w:t>
      </w:r>
      <w:r w:rsidR="001C175F">
        <w:t xml:space="preserve">in </w:t>
      </w:r>
      <w:r>
        <w:t>the AHRI HIV surveillance and were offered participat</w:t>
      </w:r>
      <w:r w:rsidR="001C175F">
        <w:t>ion</w:t>
      </w:r>
      <w:r>
        <w:t xml:space="preserve"> in the survey (Figure 1.B). Participation </w:t>
      </w:r>
      <w:r w:rsidR="001C175F">
        <w:t>in</w:t>
      </w:r>
      <w:r>
        <w:t xml:space="preserve"> the AHRI data surveillance was higher in the CFI arms compared to non-CFI arms (67.8% vs 58.1%, p&lt;0.001).</w:t>
      </w:r>
    </w:p>
    <w:p w14:paraId="330A4DF2" w14:textId="77777777" w:rsidR="001A02EC" w:rsidRDefault="001A02EC" w:rsidP="009340A4">
      <w:pPr>
        <w:spacing w:line="480" w:lineRule="auto"/>
      </w:pPr>
      <w:r w:rsidRPr="00FB54C9">
        <w:t xml:space="preserve">Among the 25,588 contacted individuals, </w:t>
      </w:r>
      <w:r>
        <w:t>795</w:t>
      </w:r>
      <w:r w:rsidRPr="00FB54C9">
        <w:t xml:space="preserve"> individuals </w:t>
      </w:r>
      <w:r>
        <w:t>were removed due to</w:t>
      </w:r>
      <w:r w:rsidRPr="00FB54C9">
        <w:t xml:space="preserve"> missing data</w:t>
      </w:r>
      <w:r>
        <w:t xml:space="preserve"> (</w:t>
      </w:r>
      <w:r w:rsidRPr="00FB54C9">
        <w:t>testing uptake or demographic characteristics</w:t>
      </w:r>
      <w:r>
        <w:t>)</w:t>
      </w:r>
      <w:r w:rsidRPr="00FB54C9">
        <w:t xml:space="preserve">. </w:t>
      </w:r>
      <w:r>
        <w:t>Therefore</w:t>
      </w:r>
      <w:r w:rsidRPr="00FB54C9">
        <w:t>, 24,</w:t>
      </w:r>
      <w:r>
        <w:t>793</w:t>
      </w:r>
      <w:r w:rsidRPr="00FB54C9">
        <w:t xml:space="preserve"> individuals have been included in our analysis on testing uptake (9,</w:t>
      </w:r>
      <w:r>
        <w:t>290</w:t>
      </w:r>
      <w:r w:rsidRPr="00FB54C9">
        <w:t xml:space="preserve"> </w:t>
      </w:r>
      <w:r>
        <w:t xml:space="preserve">men </w:t>
      </w:r>
      <w:r w:rsidRPr="00FB54C9">
        <w:t>and 15,</w:t>
      </w:r>
      <w:r>
        <w:t>503</w:t>
      </w:r>
      <w:r w:rsidRPr="00FB54C9">
        <w:t xml:space="preserve"> women).</w:t>
      </w:r>
    </w:p>
    <w:p w14:paraId="2D5D170E" w14:textId="6C1D0894" w:rsidR="001A02EC" w:rsidRDefault="001A02EC" w:rsidP="009340A4">
      <w:pPr>
        <w:spacing w:line="480" w:lineRule="auto"/>
      </w:pPr>
      <w:r>
        <w:t xml:space="preserve">42.4% </w:t>
      </w:r>
      <w:r w:rsidR="002E60D2">
        <w:t xml:space="preserve">of our sample were </w:t>
      </w:r>
      <w:r>
        <w:t xml:space="preserve">over 40-years old. Women were older than men (average age: 42 vs 35 years old, p&lt;0.001) and they were also less likely to be single than men (28.8% vs 42.3%, p&lt;0.001) (table 1). Most of our sample lived in a rural area (59.3%) and a quarter (23.5%) lived more than 4 kilometres from the nearest clinic. </w:t>
      </w:r>
    </w:p>
    <w:p w14:paraId="6CCDBFEE" w14:textId="724D3AB9" w:rsidR="00520DCC" w:rsidRDefault="00520DCC" w:rsidP="009340A4">
      <w:pPr>
        <w:pStyle w:val="Heading2"/>
        <w:spacing w:line="480" w:lineRule="auto"/>
      </w:pPr>
      <w:bookmarkStart w:id="28" w:name="_Hlk101285701"/>
      <w:r>
        <w:t xml:space="preserve">Effect of CFI on existing socio-demographic </w:t>
      </w:r>
      <w:r w:rsidRPr="00F83E4F">
        <w:t>differentials</w:t>
      </w:r>
      <w:r w:rsidR="00D13AB0">
        <w:t xml:space="preserve"> in home-based HIV testing uptake</w:t>
      </w:r>
    </w:p>
    <w:bookmarkEnd w:id="28"/>
    <w:p w14:paraId="16E2CA88" w14:textId="6578652B" w:rsidR="001A02EC" w:rsidRDefault="001A02EC" w:rsidP="009340A4">
      <w:pPr>
        <w:spacing w:after="0" w:line="480" w:lineRule="auto"/>
      </w:pPr>
      <w:r>
        <w:t xml:space="preserve">CFI significantly increased </w:t>
      </w:r>
      <w:r w:rsidR="00341CF4">
        <w:t xml:space="preserve">home-based HIV testing </w:t>
      </w:r>
      <w:r>
        <w:t xml:space="preserve">uptake among both men (39.2% vs 25.2%, p&lt;0.001) and women (45.9% vs 32.0%, p&lt;0.001). </w:t>
      </w:r>
      <w:bookmarkStart w:id="29" w:name="_Hlk101205145"/>
      <w:r w:rsidR="001C175F">
        <w:t>H</w:t>
      </w:r>
      <w:r w:rsidR="00341CF4">
        <w:t xml:space="preserve">ome-based HIV testing </w:t>
      </w:r>
      <w:r>
        <w:t>uptake was higher among women compared to men in the non-CFI arms (32.0% vs. 25.2%, p&lt;0.001); however, the absolute percentage increase for uptake in the CFI arm was similar (13.9%</w:t>
      </w:r>
      <w:r w:rsidR="00AF76DC">
        <w:t xml:space="preserve">, </w:t>
      </w:r>
      <w:r w:rsidR="00AF76DC" w:rsidRPr="00AF76DC">
        <w:t>95%</w:t>
      </w:r>
      <w:r w:rsidR="00AF76DC">
        <w:t xml:space="preserve"> </w:t>
      </w:r>
      <w:r w:rsidR="00AF76DC" w:rsidRPr="00AF76DC">
        <w:t>C</w:t>
      </w:r>
      <w:r w:rsidR="00AF76DC">
        <w:t xml:space="preserve">onfidence </w:t>
      </w:r>
      <w:r w:rsidR="00AF76DC" w:rsidRPr="00AF76DC">
        <w:t>I</w:t>
      </w:r>
      <w:r w:rsidR="00AF76DC">
        <w:t>nterval:</w:t>
      </w:r>
      <w:r w:rsidR="00AF76DC" w:rsidRPr="00AF76DC">
        <w:t xml:space="preserve"> </w:t>
      </w:r>
      <w:r>
        <w:t>[11.2–16.6] vs. 14.0%</w:t>
      </w:r>
      <w:r w:rsidR="00AF76DC">
        <w:t xml:space="preserve"> </w:t>
      </w:r>
      <w:r>
        <w:t>[11.6–16.4] among women and men, respectively) resulting in an a</w:t>
      </w:r>
      <w:r w:rsidRPr="00C85EE6">
        <w:t xml:space="preserve">bsolute </w:t>
      </w:r>
      <w:bookmarkStart w:id="30" w:name="_Hlk101359395"/>
      <w:r w:rsidRPr="00C85EE6">
        <w:t xml:space="preserve">differential </w:t>
      </w:r>
      <w:r>
        <w:t>i</w:t>
      </w:r>
      <w:r w:rsidRPr="00C85EE6">
        <w:t>ncrease</w:t>
      </w:r>
      <w:r>
        <w:t xml:space="preserve"> </w:t>
      </w:r>
      <w:bookmarkEnd w:id="30"/>
      <w:r>
        <w:t xml:space="preserve">between women and men close to 0 (0.08% [-3.6–3.7]). </w:t>
      </w:r>
      <w:bookmarkEnd w:id="29"/>
      <w:r w:rsidR="00D25917">
        <w:t>That is</w:t>
      </w:r>
      <w:r>
        <w:t xml:space="preserve">, the CFI did not significantly increase </w:t>
      </w:r>
      <w:r w:rsidRPr="00B07245">
        <w:t xml:space="preserve">the existing gender difference in </w:t>
      </w:r>
      <w:r w:rsidR="00341CF4">
        <w:t xml:space="preserve">home-based HIV testing </w:t>
      </w:r>
      <w:r>
        <w:t>uptake observed in the non-CFI arm.</w:t>
      </w:r>
    </w:p>
    <w:p w14:paraId="15809049" w14:textId="01D228D0" w:rsidR="001A02EC" w:rsidRDefault="001A02EC" w:rsidP="009340A4">
      <w:pPr>
        <w:spacing w:after="0" w:line="480" w:lineRule="auto"/>
        <w:rPr>
          <w:rFonts w:eastAsia="Times New Roman"/>
          <w:color w:val="000000"/>
          <w:lang w:eastAsia="en-GB"/>
        </w:rPr>
      </w:pPr>
      <w:r>
        <w:lastRenderedPageBreak/>
        <w:t xml:space="preserve">The difference in </w:t>
      </w:r>
      <w:r w:rsidR="00341CF4">
        <w:t xml:space="preserve">home-based HIV testing </w:t>
      </w:r>
      <w:r>
        <w:t xml:space="preserve">uptake between young and older </w:t>
      </w:r>
      <w:r w:rsidR="00433090">
        <w:t xml:space="preserve">and </w:t>
      </w:r>
      <w:r>
        <w:t xml:space="preserve">the difference in </w:t>
      </w:r>
      <w:r w:rsidR="00341CF4">
        <w:t xml:space="preserve">home-based HIV testing </w:t>
      </w:r>
      <w:r>
        <w:t xml:space="preserve">uptake between </w:t>
      </w:r>
      <w:r w:rsidR="001C175F">
        <w:t xml:space="preserve">more </w:t>
      </w:r>
      <w:r>
        <w:t xml:space="preserve">and less educated men and women increased in the CFI arm compared to the non-CFI </w:t>
      </w:r>
      <w:r w:rsidR="00433090">
        <w:t xml:space="preserve">arm </w:t>
      </w:r>
      <w:r>
        <w:t xml:space="preserve">among both men and women. In the non-CFI arm, </w:t>
      </w:r>
      <w:r w:rsidR="00341CF4">
        <w:t xml:space="preserve">home-based HIV testing </w:t>
      </w:r>
      <w:r>
        <w:t xml:space="preserve">uptake was higher among under 20s in both men and women compared to those 40 years old and over (Figure </w:t>
      </w:r>
      <w:r w:rsidR="00433090">
        <w:t>2</w:t>
      </w:r>
      <w:r>
        <w:t>), whereas the CFI arm increased the difference by 7.4 points (</w:t>
      </w:r>
      <w:r w:rsidR="00AF76DC">
        <w:t xml:space="preserve">95%CI </w:t>
      </w:r>
      <w:r>
        <w:t>[1.5–13.3]) among men and</w:t>
      </w:r>
      <w:r w:rsidRPr="0459DA95">
        <w:rPr>
          <w:rFonts w:eastAsia="Times New Roman"/>
          <w:b/>
          <w:bCs/>
          <w:color w:val="000000" w:themeColor="text1"/>
          <w:lang w:eastAsia="en-GB"/>
        </w:rPr>
        <w:t xml:space="preserve"> </w:t>
      </w:r>
      <w:r w:rsidRPr="0459DA95">
        <w:rPr>
          <w:rFonts w:eastAsia="Times New Roman"/>
          <w:color w:val="000000" w:themeColor="text1"/>
          <w:lang w:eastAsia="en-GB"/>
        </w:rPr>
        <w:t xml:space="preserve">10.1 points </w:t>
      </w:r>
      <w:r>
        <w:t>[</w:t>
      </w:r>
      <w:r w:rsidRPr="0459DA95">
        <w:rPr>
          <w:rFonts w:eastAsia="Times New Roman"/>
          <w:color w:val="000000" w:themeColor="text1"/>
          <w:lang w:eastAsia="en-GB"/>
        </w:rPr>
        <w:t>4.5–15.6] among women (</w:t>
      </w:r>
      <w:r>
        <w:t>table 2 and 3)</w:t>
      </w:r>
      <w:r w:rsidRPr="0459DA95">
        <w:rPr>
          <w:rFonts w:eastAsia="Times New Roman"/>
          <w:color w:val="000000" w:themeColor="text1"/>
          <w:lang w:eastAsia="en-GB"/>
        </w:rPr>
        <w:t xml:space="preserve">. Uptake in the non-CFI arm was higher among men and women with no education or just primary education compared to those with higher education </w:t>
      </w:r>
      <w:r>
        <w:t>(among men, 33.1% vs 12.3%, p&lt;0.001, and among women, 41.9% vs 14.6%, p&lt;0.001)</w:t>
      </w:r>
      <w:r w:rsidRPr="0459DA95">
        <w:rPr>
          <w:rFonts w:eastAsia="Times New Roman"/>
          <w:color w:val="000000" w:themeColor="text1"/>
          <w:lang w:eastAsia="en-GB"/>
        </w:rPr>
        <w:t xml:space="preserve"> and this difference increased by 11.8 points </w:t>
      </w:r>
      <w:r>
        <w:t>[</w:t>
      </w:r>
      <w:r w:rsidRPr="0459DA95">
        <w:rPr>
          <w:rFonts w:eastAsia="Times New Roman"/>
          <w:color w:val="000000" w:themeColor="text1"/>
          <w:lang w:eastAsia="en-GB"/>
        </w:rPr>
        <w:t xml:space="preserve">6.4–17.3] among men and 7.2 points </w:t>
      </w:r>
      <w:r>
        <w:t>[</w:t>
      </w:r>
      <w:r w:rsidRPr="0459DA95">
        <w:rPr>
          <w:rFonts w:eastAsia="Times New Roman"/>
          <w:color w:val="000000" w:themeColor="text1"/>
          <w:lang w:eastAsia="en-GB"/>
        </w:rPr>
        <w:t>3.0–11.4] among women.</w:t>
      </w:r>
    </w:p>
    <w:p w14:paraId="002C01F0" w14:textId="3FDEA76C" w:rsidR="001A02EC" w:rsidRDefault="001A02EC" w:rsidP="009340A4">
      <w:pPr>
        <w:spacing w:after="0" w:line="480" w:lineRule="auto"/>
        <w:rPr>
          <w:rFonts w:eastAsia="Times New Roman" w:cs="Times New Roman"/>
          <w:color w:val="000000"/>
          <w:lang w:eastAsia="en-GB"/>
        </w:rPr>
      </w:pPr>
      <w:r>
        <w:t xml:space="preserve">Among men, marital and employment status difference in </w:t>
      </w:r>
      <w:r w:rsidR="00341CF4">
        <w:t xml:space="preserve">home-based HIV testing </w:t>
      </w:r>
      <w:r>
        <w:t>uptake increased in the CFI arm compared to the non-CFI one. Increase in the CFI arm was higher among single compared to those married or in a union (</w:t>
      </w:r>
      <w:r w:rsidRPr="6F0D3FE4">
        <w:rPr>
          <w:rFonts w:eastAsia="Times New Roman" w:cs="Times New Roman"/>
          <w:color w:val="000000" w:themeColor="text1"/>
          <w:lang w:eastAsia="en-GB"/>
        </w:rPr>
        <w:t>18.4%</w:t>
      </w:r>
      <w:r w:rsidR="00AF76DC">
        <w:rPr>
          <w:rFonts w:eastAsia="Times New Roman" w:cs="Times New Roman"/>
          <w:color w:val="000000" w:themeColor="text1"/>
          <w:lang w:eastAsia="en-GB"/>
        </w:rPr>
        <w:t>,</w:t>
      </w:r>
      <w:r w:rsidRPr="6F0D3FE4">
        <w:rPr>
          <w:rFonts w:eastAsia="Times New Roman" w:cs="Times New Roman"/>
          <w:color w:val="000000" w:themeColor="text1"/>
          <w:lang w:eastAsia="en-GB"/>
        </w:rPr>
        <w:t xml:space="preserve"> </w:t>
      </w:r>
      <w:r w:rsidR="00AF76DC">
        <w:rPr>
          <w:rFonts w:eastAsia="Times New Roman" w:cs="Times New Roman"/>
          <w:color w:val="000000" w:themeColor="text1"/>
          <w:lang w:eastAsia="en-GB"/>
        </w:rPr>
        <w:t>95%</w:t>
      </w:r>
      <w:r w:rsidR="0082144D">
        <w:rPr>
          <w:rFonts w:eastAsia="Times New Roman" w:cs="Times New Roman"/>
          <w:color w:val="000000" w:themeColor="text1"/>
          <w:lang w:eastAsia="en-GB"/>
        </w:rPr>
        <w:t>CI</w:t>
      </w:r>
      <w:r w:rsidR="0082144D">
        <w:t xml:space="preserve"> [</w:t>
      </w:r>
      <w:r>
        <w:t>14.</w:t>
      </w:r>
      <w:r w:rsidRPr="6F0D3FE4">
        <w:rPr>
          <w:rFonts w:eastAsia="Times New Roman" w:cs="Times New Roman"/>
          <w:color w:val="000000" w:themeColor="text1"/>
          <w:lang w:eastAsia="en-GB"/>
        </w:rPr>
        <w:t xml:space="preserve">7–22.1] vs 5.5% </w:t>
      </w:r>
      <w:r>
        <w:t>[-2.0</w:t>
      </w:r>
      <w:r w:rsidRPr="6F0D3FE4">
        <w:rPr>
          <w:rFonts w:eastAsia="Times New Roman" w:cs="Times New Roman"/>
          <w:color w:val="000000" w:themeColor="text1"/>
          <w:lang w:eastAsia="en-GB"/>
        </w:rPr>
        <w:t xml:space="preserve">–13.0] respectively, table S1). Testing uptake in the non-CFI arm was higher among men not currently working (29.8% vs 14.6%, p&lt;0.001) and this difference increased by 15.7 points </w:t>
      </w:r>
      <w:r w:rsidR="00AF76DC">
        <w:t>[</w:t>
      </w:r>
      <w:r w:rsidR="00AF76DC" w:rsidRPr="6F0D3FE4">
        <w:rPr>
          <w:rFonts w:eastAsia="Times New Roman" w:cs="Times New Roman"/>
          <w:color w:val="000000" w:themeColor="text1"/>
          <w:lang w:eastAsia="en-GB"/>
        </w:rPr>
        <w:t>12.8–18.6]</w:t>
      </w:r>
      <w:r w:rsidR="00AF76DC">
        <w:rPr>
          <w:rFonts w:eastAsia="Times New Roman" w:cs="Times New Roman"/>
          <w:color w:val="000000" w:themeColor="text1"/>
          <w:lang w:eastAsia="en-GB"/>
        </w:rPr>
        <w:t xml:space="preserve"> </w:t>
      </w:r>
      <w:r w:rsidRPr="6F0D3FE4">
        <w:rPr>
          <w:rFonts w:eastAsia="Times New Roman" w:cs="Times New Roman"/>
          <w:color w:val="000000" w:themeColor="text1"/>
          <w:lang w:eastAsia="en-GB"/>
        </w:rPr>
        <w:t xml:space="preserve">in the CFI arm. Testing </w:t>
      </w:r>
      <w:r w:rsidR="00F83E4F" w:rsidRPr="00F83E4F">
        <w:t>differentials</w:t>
      </w:r>
      <w:r w:rsidR="00F83E4F">
        <w:t xml:space="preserve"> </w:t>
      </w:r>
      <w:r w:rsidRPr="6F0D3FE4">
        <w:rPr>
          <w:rFonts w:eastAsia="Times New Roman" w:cs="Times New Roman"/>
          <w:color w:val="000000" w:themeColor="text1"/>
          <w:lang w:eastAsia="en-GB"/>
        </w:rPr>
        <w:t xml:space="preserve">between men currently working and those who did not was also higher in the CFI arm (6.9 points [3.3–10.5]). </w:t>
      </w:r>
    </w:p>
    <w:p w14:paraId="3352F741" w14:textId="77777777" w:rsidR="001A02EC" w:rsidRDefault="001A02EC" w:rsidP="009340A4">
      <w:pPr>
        <w:spacing w:line="480" w:lineRule="auto"/>
      </w:pPr>
      <w:r>
        <w:rPr>
          <w:rFonts w:eastAsia="Times New Roman" w:cs="Times New Roman"/>
          <w:color w:val="000000"/>
          <w:lang w:eastAsia="en-GB"/>
        </w:rPr>
        <w:t>I</w:t>
      </w:r>
      <w:r>
        <w:t>ncrease in CFI arm was similar for h</w:t>
      </w:r>
      <w:r w:rsidRPr="00AB416E">
        <w:t>ousehold assets index</w:t>
      </w:r>
      <w:r>
        <w:t>, area type and distance from the nearest clinic among both men and women.</w:t>
      </w:r>
    </w:p>
    <w:p w14:paraId="10D3282C" w14:textId="3B1236AF" w:rsidR="001A02EC" w:rsidRPr="00AA2AA5" w:rsidRDefault="00D13AB0" w:rsidP="009340A4">
      <w:pPr>
        <w:pStyle w:val="Heading2"/>
        <w:spacing w:line="480" w:lineRule="auto"/>
      </w:pPr>
      <w:bookmarkStart w:id="31" w:name="_Hlk101285722"/>
      <w:r>
        <w:t>Effect of CFI on socio-demographic characteristics</w:t>
      </w:r>
      <w:r w:rsidR="001D2466">
        <w:t xml:space="preserve"> of home-based HIV testing acceptors</w:t>
      </w:r>
    </w:p>
    <w:p w14:paraId="16D5162E" w14:textId="0AC8A581" w:rsidR="004B2B1B" w:rsidRDefault="001A02EC" w:rsidP="009340A4">
      <w:pPr>
        <w:spacing w:after="0" w:line="480" w:lineRule="auto"/>
      </w:pPr>
      <w:bookmarkStart w:id="32" w:name="_Hlk101285902"/>
      <w:bookmarkEnd w:id="31"/>
      <w:r>
        <w:t>Figure 3 presents the relative risk factors with HIV testing uptake in each arm (CFI and non-CFI) by sex and the individual interaction p-value for each interaction term.</w:t>
      </w:r>
      <w:r w:rsidR="00714EA7">
        <w:t xml:space="preserve"> </w:t>
      </w:r>
      <w:r w:rsidR="009D4627" w:rsidRPr="009D4627">
        <w:t xml:space="preserve">Risk ratios indicate groups of individuals more likely to accept the home-based HIV testing, while the interaction term indicate is there is a significant relative change between the CFI group compared to the non-CFI. </w:t>
      </w:r>
      <w:bookmarkStart w:id="33" w:name="_Hlk101285975"/>
      <w:r w:rsidR="004B2B1B" w:rsidRPr="00714EA7">
        <w:t xml:space="preserve">The </w:t>
      </w:r>
      <w:r w:rsidR="009D4627" w:rsidRPr="00714EA7">
        <w:t>latter</w:t>
      </w:r>
      <w:r w:rsidR="004B2B1B" w:rsidRPr="00714EA7">
        <w:t xml:space="preserve"> is of interest </w:t>
      </w:r>
      <w:r w:rsidR="009D4627">
        <w:t>for</w:t>
      </w:r>
      <w:r w:rsidR="004B2B1B" w:rsidRPr="00714EA7">
        <w:t xml:space="preserve"> us as it shows whether the characteristics of </w:t>
      </w:r>
      <w:r w:rsidR="00714EA7" w:rsidRPr="00714EA7">
        <w:t xml:space="preserve">individuals accepting the </w:t>
      </w:r>
      <w:r w:rsidR="004B2B1B" w:rsidRPr="00714EA7">
        <w:t>home-based HIV testing are similar or not without or without CFI.</w:t>
      </w:r>
      <w:bookmarkEnd w:id="33"/>
    </w:p>
    <w:bookmarkEnd w:id="32"/>
    <w:p w14:paraId="23385585" w14:textId="77777777" w:rsidR="004B2B1B" w:rsidRDefault="004B2B1B" w:rsidP="009340A4">
      <w:pPr>
        <w:spacing w:after="0" w:line="480" w:lineRule="auto"/>
      </w:pPr>
    </w:p>
    <w:p w14:paraId="3F5EB582" w14:textId="5E6E5A58" w:rsidR="001A02EC" w:rsidRDefault="001A02EC" w:rsidP="009340A4">
      <w:pPr>
        <w:spacing w:after="0" w:line="480" w:lineRule="auto"/>
      </w:pPr>
      <w:r>
        <w:t xml:space="preserve">Among men, no individual and global interaction terms were significant to the 0.05 threshold which indicates that the CFI arm does not modify the association between testing uptake and </w:t>
      </w:r>
      <w:r w:rsidR="009D67C9">
        <w:t>socio-demographic</w:t>
      </w:r>
      <w:r>
        <w:t xml:space="preserve"> characteristics (for the individual p-value see Figure 3 and for the global p-value, see Table </w:t>
      </w:r>
      <w:r w:rsidR="009340A4">
        <w:t>4</w:t>
      </w:r>
      <w:r>
        <w:t xml:space="preserve">). Therefore, the </w:t>
      </w:r>
      <w:r w:rsidR="009D67C9">
        <w:t>socio-demographic</w:t>
      </w:r>
      <w:r>
        <w:t xml:space="preserve"> profile of </w:t>
      </w:r>
      <w:r w:rsidR="00341CF4">
        <w:t xml:space="preserve">home-based HIV testing </w:t>
      </w:r>
      <w:r>
        <w:t>acceptor were similar between men in the CFI and those in the non-CFI one. The CFI had a higher effect on testing uptake among men living in peri-urban areas but not significantly (vs those living in rural areas R</w:t>
      </w:r>
      <w:r w:rsidR="0082144D">
        <w:t>isk Ratio (RR)</w:t>
      </w:r>
      <w:r>
        <w:t xml:space="preserve"> 1.24</w:t>
      </w:r>
      <w:r w:rsidR="0082144D">
        <w:t>,</w:t>
      </w:r>
      <w:r>
        <w:t xml:space="preserve"> </w:t>
      </w:r>
      <w:r w:rsidR="0082144D">
        <w:t>95%</w:t>
      </w:r>
      <w:r>
        <w:t>CI</w:t>
      </w:r>
      <w:r w:rsidR="0082144D">
        <w:t xml:space="preserve"> </w:t>
      </w:r>
      <w:r>
        <w:t>[0.98-1.56], p=0.070).</w:t>
      </w:r>
    </w:p>
    <w:p w14:paraId="2F660655" w14:textId="4F6C3D96" w:rsidR="001A02EC" w:rsidRDefault="001A02EC" w:rsidP="009340A4">
      <w:pPr>
        <w:spacing w:after="0" w:line="480" w:lineRule="auto"/>
      </w:pPr>
    </w:p>
    <w:p w14:paraId="780DB701" w14:textId="25384573" w:rsidR="001A02EC" w:rsidRDefault="00714EA7" w:rsidP="009340A4">
      <w:pPr>
        <w:spacing w:after="0" w:line="480" w:lineRule="auto"/>
      </w:pPr>
      <w:bookmarkStart w:id="34" w:name="_Hlk101281271"/>
      <w:r>
        <w:t xml:space="preserve">Among women, the CFI arm had a higher effect on testing uptake among those 30-39 years old (vs under 20, RR 1.15, 95%CI [0.94-1.41], p=0.166), those with a secondary education (vs no or primary education, RR </w:t>
      </w:r>
      <w:r w:rsidRPr="00C12250">
        <w:t>1.12</w:t>
      </w:r>
      <w:r>
        <w:t xml:space="preserve"> </w:t>
      </w:r>
      <w:r w:rsidRPr="00C12250">
        <w:t>[1.03-1.23]</w:t>
      </w:r>
      <w:r>
        <w:t>, p=</w:t>
      </w:r>
      <w:r w:rsidRPr="00C12250">
        <w:t>0.0</w:t>
      </w:r>
      <w:r>
        <w:t xml:space="preserve">12) and among women who were employed (RR </w:t>
      </w:r>
      <w:r w:rsidRPr="00C12250">
        <w:t>1.2</w:t>
      </w:r>
      <w:r>
        <w:t xml:space="preserve">4 </w:t>
      </w:r>
      <w:r w:rsidRPr="00C12250">
        <w:t>[1.0</w:t>
      </w:r>
      <w:r>
        <w:t>5</w:t>
      </w:r>
      <w:r w:rsidRPr="00C12250">
        <w:t>-1.</w:t>
      </w:r>
      <w:r>
        <w:t>47</w:t>
      </w:r>
      <w:r w:rsidRPr="00C12250">
        <w:t>]</w:t>
      </w:r>
      <w:r>
        <w:t xml:space="preserve">, p=0.012) [Figure 3, table </w:t>
      </w:r>
      <w:r w:rsidR="009340A4">
        <w:t>4</w:t>
      </w:r>
      <w:r>
        <w:t>].</w:t>
      </w:r>
      <w:r w:rsidR="001A02EC">
        <w:t xml:space="preserve"> </w:t>
      </w:r>
      <w:bookmarkEnd w:id="34"/>
      <w:r w:rsidR="001A02EC">
        <w:t xml:space="preserve">In the multivariate model, interaction between CFI arm with age and employment status were still </w:t>
      </w:r>
      <w:r>
        <w:t xml:space="preserve">globally </w:t>
      </w:r>
      <w:r w:rsidR="001A02EC">
        <w:t xml:space="preserve">significantly associated but the level of education was not (Table </w:t>
      </w:r>
      <w:r w:rsidR="009340A4">
        <w:t>4</w:t>
      </w:r>
      <w:r w:rsidR="001A02EC">
        <w:t>).</w:t>
      </w:r>
    </w:p>
    <w:p w14:paraId="75FFDB55" w14:textId="77777777" w:rsidR="00AC4AD4" w:rsidRDefault="00AC4AD4" w:rsidP="009340A4">
      <w:pPr>
        <w:spacing w:after="0" w:line="480" w:lineRule="auto"/>
      </w:pPr>
    </w:p>
    <w:p w14:paraId="4132902F" w14:textId="5428EB9F" w:rsidR="001A02EC" w:rsidRDefault="001A02EC" w:rsidP="009340A4">
      <w:pPr>
        <w:spacing w:after="0" w:line="480" w:lineRule="auto"/>
      </w:pPr>
      <w:bookmarkStart w:id="35" w:name="_Hlk101279766"/>
      <w:r>
        <w:t xml:space="preserve">When considering both men and women on the same model, the CFI arm had a lower effect on testing uptake among women close to the 0.05 threshold (vs men, RR </w:t>
      </w:r>
      <w:r w:rsidRPr="00FB56E8">
        <w:t>0.92</w:t>
      </w:r>
      <w:r>
        <w:t xml:space="preserve"> [</w:t>
      </w:r>
      <w:r w:rsidRPr="00FB56E8">
        <w:t>0.84</w:t>
      </w:r>
      <w:r>
        <w:t>–</w:t>
      </w:r>
      <w:r w:rsidRPr="00FB56E8">
        <w:t>1.01</w:t>
      </w:r>
      <w:r>
        <w:t>], p=0.0</w:t>
      </w:r>
      <w:r w:rsidR="00BD7CE4">
        <w:t>95</w:t>
      </w:r>
      <w:r>
        <w:t>)</w:t>
      </w:r>
      <w:r w:rsidR="00BD7CE4">
        <w:t xml:space="preserve"> (Table S3)</w:t>
      </w:r>
      <w:r>
        <w:t>.</w:t>
      </w:r>
    </w:p>
    <w:bookmarkEnd w:id="35"/>
    <w:p w14:paraId="2B5B0AF9" w14:textId="41BE1891" w:rsidR="001A02EC" w:rsidRDefault="001A02EC" w:rsidP="009340A4">
      <w:pPr>
        <w:pStyle w:val="Heading1"/>
        <w:spacing w:line="480" w:lineRule="auto"/>
      </w:pPr>
      <w:r>
        <w:t>Discussion</w:t>
      </w:r>
    </w:p>
    <w:p w14:paraId="7FD282CD" w14:textId="39E676A3" w:rsidR="00C715DB" w:rsidRPr="00C715DB" w:rsidRDefault="00C715DB" w:rsidP="009340A4">
      <w:pPr>
        <w:spacing w:line="480" w:lineRule="auto"/>
      </w:pPr>
      <w:r>
        <w:t>For this study, we considered both the absolute and relative effect of CFI on existing socio-demographic inequalit</w:t>
      </w:r>
      <w:r w:rsidR="00796F9D">
        <w:t>ies</w:t>
      </w:r>
      <w:r>
        <w:t xml:space="preserve"> for home-based HIV testing uptake</w:t>
      </w:r>
      <w:r w:rsidRPr="00C715DB">
        <w:t xml:space="preserve"> </w:t>
      </w:r>
      <w:r>
        <w:t xml:space="preserve">in a rural context in South Africa. Our results show that a CFI does </w:t>
      </w:r>
      <w:r w:rsidR="00857902">
        <w:t>increase</w:t>
      </w:r>
      <w:r>
        <w:t xml:space="preserve"> home-based HIV testing overall uptake, but </w:t>
      </w:r>
      <w:r w:rsidR="00B83A51">
        <w:t>individuals accepting the test</w:t>
      </w:r>
      <w:r w:rsidR="00796F9D">
        <w:t>ing offer</w:t>
      </w:r>
      <w:r w:rsidR="00B83A51">
        <w:t xml:space="preserve"> share the same socio-demographic characteristics regardless of the CFI introduction. </w:t>
      </w:r>
      <w:r w:rsidR="00B83A51" w:rsidRPr="008D6510">
        <w:t xml:space="preserve">In other words, a CFI accentuates existing </w:t>
      </w:r>
      <w:r w:rsidR="00B83A51">
        <w:t xml:space="preserve">differences in </w:t>
      </w:r>
      <w:r w:rsidR="00796F9D">
        <w:t xml:space="preserve">that </w:t>
      </w:r>
      <w:r w:rsidR="00B83A51" w:rsidRPr="008D6510">
        <w:t>health behaviour</w:t>
      </w:r>
      <w:r w:rsidR="00B83A51">
        <w:t xml:space="preserve"> </w:t>
      </w:r>
      <w:r w:rsidR="00796F9D">
        <w:t xml:space="preserve">adoption </w:t>
      </w:r>
      <w:r w:rsidR="00B83A51" w:rsidRPr="008D6510">
        <w:t>between socio-demographic groups rather than correcting them</w:t>
      </w:r>
      <w:r w:rsidR="00B83A51">
        <w:t>.</w:t>
      </w:r>
    </w:p>
    <w:p w14:paraId="25535251" w14:textId="19E585DF" w:rsidR="001A02EC" w:rsidRDefault="001A02EC" w:rsidP="009340A4">
      <w:pPr>
        <w:spacing w:line="480" w:lineRule="auto"/>
      </w:pPr>
      <w:r>
        <w:lastRenderedPageBreak/>
        <w:t xml:space="preserve">In our study, the sub-populations more likely to respond to the CFI were also those more likely to accept the home-based HIV testing without CFI. HIV testing uptake was higher among younger or less educated, in both men and women, and among single or unemployed men. In addition, these groups have a higher absolute </w:t>
      </w:r>
      <w:r w:rsidR="00341CF4">
        <w:t xml:space="preserve">home-based HIV testing </w:t>
      </w:r>
      <w:r>
        <w:t xml:space="preserve">uptake increase compared to other groups (i.e. older, more educated individuals, married or employed men). </w:t>
      </w:r>
      <w:bookmarkStart w:id="36" w:name="_Hlk101173443"/>
      <w:r>
        <w:t xml:space="preserve">Although older, higher educated individuals, married or employed men were less likely to accept the testing offered in our study, </w:t>
      </w:r>
      <w:r w:rsidR="00FC2DB0">
        <w:t>previous research</w:t>
      </w:r>
      <w:r>
        <w:t xml:space="preserve"> suggests that these groups have better access to HIV testing in South Africa </w:t>
      </w:r>
      <w:r>
        <w:fldChar w:fldCharType="begin"/>
      </w:r>
      <w:r w:rsidR="00D40108">
        <w:instrText xml:space="preserve"> ADDIN ZOTERO_ITEM CSL_CITATION {"citationID":"rdzPqGjl","properties":{"unsorted":true,"formattedCitation":"(23,24)","plainCitation":"(23,24)","noteIndex":0},"citationItems":[{"id":4730,"uris":["http://zotero.org/users/1653264/items/RC7VUN2V"],"itemData":{"id":4730,"type":"report","event-place":"Pretoria, South Africa, and Rockville, Maryland, USA: NDoH, Stats SA, SAMRC, and ICF","publisher-place":"Pretoria, South Africa, and Rockville, Maryland, USA: NDoH, Stats SA, SAMRC, and ICF","title":"South Africa Demographic and Health Survey 2016","author":[{"family":"National Department of Health [South Africa]","given":""},{"family":"Statistics South Africa","given":""},{"family":"South African Medical Research Council","given":""},{"family":"ICF","given":""}],"issued":{"date-parts":[["2019"]]}},"label":"page"},{"id":4907,"uris":["http://zotero.org/users/1653264/items/YDRV9SDW"],"itemData":{"id":4907,"type":"article-journal","abstract":"Background\nWith increasing calls for linking HIV-infected individuals to treatment and care via expanded testing, we examined socio-demographic and behavioral characteristics associated with HIV testing among men and women in Soweto, South Africa.\n\nMethods\nWe conducted a cross-sectional household survey involving 1539 men and 1877 women as part of the community-randomized prevention trial Project ACCEPT/HPTN043 between July 2007-October 2007. Multivariable logistic regression models, stratified by sex, assessed factors associated with HIV testing, and then repeated testing.\n\nResults\nMost women (64.8%) and 28.9% of men reported ever having been tested for HIV, among whom 57.9% reported repeated HIV testing. In multivariable analyses, youth and students had a lower odds of HIV testing. Men and women who had conversations about HIV/AIDS with increasing frequency and who had heard about antiretroviral therapy were more likely to report HIV testing, as well as repeated testing. Men who had ≥12 years of education and who were of high socio-economic status; and women who were married, who were of low socio-economic status, and who had children under their care had a higher odds of HIV testing. Women, older individuals, those with higher levels of education, married individuals, and those with children under their care had a higher odds of reporting repeated HIV testing. Uptake of HIV testing was not associated with condom use, having multiple sex partners, and HIV-related stigma.\n\nConclusions\nGiven the low uptake of HIV testing among men and youth, further targeted interventions could facilitate a test and treat strategy among urban South Africans.","container-title":"Journal of acquired immune deficiency syndromes (1999)","DOI":"10.1097/QAI.0b013e318202c82c","ISSN":"1525-4135","issue":"2","journalAbbreviation":"J Acquir Immune Defic Syndr","note":"PMID: 21084993\nPMCID: PMC3137901","page":"151-165","source":"PubMed Central","title":"Who gets tested for HIV in a South African urban township? Implications for test and treat and gender-based prevention interventions","title-short":"Who gets tested for HIV in a South African urban township?","volume":"56","author":[{"family":"Venkatesh","given":"Kartik K"},{"family":"Madiba","given":"Precious"},{"family":"De Bruyn","given":"Guy"},{"family":"Lurie","given":"Mark N"},{"family":"Coates","given":"Thomas J"},{"family":"Gray","given":"Glenda E"}],"issued":{"date-parts":[["2011",2,1]]}},"label":"page"}],"schema":"https://github.com/citation-style-language/schema/raw/master/csl-citation.json"} </w:instrText>
      </w:r>
      <w:r>
        <w:fldChar w:fldCharType="separate"/>
      </w:r>
      <w:r w:rsidR="00A81A45" w:rsidRPr="00A81A45">
        <w:rPr>
          <w:rFonts w:ascii="Calibri" w:hAnsi="Calibri" w:cs="Calibri"/>
        </w:rPr>
        <w:t>(23,24)</w:t>
      </w:r>
      <w:r>
        <w:fldChar w:fldCharType="end"/>
      </w:r>
      <w:r>
        <w:t xml:space="preserve">. These groups may already have access to HIV testing by other means (e.g. voluntary HIV testing centre, testing offered at work) or may already have tested HIV positive and thus have no need to re-test, which could explain the home-based HIV testing refusal even when the testing is promoted with a CFI. </w:t>
      </w:r>
      <w:bookmarkEnd w:id="36"/>
      <w:r w:rsidR="00DE1B2D" w:rsidRPr="00DE1B2D">
        <w:t>Then, if the CFI did not reduce existing inequalities for home-based HIV testing uptake within our population study, the fact that the CFI enable the intervention to reach a higher proportion of the sub-populations known as having low access to other HIV testing services could, in fact, result in fewer inequalities in access to HIV testing</w:t>
      </w:r>
      <w:r w:rsidR="00DE1B2D">
        <w:t>.</w:t>
      </w:r>
    </w:p>
    <w:p w14:paraId="0FFE2A4E" w14:textId="2C5D2276" w:rsidR="00E056C5" w:rsidRDefault="009C3E13" w:rsidP="009340A4">
      <w:pPr>
        <w:spacing w:line="480" w:lineRule="auto"/>
      </w:pPr>
      <w:bookmarkStart w:id="37" w:name="_Hlk101285278"/>
      <w:r>
        <w:t xml:space="preserve">The second important result of our study is to show the </w:t>
      </w:r>
      <w:r w:rsidRPr="008D6510">
        <w:t>accentuat</w:t>
      </w:r>
      <w:r>
        <w:t>ing</w:t>
      </w:r>
      <w:r w:rsidRPr="008D6510">
        <w:t xml:space="preserve"> </w:t>
      </w:r>
      <w:r>
        <w:t xml:space="preserve">effect of CFI on existing socio-demographic differences for </w:t>
      </w:r>
      <w:r w:rsidR="008559DE">
        <w:t>a health behaviour</w:t>
      </w:r>
      <w:r>
        <w:t xml:space="preserve">. </w:t>
      </w:r>
      <w:r w:rsidR="008559DE">
        <w:t xml:space="preserve">This result could be explained by the fact that CFI </w:t>
      </w:r>
      <w:r w:rsidR="008559DE" w:rsidRPr="008559DE">
        <w:t>prompts action</w:t>
      </w:r>
      <w:r w:rsidR="008559DE">
        <w:t xml:space="preserve"> by reducing psychological bias (i.e., present biasedness) but does not remove other existing barriers</w:t>
      </w:r>
      <w:r w:rsidR="00E056C5">
        <w:t xml:space="preserve"> (e.g., perceived benefits) which can explain that some </w:t>
      </w:r>
      <w:r w:rsidR="009C1631">
        <w:t>subgroups of a population are less likely to adopt a health behaviour event in the presence of a CFI.</w:t>
      </w:r>
      <w:r w:rsidR="00E056C5">
        <w:t xml:space="preserve"> Thus, future health intervention should carefully assess the existing barriers and socio-demographic characteristics of the intervention recipients first before introducing a CFI to avoid the increase of existing health inequalities. An alternative approach to avoid an increase in health inequalities would be to offer CFI to targeted sub populations with poorer health outcomes </w:t>
      </w:r>
      <w:r w:rsidR="00E056C5">
        <w:fldChar w:fldCharType="begin"/>
      </w:r>
      <w:r w:rsidR="001966C2">
        <w:instrText xml:space="preserve"> ADDIN ZOTERO_ITEM CSL_CITATION {"citationID":"U8eHQSBP","properties":{"formattedCitation":"(16,38)","plainCitation":"(16,38)","noteIndex":0},"citationItems":[{"id":4850,"uris":["http://zotero.org/users/1653264/items/TXGZDGEE"],"itemData":{"id":4850,"type":"article-journal","abstract":"Objective\nWe explored whether financial incentives have a role in patients′ decisions to accept (purchase) a continuous positive airway pressure (CPAP) device in a healthcare system that requires cost sharing.\n\nDesign\nLongitudinal interventional study.\n\nPatients\nThe group receiving financial incentive (n = 137, 50.8±10.6 years, apnea/hypopnea index (AHI) 38.7±19.9 events/hr) and the control group (n = 121, 50.9±10.3 years, AHI 39.9±22) underwent attendant titration and a two-week adaptation to CPAP. Patients in the control group had a co-payment of $330–660; the financial incentive group paid a subsidized price of $55.\n\nResults\nCPAP acceptance was 43% greater (p = 0.02) in the financial incentive group. CPAP acceptance among the low socioeconomic strata (n = 113) (adjusting for age, gender, BMI, tobacco smoking) was enhanced by financial incentive (OR, 95% CI) (3.43, 1.09–10.85), age (1.1, 1.03–1.17), AHI (&gt;30 vs. &lt;30) (4.87, 1.56–15.2), and by family/friends who had positive experience with CPAP (4.29, 1.05–17.51). Among average/high-income patients (n = 145) CPAP acceptance was affected by AHI (&gt;30 vs. &lt;30) (3.16, 1.14–8.75), living with a partner (8.82, 1.03–75.8) but not by the financial incentive. At one-year follow-up CPAP adherence was similar in the financial incentive and control groups, 35% and 39%, respectively (p = 0.82). Adherence rate was sensitive to education (+yr) (1.28, 1.06–1.55) and AHI (&gt;30 vs. &lt;30) (5.25, 1.34–18.5).\n\nConclusions\nMinimizing cost sharing reduces a barrier for CPAP acceptance among low socioeconomic status patients. Thus, financial incentive should be applied as a policy to encourage CPAP treatment, especially among low socioeconomic strata patients.","container-title":"PLoS ONE","DOI":"10.1371/journal.pone.0033178","ISSN":"1932-6203","issue":"3","journalAbbreviation":"PLoS One","note":"PMID: 22479368\nPMCID: PMC3316560","source":"PubMed Central","title":"Financial Incentive Increases CPAP Acceptance in Patients from Low Socioeconomic Background","URL":"https://www.ncbi.nlm.nih.gov/pmc/articles/PMC3316560/","volume":"7","author":[{"family":"Tarasiuk","given":"Ariel"},{"family":"Reznor","given":"Gally"},{"family":"Greenberg-Dotan","given":"Sari"},{"family":"Reuveni","given":"Haim"}],"accessed":{"date-parts":[["2020",4,20]]},"issued":{"date-parts":[["2012",3,30]]}},"label":"page"},{"id":4732,"uris":["http://zotero.org/users/1653264/items/CBIARXJD"],"itemData":{"id":4732,"type":"article-journal","abstract":"Health inequalities and user financial incentives to encourage health-related behavior change are two topical issues in the health policy discourse, and this article attempts to combine the two; namely, we try to address whether the latter can be used to reduce the former in the contexts of the United Kingdom and the United States. Payments for some aspects of medical adherence may offer a promising way to address, to some extent, inequalities in health and health care in both countries. However, payments for more sustained behavior change, such as that associated with smoking cessation and weight loss, have thus far shown little long-term effect, although more research that tests the effectiveness of different incentive mechanism designs, informed by the findings of behavioral economics, ought to be undertaken. Many practical, political, ethical, and ideological objections can be waged against user financial incentives in health, and this article reviews a number of them, but the justifiability of and limits to these incentives require more academic and public discourse so as to gain a better understanding of the circumstances in which they can legitimately be used.","container-title":"Journal of Health Politics, Policy and Law","ISSN":"0361-6878","issue":"2","language":"eng","note":"number: 2\npublisher: Duke University Press","page":"201-226","source":"eprints.lse.ac.uk","title":"A consideration of user financial incentives to address health inequalities","volume":"37","author":[{"family":"Oliver","given":"Adam"},{"family":"Brown","given":"Lawrence D."}],"issued":{"date-parts":[["2012",4]]}},"label":"page"}],"schema":"https://github.com/citation-style-language/schema/raw/master/csl-citation.json"} </w:instrText>
      </w:r>
      <w:r w:rsidR="00E056C5">
        <w:fldChar w:fldCharType="separate"/>
      </w:r>
      <w:r w:rsidR="001966C2" w:rsidRPr="001966C2">
        <w:rPr>
          <w:rFonts w:ascii="Calibri" w:hAnsi="Calibri" w:cs="Calibri"/>
        </w:rPr>
        <w:t>(16,38)</w:t>
      </w:r>
      <w:r w:rsidR="00E056C5">
        <w:fldChar w:fldCharType="end"/>
      </w:r>
      <w:r w:rsidR="00E056C5">
        <w:t xml:space="preserve">. </w:t>
      </w:r>
    </w:p>
    <w:p w14:paraId="09A22DFA" w14:textId="5009F741" w:rsidR="00AB4DCB" w:rsidRDefault="001A02EC" w:rsidP="0044440D">
      <w:pPr>
        <w:spacing w:line="480" w:lineRule="auto"/>
        <w:rPr>
          <w:highlight w:val="yellow"/>
        </w:rPr>
      </w:pPr>
      <w:bookmarkStart w:id="38" w:name="_Hlk106105619"/>
      <w:r>
        <w:t xml:space="preserve">Through this study we addressed a gap in the literature on the effect of CFI on health </w:t>
      </w:r>
      <w:r w:rsidR="00FC2DB0">
        <w:t xml:space="preserve">inequalities </w:t>
      </w:r>
      <w:r>
        <w:t xml:space="preserve">which remains poorly documented especially in the African context </w:t>
      </w:r>
      <w:r>
        <w:fldChar w:fldCharType="begin"/>
      </w:r>
      <w:r w:rsidR="00BE082B">
        <w:instrText xml:space="preserve"> ADDIN ZOTERO_ITEM CSL_CITATION {"citationID":"p8PkWPQ4","properties":{"formattedCitation":"(16)","plainCitation":"(16)","noteIndex":0},"citationItems":[{"id":4732,"uris":["http://zotero.org/users/1653264/items/CBIARXJD"],"itemData":{"id":4732,"type":"article-journal","abstract":"Health inequalities and user financial incentives to encourage health-related behavior change are two topical issues in the health policy discourse, and this article attempts to combine the two; namely, we try to address whether the latter can be used to reduce the former in the contexts of the United Kingdom and the United States. Payments for some aspects of medical adherence may offer a promising way to address, to some extent, inequalities in health and health care in both countries. However, payments for more sustained behavior change, such as that associated with smoking cessation and weight loss, have thus far shown little long-term effect, although more research that tests the effectiveness of different incentive mechanism designs, informed by the findings of behavioral economics, ought to be undertaken. Many practical, political, ethical, and ideological objections can be waged against user financial incentives in health, and this article reviews a number of them, but the justifiability of and limits to these incentives require more academic and public discourse so as to gain a better understanding of the circumstances in which they can legitimately be used.","container-title":"Journal of Health Politics, Policy and Law","ISSN":"0361-6878","issue":"2","language":"eng","note":"number: 2\npublisher: Duke University Press","page":"201-226","source":"eprints.lse.ac.uk","title":"A consideration of user financial incentives to address health inequalities","volume":"37","author":[{"family":"Oliver","given":"Adam"},{"family":"Brown","given":"Lawrence D."}],"issued":{"date-parts":[["2012",4]]}}}],"schema":"https://github.com/citation-style-language/schema/raw/master/csl-citation.json"} </w:instrText>
      </w:r>
      <w:r>
        <w:fldChar w:fldCharType="separate"/>
      </w:r>
      <w:r w:rsidR="00A81A45" w:rsidRPr="00A81A45">
        <w:rPr>
          <w:rFonts w:ascii="Calibri" w:hAnsi="Calibri" w:cs="Calibri"/>
        </w:rPr>
        <w:t>(16)</w:t>
      </w:r>
      <w:r>
        <w:fldChar w:fldCharType="end"/>
      </w:r>
      <w:r>
        <w:t xml:space="preserve">. Overall, the </w:t>
      </w:r>
      <w:r w:rsidR="009D67C9">
        <w:t>socio-demographic</w:t>
      </w:r>
      <w:r>
        <w:t xml:space="preserve"> </w:t>
      </w:r>
      <w:r>
        <w:lastRenderedPageBreak/>
        <w:t xml:space="preserve">profile of people accepting the home-based HIV testing was similar between </w:t>
      </w:r>
      <w:r w:rsidR="00FC2DB0">
        <w:t xml:space="preserve">those offered </w:t>
      </w:r>
      <w:r>
        <w:t xml:space="preserve">CFI and </w:t>
      </w:r>
      <w:r w:rsidR="00FC2DB0">
        <w:t xml:space="preserve">those not offered </w:t>
      </w:r>
      <w:r>
        <w:t xml:space="preserve">CFI which is consistent with available studies in the US and UK that show few or no links between </w:t>
      </w:r>
      <w:r w:rsidR="009D67C9">
        <w:t>socio-demographic</w:t>
      </w:r>
      <w:r>
        <w:t xml:space="preserve"> characteristics and </w:t>
      </w:r>
      <w:r w:rsidR="00FC2DB0">
        <w:t xml:space="preserve">effect of </w:t>
      </w:r>
      <w:r>
        <w:t xml:space="preserve">CFI </w:t>
      </w:r>
      <w:r w:rsidR="00FC2DB0">
        <w:t>on</w:t>
      </w:r>
      <w:r>
        <w:t xml:space="preserve"> different health behaviours </w:t>
      </w:r>
      <w:r>
        <w:fldChar w:fldCharType="begin"/>
      </w:r>
      <w:r w:rsidR="00BE082B">
        <w:instrText xml:space="preserve"> ADDIN ZOTERO_ITEM CSL_CITATION {"citationID":"WV2JfPen","properties":{"formattedCitation":"(15,19)","plainCitation":"(15,19)","noteIndex":0},"citationItems":[{"id":4840,"uris":["http://zotero.org/users/1653264/items/4P44YDIM"],"itemData":{"id":4840,"type":"article-journal","abstract":"Objective.To evaluate the use of behavioral economics to design financial incentives to promote health behavior change and to explore associations with demographic characteristics.Data Source.Studies performed by the Center for Health Incentives and Behavioral Economics at the University of Pennsylvania published between January 2006 and March 2014.Study Inclusion and Exclusion Criteria.Randomized, controlled trials with available participant-level data. Studies that did not use financial incentives to promote health behavior change were excluded.Data Extraction.Participant-level data from seven studies were pooled.Data Synthesis.Meta-analysis on the pooled sample using a random-effects model with interaction terms to examine treatment effects and whether they varied by incentive structure or demographic characteristics.Results.The pooled study sample comprised 1403 participants, of whom 35% were female, 70% were white, 24% were black, and the mean age was 48 years (standard deviation 11.2 years). In the fully adjusted model, participants offered financial incentives had higher odds of behavior change (odds ratio [OR]: 3.96; p &lt; .01) when compared to control. There were no significant interactions between financial incentives and gender, age, race, income, or education. When further adjusting for incentive structure, blacks had higher odds than whites of achieving behavior change (OR: 1.67; p&lt; .05) with a conditional payment. Compared to lower-income participants, higher-income participants had lower odds of behavior change (OR: 0.46; p = .01) with a regret lottery.Conclusion.Financial incentives designed using concepts from behavioral economics were effective for promoting health behavior change. There were no large and consistent relationships between the effectiveness of financial incentives and observable demographic characteristics. Second-order examinations of incentive structure suggest potential relationships among the effectiveness of financial incentives, incentive structure, and the demographic characteristics of race and income.","container-title":"American Journal of Health Promotion","DOI":"10.4278/ajhp.140714-LIT-333","ISSN":"0890-1171","issue":"5","journalAbbreviation":"Am J Health Promot","language":"en","note":"publisher: SAGE Publications Inc","page":"314-323","source":"SAGE Journals","title":"The Role of Behavioral Economic Incentive Design and Demographic Characteristics in Financial Incentive-Based Approaches to Changing Health Behaviors: A Meta-Analysis","title-short":"The Role of Behavioral Economic Incentive Design and Demographic Characteristics in Financial Incentive-Based Approaches to Changing Health Behaviors","volume":"29","author":[{"family":"Haff","given":"Nancy"},{"family":"Patel","given":"Mitesh S."},{"family":"Lim","given":"Raymond"},{"family":"Zhu","given":"Jingsan"},{"family":"Troxel","given":"Andrea B."},{"family":"Asch","given":"David A."},{"family":"Volpp","given":"Kevin G."}],"issued":{"date-parts":[["2015",5,1]]}},"label":"page"},{"id":4799,"uris":["http://zotero.org/users/1653264/items/HUKSDIH5"],"itemData":{"id":4799,"type":"article-journal","abstract":"Objective: Uptake of human papillomavirus (HPV) vaccinations by 17- to 18-year-old girls in England is below (&lt;35%) target (80%). This trial assesses (a) the impact of financial incentives on uptake and completion of an HPV vaccination program, and (b) whether impacts are moderated by participants’ deprivation level. It also assesses the impact of incentives on decision quality to get vaccinated, as measured by attitudes toward the vaccination and knowledge of its consequences. Method: One thousand 16- to 18-year-old girls were invited to participate in an HPV vaccination program: 500 previously uninvited, and 500 unresponsive to previous invitations. Girls randomly received either a standard invitation letter or a letter including the offer of vouchers worth £45 (€56; $73) for undergoing 3 vaccinations. Girls attending their first vaccination appointment completed a questionnaire assessing decision quality to be vaccinated. Outcomes were uptake of the first and third vaccinations and decision quality. Results: The intervention increased uptake of the first (first-time invitees: 28.4% vs. 19.6%, odds ratio [OR] = 1.63, 95% confidence interval [CI; 1.08, 2.47]; previous nonattenders: 23.6% vs. 10.4%, OR = 2.65, 95% CI [1.61, 4.38]) and third (first-time invitees: 22.4% vs. 12%, OR = 2.15, 95% CI [1.32, 3.50]; previous nonattenders: 12.4% vs. 3%, OR = 4.28, 95% CI [1.92, 9.55]) vaccinations. Impacts were not moderated by deprivation level. Decision quality was unaffected by the intervention. Conclusions: Although the intervention increased completion of HPV vaccinations, uptake remained lower than the national target, which, in addition to cost effectiveness and acceptability issues, necessitates consideration of other ways of achieving it.","container-title":"Health Psychology","DOI":"10.1037/hea0000088","ISSN":"0278-6133","issue":"2","journalAbbreviation":"Health Psychol","note":"PMID: 25133822\nPMCID: PMC4312136","page":"160-171","source":"PubMed Central","title":"Financial Incentives for Increasing Uptake of HPV Vaccinations: A Randomized Controlled Trial","title-short":"Financial Incentives for Increasing Uptake of HPV Vaccinations","volume":"34","author":[{"family":"Mantzari","given":"Eleni"},{"family":"Vogt","given":"Florian"},{"family":"Marteau","given":"Theresa M."}],"issued":{"date-parts":[["2015",2]]}},"label":"page"}],"schema":"https://github.com/citation-style-language/schema/raw/master/csl-citation.json"} </w:instrText>
      </w:r>
      <w:r>
        <w:fldChar w:fldCharType="separate"/>
      </w:r>
      <w:r w:rsidR="00A81A45" w:rsidRPr="00A81A45">
        <w:rPr>
          <w:rFonts w:ascii="Calibri" w:hAnsi="Calibri" w:cs="Calibri"/>
        </w:rPr>
        <w:t>(15,19)</w:t>
      </w:r>
      <w:r>
        <w:fldChar w:fldCharType="end"/>
      </w:r>
      <w:r>
        <w:t xml:space="preserve">. </w:t>
      </w:r>
      <w:r w:rsidR="00571D74">
        <w:t>However</w:t>
      </w:r>
      <w:r w:rsidR="00F96F04">
        <w:t>,</w:t>
      </w:r>
      <w:r w:rsidR="00571D74">
        <w:t xml:space="preserve"> differential effects were found among two sub-groups.  First, </w:t>
      </w:r>
      <w:r w:rsidR="00571D74" w:rsidRPr="00A1692B">
        <w:t>older women were less likely to respond to the CFI for testing uptake</w:t>
      </w:r>
      <w:r w:rsidR="00274ACA">
        <w:t>;</w:t>
      </w:r>
      <w:r w:rsidR="00F96F04" w:rsidRPr="00A1692B">
        <w:t xml:space="preserve"> this could be explained by the fact that</w:t>
      </w:r>
      <w:r w:rsidR="00571D74" w:rsidRPr="00A1692B">
        <w:t xml:space="preserve"> </w:t>
      </w:r>
      <w:r w:rsidR="00F96F04" w:rsidRPr="00A1692B">
        <w:t>w</w:t>
      </w:r>
      <w:r w:rsidR="00571D74" w:rsidRPr="00A1692B">
        <w:t xml:space="preserve">omen and older people are shown to be less present-biased for health behaviour adoption </w:t>
      </w:r>
      <w:r w:rsidR="00571D74" w:rsidRPr="00A1692B">
        <w:fldChar w:fldCharType="begin"/>
      </w:r>
      <w:r w:rsidR="00571D74" w:rsidRPr="00A1692B">
        <w:instrText xml:space="preserve"> ADDIN ZOTERO_ITEM CSL_CITATION {"citationID":"sOXplA65","properties":{"formattedCitation":"(17)","plainCitation":"(17)","noteIndex":0},"citationItems":[{"id":18123,"uris":["http://zotero.org/users/1653264/items/PR39KBEF"],"itemData":{"id":18123,"type":"article-journal","abstract":"The decision to initiate or maintain a healthy habit, such as physical activity involves a trade-off between a short-term cost, such as time and effort, which are commonly identified as barriers to physical activity, and a long-term health benefit. Research suggests that individual time preference may be associated with unhealthy behaviors. However, empirical evidence of this for physical activity is scant. This study investigated the relationship between time preference and physical activity, and how this might influence behavior change.","container-title":"BMC Public Health","DOI":"10.1186/s12889-018-6305-9","ISSN":"1471-2458","issue":"1","journalAbbreviation":"BMC Public Health","page":"1388","source":"BioMed Central","title":"Association between time preference, present-bias and physical activity: implications for designing behavior change interventions","title-short":"Association between time preference, present-bias and physical activity","volume":"18","author":[{"family":"Hunter","given":"Ruth F."},{"family":"Tang","given":"Jianjun"},{"family":"Hutchinson","given":"George"},{"family":"Chilton","given":"Susan"},{"family":"Holmes","given":"David"},{"family":"Kee","given":"Frank"}],"issued":{"date-parts":[["2018",12,19]]}}}],"schema":"https://github.com/citation-style-language/schema/raw/master/csl-citation.json"} </w:instrText>
      </w:r>
      <w:r w:rsidR="00571D74" w:rsidRPr="00A1692B">
        <w:fldChar w:fldCharType="separate"/>
      </w:r>
      <w:r w:rsidR="00571D74" w:rsidRPr="00A1692B">
        <w:rPr>
          <w:rFonts w:ascii="Calibri" w:hAnsi="Calibri" w:cs="Calibri"/>
        </w:rPr>
        <w:t>(17)</w:t>
      </w:r>
      <w:r w:rsidR="00571D74" w:rsidRPr="00A1692B">
        <w:fldChar w:fldCharType="end"/>
      </w:r>
      <w:r w:rsidR="00571D74" w:rsidRPr="00A1692B">
        <w:t>.</w:t>
      </w:r>
      <w:r w:rsidR="00F96F04" w:rsidRPr="00A1692B">
        <w:t xml:space="preserve"> Second, </w:t>
      </w:r>
      <w:r w:rsidR="00755849" w:rsidRPr="00A1692B">
        <w:t>we found a higher effect of the CFI among employed women; employed women may be more likely to accept the CFI as it could compensate income loss due to the time devoted to completing the survey.</w:t>
      </w:r>
      <w:r w:rsidR="00C01123" w:rsidRPr="00C01123">
        <w:t xml:space="preserve"> While the lack of differential CFI effects between subgroups suggests that the CFI mechanism operates in these groups through a behavioural effect (i.e. prompted by </w:t>
      </w:r>
      <w:r w:rsidR="00A1692B">
        <w:t>the</w:t>
      </w:r>
      <w:r w:rsidR="00C01123" w:rsidRPr="00C01123">
        <w:t xml:space="preserve"> immediate </w:t>
      </w:r>
      <w:r w:rsidR="00A1692B">
        <w:t xml:space="preserve">benefit of the </w:t>
      </w:r>
      <w:r w:rsidR="00C01123" w:rsidRPr="00C01123">
        <w:t xml:space="preserve">reward), the higher CFI effect in young or employed women could be explained more by the income effect mechanism of CFI (i.e. the financial value that CFI represents). </w:t>
      </w:r>
      <w:r w:rsidR="0044440D">
        <w:t xml:space="preserve">If the diminishing marginal utility of income (i.e., more income impact less) is well known in the economic literature on CFI </w:t>
      </w:r>
      <w:r w:rsidR="0044440D">
        <w:fldChar w:fldCharType="begin"/>
      </w:r>
      <w:r w:rsidR="0044440D">
        <w:instrText xml:space="preserve"> ADDIN ZOTERO_ITEM CSL_CITATION {"citationID":"ehb5VTKM","properties":{"formattedCitation":"(8,39)","plainCitation":"(8,39)","noteIndex":0},"citationItems":[{"id":4760,"uris":["http://zotero.org/users/1653264/items/IT59JT6J"],"itemData":{"id":4760,"type":"article-journal","abstract":"This paper evaluates an experiment in which individuals in rural Malawi were randomly assigned monetary incentives to learn their HIV results after being tested. Distance to the HIV results centers was also randomly assigned. Without any incentive, 34 percent of the participants learned their HIV results. However, even the smallest incentive doubled that share. Using the randomly assigned incentives and distance from results centers as instruments for the knowledge of HIV status, sexually active HIV-positive individuals who learned their results are three times more likely to purchase condoms two months later than sexually active HIV-positive individuals who did not learn their results; however, HIV-positive individuals who learned their results purchase only two additional condoms than those who did not. There is no significant effect of learning HIV-negative status on the purchase of condoms.","container-title":"The American economic review","DOI":"10.1257/aer.98.5.1829","ISSN":"0002-8282","issue":"5","journalAbbreviation":"Am Econ Rev","note":"PMID: 21687831\nPMCID: PMC3115776","page":"1829-1863","source":"PubMed Central","title":"The Demand for, and Impact of, Learning HIV Status","volume":"98","author":[{"family":"Thornton","given":"Rebecca L."}],"issued":{"date-parts":[["2008",12,1]]}}},{"id":18335,"uris":["http://zotero.org/users/1653264/items/ZN3S5TAJ"],"itemData":{"id":18335,"type":"article-journal","abstract":"Background: Incentives are central to economics and are used across the public and private sectors to influence behavior. Recent interest has been shown in using financial incentives to promote desirable health behaviors and discourage unhealthy ones. Main text: If we are going to use incentive schemes to influence health behaviors, then it is important that we give them the best chance of working. Behavioral economics integrates insights from psychology with the laws of economics and provides a number of robust psychological phenomena that help to better explain human behavior. Individuals’ decisions in relation to incentives may be shaped by more subtle features – such as loss aversion, overweighting of small probabilities, hyperbolic discounting, increasing payoffs, reference points – many of which have been identified through research in behavioral economics. If incentives are shown to be a useful strategy to influence health behavior, a wider discussion will need to be had about the ethical dimensions of incentives before their wider implementation in different health programmes. Conclusions: Policy makers across the world are increasingly taking note of lessons from behavioral economics and this paper explores how key principles could help public health practitioners design effective interventions both in relation to incentive designs and more widely.","container-title":"BMC Public Health","DOI":"10.1186/s12889-019-7407-8","ISSN":"1471-2458","issue":"1","journalAbbreviation":"BMC Public Health","language":"en","page":"1059","source":"DOI.org (Crossref)","title":"Changing health behaviors using financial incentives: a review from behavioral economics","title-short":"Changing health behaviors using financial incentives","volume":"19","author":[{"family":"Vlaev","given":"Ivo"},{"family":"King","given":"Dominic"},{"family":"Darzi","given":"Ara"},{"family":"Dolan","given":"Paul"}],"issued":{"date-parts":[["2019",12]]}}}],"schema":"https://github.com/citation-style-language/schema/raw/master/csl-citation.json"} </w:instrText>
      </w:r>
      <w:r w:rsidR="0044440D">
        <w:fldChar w:fldCharType="separate"/>
      </w:r>
      <w:r w:rsidR="0044440D" w:rsidRPr="0044440D">
        <w:rPr>
          <w:rFonts w:ascii="Calibri" w:hAnsi="Calibri" w:cs="Calibri"/>
        </w:rPr>
        <w:t>(8,39)</w:t>
      </w:r>
      <w:r w:rsidR="0044440D">
        <w:fldChar w:fldCharType="end"/>
      </w:r>
      <w:r w:rsidR="0044440D">
        <w:t xml:space="preserve">, the differential CFI effect between </w:t>
      </w:r>
      <w:r w:rsidR="00955460">
        <w:t xml:space="preserve">specific </w:t>
      </w:r>
      <w:r w:rsidR="0044440D">
        <w:t>group</w:t>
      </w:r>
      <w:r w:rsidR="00955460">
        <w:t xml:space="preserve">s is less documented and might </w:t>
      </w:r>
      <w:r w:rsidR="0044440D">
        <w:t xml:space="preserve">reflect on </w:t>
      </w:r>
      <w:r w:rsidR="00B5489E">
        <w:t xml:space="preserve">the differential perception of </w:t>
      </w:r>
      <w:r w:rsidR="00EB03D1">
        <w:t xml:space="preserve">the value of </w:t>
      </w:r>
      <w:r w:rsidR="00B5489E">
        <w:t>money induce</w:t>
      </w:r>
      <w:r w:rsidR="00EB03D1">
        <w:t>d</w:t>
      </w:r>
      <w:r w:rsidR="00B5489E">
        <w:t xml:space="preserve"> by the high economic inequalities </w:t>
      </w:r>
      <w:r w:rsidR="00955460">
        <w:t>of</w:t>
      </w:r>
      <w:r w:rsidR="00B5489E">
        <w:t xml:space="preserve"> </w:t>
      </w:r>
      <w:r w:rsidR="00EB03D1">
        <w:t>some</w:t>
      </w:r>
      <w:r w:rsidR="00B5489E">
        <w:t xml:space="preserve"> context</w:t>
      </w:r>
      <w:r w:rsidR="00955460">
        <w:t>s</w:t>
      </w:r>
      <w:r w:rsidR="00EB03D1">
        <w:t xml:space="preserve"> </w:t>
      </w:r>
      <w:r w:rsidR="00EB03D1">
        <w:fldChar w:fldCharType="begin"/>
      </w:r>
      <w:r w:rsidR="00EB03D1">
        <w:instrText xml:space="preserve"> ADDIN ZOTERO_ITEM CSL_CITATION {"citationID":"6XJFDHor","properties":{"formattedCitation":"(40,41)","plainCitation":"(40,41)","noteIndex":0},"citationItems":[{"id":18339,"uris":["http://zotero.org/users/1653264/items/PJESGV2F"],"itemData":{"id":18339,"type":"article-journal","container-title":"African Sociological Review/Revue Africaine de Sociologie","issue":"2","page":"133–143","source":"Google Scholar","title":"Gender inequality: Still a critical issue in the development of rural KwaZulu-Natal","title-short":"Gender inequality","volume":"5","author":[{"family":"Ndimande","given":"P. S. M."}],"issued":{"date-parts":[["2001"]]}},"label":"page"},{"id":18337,"uris":["http://zotero.org/users/1653264/items/UQVA5URR"],"itemData":{"id":18337,"type":"article-journal","abstract":"The gender pay gap – that is, the difference in wages between men and women for the same or substantially the same work, or work of equal value – still features prominently as a stumbling block in achieving South African gender equality. If South Africa is to dislodge its stagnant gender pay gap, especially for women in the middle and upper levels of the wage distribution, pay transparency – making gender differences in wages known to employees, government and the public – can compel employers to remunerate fairly and equally. We undertook a comparison between the global and national mechanisms of gender pay transparency to propose a way forward to increase transparency in gender pay for South Africa. In addition to a discussion of existing mechanisms, a summary of the gender pay transparency mechanisms of 16 countries is provided as supplementary material to the article. We found that South Africa could strengthen legislated transparency mechanisms, especially with regard to pay reporting and pay audits, provided that sanctions are attached to non-delivery of these duties. Reigniting the debate on strengthening and improving South African legislation and interpretation of existing governance codes in relation to the implementation, monitoring and enforcement of gender pay transparency mechanisms could strengthen the existing collective bargaining framework and provide the impetus to demonstrate that South Africa sees gender equality as an achievable reality, not an improbable ideology.","container-title":"South African Journal of Science","DOI":"10.17159/sajs.2020/6772","ISSN":"1996-7489","issue":"3/4","journalAbbreviation":"S. Afr. J. Sci","language":"en","source":"DOI.org (Crossref)","title":"Gender pay transparency mechanisms: Future directions for South Africa","title-short":"Gender pay transparency mechanisms","URL":"https://www.sajs.co.za/article/view/6772","volume":"116","author":[{"family":"Bosch","given":"Anita"},{"family":"Barit","given":"Shimon"}],"accessed":{"date-parts":[["2022",6,14]]},"issued":{"date-parts":[["2020",3,26]]}},"label":"page"}],"schema":"https://github.com/citation-style-language/schema/raw/master/csl-citation.json"} </w:instrText>
      </w:r>
      <w:r w:rsidR="00EB03D1">
        <w:fldChar w:fldCharType="separate"/>
      </w:r>
      <w:r w:rsidR="00EB03D1" w:rsidRPr="00EB03D1">
        <w:rPr>
          <w:rFonts w:ascii="Calibri" w:hAnsi="Calibri" w:cs="Calibri"/>
        </w:rPr>
        <w:t>(40,41)</w:t>
      </w:r>
      <w:r w:rsidR="00EB03D1">
        <w:fldChar w:fldCharType="end"/>
      </w:r>
      <w:r w:rsidR="00B5489E">
        <w:t xml:space="preserve">. </w:t>
      </w:r>
      <w:r w:rsidR="00231C11">
        <w:t>However</w:t>
      </w:r>
      <w:r w:rsidR="00955460">
        <w:t xml:space="preserve">, </w:t>
      </w:r>
      <w:r w:rsidR="00231C11">
        <w:t xml:space="preserve">from our results, </w:t>
      </w:r>
      <w:r w:rsidR="00955460">
        <w:t xml:space="preserve">it </w:t>
      </w:r>
      <w:r w:rsidR="00231C11">
        <w:t xml:space="preserve">is </w:t>
      </w:r>
      <w:r w:rsidR="00955460">
        <w:t xml:space="preserve">difficult to know if decreasing or increasing the size of the financial incentive would have had any impact on </w:t>
      </w:r>
      <w:r w:rsidR="00231C11">
        <w:t>the differential</w:t>
      </w:r>
      <w:r w:rsidR="00955460">
        <w:t xml:space="preserve"> CFI effect</w:t>
      </w:r>
      <w:r w:rsidR="00231C11">
        <w:t xml:space="preserve"> observed</w:t>
      </w:r>
      <w:r w:rsidR="00955460">
        <w:t xml:space="preserve"> in specific groups</w:t>
      </w:r>
      <w:r w:rsidR="00231C11">
        <w:t xml:space="preserve"> in our sample.</w:t>
      </w:r>
    </w:p>
    <w:bookmarkEnd w:id="38"/>
    <w:p w14:paraId="2866F1CB" w14:textId="7C03B496" w:rsidR="001A02EC" w:rsidRPr="000A04A4" w:rsidRDefault="001A02EC" w:rsidP="009340A4">
      <w:pPr>
        <w:spacing w:line="480" w:lineRule="auto"/>
        <w:rPr>
          <w:rFonts w:cstheme="minorHAnsi"/>
        </w:rPr>
      </w:pPr>
      <w:r>
        <w:t>Our results have shown no associations between household asset index</w:t>
      </w:r>
      <w:r w:rsidR="000A04A4">
        <w:t xml:space="preserve"> and CFI</w:t>
      </w:r>
      <w:r w:rsidR="000C78A3">
        <w:t xml:space="preserve">, although our study took place in </w:t>
      </w:r>
      <w:r w:rsidR="00796F9D">
        <w:t xml:space="preserve">a </w:t>
      </w:r>
      <w:r w:rsidR="000C78A3">
        <w:t xml:space="preserve">relatively poor society overall </w:t>
      </w:r>
      <w:r w:rsidR="000A04A4">
        <w:t>(</w:t>
      </w:r>
      <w:r w:rsidR="000C78A3">
        <w:t>two third of the households benefiting from</w:t>
      </w:r>
      <w:r w:rsidR="000C78A3" w:rsidRPr="00860FFF">
        <w:rPr>
          <w:rFonts w:cstheme="minorHAnsi"/>
        </w:rPr>
        <w:t xml:space="preserve"> social grants</w:t>
      </w:r>
      <w:r w:rsidR="000A04A4">
        <w:rPr>
          <w:rFonts w:cstheme="minorHAnsi"/>
        </w:rPr>
        <w:t>)</w:t>
      </w:r>
      <w:r w:rsidR="000C78A3">
        <w:rPr>
          <w:rFonts w:cstheme="minorHAnsi"/>
        </w:rPr>
        <w:t xml:space="preserve"> which may have </w:t>
      </w:r>
      <w:r w:rsidR="000A04A4">
        <w:rPr>
          <w:rFonts w:cstheme="minorHAnsi"/>
        </w:rPr>
        <w:t xml:space="preserve">overestimate the CFI effect on individuals living in </w:t>
      </w:r>
      <w:r w:rsidR="000A04A4">
        <w:t>household with a high asset index.</w:t>
      </w:r>
      <w:r w:rsidR="000A04A4">
        <w:rPr>
          <w:rFonts w:cstheme="minorHAnsi"/>
        </w:rPr>
        <w:t xml:space="preserve"> Yet, study conducted in US suggest that </w:t>
      </w:r>
      <w:r>
        <w:t>small CFI has a significant effect regardless of individual wealth</w:t>
      </w:r>
      <w:r w:rsidR="000A04A4">
        <w:t xml:space="preserve"> </w:t>
      </w:r>
      <w:r w:rsidR="000A04A4">
        <w:fldChar w:fldCharType="begin"/>
      </w:r>
      <w:r w:rsidR="00BE082B">
        <w:instrText xml:space="preserve"> ADDIN ZOTERO_ITEM CSL_CITATION {"citationID":"qbXnhgfF","properties":{"formattedCitation":"(15)","plainCitation":"(15)","noteIndex":0},"citationItems":[{"id":4840,"uris":["http://zotero.org/users/1653264/items/4P44YDIM"],"itemData":{"id":4840,"type":"article-journal","abstract":"Objective.To evaluate the use of behavioral economics to design financial incentives to promote health behavior change and to explore associations with demographic characteristics.Data Source.Studies performed by the Center for Health Incentives and Behavioral Economics at the University of Pennsylvania published between January 2006 and March 2014.Study Inclusion and Exclusion Criteria.Randomized, controlled trials with available participant-level data. Studies that did not use financial incentives to promote health behavior change were excluded.Data Extraction.Participant-level data from seven studies were pooled.Data Synthesis.Meta-analysis on the pooled sample using a random-effects model with interaction terms to examine treatment effects and whether they varied by incentive structure or demographic characteristics.Results.The pooled study sample comprised 1403 participants, of whom 35% were female, 70% were white, 24% were black, and the mean age was 48 years (standard deviation 11.2 years). In the fully adjusted model, participants offered financial incentives had higher odds of behavior change (odds ratio [OR]: 3.96; p &lt; .01) when compared to control. There were no significant interactions between financial incentives and gender, age, race, income, or education. When further adjusting for incentive structure, blacks had higher odds than whites of achieving behavior change (OR: 1.67; p&lt; .05) with a conditional payment. Compared to lower-income participants, higher-income participants had lower odds of behavior change (OR: 0.46; p = .01) with a regret lottery.Conclusion.Financial incentives designed using concepts from behavioral economics were effective for promoting health behavior change. There were no large and consistent relationships between the effectiveness of financial incentives and observable demographic characteristics. Second-order examinations of incentive structure suggest potential relationships among the effectiveness of financial incentives, incentive structure, and the demographic characteristics of race and income.","container-title":"American Journal of Health Promotion","DOI":"10.4278/ajhp.140714-LIT-333","ISSN":"0890-1171","issue":"5","journalAbbreviation":"Am J Health Promot","language":"en","note":"publisher: SAGE Publications Inc","page":"314-323","source":"SAGE Journals","title":"The Role of Behavioral Economic Incentive Design and Demographic Characteristics in Financial Incentive-Based Approaches to Changing Health Behaviors: A Meta-Analysis","title-short":"The Role of Behavioral Economic Incentive Design and Demographic Characteristics in Financial Incentive-Based Approaches to Changing Health Behaviors","volume":"29","author":[{"family":"Haff","given":"Nancy"},{"family":"Patel","given":"Mitesh S."},{"family":"Lim","given":"Raymond"},{"family":"Zhu","given":"Jingsan"},{"family":"Troxel","given":"Andrea B."},{"family":"Asch","given":"David A."},{"family":"Volpp","given":"Kevin G."}],"issued":{"date-parts":[["2015",5,1]]}}}],"schema":"https://github.com/citation-style-language/schema/raw/master/csl-citation.json"} </w:instrText>
      </w:r>
      <w:r w:rsidR="000A04A4">
        <w:fldChar w:fldCharType="separate"/>
      </w:r>
      <w:r w:rsidR="00A81A45" w:rsidRPr="00A81A45">
        <w:rPr>
          <w:rFonts w:ascii="Calibri" w:hAnsi="Calibri" w:cs="Calibri"/>
        </w:rPr>
        <w:t>(15)</w:t>
      </w:r>
      <w:r w:rsidR="000A04A4">
        <w:fldChar w:fldCharType="end"/>
      </w:r>
      <w:r>
        <w:t xml:space="preserve">. </w:t>
      </w:r>
      <w:r w:rsidRPr="00600FAA">
        <w:t>Unlike price signal</w:t>
      </w:r>
      <w:r>
        <w:t>s</w:t>
      </w:r>
      <w:r w:rsidRPr="00600FAA">
        <w:t xml:space="preserve"> (e.g. taxes on alcohol, cigarettes or high-calories foods) which is shown to have a higher effect on lower socio-economic population</w:t>
      </w:r>
      <w:r>
        <w:t>s</w:t>
      </w:r>
      <w:r w:rsidRPr="00600FAA">
        <w:t xml:space="preserve"> </w:t>
      </w:r>
      <w:r w:rsidRPr="00600FAA">
        <w:fldChar w:fldCharType="begin"/>
      </w:r>
      <w:r w:rsidR="00EB03D1">
        <w:instrText xml:space="preserve"> ADDIN ZOTERO_ITEM CSL_CITATION {"citationID":"kVRrnjGD","properties":{"formattedCitation":"(42,43)","plainCitation":"(42,43)","noteIndex":0},"citationItems":[{"id":4727,"uris":["http://zotero.org/users/1653264/items/SABZNCDA"],"itemData":{"id":4727,"type":"article-journal","abstract":"Context: Pricing policies have been posited as potential policy instruments to address the increasing prevalence of obesity. This article examines whether altering the cost of unhealthy, energy-dense foods, compared with healthy, less-dense foods through the use of fiscal pricing (tax or subsidy) policy instruments would, in fact, change food consumption patterns and overall diet enough to significantly reduce individuals' weight outcomes., Methods: This article examined empirical evidence regarding the food and restaurant price sensitivity of weight outcomes based on a literature search to identify peer-reviewed English-language articles published between 1990 and 2008. Studies were identified from the Medline, PubMed, Econlit, and PAIS databases. The fifteen search combinations used the terms obesity, body mass index, and BMI each in combination with the terms price, prices, tax, taxation, and subsidy., Findings: The studies reviewed showed that when statistically significant associations were found between food and restaurant prices (taxes) and weight outcomes, the effects were generally small in magnitude, although in some cases they were larger for low–socioeconomic status (SES) populations and for those at risk for overweight or obesity., Conclusions: The limited existing evidence suggests that small taxes or subsidies are not likely to produce significant changes in BMI or obesity prevalence but that nontrivial pricing interventions may have some measurable effects on Americans' weight outcomes, particularly for children and adolescents, low-SES populations, and those most at risk for overweight. Additional research is needed to be able to draw strong policy conclusions regarding the effectiveness of fiscal-pricing interventions aimed at reducing obesity.","container-title":"The Milbank Quarterly","DOI":"10.1111/j.1468-0009.2009.00554.x","ISSN":"0887-378X","issue":"1","journalAbbreviation":"Milbank Q","note":"PMID: 19298422\nPMCID: PMC2879182","page":"229-257","source":"PubMed Central","title":"Food Prices and Obesity: Evidence and Policy Implications for Taxes and Subsidies","title-short":"Food Prices and Obesity","volume":"87","author":[{"family":"Powell","given":"Lisa M"},{"family":"Chaloupka","given":"Frank J"}],"issued":{"date-parts":[["2009",3]]}},"label":"page"},{"id":4726,"uris":["http://zotero.org/users/1653264/items/P578XXP9"],"itemData":{"id":4726,"type":"article-journal","abstract":"OBJECTIVE--To assess effects of price, income, and health publicity on cigarette smoking by age, sex, and socioeconomic group. DESIGN--Econometric multiple regression analysis of data on cigarette smoking from the British general household survey. SUBJECTS--Random sample of adult population in Britain interviewed for biennial general household surveys 1972-90. MAIN OUTCOME MEASURES--Changes in cigarette consumption and prevalence of smoking. RESULTS--Price elasticities of demand for cigarettes (percentage change in cigarette consumption for a 1% change in price) were significant at -0.5 (95% confidence interval -0.8 to -0.1) for men and -0.6 (-0.9 to -0.3) for women, were highest in socioeconomic group V (-1.0 for men and -0.9 for women), and lowest (not significantly different from zero) in socioeconomic groups I and II. The gradient in price elasticities by socioeconomic group was significant for men (F = 5.6, P = 0.02) and for women (F = 6.1, P = 0.02). Price was a significant factor in cigarette consumption by age for women in every age group and for men aged 25-34. Cigarette consumption by young men aged 16-34 increased with income. There was a significant decrease in smoking over time by women in socioeconomic groups I and II and by men in all age and social groups except socioeconomic group V attributable to health publicity. Price significantly affected smoking prevalence in socioeconomic group V (-0.6 for men and -0.5 for women) and for all women (-0.2). CONCLUSIONS--Men and women in lower socioeconomic groups are more responsive than are those in higher socioeconomic groups to changes in the price of cigarettes and less to health publicity. Women of all ages, including teenagers, appear to have been less responsive to health publicity than have men but more responsive to price. Response to health publicity decreased linearly with age. Real price increases in cigarettes could narrow differences between socioeconomic groups in smoking and the related inequalities in health, but specific measures would be necessary to ameliorate effects on the most deprived families that may include members who continue to smoke. The use of a policy to steadily increase cigarette tax is likely to help achieve the government's targets for smoking and smoking related diseases.","container-title":"BMJ : British Medical Journal","ISSN":"0959-8138","issue":"6959","journalAbbreviation":"BMJ","note":"PMID: 7950662\nPMCID: PMC2541176","page":"923-927","source":"PubMed Central","title":"Cigarette smoking by socioeconomic group, sex, and age: effects of price, income, and health publicity.","title-short":"Cigarette smoking by socioeconomic group, sex, and age","volume":"309","author":[{"family":"Townsend","given":"J."},{"family":"Roderick","given":"P."},{"family":"Cooper","given":"J."}],"issued":{"date-parts":[["1994",10,8]]}},"label":"page"}],"schema":"https://github.com/citation-style-language/schema/raw/master/csl-citation.json"} </w:instrText>
      </w:r>
      <w:r w:rsidRPr="00600FAA">
        <w:fldChar w:fldCharType="separate"/>
      </w:r>
      <w:r w:rsidR="00EB03D1" w:rsidRPr="00EB03D1">
        <w:rPr>
          <w:rFonts w:ascii="Calibri" w:hAnsi="Calibri" w:cs="Calibri"/>
        </w:rPr>
        <w:t>(42,43)</w:t>
      </w:r>
      <w:r w:rsidRPr="00600FAA">
        <w:fldChar w:fldCharType="end"/>
      </w:r>
      <w:r w:rsidRPr="00600FAA">
        <w:t xml:space="preserve">, CFI </w:t>
      </w:r>
      <w:r w:rsidR="00796F9D">
        <w:t>may</w:t>
      </w:r>
      <w:r w:rsidRPr="00600FAA">
        <w:t xml:space="preserve"> be an interesting tool when the health inequalities are not </w:t>
      </w:r>
      <w:r>
        <w:t>based on economic</w:t>
      </w:r>
      <w:r w:rsidRPr="00600FAA">
        <w:t xml:space="preserve"> </w:t>
      </w:r>
      <w:r w:rsidR="000716FF">
        <w:t>status</w:t>
      </w:r>
      <w:r>
        <w:t>.</w:t>
      </w:r>
    </w:p>
    <w:bookmarkEnd w:id="37"/>
    <w:p w14:paraId="1056D01E" w14:textId="53D9F67E" w:rsidR="001A02EC" w:rsidRDefault="001A02EC" w:rsidP="009340A4">
      <w:pPr>
        <w:spacing w:after="0" w:line="480" w:lineRule="auto"/>
      </w:pPr>
      <w:r>
        <w:lastRenderedPageBreak/>
        <w:t>That said, there were a number of limitations in our study. Firstly</w:t>
      </w:r>
      <w:r w:rsidR="000C78A3">
        <w:t>,</w:t>
      </w:r>
      <w:r>
        <w:t xml:space="preserve"> we excluded individuals who were not contacted through the AHRI based surveillance, who represent less than a quarter of the total sample. Using data from previous HIV surveillance rounds, people not contacted in this trial tend to be older (men), young (women), higher educated</w:t>
      </w:r>
      <w:r w:rsidR="00A924B1">
        <w:t xml:space="preserve"> or</w:t>
      </w:r>
      <w:r w:rsidR="000C78A3">
        <w:t xml:space="preserve"> </w:t>
      </w:r>
      <w:r>
        <w:t>those currently employed.</w:t>
      </w:r>
      <w:r w:rsidR="00A924B1">
        <w:t xml:space="preserve"> Because of the study design of the HIV surveillance system, non-resident such as migrants or people with mobile livelihoods were also excluded from our analysis.</w:t>
      </w:r>
    </w:p>
    <w:p w14:paraId="6D7ABA6E" w14:textId="09882053" w:rsidR="001A02EC" w:rsidRDefault="001A02EC" w:rsidP="009340A4">
      <w:pPr>
        <w:spacing w:after="0" w:line="480" w:lineRule="auto"/>
      </w:pPr>
      <w:r>
        <w:t xml:space="preserve">The initial design considered four arms among men with two including a male-targeted HIV-specific decision support application (EPIC-HIV). For statistical power considerations, we chose to group the arm with both the EPIC-HIV and the CFI with the financial incentive arm and the arm with EPIC-HIV only with the control arm, but considering the little effect of EPIC-HIV on </w:t>
      </w:r>
      <w:r w:rsidR="00341CF4">
        <w:t xml:space="preserve">home-based HIV testing </w:t>
      </w:r>
      <w:r>
        <w:fldChar w:fldCharType="begin"/>
      </w:r>
      <w:r w:rsidR="002B64C9">
        <w:instrText xml:space="preserve"> ADDIN ZOTERO_ITEM CSL_CITATION {"citationID":"Alb8tn9P","properties":{"formattedCitation":"(10)","plainCitation":"(10)","noteIndex":0},"citationItems":[{"id":4911,"uris":["http://zotero.org/users/1653264/items/6J2NZ36E"],"itemData":{"id":4911,"type":"article-journal","abstract":"INTRODUCTION: The uptake of HIV testing and linkage to care remains low among men, contributing to high HIV incidence in women in South Africa. We conducted the \"Home-Based Intervention to Test and Start\" (HITS) in a 2x2 factorial cluster randomized controlled trial in one of the World's largest ongoing HIV cohorts in rural South Africa aimed at enhancing both intrinsic and extrinsic motivations for HIV testing.\nMETHODS: Between February and December 2018, in the uMkhanyakude district of KwaZulu-Natal, we randomly assigned 45 communities (clusters) (n = 13,838 residents) to one of the four arms: (i) financial incentives for home-based HIV testing and linkage to care (R50 [$3] food voucher each); (ii) male-targeted HIV-specific decision support application, called EPIC-HIV; (iii) both financial incentives and male-targeted HIV-specific decision support application and (iv) standard of care (SoC). EPIC-HIV was developed to encourage and serve as an intrinsic motivator for HIV testing and linkage to care, and individually offered to men via a tablet device. Financial incentives were offered to both men and women. Here we report the effect of the interventions on uptake of home-based HIV testing among men. Intention-to-treat (ITT) analysis was performed using modified Poisson regression with adjustment for clustering of standard errors at the cluster levels.\nRESULTS: Among all 13,838 men ≥ 15 years living in the 45 communities, the overall population coverage during a single round of home-based HIV testing was 20.7%. The uptake of HIV testing was 27.5% (683/2481) in the financial incentives arm, 17.1% (433/2534) in the EPIC-HIV arm, 26.8% (568/2120) in the arm receiving both interventions and 17.8% in the SoC arm. The probability of HIV testing increased substantially by 55% in the financial incentives arm (risk ratio (RR)=1.55, 95% CI: 1.31 to 1.82, p &lt; 0.001) and 51% in the arm receiving both interventions (RR = 1.51, 95% CI: 1.21 to 1.87 p &lt; 0.001), compared to men in the SoC arm. The probability of HIV testing did not significantly differ in the EPIC-HIV arm (RR = 0.96, 95% CI: 0.76 to 1.20, p = 0.70).\nCONCLUSIONS: The provision of a small financial incentive acted as a powerful extrinsic motivator substantially increasing the uptake of home-based HIV testing among men in rural South Africa. In contrast, the counselling and testing application which was designed to encourage and serve as an intrinsic motivator to test for HIV did not increase the uptake of home-based testing.","container-title":"Journal of the International AIDS Society","DOI":"10.1002/jia2.25665","ISSN":"1758-2652","issue":"2","journalAbbreviation":"J Int AIDS Soc","language":"eng","note":"PMID: 33586911\nPMCID: PMC7883477","page":"e25665","source":"PubMed","title":"Home-Based Intervention to Test and Start (HITS): a community-randomized controlled trial to increase HIV testing uptake among men in rural South Africa","title-short":"Home-Based Intervention to Test and Start (HITS)","volume":"24","author":[{"family":"Tanser","given":"Frank C."},{"family":"Kim","given":"Hae-Young"},{"family":"Mathenjwa","given":"Thulile"},{"family":"Shahmanesh","given":"Maryam"},{"family":"Seeley","given":"Janet"},{"family":"Matthews","given":"Phillippa"},{"family":"Wyke","given":"Sally"},{"family":"McGrath","given":"Nuala"},{"family":"Adeagbo","given":"Oluwafemi"},{"family":"Sartorius","given":"Benn"},{"family":"Yapa","given":"Handurugamage Manisha"},{"family":"Zuma","given":"Thembelihle"},{"family":"Zeitlin","given":"Anya"},{"family":"Blandford","given":"Ann"},{"family":"Dobra","given":"Adrian"},{"family":"Bärnighausen","given":"Till"}],"issued":{"date-parts":[["2021",2]]}}}],"schema":"https://github.com/citation-style-language/schema/raw/master/csl-citation.json"} </w:instrText>
      </w:r>
      <w:r>
        <w:fldChar w:fldCharType="separate"/>
      </w:r>
      <w:r w:rsidR="00A81A45" w:rsidRPr="00A81A45">
        <w:rPr>
          <w:rFonts w:ascii="Calibri" w:hAnsi="Calibri" w:cs="Calibri"/>
        </w:rPr>
        <w:t>(10)</w:t>
      </w:r>
      <w:r>
        <w:fldChar w:fldCharType="end"/>
      </w:r>
      <w:r>
        <w:t xml:space="preserve">, we believe this grouping had little effect on our results. </w:t>
      </w:r>
    </w:p>
    <w:p w14:paraId="184EFC42" w14:textId="57B88094" w:rsidR="001A02EC" w:rsidRDefault="001A02EC" w:rsidP="009340A4">
      <w:pPr>
        <w:spacing w:line="480" w:lineRule="auto"/>
      </w:pPr>
      <w:bookmarkStart w:id="39" w:name="_Hlk101368556"/>
      <w:r>
        <w:t>Despite these limitations, our large sample and the randomized control trial design of the study allow strong internal validity of our results.</w:t>
      </w:r>
      <w:r w:rsidR="00C54DD8">
        <w:t xml:space="preserve"> </w:t>
      </w:r>
      <w:r w:rsidR="00D233B1" w:rsidRPr="00D233B1">
        <w:t xml:space="preserve">Randomization in our study achieved balance in respect of sociodemographic variables across the different arms of the trial </w:t>
      </w:r>
      <w:r w:rsidR="00C54DD8">
        <w:fldChar w:fldCharType="begin"/>
      </w:r>
      <w:r w:rsidR="00C54DD8">
        <w:instrText xml:space="preserve"> ADDIN ZOTERO_ITEM CSL_CITATION {"citationID":"Yj1RM1gK","properties":{"formattedCitation":"(10)","plainCitation":"(10)","noteIndex":0},"citationItems":[{"id":4911,"uris":["http://zotero.org/users/1653264/items/6J2NZ36E"],"itemData":{"id":4911,"type":"article-journal","abstract":"INTRODUCTION: The uptake of HIV testing and linkage to care remains low among men, contributing to high HIV incidence in women in South Africa. We conducted the \"Home-Based Intervention to Test and Start\" (HITS) in a 2x2 factorial cluster randomized controlled trial in one of the World's largest ongoing HIV cohorts in rural South Africa aimed at enhancing both intrinsic and extrinsic motivations for HIV testing.\nMETHODS: Between February and December 2018, in the uMkhanyakude district of KwaZulu-Natal, we randomly assigned 45 communities (clusters) (n = 13,838 residents) to one of the four arms: (i) financial incentives for home-based HIV testing and linkage to care (R50 [$3] food voucher each); (ii) male-targeted HIV-specific decision support application, called EPIC-HIV; (iii) both financial incentives and male-targeted HIV-specific decision support application and (iv) standard of care (SoC). EPIC-HIV was developed to encourage and serve as an intrinsic motivator for HIV testing and linkage to care, and individually offered to men via a tablet device. Financial incentives were offered to both men and women. Here we report the effect of the interventions on uptake of home-based HIV testing among men. Intention-to-treat (ITT) analysis was performed using modified Poisson regression with adjustment for clustering of standard errors at the cluster levels.\nRESULTS: Among all 13,838 men ≥ 15 years living in the 45 communities, the overall population coverage during a single round of home-based HIV testing was 20.7%. The uptake of HIV testing was 27.5% (683/2481) in the financial incentives arm, 17.1% (433/2534) in the EPIC-HIV arm, 26.8% (568/2120) in the arm receiving both interventions and 17.8% in the SoC arm. The probability of HIV testing increased substantially by 55% in the financial incentives arm (risk ratio (RR)=1.55, 95% CI: 1.31 to 1.82, p &lt; 0.001) and 51% in the arm receiving both interventions (RR = 1.51, 95% CI: 1.21 to 1.87 p &lt; 0.001), compared to men in the SoC arm. The probability of HIV testing did not significantly differ in the EPIC-HIV arm (RR = 0.96, 95% CI: 0.76 to 1.20, p = 0.70).\nCONCLUSIONS: The provision of a small financial incentive acted as a powerful extrinsic motivator substantially increasing the uptake of home-based HIV testing among men in rural South Africa. In contrast, the counselling and testing application which was designed to encourage and serve as an intrinsic motivator to test for HIV did not increase the uptake of home-based testing.","container-title":"Journal of the International AIDS Society","DOI":"10.1002/jia2.25665","ISSN":"1758-2652","issue":"2","journalAbbreviation":"J Int AIDS Soc","language":"eng","note":"PMID: 33586911\nPMCID: PMC7883477","page":"e25665","source":"PubMed","title":"Home-Based Intervention to Test and Start (HITS): a community-randomized controlled trial to increase HIV testing uptake among men in rural South Africa","title-short":"Home-Based Intervention to Test and Start (HITS)","volume":"24","author":[{"family":"Tanser","given":"Frank C."},{"family":"Kim","given":"Hae-Young"},{"family":"Mathenjwa","given":"Thulile"},{"family":"Shahmanesh","given":"Maryam"},{"family":"Seeley","given":"Janet"},{"family":"Matthews","given":"Phillippa"},{"family":"Wyke","given":"Sally"},{"family":"McGrath","given":"Nuala"},{"family":"Adeagbo","given":"Oluwafemi"},{"family":"Sartorius","given":"Benn"},{"family":"Yapa","given":"Handurugamage Manisha"},{"family":"Zuma","given":"Thembelihle"},{"family":"Zeitlin","given":"Anya"},{"family":"Blandford","given":"Ann"},{"family":"Dobra","given":"Adrian"},{"family":"Bärnighausen","given":"Till"}],"issued":{"date-parts":[["2021",2]]}}}],"schema":"https://github.com/citation-style-language/schema/raw/master/csl-citation.json"} </w:instrText>
      </w:r>
      <w:r w:rsidR="00C54DD8">
        <w:fldChar w:fldCharType="separate"/>
      </w:r>
      <w:r w:rsidR="00A81A45" w:rsidRPr="00A81A45">
        <w:rPr>
          <w:rFonts w:ascii="Calibri" w:hAnsi="Calibri" w:cs="Calibri"/>
        </w:rPr>
        <w:t>(10)</w:t>
      </w:r>
      <w:r w:rsidR="00C54DD8">
        <w:fldChar w:fldCharType="end"/>
      </w:r>
      <w:r w:rsidR="00C54DD8">
        <w:t>.</w:t>
      </w:r>
    </w:p>
    <w:bookmarkEnd w:id="39"/>
    <w:p w14:paraId="293031D7" w14:textId="6B4E9150" w:rsidR="001A02EC" w:rsidRDefault="001A02EC" w:rsidP="009340A4">
      <w:pPr>
        <w:spacing w:after="0" w:line="480" w:lineRule="auto"/>
      </w:pPr>
      <w:r>
        <w:t xml:space="preserve">People still express some objections toward CFI utilisation for health behaviour change. A common one is that the financial incentive could be seen as coercion if people who were reluctant to adopt a behaviour were persuaded by the CFI, which may represent something of high value </w:t>
      </w:r>
      <w:r>
        <w:fldChar w:fldCharType="begin"/>
      </w:r>
      <w:r w:rsidR="00EB03D1">
        <w:instrText xml:space="preserve"> ADDIN ZOTERO_ITEM CSL_CITATION {"citationID":"kOiuGCHk","properties":{"formattedCitation":"(44)","plainCitation":"(44)","noteIndex":0},"citationItems":[{"id":4724,"uris":["http://zotero.org/users/1653264/items/2MQFFWBX"],"itemData":{"id":4724,"type":"article-journal","abstract":"The research literature on AIDS prevention efforts contains many reports on the impact of intervention sessions. Little information is available, however, on the success of various strategies to recruit clients to attend these sessions. An assessment of the comparative impact of money and other types of incentives on group attendance in two AIDS risk reduction projects, in the Harlem area of New York City and in Cleveland, OH, was undertaken. In both projects, injecting drug users and the sex partners of injecting drug users were recruited to participate in group sessions that focused on the reduction of AIDS risk behaviors. Data on group attendance were analyzed for 838 people in the New York project and 1,168 in the Ohio project. After the projects were underway, attendance incentives at both were changed from money to food coupons or gift certificates. Results indicated that a nonmonetary incentive was associated with a significant decline in group attendance. Concerns regarding paying monetary incentives to injecting drug users are discussed.","container-title":"Public Health Reports","ISSN":"0033-3549","issue":"4","journalAbbreviation":"Public Health Rep","note":"PMID: 8041855\nPMCID: PMC1403532","page":"548-554","source":"PubMed Central","title":"The impact of providing incentives for attendance at AIDS prevention sessions.","volume":"109","author":[{"family":"Deren","given":"S"},{"family":"Stephens","given":"R"},{"family":"Davis","given":"W R"},{"family":"Feucht","given":"T E"},{"family":"Tortu","given":"S"}],"issued":{"date-parts":[["1994"]]}}}],"schema":"https://github.com/citation-style-language/schema/raw/master/csl-citation.json"} </w:instrText>
      </w:r>
      <w:r>
        <w:fldChar w:fldCharType="separate"/>
      </w:r>
      <w:r w:rsidR="00EB03D1" w:rsidRPr="00EB03D1">
        <w:rPr>
          <w:rFonts w:ascii="Calibri" w:hAnsi="Calibri" w:cs="Calibri"/>
        </w:rPr>
        <w:t>(44)</w:t>
      </w:r>
      <w:r>
        <w:fldChar w:fldCharType="end"/>
      </w:r>
      <w:r>
        <w:t xml:space="preserve">. First, by showing the non-association between economic condition and </w:t>
      </w:r>
      <w:r w:rsidR="000716FF">
        <w:t xml:space="preserve">effect of </w:t>
      </w:r>
      <w:r>
        <w:t>CFI, our s</w:t>
      </w:r>
      <w:r w:rsidR="000716FF">
        <w:t>tudy</w:t>
      </w:r>
      <w:r>
        <w:t xml:space="preserve"> suggests that the poorest people </w:t>
      </w:r>
      <w:r w:rsidR="00272607">
        <w:t>may not be</w:t>
      </w:r>
      <w:r>
        <w:t xml:space="preserve"> more likely to feel coerced to adopt the behaviour because of the financial reward compared to the richest. Second, as argued by Burns, lauding the transparency of financial incentive programmes, by insisting on the voluntary basis to adhere to such programmes and to remind that the individual is free to accept or refuse the incentive for any reason, supports a mode of respectful and equal exchange rather than a way to manipulate people to do what the CFI wishes them to do </w:t>
      </w:r>
      <w:r>
        <w:fldChar w:fldCharType="begin"/>
      </w:r>
      <w:r w:rsidR="00EB03D1">
        <w:instrText xml:space="preserve"> ADDIN ZOTERO_ITEM CSL_CITATION {"citationID":"s3BBBgoD","properties":{"formattedCitation":"(16,45)","plainCitation":"(16,45)","noteIndex":0},"citationItems":[{"id":4732,"uris":["http://zotero.org/users/1653264/items/CBIARXJD"],"itemData":{"id":4732,"type":"article-journal","abstract":"Health inequalities and user financial incentives to encourage health-related behavior change are two topical issues in the health policy discourse, and this article attempts to combine the two; namely, we try to address whether the latter can be used to reduce the former in the contexts of the United Kingdom and the United States. Payments for some aspects of medical adherence may offer a promising way to address, to some extent, inequalities in health and health care in both countries. However, payments for more sustained behavior change, such as that associated with smoking cessation and weight loss, have thus far shown little long-term effect, although more research that tests the effectiveness of different incentive mechanism designs, informed by the findings of behavioral economics, ought to be undertaken. Many practical, political, ethical, and ideological objections can be waged against user financial incentives in health, and this article reviews a number of them, but the justifiability of and limits to these incentives require more academic and public discourse so as to gain a better understanding of the circumstances in which they can legitimately be used.","container-title":"Journal of Health Politics, Policy and Law","ISSN":"0361-6878","issue":"2","language":"eng","note":"number: 2\npublisher: Duke University Press","page":"201-226","source":"eprints.lse.ac.uk","title":"A consideration of user financial incentives to address health inequalities","volume":"37","author":[{"family":"Oliver","given":"Adam"},{"family":"Brown","given":"Lawrence D."}],"issued":{"date-parts":[["2012",4]]}},"label":"page"},{"id":4725,"uris":["http://zotero.org/users/1653264/items/PCY8IMBM"],"itemData":{"id":4725,"type":"article-journal","abstract":"&lt;p&gt;Plans to give drug users shopping vouchers to attend treatment programmes and stay clean have been unveiled by NICE. &lt;b&gt;Joanne Shaw&lt;/b&gt; believes that payment creates perverse incentives, whereas &lt;b&gt;Tom Burns&lt;/b&gt; says rewarding patients for cooperation is consistent with good medical practice&lt;/p&gt;","container-title":"BMJ","DOI":"10.1136/bmj.39286.399514.BE","ISSN":"0959-8138, 1468-5833","issue":"7613","journalAbbreviation":"BMJ","language":"en","note":"publisher: British Medical Journal Publishing Group\nsection: Feature\nPMID: 17673764","page":"232-232","source":"www.bmj.com","title":"Is it acceptable for people to be paid to adhere to medication? Yes","title-short":"Is it acceptable for people to be paid to adhere to medication?","volume":"335","author":[{"family":"Burns","given":"Tom"}],"issued":{"date-parts":[["2007",8,2]]}},"label":"page"}],"schema":"https://github.com/citation-style-language/schema/raw/master/csl-citation.json"} </w:instrText>
      </w:r>
      <w:r>
        <w:fldChar w:fldCharType="separate"/>
      </w:r>
      <w:r w:rsidR="00EB03D1" w:rsidRPr="00EB03D1">
        <w:rPr>
          <w:rFonts w:ascii="Calibri" w:hAnsi="Calibri" w:cs="Calibri"/>
        </w:rPr>
        <w:t>(16,45)</w:t>
      </w:r>
      <w:r>
        <w:fldChar w:fldCharType="end"/>
      </w:r>
      <w:r>
        <w:t xml:space="preserve">. The voluntary nature is commonly questioned when an economic reward is offered to the most deprived, but since the value of the CFI remains modest, and considering previous </w:t>
      </w:r>
      <w:r>
        <w:lastRenderedPageBreak/>
        <w:t>arguments, we believe that CFI is not likely to undermine an individual’s view on what choice is in their best interest.</w:t>
      </w:r>
    </w:p>
    <w:p w14:paraId="4B295A5F" w14:textId="026C8988" w:rsidR="00431B7D" w:rsidRDefault="00231C11" w:rsidP="009340A4">
      <w:pPr>
        <w:spacing w:line="480" w:lineRule="auto"/>
      </w:pPr>
      <w:r>
        <w:t>Further research</w:t>
      </w:r>
      <w:r w:rsidR="00A8296D">
        <w:t xml:space="preserve"> on CFI and testing uptake</w:t>
      </w:r>
      <w:r>
        <w:t xml:space="preserve"> are required especially </w:t>
      </w:r>
      <w:r w:rsidR="00A8296D">
        <w:t xml:space="preserve">related to the economical sustainability and the long-term effect on uptake behaviours of such intervention. While CFI has been showed to be </w:t>
      </w:r>
      <w:r w:rsidR="00431B7D">
        <w:t xml:space="preserve">cost effective for other health behaviours </w:t>
      </w:r>
      <w:r w:rsidR="00431B7D">
        <w:fldChar w:fldCharType="begin"/>
      </w:r>
      <w:r w:rsidR="00431B7D">
        <w:instrText xml:space="preserve"> ADDIN ZOTERO_ITEM CSL_CITATION {"citationID":"u4fVgXeC","properties":{"formattedCitation":"(46,47)","plainCitation":"(46,47)","noteIndex":0},"citationItems":[{"id":4722,"uris":["http://zotero.org/users/1653264/items/HKVLQUFA"],"itemData":{"id":4722,"type":"article-journal","abstract":"AIMS: To investigate the cost-effectiveness of up to £400 worth of financial incentives for smoking cessation in pregnancy as an adjunct to routine health care.\nDESIGN: Cost-effectiveness analysis based on a Phase II randomized controlled trial (RCT) and a cost-utility analysis using a life-time Markov model.\nSETTING: The RCT was undertaken in Glasgow, Scotland. The economic analysis was undertaken from the UK National Health Service (NHS) perspective.\nPARTICIPANTS: A total of 612 pregnant women randomized to receive usual cessation support plus or minus financial incentives of up to £400 vouchers (US $609), contingent upon smoking cessation.\nMEASUREMENTS: Comparison of usual support and incentive interventions in terms of cotinine-validated quitters, quality-adjusted life years (QALYs) and direct costs to the NHS.\nFINDINGS: The incremental cost per quitter at 34-38 weeks pregnant was £1127 ($1716).This is similar to the standard look-up value derived from Stapleton &amp; West's published ICER tables, £1390 per quitter, by looking up the Cessation in Pregnancy Incentives Trial (CIPT) incremental cost (£157) and incremental 6-month quit outcome (0.14). The life-time model resulted in an incremental cost of £17 [95% confidence interval (CI) = -£93, £107] and a gain of 0.04 QALYs (95% CI = -0.058, 0.145), giving an ICER of £482/QALY ($734/QALY). Probabilistic sensitivity analysis indicates uncertainty in these results, particularly regarding relapse after birth. The expected value of perfect information was £30 million (at a willingness to pay of £30 000/QALY), so given current uncertainty, additional research is potentially worthwhile.\nCONCLUSION: Financial incentives for smoking cessation in pregnancy are highly cost-effective, with an incremental cost per quality-adjusted life years of £482, which is well below recommended decision thresholds.","container-title":"Addiction (Abingdon, England)","DOI":"10.1111/add.13160","ISSN":"1360-0443","issue":"2","journalAbbreviation":"Addiction","language":"eng","note":"PMID: 26370095","page":"360-370","source":"PubMed","title":"Are financial incentives cost-effective to support smoking cessation during pregnancy?","volume":"111","author":[{"family":"Boyd","given":"Kathleen A."},{"family":"Briggs","given":"Andrew H."},{"family":"Bauld","given":"Linda"},{"family":"Sinclair","given":"Lesley"},{"family":"Tappin","given":"David"}],"issued":{"date-parts":[["2016",2]]}},"label":"page"},{"id":4723,"uris":["http://zotero.org/users/1653264/items/2SESG6U2"],"itemData":{"id":4723,"type":"article-journal","abstract":"Background Economic incentives through health insurance may promote healthier behaviors. Little is known about health and economic impacts of incentivizing diet, a leading risk factor for diabetes and cardiovascular disease (CVD), through Medicare and Medicaid. Methods and findings A validated microsimulation model (CVD-PREDICT) estimated CVD and diabetes cases prevented, quality-adjusted life years (QALYs), health-related costs (formal healthcare, informal healthcare, and lost-productivity costs), and incremental cost-effectiveness ratios (ICERs) of two policy scenarios for adults within Medicare and Medicaid, compared to a base case of no new intervention: (1) 30% subsidy on fruits and vegetables (“F&amp;V incentive”) and (2) 30% subsidy on broader healthful foods including F&amp;V, whole grains, nuts/seeds, seafood, and plant oils (“healthy food incentive”). Inputs included national demographic and dietary data from the National Health and Nutrition Examination Survey (NHANES) 2009–2014, policy effects and diet-disease effects from meta-analyses, and policy and health-related costs from established sources. Overall, 82 million adults (35–80 years old) were on Medicare and/or Medicaid. The mean (SD) age was 68.1 (11.4) years, 56.2% were female, and 25.5% were non-whites. Health and cost impacts were simulated over the lifetime of current Medicare and Medicaid participants (average simulated years = 18.3 years). The F&amp;V incentive was estimated to prevent 1.93 million CVD events, gain 4.64 million QALYs, and save $39.7 billion in formal healthcare costs. For the healthy food incentive, corresponding gains were 3.28 million CVD and 0.12 million diabetes cases prevented, 8.40 million QALYs gained, and $100.2 billion in formal healthcare costs saved, respectively. From a healthcare perspective, both scenarios were cost-effective at 5 years and beyond, with lifetime ICERs of $18,184/QALY (F&amp;V incentive) and $13,194/QALY (healthy food incentive). From a societal perspective including informal healthcare costs and lost productivity, respective ICERs were $14,576/QALY and $9,497/QALY. Results were robust in probabilistic sensitivity analyses and a range of one-way sensitivity and subgroup analyses, including by different durations of the intervention (5, 10, and 20 years and lifetime), food subsidy levels (20%, 50%), insurance groups (Medicare, Medicaid, and dual-eligible), and beneficiary characteristics within each insurance group (age, race/ethnicity, education, income, and Supplemental Nutrition Assistant Program [SNAP] status). Simulation studies such as this one provide quantitative estimates of benefits and uncertainty but cannot directly prove health and economic impacts. Conclusions Economic incentives for healthier foods through Medicare and Medicaid could generate substantial health gains and be highly cost-effective.","container-title":"PLOS Medicine","DOI":"10.1371/journal.pmed.1002761","ISSN":"1549-1676","issue":"3","journalAbbreviation":"PLOS Medicine","language":"en","note":"publisher: Public Library of Science","page":"e1002761","source":"PLoS Journals","title":"Cost-effectiveness of financial incentives for improving diet and health through Medicare and Medicaid: A microsimulation study","title-short":"Cost-effectiveness of financial incentives for improving diet and health through Medicare and Medicaid","volume":"16","author":[{"family":"Lee","given":"Yujin"},{"family":"Mozaffarian","given":"Dariush"},{"family":"Sy","given":"Stephen"},{"family":"Huang","given":"Yue"},{"family":"Liu","given":"Junxiu"},{"family":"Wilde","given":"Parke E."},{"family":"Abrahams-Gessel","given":"Shafika"},{"family":"Jardim","given":"Thiago de Souza Veiga"},{"family":"Gaziano","given":"Thomas A."},{"family":"Micha","given":"Renata"}],"issued":{"date-parts":[["2019",3,19]]}},"label":"page"}],"schema":"https://github.com/citation-style-language/schema/raw/master/csl-citation.json"} </w:instrText>
      </w:r>
      <w:r w:rsidR="00431B7D">
        <w:fldChar w:fldCharType="separate"/>
      </w:r>
      <w:r w:rsidR="00431B7D" w:rsidRPr="00EB03D1">
        <w:rPr>
          <w:rFonts w:ascii="Calibri" w:hAnsi="Calibri" w:cs="Calibri"/>
        </w:rPr>
        <w:t>(46,47)</w:t>
      </w:r>
      <w:r w:rsidR="00431B7D">
        <w:fldChar w:fldCharType="end"/>
      </w:r>
      <w:r w:rsidR="00431B7D">
        <w:t xml:space="preserve">, each health behaviour has their specific effects on health. The cost-effectiveness of CFI use to encourage testing uptake should be assessed with regards to local epidemiologic contexts. In addition, while studies tend to show that one-off CFI is not effective for long-term behaviours adoption </w:t>
      </w:r>
      <w:r w:rsidR="00431B7D">
        <w:fldChar w:fldCharType="begin"/>
      </w:r>
      <w:r w:rsidR="00431B7D">
        <w:instrText xml:space="preserve"> ADDIN ZOTERO_ITEM CSL_CITATION {"citationID":"uDFrx7DM","properties":{"formattedCitation":"(12,13)","plainCitation":"(12,13)","noteIndex":0},"citationItems":[{"id":4745,"uris":["http://zotero.org/users/1653264/items/RZFV59U5"],"itemData":{"id":4745,"type":"article-journal","abstract":"Background\nViral suppression among HIV-positive individuals is essential for protecting health and preventing HIV transmission. Financial incentives have shown promise in modifying various health behaviors in low-income countries but few studies have assessed whether they can improve HIV treatment outcomes. We aimed to determine the impact of time-limited financial incentives on viral suppression among HIV-positive adults in rural Uganda.\n\nMethods\nWe conducted a randomized trial in four rural Ugandan parishes between June 27, 2016 and May 25, 2018. HIV-positive individuals aged ≥18 years were recruited from community health campaigns that included HIV testing services or at a local government health facility where HIV treatment is offered. Participants included those who were initiating antiretroviral therapy (ART) or already receiving ART. We measured participants’ viral load at baseline, 6, 12, 24, and 48 weeks and provided results along with viral load counseling. Participants randomized to the intervention group received financial incentives for viral suppression at 6, 12, and 24 weeks, with incentive amounts escalating from US$4 to US$12.5. The primary outcome was viral suppression (viral load&lt;400 copies per mL) at 24 weeks. To assess longerterm effects of time-limited incentives, the secondary outcome was viral suppression at 48 weeks. This trial is registered with ClinicalTrials.gov (NCT02890459).\n\nFindings\n400 adults were enrolled in the study, 324 from community health campaigns and 76 from the government clinic. Of these, eight (2%) withdrew from the study and were not included in analyses. Over the 48-week follow-up period, 35 (9%) died or were lost-to-follow-up. Participants’ median daily income was US$0.79. At baseline, 300 participants (77%) were virally suppressed. In intention-to-treat analyses, 168 participants (84%) in the intervention group and 156 participants (82%) in the control group were virally suppressed at 24 weeks (odds ratio, OR, 1.14, 95% CI 0.68–1.93, p=0.62. In per-protocol analyses limited to participants with viral load measurements at 24 weeks, there was no difference between study groups in viral suppression (OR 0.91, 95% CI 0.45–1.83, p=0.78). Withdrawal of incentives at 24 weeks did not affect long-term viral suppression, with 176 (88%) and 154 (81%) participants in the intervention and control groups, respectively, being virally suppressed at 48 weeks (p=0.06).\n\nInterpretation\nFinancial incentives had no effect on viral suppression among HIV-positive adults. High baseline viral suppression and provision of viral load results might have contributed to high viral suppression among participants. The results underscore the need for interventions that promote achievement of viral suppression among unsuppressed individuals.","container-title":"The lancet. HIV","DOI":"10.1016/S2352-3018(18)30330-8","ISSN":"2405-4704","issue":"3","journalAbbreviation":"Lancet HIV","note":"PMID: 30660594\nPMCID: PMC6421075","page":"e155-e163","source":"PubMed Central","title":"Financial Incentives for Achieving and Maintaining Viral Suppression Among HIV-Positive Adults in Uganda: A Randomized Trial","title-short":"Financial Incentives for Achieving and Maintaining Viral Suppression Among HIV-Positive Adults in Uganda","volume":"6","author":[{"family":"Thirumurthy","given":"Harsha"},{"family":"Ndyabakira","given":"Alex"},{"family":"Marson","given":"Kara"},{"family":"Emperador","given":"Devy"},{"family":"Kamya","given":"Moses"},{"family":"Havlir","given":"Diane"},{"family":"Kwarisiima","given":"Dalsone"},{"family":"Chamie","given":"Gabriel"}],"issued":{"date-parts":[["2019",3]]}}},{"id":2921,"uris":["http://zotero.org/users/1653264/items/WPV6V6WH"],"itemData":{"id":2921,"type":"article-journal","abstract":"BACKGROUND: Novel strategies are needed to increase retention in and uptake of prevention of mother-to-child HIV transmission (PMTCT) services in sub-Saharan Africa. We aimed to determine whether small, increasing cash payments, which were conditional on attendance at scheduled clinic visits and receipt of proposed services can increase the proportions of HIV-infected pregnant women who accept available PMTCT services and remain in care.\nMETHODS: In this randomised controlled trial, we recruited newly diagnosed HIV-infected women, who were 32 or less weeks pregnant, from 89 antenatal care clinics in Kinshasa, Democratic Republic of Congo, and randomly assigned (1:1) them to either the intervention group or the control group using computer-based randomisation with varying block sizes of four, six, and eight. The intervention group received compensation on the condition that they attended scheduled clinic visits and accepted offered PMTCT services (US$5, plus US$1 increment at every subsequent visit), whereas the control group received usual care. Outcomes assessed included retention in care at 6 weeks' post partum and uptake of PMTCT services, measured by attendance of all scheduled clinic visits and acceptance of proposed services up to 6 weeks' post partum. Analyses were by intention to treat. This trial is registered with ClinicalTrials.org, number NCT01838005.\nFINDINGS: Between April 18, 2013, and Aug 30, 2014, 612 potential participants were identified, 545 were screened, and 433 were enrolled and randomly assigned; 217 to the control group and 216 to the intervention group. At 6 weeks' post partum, 174 participants in the intervention group (81%) and 157 in the control group (72%) were retained in care (risk ratio [RR] 1·11; 95% CI 1·00-1·24). 146 participants in the intervention group (68%) and 116 in the control group (54%) attended all clinic visits and accepted proposed services (RR 1·26; 95% CI 1·08-1·48). Results were similar after adjustment for marital status, age, and education.\nINTERPRETATION: Among women with newly diagnosed HIV, small, incremental cash incentives resulted in increased retention along the PMTCT cascade and uptake of available services. The cost-effectiveness of these incentives and their effect on HIV-free survival warrant further investigation.\nFUNDING: President's Emergency Plan for AIDS Relief and the National Institute of Health and Child Development.","container-title":"The lancet. HIV","DOI":"10.1016/S2352-3018(15)00247-7","ISSN":"2352-3018","issue":"2","journalAbbreviation":"Lancet HIV","language":"eng","note":"PMID: 26847230","page":"e85-93","source":"PubMed","title":"Conditional cash transfers and uptake of and retention in prevention of mother-to-child HIV transmission care: a randomised controlled trial","title-short":"Conditional cash transfers and uptake of and retention in prevention of mother-to-child HIV transmission care","volume":"3","author":[{"family":"Yotebieng","given":"Marcel"},{"family":"Thirumurthy","given":"Harsha"},{"family":"Moracco","given":"Kathryn E."},{"family":"Kawende","given":"Bienvenu"},{"family":"Chalachala","given":"Jean Lambert"},{"family":"Wenzi","given":"Landry Kipula"},{"family":"Ravelomanana","given":"Noro Lantoniaina Rosa"},{"family":"Edmonds","given":"Andrew"},{"family":"Thompson","given":"Deidre"},{"family":"Okitolonda","given":"Emile W."},{"family":"Behets","given":"Frieda"}],"issued":{"date-parts":[["2016",2]]}}}],"schema":"https://github.com/citation-style-language/schema/raw/master/csl-citation.json"} </w:instrText>
      </w:r>
      <w:r w:rsidR="00431B7D">
        <w:fldChar w:fldCharType="separate"/>
      </w:r>
      <w:r w:rsidR="00431B7D" w:rsidRPr="00431B7D">
        <w:rPr>
          <w:rFonts w:ascii="Calibri" w:hAnsi="Calibri" w:cs="Calibri"/>
        </w:rPr>
        <w:t>(12,13)</w:t>
      </w:r>
      <w:r w:rsidR="00431B7D">
        <w:fldChar w:fldCharType="end"/>
      </w:r>
      <w:r w:rsidR="00431B7D">
        <w:t>, the impact of a one-off CFI on future non-incentivise testing offer acceptation remain undocumented.</w:t>
      </w:r>
      <w:r w:rsidR="005F59A6">
        <w:t xml:space="preserve"> </w:t>
      </w:r>
      <w:bookmarkStart w:id="40" w:name="_Hlk106109865"/>
      <w:r w:rsidR="005F59A6" w:rsidRPr="005F59A6">
        <w:t>This last question is quite important as regular repeat HIV testing is recommended in high HIV incidence settings</w:t>
      </w:r>
      <w:r w:rsidR="005F59A6">
        <w:t xml:space="preserve"> </w:t>
      </w:r>
      <w:r w:rsidR="005F59A6">
        <w:fldChar w:fldCharType="begin"/>
      </w:r>
      <w:r w:rsidR="005F59A6">
        <w:instrText xml:space="preserve"> ADDIN ZOTERO_ITEM CSL_CITATION {"citationID":"QjZSkGGl","properties":{"formattedCitation":"(48)","plainCitation":"(48)","noteIndex":0},"citationItems":[{"id":4203,"uris":["http://zotero.org/users/1653264/items/8WJ4QKRZ"],"itemData":{"id":4203,"type":"book","event-place":"Geneva","ISBN":"978-92-4-159556-8","language":"English","publisher":"World Health Organization","publisher-place":"Geneva","source":"Open WorldCat","title":"Guidance on provider-initiated HIV testing and counselling in health facilities.","author":[{"literal":"WHO"},{"literal":"UNAIDS"}],"issued":{"date-parts":[["2007"]]}}}],"schema":"https://github.com/citation-style-language/schema/raw/master/csl-citation.json"} </w:instrText>
      </w:r>
      <w:r w:rsidR="005F59A6">
        <w:fldChar w:fldCharType="separate"/>
      </w:r>
      <w:r w:rsidR="005F59A6" w:rsidRPr="005F59A6">
        <w:rPr>
          <w:rFonts w:ascii="Calibri" w:hAnsi="Calibri" w:cs="Calibri"/>
        </w:rPr>
        <w:t>(48)</w:t>
      </w:r>
      <w:r w:rsidR="005F59A6">
        <w:fldChar w:fldCharType="end"/>
      </w:r>
      <w:r w:rsidR="005F59A6">
        <w:t xml:space="preserve">. </w:t>
      </w:r>
      <w:bookmarkEnd w:id="40"/>
    </w:p>
    <w:p w14:paraId="232871F6" w14:textId="77777777" w:rsidR="001A02EC" w:rsidRDefault="001A02EC" w:rsidP="009340A4">
      <w:pPr>
        <w:pStyle w:val="Heading1"/>
        <w:spacing w:line="480" w:lineRule="auto"/>
      </w:pPr>
      <w:r>
        <w:t>Conclusion</w:t>
      </w:r>
    </w:p>
    <w:p w14:paraId="04848759" w14:textId="1F63221B" w:rsidR="00182884" w:rsidRPr="00182884" w:rsidRDefault="00A823B3" w:rsidP="009340A4">
      <w:pPr>
        <w:spacing w:line="480" w:lineRule="auto"/>
      </w:pPr>
      <w:bookmarkStart w:id="41" w:name="_Hlk101174805"/>
      <w:r w:rsidRPr="00855166">
        <w:t xml:space="preserve">Associating a CFI with </w:t>
      </w:r>
      <w:r>
        <w:t>an invitation for home-based HIV-testing</w:t>
      </w:r>
      <w:r w:rsidRPr="00855166">
        <w:t xml:space="preserve"> intervention increase</w:t>
      </w:r>
      <w:r>
        <w:t xml:space="preserve">s the overall HIV-testing uptake. However, this association leads to an </w:t>
      </w:r>
      <w:r w:rsidRPr="00855166">
        <w:t>increase</w:t>
      </w:r>
      <w:r>
        <w:t xml:space="preserve"> in</w:t>
      </w:r>
      <w:r w:rsidRPr="00855166">
        <w:t xml:space="preserve"> the existing </w:t>
      </w:r>
      <w:r>
        <w:t>socio-demographic</w:t>
      </w:r>
      <w:r w:rsidRPr="00855166">
        <w:t xml:space="preserve"> </w:t>
      </w:r>
      <w:r>
        <w:t>differences in testing uptake</w:t>
      </w:r>
      <w:r w:rsidRPr="00855166">
        <w:t>.</w:t>
      </w:r>
      <w:r>
        <w:t xml:space="preserve"> </w:t>
      </w:r>
      <w:r w:rsidR="001A02EC">
        <w:t xml:space="preserve">Future intervention involving CFI should consider its effect based on </w:t>
      </w:r>
      <w:r w:rsidR="009D67C9">
        <w:t>socio-demographic</w:t>
      </w:r>
      <w:r w:rsidR="001A02EC">
        <w:t xml:space="preserve"> disparities of recipients to prevent any increase in existing</w:t>
      </w:r>
      <w:r w:rsidR="000716FF">
        <w:t xml:space="preserve"> </w:t>
      </w:r>
      <w:r w:rsidR="00796F9D">
        <w:t>inequalities</w:t>
      </w:r>
      <w:r w:rsidR="000716FF">
        <w:t xml:space="preserve"> in</w:t>
      </w:r>
      <w:r w:rsidR="001A02EC">
        <w:t xml:space="preserve"> health behaviour</w:t>
      </w:r>
      <w:r w:rsidR="000716FF">
        <w:t>s</w:t>
      </w:r>
      <w:r w:rsidR="001A02EC">
        <w:t>.</w:t>
      </w:r>
      <w:bookmarkEnd w:id="41"/>
      <w:r w:rsidR="00182884">
        <w:br w:type="page"/>
      </w:r>
    </w:p>
    <w:p w14:paraId="2E3808C9" w14:textId="29BE4C5E" w:rsidR="00182884" w:rsidRDefault="00182884" w:rsidP="009340A4">
      <w:pPr>
        <w:pStyle w:val="Heading1"/>
        <w:spacing w:line="480" w:lineRule="auto"/>
      </w:pPr>
      <w:r>
        <w:lastRenderedPageBreak/>
        <w:t>List of tables</w:t>
      </w:r>
    </w:p>
    <w:p w14:paraId="36B5DC10" w14:textId="77777777" w:rsidR="00182884" w:rsidRPr="0042310B" w:rsidRDefault="00182884" w:rsidP="009340A4">
      <w:pPr>
        <w:spacing w:after="0" w:line="480" w:lineRule="auto"/>
        <w:jc w:val="left"/>
        <w:rPr>
          <w:b/>
          <w:bCs/>
        </w:rPr>
      </w:pPr>
      <w:r w:rsidRPr="009810B9">
        <w:rPr>
          <w:b/>
          <w:bCs/>
        </w:rPr>
        <w:t>Table 1. Sample description</w:t>
      </w:r>
    </w:p>
    <w:p w14:paraId="75A9DAC5" w14:textId="77777777" w:rsidR="00182884" w:rsidRDefault="00182884" w:rsidP="009340A4">
      <w:pPr>
        <w:spacing w:after="0" w:line="480" w:lineRule="auto"/>
        <w:jc w:val="left"/>
        <w:rPr>
          <w:b/>
          <w:bCs/>
        </w:rPr>
      </w:pPr>
      <w:r w:rsidRPr="6F0D3FE4">
        <w:rPr>
          <w:b/>
          <w:bCs/>
        </w:rPr>
        <w:t>Table 2</w:t>
      </w:r>
      <w:r>
        <w:rPr>
          <w:b/>
          <w:bCs/>
        </w:rPr>
        <w:t>.</w:t>
      </w:r>
      <w:r w:rsidRPr="6F0D3FE4">
        <w:rPr>
          <w:b/>
          <w:bCs/>
        </w:rPr>
        <w:t xml:space="preserve"> Testing uptake, difference within group and </w:t>
      </w:r>
      <w:r w:rsidRPr="6F0D3FE4">
        <w:rPr>
          <w:rFonts w:eastAsia="Times New Roman"/>
          <w:b/>
          <w:bCs/>
          <w:color w:val="000000" w:themeColor="text1"/>
          <w:sz w:val="20"/>
          <w:szCs w:val="20"/>
          <w:lang w:eastAsia="en-GB"/>
        </w:rPr>
        <w:t>differential i</w:t>
      </w:r>
      <w:r w:rsidRPr="6F0D3FE4">
        <w:rPr>
          <w:b/>
          <w:bCs/>
        </w:rPr>
        <w:t>ncrease between CFI arms and non-CFI arms, among men (n=9,290)</w:t>
      </w:r>
    </w:p>
    <w:p w14:paraId="35CE87BA" w14:textId="77777777" w:rsidR="00182884" w:rsidRPr="00E94871" w:rsidRDefault="00182884" w:rsidP="009340A4">
      <w:pPr>
        <w:spacing w:after="0" w:line="480" w:lineRule="auto"/>
        <w:jc w:val="left"/>
        <w:rPr>
          <w:b/>
          <w:bCs/>
        </w:rPr>
      </w:pPr>
      <w:r w:rsidRPr="00E94871">
        <w:rPr>
          <w:b/>
          <w:bCs/>
        </w:rPr>
        <w:t xml:space="preserve">Table </w:t>
      </w:r>
      <w:r>
        <w:rPr>
          <w:b/>
          <w:bCs/>
        </w:rPr>
        <w:t>3. T</w:t>
      </w:r>
      <w:r w:rsidRPr="00E94871">
        <w:rPr>
          <w:b/>
          <w:bCs/>
        </w:rPr>
        <w:t xml:space="preserve">esting uptake, difference within group and </w:t>
      </w:r>
      <w:r w:rsidRPr="00E94871">
        <w:rPr>
          <w:rFonts w:eastAsia="Times New Roman" w:cstheme="minorHAnsi"/>
          <w:b/>
          <w:bCs/>
          <w:color w:val="000000"/>
          <w:sz w:val="20"/>
          <w:szCs w:val="20"/>
          <w:lang w:eastAsia="en-GB"/>
        </w:rPr>
        <w:t>differential i</w:t>
      </w:r>
      <w:r w:rsidRPr="00E94871">
        <w:rPr>
          <w:b/>
          <w:bCs/>
        </w:rPr>
        <w:t xml:space="preserve">ncrease between CFI arms and non-CFI arms, among </w:t>
      </w:r>
      <w:r>
        <w:rPr>
          <w:b/>
          <w:bCs/>
        </w:rPr>
        <w:t>women</w:t>
      </w:r>
      <w:r w:rsidRPr="00E94871">
        <w:rPr>
          <w:b/>
          <w:bCs/>
        </w:rPr>
        <w:t xml:space="preserve"> (n=</w:t>
      </w:r>
      <w:r>
        <w:rPr>
          <w:b/>
          <w:bCs/>
        </w:rPr>
        <w:t>15</w:t>
      </w:r>
      <w:r w:rsidRPr="00E94871">
        <w:rPr>
          <w:b/>
          <w:bCs/>
        </w:rPr>
        <w:t>,2</w:t>
      </w:r>
      <w:r>
        <w:rPr>
          <w:b/>
          <w:bCs/>
        </w:rPr>
        <w:t>8</w:t>
      </w:r>
      <w:r w:rsidRPr="00E94871">
        <w:rPr>
          <w:b/>
          <w:bCs/>
        </w:rPr>
        <w:t>0)</w:t>
      </w:r>
    </w:p>
    <w:p w14:paraId="676092F6" w14:textId="3F32AA9E" w:rsidR="00182884" w:rsidRDefault="00182884" w:rsidP="009340A4">
      <w:pPr>
        <w:pStyle w:val="Heading1"/>
        <w:spacing w:line="480" w:lineRule="auto"/>
      </w:pPr>
      <w:r>
        <w:t>List of figures</w:t>
      </w:r>
    </w:p>
    <w:p w14:paraId="4B80E415" w14:textId="77777777" w:rsidR="00182884" w:rsidRDefault="00182884" w:rsidP="009340A4">
      <w:pPr>
        <w:spacing w:after="0" w:line="480" w:lineRule="auto"/>
        <w:jc w:val="left"/>
        <w:rPr>
          <w:b/>
          <w:bCs/>
        </w:rPr>
      </w:pPr>
      <w:r w:rsidRPr="001852A4">
        <w:rPr>
          <w:b/>
          <w:bCs/>
        </w:rPr>
        <w:t>Figure 1: Flow chart of eligible individuals included in the trial (A) and description of eligible people depending on whether they have been contacted, participated and consented to be HIV rapid tested</w:t>
      </w:r>
      <w:r>
        <w:rPr>
          <w:b/>
          <w:bCs/>
        </w:rPr>
        <w:t xml:space="preserve"> depending on test result</w:t>
      </w:r>
      <w:r w:rsidRPr="001852A4">
        <w:rPr>
          <w:b/>
          <w:bCs/>
        </w:rPr>
        <w:t xml:space="preserve"> (B).</w:t>
      </w:r>
      <w:r>
        <w:rPr>
          <w:b/>
          <w:bCs/>
        </w:rPr>
        <w:t xml:space="preserve"> </w:t>
      </w:r>
    </w:p>
    <w:p w14:paraId="2ABACB27" w14:textId="77777777" w:rsidR="00182884" w:rsidRDefault="00182884" w:rsidP="009340A4">
      <w:pPr>
        <w:pStyle w:val="NoSpacing"/>
        <w:spacing w:line="480" w:lineRule="auto"/>
      </w:pPr>
      <w:r w:rsidRPr="001852A4">
        <w:t>EPIC-HIV: male-targeted HIV-specific decision support application</w:t>
      </w:r>
    </w:p>
    <w:p w14:paraId="5B10629F" w14:textId="77777777" w:rsidR="00182884" w:rsidRDefault="00182884" w:rsidP="009340A4">
      <w:pPr>
        <w:pStyle w:val="NoSpacing"/>
        <w:spacing w:line="480" w:lineRule="auto"/>
      </w:pPr>
      <w:r>
        <w:t>* Including 9 individuals with missing data on testing consent</w:t>
      </w:r>
    </w:p>
    <w:p w14:paraId="600F7178" w14:textId="433BDDD2" w:rsidR="00182884" w:rsidRDefault="00182884" w:rsidP="009340A4">
      <w:pPr>
        <w:spacing w:line="480" w:lineRule="auto"/>
      </w:pPr>
      <w:r>
        <w:t>** Including 42 individual who consent to be tested but with invalid/discordant result or missing data.</w:t>
      </w:r>
    </w:p>
    <w:p w14:paraId="66FA0E81" w14:textId="77777777" w:rsidR="00182884" w:rsidRDefault="00182884" w:rsidP="009340A4">
      <w:pPr>
        <w:spacing w:after="0" w:line="480" w:lineRule="auto"/>
        <w:rPr>
          <w:b/>
          <w:bCs/>
        </w:rPr>
      </w:pPr>
      <w:r w:rsidRPr="002327A7">
        <w:rPr>
          <w:b/>
          <w:bCs/>
        </w:rPr>
        <w:t xml:space="preserve">Figure </w:t>
      </w:r>
      <w:r>
        <w:rPr>
          <w:b/>
          <w:bCs/>
        </w:rPr>
        <w:t>2</w:t>
      </w:r>
      <w:r w:rsidRPr="002327A7">
        <w:rPr>
          <w:b/>
          <w:bCs/>
        </w:rPr>
        <w:t xml:space="preserve">. </w:t>
      </w:r>
      <w:r>
        <w:rPr>
          <w:b/>
          <w:bCs/>
        </w:rPr>
        <w:t>Percentages of home-based r</w:t>
      </w:r>
      <w:r w:rsidRPr="002327A7">
        <w:rPr>
          <w:b/>
          <w:bCs/>
        </w:rPr>
        <w:t xml:space="preserve">apid-HIV testing uptake among men and women </w:t>
      </w:r>
      <w:r>
        <w:rPr>
          <w:b/>
          <w:bCs/>
        </w:rPr>
        <w:t>who have been contacted for trial participation by socio-demographic characteristics and arms</w:t>
      </w:r>
      <w:r w:rsidRPr="002327A7">
        <w:rPr>
          <w:b/>
          <w:bCs/>
        </w:rPr>
        <w:t>.</w:t>
      </w:r>
    </w:p>
    <w:p w14:paraId="220B6214" w14:textId="77777777" w:rsidR="00182884" w:rsidRPr="00DE1B2D" w:rsidRDefault="00182884" w:rsidP="009340A4">
      <w:pPr>
        <w:spacing w:line="480" w:lineRule="auto"/>
      </w:pPr>
      <w:bookmarkStart w:id="42" w:name="_Hlk102737930"/>
      <w:r w:rsidRPr="00DE1B2D">
        <w:t>Note:</w:t>
      </w:r>
      <w:r>
        <w:t xml:space="preserve"> the grey area between the dots </w:t>
      </w:r>
      <w:r w:rsidRPr="00DE1B2D">
        <w:t>highlight</w:t>
      </w:r>
      <w:r>
        <w:t>s</w:t>
      </w:r>
      <w:r w:rsidRPr="00DE1B2D">
        <w:t xml:space="preserve"> the differentials between arms</w:t>
      </w:r>
      <w:r>
        <w:t>.</w:t>
      </w:r>
    </w:p>
    <w:bookmarkEnd w:id="42"/>
    <w:p w14:paraId="74F54803" w14:textId="77777777" w:rsidR="00182884" w:rsidRDefault="00182884" w:rsidP="009340A4">
      <w:pPr>
        <w:spacing w:after="0" w:line="480" w:lineRule="auto"/>
        <w:jc w:val="left"/>
        <w:rPr>
          <w:b/>
          <w:bCs/>
        </w:rPr>
      </w:pPr>
      <w:r w:rsidRPr="001852A4">
        <w:rPr>
          <w:b/>
          <w:bCs/>
        </w:rPr>
        <w:t xml:space="preserve">Figure </w:t>
      </w:r>
      <w:r>
        <w:rPr>
          <w:b/>
          <w:bCs/>
        </w:rPr>
        <w:t>3</w:t>
      </w:r>
      <w:r w:rsidRPr="001852A4">
        <w:rPr>
          <w:b/>
          <w:bCs/>
        </w:rPr>
        <w:t xml:space="preserve">: </w:t>
      </w:r>
      <w:r>
        <w:rPr>
          <w:b/>
          <w:bCs/>
        </w:rPr>
        <w:t xml:space="preserve">Univariate analysis of risk factors associated with home-based HIV testing uptake among contacted individual depending on intervention arm. </w:t>
      </w:r>
    </w:p>
    <w:p w14:paraId="00D89527" w14:textId="77777777" w:rsidR="00182884" w:rsidRPr="00174A5C" w:rsidRDefault="00182884" w:rsidP="009340A4">
      <w:pPr>
        <w:spacing w:line="480" w:lineRule="auto"/>
      </w:pPr>
      <w:r w:rsidRPr="00E904B3">
        <w:t>Note: p</w:t>
      </w:r>
      <w:r>
        <w:t>-</w:t>
      </w:r>
      <w:r w:rsidRPr="00E904B3">
        <w:t>value indicated are the likelihood-ratio test for the interaction.</w:t>
      </w:r>
    </w:p>
    <w:p w14:paraId="20067340" w14:textId="3E58645F" w:rsidR="001A02EC" w:rsidRDefault="001A02EC" w:rsidP="009340A4">
      <w:pPr>
        <w:spacing w:line="480" w:lineRule="auto"/>
      </w:pPr>
      <w:r>
        <w:br w:type="page"/>
      </w:r>
    </w:p>
    <w:p w14:paraId="3280256F" w14:textId="77777777" w:rsidR="001A02EC" w:rsidRDefault="001A02EC" w:rsidP="001A02EC">
      <w:pPr>
        <w:pStyle w:val="Heading1"/>
      </w:pPr>
      <w:bookmarkStart w:id="43" w:name="_Hlk92113561"/>
      <w:r>
        <w:lastRenderedPageBreak/>
        <w:t>References</w:t>
      </w:r>
    </w:p>
    <w:p w14:paraId="71140A7E" w14:textId="4DCFD838" w:rsidR="005F59A6" w:rsidRPr="005F59A6" w:rsidRDefault="001A02EC" w:rsidP="005F59A6">
      <w:pPr>
        <w:pStyle w:val="Bibliography"/>
        <w:rPr>
          <w:rFonts w:ascii="Calibri" w:hAnsi="Calibri" w:cs="Calibri"/>
        </w:rPr>
      </w:pPr>
      <w:r>
        <w:fldChar w:fldCharType="begin"/>
      </w:r>
      <w:r w:rsidR="00A81A45">
        <w:instrText xml:space="preserve"> ADDIN ZOTERO_BIBL {"uncited":[],"omitted":[],"custom":[]} CSL_BIBLIOGRAPHY </w:instrText>
      </w:r>
      <w:r>
        <w:fldChar w:fldCharType="separate"/>
      </w:r>
      <w:r w:rsidR="005F59A6" w:rsidRPr="005F59A6">
        <w:rPr>
          <w:rFonts w:ascii="Calibri" w:hAnsi="Calibri" w:cs="Calibri"/>
        </w:rPr>
        <w:t xml:space="preserve">1. </w:t>
      </w:r>
      <w:r w:rsidR="005F59A6" w:rsidRPr="005F59A6">
        <w:rPr>
          <w:rFonts w:ascii="Calibri" w:hAnsi="Calibri" w:cs="Calibri"/>
        </w:rPr>
        <w:tab/>
        <w:t>Giles EL, Robalino S, McColl E, Sniehotta FF, Adams J. The Effectiveness of Financial Incentives for Health Behaviour Change: Systematic Review and Meta-Analysis. PLoS One. 2014;9(3). Available from: https://www.ncbi.nlm.nih.gov/pmc/articles/PMC3949711/</w:t>
      </w:r>
    </w:p>
    <w:p w14:paraId="28E37A63" w14:textId="77777777" w:rsidR="005F59A6" w:rsidRPr="005F59A6" w:rsidRDefault="005F59A6" w:rsidP="005F59A6">
      <w:pPr>
        <w:pStyle w:val="Bibliography"/>
        <w:rPr>
          <w:rFonts w:ascii="Calibri" w:hAnsi="Calibri" w:cs="Calibri"/>
        </w:rPr>
      </w:pPr>
      <w:r w:rsidRPr="005F59A6">
        <w:rPr>
          <w:rFonts w:ascii="Calibri" w:hAnsi="Calibri" w:cs="Calibri"/>
        </w:rPr>
        <w:t xml:space="preserve">2. </w:t>
      </w:r>
      <w:r w:rsidRPr="005F59A6">
        <w:rPr>
          <w:rFonts w:ascii="Calibri" w:hAnsi="Calibri" w:cs="Calibri"/>
        </w:rPr>
        <w:tab/>
        <w:t xml:space="preserve">Adams J, Giles EL, McColl E, Sniehotta FF. Carrots, sticks and health behaviours: a framework for documenting the complexity of financial incentive interventions to change health behaviours. Health Psychol Rev. 2014;8(3):286–95. </w:t>
      </w:r>
    </w:p>
    <w:p w14:paraId="39DAF01F" w14:textId="24599051" w:rsidR="005F59A6" w:rsidRPr="005F59A6" w:rsidRDefault="005F59A6" w:rsidP="005F59A6">
      <w:pPr>
        <w:pStyle w:val="Bibliography"/>
        <w:rPr>
          <w:rFonts w:ascii="Calibri" w:hAnsi="Calibri" w:cs="Calibri"/>
        </w:rPr>
      </w:pPr>
      <w:r w:rsidRPr="005F59A6">
        <w:rPr>
          <w:rFonts w:ascii="Calibri" w:hAnsi="Calibri" w:cs="Calibri"/>
        </w:rPr>
        <w:t xml:space="preserve">3. </w:t>
      </w:r>
      <w:r w:rsidRPr="005F59A6">
        <w:rPr>
          <w:rFonts w:ascii="Calibri" w:hAnsi="Calibri" w:cs="Calibri"/>
        </w:rPr>
        <w:tab/>
        <w:t xml:space="preserve">Stone EG, Morton SC, Hulscher ME, Maglione MA, Roth EA, Grimshaw JM, et al. Interventions That Increase Use of Adult Immunization and Cancer Screening Services: A Meta-Analysis. Ann Intern Med. 2002;136(9):641. </w:t>
      </w:r>
    </w:p>
    <w:p w14:paraId="1F3AAC08" w14:textId="6682FEC2" w:rsidR="005F59A6" w:rsidRPr="005F59A6" w:rsidRDefault="005F59A6" w:rsidP="005F59A6">
      <w:pPr>
        <w:pStyle w:val="Bibliography"/>
        <w:rPr>
          <w:rFonts w:ascii="Calibri" w:hAnsi="Calibri" w:cs="Calibri"/>
        </w:rPr>
      </w:pPr>
      <w:r w:rsidRPr="005F59A6">
        <w:rPr>
          <w:rFonts w:ascii="Calibri" w:hAnsi="Calibri" w:cs="Calibri"/>
        </w:rPr>
        <w:t xml:space="preserve">4. </w:t>
      </w:r>
      <w:r w:rsidRPr="005F59A6">
        <w:rPr>
          <w:rFonts w:ascii="Calibri" w:hAnsi="Calibri" w:cs="Calibri"/>
        </w:rPr>
        <w:tab/>
        <w:t xml:space="preserve">McNaughton RJ, Adams J, Shucksmith J. Acceptability of financial incentives or quasi-mandatory schemes to increase uptake of immunisations in preschool children in the United Kingdom: Qualitative study with parents and service delivery staff. Vaccine. 2016;34(19):2259–66. </w:t>
      </w:r>
    </w:p>
    <w:p w14:paraId="28E66F6C" w14:textId="6A48C46F" w:rsidR="005F59A6" w:rsidRPr="005F59A6" w:rsidRDefault="005F59A6" w:rsidP="005F59A6">
      <w:pPr>
        <w:pStyle w:val="Bibliography"/>
        <w:rPr>
          <w:rFonts w:ascii="Calibri" w:hAnsi="Calibri" w:cs="Calibri"/>
        </w:rPr>
      </w:pPr>
      <w:r w:rsidRPr="005F59A6">
        <w:rPr>
          <w:rFonts w:ascii="Calibri" w:hAnsi="Calibri" w:cs="Calibri"/>
        </w:rPr>
        <w:t xml:space="preserve">5. </w:t>
      </w:r>
      <w:r w:rsidRPr="005F59A6">
        <w:rPr>
          <w:rFonts w:ascii="Calibri" w:hAnsi="Calibri" w:cs="Calibri"/>
        </w:rPr>
        <w:tab/>
        <w:t xml:space="preserve">Krishnamoorthy Y, Rehman T, Sakthivel M. Effectiveness of Financial Incentives in Achieving UNAID Fast-Track 90-90-90 and 95-95-95 Target of HIV Care Continuum: A Systematic Review and Meta-Analysis of Randomized Controlled Trials. AIDS Behav. 2021;25(3):814–25. </w:t>
      </w:r>
    </w:p>
    <w:p w14:paraId="2B4D44C6" w14:textId="2056D978" w:rsidR="005F59A6" w:rsidRPr="005F59A6" w:rsidRDefault="005F59A6" w:rsidP="005F59A6">
      <w:pPr>
        <w:pStyle w:val="Bibliography"/>
        <w:rPr>
          <w:rFonts w:ascii="Calibri" w:hAnsi="Calibri" w:cs="Calibri"/>
        </w:rPr>
      </w:pPr>
      <w:r w:rsidRPr="005F59A6">
        <w:rPr>
          <w:rFonts w:ascii="Calibri" w:hAnsi="Calibri" w:cs="Calibri"/>
        </w:rPr>
        <w:t xml:space="preserve">6. </w:t>
      </w:r>
      <w:r w:rsidRPr="005F59A6">
        <w:rPr>
          <w:rFonts w:ascii="Calibri" w:hAnsi="Calibri" w:cs="Calibri"/>
        </w:rPr>
        <w:tab/>
        <w:t xml:space="preserve">Kim HB, Haile B, Lee T. Promotion and Persistence of HIV Testing and HIV/AIDS Knowledge: Evidence From a Randomized Controlled Trial in Ethiopia. Health Economics. 2017;26(11):1394–411. </w:t>
      </w:r>
    </w:p>
    <w:p w14:paraId="4E541ECB" w14:textId="352D1FFC" w:rsidR="005F59A6" w:rsidRPr="005F59A6" w:rsidRDefault="005F59A6" w:rsidP="005F59A6">
      <w:pPr>
        <w:pStyle w:val="Bibliography"/>
        <w:rPr>
          <w:rFonts w:ascii="Calibri" w:hAnsi="Calibri" w:cs="Calibri"/>
        </w:rPr>
      </w:pPr>
      <w:r w:rsidRPr="005F59A6">
        <w:rPr>
          <w:rFonts w:ascii="Calibri" w:hAnsi="Calibri" w:cs="Calibri"/>
        </w:rPr>
        <w:t xml:space="preserve">7. </w:t>
      </w:r>
      <w:r w:rsidRPr="005F59A6">
        <w:rPr>
          <w:rFonts w:ascii="Calibri" w:hAnsi="Calibri" w:cs="Calibri"/>
        </w:rPr>
        <w:tab/>
        <w:t xml:space="preserve">Kranzer K, Simms V, Bandason T, Dauya E, McHugh G, Munyati S, et al. Economic incentives for HIV testing by adolescents in Zimbabwe: a randomised controlled trial. The Lancet HIV. 2018;5(2):e79–86. </w:t>
      </w:r>
    </w:p>
    <w:p w14:paraId="0C2E3ACD" w14:textId="5070FC20" w:rsidR="005F59A6" w:rsidRPr="005F59A6" w:rsidRDefault="005F59A6" w:rsidP="005F59A6">
      <w:pPr>
        <w:pStyle w:val="Bibliography"/>
        <w:rPr>
          <w:rFonts w:ascii="Calibri" w:hAnsi="Calibri" w:cs="Calibri"/>
        </w:rPr>
      </w:pPr>
      <w:r w:rsidRPr="005F59A6">
        <w:rPr>
          <w:rFonts w:ascii="Calibri" w:hAnsi="Calibri" w:cs="Calibri"/>
        </w:rPr>
        <w:t xml:space="preserve">8. </w:t>
      </w:r>
      <w:r w:rsidRPr="005F59A6">
        <w:rPr>
          <w:rFonts w:ascii="Calibri" w:hAnsi="Calibri" w:cs="Calibri"/>
        </w:rPr>
        <w:tab/>
        <w:t xml:space="preserve">Thornton RL. The Demand for, and Impact of, Learning HIV Status. Am Econ Rev. 2008;98(5):1829–63. </w:t>
      </w:r>
    </w:p>
    <w:p w14:paraId="649270E9" w14:textId="48BEEC67" w:rsidR="005F59A6" w:rsidRPr="005F59A6" w:rsidRDefault="005F59A6" w:rsidP="005F59A6">
      <w:pPr>
        <w:pStyle w:val="Bibliography"/>
        <w:rPr>
          <w:rFonts w:ascii="Calibri" w:hAnsi="Calibri" w:cs="Calibri"/>
        </w:rPr>
      </w:pPr>
      <w:r w:rsidRPr="005F59A6">
        <w:rPr>
          <w:rFonts w:ascii="Calibri" w:hAnsi="Calibri" w:cs="Calibri"/>
        </w:rPr>
        <w:t xml:space="preserve">9. </w:t>
      </w:r>
      <w:r w:rsidRPr="005F59A6">
        <w:rPr>
          <w:rFonts w:ascii="Calibri" w:hAnsi="Calibri" w:cs="Calibri"/>
        </w:rPr>
        <w:tab/>
        <w:t xml:space="preserve">Elul B, Lamb MR, Lahuerta M, Abacassamo F, Ahoua L, Kujawski SA, et al. A combination intervention strategy to improve linkage to and retention in HIV care following diagnosis in Mozambique: A cluster-randomized study. PLoS Med. 2017;14(11):e1002433. </w:t>
      </w:r>
    </w:p>
    <w:p w14:paraId="61027B73" w14:textId="0F53481C" w:rsidR="005F59A6" w:rsidRPr="005F59A6" w:rsidRDefault="005F59A6" w:rsidP="005F59A6">
      <w:pPr>
        <w:pStyle w:val="Bibliography"/>
        <w:rPr>
          <w:rFonts w:ascii="Calibri" w:hAnsi="Calibri" w:cs="Calibri"/>
        </w:rPr>
      </w:pPr>
      <w:r w:rsidRPr="005F59A6">
        <w:rPr>
          <w:rFonts w:ascii="Calibri" w:hAnsi="Calibri" w:cs="Calibri"/>
        </w:rPr>
        <w:t xml:space="preserve">10. </w:t>
      </w:r>
      <w:r w:rsidRPr="005F59A6">
        <w:rPr>
          <w:rFonts w:ascii="Calibri" w:hAnsi="Calibri" w:cs="Calibri"/>
        </w:rPr>
        <w:tab/>
        <w:t xml:space="preserve">Tanser FC, Kim HY, Mathenjwa T, Shahmanesh M, Seeley J, Matthews P, et al. Home-Based Intervention to Test and Start (HITS): a community-randomized controlled trial to increase HIV testing uptake among men in rural South Africa. J Int AIDS Soc. 2021;24(2):e25665. </w:t>
      </w:r>
    </w:p>
    <w:p w14:paraId="3746DEB1" w14:textId="0810B9DC" w:rsidR="005F59A6" w:rsidRPr="005F59A6" w:rsidRDefault="005F59A6" w:rsidP="005F59A6">
      <w:pPr>
        <w:pStyle w:val="Bibliography"/>
        <w:rPr>
          <w:rFonts w:ascii="Calibri" w:hAnsi="Calibri" w:cs="Calibri"/>
        </w:rPr>
      </w:pPr>
      <w:r w:rsidRPr="005F59A6">
        <w:rPr>
          <w:rFonts w:ascii="Calibri" w:hAnsi="Calibri" w:cs="Calibri"/>
        </w:rPr>
        <w:t xml:space="preserve">11. </w:t>
      </w:r>
      <w:r w:rsidRPr="005F59A6">
        <w:rPr>
          <w:rFonts w:ascii="Calibri" w:hAnsi="Calibri" w:cs="Calibri"/>
        </w:rPr>
        <w:tab/>
        <w:t xml:space="preserve">McNairy ML, Lamb MR, Gachuhi AB, Nuwagaba-Biribonwoha H, Burke S, Mazibuko S, et al. Effectiveness of a combination strategy for linkage and retention in adult HIV care in Swaziland: The Link4Health cluster randomized trial. PLoS Med. 2017;14(11):e1002420. </w:t>
      </w:r>
    </w:p>
    <w:p w14:paraId="34DA0611" w14:textId="5870007E" w:rsidR="005F59A6" w:rsidRPr="005F59A6" w:rsidRDefault="005F59A6" w:rsidP="005F59A6">
      <w:pPr>
        <w:pStyle w:val="Bibliography"/>
        <w:rPr>
          <w:rFonts w:ascii="Calibri" w:hAnsi="Calibri" w:cs="Calibri"/>
        </w:rPr>
      </w:pPr>
      <w:r w:rsidRPr="005F59A6">
        <w:rPr>
          <w:rFonts w:ascii="Calibri" w:hAnsi="Calibri" w:cs="Calibri"/>
        </w:rPr>
        <w:t xml:space="preserve">12. </w:t>
      </w:r>
      <w:r w:rsidRPr="005F59A6">
        <w:rPr>
          <w:rFonts w:ascii="Calibri" w:hAnsi="Calibri" w:cs="Calibri"/>
        </w:rPr>
        <w:tab/>
        <w:t xml:space="preserve">Thirumurthy H, Ndyabakira A, Marson K, Emperador D, Kamya M, Havlir D, et al. Financial Incentives for Achieving and Maintaining Viral Suppression Among HIV-Positive Adults in Uganda: A Randomized Trial. Lancet HIV. 2019;6(3):e155–63. </w:t>
      </w:r>
    </w:p>
    <w:p w14:paraId="2B2784E2" w14:textId="2B687DFB" w:rsidR="005F59A6" w:rsidRPr="005F59A6" w:rsidRDefault="005F59A6" w:rsidP="005F59A6">
      <w:pPr>
        <w:pStyle w:val="Bibliography"/>
        <w:rPr>
          <w:rFonts w:ascii="Calibri" w:hAnsi="Calibri" w:cs="Calibri"/>
        </w:rPr>
      </w:pPr>
      <w:r w:rsidRPr="005F59A6">
        <w:rPr>
          <w:rFonts w:ascii="Calibri" w:hAnsi="Calibri" w:cs="Calibri"/>
        </w:rPr>
        <w:t xml:space="preserve">13. </w:t>
      </w:r>
      <w:r w:rsidRPr="005F59A6">
        <w:rPr>
          <w:rFonts w:ascii="Calibri" w:hAnsi="Calibri" w:cs="Calibri"/>
        </w:rPr>
        <w:tab/>
        <w:t xml:space="preserve">Yotebieng M, Thirumurthy H, Moracco KE, Kawende B, Chalachala JL, Wenzi LK, et al. Conditional cash transfers and uptake of and retention in prevention of mother-to-child HIV transmission care: a randomised controlled trial. Lancet HIV. 2016;3(2):e85-93. </w:t>
      </w:r>
    </w:p>
    <w:p w14:paraId="26218940" w14:textId="77777777" w:rsidR="005F59A6" w:rsidRPr="005F59A6" w:rsidRDefault="005F59A6" w:rsidP="005F59A6">
      <w:pPr>
        <w:pStyle w:val="Bibliography"/>
        <w:rPr>
          <w:rFonts w:ascii="Calibri" w:hAnsi="Calibri" w:cs="Calibri"/>
        </w:rPr>
      </w:pPr>
      <w:r w:rsidRPr="005F59A6">
        <w:rPr>
          <w:rFonts w:ascii="Calibri" w:hAnsi="Calibri" w:cs="Calibri"/>
        </w:rPr>
        <w:lastRenderedPageBreak/>
        <w:t xml:space="preserve">14. </w:t>
      </w:r>
      <w:r w:rsidRPr="005F59A6">
        <w:rPr>
          <w:rFonts w:ascii="Calibri" w:hAnsi="Calibri" w:cs="Calibri"/>
        </w:rPr>
        <w:tab/>
        <w:t xml:space="preserve">Frederick S, Loewenstein G, O’Donoghue T. Time Discounting and Time Preference: A Critical Review. Journal of Economic Literature. 2002;40(2):351–401. </w:t>
      </w:r>
    </w:p>
    <w:p w14:paraId="6F9B2A19" w14:textId="6969C573" w:rsidR="005F59A6" w:rsidRPr="005F59A6" w:rsidRDefault="005F59A6" w:rsidP="005F59A6">
      <w:pPr>
        <w:pStyle w:val="Bibliography"/>
        <w:rPr>
          <w:rFonts w:ascii="Calibri" w:hAnsi="Calibri" w:cs="Calibri"/>
        </w:rPr>
      </w:pPr>
      <w:r w:rsidRPr="005F59A6">
        <w:rPr>
          <w:rFonts w:ascii="Calibri" w:hAnsi="Calibri" w:cs="Calibri"/>
        </w:rPr>
        <w:t xml:space="preserve">15. </w:t>
      </w:r>
      <w:r w:rsidRPr="005F59A6">
        <w:rPr>
          <w:rFonts w:ascii="Calibri" w:hAnsi="Calibri" w:cs="Calibri"/>
        </w:rPr>
        <w:tab/>
        <w:t xml:space="preserve">Haff N, Patel MS, Lim R, Zhu J, Troxel AB, Asch DA, et al. The Role of Behavioral Economic Incentive Design and Demographic Characteristics in Financial Incentive-Based Approaches to Changing Health Behaviors: A Meta-Analysis. Am J Health Promot. 2015;29(5):314–23. </w:t>
      </w:r>
    </w:p>
    <w:p w14:paraId="2EAAF6B9" w14:textId="6A2D391F" w:rsidR="005F59A6" w:rsidRPr="005F59A6" w:rsidRDefault="005F59A6" w:rsidP="005F59A6">
      <w:pPr>
        <w:pStyle w:val="Bibliography"/>
        <w:rPr>
          <w:rFonts w:ascii="Calibri" w:hAnsi="Calibri" w:cs="Calibri"/>
        </w:rPr>
      </w:pPr>
      <w:r w:rsidRPr="005F59A6">
        <w:rPr>
          <w:rFonts w:ascii="Calibri" w:hAnsi="Calibri" w:cs="Calibri"/>
        </w:rPr>
        <w:t xml:space="preserve">16. </w:t>
      </w:r>
      <w:r w:rsidRPr="005F59A6">
        <w:rPr>
          <w:rFonts w:ascii="Calibri" w:hAnsi="Calibri" w:cs="Calibri"/>
        </w:rPr>
        <w:tab/>
        <w:t xml:space="preserve">Oliver A, Brown LD. A consideration of user financial incentives to address health inequalities. Journal of Health Politics, Policy and Law. 2012;37(2):201–26. </w:t>
      </w:r>
    </w:p>
    <w:p w14:paraId="6FC7D193" w14:textId="2E2A0DD5" w:rsidR="005F59A6" w:rsidRPr="005F59A6" w:rsidRDefault="005F59A6" w:rsidP="005F59A6">
      <w:pPr>
        <w:pStyle w:val="Bibliography"/>
        <w:rPr>
          <w:rFonts w:ascii="Calibri" w:hAnsi="Calibri" w:cs="Calibri"/>
        </w:rPr>
      </w:pPr>
      <w:r w:rsidRPr="005F59A6">
        <w:rPr>
          <w:rFonts w:ascii="Calibri" w:hAnsi="Calibri" w:cs="Calibri"/>
        </w:rPr>
        <w:t xml:space="preserve">17. </w:t>
      </w:r>
      <w:r w:rsidRPr="005F59A6">
        <w:rPr>
          <w:rFonts w:ascii="Calibri" w:hAnsi="Calibri" w:cs="Calibri"/>
        </w:rPr>
        <w:tab/>
        <w:t xml:space="preserve">Hunter RF, Tang J, Hutchinson G, Chilton S, Holmes D, Kee F. Association between time preference, present-bias and physical activity: implications for designing behavior change interventions. BMC Public Health. 2018;18(1):1388. </w:t>
      </w:r>
    </w:p>
    <w:p w14:paraId="5FBFE159" w14:textId="754FDA04" w:rsidR="005F59A6" w:rsidRPr="005F59A6" w:rsidRDefault="005F59A6" w:rsidP="005F59A6">
      <w:pPr>
        <w:pStyle w:val="Bibliography"/>
        <w:rPr>
          <w:rFonts w:ascii="Calibri" w:hAnsi="Calibri" w:cs="Calibri"/>
        </w:rPr>
      </w:pPr>
      <w:r w:rsidRPr="005F59A6">
        <w:rPr>
          <w:rFonts w:ascii="Calibri" w:hAnsi="Calibri" w:cs="Calibri"/>
        </w:rPr>
        <w:t xml:space="preserve">18. </w:t>
      </w:r>
      <w:r w:rsidRPr="005F59A6">
        <w:rPr>
          <w:rFonts w:ascii="Calibri" w:hAnsi="Calibri" w:cs="Calibri"/>
        </w:rPr>
        <w:tab/>
        <w:t xml:space="preserve">Zarin DA. Participant-Level Data and the New Frontier in Trial Transparency. New England Journal of Medicine. 2013;369(5):468–9. </w:t>
      </w:r>
    </w:p>
    <w:p w14:paraId="5F34F15E" w14:textId="18B2425D" w:rsidR="005F59A6" w:rsidRPr="005F59A6" w:rsidRDefault="005F59A6" w:rsidP="005F59A6">
      <w:pPr>
        <w:pStyle w:val="Bibliography"/>
        <w:rPr>
          <w:rFonts w:ascii="Calibri" w:hAnsi="Calibri" w:cs="Calibri"/>
        </w:rPr>
      </w:pPr>
      <w:r w:rsidRPr="005F59A6">
        <w:rPr>
          <w:rFonts w:ascii="Calibri" w:hAnsi="Calibri" w:cs="Calibri"/>
        </w:rPr>
        <w:t xml:space="preserve">19. </w:t>
      </w:r>
      <w:r w:rsidRPr="005F59A6">
        <w:rPr>
          <w:rFonts w:ascii="Calibri" w:hAnsi="Calibri" w:cs="Calibri"/>
        </w:rPr>
        <w:tab/>
        <w:t xml:space="preserve">Mantzari E, Vogt F, Marteau TM. Financial Incentives for Increasing Uptake of HPV Vaccinations: A Randomized Controlled Trial. Health Psychol. 2015;34(2):160–71. </w:t>
      </w:r>
    </w:p>
    <w:p w14:paraId="0D1C7B6B" w14:textId="3CF2F49E" w:rsidR="005F59A6" w:rsidRPr="005F59A6" w:rsidRDefault="005F59A6" w:rsidP="005F59A6">
      <w:pPr>
        <w:pStyle w:val="Bibliography"/>
        <w:rPr>
          <w:rFonts w:ascii="Calibri" w:hAnsi="Calibri" w:cs="Calibri"/>
        </w:rPr>
      </w:pPr>
      <w:r w:rsidRPr="005F59A6">
        <w:rPr>
          <w:rFonts w:ascii="Calibri" w:hAnsi="Calibri" w:cs="Calibri"/>
        </w:rPr>
        <w:t xml:space="preserve">20. </w:t>
      </w:r>
      <w:r w:rsidRPr="005F59A6">
        <w:rPr>
          <w:rFonts w:ascii="Calibri" w:hAnsi="Calibri" w:cs="Calibri"/>
        </w:rPr>
        <w:tab/>
        <w:t xml:space="preserve">Haisley E, Volpp KG, Pellathy T, Loewenstein G. The impact of alternative incentive schemes on completion of health risk assessments. Am J Health Promot. 2012;26(3):184–8. </w:t>
      </w:r>
    </w:p>
    <w:p w14:paraId="18B76A4D" w14:textId="5D858C5A" w:rsidR="005F59A6" w:rsidRPr="005F59A6" w:rsidRDefault="005F59A6" w:rsidP="005F59A6">
      <w:pPr>
        <w:pStyle w:val="Bibliography"/>
        <w:rPr>
          <w:rFonts w:ascii="Calibri" w:hAnsi="Calibri" w:cs="Calibri"/>
        </w:rPr>
      </w:pPr>
      <w:r w:rsidRPr="005F59A6">
        <w:rPr>
          <w:rFonts w:ascii="Calibri" w:hAnsi="Calibri" w:cs="Calibri"/>
        </w:rPr>
        <w:t xml:space="preserve">21. </w:t>
      </w:r>
      <w:r w:rsidRPr="005F59A6">
        <w:rPr>
          <w:rFonts w:ascii="Calibri" w:hAnsi="Calibri" w:cs="Calibri"/>
        </w:rPr>
        <w:tab/>
        <w:t xml:space="preserve">Ante-Testard PA, Benmarhnia T, Bekelynck A, Baggaley R, Ouattara E, Temime L, et al. Temporal trends in socioeconomic inequalities in HIV testing: an analysis of cross-sectional surveys from 16 sub-Saharan African countries. The Lancet Global Health. 2020;8(6):e808–18. </w:t>
      </w:r>
    </w:p>
    <w:p w14:paraId="4F75C8D0" w14:textId="77777777" w:rsidR="005F59A6" w:rsidRPr="005F59A6" w:rsidRDefault="005F59A6" w:rsidP="005F59A6">
      <w:pPr>
        <w:pStyle w:val="Bibliography"/>
        <w:rPr>
          <w:rFonts w:ascii="Calibri" w:hAnsi="Calibri" w:cs="Calibri"/>
        </w:rPr>
      </w:pPr>
      <w:r w:rsidRPr="005F59A6">
        <w:rPr>
          <w:rFonts w:ascii="Calibri" w:hAnsi="Calibri" w:cs="Calibri"/>
        </w:rPr>
        <w:t xml:space="preserve">22. </w:t>
      </w:r>
      <w:r w:rsidRPr="005F59A6">
        <w:rPr>
          <w:rFonts w:ascii="Calibri" w:hAnsi="Calibri" w:cs="Calibri"/>
        </w:rPr>
        <w:tab/>
        <w:t xml:space="preserve">UNAIDS data 2021. Geneva: Joint United Nations Programme on HIV/AIDS; 2021. </w:t>
      </w:r>
    </w:p>
    <w:p w14:paraId="74A5C048" w14:textId="77777777" w:rsidR="005F59A6" w:rsidRPr="005F59A6" w:rsidRDefault="005F59A6" w:rsidP="005F59A6">
      <w:pPr>
        <w:pStyle w:val="Bibliography"/>
        <w:rPr>
          <w:rFonts w:ascii="Calibri" w:hAnsi="Calibri" w:cs="Calibri"/>
        </w:rPr>
      </w:pPr>
      <w:r w:rsidRPr="005F59A6">
        <w:rPr>
          <w:rFonts w:ascii="Calibri" w:hAnsi="Calibri" w:cs="Calibri"/>
        </w:rPr>
        <w:t xml:space="preserve">23. </w:t>
      </w:r>
      <w:r w:rsidRPr="005F59A6">
        <w:rPr>
          <w:rFonts w:ascii="Calibri" w:hAnsi="Calibri" w:cs="Calibri"/>
        </w:rPr>
        <w:tab/>
        <w:t xml:space="preserve">National Department of Health [South Africa], Statistics South Africa, South African Medical Research Council, ICF. South Africa Demographic and Health Survey 2016. Pretoria, South Africa, and Rockville, Maryland, USA: NDoH, Stats SA, SAMRC, and ICF; 2019. </w:t>
      </w:r>
    </w:p>
    <w:p w14:paraId="15CE7981" w14:textId="4B379756" w:rsidR="005F59A6" w:rsidRPr="005F59A6" w:rsidRDefault="005F59A6" w:rsidP="005F59A6">
      <w:pPr>
        <w:pStyle w:val="Bibliography"/>
        <w:rPr>
          <w:rFonts w:ascii="Calibri" w:hAnsi="Calibri" w:cs="Calibri"/>
        </w:rPr>
      </w:pPr>
      <w:r w:rsidRPr="005F59A6">
        <w:rPr>
          <w:rFonts w:ascii="Calibri" w:hAnsi="Calibri" w:cs="Calibri"/>
        </w:rPr>
        <w:t xml:space="preserve">24. </w:t>
      </w:r>
      <w:r w:rsidRPr="005F59A6">
        <w:rPr>
          <w:rFonts w:ascii="Calibri" w:hAnsi="Calibri" w:cs="Calibri"/>
        </w:rPr>
        <w:tab/>
        <w:t xml:space="preserve">Venkatesh KK, Madiba P, De Bruyn G, Lurie MN, Coates TJ, Gray GE. Who gets tested for HIV in a South African urban township? Implications for test and treat and gender-based prevention interventions. J Acquir Immune Defic Syndr. 2011;56(2):151–65. </w:t>
      </w:r>
    </w:p>
    <w:p w14:paraId="2D17FA58" w14:textId="77777777" w:rsidR="005F59A6" w:rsidRPr="005F59A6" w:rsidRDefault="005F59A6" w:rsidP="005F59A6">
      <w:pPr>
        <w:pStyle w:val="Bibliography"/>
        <w:rPr>
          <w:rFonts w:ascii="Calibri" w:hAnsi="Calibri" w:cs="Calibri"/>
        </w:rPr>
      </w:pPr>
      <w:r w:rsidRPr="005F59A6">
        <w:rPr>
          <w:rFonts w:ascii="Calibri" w:hAnsi="Calibri" w:cs="Calibri"/>
        </w:rPr>
        <w:t xml:space="preserve">25. </w:t>
      </w:r>
      <w:r w:rsidRPr="005F59A6">
        <w:rPr>
          <w:rFonts w:ascii="Calibri" w:hAnsi="Calibri" w:cs="Calibri"/>
        </w:rPr>
        <w:tab/>
        <w:t xml:space="preserve">Baisley K, Seeley J, Siedner M, Koole K, Matthews P, Tanser F, et al. Findings from home-based HIV testing and facilitated linkage after scale-up of test and treat in rural South Africa: young people still missing. HIV Medicine. 2019;20(10):704–8. </w:t>
      </w:r>
    </w:p>
    <w:p w14:paraId="0BEBC974" w14:textId="1BA8F7C9" w:rsidR="005F59A6" w:rsidRPr="005F59A6" w:rsidRDefault="005F59A6" w:rsidP="005F59A6">
      <w:pPr>
        <w:pStyle w:val="Bibliography"/>
        <w:rPr>
          <w:rFonts w:ascii="Calibri" w:hAnsi="Calibri" w:cs="Calibri"/>
        </w:rPr>
      </w:pPr>
      <w:r w:rsidRPr="005F59A6">
        <w:rPr>
          <w:rFonts w:ascii="Calibri" w:hAnsi="Calibri" w:cs="Calibri"/>
        </w:rPr>
        <w:t xml:space="preserve">26. </w:t>
      </w:r>
      <w:r w:rsidRPr="005F59A6">
        <w:rPr>
          <w:rFonts w:ascii="Calibri" w:hAnsi="Calibri" w:cs="Calibri"/>
        </w:rPr>
        <w:tab/>
        <w:t xml:space="preserve">Mathenjwa T, Kim HY, Zuma T, Shahmanesh M, Seeley J, Matthews P, et al. Home-based intervention to test and start (HITS) protocol: a cluster-randomized controlled trial to reduce HIV-related mortality in men and HIV incidence in women through increased coverage of HIV treatment. BMC Public Health. 2019;19(1):969. </w:t>
      </w:r>
    </w:p>
    <w:p w14:paraId="6F9C258E" w14:textId="189BE835" w:rsidR="005F59A6" w:rsidRPr="005F59A6" w:rsidRDefault="005F59A6" w:rsidP="005F59A6">
      <w:pPr>
        <w:pStyle w:val="Bibliography"/>
        <w:rPr>
          <w:rFonts w:ascii="Calibri" w:hAnsi="Calibri" w:cs="Calibri"/>
        </w:rPr>
      </w:pPr>
      <w:r w:rsidRPr="007F06F1">
        <w:rPr>
          <w:rFonts w:ascii="Calibri" w:hAnsi="Calibri" w:cs="Calibri"/>
        </w:rPr>
        <w:t xml:space="preserve">27. </w:t>
      </w:r>
      <w:r w:rsidRPr="007F06F1">
        <w:rPr>
          <w:rFonts w:ascii="Calibri" w:hAnsi="Calibri" w:cs="Calibri"/>
        </w:rPr>
        <w:tab/>
        <w:t xml:space="preserve">Gareta D, Baisley K, Mngomezulu T, Smit T, Khoza T, Nxumalo S, et al. </w:t>
      </w:r>
      <w:r w:rsidRPr="005F59A6">
        <w:rPr>
          <w:rFonts w:ascii="Calibri" w:hAnsi="Calibri" w:cs="Calibri"/>
        </w:rPr>
        <w:t xml:space="preserve">Cohort Profile Update: Africa Centre Demographic Information System (ACDIS) and population-based HIV survey. Int J Epidemiol. 2021;50(1):33–4. </w:t>
      </w:r>
    </w:p>
    <w:p w14:paraId="54599E30" w14:textId="77777777" w:rsidR="005F59A6" w:rsidRPr="005F59A6" w:rsidRDefault="005F59A6" w:rsidP="005F59A6">
      <w:pPr>
        <w:pStyle w:val="Bibliography"/>
        <w:rPr>
          <w:rFonts w:ascii="Calibri" w:hAnsi="Calibri" w:cs="Calibri"/>
        </w:rPr>
      </w:pPr>
      <w:r w:rsidRPr="005F59A6">
        <w:rPr>
          <w:rFonts w:ascii="Calibri" w:hAnsi="Calibri" w:cs="Calibri"/>
        </w:rPr>
        <w:t xml:space="preserve">28. </w:t>
      </w:r>
      <w:r w:rsidRPr="005F59A6">
        <w:rPr>
          <w:rFonts w:ascii="Calibri" w:hAnsi="Calibri" w:cs="Calibri"/>
        </w:rPr>
        <w:tab/>
        <w:t xml:space="preserve">Stats SA. National Poverty Lines 2019. Pretoria: Department: Statistics South Africa [Republic of South Africa]; 2020. </w:t>
      </w:r>
    </w:p>
    <w:p w14:paraId="0D167CF8" w14:textId="721BBC31" w:rsidR="005F59A6" w:rsidRPr="005F59A6" w:rsidRDefault="005F59A6" w:rsidP="005F59A6">
      <w:pPr>
        <w:pStyle w:val="Bibliography"/>
        <w:rPr>
          <w:rFonts w:ascii="Calibri" w:hAnsi="Calibri" w:cs="Calibri"/>
        </w:rPr>
      </w:pPr>
      <w:r w:rsidRPr="005F59A6">
        <w:rPr>
          <w:rFonts w:ascii="Calibri" w:hAnsi="Calibri" w:cs="Calibri"/>
        </w:rPr>
        <w:lastRenderedPageBreak/>
        <w:t xml:space="preserve">29. </w:t>
      </w:r>
      <w:r w:rsidRPr="005F59A6">
        <w:rPr>
          <w:rFonts w:ascii="Calibri" w:hAnsi="Calibri" w:cs="Calibri"/>
        </w:rPr>
        <w:tab/>
        <w:t xml:space="preserve">Filmer D, Pritchett LH. Estimating wealth effects without expenditure data--or tears: an application to educational enrollments in states of India. Demography. 2001;38(1):115–32. </w:t>
      </w:r>
    </w:p>
    <w:p w14:paraId="32C4EE4B" w14:textId="6C28140F" w:rsidR="005F59A6" w:rsidRPr="005F59A6" w:rsidRDefault="005F59A6" w:rsidP="005F59A6">
      <w:pPr>
        <w:pStyle w:val="Bibliography"/>
        <w:rPr>
          <w:rFonts w:ascii="Calibri" w:hAnsi="Calibri" w:cs="Calibri"/>
        </w:rPr>
      </w:pPr>
      <w:r w:rsidRPr="005F59A6">
        <w:rPr>
          <w:rFonts w:ascii="Calibri" w:hAnsi="Calibri" w:cs="Calibri"/>
        </w:rPr>
        <w:t xml:space="preserve">30. </w:t>
      </w:r>
      <w:r w:rsidRPr="005F59A6">
        <w:rPr>
          <w:rFonts w:ascii="Calibri" w:hAnsi="Calibri" w:cs="Calibri"/>
        </w:rPr>
        <w:tab/>
        <w:t xml:space="preserve">Bärnighausen T, Hosegood V, Timaeus IM, Newell ML. The socioeconomic determinants of HIV incidence: evidence from a longitudinal, population-based study in rural South Africa. AIDS. 2007;21(Suppl 7):S29–38. </w:t>
      </w:r>
    </w:p>
    <w:p w14:paraId="47F66F90" w14:textId="51B7D8B0" w:rsidR="005F59A6" w:rsidRPr="005F59A6" w:rsidRDefault="005F59A6" w:rsidP="005F59A6">
      <w:pPr>
        <w:pStyle w:val="Bibliography"/>
        <w:rPr>
          <w:rFonts w:ascii="Calibri" w:hAnsi="Calibri" w:cs="Calibri"/>
        </w:rPr>
      </w:pPr>
      <w:r w:rsidRPr="005F59A6">
        <w:rPr>
          <w:rFonts w:ascii="Calibri" w:hAnsi="Calibri" w:cs="Calibri"/>
        </w:rPr>
        <w:t xml:space="preserve">31. </w:t>
      </w:r>
      <w:r w:rsidRPr="005F59A6">
        <w:rPr>
          <w:rFonts w:ascii="Calibri" w:hAnsi="Calibri" w:cs="Calibri"/>
        </w:rPr>
        <w:tab/>
        <w:t xml:space="preserve">Berg S, Louw M. Changing patterns of South African income distribution: towards time series estimates of distribution and poverty. South African Journal of Economics. 2005;72(3):546–72. </w:t>
      </w:r>
    </w:p>
    <w:p w14:paraId="5422C99E" w14:textId="4F9E52C5" w:rsidR="005F59A6" w:rsidRPr="005F59A6" w:rsidRDefault="005F59A6" w:rsidP="005F59A6">
      <w:pPr>
        <w:pStyle w:val="Bibliography"/>
        <w:rPr>
          <w:rFonts w:ascii="Calibri" w:hAnsi="Calibri" w:cs="Calibri"/>
        </w:rPr>
      </w:pPr>
      <w:r w:rsidRPr="005F59A6">
        <w:rPr>
          <w:rFonts w:ascii="Calibri" w:hAnsi="Calibri" w:cs="Calibri"/>
        </w:rPr>
        <w:t xml:space="preserve">32. </w:t>
      </w:r>
      <w:r w:rsidRPr="005F59A6">
        <w:rPr>
          <w:rFonts w:ascii="Calibri" w:hAnsi="Calibri" w:cs="Calibri"/>
        </w:rPr>
        <w:tab/>
        <w:t xml:space="preserve">Booysen FLR. Using demographic and health surveys to measure poverty - an application to South Africa. Studies in Economics and Econometrics. 2002;26(3):53–70. </w:t>
      </w:r>
    </w:p>
    <w:p w14:paraId="559D983A" w14:textId="746B4295" w:rsidR="005F59A6" w:rsidRPr="005F59A6" w:rsidRDefault="005F59A6" w:rsidP="005F59A6">
      <w:pPr>
        <w:pStyle w:val="Bibliography"/>
        <w:rPr>
          <w:rFonts w:ascii="Calibri" w:hAnsi="Calibri" w:cs="Calibri"/>
        </w:rPr>
      </w:pPr>
      <w:r w:rsidRPr="005F59A6">
        <w:rPr>
          <w:rFonts w:ascii="Calibri" w:hAnsi="Calibri" w:cs="Calibri"/>
        </w:rPr>
        <w:t xml:space="preserve">33. </w:t>
      </w:r>
      <w:r w:rsidRPr="005F59A6">
        <w:rPr>
          <w:rFonts w:ascii="Calibri" w:hAnsi="Calibri" w:cs="Calibri"/>
        </w:rPr>
        <w:tab/>
        <w:t xml:space="preserve">Obermeyer CM, Osborn M. The utilization of testing and counseling for HIV: a review of the social and behavioral evidence. Am J Public Health. 2007;97(10):1762–74. </w:t>
      </w:r>
    </w:p>
    <w:p w14:paraId="19E5BD24" w14:textId="77777777" w:rsidR="005F59A6" w:rsidRPr="005F59A6" w:rsidRDefault="005F59A6" w:rsidP="005F59A6">
      <w:pPr>
        <w:pStyle w:val="Bibliography"/>
        <w:rPr>
          <w:rFonts w:ascii="Calibri" w:hAnsi="Calibri" w:cs="Calibri"/>
        </w:rPr>
      </w:pPr>
      <w:r w:rsidRPr="005F59A6">
        <w:rPr>
          <w:rFonts w:ascii="Calibri" w:hAnsi="Calibri" w:cs="Calibri"/>
        </w:rPr>
        <w:t xml:space="preserve">34. </w:t>
      </w:r>
      <w:r w:rsidRPr="005F59A6">
        <w:rPr>
          <w:rFonts w:ascii="Calibri" w:hAnsi="Calibri" w:cs="Calibri"/>
        </w:rPr>
        <w:tab/>
        <w:t xml:space="preserve">Royall RM. Model Robust Confidence Intervals Using Maximum Likelihood Estimators. International Statistical Review / Revue Internationale de Statistique. 1986;54(2):221–6. </w:t>
      </w:r>
    </w:p>
    <w:p w14:paraId="1D95E047" w14:textId="08856C56" w:rsidR="005F59A6" w:rsidRPr="005F59A6" w:rsidRDefault="005F59A6" w:rsidP="005F59A6">
      <w:pPr>
        <w:pStyle w:val="Bibliography"/>
        <w:rPr>
          <w:rFonts w:ascii="Calibri" w:hAnsi="Calibri" w:cs="Calibri"/>
        </w:rPr>
      </w:pPr>
      <w:r w:rsidRPr="005F59A6">
        <w:rPr>
          <w:rFonts w:ascii="Calibri" w:hAnsi="Calibri" w:cs="Calibri"/>
        </w:rPr>
        <w:t xml:space="preserve">35. </w:t>
      </w:r>
      <w:r w:rsidRPr="005F59A6">
        <w:rPr>
          <w:rFonts w:ascii="Calibri" w:hAnsi="Calibri" w:cs="Calibri"/>
        </w:rPr>
        <w:tab/>
        <w:t xml:space="preserve">Zou G. A Modified Poisson Regression Approach to Prospective Studies with Binary Data. Am J Epidemiol. 2004;159(7):702–6. </w:t>
      </w:r>
    </w:p>
    <w:p w14:paraId="19C9C13D" w14:textId="77777777" w:rsidR="005F59A6" w:rsidRPr="005F59A6" w:rsidRDefault="005F59A6" w:rsidP="005F59A6">
      <w:pPr>
        <w:pStyle w:val="Bibliography"/>
        <w:rPr>
          <w:rFonts w:ascii="Calibri" w:hAnsi="Calibri" w:cs="Calibri"/>
        </w:rPr>
      </w:pPr>
      <w:r w:rsidRPr="005F59A6">
        <w:rPr>
          <w:rFonts w:ascii="Calibri" w:hAnsi="Calibri" w:cs="Calibri"/>
        </w:rPr>
        <w:t xml:space="preserve">36. </w:t>
      </w:r>
      <w:r w:rsidRPr="005F59A6">
        <w:rPr>
          <w:rFonts w:ascii="Calibri" w:hAnsi="Calibri" w:cs="Calibri"/>
        </w:rPr>
        <w:tab/>
        <w:t>Zeileis A, Lumley T, Graham N, Koell S. sandwich: Robust Covariance Matrix Estimators [Internet]. 2020 [cited 2020 Dec 3]. Available from: https://CRAN.R-project.org/package=sandwich</w:t>
      </w:r>
    </w:p>
    <w:p w14:paraId="6C06F289" w14:textId="77777777" w:rsidR="005F59A6" w:rsidRPr="005F59A6" w:rsidRDefault="005F59A6" w:rsidP="005F59A6">
      <w:pPr>
        <w:pStyle w:val="Bibliography"/>
        <w:rPr>
          <w:rFonts w:ascii="Calibri" w:hAnsi="Calibri" w:cs="Calibri"/>
        </w:rPr>
      </w:pPr>
      <w:r w:rsidRPr="005F59A6">
        <w:rPr>
          <w:rFonts w:ascii="Calibri" w:hAnsi="Calibri" w:cs="Calibri"/>
        </w:rPr>
        <w:t xml:space="preserve">37. </w:t>
      </w:r>
      <w:r w:rsidRPr="005F59A6">
        <w:rPr>
          <w:rFonts w:ascii="Calibri" w:hAnsi="Calibri" w:cs="Calibri"/>
        </w:rPr>
        <w:tab/>
        <w:t xml:space="preserve">Lumley T. Analysis of Complex Survey Samples. Journal of Statistical Software. 2004 Apr 15;9(1):1–19. </w:t>
      </w:r>
    </w:p>
    <w:p w14:paraId="61936682" w14:textId="0609B394" w:rsidR="005F59A6" w:rsidRPr="005F59A6" w:rsidRDefault="005F59A6" w:rsidP="005F59A6">
      <w:pPr>
        <w:pStyle w:val="Bibliography"/>
        <w:rPr>
          <w:rFonts w:ascii="Calibri" w:hAnsi="Calibri" w:cs="Calibri"/>
        </w:rPr>
      </w:pPr>
      <w:r w:rsidRPr="005F59A6">
        <w:rPr>
          <w:rFonts w:ascii="Calibri" w:hAnsi="Calibri" w:cs="Calibri"/>
        </w:rPr>
        <w:t xml:space="preserve">38. </w:t>
      </w:r>
      <w:r w:rsidRPr="005F59A6">
        <w:rPr>
          <w:rFonts w:ascii="Calibri" w:hAnsi="Calibri" w:cs="Calibri"/>
        </w:rPr>
        <w:tab/>
        <w:t>Tarasiuk A, Reznor G, Greenberg-Dotan S, Reuveni H. Financial Incentive Increases CPAP Acceptance in Patients from Low Socioeconomic Background. PLoS One. 2012;7(3). Available from: https://www.ncbi.nlm.nih.gov/pmc/articles/PMC3316560/</w:t>
      </w:r>
    </w:p>
    <w:p w14:paraId="6ED06310" w14:textId="6C06413A" w:rsidR="005F59A6" w:rsidRPr="005F59A6" w:rsidRDefault="005F59A6" w:rsidP="005F59A6">
      <w:pPr>
        <w:pStyle w:val="Bibliography"/>
        <w:rPr>
          <w:rFonts w:ascii="Calibri" w:hAnsi="Calibri" w:cs="Calibri"/>
        </w:rPr>
      </w:pPr>
      <w:r w:rsidRPr="005F59A6">
        <w:rPr>
          <w:rFonts w:ascii="Calibri" w:hAnsi="Calibri" w:cs="Calibri"/>
        </w:rPr>
        <w:t xml:space="preserve">39. </w:t>
      </w:r>
      <w:r w:rsidRPr="005F59A6">
        <w:rPr>
          <w:rFonts w:ascii="Calibri" w:hAnsi="Calibri" w:cs="Calibri"/>
        </w:rPr>
        <w:tab/>
        <w:t xml:space="preserve">Vlaev I, King D, Darzi A, Dolan P. Changing health behaviors using financial incentives: a review from behavioral economics. BMC Public Health. 2019;19(1):1059. </w:t>
      </w:r>
    </w:p>
    <w:p w14:paraId="4B7554D9" w14:textId="77777777" w:rsidR="005F59A6" w:rsidRPr="005F59A6" w:rsidRDefault="005F59A6" w:rsidP="005F59A6">
      <w:pPr>
        <w:pStyle w:val="Bibliography"/>
        <w:rPr>
          <w:rFonts w:ascii="Calibri" w:hAnsi="Calibri" w:cs="Calibri"/>
        </w:rPr>
      </w:pPr>
      <w:r w:rsidRPr="005F59A6">
        <w:rPr>
          <w:rFonts w:ascii="Calibri" w:hAnsi="Calibri" w:cs="Calibri"/>
        </w:rPr>
        <w:t xml:space="preserve">40. </w:t>
      </w:r>
      <w:r w:rsidRPr="005F59A6">
        <w:rPr>
          <w:rFonts w:ascii="Calibri" w:hAnsi="Calibri" w:cs="Calibri"/>
        </w:rPr>
        <w:tab/>
        <w:t xml:space="preserve">Ndimande PSM. Gender inequality: Still a critical issue in the development of rural KwaZulu-Natal. African Sociological Review/Revue Africaine de Sociologie. 2001;5(2):133–43. </w:t>
      </w:r>
    </w:p>
    <w:p w14:paraId="6F44E25E" w14:textId="2A0A0B30" w:rsidR="005F59A6" w:rsidRPr="005F59A6" w:rsidRDefault="005F59A6" w:rsidP="005F59A6">
      <w:pPr>
        <w:pStyle w:val="Bibliography"/>
        <w:rPr>
          <w:rFonts w:ascii="Calibri" w:hAnsi="Calibri" w:cs="Calibri"/>
        </w:rPr>
      </w:pPr>
      <w:r w:rsidRPr="005F59A6">
        <w:rPr>
          <w:rFonts w:ascii="Calibri" w:hAnsi="Calibri" w:cs="Calibri"/>
        </w:rPr>
        <w:t xml:space="preserve">41. </w:t>
      </w:r>
      <w:r w:rsidRPr="005F59A6">
        <w:rPr>
          <w:rFonts w:ascii="Calibri" w:hAnsi="Calibri" w:cs="Calibri"/>
        </w:rPr>
        <w:tab/>
        <w:t>Bosch A, Barit S. Gender pay transparency mechanisms: Future directions for South Africa. S Afr J Sci. 2020;116(3/4). Available from: https://www.sajs.co.za/article/view/6772</w:t>
      </w:r>
    </w:p>
    <w:p w14:paraId="40AD32AC" w14:textId="24E13CAC" w:rsidR="005F59A6" w:rsidRPr="005F59A6" w:rsidRDefault="005F59A6" w:rsidP="005F59A6">
      <w:pPr>
        <w:pStyle w:val="Bibliography"/>
        <w:rPr>
          <w:rFonts w:ascii="Calibri" w:hAnsi="Calibri" w:cs="Calibri"/>
        </w:rPr>
      </w:pPr>
      <w:r w:rsidRPr="005F59A6">
        <w:rPr>
          <w:rFonts w:ascii="Calibri" w:hAnsi="Calibri" w:cs="Calibri"/>
        </w:rPr>
        <w:t xml:space="preserve">42. </w:t>
      </w:r>
      <w:r w:rsidRPr="005F59A6">
        <w:rPr>
          <w:rFonts w:ascii="Calibri" w:hAnsi="Calibri" w:cs="Calibri"/>
        </w:rPr>
        <w:tab/>
        <w:t xml:space="preserve">Powell LM, Chaloupka FJ. Food Prices and Obesity: Evidence and Policy Implications for Taxes and Subsidies. Milbank Q. 2009;87(1):229–57. </w:t>
      </w:r>
    </w:p>
    <w:p w14:paraId="4F7DDA82" w14:textId="40BBDD1C" w:rsidR="005F59A6" w:rsidRPr="005F59A6" w:rsidRDefault="005F59A6" w:rsidP="005F59A6">
      <w:pPr>
        <w:pStyle w:val="Bibliography"/>
        <w:rPr>
          <w:rFonts w:ascii="Calibri" w:hAnsi="Calibri" w:cs="Calibri"/>
        </w:rPr>
      </w:pPr>
      <w:r w:rsidRPr="005F59A6">
        <w:rPr>
          <w:rFonts w:ascii="Calibri" w:hAnsi="Calibri" w:cs="Calibri"/>
        </w:rPr>
        <w:t xml:space="preserve">43. </w:t>
      </w:r>
      <w:r w:rsidRPr="005F59A6">
        <w:rPr>
          <w:rFonts w:ascii="Calibri" w:hAnsi="Calibri" w:cs="Calibri"/>
        </w:rPr>
        <w:tab/>
        <w:t xml:space="preserve">Townsend J, Roderick P, Cooper J. Cigarette smoking by socioeconomic group, sex, and age: effects of price, income, and health publicity. BMJ. 1994;309(6959):923–7. </w:t>
      </w:r>
    </w:p>
    <w:p w14:paraId="2A3487E4" w14:textId="77777777" w:rsidR="005F59A6" w:rsidRPr="005F59A6" w:rsidRDefault="005F59A6" w:rsidP="005F59A6">
      <w:pPr>
        <w:pStyle w:val="Bibliography"/>
        <w:rPr>
          <w:rFonts w:ascii="Calibri" w:hAnsi="Calibri" w:cs="Calibri"/>
        </w:rPr>
      </w:pPr>
      <w:r w:rsidRPr="005F59A6">
        <w:rPr>
          <w:rFonts w:ascii="Calibri" w:hAnsi="Calibri" w:cs="Calibri"/>
        </w:rPr>
        <w:t xml:space="preserve">44. </w:t>
      </w:r>
      <w:r w:rsidRPr="005F59A6">
        <w:rPr>
          <w:rFonts w:ascii="Calibri" w:hAnsi="Calibri" w:cs="Calibri"/>
        </w:rPr>
        <w:tab/>
        <w:t xml:space="preserve">Deren S, Stephens R, Davis WR, Feucht TE, Tortu S. The impact of providing incentives for attendance at AIDS prevention sessions. Public Health Rep. 1994;109(4):548–54. </w:t>
      </w:r>
    </w:p>
    <w:p w14:paraId="3C4E076D" w14:textId="1EACCD47" w:rsidR="005F59A6" w:rsidRPr="005F59A6" w:rsidRDefault="005F59A6" w:rsidP="005F59A6">
      <w:pPr>
        <w:pStyle w:val="Bibliography"/>
        <w:rPr>
          <w:rFonts w:ascii="Calibri" w:hAnsi="Calibri" w:cs="Calibri"/>
        </w:rPr>
      </w:pPr>
      <w:r w:rsidRPr="005F59A6">
        <w:rPr>
          <w:rFonts w:ascii="Calibri" w:hAnsi="Calibri" w:cs="Calibri"/>
        </w:rPr>
        <w:t xml:space="preserve">45. </w:t>
      </w:r>
      <w:r w:rsidRPr="005F59A6">
        <w:rPr>
          <w:rFonts w:ascii="Calibri" w:hAnsi="Calibri" w:cs="Calibri"/>
        </w:rPr>
        <w:tab/>
        <w:t xml:space="preserve">Burns T. Is it acceptable for people to be paid to adhere to medication? Yes. BMJ. 2007;335(7613):232–232. </w:t>
      </w:r>
    </w:p>
    <w:p w14:paraId="187FB306" w14:textId="4AF5FD59" w:rsidR="005F59A6" w:rsidRPr="005F59A6" w:rsidRDefault="005F59A6" w:rsidP="005F59A6">
      <w:pPr>
        <w:pStyle w:val="Bibliography"/>
        <w:rPr>
          <w:rFonts w:ascii="Calibri" w:hAnsi="Calibri" w:cs="Calibri"/>
        </w:rPr>
      </w:pPr>
      <w:r w:rsidRPr="005F59A6">
        <w:rPr>
          <w:rFonts w:ascii="Calibri" w:hAnsi="Calibri" w:cs="Calibri"/>
        </w:rPr>
        <w:lastRenderedPageBreak/>
        <w:t xml:space="preserve">46. </w:t>
      </w:r>
      <w:r w:rsidRPr="005F59A6">
        <w:rPr>
          <w:rFonts w:ascii="Calibri" w:hAnsi="Calibri" w:cs="Calibri"/>
        </w:rPr>
        <w:tab/>
        <w:t xml:space="preserve">Boyd KA, Briggs AH, Bauld L, Sinclair L, Tappin D. Are financial incentives cost-effective to support smoking cessation during pregnancy? Addiction. 2016;111(2):360–70. </w:t>
      </w:r>
    </w:p>
    <w:p w14:paraId="76039929" w14:textId="255A39AF" w:rsidR="005F59A6" w:rsidRPr="005F59A6" w:rsidRDefault="005F59A6" w:rsidP="005F59A6">
      <w:pPr>
        <w:pStyle w:val="Bibliography"/>
        <w:rPr>
          <w:rFonts w:ascii="Calibri" w:hAnsi="Calibri" w:cs="Calibri"/>
        </w:rPr>
      </w:pPr>
      <w:r w:rsidRPr="005F59A6">
        <w:rPr>
          <w:rFonts w:ascii="Calibri" w:hAnsi="Calibri" w:cs="Calibri"/>
        </w:rPr>
        <w:t xml:space="preserve">47. </w:t>
      </w:r>
      <w:r w:rsidRPr="005F59A6">
        <w:rPr>
          <w:rFonts w:ascii="Calibri" w:hAnsi="Calibri" w:cs="Calibri"/>
        </w:rPr>
        <w:tab/>
        <w:t xml:space="preserve">Lee Y, Mozaffarian D, Sy S, Huang Y, Liu J, Wilde PE, et al. Cost-effectiveness of financial incentives for improving diet and health through Medicare and Medicaid: A microsimulation study. PLOS Medicine. 2019;16(3):e1002761. </w:t>
      </w:r>
    </w:p>
    <w:p w14:paraId="0317ABA4" w14:textId="77777777" w:rsidR="005F59A6" w:rsidRPr="005F59A6" w:rsidRDefault="005F59A6" w:rsidP="005F59A6">
      <w:pPr>
        <w:pStyle w:val="Bibliography"/>
        <w:rPr>
          <w:rFonts w:ascii="Calibri" w:hAnsi="Calibri" w:cs="Calibri"/>
        </w:rPr>
      </w:pPr>
      <w:r w:rsidRPr="005F59A6">
        <w:rPr>
          <w:rFonts w:ascii="Calibri" w:hAnsi="Calibri" w:cs="Calibri"/>
        </w:rPr>
        <w:t xml:space="preserve">48. </w:t>
      </w:r>
      <w:r w:rsidRPr="005F59A6">
        <w:rPr>
          <w:rFonts w:ascii="Calibri" w:hAnsi="Calibri" w:cs="Calibri"/>
        </w:rPr>
        <w:tab/>
        <w:t xml:space="preserve">WHO, UNAIDS. Guidance on provider-initiated HIV testing and counselling in health facilities. Geneva: World Health Organization; 2007. </w:t>
      </w:r>
    </w:p>
    <w:p w14:paraId="5FA274DF" w14:textId="34D4488F" w:rsidR="00182884" w:rsidRDefault="001A02EC" w:rsidP="007F06F1">
      <w:r>
        <w:fldChar w:fldCharType="end"/>
      </w:r>
      <w:bookmarkEnd w:id="43"/>
      <w:r w:rsidR="00182884">
        <w:br w:type="page"/>
      </w:r>
    </w:p>
    <w:p w14:paraId="04A5386B" w14:textId="77777777" w:rsidR="00182884" w:rsidRPr="0042310B" w:rsidRDefault="00182884" w:rsidP="00182884">
      <w:pPr>
        <w:spacing w:after="0"/>
        <w:jc w:val="left"/>
        <w:rPr>
          <w:b/>
          <w:bCs/>
        </w:rPr>
      </w:pPr>
      <w:r w:rsidRPr="009810B9">
        <w:rPr>
          <w:b/>
          <w:bCs/>
        </w:rPr>
        <w:lastRenderedPageBreak/>
        <w:t>Table 1. Sample description</w:t>
      </w:r>
    </w:p>
    <w:tbl>
      <w:tblPr>
        <w:tblStyle w:val="TableGrid"/>
        <w:tblW w:w="79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
        <w:gridCol w:w="3877"/>
        <w:gridCol w:w="779"/>
        <w:gridCol w:w="836"/>
        <w:gridCol w:w="233"/>
        <w:gridCol w:w="1039"/>
        <w:gridCol w:w="923"/>
      </w:tblGrid>
      <w:tr w:rsidR="00182884" w:rsidRPr="008D7480" w14:paraId="021FB235" w14:textId="77777777" w:rsidTr="000A7109">
        <w:tc>
          <w:tcPr>
            <w:tcW w:w="234" w:type="dxa"/>
            <w:tcBorders>
              <w:top w:val="single" w:sz="4" w:space="0" w:color="auto"/>
            </w:tcBorders>
          </w:tcPr>
          <w:p w14:paraId="517205E3" w14:textId="77777777" w:rsidR="00182884" w:rsidRPr="008D7480" w:rsidRDefault="00182884" w:rsidP="00182884">
            <w:pPr>
              <w:spacing w:after="0" w:line="240" w:lineRule="auto"/>
            </w:pPr>
          </w:p>
        </w:tc>
        <w:tc>
          <w:tcPr>
            <w:tcW w:w="3877" w:type="dxa"/>
            <w:tcBorders>
              <w:top w:val="single" w:sz="4" w:space="0" w:color="auto"/>
            </w:tcBorders>
          </w:tcPr>
          <w:p w14:paraId="1E58A4F7" w14:textId="77777777" w:rsidR="00182884" w:rsidRPr="008D7480" w:rsidRDefault="00182884" w:rsidP="00182884">
            <w:pPr>
              <w:spacing w:after="0" w:line="240" w:lineRule="auto"/>
            </w:pPr>
          </w:p>
        </w:tc>
        <w:tc>
          <w:tcPr>
            <w:tcW w:w="3810" w:type="dxa"/>
            <w:gridSpan w:val="5"/>
            <w:tcBorders>
              <w:top w:val="single" w:sz="4" w:space="0" w:color="auto"/>
            </w:tcBorders>
          </w:tcPr>
          <w:p w14:paraId="49BD66DB" w14:textId="77777777" w:rsidR="00182884" w:rsidRPr="001346C1" w:rsidRDefault="00182884" w:rsidP="00182884">
            <w:pPr>
              <w:spacing w:after="0" w:line="240" w:lineRule="auto"/>
              <w:jc w:val="center"/>
              <w:rPr>
                <w:b/>
                <w:bCs/>
              </w:rPr>
            </w:pPr>
            <w:r w:rsidRPr="0459DA95">
              <w:rPr>
                <w:b/>
                <w:bCs/>
              </w:rPr>
              <w:t>Contacted</w:t>
            </w:r>
          </w:p>
        </w:tc>
      </w:tr>
      <w:tr w:rsidR="00182884" w:rsidRPr="008D7480" w14:paraId="0E4922A2" w14:textId="77777777" w:rsidTr="000A7109">
        <w:tc>
          <w:tcPr>
            <w:tcW w:w="234" w:type="dxa"/>
          </w:tcPr>
          <w:p w14:paraId="15045C25" w14:textId="77777777" w:rsidR="00182884" w:rsidRPr="008D7480" w:rsidRDefault="00182884" w:rsidP="00182884">
            <w:pPr>
              <w:spacing w:after="0" w:line="240" w:lineRule="auto"/>
            </w:pPr>
          </w:p>
        </w:tc>
        <w:tc>
          <w:tcPr>
            <w:tcW w:w="3877" w:type="dxa"/>
          </w:tcPr>
          <w:p w14:paraId="634FB675" w14:textId="77777777" w:rsidR="00182884" w:rsidRPr="008D7480" w:rsidRDefault="00182884" w:rsidP="00182884">
            <w:pPr>
              <w:spacing w:after="0" w:line="240" w:lineRule="auto"/>
            </w:pPr>
          </w:p>
        </w:tc>
        <w:tc>
          <w:tcPr>
            <w:tcW w:w="1615" w:type="dxa"/>
            <w:gridSpan w:val="2"/>
            <w:tcBorders>
              <w:top w:val="single" w:sz="4" w:space="0" w:color="auto"/>
            </w:tcBorders>
          </w:tcPr>
          <w:p w14:paraId="04178E22" w14:textId="77777777" w:rsidR="00182884" w:rsidRPr="004F5A02" w:rsidRDefault="00182884" w:rsidP="00182884">
            <w:pPr>
              <w:spacing w:after="0" w:line="240" w:lineRule="auto"/>
              <w:jc w:val="center"/>
            </w:pPr>
            <w:r w:rsidRPr="0459DA95">
              <w:t>Men (n=9,049)</w:t>
            </w:r>
          </w:p>
        </w:tc>
        <w:tc>
          <w:tcPr>
            <w:tcW w:w="233" w:type="dxa"/>
          </w:tcPr>
          <w:p w14:paraId="16B469D9" w14:textId="77777777" w:rsidR="00182884" w:rsidRPr="004F5A02" w:rsidRDefault="00182884" w:rsidP="00182884">
            <w:pPr>
              <w:spacing w:after="0" w:line="240" w:lineRule="auto"/>
              <w:jc w:val="center"/>
            </w:pPr>
          </w:p>
        </w:tc>
        <w:tc>
          <w:tcPr>
            <w:tcW w:w="1962" w:type="dxa"/>
            <w:gridSpan w:val="2"/>
            <w:tcBorders>
              <w:top w:val="single" w:sz="4" w:space="0" w:color="auto"/>
            </w:tcBorders>
          </w:tcPr>
          <w:p w14:paraId="224D65DA" w14:textId="77777777" w:rsidR="00182884" w:rsidRPr="004F5A02" w:rsidRDefault="00182884" w:rsidP="00182884">
            <w:pPr>
              <w:spacing w:after="0" w:line="240" w:lineRule="auto"/>
              <w:jc w:val="center"/>
            </w:pPr>
            <w:r w:rsidRPr="0459DA95">
              <w:t>Women (n=15,280)</w:t>
            </w:r>
          </w:p>
        </w:tc>
      </w:tr>
      <w:tr w:rsidR="00182884" w:rsidRPr="008D7480" w14:paraId="69D1DA72" w14:textId="77777777" w:rsidTr="00182884">
        <w:trPr>
          <w:trHeight w:val="277"/>
        </w:trPr>
        <w:tc>
          <w:tcPr>
            <w:tcW w:w="234" w:type="dxa"/>
            <w:tcBorders>
              <w:bottom w:val="single" w:sz="4" w:space="0" w:color="auto"/>
            </w:tcBorders>
          </w:tcPr>
          <w:p w14:paraId="26C24A70" w14:textId="77777777" w:rsidR="00182884" w:rsidRPr="008D7480" w:rsidRDefault="00182884" w:rsidP="00182884">
            <w:pPr>
              <w:spacing w:after="0" w:line="240" w:lineRule="auto"/>
            </w:pPr>
          </w:p>
        </w:tc>
        <w:tc>
          <w:tcPr>
            <w:tcW w:w="3877" w:type="dxa"/>
            <w:tcBorders>
              <w:bottom w:val="single" w:sz="4" w:space="0" w:color="auto"/>
            </w:tcBorders>
          </w:tcPr>
          <w:p w14:paraId="06AE7D43" w14:textId="77777777" w:rsidR="00182884" w:rsidRPr="008D7480" w:rsidRDefault="00182884" w:rsidP="00182884">
            <w:pPr>
              <w:spacing w:after="0" w:line="240" w:lineRule="auto"/>
            </w:pPr>
          </w:p>
        </w:tc>
        <w:tc>
          <w:tcPr>
            <w:tcW w:w="779" w:type="dxa"/>
            <w:tcBorders>
              <w:bottom w:val="single" w:sz="4" w:space="0" w:color="auto"/>
            </w:tcBorders>
          </w:tcPr>
          <w:p w14:paraId="6F082D42" w14:textId="77777777" w:rsidR="00182884" w:rsidRPr="008D7480" w:rsidRDefault="00182884" w:rsidP="00182884">
            <w:pPr>
              <w:spacing w:after="0" w:line="240" w:lineRule="auto"/>
              <w:jc w:val="right"/>
            </w:pPr>
            <w:r w:rsidRPr="0459DA95">
              <w:t>N</w:t>
            </w:r>
          </w:p>
        </w:tc>
        <w:tc>
          <w:tcPr>
            <w:tcW w:w="836" w:type="dxa"/>
            <w:tcBorders>
              <w:bottom w:val="single" w:sz="4" w:space="0" w:color="auto"/>
            </w:tcBorders>
          </w:tcPr>
          <w:p w14:paraId="27BD267A" w14:textId="77777777" w:rsidR="00182884" w:rsidRPr="00F904D0" w:rsidRDefault="00182884" w:rsidP="00182884">
            <w:pPr>
              <w:spacing w:after="0" w:line="240" w:lineRule="auto"/>
              <w:jc w:val="right"/>
              <w:rPr>
                <w:b/>
                <w:bCs/>
              </w:rPr>
            </w:pPr>
            <w:r w:rsidRPr="0459DA95">
              <w:rPr>
                <w:b/>
                <w:bCs/>
              </w:rPr>
              <w:t>%</w:t>
            </w:r>
          </w:p>
        </w:tc>
        <w:tc>
          <w:tcPr>
            <w:tcW w:w="233" w:type="dxa"/>
            <w:tcBorders>
              <w:bottom w:val="single" w:sz="4" w:space="0" w:color="auto"/>
            </w:tcBorders>
          </w:tcPr>
          <w:p w14:paraId="1E79E692" w14:textId="77777777" w:rsidR="00182884" w:rsidRPr="008D7480" w:rsidRDefault="00182884" w:rsidP="00182884">
            <w:pPr>
              <w:spacing w:after="0" w:line="240" w:lineRule="auto"/>
              <w:jc w:val="right"/>
            </w:pPr>
          </w:p>
        </w:tc>
        <w:tc>
          <w:tcPr>
            <w:tcW w:w="1039" w:type="dxa"/>
            <w:tcBorders>
              <w:bottom w:val="single" w:sz="4" w:space="0" w:color="auto"/>
            </w:tcBorders>
          </w:tcPr>
          <w:p w14:paraId="458F371F" w14:textId="77777777" w:rsidR="00182884" w:rsidRPr="008D7480" w:rsidRDefault="00182884" w:rsidP="00182884">
            <w:pPr>
              <w:spacing w:after="0" w:line="240" w:lineRule="auto"/>
              <w:jc w:val="right"/>
            </w:pPr>
            <w:r w:rsidRPr="0459DA95">
              <w:t>N</w:t>
            </w:r>
          </w:p>
        </w:tc>
        <w:tc>
          <w:tcPr>
            <w:tcW w:w="923" w:type="dxa"/>
            <w:tcBorders>
              <w:bottom w:val="single" w:sz="4" w:space="0" w:color="auto"/>
            </w:tcBorders>
          </w:tcPr>
          <w:p w14:paraId="22427010" w14:textId="77777777" w:rsidR="00182884" w:rsidRPr="00F904D0" w:rsidRDefault="00182884" w:rsidP="00182884">
            <w:pPr>
              <w:spacing w:after="0" w:line="240" w:lineRule="auto"/>
              <w:jc w:val="right"/>
              <w:rPr>
                <w:b/>
                <w:bCs/>
              </w:rPr>
            </w:pPr>
            <w:r w:rsidRPr="0459DA95">
              <w:rPr>
                <w:b/>
                <w:bCs/>
              </w:rPr>
              <w:t>%</w:t>
            </w:r>
          </w:p>
        </w:tc>
      </w:tr>
      <w:tr w:rsidR="00182884" w:rsidRPr="008D7480" w14:paraId="694935DD" w14:textId="77777777" w:rsidTr="000A7109">
        <w:tc>
          <w:tcPr>
            <w:tcW w:w="4111" w:type="dxa"/>
            <w:gridSpan w:val="2"/>
          </w:tcPr>
          <w:p w14:paraId="32B62FF1" w14:textId="77777777" w:rsidR="00182884" w:rsidRPr="008D7480" w:rsidRDefault="00182884" w:rsidP="00182884">
            <w:pPr>
              <w:spacing w:after="0" w:line="240" w:lineRule="auto"/>
              <w:rPr>
                <w:b/>
                <w:bCs/>
              </w:rPr>
            </w:pPr>
            <w:r w:rsidRPr="0459DA95">
              <w:rPr>
                <w:b/>
                <w:bCs/>
              </w:rPr>
              <w:t>Age (years)</w:t>
            </w:r>
          </w:p>
        </w:tc>
        <w:tc>
          <w:tcPr>
            <w:tcW w:w="779" w:type="dxa"/>
          </w:tcPr>
          <w:p w14:paraId="1259F2F1" w14:textId="77777777" w:rsidR="00182884" w:rsidRPr="008D7480" w:rsidRDefault="00182884" w:rsidP="00182884">
            <w:pPr>
              <w:spacing w:after="0" w:line="240" w:lineRule="auto"/>
              <w:jc w:val="right"/>
            </w:pPr>
          </w:p>
        </w:tc>
        <w:tc>
          <w:tcPr>
            <w:tcW w:w="836" w:type="dxa"/>
          </w:tcPr>
          <w:p w14:paraId="1FC9B87B" w14:textId="77777777" w:rsidR="00182884" w:rsidRPr="008D7480" w:rsidRDefault="00182884" w:rsidP="00182884">
            <w:pPr>
              <w:spacing w:after="0" w:line="240" w:lineRule="auto"/>
              <w:jc w:val="right"/>
            </w:pPr>
          </w:p>
        </w:tc>
        <w:tc>
          <w:tcPr>
            <w:tcW w:w="233" w:type="dxa"/>
          </w:tcPr>
          <w:p w14:paraId="18B7119D" w14:textId="77777777" w:rsidR="00182884" w:rsidRPr="008D7480" w:rsidRDefault="00182884" w:rsidP="00182884">
            <w:pPr>
              <w:spacing w:after="0" w:line="240" w:lineRule="auto"/>
              <w:jc w:val="right"/>
            </w:pPr>
          </w:p>
        </w:tc>
        <w:tc>
          <w:tcPr>
            <w:tcW w:w="1039" w:type="dxa"/>
          </w:tcPr>
          <w:p w14:paraId="422B8016" w14:textId="77777777" w:rsidR="00182884" w:rsidRPr="008D7480" w:rsidRDefault="00182884" w:rsidP="00182884">
            <w:pPr>
              <w:spacing w:after="0" w:line="240" w:lineRule="auto"/>
              <w:jc w:val="right"/>
            </w:pPr>
          </w:p>
        </w:tc>
        <w:tc>
          <w:tcPr>
            <w:tcW w:w="923" w:type="dxa"/>
          </w:tcPr>
          <w:p w14:paraId="19DDB3D8" w14:textId="77777777" w:rsidR="00182884" w:rsidRPr="008D7480" w:rsidRDefault="00182884" w:rsidP="00182884">
            <w:pPr>
              <w:spacing w:after="0" w:line="240" w:lineRule="auto"/>
              <w:jc w:val="right"/>
            </w:pPr>
          </w:p>
        </w:tc>
      </w:tr>
      <w:tr w:rsidR="00182884" w:rsidRPr="008D7480" w14:paraId="08442296" w14:textId="77777777" w:rsidTr="000A7109">
        <w:tc>
          <w:tcPr>
            <w:tcW w:w="234" w:type="dxa"/>
          </w:tcPr>
          <w:p w14:paraId="38A45BAB" w14:textId="77777777" w:rsidR="00182884" w:rsidRPr="008D7480" w:rsidRDefault="00182884" w:rsidP="00182884">
            <w:pPr>
              <w:spacing w:after="0" w:line="240" w:lineRule="auto"/>
            </w:pPr>
          </w:p>
        </w:tc>
        <w:tc>
          <w:tcPr>
            <w:tcW w:w="3877" w:type="dxa"/>
          </w:tcPr>
          <w:p w14:paraId="145D76AE" w14:textId="77777777" w:rsidR="00182884" w:rsidRPr="008D7480" w:rsidRDefault="00182884" w:rsidP="00182884">
            <w:pPr>
              <w:spacing w:after="0" w:line="240" w:lineRule="auto"/>
            </w:pPr>
            <w:r w:rsidRPr="0459DA95">
              <w:t>Under 20</w:t>
            </w:r>
          </w:p>
        </w:tc>
        <w:tc>
          <w:tcPr>
            <w:tcW w:w="779" w:type="dxa"/>
          </w:tcPr>
          <w:p w14:paraId="609EB698" w14:textId="77777777" w:rsidR="00182884" w:rsidRPr="008D7480" w:rsidRDefault="00182884" w:rsidP="00182884">
            <w:pPr>
              <w:spacing w:after="0" w:line="240" w:lineRule="auto"/>
              <w:jc w:val="right"/>
            </w:pPr>
            <w:r w:rsidRPr="0459DA95">
              <w:t>2141</w:t>
            </w:r>
          </w:p>
        </w:tc>
        <w:tc>
          <w:tcPr>
            <w:tcW w:w="836" w:type="dxa"/>
          </w:tcPr>
          <w:p w14:paraId="43CFC6B3" w14:textId="77777777" w:rsidR="00182884" w:rsidRPr="00F904D0" w:rsidRDefault="00182884" w:rsidP="00182884">
            <w:pPr>
              <w:spacing w:after="0" w:line="240" w:lineRule="auto"/>
              <w:jc w:val="right"/>
              <w:rPr>
                <w:b/>
                <w:bCs/>
              </w:rPr>
            </w:pPr>
            <w:r w:rsidRPr="0459DA95">
              <w:rPr>
                <w:b/>
                <w:bCs/>
              </w:rPr>
              <w:t>23.0</w:t>
            </w:r>
          </w:p>
        </w:tc>
        <w:tc>
          <w:tcPr>
            <w:tcW w:w="233" w:type="dxa"/>
          </w:tcPr>
          <w:p w14:paraId="1506A6EF" w14:textId="77777777" w:rsidR="00182884" w:rsidRPr="008D7480" w:rsidRDefault="00182884" w:rsidP="00182884">
            <w:pPr>
              <w:spacing w:after="0" w:line="240" w:lineRule="auto"/>
              <w:jc w:val="right"/>
            </w:pPr>
          </w:p>
        </w:tc>
        <w:tc>
          <w:tcPr>
            <w:tcW w:w="1039" w:type="dxa"/>
          </w:tcPr>
          <w:p w14:paraId="3B3ED380" w14:textId="77777777" w:rsidR="00182884" w:rsidRPr="008D7480" w:rsidRDefault="00182884" w:rsidP="00182884">
            <w:pPr>
              <w:spacing w:after="0" w:line="240" w:lineRule="auto"/>
              <w:jc w:val="right"/>
            </w:pPr>
            <w:r w:rsidRPr="0459DA95">
              <w:t>1997</w:t>
            </w:r>
          </w:p>
        </w:tc>
        <w:tc>
          <w:tcPr>
            <w:tcW w:w="923" w:type="dxa"/>
          </w:tcPr>
          <w:p w14:paraId="7444A393" w14:textId="77777777" w:rsidR="00182884" w:rsidRPr="00F904D0" w:rsidRDefault="00182884" w:rsidP="00182884">
            <w:pPr>
              <w:spacing w:after="0" w:line="240" w:lineRule="auto"/>
              <w:jc w:val="right"/>
              <w:rPr>
                <w:b/>
                <w:bCs/>
              </w:rPr>
            </w:pPr>
            <w:r w:rsidRPr="0459DA95">
              <w:rPr>
                <w:b/>
                <w:bCs/>
              </w:rPr>
              <w:t>12.9</w:t>
            </w:r>
          </w:p>
        </w:tc>
      </w:tr>
      <w:tr w:rsidR="00182884" w:rsidRPr="008D7480" w14:paraId="7203E083" w14:textId="77777777" w:rsidTr="000A7109">
        <w:tc>
          <w:tcPr>
            <w:tcW w:w="234" w:type="dxa"/>
          </w:tcPr>
          <w:p w14:paraId="38EF826D" w14:textId="77777777" w:rsidR="00182884" w:rsidRPr="008D7480" w:rsidRDefault="00182884" w:rsidP="00182884">
            <w:pPr>
              <w:spacing w:after="0" w:line="240" w:lineRule="auto"/>
            </w:pPr>
          </w:p>
        </w:tc>
        <w:tc>
          <w:tcPr>
            <w:tcW w:w="3877" w:type="dxa"/>
          </w:tcPr>
          <w:p w14:paraId="576B5056" w14:textId="77777777" w:rsidR="00182884" w:rsidRPr="008D7480" w:rsidRDefault="00182884" w:rsidP="00182884">
            <w:pPr>
              <w:spacing w:after="0" w:line="240" w:lineRule="auto"/>
            </w:pPr>
            <w:r w:rsidRPr="0459DA95">
              <w:t>20-29</w:t>
            </w:r>
          </w:p>
        </w:tc>
        <w:tc>
          <w:tcPr>
            <w:tcW w:w="779" w:type="dxa"/>
          </w:tcPr>
          <w:p w14:paraId="4AF5CAAF" w14:textId="77777777" w:rsidR="00182884" w:rsidRPr="008D7480" w:rsidRDefault="00182884" w:rsidP="00182884">
            <w:pPr>
              <w:spacing w:after="0" w:line="240" w:lineRule="auto"/>
              <w:jc w:val="right"/>
            </w:pPr>
            <w:r w:rsidRPr="0459DA95">
              <w:t>2401</w:t>
            </w:r>
          </w:p>
        </w:tc>
        <w:tc>
          <w:tcPr>
            <w:tcW w:w="836" w:type="dxa"/>
          </w:tcPr>
          <w:p w14:paraId="526D7470" w14:textId="77777777" w:rsidR="00182884" w:rsidRPr="00F904D0" w:rsidRDefault="00182884" w:rsidP="00182884">
            <w:pPr>
              <w:spacing w:after="0" w:line="240" w:lineRule="auto"/>
              <w:jc w:val="right"/>
              <w:rPr>
                <w:b/>
                <w:bCs/>
              </w:rPr>
            </w:pPr>
            <w:r w:rsidRPr="0459DA95">
              <w:rPr>
                <w:b/>
                <w:bCs/>
              </w:rPr>
              <w:t>25.8</w:t>
            </w:r>
          </w:p>
        </w:tc>
        <w:tc>
          <w:tcPr>
            <w:tcW w:w="233" w:type="dxa"/>
          </w:tcPr>
          <w:p w14:paraId="4C18D6DC" w14:textId="77777777" w:rsidR="00182884" w:rsidRPr="008D7480" w:rsidRDefault="00182884" w:rsidP="00182884">
            <w:pPr>
              <w:spacing w:after="0" w:line="240" w:lineRule="auto"/>
              <w:jc w:val="right"/>
            </w:pPr>
          </w:p>
        </w:tc>
        <w:tc>
          <w:tcPr>
            <w:tcW w:w="1039" w:type="dxa"/>
          </w:tcPr>
          <w:p w14:paraId="6FF79E85" w14:textId="77777777" w:rsidR="00182884" w:rsidRPr="008D7480" w:rsidRDefault="00182884" w:rsidP="00182884">
            <w:pPr>
              <w:spacing w:after="0" w:line="240" w:lineRule="auto"/>
              <w:jc w:val="right"/>
            </w:pPr>
            <w:r w:rsidRPr="0459DA95">
              <w:t>3184</w:t>
            </w:r>
          </w:p>
        </w:tc>
        <w:tc>
          <w:tcPr>
            <w:tcW w:w="923" w:type="dxa"/>
          </w:tcPr>
          <w:p w14:paraId="0989440A" w14:textId="77777777" w:rsidR="00182884" w:rsidRPr="00F904D0" w:rsidRDefault="00182884" w:rsidP="00182884">
            <w:pPr>
              <w:spacing w:after="0" w:line="240" w:lineRule="auto"/>
              <w:jc w:val="right"/>
              <w:rPr>
                <w:b/>
                <w:bCs/>
              </w:rPr>
            </w:pPr>
            <w:r w:rsidRPr="0459DA95">
              <w:rPr>
                <w:b/>
                <w:bCs/>
              </w:rPr>
              <w:t>20.5</w:t>
            </w:r>
          </w:p>
        </w:tc>
      </w:tr>
      <w:tr w:rsidR="00182884" w:rsidRPr="008D7480" w14:paraId="40753F22" w14:textId="77777777" w:rsidTr="000A7109">
        <w:tc>
          <w:tcPr>
            <w:tcW w:w="234" w:type="dxa"/>
          </w:tcPr>
          <w:p w14:paraId="19C8FA3A" w14:textId="77777777" w:rsidR="00182884" w:rsidRPr="008D7480" w:rsidRDefault="00182884" w:rsidP="00182884">
            <w:pPr>
              <w:spacing w:after="0" w:line="240" w:lineRule="auto"/>
            </w:pPr>
          </w:p>
        </w:tc>
        <w:tc>
          <w:tcPr>
            <w:tcW w:w="3877" w:type="dxa"/>
          </w:tcPr>
          <w:p w14:paraId="4E3447A1" w14:textId="77777777" w:rsidR="00182884" w:rsidRPr="008D7480" w:rsidRDefault="00182884" w:rsidP="00182884">
            <w:pPr>
              <w:spacing w:after="0" w:line="240" w:lineRule="auto"/>
            </w:pPr>
            <w:r w:rsidRPr="0459DA95">
              <w:t>30-39</w:t>
            </w:r>
          </w:p>
        </w:tc>
        <w:tc>
          <w:tcPr>
            <w:tcW w:w="779" w:type="dxa"/>
          </w:tcPr>
          <w:p w14:paraId="46ACCD0B" w14:textId="77777777" w:rsidR="00182884" w:rsidRPr="008D7480" w:rsidRDefault="00182884" w:rsidP="00182884">
            <w:pPr>
              <w:spacing w:after="0" w:line="240" w:lineRule="auto"/>
              <w:jc w:val="right"/>
            </w:pPr>
            <w:r w:rsidRPr="0459DA95">
              <w:t>1735</w:t>
            </w:r>
          </w:p>
        </w:tc>
        <w:tc>
          <w:tcPr>
            <w:tcW w:w="836" w:type="dxa"/>
          </w:tcPr>
          <w:p w14:paraId="6E430BDD" w14:textId="77777777" w:rsidR="00182884" w:rsidRPr="00F904D0" w:rsidRDefault="00182884" w:rsidP="00182884">
            <w:pPr>
              <w:spacing w:after="0" w:line="240" w:lineRule="auto"/>
              <w:jc w:val="right"/>
              <w:rPr>
                <w:b/>
                <w:bCs/>
              </w:rPr>
            </w:pPr>
            <w:r w:rsidRPr="0459DA95">
              <w:rPr>
                <w:b/>
                <w:bCs/>
              </w:rPr>
              <w:t>18.7</w:t>
            </w:r>
          </w:p>
        </w:tc>
        <w:tc>
          <w:tcPr>
            <w:tcW w:w="233" w:type="dxa"/>
          </w:tcPr>
          <w:p w14:paraId="1D2B1A91" w14:textId="77777777" w:rsidR="00182884" w:rsidRPr="008D7480" w:rsidRDefault="00182884" w:rsidP="00182884">
            <w:pPr>
              <w:spacing w:after="0" w:line="240" w:lineRule="auto"/>
              <w:jc w:val="right"/>
            </w:pPr>
          </w:p>
        </w:tc>
        <w:tc>
          <w:tcPr>
            <w:tcW w:w="1039" w:type="dxa"/>
          </w:tcPr>
          <w:p w14:paraId="19A6FB21" w14:textId="77777777" w:rsidR="00182884" w:rsidRPr="008D7480" w:rsidRDefault="00182884" w:rsidP="00182884">
            <w:pPr>
              <w:spacing w:after="0" w:line="240" w:lineRule="auto"/>
              <w:jc w:val="right"/>
            </w:pPr>
            <w:r w:rsidRPr="0459DA95">
              <w:t>2811</w:t>
            </w:r>
          </w:p>
        </w:tc>
        <w:tc>
          <w:tcPr>
            <w:tcW w:w="923" w:type="dxa"/>
          </w:tcPr>
          <w:p w14:paraId="35FCDB49" w14:textId="77777777" w:rsidR="00182884" w:rsidRPr="00F904D0" w:rsidRDefault="00182884" w:rsidP="00182884">
            <w:pPr>
              <w:spacing w:after="0" w:line="240" w:lineRule="auto"/>
              <w:jc w:val="right"/>
              <w:rPr>
                <w:b/>
                <w:bCs/>
              </w:rPr>
            </w:pPr>
            <w:r w:rsidRPr="0459DA95">
              <w:rPr>
                <w:b/>
                <w:bCs/>
              </w:rPr>
              <w:t>18.1</w:t>
            </w:r>
          </w:p>
        </w:tc>
      </w:tr>
      <w:tr w:rsidR="00182884" w:rsidRPr="008D7480" w14:paraId="299DACF4" w14:textId="77777777" w:rsidTr="000A7109">
        <w:tc>
          <w:tcPr>
            <w:tcW w:w="234" w:type="dxa"/>
          </w:tcPr>
          <w:p w14:paraId="6D03DD5B" w14:textId="77777777" w:rsidR="00182884" w:rsidRPr="008D7480" w:rsidRDefault="00182884" w:rsidP="00182884">
            <w:pPr>
              <w:spacing w:after="0" w:line="240" w:lineRule="auto"/>
            </w:pPr>
          </w:p>
        </w:tc>
        <w:tc>
          <w:tcPr>
            <w:tcW w:w="3877" w:type="dxa"/>
          </w:tcPr>
          <w:p w14:paraId="484FDC60" w14:textId="77777777" w:rsidR="00182884" w:rsidRPr="008D7480" w:rsidRDefault="00182884" w:rsidP="00182884">
            <w:pPr>
              <w:spacing w:after="0" w:line="240" w:lineRule="auto"/>
            </w:pPr>
            <w:r w:rsidRPr="0459DA95">
              <w:t>40 and over</w:t>
            </w:r>
          </w:p>
        </w:tc>
        <w:tc>
          <w:tcPr>
            <w:tcW w:w="779" w:type="dxa"/>
          </w:tcPr>
          <w:p w14:paraId="3AC63381" w14:textId="77777777" w:rsidR="00182884" w:rsidRPr="008D7480" w:rsidRDefault="00182884" w:rsidP="00182884">
            <w:pPr>
              <w:spacing w:after="0" w:line="240" w:lineRule="auto"/>
              <w:jc w:val="right"/>
            </w:pPr>
            <w:r w:rsidRPr="0459DA95">
              <w:t>3013</w:t>
            </w:r>
          </w:p>
        </w:tc>
        <w:tc>
          <w:tcPr>
            <w:tcW w:w="836" w:type="dxa"/>
          </w:tcPr>
          <w:p w14:paraId="60B2B387" w14:textId="77777777" w:rsidR="00182884" w:rsidRPr="00F904D0" w:rsidRDefault="00182884" w:rsidP="00182884">
            <w:pPr>
              <w:spacing w:after="0" w:line="240" w:lineRule="auto"/>
              <w:jc w:val="right"/>
              <w:rPr>
                <w:b/>
                <w:bCs/>
              </w:rPr>
            </w:pPr>
            <w:r w:rsidRPr="0459DA95">
              <w:rPr>
                <w:b/>
                <w:bCs/>
              </w:rPr>
              <w:t>32.4</w:t>
            </w:r>
          </w:p>
        </w:tc>
        <w:tc>
          <w:tcPr>
            <w:tcW w:w="233" w:type="dxa"/>
          </w:tcPr>
          <w:p w14:paraId="429E2FD0" w14:textId="77777777" w:rsidR="00182884" w:rsidRPr="008D7480" w:rsidRDefault="00182884" w:rsidP="00182884">
            <w:pPr>
              <w:spacing w:after="0" w:line="240" w:lineRule="auto"/>
              <w:jc w:val="right"/>
            </w:pPr>
          </w:p>
        </w:tc>
        <w:tc>
          <w:tcPr>
            <w:tcW w:w="1039" w:type="dxa"/>
          </w:tcPr>
          <w:p w14:paraId="499D1C5F" w14:textId="77777777" w:rsidR="00182884" w:rsidRPr="008D7480" w:rsidRDefault="00182884" w:rsidP="00182884">
            <w:pPr>
              <w:spacing w:after="0" w:line="240" w:lineRule="auto"/>
              <w:jc w:val="right"/>
            </w:pPr>
            <w:r w:rsidRPr="0459DA95">
              <w:t>7511</w:t>
            </w:r>
          </w:p>
        </w:tc>
        <w:tc>
          <w:tcPr>
            <w:tcW w:w="923" w:type="dxa"/>
          </w:tcPr>
          <w:p w14:paraId="2B56523D" w14:textId="77777777" w:rsidR="00182884" w:rsidRPr="00F904D0" w:rsidRDefault="00182884" w:rsidP="00182884">
            <w:pPr>
              <w:spacing w:after="0" w:line="240" w:lineRule="auto"/>
              <w:jc w:val="right"/>
              <w:rPr>
                <w:b/>
                <w:bCs/>
              </w:rPr>
            </w:pPr>
            <w:r w:rsidRPr="0459DA95">
              <w:rPr>
                <w:b/>
                <w:bCs/>
              </w:rPr>
              <w:t>48.4</w:t>
            </w:r>
          </w:p>
        </w:tc>
      </w:tr>
      <w:tr w:rsidR="00182884" w:rsidRPr="008D7480" w14:paraId="1B7EBC2B" w14:textId="77777777" w:rsidTr="000A7109">
        <w:tc>
          <w:tcPr>
            <w:tcW w:w="4111" w:type="dxa"/>
            <w:gridSpan w:val="2"/>
          </w:tcPr>
          <w:p w14:paraId="2100C85C" w14:textId="77777777" w:rsidR="00182884" w:rsidRPr="008D7480" w:rsidRDefault="00182884" w:rsidP="00182884">
            <w:pPr>
              <w:spacing w:after="0" w:line="240" w:lineRule="auto"/>
              <w:rPr>
                <w:b/>
                <w:bCs/>
              </w:rPr>
            </w:pPr>
            <w:r w:rsidRPr="0459DA95">
              <w:rPr>
                <w:b/>
                <w:bCs/>
              </w:rPr>
              <w:t>Education</w:t>
            </w:r>
          </w:p>
        </w:tc>
        <w:tc>
          <w:tcPr>
            <w:tcW w:w="779" w:type="dxa"/>
          </w:tcPr>
          <w:p w14:paraId="36134258" w14:textId="77777777" w:rsidR="00182884" w:rsidRPr="008D7480" w:rsidRDefault="00182884" w:rsidP="00182884">
            <w:pPr>
              <w:spacing w:after="0" w:line="240" w:lineRule="auto"/>
              <w:jc w:val="right"/>
            </w:pPr>
          </w:p>
        </w:tc>
        <w:tc>
          <w:tcPr>
            <w:tcW w:w="836" w:type="dxa"/>
          </w:tcPr>
          <w:p w14:paraId="1BE50A67" w14:textId="77777777" w:rsidR="00182884" w:rsidRPr="00F904D0" w:rsidRDefault="00182884" w:rsidP="00182884">
            <w:pPr>
              <w:spacing w:after="0" w:line="240" w:lineRule="auto"/>
              <w:jc w:val="right"/>
              <w:rPr>
                <w:b/>
                <w:bCs/>
              </w:rPr>
            </w:pPr>
          </w:p>
        </w:tc>
        <w:tc>
          <w:tcPr>
            <w:tcW w:w="233" w:type="dxa"/>
          </w:tcPr>
          <w:p w14:paraId="3CCCE27E" w14:textId="77777777" w:rsidR="00182884" w:rsidRPr="008D7480" w:rsidRDefault="00182884" w:rsidP="00182884">
            <w:pPr>
              <w:spacing w:after="0" w:line="240" w:lineRule="auto"/>
              <w:jc w:val="right"/>
            </w:pPr>
          </w:p>
        </w:tc>
        <w:tc>
          <w:tcPr>
            <w:tcW w:w="1039" w:type="dxa"/>
          </w:tcPr>
          <w:p w14:paraId="1B19C3C8" w14:textId="77777777" w:rsidR="00182884" w:rsidRPr="008D7480" w:rsidRDefault="00182884" w:rsidP="00182884">
            <w:pPr>
              <w:spacing w:after="0" w:line="240" w:lineRule="auto"/>
              <w:jc w:val="right"/>
            </w:pPr>
          </w:p>
        </w:tc>
        <w:tc>
          <w:tcPr>
            <w:tcW w:w="923" w:type="dxa"/>
          </w:tcPr>
          <w:p w14:paraId="4678987D" w14:textId="77777777" w:rsidR="00182884" w:rsidRPr="00F904D0" w:rsidRDefault="00182884" w:rsidP="00182884">
            <w:pPr>
              <w:spacing w:after="0" w:line="240" w:lineRule="auto"/>
              <w:jc w:val="right"/>
              <w:rPr>
                <w:b/>
                <w:bCs/>
              </w:rPr>
            </w:pPr>
          </w:p>
        </w:tc>
      </w:tr>
      <w:tr w:rsidR="00182884" w:rsidRPr="008D7480" w14:paraId="7B08038C" w14:textId="77777777" w:rsidTr="000A7109">
        <w:tc>
          <w:tcPr>
            <w:tcW w:w="234" w:type="dxa"/>
          </w:tcPr>
          <w:p w14:paraId="68057F68" w14:textId="77777777" w:rsidR="00182884" w:rsidRPr="008D7480" w:rsidRDefault="00182884" w:rsidP="00182884">
            <w:pPr>
              <w:spacing w:after="0" w:line="240" w:lineRule="auto"/>
            </w:pPr>
          </w:p>
        </w:tc>
        <w:tc>
          <w:tcPr>
            <w:tcW w:w="3877" w:type="dxa"/>
          </w:tcPr>
          <w:p w14:paraId="35F5A50E" w14:textId="77777777" w:rsidR="00182884" w:rsidRPr="001A02EC" w:rsidRDefault="00182884" w:rsidP="00182884">
            <w:pPr>
              <w:spacing w:after="0" w:line="240" w:lineRule="auto"/>
              <w:rPr>
                <w:lang w:val="en-GB"/>
              </w:rPr>
            </w:pPr>
            <w:r w:rsidRPr="001A02EC">
              <w:rPr>
                <w:lang w:val="en-GB"/>
              </w:rPr>
              <w:t>Never went to school/Primary</w:t>
            </w:r>
          </w:p>
        </w:tc>
        <w:tc>
          <w:tcPr>
            <w:tcW w:w="779" w:type="dxa"/>
          </w:tcPr>
          <w:p w14:paraId="2BC9CF9F" w14:textId="77777777" w:rsidR="00182884" w:rsidRPr="008D7480" w:rsidRDefault="00182884" w:rsidP="00182884">
            <w:pPr>
              <w:spacing w:after="0" w:line="240" w:lineRule="auto"/>
              <w:jc w:val="right"/>
            </w:pPr>
            <w:r w:rsidRPr="0459DA95">
              <w:t>3826</w:t>
            </w:r>
          </w:p>
        </w:tc>
        <w:tc>
          <w:tcPr>
            <w:tcW w:w="836" w:type="dxa"/>
          </w:tcPr>
          <w:p w14:paraId="782ECFD0" w14:textId="77777777" w:rsidR="00182884" w:rsidRPr="00F904D0" w:rsidRDefault="00182884" w:rsidP="00182884">
            <w:pPr>
              <w:spacing w:after="0" w:line="240" w:lineRule="auto"/>
              <w:jc w:val="right"/>
              <w:rPr>
                <w:b/>
                <w:bCs/>
              </w:rPr>
            </w:pPr>
            <w:r w:rsidRPr="0459DA95">
              <w:rPr>
                <w:b/>
                <w:bCs/>
              </w:rPr>
              <w:t>41.2</w:t>
            </w:r>
          </w:p>
        </w:tc>
        <w:tc>
          <w:tcPr>
            <w:tcW w:w="233" w:type="dxa"/>
          </w:tcPr>
          <w:p w14:paraId="36E76296" w14:textId="77777777" w:rsidR="00182884" w:rsidRPr="008D7480" w:rsidRDefault="00182884" w:rsidP="00182884">
            <w:pPr>
              <w:spacing w:after="0" w:line="240" w:lineRule="auto"/>
              <w:jc w:val="right"/>
            </w:pPr>
          </w:p>
        </w:tc>
        <w:tc>
          <w:tcPr>
            <w:tcW w:w="1039" w:type="dxa"/>
          </w:tcPr>
          <w:p w14:paraId="65BDF06D" w14:textId="77777777" w:rsidR="00182884" w:rsidRPr="008D7480" w:rsidRDefault="00182884" w:rsidP="00182884">
            <w:pPr>
              <w:spacing w:after="0" w:line="240" w:lineRule="auto"/>
              <w:jc w:val="right"/>
            </w:pPr>
            <w:r w:rsidRPr="0459DA95">
              <w:t>6602</w:t>
            </w:r>
          </w:p>
        </w:tc>
        <w:tc>
          <w:tcPr>
            <w:tcW w:w="923" w:type="dxa"/>
          </w:tcPr>
          <w:p w14:paraId="42BD80EE" w14:textId="77777777" w:rsidR="00182884" w:rsidRPr="00F904D0" w:rsidRDefault="00182884" w:rsidP="00182884">
            <w:pPr>
              <w:spacing w:after="0" w:line="240" w:lineRule="auto"/>
              <w:jc w:val="right"/>
              <w:rPr>
                <w:b/>
                <w:bCs/>
              </w:rPr>
            </w:pPr>
            <w:r w:rsidRPr="0459DA95">
              <w:rPr>
                <w:b/>
                <w:bCs/>
              </w:rPr>
              <w:t>42.6</w:t>
            </w:r>
          </w:p>
        </w:tc>
      </w:tr>
      <w:tr w:rsidR="00182884" w:rsidRPr="008D7480" w14:paraId="268723AC" w14:textId="77777777" w:rsidTr="000A7109">
        <w:tc>
          <w:tcPr>
            <w:tcW w:w="234" w:type="dxa"/>
          </w:tcPr>
          <w:p w14:paraId="7D7D10EF" w14:textId="77777777" w:rsidR="00182884" w:rsidRPr="008D7480" w:rsidRDefault="00182884" w:rsidP="00182884">
            <w:pPr>
              <w:spacing w:after="0" w:line="240" w:lineRule="auto"/>
            </w:pPr>
          </w:p>
        </w:tc>
        <w:tc>
          <w:tcPr>
            <w:tcW w:w="3877" w:type="dxa"/>
          </w:tcPr>
          <w:p w14:paraId="41FFA36D" w14:textId="77777777" w:rsidR="00182884" w:rsidRPr="008D7480" w:rsidRDefault="00182884" w:rsidP="00182884">
            <w:pPr>
              <w:spacing w:after="0" w:line="240" w:lineRule="auto"/>
            </w:pPr>
            <w:r w:rsidRPr="0459DA95">
              <w:t>Secondary</w:t>
            </w:r>
          </w:p>
        </w:tc>
        <w:tc>
          <w:tcPr>
            <w:tcW w:w="779" w:type="dxa"/>
          </w:tcPr>
          <w:p w14:paraId="072D5728" w14:textId="77777777" w:rsidR="00182884" w:rsidRPr="008D7480" w:rsidRDefault="00182884" w:rsidP="00182884">
            <w:pPr>
              <w:spacing w:after="0" w:line="240" w:lineRule="auto"/>
              <w:jc w:val="right"/>
            </w:pPr>
            <w:r w:rsidRPr="0459DA95">
              <w:t>4828</w:t>
            </w:r>
          </w:p>
        </w:tc>
        <w:tc>
          <w:tcPr>
            <w:tcW w:w="836" w:type="dxa"/>
          </w:tcPr>
          <w:p w14:paraId="717542BD" w14:textId="77777777" w:rsidR="00182884" w:rsidRPr="00F904D0" w:rsidRDefault="00182884" w:rsidP="00182884">
            <w:pPr>
              <w:spacing w:after="0" w:line="240" w:lineRule="auto"/>
              <w:jc w:val="right"/>
              <w:rPr>
                <w:b/>
                <w:bCs/>
              </w:rPr>
            </w:pPr>
            <w:r w:rsidRPr="0459DA95">
              <w:rPr>
                <w:b/>
                <w:bCs/>
              </w:rPr>
              <w:t>52.0</w:t>
            </w:r>
          </w:p>
        </w:tc>
        <w:tc>
          <w:tcPr>
            <w:tcW w:w="233" w:type="dxa"/>
          </w:tcPr>
          <w:p w14:paraId="3A8E491E" w14:textId="77777777" w:rsidR="00182884" w:rsidRPr="008D7480" w:rsidRDefault="00182884" w:rsidP="00182884">
            <w:pPr>
              <w:spacing w:after="0" w:line="240" w:lineRule="auto"/>
              <w:jc w:val="right"/>
            </w:pPr>
          </w:p>
        </w:tc>
        <w:tc>
          <w:tcPr>
            <w:tcW w:w="1039" w:type="dxa"/>
          </w:tcPr>
          <w:p w14:paraId="7F97D27F" w14:textId="77777777" w:rsidR="00182884" w:rsidRPr="008D7480" w:rsidRDefault="00182884" w:rsidP="00182884">
            <w:pPr>
              <w:spacing w:after="0" w:line="240" w:lineRule="auto"/>
              <w:jc w:val="right"/>
            </w:pPr>
            <w:r w:rsidRPr="0459DA95">
              <w:t>7630</w:t>
            </w:r>
          </w:p>
        </w:tc>
        <w:tc>
          <w:tcPr>
            <w:tcW w:w="923" w:type="dxa"/>
          </w:tcPr>
          <w:p w14:paraId="7E7340BA" w14:textId="77777777" w:rsidR="00182884" w:rsidRPr="00F904D0" w:rsidRDefault="00182884" w:rsidP="00182884">
            <w:pPr>
              <w:spacing w:after="0" w:line="240" w:lineRule="auto"/>
              <w:jc w:val="right"/>
              <w:rPr>
                <w:b/>
                <w:bCs/>
              </w:rPr>
            </w:pPr>
            <w:r w:rsidRPr="0459DA95">
              <w:rPr>
                <w:b/>
                <w:bCs/>
              </w:rPr>
              <w:t>49.2</w:t>
            </w:r>
          </w:p>
        </w:tc>
      </w:tr>
      <w:tr w:rsidR="00182884" w:rsidRPr="008D7480" w14:paraId="6F992A5B" w14:textId="77777777" w:rsidTr="000A7109">
        <w:tc>
          <w:tcPr>
            <w:tcW w:w="234" w:type="dxa"/>
          </w:tcPr>
          <w:p w14:paraId="297039F4" w14:textId="77777777" w:rsidR="00182884" w:rsidRPr="008D7480" w:rsidRDefault="00182884" w:rsidP="00182884">
            <w:pPr>
              <w:spacing w:after="0" w:line="240" w:lineRule="auto"/>
            </w:pPr>
          </w:p>
        </w:tc>
        <w:tc>
          <w:tcPr>
            <w:tcW w:w="3877" w:type="dxa"/>
          </w:tcPr>
          <w:p w14:paraId="516C0F85" w14:textId="77777777" w:rsidR="00182884" w:rsidRPr="008D7480" w:rsidRDefault="00182884" w:rsidP="00182884">
            <w:pPr>
              <w:spacing w:after="0" w:line="240" w:lineRule="auto"/>
            </w:pPr>
            <w:r w:rsidRPr="0459DA95">
              <w:t>Tertiary</w:t>
            </w:r>
          </w:p>
        </w:tc>
        <w:tc>
          <w:tcPr>
            <w:tcW w:w="779" w:type="dxa"/>
          </w:tcPr>
          <w:p w14:paraId="399C3EE7" w14:textId="77777777" w:rsidR="00182884" w:rsidRPr="008D7480" w:rsidRDefault="00182884" w:rsidP="00182884">
            <w:pPr>
              <w:spacing w:after="0" w:line="240" w:lineRule="auto"/>
              <w:jc w:val="right"/>
            </w:pPr>
            <w:r w:rsidRPr="0459DA95">
              <w:t>636</w:t>
            </w:r>
          </w:p>
        </w:tc>
        <w:tc>
          <w:tcPr>
            <w:tcW w:w="836" w:type="dxa"/>
          </w:tcPr>
          <w:p w14:paraId="3A25F8BD" w14:textId="77777777" w:rsidR="00182884" w:rsidRPr="00F904D0" w:rsidRDefault="00182884" w:rsidP="00182884">
            <w:pPr>
              <w:spacing w:after="0" w:line="240" w:lineRule="auto"/>
              <w:jc w:val="right"/>
              <w:rPr>
                <w:b/>
                <w:bCs/>
              </w:rPr>
            </w:pPr>
            <w:r w:rsidRPr="0459DA95">
              <w:rPr>
                <w:b/>
                <w:bCs/>
              </w:rPr>
              <w:t>6.8</w:t>
            </w:r>
          </w:p>
        </w:tc>
        <w:tc>
          <w:tcPr>
            <w:tcW w:w="233" w:type="dxa"/>
          </w:tcPr>
          <w:p w14:paraId="5DC435D0" w14:textId="77777777" w:rsidR="00182884" w:rsidRPr="008D7480" w:rsidRDefault="00182884" w:rsidP="00182884">
            <w:pPr>
              <w:spacing w:after="0" w:line="240" w:lineRule="auto"/>
              <w:jc w:val="right"/>
            </w:pPr>
          </w:p>
        </w:tc>
        <w:tc>
          <w:tcPr>
            <w:tcW w:w="1039" w:type="dxa"/>
          </w:tcPr>
          <w:p w14:paraId="4B514D85" w14:textId="77777777" w:rsidR="00182884" w:rsidRPr="008D7480" w:rsidRDefault="00182884" w:rsidP="00182884">
            <w:pPr>
              <w:spacing w:after="0" w:line="240" w:lineRule="auto"/>
              <w:jc w:val="right"/>
            </w:pPr>
            <w:r w:rsidRPr="0459DA95">
              <w:t>1271</w:t>
            </w:r>
          </w:p>
        </w:tc>
        <w:tc>
          <w:tcPr>
            <w:tcW w:w="923" w:type="dxa"/>
          </w:tcPr>
          <w:p w14:paraId="0917C2CF" w14:textId="77777777" w:rsidR="00182884" w:rsidRPr="00F904D0" w:rsidRDefault="00182884" w:rsidP="00182884">
            <w:pPr>
              <w:spacing w:after="0" w:line="240" w:lineRule="auto"/>
              <w:jc w:val="right"/>
              <w:rPr>
                <w:b/>
                <w:bCs/>
              </w:rPr>
            </w:pPr>
            <w:r w:rsidRPr="0459DA95">
              <w:rPr>
                <w:b/>
                <w:bCs/>
              </w:rPr>
              <w:t>8.2</w:t>
            </w:r>
          </w:p>
        </w:tc>
      </w:tr>
      <w:tr w:rsidR="00182884" w:rsidRPr="008D7480" w14:paraId="16D7A173" w14:textId="77777777" w:rsidTr="000A7109">
        <w:tc>
          <w:tcPr>
            <w:tcW w:w="4111" w:type="dxa"/>
            <w:gridSpan w:val="2"/>
          </w:tcPr>
          <w:p w14:paraId="61FAD6DF" w14:textId="77777777" w:rsidR="00182884" w:rsidRPr="003F7B3B" w:rsidRDefault="00182884" w:rsidP="00182884">
            <w:pPr>
              <w:spacing w:after="0" w:line="240" w:lineRule="auto"/>
              <w:rPr>
                <w:b/>
                <w:bCs/>
              </w:rPr>
            </w:pPr>
            <w:r w:rsidRPr="0459DA95">
              <w:rPr>
                <w:b/>
                <w:bCs/>
              </w:rPr>
              <w:t>Marital situation</w:t>
            </w:r>
          </w:p>
        </w:tc>
        <w:tc>
          <w:tcPr>
            <w:tcW w:w="779" w:type="dxa"/>
          </w:tcPr>
          <w:p w14:paraId="6F1225EA" w14:textId="77777777" w:rsidR="00182884" w:rsidRPr="008D7480" w:rsidRDefault="00182884" w:rsidP="00182884">
            <w:pPr>
              <w:spacing w:after="0" w:line="240" w:lineRule="auto"/>
              <w:jc w:val="right"/>
            </w:pPr>
          </w:p>
        </w:tc>
        <w:tc>
          <w:tcPr>
            <w:tcW w:w="836" w:type="dxa"/>
          </w:tcPr>
          <w:p w14:paraId="26457A58" w14:textId="77777777" w:rsidR="00182884" w:rsidRPr="00F904D0" w:rsidRDefault="00182884" w:rsidP="00182884">
            <w:pPr>
              <w:spacing w:after="0" w:line="240" w:lineRule="auto"/>
              <w:jc w:val="right"/>
              <w:rPr>
                <w:b/>
                <w:bCs/>
              </w:rPr>
            </w:pPr>
          </w:p>
        </w:tc>
        <w:tc>
          <w:tcPr>
            <w:tcW w:w="233" w:type="dxa"/>
          </w:tcPr>
          <w:p w14:paraId="52735104" w14:textId="77777777" w:rsidR="00182884" w:rsidRPr="008D7480" w:rsidRDefault="00182884" w:rsidP="00182884">
            <w:pPr>
              <w:spacing w:after="0" w:line="240" w:lineRule="auto"/>
              <w:jc w:val="right"/>
            </w:pPr>
          </w:p>
        </w:tc>
        <w:tc>
          <w:tcPr>
            <w:tcW w:w="1039" w:type="dxa"/>
          </w:tcPr>
          <w:p w14:paraId="2CF7F87F" w14:textId="77777777" w:rsidR="00182884" w:rsidRPr="008D7480" w:rsidRDefault="00182884" w:rsidP="00182884">
            <w:pPr>
              <w:spacing w:after="0" w:line="240" w:lineRule="auto"/>
              <w:jc w:val="right"/>
            </w:pPr>
          </w:p>
        </w:tc>
        <w:tc>
          <w:tcPr>
            <w:tcW w:w="923" w:type="dxa"/>
          </w:tcPr>
          <w:p w14:paraId="4004E525" w14:textId="77777777" w:rsidR="00182884" w:rsidRPr="00F904D0" w:rsidRDefault="00182884" w:rsidP="00182884">
            <w:pPr>
              <w:spacing w:after="0" w:line="240" w:lineRule="auto"/>
              <w:jc w:val="right"/>
              <w:rPr>
                <w:b/>
                <w:bCs/>
              </w:rPr>
            </w:pPr>
          </w:p>
        </w:tc>
      </w:tr>
      <w:tr w:rsidR="00182884" w:rsidRPr="008D7480" w14:paraId="5786C795" w14:textId="77777777" w:rsidTr="000A7109">
        <w:tc>
          <w:tcPr>
            <w:tcW w:w="234" w:type="dxa"/>
          </w:tcPr>
          <w:p w14:paraId="6959668E" w14:textId="77777777" w:rsidR="00182884" w:rsidRPr="008D7480" w:rsidRDefault="00182884" w:rsidP="00182884">
            <w:pPr>
              <w:spacing w:after="0" w:line="240" w:lineRule="auto"/>
            </w:pPr>
          </w:p>
        </w:tc>
        <w:tc>
          <w:tcPr>
            <w:tcW w:w="3877" w:type="dxa"/>
          </w:tcPr>
          <w:p w14:paraId="25C0551E" w14:textId="77777777" w:rsidR="00182884" w:rsidRPr="008D7480" w:rsidRDefault="00182884" w:rsidP="00182884">
            <w:pPr>
              <w:spacing w:after="0" w:line="240" w:lineRule="auto"/>
            </w:pPr>
            <w:r w:rsidRPr="0459DA95">
              <w:t>Single</w:t>
            </w:r>
          </w:p>
        </w:tc>
        <w:tc>
          <w:tcPr>
            <w:tcW w:w="779" w:type="dxa"/>
          </w:tcPr>
          <w:p w14:paraId="5E8E1938" w14:textId="77777777" w:rsidR="00182884" w:rsidRPr="008D7480" w:rsidRDefault="00182884" w:rsidP="00182884">
            <w:pPr>
              <w:spacing w:after="0" w:line="240" w:lineRule="auto"/>
              <w:jc w:val="right"/>
            </w:pPr>
            <w:r w:rsidRPr="0459DA95">
              <w:t>3933</w:t>
            </w:r>
          </w:p>
        </w:tc>
        <w:tc>
          <w:tcPr>
            <w:tcW w:w="836" w:type="dxa"/>
          </w:tcPr>
          <w:p w14:paraId="0C6A5177" w14:textId="77777777" w:rsidR="00182884" w:rsidRPr="00F904D0" w:rsidRDefault="00182884" w:rsidP="00182884">
            <w:pPr>
              <w:spacing w:after="0" w:line="240" w:lineRule="auto"/>
              <w:jc w:val="right"/>
              <w:rPr>
                <w:b/>
                <w:bCs/>
              </w:rPr>
            </w:pPr>
            <w:r w:rsidRPr="0459DA95">
              <w:rPr>
                <w:b/>
                <w:bCs/>
              </w:rPr>
              <w:t>42.3</w:t>
            </w:r>
          </w:p>
        </w:tc>
        <w:tc>
          <w:tcPr>
            <w:tcW w:w="233" w:type="dxa"/>
          </w:tcPr>
          <w:p w14:paraId="65C3E6B8" w14:textId="77777777" w:rsidR="00182884" w:rsidRPr="008D7480" w:rsidRDefault="00182884" w:rsidP="00182884">
            <w:pPr>
              <w:spacing w:after="0" w:line="240" w:lineRule="auto"/>
              <w:jc w:val="right"/>
            </w:pPr>
          </w:p>
        </w:tc>
        <w:tc>
          <w:tcPr>
            <w:tcW w:w="1039" w:type="dxa"/>
          </w:tcPr>
          <w:p w14:paraId="27770C4B" w14:textId="77777777" w:rsidR="00182884" w:rsidRPr="008D7480" w:rsidRDefault="00182884" w:rsidP="00182884">
            <w:pPr>
              <w:spacing w:after="0" w:line="240" w:lineRule="auto"/>
              <w:jc w:val="right"/>
            </w:pPr>
            <w:r w:rsidRPr="0459DA95">
              <w:t>4459</w:t>
            </w:r>
          </w:p>
        </w:tc>
        <w:tc>
          <w:tcPr>
            <w:tcW w:w="923" w:type="dxa"/>
          </w:tcPr>
          <w:p w14:paraId="1D1F5EDB" w14:textId="77777777" w:rsidR="00182884" w:rsidRPr="00F904D0" w:rsidRDefault="00182884" w:rsidP="00182884">
            <w:pPr>
              <w:spacing w:after="0" w:line="240" w:lineRule="auto"/>
              <w:jc w:val="right"/>
              <w:rPr>
                <w:b/>
                <w:bCs/>
              </w:rPr>
            </w:pPr>
            <w:r w:rsidRPr="0459DA95">
              <w:rPr>
                <w:b/>
                <w:bCs/>
              </w:rPr>
              <w:t>28.8</w:t>
            </w:r>
          </w:p>
        </w:tc>
      </w:tr>
      <w:tr w:rsidR="00182884" w:rsidRPr="008D7480" w14:paraId="696EEE0E" w14:textId="77777777" w:rsidTr="000A7109">
        <w:tc>
          <w:tcPr>
            <w:tcW w:w="234" w:type="dxa"/>
          </w:tcPr>
          <w:p w14:paraId="68A378AB" w14:textId="77777777" w:rsidR="00182884" w:rsidRPr="008D7480" w:rsidRDefault="00182884" w:rsidP="00182884">
            <w:pPr>
              <w:spacing w:after="0" w:line="240" w:lineRule="auto"/>
            </w:pPr>
          </w:p>
        </w:tc>
        <w:tc>
          <w:tcPr>
            <w:tcW w:w="3877" w:type="dxa"/>
          </w:tcPr>
          <w:p w14:paraId="62591448" w14:textId="77777777" w:rsidR="00182884" w:rsidRPr="008D7480" w:rsidRDefault="00182884" w:rsidP="00182884">
            <w:pPr>
              <w:spacing w:after="0" w:line="240" w:lineRule="auto"/>
            </w:pPr>
            <w:r w:rsidRPr="0459DA95">
              <w:t>Married/Informal union</w:t>
            </w:r>
          </w:p>
        </w:tc>
        <w:tc>
          <w:tcPr>
            <w:tcW w:w="779" w:type="dxa"/>
          </w:tcPr>
          <w:p w14:paraId="0E6BF809" w14:textId="77777777" w:rsidR="00182884" w:rsidRPr="008D7480" w:rsidRDefault="00182884" w:rsidP="00182884">
            <w:pPr>
              <w:spacing w:after="0" w:line="240" w:lineRule="auto"/>
              <w:jc w:val="right"/>
            </w:pPr>
            <w:r w:rsidRPr="0459DA95">
              <w:t>5146</w:t>
            </w:r>
          </w:p>
        </w:tc>
        <w:tc>
          <w:tcPr>
            <w:tcW w:w="836" w:type="dxa"/>
          </w:tcPr>
          <w:p w14:paraId="5F1717A2" w14:textId="77777777" w:rsidR="00182884" w:rsidRPr="00F904D0" w:rsidRDefault="00182884" w:rsidP="00182884">
            <w:pPr>
              <w:spacing w:after="0" w:line="240" w:lineRule="auto"/>
              <w:jc w:val="right"/>
              <w:rPr>
                <w:b/>
                <w:bCs/>
              </w:rPr>
            </w:pPr>
            <w:r w:rsidRPr="0459DA95">
              <w:rPr>
                <w:b/>
                <w:bCs/>
              </w:rPr>
              <w:t>55.4</w:t>
            </w:r>
          </w:p>
        </w:tc>
        <w:tc>
          <w:tcPr>
            <w:tcW w:w="233" w:type="dxa"/>
          </w:tcPr>
          <w:p w14:paraId="13F27BB2" w14:textId="77777777" w:rsidR="00182884" w:rsidRPr="008D7480" w:rsidRDefault="00182884" w:rsidP="00182884">
            <w:pPr>
              <w:spacing w:after="0" w:line="240" w:lineRule="auto"/>
              <w:jc w:val="right"/>
            </w:pPr>
          </w:p>
        </w:tc>
        <w:tc>
          <w:tcPr>
            <w:tcW w:w="1039" w:type="dxa"/>
          </w:tcPr>
          <w:p w14:paraId="588006F9" w14:textId="77777777" w:rsidR="00182884" w:rsidRPr="008D7480" w:rsidRDefault="00182884" w:rsidP="00182884">
            <w:pPr>
              <w:spacing w:after="0" w:line="240" w:lineRule="auto"/>
              <w:jc w:val="right"/>
            </w:pPr>
            <w:r w:rsidRPr="0459DA95">
              <w:t>8473</w:t>
            </w:r>
          </w:p>
        </w:tc>
        <w:tc>
          <w:tcPr>
            <w:tcW w:w="923" w:type="dxa"/>
          </w:tcPr>
          <w:p w14:paraId="429857D9" w14:textId="77777777" w:rsidR="00182884" w:rsidRPr="00F904D0" w:rsidRDefault="00182884" w:rsidP="00182884">
            <w:pPr>
              <w:spacing w:after="0" w:line="240" w:lineRule="auto"/>
              <w:jc w:val="right"/>
              <w:rPr>
                <w:b/>
                <w:bCs/>
              </w:rPr>
            </w:pPr>
            <w:r w:rsidRPr="0459DA95">
              <w:rPr>
                <w:b/>
                <w:bCs/>
              </w:rPr>
              <w:t>54.7</w:t>
            </w:r>
          </w:p>
        </w:tc>
      </w:tr>
      <w:tr w:rsidR="00182884" w:rsidRPr="008D7480" w14:paraId="4D6B2D55" w14:textId="77777777" w:rsidTr="000A7109">
        <w:tc>
          <w:tcPr>
            <w:tcW w:w="234" w:type="dxa"/>
          </w:tcPr>
          <w:p w14:paraId="5FAF8133" w14:textId="77777777" w:rsidR="00182884" w:rsidRPr="008D7480" w:rsidRDefault="00182884" w:rsidP="00182884">
            <w:pPr>
              <w:spacing w:after="0" w:line="240" w:lineRule="auto"/>
            </w:pPr>
          </w:p>
        </w:tc>
        <w:tc>
          <w:tcPr>
            <w:tcW w:w="3877" w:type="dxa"/>
          </w:tcPr>
          <w:p w14:paraId="6AFC73DE" w14:textId="77777777" w:rsidR="00182884" w:rsidRPr="008D7480" w:rsidRDefault="00182884" w:rsidP="00182884">
            <w:pPr>
              <w:spacing w:after="0" w:line="240" w:lineRule="auto"/>
            </w:pPr>
            <w:r w:rsidRPr="0459DA95">
              <w:t>Widowed/Separated/Divorced</w:t>
            </w:r>
          </w:p>
        </w:tc>
        <w:tc>
          <w:tcPr>
            <w:tcW w:w="779" w:type="dxa"/>
          </w:tcPr>
          <w:p w14:paraId="71F5EC87" w14:textId="77777777" w:rsidR="00182884" w:rsidRPr="008D7480" w:rsidRDefault="00182884" w:rsidP="00182884">
            <w:pPr>
              <w:spacing w:after="0" w:line="240" w:lineRule="auto"/>
              <w:jc w:val="right"/>
            </w:pPr>
            <w:r w:rsidRPr="0459DA95">
              <w:t>211</w:t>
            </w:r>
          </w:p>
        </w:tc>
        <w:tc>
          <w:tcPr>
            <w:tcW w:w="836" w:type="dxa"/>
          </w:tcPr>
          <w:p w14:paraId="027FF201" w14:textId="77777777" w:rsidR="00182884" w:rsidRPr="00F904D0" w:rsidRDefault="00182884" w:rsidP="00182884">
            <w:pPr>
              <w:spacing w:after="0" w:line="240" w:lineRule="auto"/>
              <w:jc w:val="right"/>
              <w:rPr>
                <w:b/>
                <w:bCs/>
              </w:rPr>
            </w:pPr>
            <w:r w:rsidRPr="0459DA95">
              <w:rPr>
                <w:b/>
                <w:bCs/>
              </w:rPr>
              <w:t>2.3</w:t>
            </w:r>
          </w:p>
        </w:tc>
        <w:tc>
          <w:tcPr>
            <w:tcW w:w="233" w:type="dxa"/>
          </w:tcPr>
          <w:p w14:paraId="0173C6B1" w14:textId="77777777" w:rsidR="00182884" w:rsidRPr="008D7480" w:rsidRDefault="00182884" w:rsidP="00182884">
            <w:pPr>
              <w:spacing w:after="0" w:line="240" w:lineRule="auto"/>
              <w:jc w:val="right"/>
            </w:pPr>
          </w:p>
        </w:tc>
        <w:tc>
          <w:tcPr>
            <w:tcW w:w="1039" w:type="dxa"/>
          </w:tcPr>
          <w:p w14:paraId="519A1BDD" w14:textId="77777777" w:rsidR="00182884" w:rsidRPr="008D7480" w:rsidRDefault="00182884" w:rsidP="00182884">
            <w:pPr>
              <w:spacing w:after="0" w:line="240" w:lineRule="auto"/>
              <w:jc w:val="right"/>
            </w:pPr>
            <w:r w:rsidRPr="0459DA95">
              <w:t>2571</w:t>
            </w:r>
          </w:p>
        </w:tc>
        <w:tc>
          <w:tcPr>
            <w:tcW w:w="923" w:type="dxa"/>
          </w:tcPr>
          <w:p w14:paraId="202BDA87" w14:textId="77777777" w:rsidR="00182884" w:rsidRPr="00F904D0" w:rsidRDefault="00182884" w:rsidP="00182884">
            <w:pPr>
              <w:spacing w:after="0" w:line="240" w:lineRule="auto"/>
              <w:jc w:val="right"/>
              <w:rPr>
                <w:b/>
                <w:bCs/>
              </w:rPr>
            </w:pPr>
            <w:r w:rsidRPr="0459DA95">
              <w:rPr>
                <w:b/>
                <w:bCs/>
              </w:rPr>
              <w:t>16.6</w:t>
            </w:r>
          </w:p>
        </w:tc>
      </w:tr>
      <w:tr w:rsidR="00182884" w:rsidRPr="008D7480" w14:paraId="75BB652A" w14:textId="77777777" w:rsidTr="000A7109">
        <w:tc>
          <w:tcPr>
            <w:tcW w:w="4111" w:type="dxa"/>
            <w:gridSpan w:val="2"/>
          </w:tcPr>
          <w:p w14:paraId="23B6E9E0" w14:textId="77777777" w:rsidR="00182884" w:rsidRPr="008D7480" w:rsidRDefault="00182884" w:rsidP="00182884">
            <w:pPr>
              <w:spacing w:after="0" w:line="240" w:lineRule="auto"/>
              <w:rPr>
                <w:b/>
                <w:bCs/>
              </w:rPr>
            </w:pPr>
            <w:r w:rsidRPr="0459DA95">
              <w:rPr>
                <w:b/>
                <w:bCs/>
              </w:rPr>
              <w:t>Household assets index</w:t>
            </w:r>
          </w:p>
        </w:tc>
        <w:tc>
          <w:tcPr>
            <w:tcW w:w="779" w:type="dxa"/>
          </w:tcPr>
          <w:p w14:paraId="3B37019B" w14:textId="77777777" w:rsidR="00182884" w:rsidRPr="008D7480" w:rsidRDefault="00182884" w:rsidP="00182884">
            <w:pPr>
              <w:spacing w:after="0" w:line="240" w:lineRule="auto"/>
              <w:jc w:val="right"/>
            </w:pPr>
          </w:p>
        </w:tc>
        <w:tc>
          <w:tcPr>
            <w:tcW w:w="836" w:type="dxa"/>
          </w:tcPr>
          <w:p w14:paraId="484558DF" w14:textId="77777777" w:rsidR="00182884" w:rsidRPr="00F904D0" w:rsidRDefault="00182884" w:rsidP="00182884">
            <w:pPr>
              <w:spacing w:after="0" w:line="240" w:lineRule="auto"/>
              <w:jc w:val="right"/>
              <w:rPr>
                <w:b/>
                <w:bCs/>
              </w:rPr>
            </w:pPr>
          </w:p>
        </w:tc>
        <w:tc>
          <w:tcPr>
            <w:tcW w:w="233" w:type="dxa"/>
          </w:tcPr>
          <w:p w14:paraId="276F3A61" w14:textId="77777777" w:rsidR="00182884" w:rsidRPr="008D7480" w:rsidRDefault="00182884" w:rsidP="00182884">
            <w:pPr>
              <w:spacing w:after="0" w:line="240" w:lineRule="auto"/>
              <w:jc w:val="right"/>
            </w:pPr>
          </w:p>
        </w:tc>
        <w:tc>
          <w:tcPr>
            <w:tcW w:w="1039" w:type="dxa"/>
          </w:tcPr>
          <w:p w14:paraId="711F6D22" w14:textId="77777777" w:rsidR="00182884" w:rsidRPr="008D7480" w:rsidRDefault="00182884" w:rsidP="00182884">
            <w:pPr>
              <w:spacing w:after="0" w:line="240" w:lineRule="auto"/>
              <w:jc w:val="right"/>
            </w:pPr>
          </w:p>
        </w:tc>
        <w:tc>
          <w:tcPr>
            <w:tcW w:w="923" w:type="dxa"/>
          </w:tcPr>
          <w:p w14:paraId="5DAA9FA5" w14:textId="77777777" w:rsidR="00182884" w:rsidRPr="00F904D0" w:rsidRDefault="00182884" w:rsidP="00182884">
            <w:pPr>
              <w:spacing w:after="0" w:line="240" w:lineRule="auto"/>
              <w:jc w:val="right"/>
              <w:rPr>
                <w:b/>
                <w:bCs/>
              </w:rPr>
            </w:pPr>
          </w:p>
        </w:tc>
      </w:tr>
      <w:tr w:rsidR="00182884" w:rsidRPr="008D7480" w14:paraId="13417438" w14:textId="77777777" w:rsidTr="000A7109">
        <w:tc>
          <w:tcPr>
            <w:tcW w:w="234" w:type="dxa"/>
          </w:tcPr>
          <w:p w14:paraId="3124EF80" w14:textId="77777777" w:rsidR="00182884" w:rsidRPr="008D7480" w:rsidRDefault="00182884" w:rsidP="00182884">
            <w:pPr>
              <w:spacing w:after="0" w:line="240" w:lineRule="auto"/>
            </w:pPr>
          </w:p>
        </w:tc>
        <w:tc>
          <w:tcPr>
            <w:tcW w:w="3877" w:type="dxa"/>
          </w:tcPr>
          <w:p w14:paraId="7104C30F" w14:textId="77777777" w:rsidR="00182884" w:rsidRPr="008D7480" w:rsidRDefault="00182884" w:rsidP="00182884">
            <w:pPr>
              <w:spacing w:after="0" w:line="240" w:lineRule="auto"/>
            </w:pPr>
            <w:r w:rsidRPr="0459DA95">
              <w:t>40% poorest</w:t>
            </w:r>
          </w:p>
        </w:tc>
        <w:tc>
          <w:tcPr>
            <w:tcW w:w="779" w:type="dxa"/>
          </w:tcPr>
          <w:p w14:paraId="5EBC142D" w14:textId="77777777" w:rsidR="00182884" w:rsidRPr="00A75E9E" w:rsidRDefault="00182884" w:rsidP="00182884">
            <w:pPr>
              <w:spacing w:after="0" w:line="240" w:lineRule="auto"/>
              <w:jc w:val="right"/>
            </w:pPr>
            <w:r w:rsidRPr="0459DA95">
              <w:t>3628</w:t>
            </w:r>
          </w:p>
        </w:tc>
        <w:tc>
          <w:tcPr>
            <w:tcW w:w="836" w:type="dxa"/>
          </w:tcPr>
          <w:p w14:paraId="705EFAC1" w14:textId="77777777" w:rsidR="00182884" w:rsidRPr="00A75E9E" w:rsidRDefault="00182884" w:rsidP="00182884">
            <w:pPr>
              <w:spacing w:after="0" w:line="240" w:lineRule="auto"/>
              <w:jc w:val="right"/>
              <w:rPr>
                <w:b/>
                <w:bCs/>
              </w:rPr>
            </w:pPr>
            <w:r w:rsidRPr="0459DA95">
              <w:rPr>
                <w:b/>
                <w:bCs/>
              </w:rPr>
              <w:t>39.1</w:t>
            </w:r>
          </w:p>
        </w:tc>
        <w:tc>
          <w:tcPr>
            <w:tcW w:w="233" w:type="dxa"/>
          </w:tcPr>
          <w:p w14:paraId="06C6BA59" w14:textId="77777777" w:rsidR="00182884" w:rsidRPr="00A75E9E" w:rsidRDefault="00182884" w:rsidP="00182884">
            <w:pPr>
              <w:spacing w:after="0" w:line="240" w:lineRule="auto"/>
              <w:jc w:val="right"/>
            </w:pPr>
          </w:p>
        </w:tc>
        <w:tc>
          <w:tcPr>
            <w:tcW w:w="1039" w:type="dxa"/>
          </w:tcPr>
          <w:p w14:paraId="10E7A21B" w14:textId="77777777" w:rsidR="00182884" w:rsidRPr="00A75E9E" w:rsidRDefault="00182884" w:rsidP="00182884">
            <w:pPr>
              <w:spacing w:after="0" w:line="240" w:lineRule="auto"/>
              <w:jc w:val="right"/>
            </w:pPr>
            <w:r w:rsidRPr="0459DA95">
              <w:t>6125</w:t>
            </w:r>
          </w:p>
        </w:tc>
        <w:tc>
          <w:tcPr>
            <w:tcW w:w="923" w:type="dxa"/>
          </w:tcPr>
          <w:p w14:paraId="21429B03" w14:textId="77777777" w:rsidR="00182884" w:rsidRPr="00A75E9E" w:rsidRDefault="00182884" w:rsidP="00182884">
            <w:pPr>
              <w:spacing w:after="0" w:line="240" w:lineRule="auto"/>
              <w:jc w:val="right"/>
              <w:rPr>
                <w:b/>
                <w:bCs/>
              </w:rPr>
            </w:pPr>
            <w:r w:rsidRPr="0459DA95">
              <w:rPr>
                <w:b/>
                <w:bCs/>
              </w:rPr>
              <w:t>39.5</w:t>
            </w:r>
          </w:p>
        </w:tc>
      </w:tr>
      <w:tr w:rsidR="00182884" w:rsidRPr="008D7480" w14:paraId="7D48E440" w14:textId="77777777" w:rsidTr="000A7109">
        <w:tc>
          <w:tcPr>
            <w:tcW w:w="234" w:type="dxa"/>
          </w:tcPr>
          <w:p w14:paraId="51144FAD" w14:textId="77777777" w:rsidR="00182884" w:rsidRPr="008D7480" w:rsidRDefault="00182884" w:rsidP="00182884">
            <w:pPr>
              <w:spacing w:after="0" w:line="240" w:lineRule="auto"/>
            </w:pPr>
          </w:p>
        </w:tc>
        <w:tc>
          <w:tcPr>
            <w:tcW w:w="3877" w:type="dxa"/>
          </w:tcPr>
          <w:p w14:paraId="134176B1" w14:textId="77777777" w:rsidR="00182884" w:rsidRPr="008D7480" w:rsidRDefault="00182884" w:rsidP="00182884">
            <w:pPr>
              <w:spacing w:after="0" w:line="240" w:lineRule="auto"/>
            </w:pPr>
            <w:r w:rsidRPr="0459DA95">
              <w:t>40% wealth middle</w:t>
            </w:r>
          </w:p>
        </w:tc>
        <w:tc>
          <w:tcPr>
            <w:tcW w:w="779" w:type="dxa"/>
          </w:tcPr>
          <w:p w14:paraId="51732BC8" w14:textId="77777777" w:rsidR="00182884" w:rsidRPr="00A75E9E" w:rsidRDefault="00182884" w:rsidP="00182884">
            <w:pPr>
              <w:spacing w:after="0" w:line="240" w:lineRule="auto"/>
              <w:jc w:val="right"/>
            </w:pPr>
            <w:r w:rsidRPr="0459DA95">
              <w:t>3771</w:t>
            </w:r>
          </w:p>
        </w:tc>
        <w:tc>
          <w:tcPr>
            <w:tcW w:w="836" w:type="dxa"/>
          </w:tcPr>
          <w:p w14:paraId="4A637C6F" w14:textId="77777777" w:rsidR="00182884" w:rsidRPr="00A75E9E" w:rsidRDefault="00182884" w:rsidP="00182884">
            <w:pPr>
              <w:spacing w:after="0" w:line="240" w:lineRule="auto"/>
              <w:jc w:val="right"/>
              <w:rPr>
                <w:b/>
                <w:bCs/>
              </w:rPr>
            </w:pPr>
            <w:r w:rsidRPr="0459DA95">
              <w:rPr>
                <w:b/>
                <w:bCs/>
              </w:rPr>
              <w:t>40.6</w:t>
            </w:r>
          </w:p>
        </w:tc>
        <w:tc>
          <w:tcPr>
            <w:tcW w:w="233" w:type="dxa"/>
          </w:tcPr>
          <w:p w14:paraId="65A993ED" w14:textId="77777777" w:rsidR="00182884" w:rsidRPr="00A75E9E" w:rsidRDefault="00182884" w:rsidP="00182884">
            <w:pPr>
              <w:spacing w:after="0" w:line="240" w:lineRule="auto"/>
              <w:jc w:val="right"/>
            </w:pPr>
          </w:p>
        </w:tc>
        <w:tc>
          <w:tcPr>
            <w:tcW w:w="1039" w:type="dxa"/>
          </w:tcPr>
          <w:p w14:paraId="359CD0A0" w14:textId="77777777" w:rsidR="00182884" w:rsidRPr="00A75E9E" w:rsidRDefault="00182884" w:rsidP="00182884">
            <w:pPr>
              <w:spacing w:after="0" w:line="240" w:lineRule="auto"/>
              <w:jc w:val="right"/>
            </w:pPr>
            <w:r w:rsidRPr="0459DA95">
              <w:t>6395</w:t>
            </w:r>
          </w:p>
        </w:tc>
        <w:tc>
          <w:tcPr>
            <w:tcW w:w="923" w:type="dxa"/>
          </w:tcPr>
          <w:p w14:paraId="5BFC68AF" w14:textId="77777777" w:rsidR="00182884" w:rsidRPr="00A75E9E" w:rsidRDefault="00182884" w:rsidP="00182884">
            <w:pPr>
              <w:spacing w:after="0" w:line="240" w:lineRule="auto"/>
              <w:jc w:val="right"/>
              <w:rPr>
                <w:b/>
                <w:bCs/>
              </w:rPr>
            </w:pPr>
            <w:r w:rsidRPr="0459DA95">
              <w:rPr>
                <w:b/>
                <w:bCs/>
              </w:rPr>
              <w:t>41.3</w:t>
            </w:r>
          </w:p>
        </w:tc>
      </w:tr>
      <w:tr w:rsidR="00182884" w:rsidRPr="008D7480" w14:paraId="53106123" w14:textId="77777777" w:rsidTr="000A7109">
        <w:tc>
          <w:tcPr>
            <w:tcW w:w="234" w:type="dxa"/>
          </w:tcPr>
          <w:p w14:paraId="706973EB" w14:textId="77777777" w:rsidR="00182884" w:rsidRPr="008D7480" w:rsidRDefault="00182884" w:rsidP="00182884">
            <w:pPr>
              <w:spacing w:after="0" w:line="240" w:lineRule="auto"/>
            </w:pPr>
          </w:p>
        </w:tc>
        <w:tc>
          <w:tcPr>
            <w:tcW w:w="3877" w:type="dxa"/>
          </w:tcPr>
          <w:p w14:paraId="1890E434" w14:textId="77777777" w:rsidR="00182884" w:rsidRPr="008D7480" w:rsidRDefault="00182884" w:rsidP="00182884">
            <w:pPr>
              <w:spacing w:after="0" w:line="240" w:lineRule="auto"/>
            </w:pPr>
            <w:r w:rsidRPr="0459DA95">
              <w:t>20% richest</w:t>
            </w:r>
          </w:p>
        </w:tc>
        <w:tc>
          <w:tcPr>
            <w:tcW w:w="779" w:type="dxa"/>
          </w:tcPr>
          <w:p w14:paraId="098F4CAD" w14:textId="77777777" w:rsidR="00182884" w:rsidRPr="00A75E9E" w:rsidRDefault="00182884" w:rsidP="00182884">
            <w:pPr>
              <w:spacing w:after="0" w:line="240" w:lineRule="auto"/>
              <w:jc w:val="right"/>
            </w:pPr>
            <w:r w:rsidRPr="0459DA95">
              <w:t>1891</w:t>
            </w:r>
          </w:p>
        </w:tc>
        <w:tc>
          <w:tcPr>
            <w:tcW w:w="836" w:type="dxa"/>
          </w:tcPr>
          <w:p w14:paraId="597D3BA6" w14:textId="77777777" w:rsidR="00182884" w:rsidRPr="00A75E9E" w:rsidRDefault="00182884" w:rsidP="00182884">
            <w:pPr>
              <w:spacing w:after="0" w:line="240" w:lineRule="auto"/>
              <w:jc w:val="right"/>
              <w:rPr>
                <w:b/>
                <w:bCs/>
              </w:rPr>
            </w:pPr>
            <w:r w:rsidRPr="0459DA95">
              <w:rPr>
                <w:b/>
                <w:bCs/>
              </w:rPr>
              <w:t>20.4</w:t>
            </w:r>
          </w:p>
        </w:tc>
        <w:tc>
          <w:tcPr>
            <w:tcW w:w="233" w:type="dxa"/>
          </w:tcPr>
          <w:p w14:paraId="34662EFD" w14:textId="77777777" w:rsidR="00182884" w:rsidRPr="00A75E9E" w:rsidRDefault="00182884" w:rsidP="00182884">
            <w:pPr>
              <w:spacing w:after="0" w:line="240" w:lineRule="auto"/>
              <w:jc w:val="right"/>
            </w:pPr>
          </w:p>
        </w:tc>
        <w:tc>
          <w:tcPr>
            <w:tcW w:w="1039" w:type="dxa"/>
          </w:tcPr>
          <w:p w14:paraId="4F257806" w14:textId="77777777" w:rsidR="00182884" w:rsidRPr="00A75E9E" w:rsidRDefault="00182884" w:rsidP="00182884">
            <w:pPr>
              <w:spacing w:after="0" w:line="240" w:lineRule="auto"/>
              <w:jc w:val="right"/>
            </w:pPr>
            <w:r w:rsidRPr="0459DA95">
              <w:t>2983</w:t>
            </w:r>
          </w:p>
        </w:tc>
        <w:tc>
          <w:tcPr>
            <w:tcW w:w="923" w:type="dxa"/>
          </w:tcPr>
          <w:p w14:paraId="6B7A6F65" w14:textId="77777777" w:rsidR="00182884" w:rsidRPr="00A75E9E" w:rsidRDefault="00182884" w:rsidP="00182884">
            <w:pPr>
              <w:spacing w:after="0" w:line="240" w:lineRule="auto"/>
              <w:jc w:val="right"/>
              <w:rPr>
                <w:b/>
                <w:bCs/>
              </w:rPr>
            </w:pPr>
            <w:r w:rsidRPr="0459DA95">
              <w:rPr>
                <w:b/>
                <w:bCs/>
              </w:rPr>
              <w:t>19.2</w:t>
            </w:r>
          </w:p>
        </w:tc>
      </w:tr>
      <w:tr w:rsidR="00182884" w:rsidRPr="008D7480" w14:paraId="1C5EE8CE" w14:textId="77777777" w:rsidTr="000A7109">
        <w:tc>
          <w:tcPr>
            <w:tcW w:w="4111" w:type="dxa"/>
            <w:gridSpan w:val="2"/>
          </w:tcPr>
          <w:p w14:paraId="366B67D6" w14:textId="77777777" w:rsidR="00182884" w:rsidRPr="003F7B3B" w:rsidRDefault="00182884" w:rsidP="00182884">
            <w:pPr>
              <w:spacing w:after="0" w:line="240" w:lineRule="auto"/>
              <w:rPr>
                <w:b/>
                <w:bCs/>
              </w:rPr>
            </w:pPr>
            <w:r w:rsidRPr="0459DA95">
              <w:rPr>
                <w:b/>
                <w:bCs/>
              </w:rPr>
              <w:t>Professional situation</w:t>
            </w:r>
          </w:p>
        </w:tc>
        <w:tc>
          <w:tcPr>
            <w:tcW w:w="779" w:type="dxa"/>
          </w:tcPr>
          <w:p w14:paraId="517B5AB4" w14:textId="77777777" w:rsidR="00182884" w:rsidRPr="008D7480" w:rsidRDefault="00182884" w:rsidP="00182884">
            <w:pPr>
              <w:spacing w:after="0" w:line="240" w:lineRule="auto"/>
              <w:jc w:val="right"/>
            </w:pPr>
          </w:p>
        </w:tc>
        <w:tc>
          <w:tcPr>
            <w:tcW w:w="836" w:type="dxa"/>
          </w:tcPr>
          <w:p w14:paraId="04537CB1" w14:textId="77777777" w:rsidR="00182884" w:rsidRPr="00F904D0" w:rsidRDefault="00182884" w:rsidP="00182884">
            <w:pPr>
              <w:spacing w:after="0" w:line="240" w:lineRule="auto"/>
              <w:jc w:val="right"/>
              <w:rPr>
                <w:b/>
                <w:bCs/>
              </w:rPr>
            </w:pPr>
          </w:p>
        </w:tc>
        <w:tc>
          <w:tcPr>
            <w:tcW w:w="233" w:type="dxa"/>
          </w:tcPr>
          <w:p w14:paraId="11E348DA" w14:textId="77777777" w:rsidR="00182884" w:rsidRPr="008D7480" w:rsidRDefault="00182884" w:rsidP="00182884">
            <w:pPr>
              <w:spacing w:after="0" w:line="240" w:lineRule="auto"/>
              <w:jc w:val="right"/>
            </w:pPr>
          </w:p>
        </w:tc>
        <w:tc>
          <w:tcPr>
            <w:tcW w:w="1039" w:type="dxa"/>
          </w:tcPr>
          <w:p w14:paraId="576E8FA9" w14:textId="77777777" w:rsidR="00182884" w:rsidRPr="008D7480" w:rsidRDefault="00182884" w:rsidP="00182884">
            <w:pPr>
              <w:spacing w:after="0" w:line="240" w:lineRule="auto"/>
              <w:jc w:val="right"/>
            </w:pPr>
          </w:p>
        </w:tc>
        <w:tc>
          <w:tcPr>
            <w:tcW w:w="923" w:type="dxa"/>
          </w:tcPr>
          <w:p w14:paraId="478A36A3" w14:textId="77777777" w:rsidR="00182884" w:rsidRPr="008D7480" w:rsidRDefault="00182884" w:rsidP="00182884">
            <w:pPr>
              <w:spacing w:after="0" w:line="240" w:lineRule="auto"/>
              <w:jc w:val="right"/>
            </w:pPr>
          </w:p>
        </w:tc>
      </w:tr>
      <w:tr w:rsidR="00182884" w:rsidRPr="008D7480" w14:paraId="2358A148" w14:textId="77777777" w:rsidTr="000A7109">
        <w:tc>
          <w:tcPr>
            <w:tcW w:w="234" w:type="dxa"/>
          </w:tcPr>
          <w:p w14:paraId="0015D54C" w14:textId="77777777" w:rsidR="00182884" w:rsidRPr="008D7480" w:rsidRDefault="00182884" w:rsidP="00182884">
            <w:pPr>
              <w:spacing w:after="0" w:line="240" w:lineRule="auto"/>
            </w:pPr>
          </w:p>
        </w:tc>
        <w:tc>
          <w:tcPr>
            <w:tcW w:w="3877" w:type="dxa"/>
          </w:tcPr>
          <w:p w14:paraId="60A46966" w14:textId="77777777" w:rsidR="00182884" w:rsidRPr="008D7480" w:rsidRDefault="00182884" w:rsidP="00182884">
            <w:pPr>
              <w:spacing w:after="0" w:line="240" w:lineRule="auto"/>
            </w:pPr>
            <w:r w:rsidRPr="0459DA95">
              <w:t>Currently employed</w:t>
            </w:r>
          </w:p>
        </w:tc>
        <w:tc>
          <w:tcPr>
            <w:tcW w:w="779" w:type="dxa"/>
          </w:tcPr>
          <w:p w14:paraId="1E6C4F04" w14:textId="77777777" w:rsidR="00182884" w:rsidRPr="008D7480" w:rsidRDefault="00182884" w:rsidP="00182884">
            <w:pPr>
              <w:spacing w:after="0" w:line="240" w:lineRule="auto"/>
              <w:jc w:val="right"/>
            </w:pPr>
            <w:r w:rsidRPr="0459DA95">
              <w:t>2788</w:t>
            </w:r>
          </w:p>
        </w:tc>
        <w:tc>
          <w:tcPr>
            <w:tcW w:w="836" w:type="dxa"/>
          </w:tcPr>
          <w:p w14:paraId="3C200F37" w14:textId="77777777" w:rsidR="00182884" w:rsidRPr="00F904D0" w:rsidRDefault="00182884" w:rsidP="00182884">
            <w:pPr>
              <w:spacing w:after="0" w:line="240" w:lineRule="auto"/>
              <w:jc w:val="right"/>
              <w:rPr>
                <w:b/>
                <w:bCs/>
              </w:rPr>
            </w:pPr>
            <w:r w:rsidRPr="0459DA95">
              <w:rPr>
                <w:b/>
                <w:bCs/>
              </w:rPr>
              <w:t>30.0</w:t>
            </w:r>
          </w:p>
        </w:tc>
        <w:tc>
          <w:tcPr>
            <w:tcW w:w="233" w:type="dxa"/>
          </w:tcPr>
          <w:p w14:paraId="34F484C0" w14:textId="77777777" w:rsidR="00182884" w:rsidRPr="008D7480" w:rsidRDefault="00182884" w:rsidP="00182884">
            <w:pPr>
              <w:spacing w:after="0" w:line="240" w:lineRule="auto"/>
              <w:jc w:val="right"/>
            </w:pPr>
          </w:p>
        </w:tc>
        <w:tc>
          <w:tcPr>
            <w:tcW w:w="1039" w:type="dxa"/>
          </w:tcPr>
          <w:p w14:paraId="23959670" w14:textId="77777777" w:rsidR="00182884" w:rsidRPr="008D7480" w:rsidRDefault="00182884" w:rsidP="00182884">
            <w:pPr>
              <w:spacing w:after="0" w:line="240" w:lineRule="auto"/>
              <w:jc w:val="right"/>
            </w:pPr>
            <w:r w:rsidRPr="0459DA95">
              <w:t>3180</w:t>
            </w:r>
          </w:p>
        </w:tc>
        <w:tc>
          <w:tcPr>
            <w:tcW w:w="923" w:type="dxa"/>
          </w:tcPr>
          <w:p w14:paraId="3CB9149D" w14:textId="77777777" w:rsidR="00182884" w:rsidRPr="00F904D0" w:rsidRDefault="00182884" w:rsidP="00182884">
            <w:pPr>
              <w:spacing w:after="0" w:line="240" w:lineRule="auto"/>
              <w:jc w:val="right"/>
              <w:rPr>
                <w:b/>
                <w:bCs/>
              </w:rPr>
            </w:pPr>
            <w:r w:rsidRPr="0459DA95">
              <w:rPr>
                <w:b/>
                <w:bCs/>
              </w:rPr>
              <w:t>20.5</w:t>
            </w:r>
          </w:p>
        </w:tc>
      </w:tr>
      <w:tr w:rsidR="00182884" w:rsidRPr="008D7480" w14:paraId="30E932C9" w14:textId="77777777" w:rsidTr="000A7109">
        <w:tc>
          <w:tcPr>
            <w:tcW w:w="234" w:type="dxa"/>
          </w:tcPr>
          <w:p w14:paraId="1A2FFD42" w14:textId="77777777" w:rsidR="00182884" w:rsidRPr="008D7480" w:rsidRDefault="00182884" w:rsidP="00182884">
            <w:pPr>
              <w:spacing w:after="0" w:line="240" w:lineRule="auto"/>
            </w:pPr>
          </w:p>
        </w:tc>
        <w:tc>
          <w:tcPr>
            <w:tcW w:w="3877" w:type="dxa"/>
          </w:tcPr>
          <w:p w14:paraId="3E1385FF" w14:textId="77777777" w:rsidR="00182884" w:rsidRPr="008D7480" w:rsidRDefault="00182884" w:rsidP="00182884">
            <w:pPr>
              <w:spacing w:after="0" w:line="240" w:lineRule="auto"/>
            </w:pPr>
            <w:r w:rsidRPr="0459DA95">
              <w:t>Not Employed</w:t>
            </w:r>
          </w:p>
        </w:tc>
        <w:tc>
          <w:tcPr>
            <w:tcW w:w="779" w:type="dxa"/>
          </w:tcPr>
          <w:p w14:paraId="0E086A3F" w14:textId="77777777" w:rsidR="00182884" w:rsidRPr="008D7480" w:rsidRDefault="00182884" w:rsidP="00182884">
            <w:pPr>
              <w:spacing w:after="0" w:line="240" w:lineRule="auto"/>
              <w:jc w:val="right"/>
            </w:pPr>
            <w:r w:rsidRPr="0459DA95">
              <w:t>6502</w:t>
            </w:r>
          </w:p>
        </w:tc>
        <w:tc>
          <w:tcPr>
            <w:tcW w:w="836" w:type="dxa"/>
          </w:tcPr>
          <w:p w14:paraId="73E0A7DC" w14:textId="77777777" w:rsidR="00182884" w:rsidRPr="00F904D0" w:rsidRDefault="00182884" w:rsidP="00182884">
            <w:pPr>
              <w:spacing w:after="0" w:line="240" w:lineRule="auto"/>
              <w:jc w:val="right"/>
              <w:rPr>
                <w:b/>
                <w:bCs/>
              </w:rPr>
            </w:pPr>
            <w:r w:rsidRPr="0459DA95">
              <w:rPr>
                <w:b/>
                <w:bCs/>
              </w:rPr>
              <w:t>70.0</w:t>
            </w:r>
          </w:p>
        </w:tc>
        <w:tc>
          <w:tcPr>
            <w:tcW w:w="233" w:type="dxa"/>
          </w:tcPr>
          <w:p w14:paraId="0C948CE0" w14:textId="77777777" w:rsidR="00182884" w:rsidRPr="008D7480" w:rsidRDefault="00182884" w:rsidP="00182884">
            <w:pPr>
              <w:spacing w:after="0" w:line="240" w:lineRule="auto"/>
              <w:jc w:val="right"/>
            </w:pPr>
          </w:p>
        </w:tc>
        <w:tc>
          <w:tcPr>
            <w:tcW w:w="1039" w:type="dxa"/>
          </w:tcPr>
          <w:p w14:paraId="39ED1ADB" w14:textId="77777777" w:rsidR="00182884" w:rsidRPr="008D7480" w:rsidRDefault="00182884" w:rsidP="00182884">
            <w:pPr>
              <w:spacing w:after="0" w:line="240" w:lineRule="auto"/>
              <w:jc w:val="right"/>
            </w:pPr>
            <w:r w:rsidRPr="0459DA95">
              <w:t>12323</w:t>
            </w:r>
          </w:p>
        </w:tc>
        <w:tc>
          <w:tcPr>
            <w:tcW w:w="923" w:type="dxa"/>
          </w:tcPr>
          <w:p w14:paraId="582C2736" w14:textId="77777777" w:rsidR="00182884" w:rsidRPr="00F904D0" w:rsidRDefault="00182884" w:rsidP="00182884">
            <w:pPr>
              <w:spacing w:after="0" w:line="240" w:lineRule="auto"/>
              <w:jc w:val="right"/>
              <w:rPr>
                <w:b/>
                <w:bCs/>
              </w:rPr>
            </w:pPr>
            <w:r w:rsidRPr="0459DA95">
              <w:rPr>
                <w:b/>
                <w:bCs/>
              </w:rPr>
              <w:t>79.5</w:t>
            </w:r>
          </w:p>
        </w:tc>
      </w:tr>
      <w:tr w:rsidR="00182884" w:rsidRPr="008D7480" w14:paraId="2B37C075" w14:textId="77777777" w:rsidTr="000A7109">
        <w:tc>
          <w:tcPr>
            <w:tcW w:w="4111" w:type="dxa"/>
            <w:gridSpan w:val="2"/>
          </w:tcPr>
          <w:p w14:paraId="7D4E1FA2" w14:textId="77777777" w:rsidR="00182884" w:rsidRPr="008D7480" w:rsidRDefault="00182884" w:rsidP="00182884">
            <w:pPr>
              <w:spacing w:after="0" w:line="240" w:lineRule="auto"/>
              <w:rPr>
                <w:b/>
                <w:bCs/>
              </w:rPr>
            </w:pPr>
            <w:r w:rsidRPr="0459DA95">
              <w:rPr>
                <w:rFonts w:eastAsia="Times New Roman"/>
                <w:b/>
                <w:bCs/>
                <w:color w:val="000000" w:themeColor="text1"/>
              </w:rPr>
              <w:t>Area of residency</w:t>
            </w:r>
          </w:p>
        </w:tc>
        <w:tc>
          <w:tcPr>
            <w:tcW w:w="779" w:type="dxa"/>
          </w:tcPr>
          <w:p w14:paraId="39208928" w14:textId="77777777" w:rsidR="00182884" w:rsidRPr="008D7480" w:rsidRDefault="00182884" w:rsidP="00182884">
            <w:pPr>
              <w:spacing w:after="0" w:line="240" w:lineRule="auto"/>
              <w:jc w:val="right"/>
            </w:pPr>
          </w:p>
        </w:tc>
        <w:tc>
          <w:tcPr>
            <w:tcW w:w="836" w:type="dxa"/>
          </w:tcPr>
          <w:p w14:paraId="303A8E63" w14:textId="77777777" w:rsidR="00182884" w:rsidRPr="00F904D0" w:rsidRDefault="00182884" w:rsidP="00182884">
            <w:pPr>
              <w:spacing w:after="0" w:line="240" w:lineRule="auto"/>
              <w:jc w:val="right"/>
              <w:rPr>
                <w:b/>
                <w:bCs/>
              </w:rPr>
            </w:pPr>
          </w:p>
        </w:tc>
        <w:tc>
          <w:tcPr>
            <w:tcW w:w="233" w:type="dxa"/>
          </w:tcPr>
          <w:p w14:paraId="5175310C" w14:textId="77777777" w:rsidR="00182884" w:rsidRPr="008D7480" w:rsidRDefault="00182884" w:rsidP="00182884">
            <w:pPr>
              <w:spacing w:after="0" w:line="240" w:lineRule="auto"/>
              <w:jc w:val="right"/>
            </w:pPr>
          </w:p>
        </w:tc>
        <w:tc>
          <w:tcPr>
            <w:tcW w:w="1039" w:type="dxa"/>
          </w:tcPr>
          <w:p w14:paraId="17E78555" w14:textId="77777777" w:rsidR="00182884" w:rsidRPr="008D7480" w:rsidRDefault="00182884" w:rsidP="00182884">
            <w:pPr>
              <w:spacing w:after="0" w:line="240" w:lineRule="auto"/>
              <w:jc w:val="right"/>
            </w:pPr>
          </w:p>
        </w:tc>
        <w:tc>
          <w:tcPr>
            <w:tcW w:w="923" w:type="dxa"/>
          </w:tcPr>
          <w:p w14:paraId="27F2DDE7" w14:textId="77777777" w:rsidR="00182884" w:rsidRPr="008D7480" w:rsidRDefault="00182884" w:rsidP="00182884">
            <w:pPr>
              <w:spacing w:after="0" w:line="240" w:lineRule="auto"/>
              <w:jc w:val="right"/>
            </w:pPr>
          </w:p>
        </w:tc>
      </w:tr>
      <w:tr w:rsidR="00182884" w:rsidRPr="008D7480" w14:paraId="46BFF71D" w14:textId="77777777" w:rsidTr="000A7109">
        <w:tc>
          <w:tcPr>
            <w:tcW w:w="234" w:type="dxa"/>
          </w:tcPr>
          <w:p w14:paraId="14DF24AB" w14:textId="77777777" w:rsidR="00182884" w:rsidRPr="008D7480" w:rsidRDefault="00182884" w:rsidP="00182884">
            <w:pPr>
              <w:spacing w:after="0" w:line="240" w:lineRule="auto"/>
            </w:pPr>
          </w:p>
        </w:tc>
        <w:tc>
          <w:tcPr>
            <w:tcW w:w="3877" w:type="dxa"/>
          </w:tcPr>
          <w:p w14:paraId="4F8E77A2" w14:textId="77777777" w:rsidR="00182884" w:rsidRPr="008D7480" w:rsidRDefault="00182884" w:rsidP="00182884">
            <w:pPr>
              <w:spacing w:after="0" w:line="240" w:lineRule="auto"/>
            </w:pPr>
            <w:r w:rsidRPr="0459DA95">
              <w:t>Rural</w:t>
            </w:r>
          </w:p>
        </w:tc>
        <w:tc>
          <w:tcPr>
            <w:tcW w:w="779" w:type="dxa"/>
          </w:tcPr>
          <w:p w14:paraId="27904E94" w14:textId="77777777" w:rsidR="00182884" w:rsidRPr="008D7480" w:rsidRDefault="00182884" w:rsidP="00182884">
            <w:pPr>
              <w:spacing w:after="0" w:line="240" w:lineRule="auto"/>
              <w:jc w:val="right"/>
            </w:pPr>
            <w:r w:rsidRPr="0459DA95">
              <w:t>5417</w:t>
            </w:r>
          </w:p>
        </w:tc>
        <w:tc>
          <w:tcPr>
            <w:tcW w:w="836" w:type="dxa"/>
          </w:tcPr>
          <w:p w14:paraId="66235D9A" w14:textId="77777777" w:rsidR="00182884" w:rsidRPr="00F904D0" w:rsidRDefault="00182884" w:rsidP="00182884">
            <w:pPr>
              <w:spacing w:after="0" w:line="240" w:lineRule="auto"/>
              <w:jc w:val="right"/>
              <w:rPr>
                <w:b/>
                <w:bCs/>
              </w:rPr>
            </w:pPr>
            <w:r w:rsidRPr="0459DA95">
              <w:rPr>
                <w:b/>
                <w:bCs/>
              </w:rPr>
              <w:t>58.3</w:t>
            </w:r>
          </w:p>
        </w:tc>
        <w:tc>
          <w:tcPr>
            <w:tcW w:w="233" w:type="dxa"/>
          </w:tcPr>
          <w:p w14:paraId="75CAD4FA" w14:textId="77777777" w:rsidR="00182884" w:rsidRPr="008D7480" w:rsidRDefault="00182884" w:rsidP="00182884">
            <w:pPr>
              <w:spacing w:after="0" w:line="240" w:lineRule="auto"/>
              <w:jc w:val="right"/>
            </w:pPr>
          </w:p>
        </w:tc>
        <w:tc>
          <w:tcPr>
            <w:tcW w:w="1039" w:type="dxa"/>
          </w:tcPr>
          <w:p w14:paraId="01597A94" w14:textId="77777777" w:rsidR="00182884" w:rsidRPr="008D7480" w:rsidRDefault="00182884" w:rsidP="00182884">
            <w:pPr>
              <w:spacing w:after="0" w:line="240" w:lineRule="auto"/>
              <w:jc w:val="right"/>
            </w:pPr>
            <w:r w:rsidRPr="0459DA95">
              <w:t>9288</w:t>
            </w:r>
          </w:p>
        </w:tc>
        <w:tc>
          <w:tcPr>
            <w:tcW w:w="923" w:type="dxa"/>
          </w:tcPr>
          <w:p w14:paraId="60C027B3" w14:textId="77777777" w:rsidR="00182884" w:rsidRPr="00F904D0" w:rsidRDefault="00182884" w:rsidP="00182884">
            <w:pPr>
              <w:spacing w:after="0" w:line="240" w:lineRule="auto"/>
              <w:jc w:val="right"/>
              <w:rPr>
                <w:b/>
                <w:bCs/>
              </w:rPr>
            </w:pPr>
            <w:r w:rsidRPr="0459DA95">
              <w:rPr>
                <w:b/>
                <w:bCs/>
              </w:rPr>
              <w:t>59.9</w:t>
            </w:r>
          </w:p>
        </w:tc>
      </w:tr>
      <w:tr w:rsidR="00182884" w:rsidRPr="008D7480" w14:paraId="44B381F9" w14:textId="77777777" w:rsidTr="000A7109">
        <w:tc>
          <w:tcPr>
            <w:tcW w:w="234" w:type="dxa"/>
          </w:tcPr>
          <w:p w14:paraId="4D77E6DB" w14:textId="77777777" w:rsidR="00182884" w:rsidRPr="008D7480" w:rsidRDefault="00182884" w:rsidP="00182884">
            <w:pPr>
              <w:spacing w:after="0" w:line="240" w:lineRule="auto"/>
            </w:pPr>
          </w:p>
        </w:tc>
        <w:tc>
          <w:tcPr>
            <w:tcW w:w="3877" w:type="dxa"/>
          </w:tcPr>
          <w:p w14:paraId="0BE038CD" w14:textId="77777777" w:rsidR="00182884" w:rsidRPr="008D7480" w:rsidRDefault="00182884" w:rsidP="00182884">
            <w:pPr>
              <w:spacing w:after="0" w:line="240" w:lineRule="auto"/>
            </w:pPr>
            <w:r w:rsidRPr="0459DA95">
              <w:t>Peri-urban</w:t>
            </w:r>
          </w:p>
        </w:tc>
        <w:tc>
          <w:tcPr>
            <w:tcW w:w="779" w:type="dxa"/>
          </w:tcPr>
          <w:p w14:paraId="33EFD0C3" w14:textId="77777777" w:rsidR="00182884" w:rsidRPr="008D7480" w:rsidRDefault="00182884" w:rsidP="00182884">
            <w:pPr>
              <w:spacing w:after="0" w:line="240" w:lineRule="auto"/>
              <w:jc w:val="right"/>
            </w:pPr>
            <w:r w:rsidRPr="0459DA95">
              <w:t>3206</w:t>
            </w:r>
          </w:p>
        </w:tc>
        <w:tc>
          <w:tcPr>
            <w:tcW w:w="836" w:type="dxa"/>
          </w:tcPr>
          <w:p w14:paraId="12289CD6" w14:textId="77777777" w:rsidR="00182884" w:rsidRPr="00F904D0" w:rsidRDefault="00182884" w:rsidP="00182884">
            <w:pPr>
              <w:spacing w:after="0" w:line="240" w:lineRule="auto"/>
              <w:jc w:val="right"/>
              <w:rPr>
                <w:b/>
                <w:bCs/>
              </w:rPr>
            </w:pPr>
            <w:r w:rsidRPr="0459DA95">
              <w:rPr>
                <w:b/>
                <w:bCs/>
              </w:rPr>
              <w:t>34.5</w:t>
            </w:r>
          </w:p>
        </w:tc>
        <w:tc>
          <w:tcPr>
            <w:tcW w:w="233" w:type="dxa"/>
          </w:tcPr>
          <w:p w14:paraId="3B1588F9" w14:textId="77777777" w:rsidR="00182884" w:rsidRPr="008D7480" w:rsidRDefault="00182884" w:rsidP="00182884">
            <w:pPr>
              <w:spacing w:after="0" w:line="240" w:lineRule="auto"/>
              <w:jc w:val="right"/>
            </w:pPr>
          </w:p>
        </w:tc>
        <w:tc>
          <w:tcPr>
            <w:tcW w:w="1039" w:type="dxa"/>
          </w:tcPr>
          <w:p w14:paraId="44347A05" w14:textId="77777777" w:rsidR="00182884" w:rsidRPr="008D7480" w:rsidRDefault="00182884" w:rsidP="00182884">
            <w:pPr>
              <w:spacing w:after="0" w:line="240" w:lineRule="auto"/>
              <w:jc w:val="right"/>
            </w:pPr>
            <w:r w:rsidRPr="0459DA95">
              <w:t>5063</w:t>
            </w:r>
          </w:p>
        </w:tc>
        <w:tc>
          <w:tcPr>
            <w:tcW w:w="923" w:type="dxa"/>
          </w:tcPr>
          <w:p w14:paraId="2C39E92F" w14:textId="77777777" w:rsidR="00182884" w:rsidRPr="00F904D0" w:rsidRDefault="00182884" w:rsidP="00182884">
            <w:pPr>
              <w:spacing w:after="0" w:line="240" w:lineRule="auto"/>
              <w:jc w:val="right"/>
              <w:rPr>
                <w:b/>
                <w:bCs/>
              </w:rPr>
            </w:pPr>
            <w:r w:rsidRPr="0459DA95">
              <w:rPr>
                <w:b/>
                <w:bCs/>
              </w:rPr>
              <w:t>32.7</w:t>
            </w:r>
          </w:p>
        </w:tc>
      </w:tr>
      <w:tr w:rsidR="00182884" w:rsidRPr="008D7480" w14:paraId="5137A9E3" w14:textId="77777777" w:rsidTr="000A7109">
        <w:tc>
          <w:tcPr>
            <w:tcW w:w="234" w:type="dxa"/>
          </w:tcPr>
          <w:p w14:paraId="358DF564" w14:textId="77777777" w:rsidR="00182884" w:rsidRPr="008D7480" w:rsidRDefault="00182884" w:rsidP="00182884">
            <w:pPr>
              <w:spacing w:after="0" w:line="240" w:lineRule="auto"/>
            </w:pPr>
          </w:p>
        </w:tc>
        <w:tc>
          <w:tcPr>
            <w:tcW w:w="3877" w:type="dxa"/>
          </w:tcPr>
          <w:p w14:paraId="220BBF31" w14:textId="77777777" w:rsidR="00182884" w:rsidRPr="008D7480" w:rsidRDefault="00182884" w:rsidP="00182884">
            <w:pPr>
              <w:spacing w:after="0" w:line="240" w:lineRule="auto"/>
            </w:pPr>
            <w:r w:rsidRPr="0459DA95">
              <w:t>Urban</w:t>
            </w:r>
          </w:p>
        </w:tc>
        <w:tc>
          <w:tcPr>
            <w:tcW w:w="779" w:type="dxa"/>
          </w:tcPr>
          <w:p w14:paraId="37B287AE" w14:textId="77777777" w:rsidR="00182884" w:rsidRPr="008D7480" w:rsidRDefault="00182884" w:rsidP="00182884">
            <w:pPr>
              <w:spacing w:after="0" w:line="240" w:lineRule="auto"/>
              <w:jc w:val="right"/>
            </w:pPr>
            <w:r w:rsidRPr="0459DA95">
              <w:t>667</w:t>
            </w:r>
          </w:p>
        </w:tc>
        <w:tc>
          <w:tcPr>
            <w:tcW w:w="836" w:type="dxa"/>
          </w:tcPr>
          <w:p w14:paraId="570BDF9F" w14:textId="77777777" w:rsidR="00182884" w:rsidRPr="00F904D0" w:rsidRDefault="00182884" w:rsidP="00182884">
            <w:pPr>
              <w:spacing w:after="0" w:line="240" w:lineRule="auto"/>
              <w:jc w:val="right"/>
              <w:rPr>
                <w:b/>
                <w:bCs/>
              </w:rPr>
            </w:pPr>
            <w:r w:rsidRPr="0459DA95">
              <w:rPr>
                <w:b/>
                <w:bCs/>
              </w:rPr>
              <w:t>7.2</w:t>
            </w:r>
          </w:p>
        </w:tc>
        <w:tc>
          <w:tcPr>
            <w:tcW w:w="233" w:type="dxa"/>
          </w:tcPr>
          <w:p w14:paraId="7D8EC68D" w14:textId="77777777" w:rsidR="00182884" w:rsidRPr="008D7480" w:rsidRDefault="00182884" w:rsidP="00182884">
            <w:pPr>
              <w:spacing w:after="0" w:line="240" w:lineRule="auto"/>
              <w:jc w:val="right"/>
            </w:pPr>
          </w:p>
        </w:tc>
        <w:tc>
          <w:tcPr>
            <w:tcW w:w="1039" w:type="dxa"/>
          </w:tcPr>
          <w:p w14:paraId="69640FB9" w14:textId="77777777" w:rsidR="00182884" w:rsidRPr="008D7480" w:rsidRDefault="00182884" w:rsidP="00182884">
            <w:pPr>
              <w:spacing w:after="0" w:line="240" w:lineRule="auto"/>
              <w:jc w:val="right"/>
            </w:pPr>
            <w:r w:rsidRPr="0459DA95">
              <w:t>1152</w:t>
            </w:r>
          </w:p>
        </w:tc>
        <w:tc>
          <w:tcPr>
            <w:tcW w:w="923" w:type="dxa"/>
          </w:tcPr>
          <w:p w14:paraId="3EBC19D4" w14:textId="77777777" w:rsidR="00182884" w:rsidRPr="00F904D0" w:rsidRDefault="00182884" w:rsidP="00182884">
            <w:pPr>
              <w:spacing w:after="0" w:line="240" w:lineRule="auto"/>
              <w:jc w:val="right"/>
              <w:rPr>
                <w:b/>
                <w:bCs/>
              </w:rPr>
            </w:pPr>
            <w:r w:rsidRPr="0459DA95">
              <w:rPr>
                <w:b/>
                <w:bCs/>
              </w:rPr>
              <w:t>7.4</w:t>
            </w:r>
          </w:p>
        </w:tc>
      </w:tr>
      <w:tr w:rsidR="00182884" w:rsidRPr="008D7480" w14:paraId="355DAC99" w14:textId="77777777" w:rsidTr="000A7109">
        <w:tc>
          <w:tcPr>
            <w:tcW w:w="4111" w:type="dxa"/>
            <w:gridSpan w:val="2"/>
          </w:tcPr>
          <w:p w14:paraId="5F7D5B6E" w14:textId="77777777" w:rsidR="00182884" w:rsidRPr="009101B9" w:rsidRDefault="00182884" w:rsidP="00182884">
            <w:pPr>
              <w:spacing w:after="0" w:line="240" w:lineRule="auto"/>
              <w:jc w:val="left"/>
              <w:rPr>
                <w:b/>
                <w:bCs/>
              </w:rPr>
            </w:pPr>
            <w:r w:rsidRPr="0459DA95">
              <w:rPr>
                <w:b/>
                <w:bCs/>
              </w:rPr>
              <w:t>Distance from nearest clinic</w:t>
            </w:r>
          </w:p>
        </w:tc>
        <w:tc>
          <w:tcPr>
            <w:tcW w:w="779" w:type="dxa"/>
          </w:tcPr>
          <w:p w14:paraId="67296F5D" w14:textId="77777777" w:rsidR="00182884" w:rsidRPr="008D7480" w:rsidRDefault="00182884" w:rsidP="00182884">
            <w:pPr>
              <w:spacing w:after="0" w:line="240" w:lineRule="auto"/>
              <w:jc w:val="right"/>
            </w:pPr>
          </w:p>
        </w:tc>
        <w:tc>
          <w:tcPr>
            <w:tcW w:w="836" w:type="dxa"/>
          </w:tcPr>
          <w:p w14:paraId="3BA22BE9" w14:textId="77777777" w:rsidR="00182884" w:rsidRPr="00F904D0" w:rsidRDefault="00182884" w:rsidP="00182884">
            <w:pPr>
              <w:spacing w:after="0" w:line="240" w:lineRule="auto"/>
              <w:jc w:val="right"/>
              <w:rPr>
                <w:b/>
                <w:bCs/>
              </w:rPr>
            </w:pPr>
          </w:p>
        </w:tc>
        <w:tc>
          <w:tcPr>
            <w:tcW w:w="233" w:type="dxa"/>
          </w:tcPr>
          <w:p w14:paraId="577B5D6A" w14:textId="77777777" w:rsidR="00182884" w:rsidRPr="008D7480" w:rsidRDefault="00182884" w:rsidP="00182884">
            <w:pPr>
              <w:spacing w:after="0" w:line="240" w:lineRule="auto"/>
              <w:jc w:val="right"/>
            </w:pPr>
          </w:p>
        </w:tc>
        <w:tc>
          <w:tcPr>
            <w:tcW w:w="1039" w:type="dxa"/>
          </w:tcPr>
          <w:p w14:paraId="32BB8832" w14:textId="77777777" w:rsidR="00182884" w:rsidRPr="008D7480" w:rsidRDefault="00182884" w:rsidP="00182884">
            <w:pPr>
              <w:spacing w:after="0" w:line="240" w:lineRule="auto"/>
              <w:jc w:val="right"/>
            </w:pPr>
          </w:p>
        </w:tc>
        <w:tc>
          <w:tcPr>
            <w:tcW w:w="923" w:type="dxa"/>
          </w:tcPr>
          <w:p w14:paraId="5F64B417" w14:textId="77777777" w:rsidR="00182884" w:rsidRPr="008D7480" w:rsidRDefault="00182884" w:rsidP="00182884">
            <w:pPr>
              <w:spacing w:after="0" w:line="240" w:lineRule="auto"/>
              <w:jc w:val="right"/>
            </w:pPr>
          </w:p>
        </w:tc>
      </w:tr>
      <w:tr w:rsidR="00182884" w:rsidRPr="008D7480" w14:paraId="2527613A" w14:textId="77777777" w:rsidTr="000A7109">
        <w:tc>
          <w:tcPr>
            <w:tcW w:w="234" w:type="dxa"/>
          </w:tcPr>
          <w:p w14:paraId="65B3460B" w14:textId="77777777" w:rsidR="00182884" w:rsidRPr="008D7480" w:rsidRDefault="00182884" w:rsidP="00182884">
            <w:pPr>
              <w:spacing w:after="0" w:line="240" w:lineRule="auto"/>
            </w:pPr>
          </w:p>
        </w:tc>
        <w:tc>
          <w:tcPr>
            <w:tcW w:w="3877" w:type="dxa"/>
          </w:tcPr>
          <w:p w14:paraId="2992F362" w14:textId="77777777" w:rsidR="00182884" w:rsidRPr="008D7480" w:rsidRDefault="00182884" w:rsidP="00182884">
            <w:pPr>
              <w:spacing w:after="0" w:line="240" w:lineRule="auto"/>
            </w:pPr>
            <w:r w:rsidRPr="0459DA95">
              <w:t>4km or below</w:t>
            </w:r>
          </w:p>
        </w:tc>
        <w:tc>
          <w:tcPr>
            <w:tcW w:w="779" w:type="dxa"/>
          </w:tcPr>
          <w:p w14:paraId="058FB2D9" w14:textId="77777777" w:rsidR="00182884" w:rsidRPr="008D7480" w:rsidRDefault="00182884" w:rsidP="00182884">
            <w:pPr>
              <w:spacing w:after="0" w:line="240" w:lineRule="auto"/>
              <w:jc w:val="right"/>
            </w:pPr>
            <w:r w:rsidRPr="0459DA95">
              <w:t>7122</w:t>
            </w:r>
          </w:p>
        </w:tc>
        <w:tc>
          <w:tcPr>
            <w:tcW w:w="836" w:type="dxa"/>
          </w:tcPr>
          <w:p w14:paraId="74CCE3CE" w14:textId="77777777" w:rsidR="00182884" w:rsidRPr="00F904D0" w:rsidRDefault="00182884" w:rsidP="00182884">
            <w:pPr>
              <w:spacing w:after="0" w:line="240" w:lineRule="auto"/>
              <w:jc w:val="right"/>
              <w:rPr>
                <w:b/>
                <w:bCs/>
              </w:rPr>
            </w:pPr>
            <w:r w:rsidRPr="0459DA95">
              <w:rPr>
                <w:b/>
                <w:bCs/>
              </w:rPr>
              <w:t>76.7</w:t>
            </w:r>
          </w:p>
        </w:tc>
        <w:tc>
          <w:tcPr>
            <w:tcW w:w="233" w:type="dxa"/>
          </w:tcPr>
          <w:p w14:paraId="734C3FC8" w14:textId="77777777" w:rsidR="00182884" w:rsidRPr="008D7480" w:rsidRDefault="00182884" w:rsidP="00182884">
            <w:pPr>
              <w:spacing w:after="0" w:line="240" w:lineRule="auto"/>
              <w:jc w:val="right"/>
            </w:pPr>
          </w:p>
        </w:tc>
        <w:tc>
          <w:tcPr>
            <w:tcW w:w="1039" w:type="dxa"/>
          </w:tcPr>
          <w:p w14:paraId="4F37D5DD" w14:textId="77777777" w:rsidR="00182884" w:rsidRPr="008D7480" w:rsidRDefault="00182884" w:rsidP="00182884">
            <w:pPr>
              <w:spacing w:after="0" w:line="240" w:lineRule="auto"/>
              <w:jc w:val="right"/>
            </w:pPr>
            <w:r w:rsidRPr="0459DA95">
              <w:t>11853</w:t>
            </w:r>
          </w:p>
        </w:tc>
        <w:tc>
          <w:tcPr>
            <w:tcW w:w="923" w:type="dxa"/>
          </w:tcPr>
          <w:p w14:paraId="2C146304" w14:textId="77777777" w:rsidR="00182884" w:rsidRPr="00F904D0" w:rsidRDefault="00182884" w:rsidP="00182884">
            <w:pPr>
              <w:spacing w:after="0" w:line="240" w:lineRule="auto"/>
              <w:jc w:val="right"/>
              <w:rPr>
                <w:b/>
                <w:bCs/>
              </w:rPr>
            </w:pPr>
            <w:r w:rsidRPr="0459DA95">
              <w:rPr>
                <w:b/>
                <w:bCs/>
              </w:rPr>
              <w:t>76.5</w:t>
            </w:r>
          </w:p>
        </w:tc>
      </w:tr>
      <w:tr w:rsidR="00182884" w:rsidRPr="008D7480" w14:paraId="1946E877" w14:textId="77777777" w:rsidTr="000A7109">
        <w:tc>
          <w:tcPr>
            <w:tcW w:w="234" w:type="dxa"/>
            <w:tcBorders>
              <w:bottom w:val="single" w:sz="4" w:space="0" w:color="auto"/>
            </w:tcBorders>
          </w:tcPr>
          <w:p w14:paraId="72C9C090" w14:textId="77777777" w:rsidR="00182884" w:rsidRPr="008D7480" w:rsidRDefault="00182884" w:rsidP="00182884">
            <w:pPr>
              <w:spacing w:after="0" w:line="240" w:lineRule="auto"/>
            </w:pPr>
          </w:p>
        </w:tc>
        <w:tc>
          <w:tcPr>
            <w:tcW w:w="3877" w:type="dxa"/>
            <w:tcBorders>
              <w:bottom w:val="single" w:sz="4" w:space="0" w:color="auto"/>
            </w:tcBorders>
          </w:tcPr>
          <w:p w14:paraId="40ED53FE" w14:textId="77777777" w:rsidR="00182884" w:rsidRPr="008D7480" w:rsidRDefault="00182884" w:rsidP="00182884">
            <w:pPr>
              <w:spacing w:after="0" w:line="240" w:lineRule="auto"/>
            </w:pPr>
            <w:r w:rsidRPr="0459DA95">
              <w:t>&gt;4km</w:t>
            </w:r>
          </w:p>
        </w:tc>
        <w:tc>
          <w:tcPr>
            <w:tcW w:w="779" w:type="dxa"/>
            <w:tcBorders>
              <w:bottom w:val="single" w:sz="4" w:space="0" w:color="auto"/>
            </w:tcBorders>
          </w:tcPr>
          <w:p w14:paraId="6BBBFE87" w14:textId="77777777" w:rsidR="00182884" w:rsidRPr="008D7480" w:rsidRDefault="00182884" w:rsidP="00182884">
            <w:pPr>
              <w:spacing w:after="0" w:line="240" w:lineRule="auto"/>
              <w:jc w:val="right"/>
            </w:pPr>
            <w:r w:rsidRPr="0459DA95">
              <w:t>2168</w:t>
            </w:r>
          </w:p>
        </w:tc>
        <w:tc>
          <w:tcPr>
            <w:tcW w:w="836" w:type="dxa"/>
            <w:tcBorders>
              <w:bottom w:val="single" w:sz="4" w:space="0" w:color="auto"/>
            </w:tcBorders>
          </w:tcPr>
          <w:p w14:paraId="26207748" w14:textId="77777777" w:rsidR="00182884" w:rsidRPr="00F904D0" w:rsidRDefault="00182884" w:rsidP="00182884">
            <w:pPr>
              <w:spacing w:after="0" w:line="240" w:lineRule="auto"/>
              <w:jc w:val="right"/>
              <w:rPr>
                <w:b/>
                <w:bCs/>
              </w:rPr>
            </w:pPr>
            <w:r w:rsidRPr="0459DA95">
              <w:rPr>
                <w:b/>
                <w:bCs/>
              </w:rPr>
              <w:t>23.3</w:t>
            </w:r>
          </w:p>
        </w:tc>
        <w:tc>
          <w:tcPr>
            <w:tcW w:w="233" w:type="dxa"/>
            <w:tcBorders>
              <w:bottom w:val="single" w:sz="4" w:space="0" w:color="auto"/>
            </w:tcBorders>
          </w:tcPr>
          <w:p w14:paraId="468CD0E9" w14:textId="77777777" w:rsidR="00182884" w:rsidRPr="008D7480" w:rsidRDefault="00182884" w:rsidP="00182884">
            <w:pPr>
              <w:spacing w:after="0" w:line="240" w:lineRule="auto"/>
              <w:jc w:val="right"/>
            </w:pPr>
          </w:p>
        </w:tc>
        <w:tc>
          <w:tcPr>
            <w:tcW w:w="1039" w:type="dxa"/>
            <w:tcBorders>
              <w:bottom w:val="single" w:sz="4" w:space="0" w:color="auto"/>
            </w:tcBorders>
          </w:tcPr>
          <w:p w14:paraId="233746A0" w14:textId="77777777" w:rsidR="00182884" w:rsidRPr="008D7480" w:rsidRDefault="00182884" w:rsidP="00182884">
            <w:pPr>
              <w:spacing w:after="0" w:line="240" w:lineRule="auto"/>
              <w:jc w:val="right"/>
            </w:pPr>
            <w:r w:rsidRPr="0459DA95">
              <w:t>3650</w:t>
            </w:r>
          </w:p>
        </w:tc>
        <w:tc>
          <w:tcPr>
            <w:tcW w:w="923" w:type="dxa"/>
            <w:tcBorders>
              <w:bottom w:val="single" w:sz="4" w:space="0" w:color="auto"/>
            </w:tcBorders>
          </w:tcPr>
          <w:p w14:paraId="1A9D22A6" w14:textId="77777777" w:rsidR="00182884" w:rsidRPr="00F904D0" w:rsidRDefault="00182884" w:rsidP="00182884">
            <w:pPr>
              <w:spacing w:after="0" w:line="240" w:lineRule="auto"/>
              <w:jc w:val="right"/>
              <w:rPr>
                <w:b/>
                <w:bCs/>
              </w:rPr>
            </w:pPr>
            <w:r w:rsidRPr="0459DA95">
              <w:rPr>
                <w:b/>
                <w:bCs/>
              </w:rPr>
              <w:t>23.5</w:t>
            </w:r>
          </w:p>
        </w:tc>
      </w:tr>
    </w:tbl>
    <w:p w14:paraId="6F1A5317" w14:textId="77777777" w:rsidR="00182884" w:rsidRDefault="00182884">
      <w:pPr>
        <w:spacing w:after="160" w:line="259" w:lineRule="auto"/>
        <w:jc w:val="left"/>
        <w:rPr>
          <w:b/>
          <w:bCs/>
        </w:rPr>
      </w:pPr>
      <w:r>
        <w:rPr>
          <w:b/>
          <w:bCs/>
        </w:rPr>
        <w:br w:type="page"/>
      </w:r>
    </w:p>
    <w:p w14:paraId="745D0375" w14:textId="2B3A1A93" w:rsidR="00182884" w:rsidRDefault="00182884" w:rsidP="00182884">
      <w:pPr>
        <w:spacing w:after="0"/>
        <w:jc w:val="left"/>
        <w:rPr>
          <w:b/>
          <w:bCs/>
        </w:rPr>
      </w:pPr>
      <w:r w:rsidRPr="6F0D3FE4">
        <w:rPr>
          <w:b/>
          <w:bCs/>
        </w:rPr>
        <w:lastRenderedPageBreak/>
        <w:t>Table 2</w:t>
      </w:r>
      <w:r>
        <w:rPr>
          <w:b/>
          <w:bCs/>
        </w:rPr>
        <w:t>.</w:t>
      </w:r>
      <w:r w:rsidRPr="6F0D3FE4">
        <w:rPr>
          <w:b/>
          <w:bCs/>
        </w:rPr>
        <w:t xml:space="preserve"> Testing uptake, difference within group and </w:t>
      </w:r>
      <w:r w:rsidRPr="6F0D3FE4">
        <w:rPr>
          <w:rFonts w:eastAsia="Times New Roman"/>
          <w:b/>
          <w:bCs/>
          <w:color w:val="000000" w:themeColor="text1"/>
          <w:sz w:val="20"/>
          <w:szCs w:val="20"/>
          <w:lang w:eastAsia="en-GB"/>
        </w:rPr>
        <w:t>differential i</w:t>
      </w:r>
      <w:r w:rsidRPr="6F0D3FE4">
        <w:rPr>
          <w:b/>
          <w:bCs/>
        </w:rPr>
        <w:t>ncrease between CFI arms and non-CFI arms, among men (n=9,290)</w:t>
      </w:r>
    </w:p>
    <w:tbl>
      <w:tblPr>
        <w:tblW w:w="9607" w:type="dxa"/>
        <w:tblLook w:val="04A0" w:firstRow="1" w:lastRow="0" w:firstColumn="1" w:lastColumn="0" w:noHBand="0" w:noVBand="1"/>
      </w:tblPr>
      <w:tblGrid>
        <w:gridCol w:w="280"/>
        <w:gridCol w:w="1705"/>
        <w:gridCol w:w="283"/>
        <w:gridCol w:w="142"/>
        <w:gridCol w:w="571"/>
        <w:gridCol w:w="1414"/>
        <w:gridCol w:w="222"/>
        <w:gridCol w:w="1337"/>
        <w:gridCol w:w="1417"/>
        <w:gridCol w:w="1136"/>
        <w:gridCol w:w="1136"/>
      </w:tblGrid>
      <w:tr w:rsidR="00182884" w:rsidRPr="00D850D4" w14:paraId="502C55DC" w14:textId="77777777" w:rsidTr="000A7109">
        <w:trPr>
          <w:trHeight w:val="288"/>
        </w:trPr>
        <w:tc>
          <w:tcPr>
            <w:tcW w:w="280" w:type="dxa"/>
            <w:tcBorders>
              <w:top w:val="single" w:sz="4" w:space="0" w:color="auto"/>
            </w:tcBorders>
            <w:shd w:val="clear" w:color="auto" w:fill="auto"/>
            <w:noWrap/>
            <w:vAlign w:val="bottom"/>
          </w:tcPr>
          <w:p w14:paraId="2F5AA39B" w14:textId="77777777" w:rsidR="00182884" w:rsidRPr="00D850D4" w:rsidRDefault="00182884" w:rsidP="000A7109">
            <w:pPr>
              <w:spacing w:after="0" w:line="240" w:lineRule="auto"/>
              <w:jc w:val="left"/>
              <w:rPr>
                <w:rFonts w:eastAsia="Times New Roman" w:cstheme="minorHAnsi"/>
                <w:color w:val="000000"/>
                <w:sz w:val="20"/>
                <w:szCs w:val="20"/>
                <w:lang w:eastAsia="en-GB"/>
              </w:rPr>
            </w:pPr>
          </w:p>
        </w:tc>
        <w:tc>
          <w:tcPr>
            <w:tcW w:w="1705" w:type="dxa"/>
            <w:tcBorders>
              <w:top w:val="single" w:sz="4" w:space="0" w:color="auto"/>
            </w:tcBorders>
            <w:shd w:val="clear" w:color="auto" w:fill="auto"/>
            <w:noWrap/>
            <w:vAlign w:val="bottom"/>
          </w:tcPr>
          <w:p w14:paraId="43432DC7" w14:textId="77777777" w:rsidR="00182884" w:rsidRPr="00D850D4" w:rsidRDefault="00182884" w:rsidP="000A7109">
            <w:pPr>
              <w:spacing w:after="0" w:line="240" w:lineRule="auto"/>
              <w:jc w:val="left"/>
              <w:rPr>
                <w:rFonts w:eastAsia="Times New Roman" w:cstheme="minorHAnsi"/>
                <w:color w:val="000000"/>
                <w:sz w:val="20"/>
                <w:szCs w:val="20"/>
                <w:lang w:eastAsia="en-GB"/>
              </w:rPr>
            </w:pPr>
          </w:p>
        </w:tc>
        <w:tc>
          <w:tcPr>
            <w:tcW w:w="2410" w:type="dxa"/>
            <w:gridSpan w:val="4"/>
            <w:tcBorders>
              <w:top w:val="single" w:sz="4" w:space="0" w:color="auto"/>
              <w:bottom w:val="single" w:sz="4" w:space="0" w:color="auto"/>
            </w:tcBorders>
            <w:shd w:val="clear" w:color="auto" w:fill="auto"/>
            <w:noWrap/>
            <w:vAlign w:val="bottom"/>
          </w:tcPr>
          <w:p w14:paraId="033FF52D" w14:textId="77777777" w:rsidR="00182884" w:rsidRDefault="00182884" w:rsidP="000A7109">
            <w:pPr>
              <w:spacing w:after="0" w:line="240" w:lineRule="auto"/>
              <w:jc w:val="center"/>
              <w:rPr>
                <w:rFonts w:eastAsia="Times New Roman" w:cstheme="minorHAnsi"/>
                <w:color w:val="000000"/>
                <w:sz w:val="20"/>
                <w:szCs w:val="20"/>
                <w:lang w:eastAsia="en-GB"/>
              </w:rPr>
            </w:pPr>
            <w:r>
              <w:rPr>
                <w:rFonts w:eastAsia="Times New Roman" w:cstheme="minorHAnsi"/>
                <w:color w:val="000000"/>
                <w:sz w:val="20"/>
                <w:szCs w:val="20"/>
                <w:lang w:eastAsia="en-GB"/>
              </w:rPr>
              <w:t>T</w:t>
            </w:r>
            <w:r w:rsidRPr="00D850D4">
              <w:rPr>
                <w:rFonts w:eastAsia="Times New Roman" w:cstheme="minorHAnsi"/>
                <w:color w:val="000000"/>
                <w:sz w:val="20"/>
                <w:szCs w:val="20"/>
                <w:lang w:eastAsia="en-GB"/>
              </w:rPr>
              <w:t>esting uptake</w:t>
            </w:r>
            <w:r>
              <w:rPr>
                <w:rFonts w:eastAsia="Times New Roman" w:cstheme="minorHAnsi"/>
                <w:color w:val="000000"/>
                <w:sz w:val="20"/>
                <w:szCs w:val="20"/>
                <w:lang w:eastAsia="en-GB"/>
              </w:rPr>
              <w:t xml:space="preserve"> (%)</w:t>
            </w:r>
          </w:p>
        </w:tc>
        <w:tc>
          <w:tcPr>
            <w:tcW w:w="222" w:type="dxa"/>
            <w:tcBorders>
              <w:top w:val="single" w:sz="4" w:space="0" w:color="auto"/>
            </w:tcBorders>
          </w:tcPr>
          <w:p w14:paraId="47AD7692" w14:textId="77777777" w:rsidR="00182884" w:rsidRDefault="00182884" w:rsidP="000A7109">
            <w:pPr>
              <w:spacing w:after="0" w:line="240" w:lineRule="auto"/>
              <w:jc w:val="center"/>
              <w:rPr>
                <w:rFonts w:eastAsia="Times New Roman" w:cstheme="minorHAnsi"/>
                <w:color w:val="000000"/>
                <w:sz w:val="20"/>
                <w:szCs w:val="20"/>
                <w:lang w:eastAsia="en-GB"/>
              </w:rPr>
            </w:pPr>
          </w:p>
        </w:tc>
        <w:tc>
          <w:tcPr>
            <w:tcW w:w="2754" w:type="dxa"/>
            <w:gridSpan w:val="2"/>
            <w:tcBorders>
              <w:top w:val="single" w:sz="4" w:space="0" w:color="auto"/>
              <w:bottom w:val="single" w:sz="4" w:space="0" w:color="auto"/>
            </w:tcBorders>
            <w:vAlign w:val="bottom"/>
          </w:tcPr>
          <w:p w14:paraId="64AA93DC" w14:textId="77777777" w:rsidR="00182884" w:rsidRDefault="00182884" w:rsidP="000A7109">
            <w:pPr>
              <w:spacing w:after="0" w:line="240" w:lineRule="auto"/>
              <w:jc w:val="center"/>
              <w:rPr>
                <w:rFonts w:eastAsia="Times New Roman" w:cstheme="minorHAnsi"/>
                <w:color w:val="000000"/>
                <w:sz w:val="20"/>
                <w:szCs w:val="20"/>
                <w:lang w:eastAsia="en-GB"/>
              </w:rPr>
            </w:pPr>
            <w:r>
              <w:rPr>
                <w:rFonts w:eastAsia="Times New Roman" w:cstheme="minorHAnsi"/>
                <w:color w:val="000000"/>
                <w:sz w:val="20"/>
                <w:szCs w:val="20"/>
                <w:lang w:eastAsia="en-GB"/>
              </w:rPr>
              <w:t>Uptake difference within group (%)</w:t>
            </w:r>
          </w:p>
        </w:tc>
        <w:tc>
          <w:tcPr>
            <w:tcW w:w="1118" w:type="dxa"/>
            <w:vMerge w:val="restart"/>
            <w:tcBorders>
              <w:top w:val="single" w:sz="4" w:space="0" w:color="auto"/>
            </w:tcBorders>
            <w:shd w:val="clear" w:color="auto" w:fill="auto"/>
            <w:noWrap/>
            <w:vAlign w:val="bottom"/>
          </w:tcPr>
          <w:p w14:paraId="7EF74113" w14:textId="77777777" w:rsidR="00182884" w:rsidRDefault="00182884" w:rsidP="000A7109">
            <w:pPr>
              <w:spacing w:after="0" w:line="240" w:lineRule="auto"/>
              <w:jc w:val="right"/>
              <w:rPr>
                <w:rFonts w:eastAsia="Times New Roman" w:cstheme="minorHAnsi"/>
                <w:color w:val="000000"/>
                <w:sz w:val="20"/>
                <w:szCs w:val="20"/>
                <w:lang w:eastAsia="en-GB"/>
              </w:rPr>
            </w:pPr>
            <w:r>
              <w:rPr>
                <w:rFonts w:eastAsia="Times New Roman" w:cstheme="minorHAnsi"/>
                <w:color w:val="000000"/>
                <w:sz w:val="20"/>
                <w:szCs w:val="20"/>
                <w:lang w:eastAsia="en-GB"/>
              </w:rPr>
              <w:t>Differential increase (%)</w:t>
            </w:r>
          </w:p>
          <w:p w14:paraId="6E887427" w14:textId="77777777" w:rsidR="00182884" w:rsidRDefault="00182884" w:rsidP="000A7109">
            <w:pPr>
              <w:spacing w:after="0" w:line="240" w:lineRule="auto"/>
              <w:jc w:val="right"/>
              <w:rPr>
                <w:rFonts w:eastAsia="Times New Roman" w:cstheme="minorHAnsi"/>
                <w:color w:val="000000"/>
                <w:sz w:val="20"/>
                <w:szCs w:val="20"/>
                <w:lang w:eastAsia="en-GB"/>
              </w:rPr>
            </w:pPr>
            <w:r>
              <w:rPr>
                <w:rFonts w:eastAsia="Times New Roman" w:cstheme="minorHAnsi"/>
                <w:color w:val="000000"/>
                <w:sz w:val="20"/>
                <w:szCs w:val="20"/>
                <w:lang w:eastAsia="en-GB"/>
              </w:rPr>
              <w:t>(C)-(D)</w:t>
            </w:r>
          </w:p>
        </w:tc>
        <w:tc>
          <w:tcPr>
            <w:tcW w:w="1118" w:type="dxa"/>
            <w:vMerge w:val="restart"/>
            <w:tcBorders>
              <w:top w:val="single" w:sz="4" w:space="0" w:color="auto"/>
            </w:tcBorders>
            <w:shd w:val="clear" w:color="auto" w:fill="auto"/>
            <w:noWrap/>
            <w:vAlign w:val="bottom"/>
          </w:tcPr>
          <w:p w14:paraId="03DCFEEC" w14:textId="77777777" w:rsidR="00182884" w:rsidRDefault="00182884" w:rsidP="000A7109">
            <w:pPr>
              <w:spacing w:after="0" w:line="240" w:lineRule="auto"/>
              <w:jc w:val="right"/>
              <w:rPr>
                <w:rFonts w:eastAsia="Times New Roman" w:cstheme="minorHAnsi"/>
                <w:color w:val="000000"/>
                <w:sz w:val="20"/>
                <w:szCs w:val="20"/>
                <w:lang w:eastAsia="en-GB"/>
              </w:rPr>
            </w:pPr>
            <w:r>
              <w:rPr>
                <w:rFonts w:eastAsia="Times New Roman" w:cstheme="minorHAnsi"/>
                <w:color w:val="000000"/>
                <w:sz w:val="20"/>
                <w:szCs w:val="20"/>
                <w:lang w:eastAsia="en-GB"/>
              </w:rPr>
              <w:t xml:space="preserve">Differential increase </w:t>
            </w:r>
            <w:bookmarkStart w:id="44" w:name="_Hlk93514276"/>
            <w:r>
              <w:rPr>
                <w:rFonts w:eastAsia="Times New Roman" w:cstheme="minorHAnsi"/>
                <w:color w:val="000000"/>
                <w:sz w:val="20"/>
                <w:szCs w:val="20"/>
                <w:lang w:eastAsia="en-GB"/>
              </w:rPr>
              <w:t>95%CI</w:t>
            </w:r>
            <w:bookmarkEnd w:id="44"/>
          </w:p>
        </w:tc>
      </w:tr>
      <w:tr w:rsidR="00182884" w:rsidRPr="00C72F45" w14:paraId="441A3ED8" w14:textId="77777777" w:rsidTr="000A7109">
        <w:trPr>
          <w:trHeight w:val="402"/>
        </w:trPr>
        <w:tc>
          <w:tcPr>
            <w:tcW w:w="280" w:type="dxa"/>
            <w:tcBorders>
              <w:bottom w:val="single" w:sz="4" w:space="0" w:color="auto"/>
            </w:tcBorders>
            <w:shd w:val="clear" w:color="auto" w:fill="auto"/>
            <w:noWrap/>
            <w:vAlign w:val="bottom"/>
          </w:tcPr>
          <w:p w14:paraId="4FE6C69E" w14:textId="77777777" w:rsidR="00182884" w:rsidRPr="00D850D4" w:rsidRDefault="00182884" w:rsidP="000A7109">
            <w:pPr>
              <w:spacing w:after="0" w:line="240" w:lineRule="auto"/>
              <w:jc w:val="left"/>
              <w:rPr>
                <w:rFonts w:eastAsia="Times New Roman" w:cstheme="minorHAnsi"/>
                <w:color w:val="000000"/>
                <w:sz w:val="20"/>
                <w:szCs w:val="20"/>
                <w:lang w:eastAsia="en-GB"/>
              </w:rPr>
            </w:pPr>
          </w:p>
        </w:tc>
        <w:tc>
          <w:tcPr>
            <w:tcW w:w="1705" w:type="dxa"/>
            <w:tcBorders>
              <w:bottom w:val="single" w:sz="4" w:space="0" w:color="auto"/>
            </w:tcBorders>
            <w:shd w:val="clear" w:color="auto" w:fill="auto"/>
            <w:noWrap/>
            <w:vAlign w:val="bottom"/>
          </w:tcPr>
          <w:p w14:paraId="635E723D" w14:textId="77777777" w:rsidR="00182884" w:rsidRPr="00D850D4" w:rsidRDefault="00182884" w:rsidP="000A7109">
            <w:pPr>
              <w:spacing w:after="0" w:line="240" w:lineRule="auto"/>
              <w:jc w:val="left"/>
              <w:rPr>
                <w:rFonts w:eastAsia="Times New Roman" w:cstheme="minorHAnsi"/>
                <w:color w:val="000000"/>
                <w:sz w:val="20"/>
                <w:szCs w:val="20"/>
                <w:lang w:eastAsia="en-GB"/>
              </w:rPr>
            </w:pPr>
          </w:p>
        </w:tc>
        <w:tc>
          <w:tcPr>
            <w:tcW w:w="996" w:type="dxa"/>
            <w:gridSpan w:val="3"/>
            <w:tcBorders>
              <w:top w:val="single" w:sz="4" w:space="0" w:color="auto"/>
              <w:bottom w:val="single" w:sz="4" w:space="0" w:color="auto"/>
            </w:tcBorders>
            <w:shd w:val="clear" w:color="auto" w:fill="auto"/>
            <w:noWrap/>
            <w:vAlign w:val="bottom"/>
          </w:tcPr>
          <w:p w14:paraId="39517C01" w14:textId="77777777" w:rsidR="00182884" w:rsidRDefault="00182884" w:rsidP="000A7109">
            <w:pPr>
              <w:spacing w:after="0" w:line="240" w:lineRule="auto"/>
              <w:jc w:val="right"/>
              <w:rPr>
                <w:rFonts w:eastAsia="Times New Roman" w:cstheme="minorHAnsi"/>
                <w:color w:val="000000"/>
                <w:sz w:val="20"/>
                <w:szCs w:val="20"/>
                <w:lang w:eastAsia="en-GB"/>
              </w:rPr>
            </w:pPr>
            <w:r>
              <w:rPr>
                <w:rFonts w:eastAsia="Times New Roman" w:cstheme="minorHAnsi"/>
                <w:color w:val="000000"/>
                <w:sz w:val="20"/>
                <w:szCs w:val="20"/>
                <w:lang w:eastAsia="en-GB"/>
              </w:rPr>
              <w:t>CFI arm</w:t>
            </w:r>
          </w:p>
          <w:p w14:paraId="060F1725"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Pr>
                <w:rFonts w:eastAsia="Times New Roman" w:cstheme="minorHAnsi"/>
                <w:color w:val="000000"/>
                <w:sz w:val="20"/>
                <w:szCs w:val="20"/>
                <w:lang w:eastAsia="en-GB"/>
              </w:rPr>
              <w:t>(A)</w:t>
            </w:r>
          </w:p>
        </w:tc>
        <w:tc>
          <w:tcPr>
            <w:tcW w:w="1414" w:type="dxa"/>
            <w:tcBorders>
              <w:top w:val="single" w:sz="4" w:space="0" w:color="auto"/>
              <w:bottom w:val="single" w:sz="4" w:space="0" w:color="auto"/>
            </w:tcBorders>
            <w:shd w:val="clear" w:color="auto" w:fill="auto"/>
            <w:noWrap/>
            <w:vAlign w:val="bottom"/>
          </w:tcPr>
          <w:p w14:paraId="0BF7A5AF" w14:textId="77777777" w:rsidR="00182884" w:rsidRDefault="00182884" w:rsidP="000A7109">
            <w:pPr>
              <w:spacing w:after="0" w:line="240" w:lineRule="auto"/>
              <w:jc w:val="right"/>
              <w:rPr>
                <w:rFonts w:eastAsia="Times New Roman" w:cstheme="minorHAnsi"/>
                <w:color w:val="000000"/>
                <w:sz w:val="20"/>
                <w:szCs w:val="20"/>
                <w:lang w:eastAsia="en-GB"/>
              </w:rPr>
            </w:pPr>
            <w:r>
              <w:rPr>
                <w:rFonts w:eastAsia="Times New Roman" w:cstheme="minorHAnsi"/>
                <w:color w:val="000000"/>
                <w:sz w:val="20"/>
                <w:szCs w:val="20"/>
                <w:lang w:eastAsia="en-GB"/>
              </w:rPr>
              <w:t>Non-CFI arm</w:t>
            </w:r>
          </w:p>
          <w:p w14:paraId="369BE9BD"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Pr>
                <w:rFonts w:eastAsia="Times New Roman" w:cstheme="minorHAnsi"/>
                <w:color w:val="000000"/>
                <w:sz w:val="20"/>
                <w:szCs w:val="20"/>
                <w:lang w:eastAsia="en-GB"/>
              </w:rPr>
              <w:t>(B)</w:t>
            </w:r>
          </w:p>
        </w:tc>
        <w:tc>
          <w:tcPr>
            <w:tcW w:w="222" w:type="dxa"/>
            <w:tcBorders>
              <w:bottom w:val="single" w:sz="4" w:space="0" w:color="auto"/>
            </w:tcBorders>
          </w:tcPr>
          <w:p w14:paraId="1662D639" w14:textId="77777777" w:rsidR="00182884" w:rsidRPr="00D850D4" w:rsidRDefault="00182884" w:rsidP="000A7109">
            <w:pPr>
              <w:spacing w:after="0" w:line="240" w:lineRule="auto"/>
              <w:jc w:val="right"/>
              <w:rPr>
                <w:rFonts w:eastAsia="Times New Roman" w:cstheme="minorHAnsi"/>
                <w:color w:val="000000"/>
                <w:sz w:val="20"/>
                <w:szCs w:val="20"/>
                <w:lang w:eastAsia="en-GB"/>
              </w:rPr>
            </w:pPr>
          </w:p>
        </w:tc>
        <w:tc>
          <w:tcPr>
            <w:tcW w:w="1337" w:type="dxa"/>
            <w:tcBorders>
              <w:top w:val="single" w:sz="4" w:space="0" w:color="auto"/>
              <w:bottom w:val="single" w:sz="4" w:space="0" w:color="auto"/>
            </w:tcBorders>
            <w:vAlign w:val="bottom"/>
          </w:tcPr>
          <w:p w14:paraId="68C10506" w14:textId="77777777" w:rsidR="00182884" w:rsidRDefault="00182884" w:rsidP="000A7109">
            <w:pPr>
              <w:spacing w:after="0" w:line="240" w:lineRule="auto"/>
              <w:jc w:val="right"/>
              <w:rPr>
                <w:rFonts w:eastAsia="Times New Roman" w:cstheme="minorHAnsi"/>
                <w:color w:val="000000"/>
                <w:sz w:val="20"/>
                <w:szCs w:val="20"/>
                <w:lang w:eastAsia="en-GB"/>
              </w:rPr>
            </w:pPr>
            <w:r>
              <w:rPr>
                <w:rFonts w:eastAsia="Times New Roman" w:cstheme="minorHAnsi"/>
                <w:color w:val="000000"/>
                <w:sz w:val="20"/>
                <w:szCs w:val="20"/>
                <w:lang w:eastAsia="en-GB"/>
              </w:rPr>
              <w:t>CFI arm</w:t>
            </w:r>
          </w:p>
          <w:p w14:paraId="4FEA997C" w14:textId="77777777" w:rsidR="00182884" w:rsidRDefault="00182884" w:rsidP="000A7109">
            <w:pPr>
              <w:spacing w:after="0" w:line="240" w:lineRule="auto"/>
              <w:ind w:left="-192"/>
              <w:jc w:val="right"/>
              <w:rPr>
                <w:rFonts w:eastAsia="Times New Roman" w:cstheme="minorHAnsi"/>
                <w:color w:val="000000"/>
                <w:sz w:val="20"/>
                <w:szCs w:val="20"/>
                <w:lang w:eastAsia="en-GB"/>
              </w:rPr>
            </w:pPr>
            <w:r>
              <w:rPr>
                <w:rFonts w:eastAsia="Times New Roman" w:cstheme="minorHAnsi"/>
                <w:color w:val="000000"/>
                <w:sz w:val="20"/>
                <w:szCs w:val="20"/>
                <w:lang w:eastAsia="en-GB"/>
              </w:rPr>
              <w:t xml:space="preserve">(C)= </w:t>
            </w:r>
            <w:r w:rsidRPr="00CA735C">
              <w:rPr>
                <w:rFonts w:eastAsia="Times New Roman" w:cstheme="minorHAnsi"/>
                <w:i/>
                <w:iCs/>
                <w:color w:val="000000"/>
                <w:sz w:val="20"/>
                <w:szCs w:val="20"/>
                <w:lang w:eastAsia="en-GB"/>
              </w:rPr>
              <w:t>ref</w:t>
            </w:r>
            <w:r>
              <w:rPr>
                <w:rFonts w:eastAsia="Times New Roman" w:cstheme="minorHAnsi"/>
                <w:color w:val="000000"/>
                <w:sz w:val="20"/>
                <w:szCs w:val="20"/>
                <w:lang w:eastAsia="en-GB"/>
              </w:rPr>
              <w:t>(A)-(A)</w:t>
            </w:r>
          </w:p>
        </w:tc>
        <w:tc>
          <w:tcPr>
            <w:tcW w:w="1417" w:type="dxa"/>
            <w:tcBorders>
              <w:top w:val="single" w:sz="4" w:space="0" w:color="auto"/>
              <w:bottom w:val="single" w:sz="4" w:space="0" w:color="auto"/>
            </w:tcBorders>
            <w:shd w:val="clear" w:color="auto" w:fill="auto"/>
            <w:noWrap/>
            <w:vAlign w:val="bottom"/>
          </w:tcPr>
          <w:p w14:paraId="760F0FDF" w14:textId="77777777" w:rsidR="00182884" w:rsidRPr="00520DCC" w:rsidRDefault="00182884" w:rsidP="000A7109">
            <w:pPr>
              <w:spacing w:after="0" w:line="240" w:lineRule="auto"/>
              <w:ind w:left="-109"/>
              <w:jc w:val="right"/>
              <w:rPr>
                <w:rFonts w:eastAsia="Times New Roman" w:cstheme="minorHAnsi"/>
                <w:color w:val="000000"/>
                <w:sz w:val="20"/>
                <w:szCs w:val="20"/>
                <w:lang w:eastAsia="en-GB"/>
              </w:rPr>
            </w:pPr>
            <w:r w:rsidRPr="00520DCC">
              <w:rPr>
                <w:rFonts w:eastAsia="Times New Roman" w:cstheme="minorHAnsi"/>
                <w:color w:val="000000"/>
                <w:sz w:val="20"/>
                <w:szCs w:val="20"/>
                <w:lang w:eastAsia="en-GB"/>
              </w:rPr>
              <w:t>Non-CFI arm</w:t>
            </w:r>
          </w:p>
          <w:p w14:paraId="3AE0D872" w14:textId="77777777" w:rsidR="00182884" w:rsidRPr="00520DCC" w:rsidRDefault="00182884" w:rsidP="000A7109">
            <w:pPr>
              <w:spacing w:after="0" w:line="240" w:lineRule="auto"/>
              <w:ind w:left="-109"/>
              <w:jc w:val="right"/>
              <w:rPr>
                <w:rFonts w:eastAsia="Times New Roman" w:cstheme="minorHAnsi"/>
                <w:color w:val="000000"/>
                <w:sz w:val="20"/>
                <w:szCs w:val="20"/>
                <w:lang w:eastAsia="en-GB"/>
              </w:rPr>
            </w:pPr>
            <w:r w:rsidRPr="00520DCC">
              <w:rPr>
                <w:rFonts w:eastAsia="Times New Roman" w:cstheme="minorHAnsi"/>
                <w:color w:val="000000"/>
                <w:sz w:val="20"/>
                <w:szCs w:val="20"/>
                <w:lang w:eastAsia="en-GB"/>
              </w:rPr>
              <w:t xml:space="preserve">(D)= </w:t>
            </w:r>
            <w:r w:rsidRPr="00520DCC">
              <w:rPr>
                <w:rFonts w:eastAsia="Times New Roman" w:cstheme="minorHAnsi"/>
                <w:i/>
                <w:iCs/>
                <w:color w:val="000000"/>
                <w:sz w:val="20"/>
                <w:szCs w:val="20"/>
                <w:lang w:eastAsia="en-GB"/>
              </w:rPr>
              <w:t>ref</w:t>
            </w:r>
            <w:r w:rsidRPr="00520DCC">
              <w:rPr>
                <w:rFonts w:eastAsia="Times New Roman" w:cstheme="minorHAnsi"/>
                <w:color w:val="000000"/>
                <w:sz w:val="20"/>
                <w:szCs w:val="20"/>
                <w:lang w:eastAsia="en-GB"/>
              </w:rPr>
              <w:t>(B)-(B)</w:t>
            </w:r>
          </w:p>
        </w:tc>
        <w:tc>
          <w:tcPr>
            <w:tcW w:w="1118" w:type="dxa"/>
            <w:vMerge/>
            <w:tcBorders>
              <w:bottom w:val="single" w:sz="4" w:space="0" w:color="auto"/>
            </w:tcBorders>
            <w:shd w:val="clear" w:color="auto" w:fill="auto"/>
            <w:noWrap/>
            <w:vAlign w:val="bottom"/>
          </w:tcPr>
          <w:p w14:paraId="5EDC5FC2" w14:textId="77777777" w:rsidR="00182884" w:rsidRPr="00520DCC" w:rsidRDefault="00182884" w:rsidP="000A7109">
            <w:pPr>
              <w:spacing w:after="0" w:line="240" w:lineRule="auto"/>
              <w:jc w:val="right"/>
              <w:rPr>
                <w:rFonts w:eastAsia="Times New Roman" w:cstheme="minorHAnsi"/>
                <w:color w:val="000000"/>
                <w:sz w:val="20"/>
                <w:szCs w:val="20"/>
                <w:lang w:eastAsia="en-GB"/>
              </w:rPr>
            </w:pPr>
          </w:p>
        </w:tc>
        <w:tc>
          <w:tcPr>
            <w:tcW w:w="1118" w:type="dxa"/>
            <w:vMerge/>
            <w:tcBorders>
              <w:bottom w:val="single" w:sz="4" w:space="0" w:color="auto"/>
            </w:tcBorders>
            <w:shd w:val="clear" w:color="auto" w:fill="auto"/>
            <w:noWrap/>
            <w:vAlign w:val="bottom"/>
          </w:tcPr>
          <w:p w14:paraId="47528738" w14:textId="77777777" w:rsidR="00182884" w:rsidRPr="00520DCC" w:rsidRDefault="00182884" w:rsidP="000A7109">
            <w:pPr>
              <w:spacing w:after="0" w:line="240" w:lineRule="auto"/>
              <w:jc w:val="right"/>
              <w:rPr>
                <w:rFonts w:eastAsia="Times New Roman" w:cstheme="minorHAnsi"/>
                <w:color w:val="000000"/>
                <w:sz w:val="20"/>
                <w:szCs w:val="20"/>
                <w:lang w:eastAsia="en-GB"/>
              </w:rPr>
            </w:pPr>
          </w:p>
        </w:tc>
      </w:tr>
      <w:tr w:rsidR="00182884" w:rsidRPr="00D850D4" w14:paraId="3BD19663" w14:textId="77777777" w:rsidTr="000A7109">
        <w:trPr>
          <w:trHeight w:val="288"/>
        </w:trPr>
        <w:tc>
          <w:tcPr>
            <w:tcW w:w="1985" w:type="dxa"/>
            <w:gridSpan w:val="2"/>
            <w:tcBorders>
              <w:top w:val="single" w:sz="4" w:space="0" w:color="auto"/>
            </w:tcBorders>
            <w:shd w:val="clear" w:color="auto" w:fill="auto"/>
            <w:noWrap/>
          </w:tcPr>
          <w:p w14:paraId="3DE9B398" w14:textId="77777777" w:rsidR="00182884" w:rsidRPr="00D850D4" w:rsidRDefault="00182884" w:rsidP="000A7109">
            <w:pPr>
              <w:spacing w:after="0" w:line="240" w:lineRule="auto"/>
              <w:jc w:val="left"/>
              <w:rPr>
                <w:rFonts w:eastAsia="Times New Roman" w:cstheme="minorHAnsi"/>
                <w:b/>
                <w:bCs/>
                <w:color w:val="000000"/>
                <w:sz w:val="20"/>
                <w:szCs w:val="20"/>
                <w:lang w:eastAsia="en-GB"/>
              </w:rPr>
            </w:pPr>
            <w:r w:rsidRPr="00D850D4">
              <w:rPr>
                <w:rFonts w:eastAsia="Times New Roman" w:cstheme="minorHAnsi"/>
                <w:b/>
                <w:bCs/>
                <w:color w:val="000000"/>
                <w:sz w:val="20"/>
                <w:szCs w:val="20"/>
                <w:lang w:eastAsia="en-GB"/>
              </w:rPr>
              <w:t>Age</w:t>
            </w:r>
          </w:p>
        </w:tc>
        <w:tc>
          <w:tcPr>
            <w:tcW w:w="996" w:type="dxa"/>
            <w:gridSpan w:val="3"/>
            <w:tcBorders>
              <w:top w:val="single" w:sz="4" w:space="0" w:color="auto"/>
            </w:tcBorders>
            <w:shd w:val="clear" w:color="auto" w:fill="auto"/>
            <w:noWrap/>
            <w:vAlign w:val="bottom"/>
          </w:tcPr>
          <w:p w14:paraId="499BA0DD" w14:textId="77777777" w:rsidR="00182884" w:rsidRPr="00D850D4" w:rsidRDefault="00182884" w:rsidP="000A7109">
            <w:pPr>
              <w:spacing w:after="0" w:line="240" w:lineRule="auto"/>
              <w:jc w:val="right"/>
              <w:rPr>
                <w:rFonts w:eastAsia="Times New Roman" w:cstheme="minorHAnsi"/>
                <w:color w:val="000000"/>
                <w:sz w:val="20"/>
                <w:szCs w:val="20"/>
                <w:lang w:eastAsia="en-GB"/>
              </w:rPr>
            </w:pPr>
          </w:p>
        </w:tc>
        <w:tc>
          <w:tcPr>
            <w:tcW w:w="1414" w:type="dxa"/>
            <w:tcBorders>
              <w:top w:val="single" w:sz="4" w:space="0" w:color="auto"/>
            </w:tcBorders>
            <w:shd w:val="clear" w:color="auto" w:fill="auto"/>
            <w:noWrap/>
            <w:vAlign w:val="bottom"/>
          </w:tcPr>
          <w:p w14:paraId="72772589" w14:textId="77777777" w:rsidR="00182884" w:rsidRPr="00D850D4" w:rsidRDefault="00182884" w:rsidP="000A7109">
            <w:pPr>
              <w:spacing w:after="0" w:line="240" w:lineRule="auto"/>
              <w:jc w:val="right"/>
              <w:rPr>
                <w:rFonts w:eastAsia="Times New Roman" w:cstheme="minorHAnsi"/>
                <w:color w:val="000000"/>
                <w:sz w:val="20"/>
                <w:szCs w:val="20"/>
                <w:lang w:eastAsia="en-GB"/>
              </w:rPr>
            </w:pPr>
          </w:p>
        </w:tc>
        <w:tc>
          <w:tcPr>
            <w:tcW w:w="222" w:type="dxa"/>
            <w:tcBorders>
              <w:top w:val="single" w:sz="4" w:space="0" w:color="auto"/>
            </w:tcBorders>
          </w:tcPr>
          <w:p w14:paraId="5FE7DE25" w14:textId="77777777" w:rsidR="00182884" w:rsidRPr="00D850D4" w:rsidRDefault="00182884" w:rsidP="000A7109">
            <w:pPr>
              <w:spacing w:after="0" w:line="240" w:lineRule="auto"/>
              <w:jc w:val="right"/>
              <w:rPr>
                <w:rFonts w:eastAsia="Times New Roman" w:cstheme="minorHAnsi"/>
                <w:color w:val="000000"/>
                <w:sz w:val="20"/>
                <w:szCs w:val="20"/>
                <w:lang w:eastAsia="en-GB"/>
              </w:rPr>
            </w:pPr>
          </w:p>
        </w:tc>
        <w:tc>
          <w:tcPr>
            <w:tcW w:w="1337" w:type="dxa"/>
            <w:tcBorders>
              <w:top w:val="single" w:sz="4" w:space="0" w:color="auto"/>
            </w:tcBorders>
            <w:shd w:val="clear" w:color="auto" w:fill="auto"/>
            <w:noWrap/>
            <w:vAlign w:val="bottom"/>
          </w:tcPr>
          <w:p w14:paraId="5D422880" w14:textId="77777777" w:rsidR="00182884" w:rsidRPr="00D850D4" w:rsidRDefault="00182884" w:rsidP="000A7109">
            <w:pPr>
              <w:spacing w:after="0" w:line="240" w:lineRule="auto"/>
              <w:jc w:val="right"/>
              <w:rPr>
                <w:rFonts w:eastAsia="Times New Roman" w:cstheme="minorHAnsi"/>
                <w:color w:val="000000"/>
                <w:sz w:val="20"/>
                <w:szCs w:val="20"/>
                <w:lang w:eastAsia="en-GB"/>
              </w:rPr>
            </w:pPr>
          </w:p>
        </w:tc>
        <w:tc>
          <w:tcPr>
            <w:tcW w:w="1417" w:type="dxa"/>
            <w:tcBorders>
              <w:top w:val="single" w:sz="4" w:space="0" w:color="auto"/>
            </w:tcBorders>
            <w:vAlign w:val="bottom"/>
          </w:tcPr>
          <w:p w14:paraId="4E18A864" w14:textId="77777777" w:rsidR="00182884" w:rsidRPr="00D850D4" w:rsidRDefault="00182884" w:rsidP="000A7109">
            <w:pPr>
              <w:spacing w:after="0" w:line="240" w:lineRule="auto"/>
              <w:jc w:val="right"/>
              <w:rPr>
                <w:rFonts w:eastAsia="Times New Roman" w:cstheme="minorHAnsi"/>
                <w:color w:val="000000"/>
                <w:sz w:val="20"/>
                <w:szCs w:val="20"/>
                <w:lang w:eastAsia="en-GB"/>
              </w:rPr>
            </w:pPr>
          </w:p>
        </w:tc>
        <w:tc>
          <w:tcPr>
            <w:tcW w:w="1118" w:type="dxa"/>
            <w:tcBorders>
              <w:top w:val="single" w:sz="4" w:space="0" w:color="auto"/>
            </w:tcBorders>
            <w:shd w:val="clear" w:color="auto" w:fill="auto"/>
            <w:noWrap/>
            <w:vAlign w:val="bottom"/>
          </w:tcPr>
          <w:p w14:paraId="2300E1C4" w14:textId="77777777" w:rsidR="00182884" w:rsidRPr="00D850D4" w:rsidRDefault="00182884" w:rsidP="000A7109">
            <w:pPr>
              <w:spacing w:after="0" w:line="240" w:lineRule="auto"/>
              <w:jc w:val="right"/>
              <w:rPr>
                <w:rFonts w:eastAsia="Times New Roman" w:cstheme="minorHAnsi"/>
                <w:color w:val="000000"/>
                <w:sz w:val="20"/>
                <w:szCs w:val="20"/>
                <w:lang w:eastAsia="en-GB"/>
              </w:rPr>
            </w:pPr>
          </w:p>
        </w:tc>
        <w:tc>
          <w:tcPr>
            <w:tcW w:w="1118" w:type="dxa"/>
            <w:tcBorders>
              <w:top w:val="single" w:sz="4" w:space="0" w:color="auto"/>
            </w:tcBorders>
            <w:shd w:val="clear" w:color="auto" w:fill="auto"/>
            <w:noWrap/>
            <w:vAlign w:val="bottom"/>
          </w:tcPr>
          <w:p w14:paraId="73E1E315" w14:textId="77777777" w:rsidR="00182884" w:rsidRPr="00D850D4" w:rsidRDefault="00182884" w:rsidP="000A7109">
            <w:pPr>
              <w:spacing w:after="0" w:line="240" w:lineRule="auto"/>
              <w:jc w:val="right"/>
              <w:rPr>
                <w:rFonts w:eastAsia="Times New Roman" w:cstheme="minorHAnsi"/>
                <w:color w:val="000000"/>
                <w:sz w:val="20"/>
                <w:szCs w:val="20"/>
                <w:lang w:eastAsia="en-GB"/>
              </w:rPr>
            </w:pPr>
          </w:p>
        </w:tc>
      </w:tr>
      <w:tr w:rsidR="00182884" w:rsidRPr="00D850D4" w14:paraId="25D51D0A" w14:textId="77777777" w:rsidTr="000A7109">
        <w:trPr>
          <w:trHeight w:val="288"/>
        </w:trPr>
        <w:tc>
          <w:tcPr>
            <w:tcW w:w="280" w:type="dxa"/>
            <w:shd w:val="clear" w:color="auto" w:fill="auto"/>
            <w:noWrap/>
          </w:tcPr>
          <w:p w14:paraId="7283343F" w14:textId="77777777" w:rsidR="00182884" w:rsidRPr="00D850D4" w:rsidRDefault="00182884" w:rsidP="000A7109">
            <w:pPr>
              <w:spacing w:after="0" w:line="240" w:lineRule="auto"/>
              <w:jc w:val="left"/>
              <w:rPr>
                <w:rFonts w:eastAsia="Times New Roman" w:cstheme="minorHAnsi"/>
                <w:b/>
                <w:bCs/>
                <w:color w:val="000000"/>
                <w:sz w:val="20"/>
                <w:szCs w:val="20"/>
                <w:lang w:eastAsia="en-GB"/>
              </w:rPr>
            </w:pPr>
          </w:p>
        </w:tc>
        <w:tc>
          <w:tcPr>
            <w:tcW w:w="1705" w:type="dxa"/>
            <w:shd w:val="clear" w:color="auto" w:fill="auto"/>
            <w:noWrap/>
            <w:hideMark/>
          </w:tcPr>
          <w:p w14:paraId="2E783E63" w14:textId="77777777" w:rsidR="00182884" w:rsidRPr="00D850D4" w:rsidRDefault="00182884" w:rsidP="000A7109">
            <w:pPr>
              <w:spacing w:after="0" w:line="240" w:lineRule="auto"/>
              <w:jc w:val="left"/>
              <w:rPr>
                <w:rFonts w:eastAsia="Times New Roman" w:cstheme="minorHAnsi"/>
                <w:color w:val="000000"/>
                <w:sz w:val="20"/>
                <w:szCs w:val="20"/>
                <w:lang w:eastAsia="en-GB"/>
              </w:rPr>
            </w:pPr>
            <w:r w:rsidRPr="00D850D4">
              <w:rPr>
                <w:rFonts w:eastAsia="Times New Roman" w:cstheme="minorHAnsi"/>
                <w:color w:val="000000"/>
                <w:sz w:val="20"/>
                <w:szCs w:val="20"/>
                <w:lang w:eastAsia="en-GB"/>
              </w:rPr>
              <w:t>under 20</w:t>
            </w:r>
          </w:p>
        </w:tc>
        <w:tc>
          <w:tcPr>
            <w:tcW w:w="996" w:type="dxa"/>
            <w:gridSpan w:val="3"/>
            <w:shd w:val="clear" w:color="auto" w:fill="auto"/>
            <w:noWrap/>
            <w:hideMark/>
          </w:tcPr>
          <w:p w14:paraId="55FE2C36"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850D4">
              <w:rPr>
                <w:rFonts w:eastAsia="Times New Roman" w:cstheme="minorHAnsi"/>
                <w:color w:val="000000"/>
                <w:sz w:val="20"/>
                <w:szCs w:val="20"/>
                <w:lang w:eastAsia="en-GB"/>
              </w:rPr>
              <w:t>55.6</w:t>
            </w:r>
          </w:p>
        </w:tc>
        <w:tc>
          <w:tcPr>
            <w:tcW w:w="1414" w:type="dxa"/>
            <w:shd w:val="clear" w:color="auto" w:fill="auto"/>
            <w:noWrap/>
          </w:tcPr>
          <w:p w14:paraId="12F30211" w14:textId="77777777" w:rsidR="00182884" w:rsidRPr="00D850D4" w:rsidRDefault="00182884" w:rsidP="000A7109">
            <w:pPr>
              <w:spacing w:after="0" w:line="240" w:lineRule="auto"/>
              <w:jc w:val="right"/>
              <w:rPr>
                <w:rFonts w:eastAsia="Times New Roman" w:cstheme="minorHAnsi"/>
                <w:i/>
                <w:iCs/>
                <w:color w:val="000000"/>
                <w:sz w:val="20"/>
                <w:szCs w:val="20"/>
                <w:lang w:eastAsia="en-GB"/>
              </w:rPr>
            </w:pPr>
            <w:r w:rsidRPr="00D850D4">
              <w:rPr>
                <w:rFonts w:eastAsia="Times New Roman" w:cstheme="minorHAnsi"/>
                <w:color w:val="000000"/>
                <w:sz w:val="20"/>
                <w:szCs w:val="20"/>
                <w:lang w:eastAsia="en-GB"/>
              </w:rPr>
              <w:t>36.7</w:t>
            </w:r>
          </w:p>
        </w:tc>
        <w:tc>
          <w:tcPr>
            <w:tcW w:w="222" w:type="dxa"/>
          </w:tcPr>
          <w:p w14:paraId="0FA2EF9D" w14:textId="77777777" w:rsidR="00182884" w:rsidRPr="00D850D4" w:rsidRDefault="00182884" w:rsidP="000A7109">
            <w:pPr>
              <w:spacing w:after="0" w:line="240" w:lineRule="auto"/>
              <w:jc w:val="right"/>
              <w:rPr>
                <w:rFonts w:eastAsia="Times New Roman" w:cstheme="minorHAnsi"/>
                <w:color w:val="000000"/>
                <w:sz w:val="20"/>
                <w:szCs w:val="20"/>
                <w:lang w:eastAsia="en-GB"/>
              </w:rPr>
            </w:pPr>
          </w:p>
        </w:tc>
        <w:tc>
          <w:tcPr>
            <w:tcW w:w="1337" w:type="dxa"/>
          </w:tcPr>
          <w:p w14:paraId="78CF1EAB" w14:textId="77777777" w:rsidR="00182884" w:rsidRPr="006C08B8" w:rsidRDefault="00182884" w:rsidP="000A7109">
            <w:pPr>
              <w:spacing w:after="0" w:line="240" w:lineRule="auto"/>
              <w:jc w:val="right"/>
              <w:rPr>
                <w:rFonts w:eastAsia="Times New Roman" w:cstheme="minorHAnsi"/>
                <w:i/>
                <w:iCs/>
                <w:color w:val="000000"/>
                <w:sz w:val="20"/>
                <w:szCs w:val="20"/>
                <w:lang w:eastAsia="en-GB"/>
              </w:rPr>
            </w:pPr>
            <w:r w:rsidRPr="006C08B8">
              <w:rPr>
                <w:rFonts w:eastAsia="Times New Roman" w:cstheme="minorHAnsi"/>
                <w:i/>
                <w:iCs/>
                <w:color w:val="000000"/>
                <w:sz w:val="20"/>
                <w:szCs w:val="20"/>
                <w:lang w:eastAsia="en-GB"/>
              </w:rPr>
              <w:t>ref</w:t>
            </w:r>
          </w:p>
        </w:tc>
        <w:tc>
          <w:tcPr>
            <w:tcW w:w="1417" w:type="dxa"/>
            <w:shd w:val="clear" w:color="auto" w:fill="auto"/>
            <w:noWrap/>
          </w:tcPr>
          <w:p w14:paraId="3CD86EA6"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6C08B8">
              <w:rPr>
                <w:rFonts w:eastAsia="Times New Roman" w:cstheme="minorHAnsi"/>
                <w:i/>
                <w:iCs/>
                <w:color w:val="000000"/>
                <w:sz w:val="20"/>
                <w:szCs w:val="20"/>
                <w:lang w:eastAsia="en-GB"/>
              </w:rPr>
              <w:t>ref</w:t>
            </w:r>
          </w:p>
        </w:tc>
        <w:tc>
          <w:tcPr>
            <w:tcW w:w="1118" w:type="dxa"/>
            <w:shd w:val="clear" w:color="auto" w:fill="auto"/>
            <w:noWrap/>
          </w:tcPr>
          <w:p w14:paraId="561998C4"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6C08B8">
              <w:rPr>
                <w:rFonts w:eastAsia="Times New Roman" w:cstheme="minorHAnsi"/>
                <w:i/>
                <w:iCs/>
                <w:color w:val="000000"/>
                <w:sz w:val="20"/>
                <w:szCs w:val="20"/>
                <w:lang w:eastAsia="en-GB"/>
              </w:rPr>
              <w:t>ref</w:t>
            </w:r>
          </w:p>
        </w:tc>
        <w:tc>
          <w:tcPr>
            <w:tcW w:w="1118" w:type="dxa"/>
            <w:shd w:val="clear" w:color="auto" w:fill="auto"/>
            <w:noWrap/>
          </w:tcPr>
          <w:p w14:paraId="2F067577" w14:textId="77777777" w:rsidR="00182884" w:rsidRPr="00D850D4" w:rsidRDefault="00182884" w:rsidP="000A7109">
            <w:pPr>
              <w:spacing w:after="0" w:line="240" w:lineRule="auto"/>
              <w:jc w:val="right"/>
              <w:rPr>
                <w:rFonts w:eastAsia="Times New Roman" w:cstheme="minorHAnsi"/>
                <w:color w:val="000000"/>
                <w:sz w:val="20"/>
                <w:szCs w:val="20"/>
                <w:lang w:eastAsia="en-GB"/>
              </w:rPr>
            </w:pPr>
          </w:p>
        </w:tc>
      </w:tr>
      <w:tr w:rsidR="00182884" w:rsidRPr="00D850D4" w14:paraId="13234CF4" w14:textId="77777777" w:rsidTr="000A7109">
        <w:trPr>
          <w:trHeight w:val="288"/>
        </w:trPr>
        <w:tc>
          <w:tcPr>
            <w:tcW w:w="280" w:type="dxa"/>
            <w:shd w:val="clear" w:color="auto" w:fill="auto"/>
            <w:noWrap/>
          </w:tcPr>
          <w:p w14:paraId="7BC7D50E" w14:textId="77777777" w:rsidR="00182884" w:rsidRPr="00D850D4" w:rsidRDefault="00182884" w:rsidP="000A7109">
            <w:pPr>
              <w:spacing w:after="0" w:line="240" w:lineRule="auto"/>
              <w:jc w:val="left"/>
              <w:rPr>
                <w:rFonts w:eastAsia="Times New Roman" w:cstheme="minorHAnsi"/>
                <w:b/>
                <w:bCs/>
                <w:color w:val="000000"/>
                <w:sz w:val="20"/>
                <w:szCs w:val="20"/>
                <w:lang w:eastAsia="en-GB"/>
              </w:rPr>
            </w:pPr>
          </w:p>
        </w:tc>
        <w:tc>
          <w:tcPr>
            <w:tcW w:w="1705" w:type="dxa"/>
            <w:shd w:val="clear" w:color="auto" w:fill="auto"/>
            <w:noWrap/>
            <w:hideMark/>
          </w:tcPr>
          <w:p w14:paraId="3C4584C7" w14:textId="77777777" w:rsidR="00182884" w:rsidRPr="00D850D4" w:rsidRDefault="00182884" w:rsidP="000A7109">
            <w:pPr>
              <w:spacing w:after="0" w:line="240" w:lineRule="auto"/>
              <w:jc w:val="left"/>
              <w:rPr>
                <w:rFonts w:eastAsia="Times New Roman" w:cstheme="minorHAnsi"/>
                <w:color w:val="000000"/>
                <w:sz w:val="20"/>
                <w:szCs w:val="20"/>
                <w:lang w:eastAsia="en-GB"/>
              </w:rPr>
            </w:pPr>
            <w:r w:rsidRPr="00D850D4">
              <w:rPr>
                <w:rFonts w:eastAsia="Times New Roman" w:cstheme="minorHAnsi"/>
                <w:color w:val="000000"/>
                <w:sz w:val="20"/>
                <w:szCs w:val="20"/>
                <w:lang w:eastAsia="en-GB"/>
              </w:rPr>
              <w:t>20-29</w:t>
            </w:r>
          </w:p>
        </w:tc>
        <w:tc>
          <w:tcPr>
            <w:tcW w:w="996" w:type="dxa"/>
            <w:gridSpan w:val="3"/>
            <w:shd w:val="clear" w:color="auto" w:fill="auto"/>
            <w:noWrap/>
            <w:hideMark/>
          </w:tcPr>
          <w:p w14:paraId="5203A886"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850D4">
              <w:rPr>
                <w:rFonts w:eastAsia="Times New Roman" w:cstheme="minorHAnsi"/>
                <w:color w:val="000000"/>
                <w:sz w:val="20"/>
                <w:szCs w:val="20"/>
                <w:lang w:eastAsia="en-GB"/>
              </w:rPr>
              <w:t>41.3</w:t>
            </w:r>
          </w:p>
        </w:tc>
        <w:tc>
          <w:tcPr>
            <w:tcW w:w="1414" w:type="dxa"/>
            <w:shd w:val="clear" w:color="auto" w:fill="auto"/>
            <w:noWrap/>
          </w:tcPr>
          <w:p w14:paraId="7164FB89"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850D4">
              <w:rPr>
                <w:rFonts w:eastAsia="Times New Roman" w:cstheme="minorHAnsi"/>
                <w:color w:val="000000"/>
                <w:sz w:val="20"/>
                <w:szCs w:val="20"/>
                <w:lang w:eastAsia="en-GB"/>
              </w:rPr>
              <w:t>25.3</w:t>
            </w:r>
          </w:p>
        </w:tc>
        <w:tc>
          <w:tcPr>
            <w:tcW w:w="222" w:type="dxa"/>
          </w:tcPr>
          <w:p w14:paraId="4A12B553" w14:textId="77777777" w:rsidR="00182884" w:rsidRPr="00D850D4" w:rsidRDefault="00182884" w:rsidP="000A7109">
            <w:pPr>
              <w:spacing w:after="0" w:line="240" w:lineRule="auto"/>
              <w:jc w:val="right"/>
              <w:rPr>
                <w:rFonts w:eastAsia="Times New Roman" w:cstheme="minorHAnsi"/>
                <w:color w:val="000000"/>
                <w:sz w:val="20"/>
                <w:szCs w:val="20"/>
                <w:lang w:eastAsia="en-GB"/>
              </w:rPr>
            </w:pPr>
          </w:p>
        </w:tc>
        <w:tc>
          <w:tcPr>
            <w:tcW w:w="1337" w:type="dxa"/>
          </w:tcPr>
          <w:p w14:paraId="4AC3030C"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850D4">
              <w:rPr>
                <w:rFonts w:eastAsia="Times New Roman" w:cstheme="minorHAnsi"/>
                <w:color w:val="000000"/>
                <w:sz w:val="20"/>
                <w:szCs w:val="20"/>
                <w:lang w:eastAsia="en-GB"/>
              </w:rPr>
              <w:t>14.3</w:t>
            </w:r>
          </w:p>
        </w:tc>
        <w:tc>
          <w:tcPr>
            <w:tcW w:w="1417" w:type="dxa"/>
            <w:shd w:val="clear" w:color="auto" w:fill="auto"/>
            <w:noWrap/>
            <w:hideMark/>
          </w:tcPr>
          <w:p w14:paraId="3658D1A8"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850D4">
              <w:rPr>
                <w:rFonts w:eastAsia="Times New Roman" w:cstheme="minorHAnsi"/>
                <w:color w:val="000000"/>
                <w:sz w:val="20"/>
                <w:szCs w:val="20"/>
                <w:lang w:eastAsia="en-GB"/>
              </w:rPr>
              <w:t>11.3</w:t>
            </w:r>
          </w:p>
        </w:tc>
        <w:tc>
          <w:tcPr>
            <w:tcW w:w="1118" w:type="dxa"/>
            <w:shd w:val="clear" w:color="auto" w:fill="auto"/>
            <w:noWrap/>
            <w:hideMark/>
          </w:tcPr>
          <w:p w14:paraId="086FDBE6"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850D4">
              <w:rPr>
                <w:rFonts w:eastAsia="Times New Roman" w:cstheme="minorHAnsi"/>
                <w:color w:val="000000"/>
                <w:sz w:val="20"/>
                <w:szCs w:val="20"/>
                <w:lang w:eastAsia="en-GB"/>
              </w:rPr>
              <w:t xml:space="preserve"> 3.0</w:t>
            </w:r>
          </w:p>
        </w:tc>
        <w:tc>
          <w:tcPr>
            <w:tcW w:w="1118" w:type="dxa"/>
            <w:shd w:val="clear" w:color="auto" w:fill="auto"/>
            <w:noWrap/>
            <w:hideMark/>
          </w:tcPr>
          <w:p w14:paraId="4653AD11"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850D4">
              <w:rPr>
                <w:rFonts w:eastAsia="Times New Roman" w:cstheme="minorHAnsi"/>
                <w:color w:val="000000"/>
                <w:sz w:val="20"/>
                <w:szCs w:val="20"/>
                <w:lang w:eastAsia="en-GB"/>
              </w:rPr>
              <w:t>[-2.6</w:t>
            </w:r>
            <w:r>
              <w:rPr>
                <w:rFonts w:eastAsia="Times New Roman" w:cstheme="minorHAnsi"/>
                <w:color w:val="000000"/>
                <w:sz w:val="20"/>
                <w:szCs w:val="20"/>
                <w:lang w:eastAsia="en-GB"/>
              </w:rPr>
              <w:t>–</w:t>
            </w:r>
            <w:r w:rsidRPr="00D850D4">
              <w:rPr>
                <w:rFonts w:eastAsia="Times New Roman" w:cstheme="minorHAnsi"/>
                <w:color w:val="000000"/>
                <w:sz w:val="20"/>
                <w:szCs w:val="20"/>
                <w:lang w:eastAsia="en-GB"/>
              </w:rPr>
              <w:t xml:space="preserve"> 8.5]</w:t>
            </w:r>
          </w:p>
        </w:tc>
      </w:tr>
      <w:tr w:rsidR="00182884" w:rsidRPr="00D850D4" w14:paraId="611BC8DE" w14:textId="77777777" w:rsidTr="000A7109">
        <w:trPr>
          <w:trHeight w:val="288"/>
        </w:trPr>
        <w:tc>
          <w:tcPr>
            <w:tcW w:w="280" w:type="dxa"/>
            <w:shd w:val="clear" w:color="auto" w:fill="auto"/>
            <w:noWrap/>
          </w:tcPr>
          <w:p w14:paraId="4C4BF612" w14:textId="77777777" w:rsidR="00182884" w:rsidRPr="00D850D4" w:rsidRDefault="00182884" w:rsidP="000A7109">
            <w:pPr>
              <w:spacing w:after="0" w:line="240" w:lineRule="auto"/>
              <w:jc w:val="left"/>
              <w:rPr>
                <w:rFonts w:eastAsia="Times New Roman" w:cstheme="minorHAnsi"/>
                <w:b/>
                <w:bCs/>
                <w:color w:val="000000"/>
                <w:sz w:val="20"/>
                <w:szCs w:val="20"/>
                <w:lang w:eastAsia="en-GB"/>
              </w:rPr>
            </w:pPr>
          </w:p>
        </w:tc>
        <w:tc>
          <w:tcPr>
            <w:tcW w:w="1705" w:type="dxa"/>
            <w:shd w:val="clear" w:color="auto" w:fill="auto"/>
            <w:noWrap/>
            <w:hideMark/>
          </w:tcPr>
          <w:p w14:paraId="192BEAAE" w14:textId="77777777" w:rsidR="00182884" w:rsidRPr="00D850D4" w:rsidRDefault="00182884" w:rsidP="000A7109">
            <w:pPr>
              <w:spacing w:after="0" w:line="240" w:lineRule="auto"/>
              <w:jc w:val="left"/>
              <w:rPr>
                <w:rFonts w:eastAsia="Times New Roman" w:cstheme="minorHAnsi"/>
                <w:color w:val="000000"/>
                <w:sz w:val="20"/>
                <w:szCs w:val="20"/>
                <w:lang w:eastAsia="en-GB"/>
              </w:rPr>
            </w:pPr>
            <w:r w:rsidRPr="00D850D4">
              <w:rPr>
                <w:rFonts w:eastAsia="Times New Roman" w:cstheme="minorHAnsi"/>
                <w:color w:val="000000"/>
                <w:sz w:val="20"/>
                <w:szCs w:val="20"/>
                <w:lang w:eastAsia="en-GB"/>
              </w:rPr>
              <w:t>30</w:t>
            </w:r>
            <w:r>
              <w:rPr>
                <w:rFonts w:eastAsia="Times New Roman" w:cstheme="minorHAnsi"/>
                <w:color w:val="000000"/>
                <w:sz w:val="20"/>
                <w:szCs w:val="20"/>
                <w:lang w:eastAsia="en-GB"/>
              </w:rPr>
              <w:t>–</w:t>
            </w:r>
            <w:r w:rsidRPr="00D850D4">
              <w:rPr>
                <w:rFonts w:eastAsia="Times New Roman" w:cstheme="minorHAnsi"/>
                <w:color w:val="000000"/>
                <w:sz w:val="20"/>
                <w:szCs w:val="20"/>
                <w:lang w:eastAsia="en-GB"/>
              </w:rPr>
              <w:t>39</w:t>
            </w:r>
          </w:p>
        </w:tc>
        <w:tc>
          <w:tcPr>
            <w:tcW w:w="996" w:type="dxa"/>
            <w:gridSpan w:val="3"/>
            <w:shd w:val="clear" w:color="auto" w:fill="auto"/>
            <w:noWrap/>
            <w:hideMark/>
          </w:tcPr>
          <w:p w14:paraId="44D6DC65"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850D4">
              <w:rPr>
                <w:rFonts w:eastAsia="Times New Roman" w:cstheme="minorHAnsi"/>
                <w:color w:val="000000"/>
                <w:sz w:val="20"/>
                <w:szCs w:val="20"/>
                <w:lang w:eastAsia="en-GB"/>
              </w:rPr>
              <w:t>25.3</w:t>
            </w:r>
          </w:p>
        </w:tc>
        <w:tc>
          <w:tcPr>
            <w:tcW w:w="1414" w:type="dxa"/>
            <w:shd w:val="clear" w:color="auto" w:fill="auto"/>
            <w:noWrap/>
          </w:tcPr>
          <w:p w14:paraId="01D1D79A"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850D4">
              <w:rPr>
                <w:rFonts w:eastAsia="Times New Roman" w:cstheme="minorHAnsi"/>
                <w:color w:val="000000"/>
                <w:sz w:val="20"/>
                <w:szCs w:val="20"/>
                <w:lang w:eastAsia="en-GB"/>
              </w:rPr>
              <w:t>16.1</w:t>
            </w:r>
          </w:p>
        </w:tc>
        <w:tc>
          <w:tcPr>
            <w:tcW w:w="222" w:type="dxa"/>
          </w:tcPr>
          <w:p w14:paraId="6A48D84E" w14:textId="77777777" w:rsidR="00182884" w:rsidRPr="00D850D4" w:rsidRDefault="00182884" w:rsidP="000A7109">
            <w:pPr>
              <w:spacing w:after="0" w:line="240" w:lineRule="auto"/>
              <w:jc w:val="right"/>
              <w:rPr>
                <w:rFonts w:eastAsia="Times New Roman" w:cstheme="minorHAnsi"/>
                <w:color w:val="000000"/>
                <w:sz w:val="20"/>
                <w:szCs w:val="20"/>
                <w:lang w:eastAsia="en-GB"/>
              </w:rPr>
            </w:pPr>
          </w:p>
        </w:tc>
        <w:tc>
          <w:tcPr>
            <w:tcW w:w="1337" w:type="dxa"/>
          </w:tcPr>
          <w:p w14:paraId="079F0C5F"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850D4">
              <w:rPr>
                <w:rFonts w:eastAsia="Times New Roman" w:cstheme="minorHAnsi"/>
                <w:color w:val="000000"/>
                <w:sz w:val="20"/>
                <w:szCs w:val="20"/>
                <w:lang w:eastAsia="en-GB"/>
              </w:rPr>
              <w:t>30.3</w:t>
            </w:r>
          </w:p>
        </w:tc>
        <w:tc>
          <w:tcPr>
            <w:tcW w:w="1417" w:type="dxa"/>
            <w:shd w:val="clear" w:color="auto" w:fill="auto"/>
            <w:noWrap/>
            <w:hideMark/>
          </w:tcPr>
          <w:p w14:paraId="7BAA4F6E"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850D4">
              <w:rPr>
                <w:rFonts w:eastAsia="Times New Roman" w:cstheme="minorHAnsi"/>
                <w:color w:val="000000"/>
                <w:sz w:val="20"/>
                <w:szCs w:val="20"/>
                <w:lang w:eastAsia="en-GB"/>
              </w:rPr>
              <w:t>20.6</w:t>
            </w:r>
          </w:p>
        </w:tc>
        <w:tc>
          <w:tcPr>
            <w:tcW w:w="1118" w:type="dxa"/>
            <w:shd w:val="clear" w:color="auto" w:fill="auto"/>
            <w:noWrap/>
            <w:hideMark/>
          </w:tcPr>
          <w:p w14:paraId="4FB634A2"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850D4">
              <w:rPr>
                <w:rFonts w:eastAsia="Times New Roman" w:cstheme="minorHAnsi"/>
                <w:color w:val="000000"/>
                <w:sz w:val="20"/>
                <w:szCs w:val="20"/>
                <w:lang w:eastAsia="en-GB"/>
              </w:rPr>
              <w:t xml:space="preserve"> 9.7</w:t>
            </w:r>
          </w:p>
        </w:tc>
        <w:tc>
          <w:tcPr>
            <w:tcW w:w="1118" w:type="dxa"/>
            <w:shd w:val="clear" w:color="auto" w:fill="auto"/>
            <w:noWrap/>
            <w:hideMark/>
          </w:tcPr>
          <w:p w14:paraId="1C0E067E" w14:textId="77777777" w:rsidR="00182884" w:rsidRPr="00D850D4" w:rsidRDefault="00182884" w:rsidP="000A7109">
            <w:pPr>
              <w:spacing w:after="0" w:line="240" w:lineRule="auto"/>
              <w:jc w:val="right"/>
              <w:rPr>
                <w:rFonts w:eastAsia="Times New Roman" w:cstheme="minorHAnsi"/>
                <w:b/>
                <w:bCs/>
                <w:color w:val="000000"/>
                <w:sz w:val="20"/>
                <w:szCs w:val="20"/>
                <w:lang w:eastAsia="en-GB"/>
              </w:rPr>
            </w:pPr>
            <w:r w:rsidRPr="00C85EE6">
              <w:rPr>
                <w:rFonts w:eastAsia="Times New Roman" w:cstheme="minorHAnsi"/>
                <w:b/>
                <w:bCs/>
                <w:color w:val="000000"/>
                <w:sz w:val="20"/>
                <w:szCs w:val="20"/>
                <w:lang w:eastAsia="en-GB"/>
              </w:rPr>
              <w:t>[</w:t>
            </w:r>
            <w:r w:rsidRPr="00D850D4">
              <w:rPr>
                <w:rFonts w:eastAsia="Times New Roman" w:cstheme="minorHAnsi"/>
                <w:b/>
                <w:bCs/>
                <w:color w:val="000000"/>
                <w:sz w:val="20"/>
                <w:szCs w:val="20"/>
                <w:lang w:eastAsia="en-GB"/>
              </w:rPr>
              <w:t>4.1</w:t>
            </w:r>
            <w:r w:rsidRPr="00C85EE6">
              <w:rPr>
                <w:rFonts w:eastAsia="Times New Roman" w:cstheme="minorHAnsi"/>
                <w:b/>
                <w:bCs/>
                <w:color w:val="000000"/>
                <w:sz w:val="20"/>
                <w:szCs w:val="20"/>
                <w:lang w:eastAsia="en-GB"/>
              </w:rPr>
              <w:t>–</w:t>
            </w:r>
            <w:r w:rsidRPr="00D850D4">
              <w:rPr>
                <w:rFonts w:eastAsia="Times New Roman" w:cstheme="minorHAnsi"/>
                <w:b/>
                <w:bCs/>
                <w:color w:val="000000"/>
                <w:sz w:val="20"/>
                <w:szCs w:val="20"/>
                <w:lang w:eastAsia="en-GB"/>
              </w:rPr>
              <w:t>15.3]</w:t>
            </w:r>
          </w:p>
        </w:tc>
      </w:tr>
      <w:tr w:rsidR="00182884" w:rsidRPr="00D850D4" w14:paraId="2BD676C0" w14:textId="77777777" w:rsidTr="000A7109">
        <w:trPr>
          <w:trHeight w:val="288"/>
        </w:trPr>
        <w:tc>
          <w:tcPr>
            <w:tcW w:w="280" w:type="dxa"/>
            <w:shd w:val="clear" w:color="auto" w:fill="auto"/>
            <w:noWrap/>
          </w:tcPr>
          <w:p w14:paraId="01F5D63A" w14:textId="77777777" w:rsidR="00182884" w:rsidRPr="00D850D4" w:rsidRDefault="00182884" w:rsidP="000A7109">
            <w:pPr>
              <w:spacing w:after="0" w:line="240" w:lineRule="auto"/>
              <w:jc w:val="left"/>
              <w:rPr>
                <w:rFonts w:eastAsia="Times New Roman" w:cstheme="minorHAnsi"/>
                <w:b/>
                <w:bCs/>
                <w:color w:val="000000"/>
                <w:sz w:val="20"/>
                <w:szCs w:val="20"/>
                <w:lang w:eastAsia="en-GB"/>
              </w:rPr>
            </w:pPr>
          </w:p>
        </w:tc>
        <w:tc>
          <w:tcPr>
            <w:tcW w:w="1705" w:type="dxa"/>
            <w:shd w:val="clear" w:color="auto" w:fill="auto"/>
            <w:noWrap/>
            <w:hideMark/>
          </w:tcPr>
          <w:p w14:paraId="4F281FEC" w14:textId="77777777" w:rsidR="00182884" w:rsidRPr="00D850D4" w:rsidRDefault="00182884" w:rsidP="000A7109">
            <w:pPr>
              <w:spacing w:after="0" w:line="240" w:lineRule="auto"/>
              <w:jc w:val="left"/>
              <w:rPr>
                <w:rFonts w:eastAsia="Times New Roman" w:cstheme="minorHAnsi"/>
                <w:color w:val="000000"/>
                <w:sz w:val="20"/>
                <w:szCs w:val="20"/>
                <w:lang w:eastAsia="en-GB"/>
              </w:rPr>
            </w:pPr>
            <w:r w:rsidRPr="00D850D4">
              <w:rPr>
                <w:rFonts w:eastAsia="Times New Roman" w:cstheme="minorHAnsi"/>
                <w:color w:val="000000"/>
                <w:sz w:val="20"/>
                <w:szCs w:val="20"/>
                <w:lang w:eastAsia="en-GB"/>
              </w:rPr>
              <w:t>40 and over</w:t>
            </w:r>
          </w:p>
        </w:tc>
        <w:tc>
          <w:tcPr>
            <w:tcW w:w="996" w:type="dxa"/>
            <w:gridSpan w:val="3"/>
            <w:shd w:val="clear" w:color="auto" w:fill="auto"/>
            <w:noWrap/>
            <w:hideMark/>
          </w:tcPr>
          <w:p w14:paraId="515D8B0F"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850D4">
              <w:rPr>
                <w:rFonts w:eastAsia="Times New Roman" w:cstheme="minorHAnsi"/>
                <w:color w:val="000000"/>
                <w:sz w:val="20"/>
                <w:szCs w:val="20"/>
                <w:lang w:eastAsia="en-GB"/>
              </w:rPr>
              <w:t>33.7</w:t>
            </w:r>
          </w:p>
        </w:tc>
        <w:tc>
          <w:tcPr>
            <w:tcW w:w="1414" w:type="dxa"/>
            <w:shd w:val="clear" w:color="auto" w:fill="auto"/>
            <w:noWrap/>
          </w:tcPr>
          <w:p w14:paraId="0CACA5A1"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850D4">
              <w:rPr>
                <w:rFonts w:eastAsia="Times New Roman" w:cstheme="minorHAnsi"/>
                <w:color w:val="000000"/>
                <w:sz w:val="20"/>
                <w:szCs w:val="20"/>
                <w:lang w:eastAsia="en-GB"/>
              </w:rPr>
              <w:t>22.2</w:t>
            </w:r>
          </w:p>
        </w:tc>
        <w:tc>
          <w:tcPr>
            <w:tcW w:w="222" w:type="dxa"/>
          </w:tcPr>
          <w:p w14:paraId="565AC989" w14:textId="77777777" w:rsidR="00182884" w:rsidRPr="00D850D4" w:rsidRDefault="00182884" w:rsidP="000A7109">
            <w:pPr>
              <w:spacing w:after="0" w:line="240" w:lineRule="auto"/>
              <w:jc w:val="right"/>
              <w:rPr>
                <w:rFonts w:eastAsia="Times New Roman" w:cstheme="minorHAnsi"/>
                <w:color w:val="000000"/>
                <w:sz w:val="20"/>
                <w:szCs w:val="20"/>
                <w:lang w:eastAsia="en-GB"/>
              </w:rPr>
            </w:pPr>
          </w:p>
        </w:tc>
        <w:tc>
          <w:tcPr>
            <w:tcW w:w="1337" w:type="dxa"/>
          </w:tcPr>
          <w:p w14:paraId="73F26183"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850D4">
              <w:rPr>
                <w:rFonts w:eastAsia="Times New Roman" w:cstheme="minorHAnsi"/>
                <w:color w:val="000000"/>
                <w:sz w:val="20"/>
                <w:szCs w:val="20"/>
                <w:lang w:eastAsia="en-GB"/>
              </w:rPr>
              <w:t>21.9</w:t>
            </w:r>
          </w:p>
        </w:tc>
        <w:tc>
          <w:tcPr>
            <w:tcW w:w="1417" w:type="dxa"/>
            <w:shd w:val="clear" w:color="auto" w:fill="auto"/>
            <w:noWrap/>
            <w:hideMark/>
          </w:tcPr>
          <w:p w14:paraId="3493C924"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850D4">
              <w:rPr>
                <w:rFonts w:eastAsia="Times New Roman" w:cstheme="minorHAnsi"/>
                <w:color w:val="000000"/>
                <w:sz w:val="20"/>
                <w:szCs w:val="20"/>
                <w:lang w:eastAsia="en-GB"/>
              </w:rPr>
              <w:t>14.5</w:t>
            </w:r>
          </w:p>
        </w:tc>
        <w:tc>
          <w:tcPr>
            <w:tcW w:w="1118" w:type="dxa"/>
            <w:shd w:val="clear" w:color="auto" w:fill="auto"/>
            <w:noWrap/>
            <w:hideMark/>
          </w:tcPr>
          <w:p w14:paraId="249828F2"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850D4">
              <w:rPr>
                <w:rFonts w:eastAsia="Times New Roman" w:cstheme="minorHAnsi"/>
                <w:color w:val="000000"/>
                <w:sz w:val="20"/>
                <w:szCs w:val="20"/>
                <w:lang w:eastAsia="en-GB"/>
              </w:rPr>
              <w:t xml:space="preserve"> 7.4</w:t>
            </w:r>
          </w:p>
        </w:tc>
        <w:tc>
          <w:tcPr>
            <w:tcW w:w="1118" w:type="dxa"/>
            <w:shd w:val="clear" w:color="auto" w:fill="auto"/>
            <w:noWrap/>
            <w:hideMark/>
          </w:tcPr>
          <w:p w14:paraId="7C678E99" w14:textId="77777777" w:rsidR="00182884" w:rsidRPr="00D850D4" w:rsidRDefault="00182884" w:rsidP="000A7109">
            <w:pPr>
              <w:spacing w:after="0" w:line="240" w:lineRule="auto"/>
              <w:jc w:val="right"/>
              <w:rPr>
                <w:rFonts w:eastAsia="Times New Roman" w:cstheme="minorHAnsi"/>
                <w:b/>
                <w:bCs/>
                <w:color w:val="000000"/>
                <w:sz w:val="20"/>
                <w:szCs w:val="20"/>
                <w:lang w:eastAsia="en-GB"/>
              </w:rPr>
            </w:pPr>
            <w:r w:rsidRPr="00C85EE6">
              <w:rPr>
                <w:rFonts w:eastAsia="Times New Roman" w:cstheme="minorHAnsi"/>
                <w:b/>
                <w:bCs/>
                <w:color w:val="000000"/>
                <w:sz w:val="20"/>
                <w:szCs w:val="20"/>
                <w:lang w:eastAsia="en-GB"/>
              </w:rPr>
              <w:t>[</w:t>
            </w:r>
            <w:r w:rsidRPr="00D850D4">
              <w:rPr>
                <w:rFonts w:eastAsia="Times New Roman" w:cstheme="minorHAnsi"/>
                <w:b/>
                <w:bCs/>
                <w:color w:val="000000"/>
                <w:sz w:val="20"/>
                <w:szCs w:val="20"/>
                <w:lang w:eastAsia="en-GB"/>
              </w:rPr>
              <w:t>1.5</w:t>
            </w:r>
            <w:r w:rsidRPr="00C85EE6">
              <w:rPr>
                <w:rFonts w:eastAsia="Times New Roman" w:cstheme="minorHAnsi"/>
                <w:b/>
                <w:bCs/>
                <w:color w:val="000000"/>
                <w:sz w:val="20"/>
                <w:szCs w:val="20"/>
                <w:lang w:eastAsia="en-GB"/>
              </w:rPr>
              <w:t>–</w:t>
            </w:r>
            <w:r w:rsidRPr="00D850D4">
              <w:rPr>
                <w:rFonts w:eastAsia="Times New Roman" w:cstheme="minorHAnsi"/>
                <w:b/>
                <w:bCs/>
                <w:color w:val="000000"/>
                <w:sz w:val="20"/>
                <w:szCs w:val="20"/>
                <w:lang w:eastAsia="en-GB"/>
              </w:rPr>
              <w:t>13.3]</w:t>
            </w:r>
          </w:p>
        </w:tc>
      </w:tr>
      <w:tr w:rsidR="00182884" w:rsidRPr="00D850D4" w14:paraId="3D7B93F3" w14:textId="77777777" w:rsidTr="000A7109">
        <w:trPr>
          <w:trHeight w:val="288"/>
        </w:trPr>
        <w:tc>
          <w:tcPr>
            <w:tcW w:w="1985" w:type="dxa"/>
            <w:gridSpan w:val="2"/>
            <w:shd w:val="clear" w:color="auto" w:fill="auto"/>
            <w:noWrap/>
          </w:tcPr>
          <w:p w14:paraId="5D965E44" w14:textId="77777777" w:rsidR="00182884" w:rsidRPr="00D850D4" w:rsidRDefault="00182884" w:rsidP="000A7109">
            <w:pPr>
              <w:spacing w:after="0" w:line="240" w:lineRule="auto"/>
              <w:jc w:val="left"/>
              <w:rPr>
                <w:rFonts w:eastAsia="Times New Roman" w:cstheme="minorHAnsi"/>
                <w:b/>
                <w:bCs/>
                <w:color w:val="000000"/>
                <w:sz w:val="20"/>
                <w:szCs w:val="20"/>
                <w:lang w:eastAsia="en-GB"/>
              </w:rPr>
            </w:pPr>
            <w:r w:rsidRPr="00D850D4">
              <w:rPr>
                <w:rFonts w:eastAsia="Times New Roman" w:cstheme="minorHAnsi"/>
                <w:b/>
                <w:bCs/>
                <w:color w:val="000000"/>
                <w:sz w:val="20"/>
                <w:szCs w:val="20"/>
                <w:lang w:eastAsia="en-GB"/>
              </w:rPr>
              <w:t>Education</w:t>
            </w:r>
          </w:p>
        </w:tc>
        <w:tc>
          <w:tcPr>
            <w:tcW w:w="996" w:type="dxa"/>
            <w:gridSpan w:val="3"/>
            <w:shd w:val="clear" w:color="auto" w:fill="auto"/>
            <w:noWrap/>
          </w:tcPr>
          <w:p w14:paraId="6CAB5195" w14:textId="77777777" w:rsidR="00182884" w:rsidRPr="00D850D4" w:rsidRDefault="00182884" w:rsidP="000A7109">
            <w:pPr>
              <w:spacing w:after="0" w:line="240" w:lineRule="auto"/>
              <w:jc w:val="right"/>
              <w:rPr>
                <w:rFonts w:eastAsia="Times New Roman" w:cstheme="minorHAnsi"/>
                <w:color w:val="000000"/>
                <w:sz w:val="20"/>
                <w:szCs w:val="20"/>
                <w:lang w:eastAsia="en-GB"/>
              </w:rPr>
            </w:pPr>
          </w:p>
        </w:tc>
        <w:tc>
          <w:tcPr>
            <w:tcW w:w="1414" w:type="dxa"/>
            <w:shd w:val="clear" w:color="auto" w:fill="auto"/>
            <w:noWrap/>
          </w:tcPr>
          <w:p w14:paraId="0365BD24" w14:textId="77777777" w:rsidR="00182884" w:rsidRPr="00D850D4" w:rsidRDefault="00182884" w:rsidP="000A7109">
            <w:pPr>
              <w:spacing w:after="0" w:line="240" w:lineRule="auto"/>
              <w:jc w:val="right"/>
              <w:rPr>
                <w:rFonts w:eastAsia="Times New Roman" w:cstheme="minorHAnsi"/>
                <w:color w:val="000000"/>
                <w:sz w:val="20"/>
                <w:szCs w:val="20"/>
                <w:lang w:eastAsia="en-GB"/>
              </w:rPr>
            </w:pPr>
          </w:p>
        </w:tc>
        <w:tc>
          <w:tcPr>
            <w:tcW w:w="222" w:type="dxa"/>
          </w:tcPr>
          <w:p w14:paraId="7115B2DE" w14:textId="77777777" w:rsidR="00182884" w:rsidRPr="00D850D4" w:rsidRDefault="00182884" w:rsidP="000A7109">
            <w:pPr>
              <w:spacing w:after="0" w:line="240" w:lineRule="auto"/>
              <w:jc w:val="right"/>
              <w:rPr>
                <w:rFonts w:eastAsia="Times New Roman" w:cstheme="minorHAnsi"/>
                <w:color w:val="000000"/>
                <w:sz w:val="20"/>
                <w:szCs w:val="20"/>
                <w:lang w:eastAsia="en-GB"/>
              </w:rPr>
            </w:pPr>
          </w:p>
        </w:tc>
        <w:tc>
          <w:tcPr>
            <w:tcW w:w="1337" w:type="dxa"/>
            <w:shd w:val="clear" w:color="auto" w:fill="auto"/>
            <w:noWrap/>
          </w:tcPr>
          <w:p w14:paraId="687BCF9B" w14:textId="77777777" w:rsidR="00182884" w:rsidRPr="00D850D4" w:rsidRDefault="00182884" w:rsidP="000A7109">
            <w:pPr>
              <w:spacing w:after="0" w:line="240" w:lineRule="auto"/>
              <w:jc w:val="right"/>
              <w:rPr>
                <w:rFonts w:eastAsia="Times New Roman" w:cstheme="minorHAnsi"/>
                <w:color w:val="000000"/>
                <w:sz w:val="20"/>
                <w:szCs w:val="20"/>
                <w:lang w:eastAsia="en-GB"/>
              </w:rPr>
            </w:pPr>
          </w:p>
        </w:tc>
        <w:tc>
          <w:tcPr>
            <w:tcW w:w="1417" w:type="dxa"/>
          </w:tcPr>
          <w:p w14:paraId="70D848F1" w14:textId="77777777" w:rsidR="00182884" w:rsidRPr="00D850D4" w:rsidRDefault="00182884" w:rsidP="000A7109">
            <w:pPr>
              <w:spacing w:after="0" w:line="240" w:lineRule="auto"/>
              <w:jc w:val="right"/>
              <w:rPr>
                <w:rFonts w:eastAsia="Times New Roman" w:cstheme="minorHAnsi"/>
                <w:color w:val="000000"/>
                <w:sz w:val="20"/>
                <w:szCs w:val="20"/>
                <w:lang w:eastAsia="en-GB"/>
              </w:rPr>
            </w:pPr>
          </w:p>
        </w:tc>
        <w:tc>
          <w:tcPr>
            <w:tcW w:w="1118" w:type="dxa"/>
            <w:shd w:val="clear" w:color="auto" w:fill="auto"/>
            <w:noWrap/>
          </w:tcPr>
          <w:p w14:paraId="34734B60" w14:textId="77777777" w:rsidR="00182884" w:rsidRPr="00D850D4" w:rsidRDefault="00182884" w:rsidP="000A7109">
            <w:pPr>
              <w:spacing w:after="0" w:line="240" w:lineRule="auto"/>
              <w:jc w:val="right"/>
              <w:rPr>
                <w:rFonts w:eastAsia="Times New Roman" w:cstheme="minorHAnsi"/>
                <w:color w:val="000000"/>
                <w:sz w:val="20"/>
                <w:szCs w:val="20"/>
                <w:lang w:eastAsia="en-GB"/>
              </w:rPr>
            </w:pPr>
          </w:p>
        </w:tc>
        <w:tc>
          <w:tcPr>
            <w:tcW w:w="1118" w:type="dxa"/>
            <w:shd w:val="clear" w:color="auto" w:fill="auto"/>
            <w:noWrap/>
          </w:tcPr>
          <w:p w14:paraId="461F653C" w14:textId="77777777" w:rsidR="00182884" w:rsidRPr="00D850D4" w:rsidRDefault="00182884" w:rsidP="000A7109">
            <w:pPr>
              <w:spacing w:after="0" w:line="240" w:lineRule="auto"/>
              <w:jc w:val="right"/>
              <w:rPr>
                <w:rFonts w:eastAsia="Times New Roman" w:cstheme="minorHAnsi"/>
                <w:color w:val="000000"/>
                <w:sz w:val="20"/>
                <w:szCs w:val="20"/>
                <w:lang w:eastAsia="en-GB"/>
              </w:rPr>
            </w:pPr>
          </w:p>
        </w:tc>
      </w:tr>
      <w:tr w:rsidR="00182884" w:rsidRPr="00D850D4" w14:paraId="08BA08DF" w14:textId="77777777" w:rsidTr="000A7109">
        <w:trPr>
          <w:trHeight w:val="288"/>
        </w:trPr>
        <w:tc>
          <w:tcPr>
            <w:tcW w:w="280" w:type="dxa"/>
            <w:shd w:val="clear" w:color="auto" w:fill="auto"/>
            <w:noWrap/>
          </w:tcPr>
          <w:p w14:paraId="48E7B35C" w14:textId="77777777" w:rsidR="00182884" w:rsidRPr="00D850D4" w:rsidRDefault="00182884" w:rsidP="000A7109">
            <w:pPr>
              <w:spacing w:after="0" w:line="240" w:lineRule="auto"/>
              <w:jc w:val="left"/>
              <w:rPr>
                <w:rFonts w:eastAsia="Times New Roman" w:cstheme="minorHAnsi"/>
                <w:b/>
                <w:bCs/>
                <w:color w:val="000000"/>
                <w:sz w:val="20"/>
                <w:szCs w:val="20"/>
                <w:lang w:eastAsia="en-GB"/>
              </w:rPr>
            </w:pPr>
          </w:p>
        </w:tc>
        <w:tc>
          <w:tcPr>
            <w:tcW w:w="1988" w:type="dxa"/>
            <w:gridSpan w:val="2"/>
            <w:shd w:val="clear" w:color="auto" w:fill="auto"/>
            <w:noWrap/>
            <w:hideMark/>
          </w:tcPr>
          <w:p w14:paraId="7BD8A157" w14:textId="77777777" w:rsidR="00182884" w:rsidRPr="00D850D4" w:rsidRDefault="00182884" w:rsidP="000A7109">
            <w:pPr>
              <w:spacing w:after="0" w:line="240" w:lineRule="auto"/>
              <w:jc w:val="left"/>
              <w:rPr>
                <w:rFonts w:eastAsia="Times New Roman" w:cstheme="minorHAnsi"/>
                <w:color w:val="000000"/>
                <w:sz w:val="20"/>
                <w:szCs w:val="20"/>
                <w:lang w:eastAsia="en-GB"/>
              </w:rPr>
            </w:pPr>
            <w:r w:rsidRPr="00D850D4">
              <w:rPr>
                <w:rFonts w:eastAsia="Times New Roman" w:cstheme="minorHAnsi"/>
                <w:color w:val="000000"/>
                <w:sz w:val="20"/>
                <w:szCs w:val="20"/>
                <w:lang w:eastAsia="en-GB"/>
              </w:rPr>
              <w:t>No education/</w:t>
            </w:r>
            <w:r>
              <w:rPr>
                <w:rFonts w:eastAsia="Times New Roman" w:cstheme="minorHAnsi"/>
                <w:color w:val="000000"/>
                <w:sz w:val="20"/>
                <w:szCs w:val="20"/>
                <w:lang w:eastAsia="en-GB"/>
              </w:rPr>
              <w:t xml:space="preserve"> </w:t>
            </w:r>
            <w:r w:rsidRPr="00D850D4">
              <w:rPr>
                <w:rFonts w:eastAsia="Times New Roman" w:cstheme="minorHAnsi"/>
                <w:color w:val="000000"/>
                <w:sz w:val="20"/>
                <w:szCs w:val="20"/>
                <w:lang w:eastAsia="en-GB"/>
              </w:rPr>
              <w:t>Primary</w:t>
            </w:r>
          </w:p>
        </w:tc>
        <w:tc>
          <w:tcPr>
            <w:tcW w:w="713" w:type="dxa"/>
            <w:gridSpan w:val="2"/>
            <w:shd w:val="clear" w:color="auto" w:fill="auto"/>
            <w:noWrap/>
            <w:hideMark/>
          </w:tcPr>
          <w:p w14:paraId="40B28D67"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850D4">
              <w:rPr>
                <w:rFonts w:eastAsia="Times New Roman" w:cstheme="minorHAnsi"/>
                <w:color w:val="000000"/>
                <w:sz w:val="20"/>
                <w:szCs w:val="20"/>
                <w:lang w:eastAsia="en-GB"/>
              </w:rPr>
              <w:t>49.5</w:t>
            </w:r>
          </w:p>
        </w:tc>
        <w:tc>
          <w:tcPr>
            <w:tcW w:w="1414" w:type="dxa"/>
            <w:shd w:val="clear" w:color="auto" w:fill="auto"/>
            <w:noWrap/>
          </w:tcPr>
          <w:p w14:paraId="1CE77991"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850D4">
              <w:rPr>
                <w:rFonts w:eastAsia="Times New Roman" w:cstheme="minorHAnsi"/>
                <w:color w:val="000000"/>
                <w:sz w:val="20"/>
                <w:szCs w:val="20"/>
                <w:lang w:eastAsia="en-GB"/>
              </w:rPr>
              <w:t>33.1</w:t>
            </w:r>
          </w:p>
        </w:tc>
        <w:tc>
          <w:tcPr>
            <w:tcW w:w="222" w:type="dxa"/>
          </w:tcPr>
          <w:p w14:paraId="772F7EA6" w14:textId="77777777" w:rsidR="00182884" w:rsidRPr="00D850D4" w:rsidRDefault="00182884" w:rsidP="000A7109">
            <w:pPr>
              <w:spacing w:after="0" w:line="240" w:lineRule="auto"/>
              <w:jc w:val="right"/>
              <w:rPr>
                <w:rFonts w:eastAsia="Times New Roman" w:cstheme="minorHAnsi"/>
                <w:color w:val="000000"/>
                <w:sz w:val="20"/>
                <w:szCs w:val="20"/>
                <w:lang w:eastAsia="en-GB"/>
              </w:rPr>
            </w:pPr>
          </w:p>
        </w:tc>
        <w:tc>
          <w:tcPr>
            <w:tcW w:w="1337" w:type="dxa"/>
          </w:tcPr>
          <w:p w14:paraId="741A9160" w14:textId="77777777" w:rsidR="00182884" w:rsidRPr="006C08B8" w:rsidRDefault="00182884" w:rsidP="000A7109">
            <w:pPr>
              <w:spacing w:after="0" w:line="240" w:lineRule="auto"/>
              <w:jc w:val="right"/>
              <w:rPr>
                <w:rFonts w:eastAsia="Times New Roman" w:cstheme="minorHAnsi"/>
                <w:i/>
                <w:iCs/>
                <w:color w:val="000000"/>
                <w:sz w:val="20"/>
                <w:szCs w:val="20"/>
                <w:lang w:eastAsia="en-GB"/>
              </w:rPr>
            </w:pPr>
            <w:r w:rsidRPr="006C08B8">
              <w:rPr>
                <w:rFonts w:eastAsia="Times New Roman" w:cstheme="minorHAnsi"/>
                <w:i/>
                <w:iCs/>
                <w:color w:val="000000"/>
                <w:sz w:val="20"/>
                <w:szCs w:val="20"/>
                <w:lang w:eastAsia="en-GB"/>
              </w:rPr>
              <w:t>ref</w:t>
            </w:r>
          </w:p>
        </w:tc>
        <w:tc>
          <w:tcPr>
            <w:tcW w:w="1417" w:type="dxa"/>
            <w:shd w:val="clear" w:color="auto" w:fill="auto"/>
            <w:noWrap/>
          </w:tcPr>
          <w:p w14:paraId="3A47FF72"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6C08B8">
              <w:rPr>
                <w:rFonts w:eastAsia="Times New Roman" w:cstheme="minorHAnsi"/>
                <w:i/>
                <w:iCs/>
                <w:color w:val="000000"/>
                <w:sz w:val="20"/>
                <w:szCs w:val="20"/>
                <w:lang w:eastAsia="en-GB"/>
              </w:rPr>
              <w:t>ref</w:t>
            </w:r>
          </w:p>
        </w:tc>
        <w:tc>
          <w:tcPr>
            <w:tcW w:w="1118" w:type="dxa"/>
            <w:shd w:val="clear" w:color="auto" w:fill="auto"/>
            <w:noWrap/>
          </w:tcPr>
          <w:p w14:paraId="771F7DB8"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6C08B8">
              <w:rPr>
                <w:rFonts w:eastAsia="Times New Roman" w:cstheme="minorHAnsi"/>
                <w:i/>
                <w:iCs/>
                <w:color w:val="000000"/>
                <w:sz w:val="20"/>
                <w:szCs w:val="20"/>
                <w:lang w:eastAsia="en-GB"/>
              </w:rPr>
              <w:t>ref</w:t>
            </w:r>
          </w:p>
        </w:tc>
        <w:tc>
          <w:tcPr>
            <w:tcW w:w="1118" w:type="dxa"/>
            <w:shd w:val="clear" w:color="auto" w:fill="auto"/>
            <w:noWrap/>
          </w:tcPr>
          <w:p w14:paraId="0E26FCB9" w14:textId="77777777" w:rsidR="00182884" w:rsidRPr="00D850D4" w:rsidRDefault="00182884" w:rsidP="000A7109">
            <w:pPr>
              <w:spacing w:after="0" w:line="240" w:lineRule="auto"/>
              <w:jc w:val="right"/>
              <w:rPr>
                <w:rFonts w:eastAsia="Times New Roman" w:cstheme="minorHAnsi"/>
                <w:color w:val="000000"/>
                <w:sz w:val="20"/>
                <w:szCs w:val="20"/>
                <w:lang w:eastAsia="en-GB"/>
              </w:rPr>
            </w:pPr>
          </w:p>
        </w:tc>
      </w:tr>
      <w:tr w:rsidR="00182884" w:rsidRPr="00D850D4" w14:paraId="402E2E4B" w14:textId="77777777" w:rsidTr="000A7109">
        <w:trPr>
          <w:trHeight w:val="288"/>
        </w:trPr>
        <w:tc>
          <w:tcPr>
            <w:tcW w:w="280" w:type="dxa"/>
            <w:shd w:val="clear" w:color="auto" w:fill="auto"/>
            <w:noWrap/>
          </w:tcPr>
          <w:p w14:paraId="63F3074F" w14:textId="77777777" w:rsidR="00182884" w:rsidRPr="00D850D4" w:rsidRDefault="00182884" w:rsidP="000A7109">
            <w:pPr>
              <w:spacing w:after="0" w:line="240" w:lineRule="auto"/>
              <w:jc w:val="left"/>
              <w:rPr>
                <w:rFonts w:eastAsia="Times New Roman" w:cstheme="minorHAnsi"/>
                <w:b/>
                <w:bCs/>
                <w:color w:val="000000"/>
                <w:sz w:val="20"/>
                <w:szCs w:val="20"/>
                <w:lang w:eastAsia="en-GB"/>
              </w:rPr>
            </w:pPr>
          </w:p>
        </w:tc>
        <w:tc>
          <w:tcPr>
            <w:tcW w:w="1705" w:type="dxa"/>
            <w:shd w:val="clear" w:color="auto" w:fill="auto"/>
            <w:noWrap/>
            <w:hideMark/>
          </w:tcPr>
          <w:p w14:paraId="7D6C59A8" w14:textId="77777777" w:rsidR="00182884" w:rsidRPr="00D850D4" w:rsidRDefault="00182884" w:rsidP="000A7109">
            <w:pPr>
              <w:spacing w:after="0" w:line="240" w:lineRule="auto"/>
              <w:jc w:val="left"/>
              <w:rPr>
                <w:rFonts w:eastAsia="Times New Roman" w:cstheme="minorHAnsi"/>
                <w:color w:val="000000"/>
                <w:sz w:val="20"/>
                <w:szCs w:val="20"/>
                <w:lang w:eastAsia="en-GB"/>
              </w:rPr>
            </w:pPr>
            <w:r w:rsidRPr="00D850D4">
              <w:rPr>
                <w:rFonts w:eastAsia="Times New Roman" w:cstheme="minorHAnsi"/>
                <w:color w:val="000000"/>
                <w:sz w:val="20"/>
                <w:szCs w:val="20"/>
                <w:lang w:eastAsia="en-GB"/>
              </w:rPr>
              <w:t>Secondary</w:t>
            </w:r>
          </w:p>
        </w:tc>
        <w:tc>
          <w:tcPr>
            <w:tcW w:w="996" w:type="dxa"/>
            <w:gridSpan w:val="3"/>
            <w:shd w:val="clear" w:color="auto" w:fill="auto"/>
            <w:noWrap/>
            <w:hideMark/>
          </w:tcPr>
          <w:p w14:paraId="40B87AD1"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850D4">
              <w:rPr>
                <w:rFonts w:eastAsia="Times New Roman" w:cstheme="minorHAnsi"/>
                <w:color w:val="000000"/>
                <w:sz w:val="20"/>
                <w:szCs w:val="20"/>
                <w:lang w:eastAsia="en-GB"/>
              </w:rPr>
              <w:t>33.1</w:t>
            </w:r>
          </w:p>
        </w:tc>
        <w:tc>
          <w:tcPr>
            <w:tcW w:w="1414" w:type="dxa"/>
            <w:shd w:val="clear" w:color="auto" w:fill="auto"/>
            <w:noWrap/>
          </w:tcPr>
          <w:p w14:paraId="004C7647"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850D4">
              <w:rPr>
                <w:rFonts w:eastAsia="Times New Roman" w:cstheme="minorHAnsi"/>
                <w:color w:val="000000"/>
                <w:sz w:val="20"/>
                <w:szCs w:val="20"/>
                <w:lang w:eastAsia="en-GB"/>
              </w:rPr>
              <w:t>20.8</w:t>
            </w:r>
          </w:p>
        </w:tc>
        <w:tc>
          <w:tcPr>
            <w:tcW w:w="222" w:type="dxa"/>
          </w:tcPr>
          <w:p w14:paraId="106226D0" w14:textId="77777777" w:rsidR="00182884" w:rsidRPr="00D850D4" w:rsidRDefault="00182884" w:rsidP="000A7109">
            <w:pPr>
              <w:spacing w:after="0" w:line="240" w:lineRule="auto"/>
              <w:jc w:val="right"/>
              <w:rPr>
                <w:rFonts w:eastAsia="Times New Roman" w:cstheme="minorHAnsi"/>
                <w:color w:val="000000"/>
                <w:sz w:val="20"/>
                <w:szCs w:val="20"/>
                <w:lang w:eastAsia="en-GB"/>
              </w:rPr>
            </w:pPr>
          </w:p>
        </w:tc>
        <w:tc>
          <w:tcPr>
            <w:tcW w:w="1337" w:type="dxa"/>
          </w:tcPr>
          <w:p w14:paraId="2077A2B4"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850D4">
              <w:rPr>
                <w:rFonts w:eastAsia="Times New Roman" w:cstheme="minorHAnsi"/>
                <w:color w:val="000000"/>
                <w:sz w:val="20"/>
                <w:szCs w:val="20"/>
                <w:lang w:eastAsia="en-GB"/>
              </w:rPr>
              <w:t>16.4</w:t>
            </w:r>
          </w:p>
        </w:tc>
        <w:tc>
          <w:tcPr>
            <w:tcW w:w="1417" w:type="dxa"/>
            <w:shd w:val="clear" w:color="auto" w:fill="auto"/>
            <w:noWrap/>
            <w:hideMark/>
          </w:tcPr>
          <w:p w14:paraId="28A98A85"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850D4">
              <w:rPr>
                <w:rFonts w:eastAsia="Times New Roman" w:cstheme="minorHAnsi"/>
                <w:color w:val="000000"/>
                <w:sz w:val="20"/>
                <w:szCs w:val="20"/>
                <w:lang w:eastAsia="en-GB"/>
              </w:rPr>
              <w:t>12.3</w:t>
            </w:r>
          </w:p>
        </w:tc>
        <w:tc>
          <w:tcPr>
            <w:tcW w:w="1118" w:type="dxa"/>
            <w:shd w:val="clear" w:color="auto" w:fill="auto"/>
            <w:noWrap/>
            <w:hideMark/>
          </w:tcPr>
          <w:p w14:paraId="0B33E60A"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850D4">
              <w:rPr>
                <w:rFonts w:eastAsia="Times New Roman" w:cstheme="minorHAnsi"/>
                <w:color w:val="000000"/>
                <w:sz w:val="20"/>
                <w:szCs w:val="20"/>
                <w:lang w:eastAsia="en-GB"/>
              </w:rPr>
              <w:t xml:space="preserve"> 4.1</w:t>
            </w:r>
          </w:p>
        </w:tc>
        <w:tc>
          <w:tcPr>
            <w:tcW w:w="1118" w:type="dxa"/>
            <w:shd w:val="clear" w:color="auto" w:fill="auto"/>
            <w:noWrap/>
            <w:hideMark/>
          </w:tcPr>
          <w:p w14:paraId="610CB950" w14:textId="77777777" w:rsidR="00182884" w:rsidRPr="00D850D4" w:rsidRDefault="00182884" w:rsidP="000A7109">
            <w:pPr>
              <w:spacing w:after="0" w:line="240" w:lineRule="auto"/>
              <w:jc w:val="right"/>
              <w:rPr>
                <w:rFonts w:eastAsia="Times New Roman" w:cstheme="minorHAnsi"/>
                <w:b/>
                <w:bCs/>
                <w:color w:val="000000"/>
                <w:sz w:val="20"/>
                <w:szCs w:val="20"/>
                <w:lang w:eastAsia="en-GB"/>
              </w:rPr>
            </w:pPr>
            <w:r w:rsidRPr="00C85EE6">
              <w:rPr>
                <w:rFonts w:eastAsia="Times New Roman" w:cstheme="minorHAnsi"/>
                <w:b/>
                <w:bCs/>
                <w:color w:val="000000"/>
                <w:sz w:val="20"/>
                <w:szCs w:val="20"/>
                <w:lang w:eastAsia="en-GB"/>
              </w:rPr>
              <w:t>[</w:t>
            </w:r>
            <w:r w:rsidRPr="00D850D4">
              <w:rPr>
                <w:rFonts w:eastAsia="Times New Roman" w:cstheme="minorHAnsi"/>
                <w:b/>
                <w:bCs/>
                <w:color w:val="000000"/>
                <w:sz w:val="20"/>
                <w:szCs w:val="20"/>
                <w:lang w:eastAsia="en-GB"/>
              </w:rPr>
              <w:t>0.1</w:t>
            </w:r>
            <w:r w:rsidRPr="00C85EE6">
              <w:rPr>
                <w:rFonts w:eastAsia="Times New Roman" w:cstheme="minorHAnsi"/>
                <w:b/>
                <w:bCs/>
                <w:color w:val="000000"/>
                <w:sz w:val="20"/>
                <w:szCs w:val="20"/>
                <w:lang w:eastAsia="en-GB"/>
              </w:rPr>
              <w:t>–</w:t>
            </w:r>
            <w:r w:rsidRPr="00D850D4">
              <w:rPr>
                <w:rFonts w:eastAsia="Times New Roman" w:cstheme="minorHAnsi"/>
                <w:b/>
                <w:bCs/>
                <w:color w:val="000000"/>
                <w:sz w:val="20"/>
                <w:szCs w:val="20"/>
                <w:lang w:eastAsia="en-GB"/>
              </w:rPr>
              <w:t xml:space="preserve"> 8.1]</w:t>
            </w:r>
          </w:p>
        </w:tc>
      </w:tr>
      <w:tr w:rsidR="00182884" w:rsidRPr="00D850D4" w14:paraId="600B077A" w14:textId="77777777" w:rsidTr="000A7109">
        <w:trPr>
          <w:trHeight w:val="288"/>
        </w:trPr>
        <w:tc>
          <w:tcPr>
            <w:tcW w:w="280" w:type="dxa"/>
            <w:shd w:val="clear" w:color="auto" w:fill="auto"/>
            <w:noWrap/>
          </w:tcPr>
          <w:p w14:paraId="46B2D33B" w14:textId="77777777" w:rsidR="00182884" w:rsidRPr="00D850D4" w:rsidRDefault="00182884" w:rsidP="000A7109">
            <w:pPr>
              <w:spacing w:after="0" w:line="240" w:lineRule="auto"/>
              <w:jc w:val="left"/>
              <w:rPr>
                <w:rFonts w:eastAsia="Times New Roman" w:cstheme="minorHAnsi"/>
                <w:b/>
                <w:bCs/>
                <w:color w:val="000000"/>
                <w:sz w:val="20"/>
                <w:szCs w:val="20"/>
                <w:lang w:eastAsia="en-GB"/>
              </w:rPr>
            </w:pPr>
          </w:p>
        </w:tc>
        <w:tc>
          <w:tcPr>
            <w:tcW w:w="1705" w:type="dxa"/>
            <w:shd w:val="clear" w:color="auto" w:fill="auto"/>
            <w:noWrap/>
            <w:hideMark/>
          </w:tcPr>
          <w:p w14:paraId="555E4C0F" w14:textId="77777777" w:rsidR="00182884" w:rsidRPr="00D850D4" w:rsidRDefault="00182884" w:rsidP="000A7109">
            <w:pPr>
              <w:spacing w:after="0" w:line="240" w:lineRule="auto"/>
              <w:jc w:val="left"/>
              <w:rPr>
                <w:rFonts w:eastAsia="Times New Roman" w:cstheme="minorHAnsi"/>
                <w:color w:val="000000"/>
                <w:sz w:val="20"/>
                <w:szCs w:val="20"/>
                <w:lang w:eastAsia="en-GB"/>
              </w:rPr>
            </w:pPr>
            <w:r w:rsidRPr="00D850D4">
              <w:rPr>
                <w:rFonts w:eastAsia="Times New Roman" w:cstheme="minorHAnsi"/>
                <w:color w:val="000000"/>
                <w:sz w:val="20"/>
                <w:szCs w:val="20"/>
                <w:lang w:eastAsia="en-GB"/>
              </w:rPr>
              <w:t>Tertiary</w:t>
            </w:r>
          </w:p>
        </w:tc>
        <w:tc>
          <w:tcPr>
            <w:tcW w:w="996" w:type="dxa"/>
            <w:gridSpan w:val="3"/>
            <w:shd w:val="clear" w:color="auto" w:fill="auto"/>
            <w:noWrap/>
            <w:hideMark/>
          </w:tcPr>
          <w:p w14:paraId="1D98BC2F"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850D4">
              <w:rPr>
                <w:rFonts w:eastAsia="Times New Roman" w:cstheme="minorHAnsi"/>
                <w:color w:val="000000"/>
                <w:sz w:val="20"/>
                <w:szCs w:val="20"/>
                <w:lang w:eastAsia="en-GB"/>
              </w:rPr>
              <w:t>16.9</w:t>
            </w:r>
          </w:p>
        </w:tc>
        <w:tc>
          <w:tcPr>
            <w:tcW w:w="1414" w:type="dxa"/>
            <w:shd w:val="clear" w:color="auto" w:fill="auto"/>
            <w:noWrap/>
          </w:tcPr>
          <w:p w14:paraId="07781DA9"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850D4">
              <w:rPr>
                <w:rFonts w:eastAsia="Times New Roman" w:cstheme="minorHAnsi"/>
                <w:color w:val="000000"/>
                <w:sz w:val="20"/>
                <w:szCs w:val="20"/>
                <w:lang w:eastAsia="en-GB"/>
              </w:rPr>
              <w:t>12.3</w:t>
            </w:r>
          </w:p>
        </w:tc>
        <w:tc>
          <w:tcPr>
            <w:tcW w:w="222" w:type="dxa"/>
          </w:tcPr>
          <w:p w14:paraId="261693EB" w14:textId="77777777" w:rsidR="00182884" w:rsidRPr="00D850D4" w:rsidRDefault="00182884" w:rsidP="000A7109">
            <w:pPr>
              <w:spacing w:after="0" w:line="240" w:lineRule="auto"/>
              <w:jc w:val="right"/>
              <w:rPr>
                <w:rFonts w:eastAsia="Times New Roman" w:cstheme="minorHAnsi"/>
                <w:color w:val="000000"/>
                <w:sz w:val="20"/>
                <w:szCs w:val="20"/>
                <w:lang w:eastAsia="en-GB"/>
              </w:rPr>
            </w:pPr>
          </w:p>
        </w:tc>
        <w:tc>
          <w:tcPr>
            <w:tcW w:w="1337" w:type="dxa"/>
          </w:tcPr>
          <w:p w14:paraId="4B3568B3"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850D4">
              <w:rPr>
                <w:rFonts w:eastAsia="Times New Roman" w:cstheme="minorHAnsi"/>
                <w:color w:val="000000"/>
                <w:sz w:val="20"/>
                <w:szCs w:val="20"/>
                <w:lang w:eastAsia="en-GB"/>
              </w:rPr>
              <w:t>32.7</w:t>
            </w:r>
          </w:p>
        </w:tc>
        <w:tc>
          <w:tcPr>
            <w:tcW w:w="1417" w:type="dxa"/>
            <w:shd w:val="clear" w:color="auto" w:fill="auto"/>
            <w:noWrap/>
            <w:hideMark/>
          </w:tcPr>
          <w:p w14:paraId="5AFE7C0F"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850D4">
              <w:rPr>
                <w:rFonts w:eastAsia="Times New Roman" w:cstheme="minorHAnsi"/>
                <w:color w:val="000000"/>
                <w:sz w:val="20"/>
                <w:szCs w:val="20"/>
                <w:lang w:eastAsia="en-GB"/>
              </w:rPr>
              <w:t>20.8</w:t>
            </w:r>
          </w:p>
        </w:tc>
        <w:tc>
          <w:tcPr>
            <w:tcW w:w="1118" w:type="dxa"/>
            <w:shd w:val="clear" w:color="auto" w:fill="auto"/>
            <w:noWrap/>
            <w:hideMark/>
          </w:tcPr>
          <w:p w14:paraId="6FEA2DE7"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850D4">
              <w:rPr>
                <w:rFonts w:eastAsia="Times New Roman" w:cstheme="minorHAnsi"/>
                <w:color w:val="000000"/>
                <w:sz w:val="20"/>
                <w:szCs w:val="20"/>
                <w:lang w:eastAsia="en-GB"/>
              </w:rPr>
              <w:t>11.8</w:t>
            </w:r>
          </w:p>
        </w:tc>
        <w:tc>
          <w:tcPr>
            <w:tcW w:w="1118" w:type="dxa"/>
            <w:shd w:val="clear" w:color="auto" w:fill="auto"/>
            <w:noWrap/>
            <w:hideMark/>
          </w:tcPr>
          <w:p w14:paraId="05EFEAB0" w14:textId="77777777" w:rsidR="00182884" w:rsidRPr="00D850D4" w:rsidRDefault="00182884" w:rsidP="000A7109">
            <w:pPr>
              <w:spacing w:after="0" w:line="240" w:lineRule="auto"/>
              <w:jc w:val="right"/>
              <w:rPr>
                <w:rFonts w:eastAsia="Times New Roman" w:cstheme="minorHAnsi"/>
                <w:b/>
                <w:bCs/>
                <w:color w:val="000000"/>
                <w:sz w:val="20"/>
                <w:szCs w:val="20"/>
                <w:lang w:eastAsia="en-GB"/>
              </w:rPr>
            </w:pPr>
            <w:r w:rsidRPr="00C85EE6">
              <w:rPr>
                <w:rFonts w:eastAsia="Times New Roman" w:cstheme="minorHAnsi"/>
                <w:b/>
                <w:bCs/>
                <w:color w:val="000000"/>
                <w:sz w:val="20"/>
                <w:szCs w:val="20"/>
                <w:lang w:eastAsia="en-GB"/>
              </w:rPr>
              <w:t>[</w:t>
            </w:r>
            <w:r w:rsidRPr="00D850D4">
              <w:rPr>
                <w:rFonts w:eastAsia="Times New Roman" w:cstheme="minorHAnsi"/>
                <w:b/>
                <w:bCs/>
                <w:color w:val="000000"/>
                <w:sz w:val="20"/>
                <w:szCs w:val="20"/>
                <w:lang w:eastAsia="en-GB"/>
              </w:rPr>
              <w:t>6.4</w:t>
            </w:r>
            <w:r w:rsidRPr="00C85EE6">
              <w:rPr>
                <w:rFonts w:eastAsia="Times New Roman" w:cstheme="minorHAnsi"/>
                <w:b/>
                <w:bCs/>
                <w:color w:val="000000"/>
                <w:sz w:val="20"/>
                <w:szCs w:val="20"/>
                <w:lang w:eastAsia="en-GB"/>
              </w:rPr>
              <w:t>–</w:t>
            </w:r>
            <w:r w:rsidRPr="00D850D4">
              <w:rPr>
                <w:rFonts w:eastAsia="Times New Roman" w:cstheme="minorHAnsi"/>
                <w:b/>
                <w:bCs/>
                <w:color w:val="000000"/>
                <w:sz w:val="20"/>
                <w:szCs w:val="20"/>
                <w:lang w:eastAsia="en-GB"/>
              </w:rPr>
              <w:t>17.3]</w:t>
            </w:r>
          </w:p>
        </w:tc>
      </w:tr>
      <w:tr w:rsidR="00182884" w:rsidRPr="00D850D4" w14:paraId="64699403" w14:textId="77777777" w:rsidTr="000A7109">
        <w:trPr>
          <w:trHeight w:val="288"/>
        </w:trPr>
        <w:tc>
          <w:tcPr>
            <w:tcW w:w="1985" w:type="dxa"/>
            <w:gridSpan w:val="2"/>
            <w:shd w:val="clear" w:color="auto" w:fill="auto"/>
            <w:noWrap/>
          </w:tcPr>
          <w:p w14:paraId="222AAD3D" w14:textId="77777777" w:rsidR="00182884" w:rsidRPr="00D850D4" w:rsidRDefault="00182884" w:rsidP="000A7109">
            <w:pPr>
              <w:spacing w:after="0" w:line="240" w:lineRule="auto"/>
              <w:jc w:val="left"/>
              <w:rPr>
                <w:rFonts w:eastAsia="Times New Roman" w:cstheme="minorHAnsi"/>
                <w:b/>
                <w:bCs/>
                <w:color w:val="000000"/>
                <w:sz w:val="20"/>
                <w:szCs w:val="20"/>
                <w:lang w:eastAsia="en-GB"/>
              </w:rPr>
            </w:pPr>
            <w:r w:rsidRPr="00D850D4">
              <w:rPr>
                <w:rFonts w:eastAsia="Times New Roman" w:cstheme="minorHAnsi"/>
                <w:b/>
                <w:bCs/>
                <w:color w:val="000000"/>
                <w:sz w:val="20"/>
                <w:szCs w:val="20"/>
                <w:lang w:eastAsia="en-GB"/>
              </w:rPr>
              <w:t>Marital Status</w:t>
            </w:r>
          </w:p>
        </w:tc>
        <w:tc>
          <w:tcPr>
            <w:tcW w:w="996" w:type="dxa"/>
            <w:gridSpan w:val="3"/>
            <w:shd w:val="clear" w:color="auto" w:fill="auto"/>
            <w:noWrap/>
          </w:tcPr>
          <w:p w14:paraId="5A44AF70" w14:textId="77777777" w:rsidR="00182884" w:rsidRPr="00D850D4" w:rsidRDefault="00182884" w:rsidP="000A7109">
            <w:pPr>
              <w:spacing w:after="0" w:line="240" w:lineRule="auto"/>
              <w:jc w:val="right"/>
              <w:rPr>
                <w:rFonts w:eastAsia="Times New Roman" w:cstheme="minorHAnsi"/>
                <w:color w:val="000000"/>
                <w:sz w:val="20"/>
                <w:szCs w:val="20"/>
                <w:lang w:eastAsia="en-GB"/>
              </w:rPr>
            </w:pPr>
          </w:p>
        </w:tc>
        <w:tc>
          <w:tcPr>
            <w:tcW w:w="1414" w:type="dxa"/>
            <w:shd w:val="clear" w:color="auto" w:fill="auto"/>
            <w:noWrap/>
          </w:tcPr>
          <w:p w14:paraId="180B30F5" w14:textId="77777777" w:rsidR="00182884" w:rsidRPr="00D850D4" w:rsidRDefault="00182884" w:rsidP="000A7109">
            <w:pPr>
              <w:spacing w:after="0" w:line="240" w:lineRule="auto"/>
              <w:jc w:val="right"/>
              <w:rPr>
                <w:rFonts w:eastAsia="Times New Roman" w:cstheme="minorHAnsi"/>
                <w:color w:val="000000"/>
                <w:sz w:val="20"/>
                <w:szCs w:val="20"/>
                <w:lang w:eastAsia="en-GB"/>
              </w:rPr>
            </w:pPr>
          </w:p>
        </w:tc>
        <w:tc>
          <w:tcPr>
            <w:tcW w:w="222" w:type="dxa"/>
          </w:tcPr>
          <w:p w14:paraId="0061F59C" w14:textId="77777777" w:rsidR="00182884" w:rsidRPr="00D850D4" w:rsidRDefault="00182884" w:rsidP="000A7109">
            <w:pPr>
              <w:spacing w:after="0" w:line="240" w:lineRule="auto"/>
              <w:jc w:val="right"/>
              <w:rPr>
                <w:rFonts w:eastAsia="Times New Roman" w:cstheme="minorHAnsi"/>
                <w:color w:val="000000"/>
                <w:sz w:val="20"/>
                <w:szCs w:val="20"/>
                <w:lang w:eastAsia="en-GB"/>
              </w:rPr>
            </w:pPr>
          </w:p>
        </w:tc>
        <w:tc>
          <w:tcPr>
            <w:tcW w:w="1337" w:type="dxa"/>
            <w:shd w:val="clear" w:color="auto" w:fill="auto"/>
            <w:noWrap/>
          </w:tcPr>
          <w:p w14:paraId="4918038A" w14:textId="77777777" w:rsidR="00182884" w:rsidRPr="00D850D4" w:rsidRDefault="00182884" w:rsidP="000A7109">
            <w:pPr>
              <w:spacing w:after="0" w:line="240" w:lineRule="auto"/>
              <w:jc w:val="right"/>
              <w:rPr>
                <w:rFonts w:eastAsia="Times New Roman" w:cstheme="minorHAnsi"/>
                <w:color w:val="000000"/>
                <w:sz w:val="20"/>
                <w:szCs w:val="20"/>
                <w:lang w:eastAsia="en-GB"/>
              </w:rPr>
            </w:pPr>
          </w:p>
        </w:tc>
        <w:tc>
          <w:tcPr>
            <w:tcW w:w="1417" w:type="dxa"/>
          </w:tcPr>
          <w:p w14:paraId="394CA2DF" w14:textId="77777777" w:rsidR="00182884" w:rsidRPr="00D850D4" w:rsidRDefault="00182884" w:rsidP="000A7109">
            <w:pPr>
              <w:spacing w:after="0" w:line="240" w:lineRule="auto"/>
              <w:jc w:val="right"/>
              <w:rPr>
                <w:rFonts w:eastAsia="Times New Roman" w:cstheme="minorHAnsi"/>
                <w:color w:val="000000"/>
                <w:sz w:val="20"/>
                <w:szCs w:val="20"/>
                <w:lang w:eastAsia="en-GB"/>
              </w:rPr>
            </w:pPr>
          </w:p>
        </w:tc>
        <w:tc>
          <w:tcPr>
            <w:tcW w:w="1118" w:type="dxa"/>
            <w:shd w:val="clear" w:color="auto" w:fill="auto"/>
            <w:noWrap/>
          </w:tcPr>
          <w:p w14:paraId="4C110FCA" w14:textId="77777777" w:rsidR="00182884" w:rsidRPr="00D850D4" w:rsidRDefault="00182884" w:rsidP="000A7109">
            <w:pPr>
              <w:spacing w:after="0" w:line="240" w:lineRule="auto"/>
              <w:jc w:val="right"/>
              <w:rPr>
                <w:rFonts w:eastAsia="Times New Roman" w:cstheme="minorHAnsi"/>
                <w:color w:val="000000"/>
                <w:sz w:val="20"/>
                <w:szCs w:val="20"/>
                <w:lang w:eastAsia="en-GB"/>
              </w:rPr>
            </w:pPr>
          </w:p>
        </w:tc>
        <w:tc>
          <w:tcPr>
            <w:tcW w:w="1118" w:type="dxa"/>
            <w:shd w:val="clear" w:color="auto" w:fill="auto"/>
            <w:noWrap/>
          </w:tcPr>
          <w:p w14:paraId="45979CDD" w14:textId="77777777" w:rsidR="00182884" w:rsidRPr="00D850D4" w:rsidRDefault="00182884" w:rsidP="000A7109">
            <w:pPr>
              <w:spacing w:after="0" w:line="240" w:lineRule="auto"/>
              <w:jc w:val="right"/>
              <w:rPr>
                <w:rFonts w:eastAsia="Times New Roman" w:cstheme="minorHAnsi"/>
                <w:color w:val="000000"/>
                <w:sz w:val="20"/>
                <w:szCs w:val="20"/>
                <w:lang w:eastAsia="en-GB"/>
              </w:rPr>
            </w:pPr>
          </w:p>
        </w:tc>
      </w:tr>
      <w:tr w:rsidR="00182884" w:rsidRPr="00D850D4" w14:paraId="39A23BA4" w14:textId="77777777" w:rsidTr="000A7109">
        <w:trPr>
          <w:trHeight w:val="288"/>
        </w:trPr>
        <w:tc>
          <w:tcPr>
            <w:tcW w:w="280" w:type="dxa"/>
            <w:shd w:val="clear" w:color="auto" w:fill="auto"/>
            <w:noWrap/>
          </w:tcPr>
          <w:p w14:paraId="41602D1A" w14:textId="77777777" w:rsidR="00182884" w:rsidRPr="00D850D4" w:rsidRDefault="00182884" w:rsidP="000A7109">
            <w:pPr>
              <w:spacing w:after="0" w:line="240" w:lineRule="auto"/>
              <w:jc w:val="left"/>
              <w:rPr>
                <w:rFonts w:eastAsia="Times New Roman" w:cstheme="minorHAnsi"/>
                <w:color w:val="000000"/>
                <w:sz w:val="20"/>
                <w:szCs w:val="20"/>
                <w:lang w:eastAsia="en-GB"/>
              </w:rPr>
            </w:pPr>
          </w:p>
        </w:tc>
        <w:tc>
          <w:tcPr>
            <w:tcW w:w="1705" w:type="dxa"/>
            <w:shd w:val="clear" w:color="auto" w:fill="auto"/>
            <w:noWrap/>
            <w:hideMark/>
          </w:tcPr>
          <w:p w14:paraId="21AF1B82" w14:textId="77777777" w:rsidR="00182884" w:rsidRPr="00D850D4" w:rsidRDefault="00182884" w:rsidP="000A7109">
            <w:pPr>
              <w:spacing w:after="0" w:line="240" w:lineRule="auto"/>
              <w:jc w:val="left"/>
              <w:rPr>
                <w:rFonts w:eastAsia="Times New Roman" w:cstheme="minorHAnsi"/>
                <w:color w:val="000000"/>
                <w:sz w:val="20"/>
                <w:szCs w:val="20"/>
                <w:lang w:eastAsia="en-GB"/>
              </w:rPr>
            </w:pPr>
            <w:r w:rsidRPr="00D850D4">
              <w:rPr>
                <w:rFonts w:eastAsia="Times New Roman" w:cstheme="minorHAnsi"/>
                <w:color w:val="000000"/>
                <w:sz w:val="20"/>
                <w:szCs w:val="20"/>
                <w:lang w:eastAsia="en-GB"/>
              </w:rPr>
              <w:t>Single</w:t>
            </w:r>
          </w:p>
        </w:tc>
        <w:tc>
          <w:tcPr>
            <w:tcW w:w="996" w:type="dxa"/>
            <w:gridSpan w:val="3"/>
            <w:shd w:val="clear" w:color="auto" w:fill="auto"/>
            <w:noWrap/>
            <w:hideMark/>
          </w:tcPr>
          <w:p w14:paraId="55BF14A1"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850D4">
              <w:rPr>
                <w:rFonts w:eastAsia="Times New Roman" w:cstheme="minorHAnsi"/>
                <w:color w:val="000000"/>
                <w:sz w:val="20"/>
                <w:szCs w:val="20"/>
                <w:lang w:eastAsia="en-GB"/>
              </w:rPr>
              <w:t>49.9</w:t>
            </w:r>
          </w:p>
        </w:tc>
        <w:tc>
          <w:tcPr>
            <w:tcW w:w="1414" w:type="dxa"/>
            <w:shd w:val="clear" w:color="auto" w:fill="auto"/>
            <w:noWrap/>
          </w:tcPr>
          <w:p w14:paraId="1E874C7E"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850D4">
              <w:rPr>
                <w:rFonts w:eastAsia="Times New Roman" w:cstheme="minorHAnsi"/>
                <w:color w:val="000000"/>
                <w:sz w:val="20"/>
                <w:szCs w:val="20"/>
                <w:lang w:eastAsia="en-GB"/>
              </w:rPr>
              <w:t>31.5</w:t>
            </w:r>
          </w:p>
        </w:tc>
        <w:tc>
          <w:tcPr>
            <w:tcW w:w="222" w:type="dxa"/>
          </w:tcPr>
          <w:p w14:paraId="478E35BF" w14:textId="77777777" w:rsidR="00182884" w:rsidRPr="00D850D4" w:rsidRDefault="00182884" w:rsidP="000A7109">
            <w:pPr>
              <w:spacing w:after="0" w:line="240" w:lineRule="auto"/>
              <w:jc w:val="right"/>
              <w:rPr>
                <w:rFonts w:eastAsia="Times New Roman" w:cstheme="minorHAnsi"/>
                <w:color w:val="000000"/>
                <w:sz w:val="20"/>
                <w:szCs w:val="20"/>
                <w:lang w:eastAsia="en-GB"/>
              </w:rPr>
            </w:pPr>
          </w:p>
        </w:tc>
        <w:tc>
          <w:tcPr>
            <w:tcW w:w="1337" w:type="dxa"/>
          </w:tcPr>
          <w:p w14:paraId="35B0AE2A" w14:textId="77777777" w:rsidR="00182884" w:rsidRPr="006C08B8" w:rsidRDefault="00182884" w:rsidP="000A7109">
            <w:pPr>
              <w:spacing w:after="0" w:line="240" w:lineRule="auto"/>
              <w:jc w:val="right"/>
              <w:rPr>
                <w:rFonts w:eastAsia="Times New Roman" w:cstheme="minorHAnsi"/>
                <w:i/>
                <w:iCs/>
                <w:color w:val="000000"/>
                <w:sz w:val="20"/>
                <w:szCs w:val="20"/>
                <w:lang w:eastAsia="en-GB"/>
              </w:rPr>
            </w:pPr>
            <w:r w:rsidRPr="006C08B8">
              <w:rPr>
                <w:rFonts w:eastAsia="Times New Roman" w:cstheme="minorHAnsi"/>
                <w:i/>
                <w:iCs/>
                <w:color w:val="000000"/>
                <w:sz w:val="20"/>
                <w:szCs w:val="20"/>
                <w:lang w:eastAsia="en-GB"/>
              </w:rPr>
              <w:t>ref</w:t>
            </w:r>
          </w:p>
        </w:tc>
        <w:tc>
          <w:tcPr>
            <w:tcW w:w="1417" w:type="dxa"/>
            <w:shd w:val="clear" w:color="auto" w:fill="auto"/>
            <w:noWrap/>
          </w:tcPr>
          <w:p w14:paraId="56164990"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6C08B8">
              <w:rPr>
                <w:rFonts w:eastAsia="Times New Roman" w:cstheme="minorHAnsi"/>
                <w:i/>
                <w:iCs/>
                <w:color w:val="000000"/>
                <w:sz w:val="20"/>
                <w:szCs w:val="20"/>
                <w:lang w:eastAsia="en-GB"/>
              </w:rPr>
              <w:t>ref</w:t>
            </w:r>
          </w:p>
        </w:tc>
        <w:tc>
          <w:tcPr>
            <w:tcW w:w="1118" w:type="dxa"/>
            <w:shd w:val="clear" w:color="auto" w:fill="auto"/>
            <w:noWrap/>
          </w:tcPr>
          <w:p w14:paraId="3010FE04"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6C08B8">
              <w:rPr>
                <w:rFonts w:eastAsia="Times New Roman" w:cstheme="minorHAnsi"/>
                <w:i/>
                <w:iCs/>
                <w:color w:val="000000"/>
                <w:sz w:val="20"/>
                <w:szCs w:val="20"/>
                <w:lang w:eastAsia="en-GB"/>
              </w:rPr>
              <w:t>ref</w:t>
            </w:r>
          </w:p>
        </w:tc>
        <w:tc>
          <w:tcPr>
            <w:tcW w:w="1118" w:type="dxa"/>
            <w:shd w:val="clear" w:color="auto" w:fill="auto"/>
            <w:noWrap/>
          </w:tcPr>
          <w:p w14:paraId="16EDBE17" w14:textId="77777777" w:rsidR="00182884" w:rsidRPr="00D850D4" w:rsidRDefault="00182884" w:rsidP="000A7109">
            <w:pPr>
              <w:spacing w:after="0" w:line="240" w:lineRule="auto"/>
              <w:jc w:val="right"/>
              <w:rPr>
                <w:rFonts w:eastAsia="Times New Roman" w:cstheme="minorHAnsi"/>
                <w:color w:val="000000"/>
                <w:sz w:val="20"/>
                <w:szCs w:val="20"/>
                <w:lang w:eastAsia="en-GB"/>
              </w:rPr>
            </w:pPr>
          </w:p>
        </w:tc>
      </w:tr>
      <w:tr w:rsidR="00182884" w:rsidRPr="00D850D4" w14:paraId="19595650" w14:textId="77777777" w:rsidTr="000A7109">
        <w:trPr>
          <w:trHeight w:val="288"/>
        </w:trPr>
        <w:tc>
          <w:tcPr>
            <w:tcW w:w="280" w:type="dxa"/>
            <w:shd w:val="clear" w:color="auto" w:fill="auto"/>
            <w:noWrap/>
          </w:tcPr>
          <w:p w14:paraId="1FD6E0C4" w14:textId="77777777" w:rsidR="00182884" w:rsidRPr="00D850D4" w:rsidRDefault="00182884" w:rsidP="000A7109">
            <w:pPr>
              <w:spacing w:after="0" w:line="240" w:lineRule="auto"/>
              <w:jc w:val="left"/>
              <w:rPr>
                <w:rFonts w:eastAsia="Times New Roman" w:cstheme="minorHAnsi"/>
                <w:color w:val="000000"/>
                <w:sz w:val="20"/>
                <w:szCs w:val="20"/>
                <w:lang w:eastAsia="en-GB"/>
              </w:rPr>
            </w:pPr>
          </w:p>
        </w:tc>
        <w:tc>
          <w:tcPr>
            <w:tcW w:w="2130" w:type="dxa"/>
            <w:gridSpan w:val="3"/>
            <w:shd w:val="clear" w:color="auto" w:fill="auto"/>
            <w:noWrap/>
            <w:hideMark/>
          </w:tcPr>
          <w:p w14:paraId="11797F0C" w14:textId="77777777" w:rsidR="00182884" w:rsidRPr="00D850D4" w:rsidRDefault="00182884" w:rsidP="000A7109">
            <w:pPr>
              <w:spacing w:after="0" w:line="240" w:lineRule="auto"/>
              <w:jc w:val="left"/>
              <w:rPr>
                <w:rFonts w:eastAsia="Times New Roman" w:cstheme="minorHAnsi"/>
                <w:color w:val="000000"/>
                <w:sz w:val="20"/>
                <w:szCs w:val="20"/>
                <w:lang w:eastAsia="en-GB"/>
              </w:rPr>
            </w:pPr>
            <w:r w:rsidRPr="00D850D4">
              <w:rPr>
                <w:rFonts w:eastAsia="Times New Roman" w:cstheme="minorHAnsi"/>
                <w:color w:val="000000"/>
                <w:sz w:val="20"/>
                <w:szCs w:val="20"/>
                <w:lang w:eastAsia="en-GB"/>
              </w:rPr>
              <w:t>Married/</w:t>
            </w:r>
            <w:r>
              <w:rPr>
                <w:rFonts w:eastAsia="Times New Roman" w:cstheme="minorHAnsi"/>
                <w:color w:val="000000"/>
                <w:sz w:val="20"/>
                <w:szCs w:val="20"/>
                <w:lang w:eastAsia="en-GB"/>
              </w:rPr>
              <w:t xml:space="preserve"> </w:t>
            </w:r>
            <w:r w:rsidRPr="00D850D4">
              <w:rPr>
                <w:rFonts w:eastAsia="Times New Roman" w:cstheme="minorHAnsi"/>
                <w:color w:val="000000"/>
                <w:sz w:val="20"/>
                <w:szCs w:val="20"/>
                <w:lang w:eastAsia="en-GB"/>
              </w:rPr>
              <w:t>Informal union</w:t>
            </w:r>
          </w:p>
        </w:tc>
        <w:tc>
          <w:tcPr>
            <w:tcW w:w="571" w:type="dxa"/>
            <w:shd w:val="clear" w:color="auto" w:fill="auto"/>
            <w:noWrap/>
            <w:hideMark/>
          </w:tcPr>
          <w:p w14:paraId="7D0B998A"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850D4">
              <w:rPr>
                <w:rFonts w:eastAsia="Times New Roman" w:cstheme="minorHAnsi"/>
                <w:color w:val="000000"/>
                <w:sz w:val="20"/>
                <w:szCs w:val="20"/>
                <w:lang w:eastAsia="en-GB"/>
              </w:rPr>
              <w:t>31.1</w:t>
            </w:r>
          </w:p>
        </w:tc>
        <w:tc>
          <w:tcPr>
            <w:tcW w:w="1414" w:type="dxa"/>
            <w:shd w:val="clear" w:color="auto" w:fill="auto"/>
            <w:noWrap/>
          </w:tcPr>
          <w:p w14:paraId="410E4D73"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850D4">
              <w:rPr>
                <w:rFonts w:eastAsia="Times New Roman" w:cstheme="minorHAnsi"/>
                <w:color w:val="000000"/>
                <w:sz w:val="20"/>
                <w:szCs w:val="20"/>
                <w:lang w:eastAsia="en-GB"/>
              </w:rPr>
              <w:t>20.0</w:t>
            </w:r>
          </w:p>
        </w:tc>
        <w:tc>
          <w:tcPr>
            <w:tcW w:w="222" w:type="dxa"/>
          </w:tcPr>
          <w:p w14:paraId="5CBE1A9A" w14:textId="77777777" w:rsidR="00182884" w:rsidRPr="00D850D4" w:rsidRDefault="00182884" w:rsidP="000A7109">
            <w:pPr>
              <w:spacing w:after="0" w:line="240" w:lineRule="auto"/>
              <w:jc w:val="right"/>
              <w:rPr>
                <w:rFonts w:eastAsia="Times New Roman" w:cstheme="minorHAnsi"/>
                <w:color w:val="000000"/>
                <w:sz w:val="20"/>
                <w:szCs w:val="20"/>
                <w:lang w:eastAsia="en-GB"/>
              </w:rPr>
            </w:pPr>
          </w:p>
        </w:tc>
        <w:tc>
          <w:tcPr>
            <w:tcW w:w="1337" w:type="dxa"/>
          </w:tcPr>
          <w:p w14:paraId="040F8062"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850D4">
              <w:rPr>
                <w:rFonts w:eastAsia="Times New Roman" w:cstheme="minorHAnsi"/>
                <w:color w:val="000000"/>
                <w:sz w:val="20"/>
                <w:szCs w:val="20"/>
                <w:lang w:eastAsia="en-GB"/>
              </w:rPr>
              <w:t>18.8</w:t>
            </w:r>
          </w:p>
        </w:tc>
        <w:tc>
          <w:tcPr>
            <w:tcW w:w="1417" w:type="dxa"/>
            <w:shd w:val="clear" w:color="auto" w:fill="auto"/>
            <w:noWrap/>
            <w:hideMark/>
          </w:tcPr>
          <w:p w14:paraId="61BCDB6F"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850D4">
              <w:rPr>
                <w:rFonts w:eastAsia="Times New Roman" w:cstheme="minorHAnsi"/>
                <w:color w:val="000000"/>
                <w:sz w:val="20"/>
                <w:szCs w:val="20"/>
                <w:lang w:eastAsia="en-GB"/>
              </w:rPr>
              <w:t>11.5</w:t>
            </w:r>
          </w:p>
        </w:tc>
        <w:tc>
          <w:tcPr>
            <w:tcW w:w="1118" w:type="dxa"/>
            <w:shd w:val="clear" w:color="auto" w:fill="auto"/>
            <w:noWrap/>
            <w:hideMark/>
          </w:tcPr>
          <w:p w14:paraId="253B1521"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850D4">
              <w:rPr>
                <w:rFonts w:eastAsia="Times New Roman" w:cstheme="minorHAnsi"/>
                <w:color w:val="000000"/>
                <w:sz w:val="20"/>
                <w:szCs w:val="20"/>
                <w:lang w:eastAsia="en-GB"/>
              </w:rPr>
              <w:t xml:space="preserve"> 7.4</w:t>
            </w:r>
          </w:p>
        </w:tc>
        <w:tc>
          <w:tcPr>
            <w:tcW w:w="1118" w:type="dxa"/>
            <w:shd w:val="clear" w:color="auto" w:fill="auto"/>
            <w:noWrap/>
            <w:hideMark/>
          </w:tcPr>
          <w:p w14:paraId="66A66ABA" w14:textId="77777777" w:rsidR="00182884" w:rsidRPr="00D850D4" w:rsidRDefault="00182884" w:rsidP="000A7109">
            <w:pPr>
              <w:spacing w:after="0" w:line="240" w:lineRule="auto"/>
              <w:jc w:val="right"/>
              <w:rPr>
                <w:rFonts w:eastAsia="Times New Roman" w:cstheme="minorHAnsi"/>
                <w:b/>
                <w:bCs/>
                <w:color w:val="000000"/>
                <w:sz w:val="20"/>
                <w:szCs w:val="20"/>
                <w:lang w:eastAsia="en-GB"/>
              </w:rPr>
            </w:pPr>
            <w:r w:rsidRPr="00C85EE6">
              <w:rPr>
                <w:rFonts w:eastAsia="Times New Roman" w:cstheme="minorHAnsi"/>
                <w:b/>
                <w:bCs/>
                <w:color w:val="000000"/>
                <w:sz w:val="20"/>
                <w:szCs w:val="20"/>
                <w:lang w:eastAsia="en-GB"/>
              </w:rPr>
              <w:t>[</w:t>
            </w:r>
            <w:r w:rsidRPr="00D850D4">
              <w:rPr>
                <w:rFonts w:eastAsia="Times New Roman" w:cstheme="minorHAnsi"/>
                <w:b/>
                <w:bCs/>
                <w:color w:val="000000"/>
                <w:sz w:val="20"/>
                <w:szCs w:val="20"/>
                <w:lang w:eastAsia="en-GB"/>
              </w:rPr>
              <w:t>3.1</w:t>
            </w:r>
            <w:r w:rsidRPr="00C85EE6">
              <w:rPr>
                <w:rFonts w:eastAsia="Times New Roman" w:cstheme="minorHAnsi"/>
                <w:b/>
                <w:bCs/>
                <w:color w:val="000000"/>
                <w:sz w:val="20"/>
                <w:szCs w:val="20"/>
                <w:lang w:eastAsia="en-GB"/>
              </w:rPr>
              <w:t>–</w:t>
            </w:r>
            <w:r w:rsidRPr="00D850D4">
              <w:rPr>
                <w:rFonts w:eastAsia="Times New Roman" w:cstheme="minorHAnsi"/>
                <w:b/>
                <w:bCs/>
                <w:color w:val="000000"/>
                <w:sz w:val="20"/>
                <w:szCs w:val="20"/>
                <w:lang w:eastAsia="en-GB"/>
              </w:rPr>
              <w:t>11.6]</w:t>
            </w:r>
          </w:p>
        </w:tc>
      </w:tr>
      <w:tr w:rsidR="00182884" w:rsidRPr="00D850D4" w14:paraId="4DE84CAE" w14:textId="77777777" w:rsidTr="000A7109">
        <w:trPr>
          <w:trHeight w:val="288"/>
        </w:trPr>
        <w:tc>
          <w:tcPr>
            <w:tcW w:w="280" w:type="dxa"/>
            <w:shd w:val="clear" w:color="auto" w:fill="auto"/>
            <w:noWrap/>
          </w:tcPr>
          <w:p w14:paraId="1350EE64" w14:textId="77777777" w:rsidR="00182884" w:rsidRPr="00D850D4" w:rsidRDefault="00182884" w:rsidP="000A7109">
            <w:pPr>
              <w:spacing w:after="0" w:line="240" w:lineRule="auto"/>
              <w:jc w:val="left"/>
              <w:rPr>
                <w:rFonts w:eastAsia="Times New Roman" w:cstheme="minorHAnsi"/>
                <w:color w:val="000000"/>
                <w:sz w:val="20"/>
                <w:szCs w:val="20"/>
                <w:lang w:eastAsia="en-GB"/>
              </w:rPr>
            </w:pPr>
          </w:p>
        </w:tc>
        <w:tc>
          <w:tcPr>
            <w:tcW w:w="1988" w:type="dxa"/>
            <w:gridSpan w:val="2"/>
            <w:shd w:val="clear" w:color="auto" w:fill="auto"/>
            <w:noWrap/>
            <w:hideMark/>
          </w:tcPr>
          <w:p w14:paraId="22D63611" w14:textId="77777777" w:rsidR="00182884" w:rsidRPr="00D850D4" w:rsidRDefault="00182884" w:rsidP="000A7109">
            <w:pPr>
              <w:spacing w:after="0" w:line="240" w:lineRule="auto"/>
              <w:jc w:val="left"/>
              <w:rPr>
                <w:rFonts w:eastAsia="Times New Roman" w:cstheme="minorHAnsi"/>
                <w:color w:val="000000"/>
                <w:sz w:val="20"/>
                <w:szCs w:val="20"/>
                <w:lang w:eastAsia="en-GB"/>
              </w:rPr>
            </w:pPr>
            <w:r w:rsidRPr="00D850D4">
              <w:rPr>
                <w:rFonts w:eastAsia="Times New Roman" w:cstheme="minorHAnsi"/>
                <w:color w:val="000000"/>
                <w:sz w:val="20"/>
                <w:szCs w:val="20"/>
                <w:lang w:eastAsia="en-GB"/>
              </w:rPr>
              <w:t>Widowed/</w:t>
            </w:r>
            <w:r>
              <w:rPr>
                <w:rFonts w:eastAsia="Times New Roman" w:cstheme="minorHAnsi"/>
                <w:color w:val="000000"/>
                <w:sz w:val="20"/>
                <w:szCs w:val="20"/>
                <w:lang w:eastAsia="en-GB"/>
              </w:rPr>
              <w:t xml:space="preserve"> </w:t>
            </w:r>
            <w:r w:rsidRPr="00D850D4">
              <w:rPr>
                <w:rFonts w:eastAsia="Times New Roman" w:cstheme="minorHAnsi"/>
                <w:color w:val="000000"/>
                <w:sz w:val="20"/>
                <w:szCs w:val="20"/>
                <w:lang w:eastAsia="en-GB"/>
              </w:rPr>
              <w:t>Separated/</w:t>
            </w:r>
            <w:r>
              <w:rPr>
                <w:rFonts w:eastAsia="Times New Roman" w:cstheme="minorHAnsi"/>
                <w:color w:val="000000"/>
                <w:sz w:val="20"/>
                <w:szCs w:val="20"/>
                <w:lang w:eastAsia="en-GB"/>
              </w:rPr>
              <w:t xml:space="preserve"> </w:t>
            </w:r>
            <w:r w:rsidRPr="00D850D4">
              <w:rPr>
                <w:rFonts w:eastAsia="Times New Roman" w:cstheme="minorHAnsi"/>
                <w:color w:val="000000"/>
                <w:sz w:val="20"/>
                <w:szCs w:val="20"/>
                <w:lang w:eastAsia="en-GB"/>
              </w:rPr>
              <w:t>Divorced</w:t>
            </w:r>
          </w:p>
        </w:tc>
        <w:tc>
          <w:tcPr>
            <w:tcW w:w="713" w:type="dxa"/>
            <w:gridSpan w:val="2"/>
            <w:shd w:val="clear" w:color="auto" w:fill="auto"/>
            <w:noWrap/>
            <w:hideMark/>
          </w:tcPr>
          <w:p w14:paraId="0EE4E573"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850D4">
              <w:rPr>
                <w:rFonts w:eastAsia="Times New Roman" w:cstheme="minorHAnsi"/>
                <w:color w:val="000000"/>
                <w:sz w:val="20"/>
                <w:szCs w:val="20"/>
                <w:lang w:eastAsia="en-GB"/>
              </w:rPr>
              <w:t>37.5</w:t>
            </w:r>
          </w:p>
        </w:tc>
        <w:tc>
          <w:tcPr>
            <w:tcW w:w="1414" w:type="dxa"/>
            <w:shd w:val="clear" w:color="auto" w:fill="auto"/>
            <w:noWrap/>
          </w:tcPr>
          <w:p w14:paraId="7E4313E3"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850D4">
              <w:rPr>
                <w:rFonts w:eastAsia="Times New Roman" w:cstheme="minorHAnsi"/>
                <w:color w:val="000000"/>
                <w:sz w:val="20"/>
                <w:szCs w:val="20"/>
                <w:lang w:eastAsia="en-GB"/>
              </w:rPr>
              <w:t>32.0</w:t>
            </w:r>
          </w:p>
        </w:tc>
        <w:tc>
          <w:tcPr>
            <w:tcW w:w="222" w:type="dxa"/>
          </w:tcPr>
          <w:p w14:paraId="6E5EE49F" w14:textId="77777777" w:rsidR="00182884" w:rsidRPr="00D850D4" w:rsidRDefault="00182884" w:rsidP="000A7109">
            <w:pPr>
              <w:spacing w:after="0" w:line="240" w:lineRule="auto"/>
              <w:jc w:val="right"/>
              <w:rPr>
                <w:rFonts w:eastAsia="Times New Roman" w:cstheme="minorHAnsi"/>
                <w:color w:val="000000"/>
                <w:sz w:val="20"/>
                <w:szCs w:val="20"/>
                <w:lang w:eastAsia="en-GB"/>
              </w:rPr>
            </w:pPr>
          </w:p>
        </w:tc>
        <w:tc>
          <w:tcPr>
            <w:tcW w:w="1337" w:type="dxa"/>
          </w:tcPr>
          <w:p w14:paraId="49759D06"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850D4">
              <w:rPr>
                <w:rFonts w:eastAsia="Times New Roman" w:cstheme="minorHAnsi"/>
                <w:color w:val="000000"/>
                <w:sz w:val="20"/>
                <w:szCs w:val="20"/>
                <w:lang w:eastAsia="en-GB"/>
              </w:rPr>
              <w:t>12.4</w:t>
            </w:r>
          </w:p>
        </w:tc>
        <w:tc>
          <w:tcPr>
            <w:tcW w:w="1417" w:type="dxa"/>
            <w:shd w:val="clear" w:color="auto" w:fill="auto"/>
            <w:noWrap/>
            <w:hideMark/>
          </w:tcPr>
          <w:p w14:paraId="4015D35C"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850D4">
              <w:rPr>
                <w:rFonts w:eastAsia="Times New Roman" w:cstheme="minorHAnsi"/>
                <w:color w:val="000000"/>
                <w:sz w:val="20"/>
                <w:szCs w:val="20"/>
                <w:lang w:eastAsia="en-GB"/>
              </w:rPr>
              <w:t>-0.5</w:t>
            </w:r>
          </w:p>
        </w:tc>
        <w:tc>
          <w:tcPr>
            <w:tcW w:w="1118" w:type="dxa"/>
            <w:shd w:val="clear" w:color="auto" w:fill="auto"/>
            <w:noWrap/>
            <w:hideMark/>
          </w:tcPr>
          <w:p w14:paraId="205A44A5"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850D4">
              <w:rPr>
                <w:rFonts w:eastAsia="Times New Roman" w:cstheme="minorHAnsi"/>
                <w:color w:val="000000"/>
                <w:sz w:val="20"/>
                <w:szCs w:val="20"/>
                <w:lang w:eastAsia="en-GB"/>
              </w:rPr>
              <w:t>12.9</w:t>
            </w:r>
          </w:p>
        </w:tc>
        <w:tc>
          <w:tcPr>
            <w:tcW w:w="1118" w:type="dxa"/>
            <w:shd w:val="clear" w:color="auto" w:fill="auto"/>
            <w:noWrap/>
            <w:hideMark/>
          </w:tcPr>
          <w:p w14:paraId="420827B6" w14:textId="77777777" w:rsidR="00182884" w:rsidRPr="00D850D4" w:rsidRDefault="00182884" w:rsidP="000A7109">
            <w:pPr>
              <w:spacing w:after="0" w:line="240" w:lineRule="auto"/>
              <w:jc w:val="right"/>
              <w:rPr>
                <w:rFonts w:eastAsia="Times New Roman" w:cstheme="minorHAnsi"/>
                <w:b/>
                <w:bCs/>
                <w:color w:val="000000"/>
                <w:sz w:val="20"/>
                <w:szCs w:val="20"/>
                <w:lang w:eastAsia="en-GB"/>
              </w:rPr>
            </w:pPr>
            <w:r w:rsidRPr="00C85EE6">
              <w:rPr>
                <w:rFonts w:eastAsia="Times New Roman" w:cstheme="minorHAnsi"/>
                <w:b/>
                <w:bCs/>
                <w:color w:val="000000"/>
                <w:sz w:val="20"/>
                <w:szCs w:val="20"/>
                <w:lang w:eastAsia="en-GB"/>
              </w:rPr>
              <w:t>[</w:t>
            </w:r>
            <w:r w:rsidRPr="00D850D4">
              <w:rPr>
                <w:rFonts w:eastAsia="Times New Roman" w:cstheme="minorHAnsi"/>
                <w:b/>
                <w:bCs/>
                <w:color w:val="000000"/>
                <w:sz w:val="20"/>
                <w:szCs w:val="20"/>
                <w:lang w:eastAsia="en-GB"/>
              </w:rPr>
              <w:t>4.5</w:t>
            </w:r>
            <w:r w:rsidRPr="00C85EE6">
              <w:rPr>
                <w:rFonts w:eastAsia="Times New Roman" w:cstheme="minorHAnsi"/>
                <w:b/>
                <w:bCs/>
                <w:color w:val="000000"/>
                <w:sz w:val="20"/>
                <w:szCs w:val="20"/>
                <w:lang w:eastAsia="en-GB"/>
              </w:rPr>
              <w:t>–</w:t>
            </w:r>
            <w:r w:rsidRPr="00D850D4">
              <w:rPr>
                <w:rFonts w:eastAsia="Times New Roman" w:cstheme="minorHAnsi"/>
                <w:b/>
                <w:bCs/>
                <w:color w:val="000000"/>
                <w:sz w:val="20"/>
                <w:szCs w:val="20"/>
                <w:lang w:eastAsia="en-GB"/>
              </w:rPr>
              <w:t>21.2]</w:t>
            </w:r>
          </w:p>
        </w:tc>
      </w:tr>
      <w:tr w:rsidR="00182884" w:rsidRPr="00D850D4" w14:paraId="56E645DB" w14:textId="77777777" w:rsidTr="000A7109">
        <w:trPr>
          <w:trHeight w:val="288"/>
        </w:trPr>
        <w:tc>
          <w:tcPr>
            <w:tcW w:w="2981" w:type="dxa"/>
            <w:gridSpan w:val="5"/>
            <w:shd w:val="clear" w:color="auto" w:fill="auto"/>
            <w:noWrap/>
          </w:tcPr>
          <w:p w14:paraId="63D287B3" w14:textId="77777777" w:rsidR="00182884" w:rsidRPr="00D850D4" w:rsidRDefault="00182884" w:rsidP="000A7109">
            <w:pPr>
              <w:spacing w:after="0" w:line="240" w:lineRule="auto"/>
              <w:jc w:val="left"/>
              <w:rPr>
                <w:rFonts w:eastAsia="Times New Roman" w:cstheme="minorHAnsi"/>
                <w:color w:val="000000"/>
                <w:sz w:val="20"/>
                <w:szCs w:val="20"/>
                <w:lang w:eastAsia="en-GB"/>
              </w:rPr>
            </w:pPr>
            <w:r w:rsidRPr="00D850D4">
              <w:rPr>
                <w:rFonts w:eastAsia="Arial" w:cstheme="minorHAnsi"/>
                <w:b/>
                <w:bCs/>
                <w:color w:val="000000"/>
                <w:sz w:val="20"/>
                <w:szCs w:val="20"/>
              </w:rPr>
              <w:t>Household assets index</w:t>
            </w:r>
          </w:p>
        </w:tc>
        <w:tc>
          <w:tcPr>
            <w:tcW w:w="1414" w:type="dxa"/>
            <w:shd w:val="clear" w:color="auto" w:fill="auto"/>
            <w:noWrap/>
          </w:tcPr>
          <w:p w14:paraId="1EACCBBA" w14:textId="77777777" w:rsidR="00182884" w:rsidRPr="00D850D4" w:rsidRDefault="00182884" w:rsidP="000A7109">
            <w:pPr>
              <w:spacing w:after="0" w:line="240" w:lineRule="auto"/>
              <w:jc w:val="right"/>
              <w:rPr>
                <w:rFonts w:eastAsia="Times New Roman" w:cstheme="minorHAnsi"/>
                <w:color w:val="000000"/>
                <w:sz w:val="20"/>
                <w:szCs w:val="20"/>
                <w:lang w:eastAsia="en-GB"/>
              </w:rPr>
            </w:pPr>
          </w:p>
        </w:tc>
        <w:tc>
          <w:tcPr>
            <w:tcW w:w="222" w:type="dxa"/>
          </w:tcPr>
          <w:p w14:paraId="66104F0C" w14:textId="77777777" w:rsidR="00182884" w:rsidRPr="00D850D4" w:rsidRDefault="00182884" w:rsidP="000A7109">
            <w:pPr>
              <w:spacing w:after="0" w:line="240" w:lineRule="auto"/>
              <w:jc w:val="right"/>
              <w:rPr>
                <w:rFonts w:eastAsia="Times New Roman" w:cstheme="minorHAnsi"/>
                <w:color w:val="000000"/>
                <w:sz w:val="20"/>
                <w:szCs w:val="20"/>
                <w:lang w:eastAsia="en-GB"/>
              </w:rPr>
            </w:pPr>
          </w:p>
        </w:tc>
        <w:tc>
          <w:tcPr>
            <w:tcW w:w="1337" w:type="dxa"/>
            <w:shd w:val="clear" w:color="auto" w:fill="auto"/>
            <w:noWrap/>
          </w:tcPr>
          <w:p w14:paraId="1AB56D35" w14:textId="77777777" w:rsidR="00182884" w:rsidRPr="00D850D4" w:rsidRDefault="00182884" w:rsidP="000A7109">
            <w:pPr>
              <w:spacing w:after="0" w:line="240" w:lineRule="auto"/>
              <w:jc w:val="right"/>
              <w:rPr>
                <w:rFonts w:eastAsia="Times New Roman" w:cstheme="minorHAnsi"/>
                <w:color w:val="000000"/>
                <w:sz w:val="20"/>
                <w:szCs w:val="20"/>
                <w:lang w:eastAsia="en-GB"/>
              </w:rPr>
            </w:pPr>
          </w:p>
        </w:tc>
        <w:tc>
          <w:tcPr>
            <w:tcW w:w="1417" w:type="dxa"/>
          </w:tcPr>
          <w:p w14:paraId="3D2B48AB" w14:textId="77777777" w:rsidR="00182884" w:rsidRPr="00D850D4" w:rsidRDefault="00182884" w:rsidP="000A7109">
            <w:pPr>
              <w:spacing w:after="0" w:line="240" w:lineRule="auto"/>
              <w:jc w:val="right"/>
              <w:rPr>
                <w:rFonts w:eastAsia="Times New Roman" w:cstheme="minorHAnsi"/>
                <w:color w:val="000000"/>
                <w:sz w:val="20"/>
                <w:szCs w:val="20"/>
                <w:lang w:eastAsia="en-GB"/>
              </w:rPr>
            </w:pPr>
          </w:p>
        </w:tc>
        <w:tc>
          <w:tcPr>
            <w:tcW w:w="1118" w:type="dxa"/>
            <w:shd w:val="clear" w:color="auto" w:fill="auto"/>
            <w:noWrap/>
          </w:tcPr>
          <w:p w14:paraId="408FADB9" w14:textId="77777777" w:rsidR="00182884" w:rsidRPr="00D850D4" w:rsidRDefault="00182884" w:rsidP="000A7109">
            <w:pPr>
              <w:spacing w:after="0" w:line="240" w:lineRule="auto"/>
              <w:jc w:val="right"/>
              <w:rPr>
                <w:rFonts w:eastAsia="Times New Roman" w:cstheme="minorHAnsi"/>
                <w:color w:val="000000"/>
                <w:sz w:val="20"/>
                <w:szCs w:val="20"/>
                <w:lang w:eastAsia="en-GB"/>
              </w:rPr>
            </w:pPr>
          </w:p>
        </w:tc>
        <w:tc>
          <w:tcPr>
            <w:tcW w:w="1118" w:type="dxa"/>
            <w:shd w:val="clear" w:color="auto" w:fill="auto"/>
            <w:noWrap/>
          </w:tcPr>
          <w:p w14:paraId="630877BC" w14:textId="77777777" w:rsidR="00182884" w:rsidRPr="00D850D4" w:rsidRDefault="00182884" w:rsidP="000A7109">
            <w:pPr>
              <w:spacing w:after="0" w:line="240" w:lineRule="auto"/>
              <w:jc w:val="right"/>
              <w:rPr>
                <w:rFonts w:eastAsia="Times New Roman" w:cstheme="minorHAnsi"/>
                <w:color w:val="000000"/>
                <w:sz w:val="20"/>
                <w:szCs w:val="20"/>
                <w:lang w:eastAsia="en-GB"/>
              </w:rPr>
            </w:pPr>
          </w:p>
        </w:tc>
      </w:tr>
      <w:tr w:rsidR="00182884" w:rsidRPr="00D850D4" w14:paraId="6367E2BB" w14:textId="77777777" w:rsidTr="000A7109">
        <w:trPr>
          <w:trHeight w:val="288"/>
        </w:trPr>
        <w:tc>
          <w:tcPr>
            <w:tcW w:w="280" w:type="dxa"/>
            <w:shd w:val="clear" w:color="auto" w:fill="auto"/>
            <w:noWrap/>
          </w:tcPr>
          <w:p w14:paraId="5B12C53D" w14:textId="77777777" w:rsidR="00182884" w:rsidRPr="00D850D4" w:rsidRDefault="00182884" w:rsidP="000A7109">
            <w:pPr>
              <w:spacing w:after="0" w:line="240" w:lineRule="auto"/>
              <w:jc w:val="left"/>
              <w:rPr>
                <w:rFonts w:eastAsia="Times New Roman" w:cstheme="minorHAnsi"/>
                <w:color w:val="000000"/>
                <w:sz w:val="20"/>
                <w:szCs w:val="20"/>
                <w:lang w:eastAsia="en-GB"/>
              </w:rPr>
            </w:pPr>
          </w:p>
        </w:tc>
        <w:tc>
          <w:tcPr>
            <w:tcW w:w="1705" w:type="dxa"/>
            <w:shd w:val="clear" w:color="auto" w:fill="auto"/>
            <w:noWrap/>
            <w:hideMark/>
          </w:tcPr>
          <w:p w14:paraId="7A259776" w14:textId="77777777" w:rsidR="00182884" w:rsidRPr="00D850D4" w:rsidRDefault="00182884" w:rsidP="000A7109">
            <w:pPr>
              <w:spacing w:after="0" w:line="240" w:lineRule="auto"/>
              <w:jc w:val="left"/>
              <w:rPr>
                <w:rFonts w:eastAsia="Times New Roman" w:cstheme="minorHAnsi"/>
                <w:color w:val="000000"/>
                <w:sz w:val="20"/>
                <w:szCs w:val="20"/>
                <w:lang w:eastAsia="en-GB"/>
              </w:rPr>
            </w:pPr>
            <w:r w:rsidRPr="00D850D4">
              <w:rPr>
                <w:rFonts w:eastAsia="Times New Roman" w:cstheme="minorHAnsi"/>
                <w:color w:val="000000"/>
                <w:sz w:val="20"/>
                <w:szCs w:val="20"/>
                <w:lang w:eastAsia="en-GB"/>
              </w:rPr>
              <w:t>40% poorest</w:t>
            </w:r>
          </w:p>
        </w:tc>
        <w:tc>
          <w:tcPr>
            <w:tcW w:w="996" w:type="dxa"/>
            <w:gridSpan w:val="3"/>
            <w:shd w:val="clear" w:color="auto" w:fill="auto"/>
            <w:noWrap/>
            <w:hideMark/>
          </w:tcPr>
          <w:p w14:paraId="0F309610"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850D4">
              <w:rPr>
                <w:rFonts w:eastAsia="Times New Roman" w:cstheme="minorHAnsi"/>
                <w:color w:val="000000"/>
                <w:sz w:val="20"/>
                <w:szCs w:val="20"/>
                <w:lang w:eastAsia="en-GB"/>
              </w:rPr>
              <w:t>38.3</w:t>
            </w:r>
          </w:p>
        </w:tc>
        <w:tc>
          <w:tcPr>
            <w:tcW w:w="1414" w:type="dxa"/>
            <w:shd w:val="clear" w:color="auto" w:fill="auto"/>
            <w:noWrap/>
          </w:tcPr>
          <w:p w14:paraId="55F99198"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850D4">
              <w:rPr>
                <w:rFonts w:eastAsia="Times New Roman" w:cstheme="minorHAnsi"/>
                <w:color w:val="000000"/>
                <w:sz w:val="20"/>
                <w:szCs w:val="20"/>
                <w:lang w:eastAsia="en-GB"/>
              </w:rPr>
              <w:t>24.2</w:t>
            </w:r>
          </w:p>
        </w:tc>
        <w:tc>
          <w:tcPr>
            <w:tcW w:w="222" w:type="dxa"/>
          </w:tcPr>
          <w:p w14:paraId="62534D62" w14:textId="77777777" w:rsidR="00182884" w:rsidRPr="00D850D4" w:rsidRDefault="00182884" w:rsidP="000A7109">
            <w:pPr>
              <w:spacing w:after="0" w:line="240" w:lineRule="auto"/>
              <w:jc w:val="right"/>
              <w:rPr>
                <w:rFonts w:eastAsia="Times New Roman" w:cstheme="minorHAnsi"/>
                <w:color w:val="000000"/>
                <w:sz w:val="20"/>
                <w:szCs w:val="20"/>
                <w:lang w:eastAsia="en-GB"/>
              </w:rPr>
            </w:pPr>
          </w:p>
        </w:tc>
        <w:tc>
          <w:tcPr>
            <w:tcW w:w="1337" w:type="dxa"/>
          </w:tcPr>
          <w:p w14:paraId="30CC8849" w14:textId="77777777" w:rsidR="00182884" w:rsidRPr="006C08B8" w:rsidRDefault="00182884" w:rsidP="000A7109">
            <w:pPr>
              <w:spacing w:after="0" w:line="240" w:lineRule="auto"/>
              <w:jc w:val="right"/>
              <w:rPr>
                <w:rFonts w:eastAsia="Times New Roman" w:cstheme="minorHAnsi"/>
                <w:i/>
                <w:iCs/>
                <w:color w:val="000000"/>
                <w:sz w:val="20"/>
                <w:szCs w:val="20"/>
                <w:lang w:eastAsia="en-GB"/>
              </w:rPr>
            </w:pPr>
            <w:r w:rsidRPr="006C08B8">
              <w:rPr>
                <w:rFonts w:eastAsia="Times New Roman" w:cstheme="minorHAnsi"/>
                <w:i/>
                <w:iCs/>
                <w:color w:val="000000"/>
                <w:sz w:val="20"/>
                <w:szCs w:val="20"/>
                <w:lang w:eastAsia="en-GB"/>
              </w:rPr>
              <w:t>ref</w:t>
            </w:r>
          </w:p>
        </w:tc>
        <w:tc>
          <w:tcPr>
            <w:tcW w:w="1417" w:type="dxa"/>
            <w:shd w:val="clear" w:color="auto" w:fill="auto"/>
            <w:noWrap/>
          </w:tcPr>
          <w:p w14:paraId="319530A3"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6C08B8">
              <w:rPr>
                <w:rFonts w:eastAsia="Times New Roman" w:cstheme="minorHAnsi"/>
                <w:i/>
                <w:iCs/>
                <w:color w:val="000000"/>
                <w:sz w:val="20"/>
                <w:szCs w:val="20"/>
                <w:lang w:eastAsia="en-GB"/>
              </w:rPr>
              <w:t>ref</w:t>
            </w:r>
          </w:p>
        </w:tc>
        <w:tc>
          <w:tcPr>
            <w:tcW w:w="1118" w:type="dxa"/>
            <w:shd w:val="clear" w:color="auto" w:fill="auto"/>
            <w:noWrap/>
          </w:tcPr>
          <w:p w14:paraId="4377A811"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6C08B8">
              <w:rPr>
                <w:rFonts w:eastAsia="Times New Roman" w:cstheme="minorHAnsi"/>
                <w:i/>
                <w:iCs/>
                <w:color w:val="000000"/>
                <w:sz w:val="20"/>
                <w:szCs w:val="20"/>
                <w:lang w:eastAsia="en-GB"/>
              </w:rPr>
              <w:t>ref</w:t>
            </w:r>
          </w:p>
        </w:tc>
        <w:tc>
          <w:tcPr>
            <w:tcW w:w="1118" w:type="dxa"/>
            <w:shd w:val="clear" w:color="auto" w:fill="auto"/>
            <w:noWrap/>
          </w:tcPr>
          <w:p w14:paraId="60777F9F" w14:textId="77777777" w:rsidR="00182884" w:rsidRPr="00D850D4" w:rsidRDefault="00182884" w:rsidP="000A7109">
            <w:pPr>
              <w:spacing w:after="0" w:line="240" w:lineRule="auto"/>
              <w:jc w:val="right"/>
              <w:rPr>
                <w:rFonts w:eastAsia="Times New Roman" w:cstheme="minorHAnsi"/>
                <w:color w:val="000000"/>
                <w:sz w:val="20"/>
                <w:szCs w:val="20"/>
                <w:lang w:eastAsia="en-GB"/>
              </w:rPr>
            </w:pPr>
          </w:p>
        </w:tc>
      </w:tr>
      <w:tr w:rsidR="00182884" w:rsidRPr="00D850D4" w14:paraId="26A9FC00" w14:textId="77777777" w:rsidTr="000A7109">
        <w:trPr>
          <w:trHeight w:val="288"/>
        </w:trPr>
        <w:tc>
          <w:tcPr>
            <w:tcW w:w="280" w:type="dxa"/>
            <w:shd w:val="clear" w:color="auto" w:fill="auto"/>
            <w:noWrap/>
          </w:tcPr>
          <w:p w14:paraId="23721653" w14:textId="77777777" w:rsidR="00182884" w:rsidRPr="00D850D4" w:rsidRDefault="00182884" w:rsidP="000A7109">
            <w:pPr>
              <w:spacing w:after="0" w:line="240" w:lineRule="auto"/>
              <w:jc w:val="left"/>
              <w:rPr>
                <w:rFonts w:eastAsia="Times New Roman" w:cstheme="minorHAnsi"/>
                <w:color w:val="000000"/>
                <w:sz w:val="20"/>
                <w:szCs w:val="20"/>
                <w:lang w:eastAsia="en-GB"/>
              </w:rPr>
            </w:pPr>
          </w:p>
        </w:tc>
        <w:tc>
          <w:tcPr>
            <w:tcW w:w="1705" w:type="dxa"/>
            <w:shd w:val="clear" w:color="auto" w:fill="auto"/>
            <w:noWrap/>
            <w:hideMark/>
          </w:tcPr>
          <w:p w14:paraId="6ACF2153" w14:textId="77777777" w:rsidR="00182884" w:rsidRPr="00D850D4" w:rsidRDefault="00182884" w:rsidP="000A7109">
            <w:pPr>
              <w:spacing w:after="0" w:line="240" w:lineRule="auto"/>
              <w:jc w:val="left"/>
              <w:rPr>
                <w:rFonts w:eastAsia="Times New Roman" w:cstheme="minorHAnsi"/>
                <w:color w:val="000000"/>
                <w:sz w:val="20"/>
                <w:szCs w:val="20"/>
                <w:lang w:eastAsia="en-GB"/>
              </w:rPr>
            </w:pPr>
            <w:r w:rsidRPr="00D850D4">
              <w:rPr>
                <w:rFonts w:eastAsia="Times New Roman" w:cstheme="minorHAnsi"/>
                <w:color w:val="000000"/>
                <w:sz w:val="20"/>
                <w:szCs w:val="20"/>
                <w:lang w:eastAsia="en-GB"/>
              </w:rPr>
              <w:t>40% wealth middle</w:t>
            </w:r>
          </w:p>
        </w:tc>
        <w:tc>
          <w:tcPr>
            <w:tcW w:w="996" w:type="dxa"/>
            <w:gridSpan w:val="3"/>
            <w:shd w:val="clear" w:color="auto" w:fill="auto"/>
            <w:noWrap/>
            <w:hideMark/>
          </w:tcPr>
          <w:p w14:paraId="273E6FAE"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850D4">
              <w:rPr>
                <w:rFonts w:eastAsia="Times New Roman" w:cstheme="minorHAnsi"/>
                <w:color w:val="000000"/>
                <w:sz w:val="20"/>
                <w:szCs w:val="20"/>
                <w:lang w:eastAsia="en-GB"/>
              </w:rPr>
              <w:t>40.8</w:t>
            </w:r>
          </w:p>
        </w:tc>
        <w:tc>
          <w:tcPr>
            <w:tcW w:w="1414" w:type="dxa"/>
            <w:shd w:val="clear" w:color="auto" w:fill="auto"/>
            <w:noWrap/>
          </w:tcPr>
          <w:p w14:paraId="214F29E0"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850D4">
              <w:rPr>
                <w:rFonts w:eastAsia="Times New Roman" w:cstheme="minorHAnsi"/>
                <w:color w:val="000000"/>
                <w:sz w:val="20"/>
                <w:szCs w:val="20"/>
                <w:lang w:eastAsia="en-GB"/>
              </w:rPr>
              <w:t>25.0</w:t>
            </w:r>
          </w:p>
        </w:tc>
        <w:tc>
          <w:tcPr>
            <w:tcW w:w="222" w:type="dxa"/>
          </w:tcPr>
          <w:p w14:paraId="75062AAC" w14:textId="77777777" w:rsidR="00182884" w:rsidRPr="00D850D4" w:rsidRDefault="00182884" w:rsidP="000A7109">
            <w:pPr>
              <w:spacing w:after="0" w:line="240" w:lineRule="auto"/>
              <w:jc w:val="right"/>
              <w:rPr>
                <w:rFonts w:eastAsia="Times New Roman" w:cstheme="minorHAnsi"/>
                <w:color w:val="000000"/>
                <w:sz w:val="20"/>
                <w:szCs w:val="20"/>
                <w:lang w:eastAsia="en-GB"/>
              </w:rPr>
            </w:pPr>
          </w:p>
        </w:tc>
        <w:tc>
          <w:tcPr>
            <w:tcW w:w="1337" w:type="dxa"/>
          </w:tcPr>
          <w:p w14:paraId="08A00073"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850D4">
              <w:rPr>
                <w:rFonts w:eastAsia="Times New Roman" w:cstheme="minorHAnsi"/>
                <w:color w:val="000000"/>
                <w:sz w:val="20"/>
                <w:szCs w:val="20"/>
                <w:lang w:eastAsia="en-GB"/>
              </w:rPr>
              <w:t>-2.5</w:t>
            </w:r>
          </w:p>
        </w:tc>
        <w:tc>
          <w:tcPr>
            <w:tcW w:w="1417" w:type="dxa"/>
            <w:shd w:val="clear" w:color="auto" w:fill="auto"/>
            <w:noWrap/>
            <w:hideMark/>
          </w:tcPr>
          <w:p w14:paraId="7D3DE7E8"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850D4">
              <w:rPr>
                <w:rFonts w:eastAsia="Times New Roman" w:cstheme="minorHAnsi"/>
                <w:color w:val="000000"/>
                <w:sz w:val="20"/>
                <w:szCs w:val="20"/>
                <w:lang w:eastAsia="en-GB"/>
              </w:rPr>
              <w:t>-0.8</w:t>
            </w:r>
          </w:p>
        </w:tc>
        <w:tc>
          <w:tcPr>
            <w:tcW w:w="1118" w:type="dxa"/>
            <w:shd w:val="clear" w:color="auto" w:fill="auto"/>
            <w:noWrap/>
            <w:hideMark/>
          </w:tcPr>
          <w:p w14:paraId="4AF6AEF5"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850D4">
              <w:rPr>
                <w:rFonts w:eastAsia="Times New Roman" w:cstheme="minorHAnsi"/>
                <w:color w:val="000000"/>
                <w:sz w:val="20"/>
                <w:szCs w:val="20"/>
                <w:lang w:eastAsia="en-GB"/>
              </w:rPr>
              <w:t>-1.7</w:t>
            </w:r>
          </w:p>
        </w:tc>
        <w:tc>
          <w:tcPr>
            <w:tcW w:w="1118" w:type="dxa"/>
            <w:shd w:val="clear" w:color="auto" w:fill="auto"/>
            <w:noWrap/>
            <w:hideMark/>
          </w:tcPr>
          <w:p w14:paraId="74A2DA9F"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850D4">
              <w:rPr>
                <w:rFonts w:eastAsia="Times New Roman" w:cstheme="minorHAnsi"/>
                <w:color w:val="000000"/>
                <w:sz w:val="20"/>
                <w:szCs w:val="20"/>
                <w:lang w:eastAsia="en-GB"/>
              </w:rPr>
              <w:t>[-5.8</w:t>
            </w:r>
            <w:r>
              <w:rPr>
                <w:rFonts w:eastAsia="Times New Roman" w:cstheme="minorHAnsi"/>
                <w:color w:val="000000"/>
                <w:sz w:val="20"/>
                <w:szCs w:val="20"/>
                <w:lang w:eastAsia="en-GB"/>
              </w:rPr>
              <w:t>–</w:t>
            </w:r>
            <w:r w:rsidRPr="00D850D4">
              <w:rPr>
                <w:rFonts w:eastAsia="Times New Roman" w:cstheme="minorHAnsi"/>
                <w:color w:val="000000"/>
                <w:sz w:val="20"/>
                <w:szCs w:val="20"/>
                <w:lang w:eastAsia="en-GB"/>
              </w:rPr>
              <w:t xml:space="preserve"> 2.4]</w:t>
            </w:r>
          </w:p>
        </w:tc>
      </w:tr>
      <w:tr w:rsidR="00182884" w:rsidRPr="00D850D4" w14:paraId="21BB8D48" w14:textId="77777777" w:rsidTr="000A7109">
        <w:trPr>
          <w:trHeight w:val="288"/>
        </w:trPr>
        <w:tc>
          <w:tcPr>
            <w:tcW w:w="280" w:type="dxa"/>
            <w:shd w:val="clear" w:color="auto" w:fill="auto"/>
            <w:noWrap/>
          </w:tcPr>
          <w:p w14:paraId="623557C0" w14:textId="77777777" w:rsidR="00182884" w:rsidRPr="00D850D4" w:rsidRDefault="00182884" w:rsidP="000A7109">
            <w:pPr>
              <w:spacing w:after="0" w:line="240" w:lineRule="auto"/>
              <w:jc w:val="left"/>
              <w:rPr>
                <w:rFonts w:eastAsia="Times New Roman" w:cstheme="minorHAnsi"/>
                <w:color w:val="000000"/>
                <w:sz w:val="20"/>
                <w:szCs w:val="20"/>
                <w:lang w:eastAsia="en-GB"/>
              </w:rPr>
            </w:pPr>
          </w:p>
        </w:tc>
        <w:tc>
          <w:tcPr>
            <w:tcW w:w="1705" w:type="dxa"/>
            <w:shd w:val="clear" w:color="auto" w:fill="auto"/>
            <w:noWrap/>
            <w:hideMark/>
          </w:tcPr>
          <w:p w14:paraId="33745317" w14:textId="77777777" w:rsidR="00182884" w:rsidRPr="00D850D4" w:rsidRDefault="00182884" w:rsidP="000A7109">
            <w:pPr>
              <w:spacing w:after="0" w:line="240" w:lineRule="auto"/>
              <w:jc w:val="left"/>
              <w:rPr>
                <w:rFonts w:eastAsia="Times New Roman" w:cstheme="minorHAnsi"/>
                <w:color w:val="000000"/>
                <w:sz w:val="20"/>
                <w:szCs w:val="20"/>
                <w:lang w:eastAsia="en-GB"/>
              </w:rPr>
            </w:pPr>
            <w:r w:rsidRPr="00D850D4">
              <w:rPr>
                <w:rFonts w:eastAsia="Times New Roman" w:cstheme="minorHAnsi"/>
                <w:color w:val="000000"/>
                <w:sz w:val="20"/>
                <w:szCs w:val="20"/>
                <w:lang w:eastAsia="en-GB"/>
              </w:rPr>
              <w:t>20% richest</w:t>
            </w:r>
          </w:p>
        </w:tc>
        <w:tc>
          <w:tcPr>
            <w:tcW w:w="996" w:type="dxa"/>
            <w:gridSpan w:val="3"/>
            <w:shd w:val="clear" w:color="auto" w:fill="auto"/>
            <w:noWrap/>
            <w:hideMark/>
          </w:tcPr>
          <w:p w14:paraId="10A47A3E"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850D4">
              <w:rPr>
                <w:rFonts w:eastAsia="Times New Roman" w:cstheme="minorHAnsi"/>
                <w:color w:val="000000"/>
                <w:sz w:val="20"/>
                <w:szCs w:val="20"/>
                <w:lang w:eastAsia="en-GB"/>
              </w:rPr>
              <w:t>37.8</w:t>
            </w:r>
          </w:p>
        </w:tc>
        <w:tc>
          <w:tcPr>
            <w:tcW w:w="1414" w:type="dxa"/>
            <w:shd w:val="clear" w:color="auto" w:fill="auto"/>
            <w:noWrap/>
          </w:tcPr>
          <w:p w14:paraId="10F24AAF"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850D4">
              <w:rPr>
                <w:rFonts w:eastAsia="Times New Roman" w:cstheme="minorHAnsi"/>
                <w:color w:val="000000"/>
                <w:sz w:val="20"/>
                <w:szCs w:val="20"/>
                <w:lang w:eastAsia="en-GB"/>
              </w:rPr>
              <w:t>27.2</w:t>
            </w:r>
          </w:p>
        </w:tc>
        <w:tc>
          <w:tcPr>
            <w:tcW w:w="222" w:type="dxa"/>
          </w:tcPr>
          <w:p w14:paraId="3A27CADB" w14:textId="77777777" w:rsidR="00182884" w:rsidRPr="00D850D4" w:rsidRDefault="00182884" w:rsidP="000A7109">
            <w:pPr>
              <w:spacing w:after="0" w:line="240" w:lineRule="auto"/>
              <w:jc w:val="right"/>
              <w:rPr>
                <w:rFonts w:eastAsia="Times New Roman" w:cstheme="minorHAnsi"/>
                <w:color w:val="000000"/>
                <w:sz w:val="20"/>
                <w:szCs w:val="20"/>
                <w:lang w:eastAsia="en-GB"/>
              </w:rPr>
            </w:pPr>
          </w:p>
        </w:tc>
        <w:tc>
          <w:tcPr>
            <w:tcW w:w="1337" w:type="dxa"/>
          </w:tcPr>
          <w:p w14:paraId="239DFEA4"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850D4">
              <w:rPr>
                <w:rFonts w:eastAsia="Times New Roman" w:cstheme="minorHAnsi"/>
                <w:color w:val="000000"/>
                <w:sz w:val="20"/>
                <w:szCs w:val="20"/>
                <w:lang w:eastAsia="en-GB"/>
              </w:rPr>
              <w:t xml:space="preserve"> 0.5</w:t>
            </w:r>
          </w:p>
        </w:tc>
        <w:tc>
          <w:tcPr>
            <w:tcW w:w="1417" w:type="dxa"/>
            <w:shd w:val="clear" w:color="auto" w:fill="auto"/>
            <w:noWrap/>
            <w:hideMark/>
          </w:tcPr>
          <w:p w14:paraId="7F3E8D33"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850D4">
              <w:rPr>
                <w:rFonts w:eastAsia="Times New Roman" w:cstheme="minorHAnsi"/>
                <w:color w:val="000000"/>
                <w:sz w:val="20"/>
                <w:szCs w:val="20"/>
                <w:lang w:eastAsia="en-GB"/>
              </w:rPr>
              <w:t>-3.0</w:t>
            </w:r>
          </w:p>
        </w:tc>
        <w:tc>
          <w:tcPr>
            <w:tcW w:w="1118" w:type="dxa"/>
            <w:shd w:val="clear" w:color="auto" w:fill="auto"/>
            <w:noWrap/>
            <w:hideMark/>
          </w:tcPr>
          <w:p w14:paraId="1DBBE380"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850D4">
              <w:rPr>
                <w:rFonts w:eastAsia="Times New Roman" w:cstheme="minorHAnsi"/>
                <w:color w:val="000000"/>
                <w:sz w:val="20"/>
                <w:szCs w:val="20"/>
                <w:lang w:eastAsia="en-GB"/>
              </w:rPr>
              <w:t xml:space="preserve"> 3.5</w:t>
            </w:r>
          </w:p>
        </w:tc>
        <w:tc>
          <w:tcPr>
            <w:tcW w:w="1118" w:type="dxa"/>
            <w:shd w:val="clear" w:color="auto" w:fill="auto"/>
            <w:noWrap/>
            <w:hideMark/>
          </w:tcPr>
          <w:p w14:paraId="4C1376A6"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850D4">
              <w:rPr>
                <w:rFonts w:eastAsia="Times New Roman" w:cstheme="minorHAnsi"/>
                <w:color w:val="000000"/>
                <w:sz w:val="20"/>
                <w:szCs w:val="20"/>
                <w:lang w:eastAsia="en-GB"/>
              </w:rPr>
              <w:t>[-0.6</w:t>
            </w:r>
            <w:r>
              <w:rPr>
                <w:rFonts w:eastAsia="Times New Roman" w:cstheme="minorHAnsi"/>
                <w:color w:val="000000"/>
                <w:sz w:val="20"/>
                <w:szCs w:val="20"/>
                <w:lang w:eastAsia="en-GB"/>
              </w:rPr>
              <w:t>–</w:t>
            </w:r>
            <w:r w:rsidRPr="00D850D4">
              <w:rPr>
                <w:rFonts w:eastAsia="Times New Roman" w:cstheme="minorHAnsi"/>
                <w:color w:val="000000"/>
                <w:sz w:val="20"/>
                <w:szCs w:val="20"/>
                <w:lang w:eastAsia="en-GB"/>
              </w:rPr>
              <w:t xml:space="preserve"> 7.6]</w:t>
            </w:r>
          </w:p>
        </w:tc>
      </w:tr>
      <w:tr w:rsidR="00182884" w:rsidRPr="00D850D4" w14:paraId="1F321616" w14:textId="77777777" w:rsidTr="000A7109">
        <w:trPr>
          <w:trHeight w:val="288"/>
        </w:trPr>
        <w:tc>
          <w:tcPr>
            <w:tcW w:w="1985" w:type="dxa"/>
            <w:gridSpan w:val="2"/>
            <w:shd w:val="clear" w:color="auto" w:fill="auto"/>
            <w:noWrap/>
          </w:tcPr>
          <w:p w14:paraId="3327C7DE" w14:textId="77777777" w:rsidR="00182884" w:rsidRPr="00D850D4" w:rsidRDefault="00182884" w:rsidP="000A7109">
            <w:pPr>
              <w:spacing w:after="0" w:line="240" w:lineRule="auto"/>
              <w:jc w:val="left"/>
              <w:rPr>
                <w:rFonts w:eastAsia="Times New Roman" w:cstheme="minorHAnsi"/>
                <w:color w:val="000000"/>
                <w:sz w:val="20"/>
                <w:szCs w:val="20"/>
                <w:lang w:eastAsia="en-GB"/>
              </w:rPr>
            </w:pPr>
            <w:r w:rsidRPr="00D850D4">
              <w:rPr>
                <w:rFonts w:eastAsia="Arial" w:cstheme="minorHAnsi"/>
                <w:b/>
                <w:bCs/>
                <w:color w:val="000000"/>
                <w:sz w:val="20"/>
                <w:szCs w:val="20"/>
              </w:rPr>
              <w:t>Currently employed</w:t>
            </w:r>
          </w:p>
        </w:tc>
        <w:tc>
          <w:tcPr>
            <w:tcW w:w="996" w:type="dxa"/>
            <w:gridSpan w:val="3"/>
            <w:shd w:val="clear" w:color="auto" w:fill="auto"/>
            <w:noWrap/>
          </w:tcPr>
          <w:p w14:paraId="182B58C8" w14:textId="77777777" w:rsidR="00182884" w:rsidRPr="00D850D4" w:rsidRDefault="00182884" w:rsidP="000A7109">
            <w:pPr>
              <w:spacing w:after="0" w:line="240" w:lineRule="auto"/>
              <w:jc w:val="right"/>
              <w:rPr>
                <w:rFonts w:eastAsia="Times New Roman" w:cstheme="minorHAnsi"/>
                <w:color w:val="000000"/>
                <w:sz w:val="20"/>
                <w:szCs w:val="20"/>
                <w:lang w:eastAsia="en-GB"/>
              </w:rPr>
            </w:pPr>
          </w:p>
        </w:tc>
        <w:tc>
          <w:tcPr>
            <w:tcW w:w="1414" w:type="dxa"/>
            <w:shd w:val="clear" w:color="auto" w:fill="auto"/>
            <w:noWrap/>
          </w:tcPr>
          <w:p w14:paraId="51F9AEEC" w14:textId="77777777" w:rsidR="00182884" w:rsidRPr="00D850D4" w:rsidRDefault="00182884" w:rsidP="000A7109">
            <w:pPr>
              <w:spacing w:after="0" w:line="240" w:lineRule="auto"/>
              <w:jc w:val="right"/>
              <w:rPr>
                <w:rFonts w:eastAsia="Times New Roman" w:cstheme="minorHAnsi"/>
                <w:color w:val="000000"/>
                <w:sz w:val="20"/>
                <w:szCs w:val="20"/>
                <w:lang w:eastAsia="en-GB"/>
              </w:rPr>
            </w:pPr>
          </w:p>
        </w:tc>
        <w:tc>
          <w:tcPr>
            <w:tcW w:w="222" w:type="dxa"/>
          </w:tcPr>
          <w:p w14:paraId="72B86B66" w14:textId="77777777" w:rsidR="00182884" w:rsidRPr="00D850D4" w:rsidRDefault="00182884" w:rsidP="000A7109">
            <w:pPr>
              <w:spacing w:after="0" w:line="240" w:lineRule="auto"/>
              <w:jc w:val="right"/>
              <w:rPr>
                <w:rFonts w:eastAsia="Times New Roman" w:cstheme="minorHAnsi"/>
                <w:color w:val="000000"/>
                <w:sz w:val="20"/>
                <w:szCs w:val="20"/>
                <w:lang w:eastAsia="en-GB"/>
              </w:rPr>
            </w:pPr>
          </w:p>
        </w:tc>
        <w:tc>
          <w:tcPr>
            <w:tcW w:w="1337" w:type="dxa"/>
            <w:shd w:val="clear" w:color="auto" w:fill="auto"/>
            <w:noWrap/>
          </w:tcPr>
          <w:p w14:paraId="27FD15D4" w14:textId="77777777" w:rsidR="00182884" w:rsidRPr="00D850D4" w:rsidRDefault="00182884" w:rsidP="000A7109">
            <w:pPr>
              <w:spacing w:after="0" w:line="240" w:lineRule="auto"/>
              <w:jc w:val="right"/>
              <w:rPr>
                <w:rFonts w:eastAsia="Times New Roman" w:cstheme="minorHAnsi"/>
                <w:color w:val="000000"/>
                <w:sz w:val="20"/>
                <w:szCs w:val="20"/>
                <w:lang w:eastAsia="en-GB"/>
              </w:rPr>
            </w:pPr>
          </w:p>
        </w:tc>
        <w:tc>
          <w:tcPr>
            <w:tcW w:w="1417" w:type="dxa"/>
          </w:tcPr>
          <w:p w14:paraId="333B1D8A" w14:textId="77777777" w:rsidR="00182884" w:rsidRPr="00D850D4" w:rsidRDefault="00182884" w:rsidP="000A7109">
            <w:pPr>
              <w:spacing w:after="0" w:line="240" w:lineRule="auto"/>
              <w:jc w:val="right"/>
              <w:rPr>
                <w:rFonts w:eastAsia="Times New Roman" w:cstheme="minorHAnsi"/>
                <w:color w:val="000000"/>
                <w:sz w:val="20"/>
                <w:szCs w:val="20"/>
                <w:lang w:eastAsia="en-GB"/>
              </w:rPr>
            </w:pPr>
          </w:p>
        </w:tc>
        <w:tc>
          <w:tcPr>
            <w:tcW w:w="1118" w:type="dxa"/>
            <w:shd w:val="clear" w:color="auto" w:fill="auto"/>
            <w:noWrap/>
          </w:tcPr>
          <w:p w14:paraId="7DE90175" w14:textId="77777777" w:rsidR="00182884" w:rsidRPr="00D850D4" w:rsidRDefault="00182884" w:rsidP="000A7109">
            <w:pPr>
              <w:spacing w:after="0" w:line="240" w:lineRule="auto"/>
              <w:jc w:val="right"/>
              <w:rPr>
                <w:rFonts w:eastAsia="Times New Roman" w:cstheme="minorHAnsi"/>
                <w:color w:val="000000"/>
                <w:sz w:val="20"/>
                <w:szCs w:val="20"/>
                <w:lang w:eastAsia="en-GB"/>
              </w:rPr>
            </w:pPr>
          </w:p>
        </w:tc>
        <w:tc>
          <w:tcPr>
            <w:tcW w:w="1118" w:type="dxa"/>
            <w:shd w:val="clear" w:color="auto" w:fill="auto"/>
            <w:noWrap/>
          </w:tcPr>
          <w:p w14:paraId="6EE9ECE6" w14:textId="77777777" w:rsidR="00182884" w:rsidRPr="00D850D4" w:rsidRDefault="00182884" w:rsidP="000A7109">
            <w:pPr>
              <w:spacing w:after="0" w:line="240" w:lineRule="auto"/>
              <w:jc w:val="right"/>
              <w:rPr>
                <w:rFonts w:eastAsia="Times New Roman" w:cstheme="minorHAnsi"/>
                <w:color w:val="000000"/>
                <w:sz w:val="20"/>
                <w:szCs w:val="20"/>
                <w:lang w:eastAsia="en-GB"/>
              </w:rPr>
            </w:pPr>
          </w:p>
        </w:tc>
      </w:tr>
      <w:tr w:rsidR="00182884" w:rsidRPr="00D850D4" w14:paraId="38F9C974" w14:textId="77777777" w:rsidTr="000A7109">
        <w:trPr>
          <w:trHeight w:val="288"/>
        </w:trPr>
        <w:tc>
          <w:tcPr>
            <w:tcW w:w="280" w:type="dxa"/>
            <w:shd w:val="clear" w:color="auto" w:fill="auto"/>
            <w:noWrap/>
          </w:tcPr>
          <w:p w14:paraId="5F861E6F" w14:textId="77777777" w:rsidR="00182884" w:rsidRPr="00D850D4" w:rsidRDefault="00182884" w:rsidP="000A7109">
            <w:pPr>
              <w:spacing w:after="0" w:line="240" w:lineRule="auto"/>
              <w:jc w:val="left"/>
              <w:rPr>
                <w:rFonts w:eastAsia="Times New Roman" w:cstheme="minorHAnsi"/>
                <w:color w:val="000000"/>
                <w:sz w:val="20"/>
                <w:szCs w:val="20"/>
                <w:lang w:eastAsia="en-GB"/>
              </w:rPr>
            </w:pPr>
          </w:p>
        </w:tc>
        <w:tc>
          <w:tcPr>
            <w:tcW w:w="1705" w:type="dxa"/>
            <w:shd w:val="clear" w:color="auto" w:fill="auto"/>
            <w:noWrap/>
            <w:hideMark/>
          </w:tcPr>
          <w:p w14:paraId="374A7D5D" w14:textId="77777777" w:rsidR="00182884" w:rsidRPr="00D850D4" w:rsidRDefault="00182884" w:rsidP="000A7109">
            <w:pPr>
              <w:spacing w:after="0" w:line="240" w:lineRule="auto"/>
              <w:jc w:val="left"/>
              <w:rPr>
                <w:rFonts w:eastAsia="Times New Roman" w:cstheme="minorHAnsi"/>
                <w:color w:val="000000"/>
                <w:sz w:val="20"/>
                <w:szCs w:val="20"/>
                <w:lang w:eastAsia="en-GB"/>
              </w:rPr>
            </w:pPr>
            <w:r w:rsidRPr="00D850D4">
              <w:rPr>
                <w:rFonts w:eastAsia="Times New Roman" w:cstheme="minorHAnsi"/>
                <w:color w:val="000000"/>
                <w:sz w:val="20"/>
                <w:szCs w:val="20"/>
                <w:lang w:eastAsia="en-GB"/>
              </w:rPr>
              <w:t>Not employed</w:t>
            </w:r>
          </w:p>
        </w:tc>
        <w:tc>
          <w:tcPr>
            <w:tcW w:w="996" w:type="dxa"/>
            <w:gridSpan w:val="3"/>
            <w:shd w:val="clear" w:color="auto" w:fill="auto"/>
            <w:noWrap/>
            <w:hideMark/>
          </w:tcPr>
          <w:p w14:paraId="3FB827FC"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850D4">
              <w:rPr>
                <w:rFonts w:eastAsia="Times New Roman" w:cstheme="minorHAnsi"/>
                <w:color w:val="000000"/>
                <w:sz w:val="20"/>
                <w:szCs w:val="20"/>
                <w:lang w:eastAsia="en-GB"/>
              </w:rPr>
              <w:t>45.6</w:t>
            </w:r>
          </w:p>
        </w:tc>
        <w:tc>
          <w:tcPr>
            <w:tcW w:w="1414" w:type="dxa"/>
            <w:shd w:val="clear" w:color="auto" w:fill="auto"/>
            <w:noWrap/>
          </w:tcPr>
          <w:p w14:paraId="16E2C82A"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850D4">
              <w:rPr>
                <w:rFonts w:eastAsia="Times New Roman" w:cstheme="minorHAnsi"/>
                <w:color w:val="000000"/>
                <w:sz w:val="20"/>
                <w:szCs w:val="20"/>
                <w:lang w:eastAsia="en-GB"/>
              </w:rPr>
              <w:t>29.8</w:t>
            </w:r>
          </w:p>
        </w:tc>
        <w:tc>
          <w:tcPr>
            <w:tcW w:w="222" w:type="dxa"/>
          </w:tcPr>
          <w:p w14:paraId="1525B007" w14:textId="77777777" w:rsidR="00182884" w:rsidRPr="00D850D4" w:rsidRDefault="00182884" w:rsidP="000A7109">
            <w:pPr>
              <w:spacing w:after="0" w:line="240" w:lineRule="auto"/>
              <w:jc w:val="right"/>
              <w:rPr>
                <w:rFonts w:eastAsia="Times New Roman" w:cstheme="minorHAnsi"/>
                <w:color w:val="000000"/>
                <w:sz w:val="20"/>
                <w:szCs w:val="20"/>
                <w:lang w:eastAsia="en-GB"/>
              </w:rPr>
            </w:pPr>
          </w:p>
        </w:tc>
        <w:tc>
          <w:tcPr>
            <w:tcW w:w="1337" w:type="dxa"/>
          </w:tcPr>
          <w:p w14:paraId="61DEBBEE" w14:textId="77777777" w:rsidR="00182884" w:rsidRPr="006C08B8" w:rsidRDefault="00182884" w:rsidP="000A7109">
            <w:pPr>
              <w:spacing w:after="0" w:line="240" w:lineRule="auto"/>
              <w:jc w:val="right"/>
              <w:rPr>
                <w:rFonts w:eastAsia="Times New Roman" w:cstheme="minorHAnsi"/>
                <w:i/>
                <w:iCs/>
                <w:color w:val="000000"/>
                <w:sz w:val="20"/>
                <w:szCs w:val="20"/>
                <w:lang w:eastAsia="en-GB"/>
              </w:rPr>
            </w:pPr>
            <w:r w:rsidRPr="006C08B8">
              <w:rPr>
                <w:rFonts w:eastAsia="Times New Roman" w:cstheme="minorHAnsi"/>
                <w:i/>
                <w:iCs/>
                <w:color w:val="000000"/>
                <w:sz w:val="20"/>
                <w:szCs w:val="20"/>
                <w:lang w:eastAsia="en-GB"/>
              </w:rPr>
              <w:t>ref</w:t>
            </w:r>
          </w:p>
        </w:tc>
        <w:tc>
          <w:tcPr>
            <w:tcW w:w="1417" w:type="dxa"/>
            <w:shd w:val="clear" w:color="auto" w:fill="auto"/>
            <w:noWrap/>
          </w:tcPr>
          <w:p w14:paraId="38DC8CED"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6C08B8">
              <w:rPr>
                <w:rFonts w:eastAsia="Times New Roman" w:cstheme="minorHAnsi"/>
                <w:i/>
                <w:iCs/>
                <w:color w:val="000000"/>
                <w:sz w:val="20"/>
                <w:szCs w:val="20"/>
                <w:lang w:eastAsia="en-GB"/>
              </w:rPr>
              <w:t>ref</w:t>
            </w:r>
          </w:p>
        </w:tc>
        <w:tc>
          <w:tcPr>
            <w:tcW w:w="1118" w:type="dxa"/>
            <w:shd w:val="clear" w:color="auto" w:fill="auto"/>
            <w:noWrap/>
          </w:tcPr>
          <w:p w14:paraId="0017366B"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6C08B8">
              <w:rPr>
                <w:rFonts w:eastAsia="Times New Roman" w:cstheme="minorHAnsi"/>
                <w:i/>
                <w:iCs/>
                <w:color w:val="000000"/>
                <w:sz w:val="20"/>
                <w:szCs w:val="20"/>
                <w:lang w:eastAsia="en-GB"/>
              </w:rPr>
              <w:t>ref</w:t>
            </w:r>
          </w:p>
        </w:tc>
        <w:tc>
          <w:tcPr>
            <w:tcW w:w="1118" w:type="dxa"/>
            <w:shd w:val="clear" w:color="auto" w:fill="auto"/>
            <w:noWrap/>
          </w:tcPr>
          <w:p w14:paraId="158F63F1" w14:textId="77777777" w:rsidR="00182884" w:rsidRPr="00D850D4" w:rsidRDefault="00182884" w:rsidP="000A7109">
            <w:pPr>
              <w:spacing w:after="0" w:line="240" w:lineRule="auto"/>
              <w:jc w:val="right"/>
              <w:rPr>
                <w:rFonts w:eastAsia="Times New Roman" w:cstheme="minorHAnsi"/>
                <w:color w:val="000000"/>
                <w:sz w:val="20"/>
                <w:szCs w:val="20"/>
                <w:lang w:eastAsia="en-GB"/>
              </w:rPr>
            </w:pPr>
          </w:p>
        </w:tc>
      </w:tr>
      <w:tr w:rsidR="00182884" w:rsidRPr="00D850D4" w14:paraId="265BFE39" w14:textId="77777777" w:rsidTr="000A7109">
        <w:trPr>
          <w:trHeight w:val="288"/>
        </w:trPr>
        <w:tc>
          <w:tcPr>
            <w:tcW w:w="280" w:type="dxa"/>
            <w:shd w:val="clear" w:color="auto" w:fill="auto"/>
            <w:noWrap/>
          </w:tcPr>
          <w:p w14:paraId="61B23169" w14:textId="77777777" w:rsidR="00182884" w:rsidRPr="00D850D4" w:rsidRDefault="00182884" w:rsidP="000A7109">
            <w:pPr>
              <w:spacing w:after="0" w:line="240" w:lineRule="auto"/>
              <w:jc w:val="left"/>
              <w:rPr>
                <w:rFonts w:eastAsia="Times New Roman" w:cstheme="minorHAnsi"/>
                <w:color w:val="000000"/>
                <w:sz w:val="20"/>
                <w:szCs w:val="20"/>
                <w:lang w:eastAsia="en-GB"/>
              </w:rPr>
            </w:pPr>
          </w:p>
        </w:tc>
        <w:tc>
          <w:tcPr>
            <w:tcW w:w="1988" w:type="dxa"/>
            <w:gridSpan w:val="2"/>
            <w:shd w:val="clear" w:color="auto" w:fill="auto"/>
            <w:noWrap/>
            <w:hideMark/>
          </w:tcPr>
          <w:p w14:paraId="0C1E81B5" w14:textId="77777777" w:rsidR="00182884" w:rsidRPr="00D850D4" w:rsidRDefault="00182884" w:rsidP="000A7109">
            <w:pPr>
              <w:spacing w:after="0" w:line="240" w:lineRule="auto"/>
              <w:jc w:val="left"/>
              <w:rPr>
                <w:rFonts w:eastAsia="Times New Roman" w:cstheme="minorHAnsi"/>
                <w:color w:val="000000"/>
                <w:sz w:val="20"/>
                <w:szCs w:val="20"/>
                <w:lang w:eastAsia="en-GB"/>
              </w:rPr>
            </w:pPr>
            <w:r w:rsidRPr="00D850D4">
              <w:rPr>
                <w:rFonts w:eastAsia="Times New Roman" w:cstheme="minorHAnsi"/>
                <w:color w:val="000000"/>
                <w:sz w:val="20"/>
                <w:szCs w:val="20"/>
                <w:lang w:eastAsia="en-GB"/>
              </w:rPr>
              <w:t>Currently employed</w:t>
            </w:r>
          </w:p>
        </w:tc>
        <w:tc>
          <w:tcPr>
            <w:tcW w:w="713" w:type="dxa"/>
            <w:gridSpan w:val="2"/>
            <w:shd w:val="clear" w:color="auto" w:fill="auto"/>
            <w:noWrap/>
            <w:hideMark/>
          </w:tcPr>
          <w:p w14:paraId="0962BA33"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850D4">
              <w:rPr>
                <w:rFonts w:eastAsia="Times New Roman" w:cstheme="minorHAnsi"/>
                <w:color w:val="000000"/>
                <w:sz w:val="20"/>
                <w:szCs w:val="20"/>
                <w:lang w:eastAsia="en-GB"/>
              </w:rPr>
              <w:t>23.4</w:t>
            </w:r>
          </w:p>
        </w:tc>
        <w:tc>
          <w:tcPr>
            <w:tcW w:w="1414" w:type="dxa"/>
            <w:shd w:val="clear" w:color="auto" w:fill="auto"/>
            <w:noWrap/>
          </w:tcPr>
          <w:p w14:paraId="2B8DE7E8"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850D4">
              <w:rPr>
                <w:rFonts w:eastAsia="Times New Roman" w:cstheme="minorHAnsi"/>
                <w:color w:val="000000"/>
                <w:sz w:val="20"/>
                <w:szCs w:val="20"/>
                <w:lang w:eastAsia="en-GB"/>
              </w:rPr>
              <w:t>14.6</w:t>
            </w:r>
          </w:p>
        </w:tc>
        <w:tc>
          <w:tcPr>
            <w:tcW w:w="222" w:type="dxa"/>
          </w:tcPr>
          <w:p w14:paraId="7E067DA7" w14:textId="77777777" w:rsidR="00182884" w:rsidRPr="00D850D4" w:rsidRDefault="00182884" w:rsidP="000A7109">
            <w:pPr>
              <w:spacing w:after="0" w:line="240" w:lineRule="auto"/>
              <w:jc w:val="right"/>
              <w:rPr>
                <w:rFonts w:eastAsia="Times New Roman" w:cstheme="minorHAnsi"/>
                <w:color w:val="000000"/>
                <w:sz w:val="20"/>
                <w:szCs w:val="20"/>
                <w:lang w:eastAsia="en-GB"/>
              </w:rPr>
            </w:pPr>
          </w:p>
        </w:tc>
        <w:tc>
          <w:tcPr>
            <w:tcW w:w="1337" w:type="dxa"/>
          </w:tcPr>
          <w:p w14:paraId="5A0F6FB8"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850D4">
              <w:rPr>
                <w:rFonts w:eastAsia="Times New Roman" w:cstheme="minorHAnsi"/>
                <w:color w:val="000000"/>
                <w:sz w:val="20"/>
                <w:szCs w:val="20"/>
                <w:lang w:eastAsia="en-GB"/>
              </w:rPr>
              <w:t>22.1</w:t>
            </w:r>
          </w:p>
        </w:tc>
        <w:tc>
          <w:tcPr>
            <w:tcW w:w="1417" w:type="dxa"/>
            <w:shd w:val="clear" w:color="auto" w:fill="auto"/>
            <w:noWrap/>
            <w:hideMark/>
          </w:tcPr>
          <w:p w14:paraId="1D3DD005"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850D4">
              <w:rPr>
                <w:rFonts w:eastAsia="Times New Roman" w:cstheme="minorHAnsi"/>
                <w:color w:val="000000"/>
                <w:sz w:val="20"/>
                <w:szCs w:val="20"/>
                <w:lang w:eastAsia="en-GB"/>
              </w:rPr>
              <w:t>15.2</w:t>
            </w:r>
          </w:p>
        </w:tc>
        <w:tc>
          <w:tcPr>
            <w:tcW w:w="1118" w:type="dxa"/>
            <w:shd w:val="clear" w:color="auto" w:fill="auto"/>
            <w:noWrap/>
            <w:hideMark/>
          </w:tcPr>
          <w:p w14:paraId="6762120D"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850D4">
              <w:rPr>
                <w:rFonts w:eastAsia="Times New Roman" w:cstheme="minorHAnsi"/>
                <w:color w:val="000000"/>
                <w:sz w:val="20"/>
                <w:szCs w:val="20"/>
                <w:lang w:eastAsia="en-GB"/>
              </w:rPr>
              <w:t xml:space="preserve"> 6.9</w:t>
            </w:r>
          </w:p>
        </w:tc>
        <w:tc>
          <w:tcPr>
            <w:tcW w:w="1118" w:type="dxa"/>
            <w:shd w:val="clear" w:color="auto" w:fill="auto"/>
            <w:noWrap/>
            <w:hideMark/>
          </w:tcPr>
          <w:p w14:paraId="385B6C71" w14:textId="77777777" w:rsidR="00182884" w:rsidRPr="00D850D4" w:rsidRDefault="00182884" w:rsidP="000A7109">
            <w:pPr>
              <w:spacing w:after="0" w:line="240" w:lineRule="auto"/>
              <w:jc w:val="right"/>
              <w:rPr>
                <w:rFonts w:eastAsia="Times New Roman" w:cstheme="minorHAnsi"/>
                <w:b/>
                <w:bCs/>
                <w:color w:val="000000"/>
                <w:sz w:val="20"/>
                <w:szCs w:val="20"/>
                <w:lang w:eastAsia="en-GB"/>
              </w:rPr>
            </w:pPr>
            <w:r w:rsidRPr="00C85EE6">
              <w:rPr>
                <w:rFonts w:eastAsia="Times New Roman" w:cstheme="minorHAnsi"/>
                <w:b/>
                <w:bCs/>
                <w:color w:val="000000"/>
                <w:sz w:val="20"/>
                <w:szCs w:val="20"/>
                <w:lang w:eastAsia="en-GB"/>
              </w:rPr>
              <w:t>[</w:t>
            </w:r>
            <w:r w:rsidRPr="00D850D4">
              <w:rPr>
                <w:rFonts w:eastAsia="Times New Roman" w:cstheme="minorHAnsi"/>
                <w:b/>
                <w:bCs/>
                <w:color w:val="000000"/>
                <w:sz w:val="20"/>
                <w:szCs w:val="20"/>
                <w:lang w:eastAsia="en-GB"/>
              </w:rPr>
              <w:t>3.3</w:t>
            </w:r>
            <w:r w:rsidRPr="00C85EE6">
              <w:rPr>
                <w:rFonts w:eastAsia="Times New Roman" w:cstheme="minorHAnsi"/>
                <w:b/>
                <w:bCs/>
                <w:color w:val="000000"/>
                <w:sz w:val="20"/>
                <w:szCs w:val="20"/>
                <w:lang w:eastAsia="en-GB"/>
              </w:rPr>
              <w:t>–</w:t>
            </w:r>
            <w:r w:rsidRPr="00D850D4">
              <w:rPr>
                <w:rFonts w:eastAsia="Times New Roman" w:cstheme="minorHAnsi"/>
                <w:b/>
                <w:bCs/>
                <w:color w:val="000000"/>
                <w:sz w:val="20"/>
                <w:szCs w:val="20"/>
                <w:lang w:eastAsia="en-GB"/>
              </w:rPr>
              <w:t>10.5]</w:t>
            </w:r>
          </w:p>
        </w:tc>
      </w:tr>
      <w:tr w:rsidR="00182884" w:rsidRPr="00D850D4" w14:paraId="395601B1" w14:textId="77777777" w:rsidTr="000A7109">
        <w:trPr>
          <w:trHeight w:val="288"/>
        </w:trPr>
        <w:tc>
          <w:tcPr>
            <w:tcW w:w="1985" w:type="dxa"/>
            <w:gridSpan w:val="2"/>
            <w:shd w:val="clear" w:color="auto" w:fill="auto"/>
            <w:noWrap/>
          </w:tcPr>
          <w:p w14:paraId="32349C03" w14:textId="77777777" w:rsidR="00182884" w:rsidRPr="00D850D4" w:rsidRDefault="00182884" w:rsidP="000A7109">
            <w:pPr>
              <w:spacing w:after="0" w:line="240" w:lineRule="auto"/>
              <w:jc w:val="left"/>
              <w:rPr>
                <w:rFonts w:eastAsia="Times New Roman" w:cstheme="minorHAnsi"/>
                <w:color w:val="000000"/>
                <w:sz w:val="20"/>
                <w:szCs w:val="20"/>
                <w:lang w:eastAsia="en-GB"/>
              </w:rPr>
            </w:pPr>
            <w:r w:rsidRPr="00D850D4">
              <w:rPr>
                <w:rFonts w:eastAsia="Arial" w:cstheme="minorHAnsi"/>
                <w:b/>
                <w:bCs/>
                <w:color w:val="000000"/>
                <w:sz w:val="20"/>
                <w:szCs w:val="20"/>
              </w:rPr>
              <w:t>Area type</w:t>
            </w:r>
          </w:p>
        </w:tc>
        <w:tc>
          <w:tcPr>
            <w:tcW w:w="996" w:type="dxa"/>
            <w:gridSpan w:val="3"/>
            <w:shd w:val="clear" w:color="auto" w:fill="auto"/>
            <w:noWrap/>
          </w:tcPr>
          <w:p w14:paraId="2751E79F" w14:textId="77777777" w:rsidR="00182884" w:rsidRPr="00D850D4" w:rsidRDefault="00182884" w:rsidP="000A7109">
            <w:pPr>
              <w:spacing w:after="0" w:line="240" w:lineRule="auto"/>
              <w:jc w:val="right"/>
              <w:rPr>
                <w:rFonts w:eastAsia="Times New Roman" w:cstheme="minorHAnsi"/>
                <w:color w:val="000000"/>
                <w:sz w:val="20"/>
                <w:szCs w:val="20"/>
                <w:lang w:eastAsia="en-GB"/>
              </w:rPr>
            </w:pPr>
          </w:p>
        </w:tc>
        <w:tc>
          <w:tcPr>
            <w:tcW w:w="1414" w:type="dxa"/>
            <w:shd w:val="clear" w:color="auto" w:fill="auto"/>
            <w:noWrap/>
          </w:tcPr>
          <w:p w14:paraId="0C2F9203" w14:textId="77777777" w:rsidR="00182884" w:rsidRPr="00D850D4" w:rsidRDefault="00182884" w:rsidP="000A7109">
            <w:pPr>
              <w:spacing w:after="0" w:line="240" w:lineRule="auto"/>
              <w:jc w:val="right"/>
              <w:rPr>
                <w:rFonts w:eastAsia="Times New Roman" w:cstheme="minorHAnsi"/>
                <w:color w:val="000000"/>
                <w:sz w:val="20"/>
                <w:szCs w:val="20"/>
                <w:lang w:eastAsia="en-GB"/>
              </w:rPr>
            </w:pPr>
          </w:p>
        </w:tc>
        <w:tc>
          <w:tcPr>
            <w:tcW w:w="222" w:type="dxa"/>
          </w:tcPr>
          <w:p w14:paraId="18012900" w14:textId="77777777" w:rsidR="00182884" w:rsidRPr="00D850D4" w:rsidRDefault="00182884" w:rsidP="000A7109">
            <w:pPr>
              <w:spacing w:after="0" w:line="240" w:lineRule="auto"/>
              <w:jc w:val="right"/>
              <w:rPr>
                <w:rFonts w:eastAsia="Times New Roman" w:cstheme="minorHAnsi"/>
                <w:color w:val="000000"/>
                <w:sz w:val="20"/>
                <w:szCs w:val="20"/>
                <w:lang w:eastAsia="en-GB"/>
              </w:rPr>
            </w:pPr>
          </w:p>
        </w:tc>
        <w:tc>
          <w:tcPr>
            <w:tcW w:w="1337" w:type="dxa"/>
            <w:shd w:val="clear" w:color="auto" w:fill="auto"/>
            <w:noWrap/>
          </w:tcPr>
          <w:p w14:paraId="7F8EA968" w14:textId="77777777" w:rsidR="00182884" w:rsidRPr="00D850D4" w:rsidRDefault="00182884" w:rsidP="000A7109">
            <w:pPr>
              <w:spacing w:after="0" w:line="240" w:lineRule="auto"/>
              <w:jc w:val="right"/>
              <w:rPr>
                <w:rFonts w:eastAsia="Times New Roman" w:cstheme="minorHAnsi"/>
                <w:color w:val="000000"/>
                <w:sz w:val="20"/>
                <w:szCs w:val="20"/>
                <w:lang w:eastAsia="en-GB"/>
              </w:rPr>
            </w:pPr>
          </w:p>
        </w:tc>
        <w:tc>
          <w:tcPr>
            <w:tcW w:w="1417" w:type="dxa"/>
          </w:tcPr>
          <w:p w14:paraId="1F05F4C4" w14:textId="77777777" w:rsidR="00182884" w:rsidRPr="00D850D4" w:rsidRDefault="00182884" w:rsidP="000A7109">
            <w:pPr>
              <w:spacing w:after="0" w:line="240" w:lineRule="auto"/>
              <w:jc w:val="right"/>
              <w:rPr>
                <w:rFonts w:eastAsia="Times New Roman" w:cstheme="minorHAnsi"/>
                <w:color w:val="000000"/>
                <w:sz w:val="20"/>
                <w:szCs w:val="20"/>
                <w:lang w:eastAsia="en-GB"/>
              </w:rPr>
            </w:pPr>
          </w:p>
        </w:tc>
        <w:tc>
          <w:tcPr>
            <w:tcW w:w="1118" w:type="dxa"/>
            <w:shd w:val="clear" w:color="auto" w:fill="auto"/>
            <w:noWrap/>
          </w:tcPr>
          <w:p w14:paraId="428BD1F4" w14:textId="77777777" w:rsidR="00182884" w:rsidRPr="00D850D4" w:rsidRDefault="00182884" w:rsidP="000A7109">
            <w:pPr>
              <w:spacing w:after="0" w:line="240" w:lineRule="auto"/>
              <w:jc w:val="right"/>
              <w:rPr>
                <w:rFonts w:eastAsia="Times New Roman" w:cstheme="minorHAnsi"/>
                <w:color w:val="000000"/>
                <w:sz w:val="20"/>
                <w:szCs w:val="20"/>
                <w:lang w:eastAsia="en-GB"/>
              </w:rPr>
            </w:pPr>
          </w:p>
        </w:tc>
        <w:tc>
          <w:tcPr>
            <w:tcW w:w="1118" w:type="dxa"/>
            <w:shd w:val="clear" w:color="auto" w:fill="auto"/>
            <w:noWrap/>
          </w:tcPr>
          <w:p w14:paraId="090253D0" w14:textId="77777777" w:rsidR="00182884" w:rsidRPr="00D850D4" w:rsidRDefault="00182884" w:rsidP="000A7109">
            <w:pPr>
              <w:spacing w:after="0" w:line="240" w:lineRule="auto"/>
              <w:jc w:val="right"/>
              <w:rPr>
                <w:rFonts w:eastAsia="Times New Roman" w:cstheme="minorHAnsi"/>
                <w:color w:val="000000"/>
                <w:sz w:val="20"/>
                <w:szCs w:val="20"/>
                <w:lang w:eastAsia="en-GB"/>
              </w:rPr>
            </w:pPr>
          </w:p>
        </w:tc>
      </w:tr>
      <w:tr w:rsidR="00182884" w:rsidRPr="00D850D4" w14:paraId="62F51894" w14:textId="77777777" w:rsidTr="000A7109">
        <w:trPr>
          <w:trHeight w:val="288"/>
        </w:trPr>
        <w:tc>
          <w:tcPr>
            <w:tcW w:w="280" w:type="dxa"/>
            <w:shd w:val="clear" w:color="auto" w:fill="auto"/>
            <w:noWrap/>
          </w:tcPr>
          <w:p w14:paraId="338BC6CE" w14:textId="77777777" w:rsidR="00182884" w:rsidRPr="00D850D4" w:rsidRDefault="00182884" w:rsidP="000A7109">
            <w:pPr>
              <w:spacing w:after="0" w:line="240" w:lineRule="auto"/>
              <w:jc w:val="left"/>
              <w:rPr>
                <w:rFonts w:eastAsia="Times New Roman" w:cstheme="minorHAnsi"/>
                <w:color w:val="000000"/>
                <w:sz w:val="20"/>
                <w:szCs w:val="20"/>
                <w:lang w:eastAsia="en-GB"/>
              </w:rPr>
            </w:pPr>
          </w:p>
        </w:tc>
        <w:tc>
          <w:tcPr>
            <w:tcW w:w="1705" w:type="dxa"/>
            <w:shd w:val="clear" w:color="auto" w:fill="auto"/>
            <w:noWrap/>
            <w:hideMark/>
          </w:tcPr>
          <w:p w14:paraId="1456AF12" w14:textId="77777777" w:rsidR="00182884" w:rsidRPr="00D850D4" w:rsidRDefault="00182884" w:rsidP="000A7109">
            <w:pPr>
              <w:spacing w:after="0" w:line="240" w:lineRule="auto"/>
              <w:jc w:val="left"/>
              <w:rPr>
                <w:rFonts w:eastAsia="Times New Roman" w:cstheme="minorHAnsi"/>
                <w:color w:val="000000"/>
                <w:sz w:val="20"/>
                <w:szCs w:val="20"/>
                <w:lang w:eastAsia="en-GB"/>
              </w:rPr>
            </w:pPr>
            <w:r w:rsidRPr="00D850D4">
              <w:rPr>
                <w:rFonts w:eastAsia="Times New Roman" w:cstheme="minorHAnsi"/>
                <w:color w:val="000000"/>
                <w:sz w:val="20"/>
                <w:szCs w:val="20"/>
                <w:lang w:eastAsia="en-GB"/>
              </w:rPr>
              <w:t>Rural</w:t>
            </w:r>
          </w:p>
        </w:tc>
        <w:tc>
          <w:tcPr>
            <w:tcW w:w="996" w:type="dxa"/>
            <w:gridSpan w:val="3"/>
            <w:shd w:val="clear" w:color="auto" w:fill="auto"/>
            <w:noWrap/>
            <w:hideMark/>
          </w:tcPr>
          <w:p w14:paraId="5C86FE09"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850D4">
              <w:rPr>
                <w:rFonts w:eastAsia="Times New Roman" w:cstheme="minorHAnsi"/>
                <w:color w:val="000000"/>
                <w:sz w:val="20"/>
                <w:szCs w:val="20"/>
                <w:lang w:eastAsia="en-GB"/>
              </w:rPr>
              <w:t>41.4</w:t>
            </w:r>
          </w:p>
        </w:tc>
        <w:tc>
          <w:tcPr>
            <w:tcW w:w="1414" w:type="dxa"/>
            <w:shd w:val="clear" w:color="auto" w:fill="auto"/>
            <w:noWrap/>
          </w:tcPr>
          <w:p w14:paraId="41CC7776"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850D4">
              <w:rPr>
                <w:rFonts w:eastAsia="Times New Roman" w:cstheme="minorHAnsi"/>
                <w:color w:val="000000"/>
                <w:sz w:val="20"/>
                <w:szCs w:val="20"/>
                <w:lang w:eastAsia="en-GB"/>
              </w:rPr>
              <w:t>28.7</w:t>
            </w:r>
          </w:p>
        </w:tc>
        <w:tc>
          <w:tcPr>
            <w:tcW w:w="222" w:type="dxa"/>
          </w:tcPr>
          <w:p w14:paraId="5C0FBBB0" w14:textId="77777777" w:rsidR="00182884" w:rsidRPr="00D850D4" w:rsidRDefault="00182884" w:rsidP="000A7109">
            <w:pPr>
              <w:spacing w:after="0" w:line="240" w:lineRule="auto"/>
              <w:jc w:val="right"/>
              <w:rPr>
                <w:rFonts w:eastAsia="Times New Roman" w:cstheme="minorHAnsi"/>
                <w:color w:val="000000"/>
                <w:sz w:val="20"/>
                <w:szCs w:val="20"/>
                <w:lang w:eastAsia="en-GB"/>
              </w:rPr>
            </w:pPr>
          </w:p>
        </w:tc>
        <w:tc>
          <w:tcPr>
            <w:tcW w:w="1337" w:type="dxa"/>
          </w:tcPr>
          <w:p w14:paraId="62A03643" w14:textId="77777777" w:rsidR="00182884" w:rsidRPr="006C08B8" w:rsidRDefault="00182884" w:rsidP="000A7109">
            <w:pPr>
              <w:spacing w:after="0" w:line="240" w:lineRule="auto"/>
              <w:jc w:val="right"/>
              <w:rPr>
                <w:rFonts w:eastAsia="Times New Roman" w:cstheme="minorHAnsi"/>
                <w:i/>
                <w:iCs/>
                <w:color w:val="000000"/>
                <w:sz w:val="20"/>
                <w:szCs w:val="20"/>
                <w:lang w:eastAsia="en-GB"/>
              </w:rPr>
            </w:pPr>
            <w:r w:rsidRPr="006C08B8">
              <w:rPr>
                <w:rFonts w:eastAsia="Times New Roman" w:cstheme="minorHAnsi"/>
                <w:i/>
                <w:iCs/>
                <w:color w:val="000000"/>
                <w:sz w:val="20"/>
                <w:szCs w:val="20"/>
                <w:lang w:eastAsia="en-GB"/>
              </w:rPr>
              <w:t>ref</w:t>
            </w:r>
          </w:p>
        </w:tc>
        <w:tc>
          <w:tcPr>
            <w:tcW w:w="1417" w:type="dxa"/>
            <w:shd w:val="clear" w:color="auto" w:fill="auto"/>
            <w:noWrap/>
          </w:tcPr>
          <w:p w14:paraId="374E94B0"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6C08B8">
              <w:rPr>
                <w:rFonts w:eastAsia="Times New Roman" w:cstheme="minorHAnsi"/>
                <w:i/>
                <w:iCs/>
                <w:color w:val="000000"/>
                <w:sz w:val="20"/>
                <w:szCs w:val="20"/>
                <w:lang w:eastAsia="en-GB"/>
              </w:rPr>
              <w:t>ref</w:t>
            </w:r>
          </w:p>
        </w:tc>
        <w:tc>
          <w:tcPr>
            <w:tcW w:w="1118" w:type="dxa"/>
            <w:shd w:val="clear" w:color="auto" w:fill="auto"/>
            <w:noWrap/>
          </w:tcPr>
          <w:p w14:paraId="5CAAF070"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6C08B8">
              <w:rPr>
                <w:rFonts w:eastAsia="Times New Roman" w:cstheme="minorHAnsi"/>
                <w:i/>
                <w:iCs/>
                <w:color w:val="000000"/>
                <w:sz w:val="20"/>
                <w:szCs w:val="20"/>
                <w:lang w:eastAsia="en-GB"/>
              </w:rPr>
              <w:t>ref</w:t>
            </w:r>
          </w:p>
        </w:tc>
        <w:tc>
          <w:tcPr>
            <w:tcW w:w="1118" w:type="dxa"/>
            <w:shd w:val="clear" w:color="auto" w:fill="auto"/>
            <w:noWrap/>
          </w:tcPr>
          <w:p w14:paraId="24D6E3FD" w14:textId="77777777" w:rsidR="00182884" w:rsidRPr="00D850D4" w:rsidRDefault="00182884" w:rsidP="000A7109">
            <w:pPr>
              <w:spacing w:after="0" w:line="240" w:lineRule="auto"/>
              <w:jc w:val="right"/>
              <w:rPr>
                <w:rFonts w:eastAsia="Times New Roman" w:cstheme="minorHAnsi"/>
                <w:color w:val="000000"/>
                <w:sz w:val="20"/>
                <w:szCs w:val="20"/>
                <w:lang w:eastAsia="en-GB"/>
              </w:rPr>
            </w:pPr>
          </w:p>
        </w:tc>
      </w:tr>
      <w:tr w:rsidR="00182884" w:rsidRPr="00D850D4" w14:paraId="5A369D14" w14:textId="77777777" w:rsidTr="000A7109">
        <w:trPr>
          <w:trHeight w:val="288"/>
        </w:trPr>
        <w:tc>
          <w:tcPr>
            <w:tcW w:w="280" w:type="dxa"/>
            <w:shd w:val="clear" w:color="auto" w:fill="auto"/>
            <w:noWrap/>
          </w:tcPr>
          <w:p w14:paraId="6FBCE464" w14:textId="77777777" w:rsidR="00182884" w:rsidRPr="00D850D4" w:rsidRDefault="00182884" w:rsidP="000A7109">
            <w:pPr>
              <w:spacing w:after="0" w:line="240" w:lineRule="auto"/>
              <w:jc w:val="left"/>
              <w:rPr>
                <w:rFonts w:eastAsia="Times New Roman" w:cstheme="minorHAnsi"/>
                <w:color w:val="000000"/>
                <w:sz w:val="20"/>
                <w:szCs w:val="20"/>
                <w:lang w:eastAsia="en-GB"/>
              </w:rPr>
            </w:pPr>
          </w:p>
        </w:tc>
        <w:tc>
          <w:tcPr>
            <w:tcW w:w="1705" w:type="dxa"/>
            <w:shd w:val="clear" w:color="auto" w:fill="auto"/>
            <w:noWrap/>
            <w:hideMark/>
          </w:tcPr>
          <w:p w14:paraId="3C92CF7B" w14:textId="77777777" w:rsidR="00182884" w:rsidRPr="00D850D4" w:rsidRDefault="00182884" w:rsidP="000A7109">
            <w:pPr>
              <w:spacing w:after="0" w:line="240" w:lineRule="auto"/>
              <w:jc w:val="left"/>
              <w:rPr>
                <w:rFonts w:eastAsia="Times New Roman" w:cstheme="minorHAnsi"/>
                <w:color w:val="000000"/>
                <w:sz w:val="20"/>
                <w:szCs w:val="20"/>
                <w:lang w:eastAsia="en-GB"/>
              </w:rPr>
            </w:pPr>
            <w:r w:rsidRPr="00D850D4">
              <w:rPr>
                <w:rFonts w:eastAsia="Times New Roman" w:cstheme="minorHAnsi"/>
                <w:color w:val="000000"/>
                <w:sz w:val="20"/>
                <w:szCs w:val="20"/>
                <w:lang w:eastAsia="en-GB"/>
              </w:rPr>
              <w:t>Peri-Urban</w:t>
            </w:r>
          </w:p>
        </w:tc>
        <w:tc>
          <w:tcPr>
            <w:tcW w:w="996" w:type="dxa"/>
            <w:gridSpan w:val="3"/>
            <w:shd w:val="clear" w:color="auto" w:fill="auto"/>
            <w:noWrap/>
            <w:hideMark/>
          </w:tcPr>
          <w:p w14:paraId="672E84F6"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850D4">
              <w:rPr>
                <w:rFonts w:eastAsia="Times New Roman" w:cstheme="minorHAnsi"/>
                <w:color w:val="000000"/>
                <w:sz w:val="20"/>
                <w:szCs w:val="20"/>
                <w:lang w:eastAsia="en-GB"/>
              </w:rPr>
              <w:t>36.9</w:t>
            </w:r>
          </w:p>
        </w:tc>
        <w:tc>
          <w:tcPr>
            <w:tcW w:w="1414" w:type="dxa"/>
            <w:shd w:val="clear" w:color="auto" w:fill="auto"/>
            <w:noWrap/>
          </w:tcPr>
          <w:p w14:paraId="7EAFC50E"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850D4">
              <w:rPr>
                <w:rFonts w:eastAsia="Times New Roman" w:cstheme="minorHAnsi"/>
                <w:color w:val="000000"/>
                <w:sz w:val="20"/>
                <w:szCs w:val="20"/>
                <w:lang w:eastAsia="en-GB"/>
              </w:rPr>
              <w:t>20.7</w:t>
            </w:r>
          </w:p>
        </w:tc>
        <w:tc>
          <w:tcPr>
            <w:tcW w:w="222" w:type="dxa"/>
          </w:tcPr>
          <w:p w14:paraId="3827954F" w14:textId="77777777" w:rsidR="00182884" w:rsidRPr="00D850D4" w:rsidRDefault="00182884" w:rsidP="000A7109">
            <w:pPr>
              <w:spacing w:after="0" w:line="240" w:lineRule="auto"/>
              <w:jc w:val="right"/>
              <w:rPr>
                <w:rFonts w:eastAsia="Times New Roman" w:cstheme="minorHAnsi"/>
                <w:color w:val="000000"/>
                <w:sz w:val="20"/>
                <w:szCs w:val="20"/>
                <w:lang w:eastAsia="en-GB"/>
              </w:rPr>
            </w:pPr>
          </w:p>
        </w:tc>
        <w:tc>
          <w:tcPr>
            <w:tcW w:w="1337" w:type="dxa"/>
          </w:tcPr>
          <w:p w14:paraId="6197CED7"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850D4">
              <w:rPr>
                <w:rFonts w:eastAsia="Times New Roman" w:cstheme="minorHAnsi"/>
                <w:color w:val="000000"/>
                <w:sz w:val="20"/>
                <w:szCs w:val="20"/>
                <w:lang w:eastAsia="en-GB"/>
              </w:rPr>
              <w:t xml:space="preserve"> 4.5</w:t>
            </w:r>
          </w:p>
        </w:tc>
        <w:tc>
          <w:tcPr>
            <w:tcW w:w="1417" w:type="dxa"/>
            <w:shd w:val="clear" w:color="auto" w:fill="auto"/>
            <w:noWrap/>
            <w:hideMark/>
          </w:tcPr>
          <w:p w14:paraId="17E6F177"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850D4">
              <w:rPr>
                <w:rFonts w:eastAsia="Times New Roman" w:cstheme="minorHAnsi"/>
                <w:color w:val="000000"/>
                <w:sz w:val="20"/>
                <w:szCs w:val="20"/>
                <w:lang w:eastAsia="en-GB"/>
              </w:rPr>
              <w:t xml:space="preserve"> 8.0</w:t>
            </w:r>
          </w:p>
        </w:tc>
        <w:tc>
          <w:tcPr>
            <w:tcW w:w="1118" w:type="dxa"/>
            <w:shd w:val="clear" w:color="auto" w:fill="auto"/>
            <w:noWrap/>
            <w:hideMark/>
          </w:tcPr>
          <w:p w14:paraId="11CA102A"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850D4">
              <w:rPr>
                <w:rFonts w:eastAsia="Times New Roman" w:cstheme="minorHAnsi"/>
                <w:color w:val="000000"/>
                <w:sz w:val="20"/>
                <w:szCs w:val="20"/>
                <w:lang w:eastAsia="en-GB"/>
              </w:rPr>
              <w:t>-3.5</w:t>
            </w:r>
          </w:p>
        </w:tc>
        <w:tc>
          <w:tcPr>
            <w:tcW w:w="1118" w:type="dxa"/>
            <w:shd w:val="clear" w:color="auto" w:fill="auto"/>
            <w:noWrap/>
            <w:hideMark/>
          </w:tcPr>
          <w:p w14:paraId="0FDADC00"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850D4">
              <w:rPr>
                <w:rFonts w:eastAsia="Times New Roman" w:cstheme="minorHAnsi"/>
                <w:color w:val="000000"/>
                <w:sz w:val="20"/>
                <w:szCs w:val="20"/>
                <w:lang w:eastAsia="en-GB"/>
              </w:rPr>
              <w:t>[-7.6</w:t>
            </w:r>
            <w:r>
              <w:rPr>
                <w:rFonts w:eastAsia="Times New Roman" w:cstheme="minorHAnsi"/>
                <w:color w:val="000000"/>
                <w:sz w:val="20"/>
                <w:szCs w:val="20"/>
                <w:lang w:eastAsia="en-GB"/>
              </w:rPr>
              <w:t>–</w:t>
            </w:r>
            <w:r w:rsidRPr="00D850D4">
              <w:rPr>
                <w:rFonts w:eastAsia="Times New Roman" w:cstheme="minorHAnsi"/>
                <w:color w:val="000000"/>
                <w:sz w:val="20"/>
                <w:szCs w:val="20"/>
                <w:lang w:eastAsia="en-GB"/>
              </w:rPr>
              <w:t xml:space="preserve"> 0.6]</w:t>
            </w:r>
          </w:p>
        </w:tc>
      </w:tr>
      <w:tr w:rsidR="00182884" w:rsidRPr="00D850D4" w14:paraId="01800E9B" w14:textId="77777777" w:rsidTr="000A7109">
        <w:trPr>
          <w:trHeight w:val="288"/>
        </w:trPr>
        <w:tc>
          <w:tcPr>
            <w:tcW w:w="280" w:type="dxa"/>
            <w:shd w:val="clear" w:color="auto" w:fill="auto"/>
            <w:noWrap/>
          </w:tcPr>
          <w:p w14:paraId="7C34E121" w14:textId="77777777" w:rsidR="00182884" w:rsidRPr="00D850D4" w:rsidRDefault="00182884" w:rsidP="000A7109">
            <w:pPr>
              <w:spacing w:after="0" w:line="240" w:lineRule="auto"/>
              <w:jc w:val="left"/>
              <w:rPr>
                <w:rFonts w:eastAsia="Times New Roman" w:cstheme="minorHAnsi"/>
                <w:color w:val="000000"/>
                <w:sz w:val="20"/>
                <w:szCs w:val="20"/>
                <w:lang w:eastAsia="en-GB"/>
              </w:rPr>
            </w:pPr>
          </w:p>
        </w:tc>
        <w:tc>
          <w:tcPr>
            <w:tcW w:w="1705" w:type="dxa"/>
            <w:shd w:val="clear" w:color="auto" w:fill="auto"/>
            <w:noWrap/>
            <w:hideMark/>
          </w:tcPr>
          <w:p w14:paraId="13AD992A" w14:textId="77777777" w:rsidR="00182884" w:rsidRPr="00D850D4" w:rsidRDefault="00182884" w:rsidP="000A7109">
            <w:pPr>
              <w:spacing w:after="0" w:line="240" w:lineRule="auto"/>
              <w:jc w:val="left"/>
              <w:rPr>
                <w:rFonts w:eastAsia="Times New Roman" w:cstheme="minorHAnsi"/>
                <w:color w:val="000000"/>
                <w:sz w:val="20"/>
                <w:szCs w:val="20"/>
                <w:lang w:eastAsia="en-GB"/>
              </w:rPr>
            </w:pPr>
            <w:r w:rsidRPr="00D850D4">
              <w:rPr>
                <w:rFonts w:eastAsia="Times New Roman" w:cstheme="minorHAnsi"/>
                <w:color w:val="000000"/>
                <w:sz w:val="20"/>
                <w:szCs w:val="20"/>
                <w:lang w:eastAsia="en-GB"/>
              </w:rPr>
              <w:t>Urban</w:t>
            </w:r>
          </w:p>
        </w:tc>
        <w:tc>
          <w:tcPr>
            <w:tcW w:w="996" w:type="dxa"/>
            <w:gridSpan w:val="3"/>
            <w:shd w:val="clear" w:color="auto" w:fill="auto"/>
            <w:noWrap/>
            <w:hideMark/>
          </w:tcPr>
          <w:p w14:paraId="05D9A293"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850D4">
              <w:rPr>
                <w:rFonts w:eastAsia="Times New Roman" w:cstheme="minorHAnsi"/>
                <w:color w:val="000000"/>
                <w:sz w:val="20"/>
                <w:szCs w:val="20"/>
                <w:lang w:eastAsia="en-GB"/>
              </w:rPr>
              <w:t>29.3</w:t>
            </w:r>
          </w:p>
        </w:tc>
        <w:tc>
          <w:tcPr>
            <w:tcW w:w="1414" w:type="dxa"/>
            <w:shd w:val="clear" w:color="auto" w:fill="auto"/>
            <w:noWrap/>
          </w:tcPr>
          <w:p w14:paraId="093E8B5E"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850D4">
              <w:rPr>
                <w:rFonts w:eastAsia="Times New Roman" w:cstheme="minorHAnsi"/>
                <w:color w:val="000000"/>
                <w:sz w:val="20"/>
                <w:szCs w:val="20"/>
                <w:lang w:eastAsia="en-GB"/>
              </w:rPr>
              <w:t>17.8</w:t>
            </w:r>
          </w:p>
        </w:tc>
        <w:tc>
          <w:tcPr>
            <w:tcW w:w="222" w:type="dxa"/>
          </w:tcPr>
          <w:p w14:paraId="3F753DD6" w14:textId="77777777" w:rsidR="00182884" w:rsidRPr="00D850D4" w:rsidRDefault="00182884" w:rsidP="000A7109">
            <w:pPr>
              <w:spacing w:after="0" w:line="240" w:lineRule="auto"/>
              <w:jc w:val="right"/>
              <w:rPr>
                <w:rFonts w:eastAsia="Times New Roman" w:cstheme="minorHAnsi"/>
                <w:color w:val="000000"/>
                <w:sz w:val="20"/>
                <w:szCs w:val="20"/>
                <w:lang w:eastAsia="en-GB"/>
              </w:rPr>
            </w:pPr>
          </w:p>
        </w:tc>
        <w:tc>
          <w:tcPr>
            <w:tcW w:w="1337" w:type="dxa"/>
          </w:tcPr>
          <w:p w14:paraId="0FD2066C"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850D4">
              <w:rPr>
                <w:rFonts w:eastAsia="Times New Roman" w:cstheme="minorHAnsi"/>
                <w:color w:val="000000"/>
                <w:sz w:val="20"/>
                <w:szCs w:val="20"/>
                <w:lang w:eastAsia="en-GB"/>
              </w:rPr>
              <w:t>12.1</w:t>
            </w:r>
          </w:p>
        </w:tc>
        <w:tc>
          <w:tcPr>
            <w:tcW w:w="1417" w:type="dxa"/>
            <w:shd w:val="clear" w:color="auto" w:fill="auto"/>
            <w:noWrap/>
            <w:hideMark/>
          </w:tcPr>
          <w:p w14:paraId="074D223F"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850D4">
              <w:rPr>
                <w:rFonts w:eastAsia="Times New Roman" w:cstheme="minorHAnsi"/>
                <w:color w:val="000000"/>
                <w:sz w:val="20"/>
                <w:szCs w:val="20"/>
                <w:lang w:eastAsia="en-GB"/>
              </w:rPr>
              <w:t>10.9</w:t>
            </w:r>
          </w:p>
        </w:tc>
        <w:tc>
          <w:tcPr>
            <w:tcW w:w="1118" w:type="dxa"/>
            <w:shd w:val="clear" w:color="auto" w:fill="auto"/>
            <w:noWrap/>
            <w:hideMark/>
          </w:tcPr>
          <w:p w14:paraId="35278987"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850D4">
              <w:rPr>
                <w:rFonts w:eastAsia="Times New Roman" w:cstheme="minorHAnsi"/>
                <w:color w:val="000000"/>
                <w:sz w:val="20"/>
                <w:szCs w:val="20"/>
                <w:lang w:eastAsia="en-GB"/>
              </w:rPr>
              <w:t xml:space="preserve"> 1.3</w:t>
            </w:r>
          </w:p>
        </w:tc>
        <w:tc>
          <w:tcPr>
            <w:tcW w:w="1118" w:type="dxa"/>
            <w:shd w:val="clear" w:color="auto" w:fill="auto"/>
            <w:noWrap/>
            <w:hideMark/>
          </w:tcPr>
          <w:p w14:paraId="48D3D430"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850D4">
              <w:rPr>
                <w:rFonts w:eastAsia="Times New Roman" w:cstheme="minorHAnsi"/>
                <w:color w:val="000000"/>
                <w:sz w:val="20"/>
                <w:szCs w:val="20"/>
                <w:lang w:eastAsia="en-GB"/>
              </w:rPr>
              <w:t>[-3.6</w:t>
            </w:r>
            <w:r>
              <w:rPr>
                <w:rFonts w:eastAsia="Times New Roman" w:cstheme="minorHAnsi"/>
                <w:color w:val="000000"/>
                <w:sz w:val="20"/>
                <w:szCs w:val="20"/>
                <w:lang w:eastAsia="en-GB"/>
              </w:rPr>
              <w:t>–</w:t>
            </w:r>
            <w:r w:rsidRPr="00D850D4">
              <w:rPr>
                <w:rFonts w:eastAsia="Times New Roman" w:cstheme="minorHAnsi"/>
                <w:color w:val="000000"/>
                <w:sz w:val="20"/>
                <w:szCs w:val="20"/>
                <w:lang w:eastAsia="en-GB"/>
              </w:rPr>
              <w:t xml:space="preserve"> 6.2]</w:t>
            </w:r>
          </w:p>
        </w:tc>
      </w:tr>
      <w:tr w:rsidR="00182884" w:rsidRPr="00D850D4" w14:paraId="6D259516" w14:textId="77777777" w:rsidTr="000A7109">
        <w:trPr>
          <w:trHeight w:val="288"/>
        </w:trPr>
        <w:tc>
          <w:tcPr>
            <w:tcW w:w="2981" w:type="dxa"/>
            <w:gridSpan w:val="5"/>
            <w:shd w:val="clear" w:color="auto" w:fill="auto"/>
            <w:noWrap/>
          </w:tcPr>
          <w:p w14:paraId="28BD09A1" w14:textId="77777777" w:rsidR="00182884" w:rsidRPr="00D850D4" w:rsidRDefault="00182884" w:rsidP="000A7109">
            <w:pPr>
              <w:spacing w:after="0" w:line="240" w:lineRule="auto"/>
              <w:jc w:val="left"/>
              <w:rPr>
                <w:rFonts w:eastAsia="Times New Roman" w:cstheme="minorHAnsi"/>
                <w:color w:val="000000"/>
                <w:sz w:val="20"/>
                <w:szCs w:val="20"/>
                <w:lang w:eastAsia="en-GB"/>
              </w:rPr>
            </w:pPr>
            <w:r w:rsidRPr="00D850D4">
              <w:rPr>
                <w:rFonts w:eastAsia="Arial" w:cstheme="minorHAnsi"/>
                <w:b/>
                <w:bCs/>
                <w:color w:val="000000"/>
                <w:sz w:val="20"/>
                <w:szCs w:val="20"/>
              </w:rPr>
              <w:t>Distance to the nearest Clinic</w:t>
            </w:r>
          </w:p>
        </w:tc>
        <w:tc>
          <w:tcPr>
            <w:tcW w:w="1414" w:type="dxa"/>
            <w:shd w:val="clear" w:color="auto" w:fill="auto"/>
            <w:noWrap/>
          </w:tcPr>
          <w:p w14:paraId="77273D9A" w14:textId="77777777" w:rsidR="00182884" w:rsidRPr="00D850D4" w:rsidRDefault="00182884" w:rsidP="000A7109">
            <w:pPr>
              <w:spacing w:after="0" w:line="240" w:lineRule="auto"/>
              <w:jc w:val="right"/>
              <w:rPr>
                <w:rFonts w:eastAsia="Times New Roman" w:cstheme="minorHAnsi"/>
                <w:color w:val="000000"/>
                <w:sz w:val="20"/>
                <w:szCs w:val="20"/>
                <w:lang w:eastAsia="en-GB"/>
              </w:rPr>
            </w:pPr>
          </w:p>
        </w:tc>
        <w:tc>
          <w:tcPr>
            <w:tcW w:w="222" w:type="dxa"/>
          </w:tcPr>
          <w:p w14:paraId="377339AA" w14:textId="77777777" w:rsidR="00182884" w:rsidRPr="00D850D4" w:rsidRDefault="00182884" w:rsidP="000A7109">
            <w:pPr>
              <w:spacing w:after="0" w:line="240" w:lineRule="auto"/>
              <w:jc w:val="right"/>
              <w:rPr>
                <w:rFonts w:eastAsia="Times New Roman" w:cstheme="minorHAnsi"/>
                <w:color w:val="000000"/>
                <w:sz w:val="20"/>
                <w:szCs w:val="20"/>
                <w:lang w:eastAsia="en-GB"/>
              </w:rPr>
            </w:pPr>
          </w:p>
        </w:tc>
        <w:tc>
          <w:tcPr>
            <w:tcW w:w="1337" w:type="dxa"/>
            <w:shd w:val="clear" w:color="auto" w:fill="auto"/>
            <w:noWrap/>
          </w:tcPr>
          <w:p w14:paraId="5A78029A" w14:textId="77777777" w:rsidR="00182884" w:rsidRPr="00D850D4" w:rsidRDefault="00182884" w:rsidP="000A7109">
            <w:pPr>
              <w:spacing w:after="0" w:line="240" w:lineRule="auto"/>
              <w:jc w:val="right"/>
              <w:rPr>
                <w:rFonts w:eastAsia="Times New Roman" w:cstheme="minorHAnsi"/>
                <w:color w:val="000000"/>
                <w:sz w:val="20"/>
                <w:szCs w:val="20"/>
                <w:lang w:eastAsia="en-GB"/>
              </w:rPr>
            </w:pPr>
          </w:p>
        </w:tc>
        <w:tc>
          <w:tcPr>
            <w:tcW w:w="1417" w:type="dxa"/>
          </w:tcPr>
          <w:p w14:paraId="4908B19A" w14:textId="77777777" w:rsidR="00182884" w:rsidRPr="00D850D4" w:rsidRDefault="00182884" w:rsidP="000A7109">
            <w:pPr>
              <w:spacing w:after="0" w:line="240" w:lineRule="auto"/>
              <w:jc w:val="right"/>
              <w:rPr>
                <w:rFonts w:eastAsia="Times New Roman" w:cstheme="minorHAnsi"/>
                <w:color w:val="000000"/>
                <w:sz w:val="20"/>
                <w:szCs w:val="20"/>
                <w:lang w:eastAsia="en-GB"/>
              </w:rPr>
            </w:pPr>
          </w:p>
        </w:tc>
        <w:tc>
          <w:tcPr>
            <w:tcW w:w="1118" w:type="dxa"/>
            <w:shd w:val="clear" w:color="auto" w:fill="auto"/>
            <w:noWrap/>
          </w:tcPr>
          <w:p w14:paraId="6D922ABF" w14:textId="77777777" w:rsidR="00182884" w:rsidRPr="00D850D4" w:rsidRDefault="00182884" w:rsidP="000A7109">
            <w:pPr>
              <w:spacing w:after="0" w:line="240" w:lineRule="auto"/>
              <w:jc w:val="right"/>
              <w:rPr>
                <w:rFonts w:eastAsia="Times New Roman" w:cstheme="minorHAnsi"/>
                <w:color w:val="000000"/>
                <w:sz w:val="20"/>
                <w:szCs w:val="20"/>
                <w:lang w:eastAsia="en-GB"/>
              </w:rPr>
            </w:pPr>
          </w:p>
        </w:tc>
        <w:tc>
          <w:tcPr>
            <w:tcW w:w="1118" w:type="dxa"/>
            <w:shd w:val="clear" w:color="auto" w:fill="auto"/>
            <w:noWrap/>
          </w:tcPr>
          <w:p w14:paraId="1B7EDE5F" w14:textId="77777777" w:rsidR="00182884" w:rsidRPr="00D850D4" w:rsidRDefault="00182884" w:rsidP="000A7109">
            <w:pPr>
              <w:spacing w:after="0" w:line="240" w:lineRule="auto"/>
              <w:jc w:val="right"/>
              <w:rPr>
                <w:rFonts w:eastAsia="Times New Roman" w:cstheme="minorHAnsi"/>
                <w:color w:val="000000"/>
                <w:sz w:val="20"/>
                <w:szCs w:val="20"/>
                <w:lang w:eastAsia="en-GB"/>
              </w:rPr>
            </w:pPr>
          </w:p>
        </w:tc>
      </w:tr>
      <w:tr w:rsidR="00182884" w:rsidRPr="00D850D4" w14:paraId="0822F663" w14:textId="77777777" w:rsidTr="000A7109">
        <w:trPr>
          <w:trHeight w:val="288"/>
        </w:trPr>
        <w:tc>
          <w:tcPr>
            <w:tcW w:w="280" w:type="dxa"/>
            <w:shd w:val="clear" w:color="auto" w:fill="auto"/>
            <w:noWrap/>
          </w:tcPr>
          <w:p w14:paraId="55D55E22" w14:textId="77777777" w:rsidR="00182884" w:rsidRPr="00D850D4" w:rsidRDefault="00182884" w:rsidP="000A7109">
            <w:pPr>
              <w:spacing w:after="0" w:line="240" w:lineRule="auto"/>
              <w:jc w:val="left"/>
              <w:rPr>
                <w:rFonts w:eastAsia="Times New Roman" w:cstheme="minorHAnsi"/>
                <w:color w:val="000000"/>
                <w:sz w:val="20"/>
                <w:szCs w:val="20"/>
                <w:lang w:eastAsia="en-GB"/>
              </w:rPr>
            </w:pPr>
          </w:p>
        </w:tc>
        <w:tc>
          <w:tcPr>
            <w:tcW w:w="1705" w:type="dxa"/>
            <w:shd w:val="clear" w:color="auto" w:fill="auto"/>
            <w:noWrap/>
            <w:hideMark/>
          </w:tcPr>
          <w:p w14:paraId="758922FA" w14:textId="77777777" w:rsidR="00182884" w:rsidRPr="00D850D4" w:rsidRDefault="00182884" w:rsidP="000A7109">
            <w:pPr>
              <w:spacing w:after="0" w:line="240" w:lineRule="auto"/>
              <w:jc w:val="left"/>
              <w:rPr>
                <w:rFonts w:eastAsia="Times New Roman" w:cstheme="minorHAnsi"/>
                <w:color w:val="000000"/>
                <w:sz w:val="20"/>
                <w:szCs w:val="20"/>
                <w:lang w:eastAsia="en-GB"/>
              </w:rPr>
            </w:pPr>
            <w:r w:rsidRPr="00D850D4">
              <w:rPr>
                <w:rFonts w:eastAsia="Times New Roman" w:cstheme="minorHAnsi"/>
                <w:color w:val="000000"/>
                <w:sz w:val="20"/>
                <w:szCs w:val="20"/>
                <w:lang w:eastAsia="en-GB"/>
              </w:rPr>
              <w:t>4 km or below</w:t>
            </w:r>
          </w:p>
        </w:tc>
        <w:tc>
          <w:tcPr>
            <w:tcW w:w="996" w:type="dxa"/>
            <w:gridSpan w:val="3"/>
            <w:shd w:val="clear" w:color="auto" w:fill="auto"/>
            <w:noWrap/>
            <w:hideMark/>
          </w:tcPr>
          <w:p w14:paraId="290FCEDA"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850D4">
              <w:rPr>
                <w:rFonts w:eastAsia="Times New Roman" w:cstheme="minorHAnsi"/>
                <w:color w:val="000000"/>
                <w:sz w:val="20"/>
                <w:szCs w:val="20"/>
                <w:lang w:eastAsia="en-GB"/>
              </w:rPr>
              <w:t>38.1</w:t>
            </w:r>
          </w:p>
        </w:tc>
        <w:tc>
          <w:tcPr>
            <w:tcW w:w="1414" w:type="dxa"/>
            <w:shd w:val="clear" w:color="auto" w:fill="auto"/>
            <w:noWrap/>
          </w:tcPr>
          <w:p w14:paraId="5E7F48C0"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850D4">
              <w:rPr>
                <w:rFonts w:eastAsia="Times New Roman" w:cstheme="minorHAnsi"/>
                <w:color w:val="000000"/>
                <w:sz w:val="20"/>
                <w:szCs w:val="20"/>
                <w:lang w:eastAsia="en-GB"/>
              </w:rPr>
              <w:t>23.3</w:t>
            </w:r>
          </w:p>
        </w:tc>
        <w:tc>
          <w:tcPr>
            <w:tcW w:w="222" w:type="dxa"/>
          </w:tcPr>
          <w:p w14:paraId="5416D97F" w14:textId="77777777" w:rsidR="00182884" w:rsidRPr="00D850D4" w:rsidRDefault="00182884" w:rsidP="000A7109">
            <w:pPr>
              <w:spacing w:after="0" w:line="240" w:lineRule="auto"/>
              <w:jc w:val="right"/>
              <w:rPr>
                <w:rFonts w:eastAsia="Times New Roman" w:cstheme="minorHAnsi"/>
                <w:color w:val="000000"/>
                <w:sz w:val="20"/>
                <w:szCs w:val="20"/>
                <w:lang w:eastAsia="en-GB"/>
              </w:rPr>
            </w:pPr>
          </w:p>
        </w:tc>
        <w:tc>
          <w:tcPr>
            <w:tcW w:w="1337" w:type="dxa"/>
          </w:tcPr>
          <w:p w14:paraId="0BA2BE9F" w14:textId="77777777" w:rsidR="00182884" w:rsidRPr="006C08B8" w:rsidRDefault="00182884" w:rsidP="000A7109">
            <w:pPr>
              <w:spacing w:after="0" w:line="240" w:lineRule="auto"/>
              <w:jc w:val="right"/>
              <w:rPr>
                <w:rFonts w:eastAsia="Times New Roman" w:cstheme="minorHAnsi"/>
                <w:i/>
                <w:iCs/>
                <w:color w:val="000000"/>
                <w:sz w:val="20"/>
                <w:szCs w:val="20"/>
                <w:lang w:eastAsia="en-GB"/>
              </w:rPr>
            </w:pPr>
            <w:r w:rsidRPr="006C08B8">
              <w:rPr>
                <w:rFonts w:eastAsia="Times New Roman" w:cstheme="minorHAnsi"/>
                <w:i/>
                <w:iCs/>
                <w:color w:val="000000"/>
                <w:sz w:val="20"/>
                <w:szCs w:val="20"/>
                <w:lang w:eastAsia="en-GB"/>
              </w:rPr>
              <w:t>ref</w:t>
            </w:r>
          </w:p>
        </w:tc>
        <w:tc>
          <w:tcPr>
            <w:tcW w:w="1417" w:type="dxa"/>
            <w:shd w:val="clear" w:color="auto" w:fill="auto"/>
            <w:noWrap/>
          </w:tcPr>
          <w:p w14:paraId="7D77994C"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6C08B8">
              <w:rPr>
                <w:rFonts w:eastAsia="Times New Roman" w:cstheme="minorHAnsi"/>
                <w:i/>
                <w:iCs/>
                <w:color w:val="000000"/>
                <w:sz w:val="20"/>
                <w:szCs w:val="20"/>
                <w:lang w:eastAsia="en-GB"/>
              </w:rPr>
              <w:t>ref</w:t>
            </w:r>
          </w:p>
        </w:tc>
        <w:tc>
          <w:tcPr>
            <w:tcW w:w="1118" w:type="dxa"/>
            <w:shd w:val="clear" w:color="auto" w:fill="auto"/>
            <w:noWrap/>
          </w:tcPr>
          <w:p w14:paraId="7040FA02"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6C08B8">
              <w:rPr>
                <w:rFonts w:eastAsia="Times New Roman" w:cstheme="minorHAnsi"/>
                <w:i/>
                <w:iCs/>
                <w:color w:val="000000"/>
                <w:sz w:val="20"/>
                <w:szCs w:val="20"/>
                <w:lang w:eastAsia="en-GB"/>
              </w:rPr>
              <w:t>ref</w:t>
            </w:r>
          </w:p>
        </w:tc>
        <w:tc>
          <w:tcPr>
            <w:tcW w:w="1118" w:type="dxa"/>
            <w:shd w:val="clear" w:color="auto" w:fill="auto"/>
            <w:noWrap/>
          </w:tcPr>
          <w:p w14:paraId="07C4133E" w14:textId="77777777" w:rsidR="00182884" w:rsidRPr="00D850D4" w:rsidRDefault="00182884" w:rsidP="000A7109">
            <w:pPr>
              <w:spacing w:after="0" w:line="240" w:lineRule="auto"/>
              <w:jc w:val="right"/>
              <w:rPr>
                <w:rFonts w:eastAsia="Times New Roman" w:cstheme="minorHAnsi"/>
                <w:color w:val="000000"/>
                <w:sz w:val="20"/>
                <w:szCs w:val="20"/>
                <w:lang w:eastAsia="en-GB"/>
              </w:rPr>
            </w:pPr>
          </w:p>
        </w:tc>
      </w:tr>
      <w:tr w:rsidR="00182884" w:rsidRPr="00D850D4" w14:paraId="1FE1FB8A" w14:textId="77777777" w:rsidTr="000A7109">
        <w:trPr>
          <w:trHeight w:val="288"/>
        </w:trPr>
        <w:tc>
          <w:tcPr>
            <w:tcW w:w="280" w:type="dxa"/>
            <w:tcBorders>
              <w:bottom w:val="single" w:sz="4" w:space="0" w:color="auto"/>
            </w:tcBorders>
            <w:shd w:val="clear" w:color="auto" w:fill="auto"/>
            <w:noWrap/>
          </w:tcPr>
          <w:p w14:paraId="4052E4AB" w14:textId="77777777" w:rsidR="00182884" w:rsidRPr="00D850D4" w:rsidRDefault="00182884" w:rsidP="000A7109">
            <w:pPr>
              <w:spacing w:after="0" w:line="240" w:lineRule="auto"/>
              <w:jc w:val="left"/>
              <w:rPr>
                <w:rFonts w:eastAsia="Times New Roman" w:cstheme="minorHAnsi"/>
                <w:color w:val="000000"/>
                <w:sz w:val="20"/>
                <w:szCs w:val="20"/>
                <w:lang w:eastAsia="en-GB"/>
              </w:rPr>
            </w:pPr>
          </w:p>
        </w:tc>
        <w:tc>
          <w:tcPr>
            <w:tcW w:w="1705" w:type="dxa"/>
            <w:tcBorders>
              <w:bottom w:val="single" w:sz="4" w:space="0" w:color="auto"/>
            </w:tcBorders>
            <w:shd w:val="clear" w:color="auto" w:fill="auto"/>
            <w:noWrap/>
            <w:hideMark/>
          </w:tcPr>
          <w:p w14:paraId="471B5082" w14:textId="77777777" w:rsidR="00182884" w:rsidRPr="00D850D4" w:rsidRDefault="00182884" w:rsidP="000A7109">
            <w:pPr>
              <w:spacing w:after="0" w:line="240" w:lineRule="auto"/>
              <w:jc w:val="left"/>
              <w:rPr>
                <w:rFonts w:eastAsia="Times New Roman" w:cstheme="minorHAnsi"/>
                <w:color w:val="000000"/>
                <w:sz w:val="20"/>
                <w:szCs w:val="20"/>
                <w:lang w:eastAsia="en-GB"/>
              </w:rPr>
            </w:pPr>
            <w:r w:rsidRPr="00D850D4">
              <w:rPr>
                <w:rFonts w:eastAsia="Times New Roman" w:cstheme="minorHAnsi"/>
                <w:color w:val="000000"/>
                <w:sz w:val="20"/>
                <w:szCs w:val="20"/>
                <w:lang w:eastAsia="en-GB"/>
              </w:rPr>
              <w:t>&gt;4km</w:t>
            </w:r>
          </w:p>
        </w:tc>
        <w:tc>
          <w:tcPr>
            <w:tcW w:w="996" w:type="dxa"/>
            <w:gridSpan w:val="3"/>
            <w:tcBorders>
              <w:bottom w:val="single" w:sz="4" w:space="0" w:color="auto"/>
            </w:tcBorders>
            <w:shd w:val="clear" w:color="auto" w:fill="auto"/>
            <w:noWrap/>
            <w:hideMark/>
          </w:tcPr>
          <w:p w14:paraId="7DEC63A3"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850D4">
              <w:rPr>
                <w:rFonts w:eastAsia="Times New Roman" w:cstheme="minorHAnsi"/>
                <w:color w:val="000000"/>
                <w:sz w:val="20"/>
                <w:szCs w:val="20"/>
                <w:lang w:eastAsia="en-GB"/>
              </w:rPr>
              <w:t>43.2</w:t>
            </w:r>
          </w:p>
        </w:tc>
        <w:tc>
          <w:tcPr>
            <w:tcW w:w="1414" w:type="dxa"/>
            <w:tcBorders>
              <w:bottom w:val="single" w:sz="4" w:space="0" w:color="auto"/>
            </w:tcBorders>
            <w:shd w:val="clear" w:color="auto" w:fill="auto"/>
            <w:noWrap/>
          </w:tcPr>
          <w:p w14:paraId="70B7714D"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850D4">
              <w:rPr>
                <w:rFonts w:eastAsia="Times New Roman" w:cstheme="minorHAnsi"/>
                <w:color w:val="000000"/>
                <w:sz w:val="20"/>
                <w:szCs w:val="20"/>
                <w:lang w:eastAsia="en-GB"/>
              </w:rPr>
              <w:t>30.9</w:t>
            </w:r>
          </w:p>
        </w:tc>
        <w:tc>
          <w:tcPr>
            <w:tcW w:w="222" w:type="dxa"/>
            <w:tcBorders>
              <w:bottom w:val="single" w:sz="4" w:space="0" w:color="auto"/>
            </w:tcBorders>
          </w:tcPr>
          <w:p w14:paraId="48829860" w14:textId="77777777" w:rsidR="00182884" w:rsidRPr="00D850D4" w:rsidRDefault="00182884" w:rsidP="000A7109">
            <w:pPr>
              <w:spacing w:after="0" w:line="240" w:lineRule="auto"/>
              <w:jc w:val="right"/>
              <w:rPr>
                <w:rFonts w:eastAsia="Times New Roman" w:cstheme="minorHAnsi"/>
                <w:color w:val="000000"/>
                <w:sz w:val="20"/>
                <w:szCs w:val="20"/>
                <w:lang w:eastAsia="en-GB"/>
              </w:rPr>
            </w:pPr>
          </w:p>
        </w:tc>
        <w:tc>
          <w:tcPr>
            <w:tcW w:w="1337" w:type="dxa"/>
            <w:tcBorders>
              <w:bottom w:val="single" w:sz="4" w:space="0" w:color="auto"/>
            </w:tcBorders>
          </w:tcPr>
          <w:p w14:paraId="551C6906"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850D4">
              <w:rPr>
                <w:rFonts w:eastAsia="Times New Roman" w:cstheme="minorHAnsi"/>
                <w:color w:val="000000"/>
                <w:sz w:val="20"/>
                <w:szCs w:val="20"/>
                <w:lang w:eastAsia="en-GB"/>
              </w:rPr>
              <w:t>-5.1</w:t>
            </w:r>
          </w:p>
        </w:tc>
        <w:tc>
          <w:tcPr>
            <w:tcW w:w="1417" w:type="dxa"/>
            <w:tcBorders>
              <w:bottom w:val="single" w:sz="4" w:space="0" w:color="auto"/>
            </w:tcBorders>
            <w:shd w:val="clear" w:color="auto" w:fill="auto"/>
            <w:noWrap/>
            <w:hideMark/>
          </w:tcPr>
          <w:p w14:paraId="3DF5F654"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850D4">
              <w:rPr>
                <w:rFonts w:eastAsia="Times New Roman" w:cstheme="minorHAnsi"/>
                <w:color w:val="000000"/>
                <w:sz w:val="20"/>
                <w:szCs w:val="20"/>
                <w:lang w:eastAsia="en-GB"/>
              </w:rPr>
              <w:t>-7.6</w:t>
            </w:r>
          </w:p>
        </w:tc>
        <w:tc>
          <w:tcPr>
            <w:tcW w:w="1118" w:type="dxa"/>
            <w:tcBorders>
              <w:bottom w:val="single" w:sz="4" w:space="0" w:color="auto"/>
            </w:tcBorders>
            <w:shd w:val="clear" w:color="auto" w:fill="auto"/>
            <w:noWrap/>
            <w:hideMark/>
          </w:tcPr>
          <w:p w14:paraId="1FF7C49E"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850D4">
              <w:rPr>
                <w:rFonts w:eastAsia="Times New Roman" w:cstheme="minorHAnsi"/>
                <w:color w:val="000000"/>
                <w:sz w:val="20"/>
                <w:szCs w:val="20"/>
                <w:lang w:eastAsia="en-GB"/>
              </w:rPr>
              <w:t xml:space="preserve"> 2.4</w:t>
            </w:r>
          </w:p>
        </w:tc>
        <w:tc>
          <w:tcPr>
            <w:tcW w:w="1118" w:type="dxa"/>
            <w:tcBorders>
              <w:bottom w:val="single" w:sz="4" w:space="0" w:color="auto"/>
            </w:tcBorders>
            <w:shd w:val="clear" w:color="auto" w:fill="auto"/>
            <w:noWrap/>
            <w:hideMark/>
          </w:tcPr>
          <w:p w14:paraId="7F3E9B8A"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850D4">
              <w:rPr>
                <w:rFonts w:eastAsia="Times New Roman" w:cstheme="minorHAnsi"/>
                <w:color w:val="000000"/>
                <w:sz w:val="20"/>
                <w:szCs w:val="20"/>
                <w:lang w:eastAsia="en-GB"/>
              </w:rPr>
              <w:t>[-2.9</w:t>
            </w:r>
            <w:r>
              <w:rPr>
                <w:rFonts w:eastAsia="Times New Roman" w:cstheme="minorHAnsi"/>
                <w:color w:val="000000"/>
                <w:sz w:val="20"/>
                <w:szCs w:val="20"/>
                <w:lang w:eastAsia="en-GB"/>
              </w:rPr>
              <w:t>–</w:t>
            </w:r>
            <w:r w:rsidRPr="00D850D4">
              <w:rPr>
                <w:rFonts w:eastAsia="Times New Roman" w:cstheme="minorHAnsi"/>
                <w:color w:val="000000"/>
                <w:sz w:val="20"/>
                <w:szCs w:val="20"/>
                <w:lang w:eastAsia="en-GB"/>
              </w:rPr>
              <w:t xml:space="preserve"> 7.7]</w:t>
            </w:r>
          </w:p>
        </w:tc>
      </w:tr>
    </w:tbl>
    <w:p w14:paraId="3B7BA118" w14:textId="77777777" w:rsidR="00182884" w:rsidRDefault="00182884" w:rsidP="00182884">
      <w:pPr>
        <w:jc w:val="left"/>
        <w:rPr>
          <w:highlight w:val="yellow"/>
          <w:lang w:val="fr-FR"/>
        </w:rPr>
      </w:pPr>
      <w:r>
        <w:rPr>
          <w:highlight w:val="yellow"/>
          <w:lang w:val="fr-FR"/>
        </w:rPr>
        <w:br w:type="page"/>
      </w:r>
    </w:p>
    <w:p w14:paraId="10DFE5E5" w14:textId="77777777" w:rsidR="00182884" w:rsidRPr="00E94871" w:rsidRDefault="00182884" w:rsidP="00182884">
      <w:pPr>
        <w:spacing w:after="0"/>
        <w:jc w:val="left"/>
        <w:rPr>
          <w:b/>
          <w:bCs/>
        </w:rPr>
      </w:pPr>
      <w:r w:rsidRPr="00E94871">
        <w:rPr>
          <w:b/>
          <w:bCs/>
        </w:rPr>
        <w:lastRenderedPageBreak/>
        <w:t xml:space="preserve">Table </w:t>
      </w:r>
      <w:r>
        <w:rPr>
          <w:b/>
          <w:bCs/>
        </w:rPr>
        <w:t>3. T</w:t>
      </w:r>
      <w:r w:rsidRPr="00E94871">
        <w:rPr>
          <w:b/>
          <w:bCs/>
        </w:rPr>
        <w:t xml:space="preserve">esting uptake, difference within group and </w:t>
      </w:r>
      <w:r w:rsidRPr="00E94871">
        <w:rPr>
          <w:rFonts w:eastAsia="Times New Roman" w:cstheme="minorHAnsi"/>
          <w:b/>
          <w:bCs/>
          <w:color w:val="000000"/>
          <w:sz w:val="20"/>
          <w:szCs w:val="20"/>
          <w:lang w:eastAsia="en-GB"/>
        </w:rPr>
        <w:t>differential i</w:t>
      </w:r>
      <w:r w:rsidRPr="00E94871">
        <w:rPr>
          <w:b/>
          <w:bCs/>
        </w:rPr>
        <w:t xml:space="preserve">ncrease between CFI arms and non-CFI arms, among </w:t>
      </w:r>
      <w:r>
        <w:rPr>
          <w:b/>
          <w:bCs/>
        </w:rPr>
        <w:t>women</w:t>
      </w:r>
      <w:r w:rsidRPr="00E94871">
        <w:rPr>
          <w:b/>
          <w:bCs/>
        </w:rPr>
        <w:t xml:space="preserve"> (n=</w:t>
      </w:r>
      <w:r>
        <w:rPr>
          <w:b/>
          <w:bCs/>
        </w:rPr>
        <w:t>15</w:t>
      </w:r>
      <w:r w:rsidRPr="00E94871">
        <w:rPr>
          <w:b/>
          <w:bCs/>
        </w:rPr>
        <w:t>,2</w:t>
      </w:r>
      <w:r>
        <w:rPr>
          <w:b/>
          <w:bCs/>
        </w:rPr>
        <w:t>8</w:t>
      </w:r>
      <w:r w:rsidRPr="00E94871">
        <w:rPr>
          <w:b/>
          <w:bCs/>
        </w:rPr>
        <w:t>0)</w:t>
      </w:r>
    </w:p>
    <w:tbl>
      <w:tblPr>
        <w:tblW w:w="9765" w:type="dxa"/>
        <w:tblLook w:val="04A0" w:firstRow="1" w:lastRow="0" w:firstColumn="1" w:lastColumn="0" w:noHBand="0" w:noVBand="1"/>
      </w:tblPr>
      <w:tblGrid>
        <w:gridCol w:w="280"/>
        <w:gridCol w:w="1705"/>
        <w:gridCol w:w="283"/>
        <w:gridCol w:w="142"/>
        <w:gridCol w:w="607"/>
        <w:gridCol w:w="1378"/>
        <w:gridCol w:w="222"/>
        <w:gridCol w:w="1337"/>
        <w:gridCol w:w="1417"/>
        <w:gridCol w:w="1276"/>
        <w:gridCol w:w="1136"/>
      </w:tblGrid>
      <w:tr w:rsidR="00182884" w:rsidRPr="00D850D4" w14:paraId="1D562C2D" w14:textId="77777777" w:rsidTr="000A7109">
        <w:trPr>
          <w:trHeight w:val="288"/>
        </w:trPr>
        <w:tc>
          <w:tcPr>
            <w:tcW w:w="280" w:type="dxa"/>
            <w:tcBorders>
              <w:top w:val="single" w:sz="4" w:space="0" w:color="auto"/>
            </w:tcBorders>
            <w:shd w:val="clear" w:color="auto" w:fill="auto"/>
            <w:noWrap/>
            <w:vAlign w:val="bottom"/>
          </w:tcPr>
          <w:p w14:paraId="7883434D" w14:textId="77777777" w:rsidR="00182884" w:rsidRPr="00D850D4" w:rsidRDefault="00182884" w:rsidP="000A7109">
            <w:pPr>
              <w:spacing w:after="0" w:line="240" w:lineRule="auto"/>
              <w:jc w:val="left"/>
              <w:rPr>
                <w:rFonts w:eastAsia="Times New Roman" w:cstheme="minorHAnsi"/>
                <w:color w:val="000000"/>
                <w:sz w:val="20"/>
                <w:szCs w:val="20"/>
                <w:lang w:eastAsia="en-GB"/>
              </w:rPr>
            </w:pPr>
          </w:p>
        </w:tc>
        <w:tc>
          <w:tcPr>
            <w:tcW w:w="1705" w:type="dxa"/>
            <w:tcBorders>
              <w:top w:val="single" w:sz="4" w:space="0" w:color="auto"/>
            </w:tcBorders>
            <w:shd w:val="clear" w:color="auto" w:fill="auto"/>
            <w:noWrap/>
            <w:vAlign w:val="bottom"/>
          </w:tcPr>
          <w:p w14:paraId="5EB9DB41" w14:textId="77777777" w:rsidR="00182884" w:rsidRPr="00D850D4" w:rsidRDefault="00182884" w:rsidP="000A7109">
            <w:pPr>
              <w:spacing w:after="0" w:line="240" w:lineRule="auto"/>
              <w:jc w:val="left"/>
              <w:rPr>
                <w:rFonts w:eastAsia="Times New Roman" w:cstheme="minorHAnsi"/>
                <w:color w:val="000000"/>
                <w:sz w:val="20"/>
                <w:szCs w:val="20"/>
                <w:lang w:eastAsia="en-GB"/>
              </w:rPr>
            </w:pPr>
          </w:p>
        </w:tc>
        <w:tc>
          <w:tcPr>
            <w:tcW w:w="2410" w:type="dxa"/>
            <w:gridSpan w:val="4"/>
            <w:tcBorders>
              <w:top w:val="single" w:sz="4" w:space="0" w:color="auto"/>
              <w:bottom w:val="single" w:sz="4" w:space="0" w:color="auto"/>
            </w:tcBorders>
            <w:shd w:val="clear" w:color="auto" w:fill="auto"/>
            <w:noWrap/>
            <w:vAlign w:val="bottom"/>
          </w:tcPr>
          <w:p w14:paraId="1B1D373D" w14:textId="77777777" w:rsidR="00182884" w:rsidRDefault="00182884" w:rsidP="000A7109">
            <w:pPr>
              <w:spacing w:after="0" w:line="240" w:lineRule="auto"/>
              <w:jc w:val="center"/>
              <w:rPr>
                <w:rFonts w:eastAsia="Times New Roman" w:cstheme="minorHAnsi"/>
                <w:color w:val="000000"/>
                <w:sz w:val="20"/>
                <w:szCs w:val="20"/>
                <w:lang w:eastAsia="en-GB"/>
              </w:rPr>
            </w:pPr>
            <w:r>
              <w:rPr>
                <w:rFonts w:eastAsia="Times New Roman" w:cstheme="minorHAnsi"/>
                <w:color w:val="000000"/>
                <w:sz w:val="20"/>
                <w:szCs w:val="20"/>
                <w:lang w:eastAsia="en-GB"/>
              </w:rPr>
              <w:t>T</w:t>
            </w:r>
            <w:r w:rsidRPr="00D850D4">
              <w:rPr>
                <w:rFonts w:eastAsia="Times New Roman" w:cstheme="minorHAnsi"/>
                <w:color w:val="000000"/>
                <w:sz w:val="20"/>
                <w:szCs w:val="20"/>
                <w:lang w:eastAsia="en-GB"/>
              </w:rPr>
              <w:t>esting uptake</w:t>
            </w:r>
            <w:r>
              <w:rPr>
                <w:rFonts w:eastAsia="Times New Roman" w:cstheme="minorHAnsi"/>
                <w:color w:val="000000"/>
                <w:sz w:val="20"/>
                <w:szCs w:val="20"/>
                <w:lang w:eastAsia="en-GB"/>
              </w:rPr>
              <w:t xml:space="preserve"> (%)</w:t>
            </w:r>
          </w:p>
        </w:tc>
        <w:tc>
          <w:tcPr>
            <w:tcW w:w="222" w:type="dxa"/>
            <w:tcBorders>
              <w:top w:val="single" w:sz="4" w:space="0" w:color="auto"/>
            </w:tcBorders>
          </w:tcPr>
          <w:p w14:paraId="4ADCE4D8" w14:textId="77777777" w:rsidR="00182884" w:rsidRDefault="00182884" w:rsidP="000A7109">
            <w:pPr>
              <w:spacing w:after="0" w:line="240" w:lineRule="auto"/>
              <w:jc w:val="center"/>
              <w:rPr>
                <w:rFonts w:eastAsia="Times New Roman" w:cstheme="minorHAnsi"/>
                <w:color w:val="000000"/>
                <w:sz w:val="20"/>
                <w:szCs w:val="20"/>
                <w:lang w:eastAsia="en-GB"/>
              </w:rPr>
            </w:pPr>
          </w:p>
        </w:tc>
        <w:tc>
          <w:tcPr>
            <w:tcW w:w="2754" w:type="dxa"/>
            <w:gridSpan w:val="2"/>
            <w:tcBorders>
              <w:top w:val="single" w:sz="4" w:space="0" w:color="auto"/>
              <w:bottom w:val="single" w:sz="4" w:space="0" w:color="auto"/>
            </w:tcBorders>
            <w:vAlign w:val="bottom"/>
          </w:tcPr>
          <w:p w14:paraId="17440977" w14:textId="77777777" w:rsidR="00182884" w:rsidRDefault="00182884" w:rsidP="000A7109">
            <w:pPr>
              <w:spacing w:after="0" w:line="240" w:lineRule="auto"/>
              <w:jc w:val="center"/>
              <w:rPr>
                <w:rFonts w:eastAsia="Times New Roman" w:cstheme="minorHAnsi"/>
                <w:color w:val="000000"/>
                <w:sz w:val="20"/>
                <w:szCs w:val="20"/>
                <w:lang w:eastAsia="en-GB"/>
              </w:rPr>
            </w:pPr>
            <w:r>
              <w:rPr>
                <w:rFonts w:eastAsia="Times New Roman" w:cstheme="minorHAnsi"/>
                <w:color w:val="000000"/>
                <w:sz w:val="20"/>
                <w:szCs w:val="20"/>
                <w:lang w:eastAsia="en-GB"/>
              </w:rPr>
              <w:t>Uptake difference within group (%)</w:t>
            </w:r>
          </w:p>
        </w:tc>
        <w:tc>
          <w:tcPr>
            <w:tcW w:w="1276" w:type="dxa"/>
            <w:vMerge w:val="restart"/>
            <w:tcBorders>
              <w:top w:val="single" w:sz="4" w:space="0" w:color="auto"/>
            </w:tcBorders>
            <w:shd w:val="clear" w:color="auto" w:fill="auto"/>
            <w:noWrap/>
            <w:vAlign w:val="bottom"/>
          </w:tcPr>
          <w:p w14:paraId="282BC94A" w14:textId="77777777" w:rsidR="00182884" w:rsidRDefault="00182884" w:rsidP="000A7109">
            <w:pPr>
              <w:spacing w:after="0" w:line="240" w:lineRule="auto"/>
              <w:jc w:val="right"/>
              <w:rPr>
                <w:rFonts w:eastAsia="Times New Roman" w:cstheme="minorHAnsi"/>
                <w:color w:val="000000"/>
                <w:sz w:val="20"/>
                <w:szCs w:val="20"/>
                <w:lang w:eastAsia="en-GB"/>
              </w:rPr>
            </w:pPr>
            <w:r>
              <w:rPr>
                <w:rFonts w:eastAsia="Times New Roman" w:cstheme="minorHAnsi"/>
                <w:color w:val="000000"/>
                <w:sz w:val="20"/>
                <w:szCs w:val="20"/>
                <w:lang w:eastAsia="en-GB"/>
              </w:rPr>
              <w:t>Differential increase (%)</w:t>
            </w:r>
          </w:p>
          <w:p w14:paraId="32D5D20F" w14:textId="77777777" w:rsidR="00182884" w:rsidRDefault="00182884" w:rsidP="000A7109">
            <w:pPr>
              <w:spacing w:after="0" w:line="240" w:lineRule="auto"/>
              <w:jc w:val="right"/>
              <w:rPr>
                <w:rFonts w:eastAsia="Times New Roman" w:cstheme="minorHAnsi"/>
                <w:color w:val="000000"/>
                <w:sz w:val="20"/>
                <w:szCs w:val="20"/>
                <w:lang w:eastAsia="en-GB"/>
              </w:rPr>
            </w:pPr>
            <w:r>
              <w:rPr>
                <w:rFonts w:eastAsia="Times New Roman" w:cstheme="minorHAnsi"/>
                <w:color w:val="000000"/>
                <w:sz w:val="20"/>
                <w:szCs w:val="20"/>
                <w:lang w:eastAsia="en-GB"/>
              </w:rPr>
              <w:t>(C)-(D)</w:t>
            </w:r>
          </w:p>
        </w:tc>
        <w:tc>
          <w:tcPr>
            <w:tcW w:w="1118" w:type="dxa"/>
            <w:vMerge w:val="restart"/>
            <w:tcBorders>
              <w:top w:val="single" w:sz="4" w:space="0" w:color="auto"/>
            </w:tcBorders>
            <w:shd w:val="clear" w:color="auto" w:fill="auto"/>
            <w:noWrap/>
            <w:vAlign w:val="bottom"/>
          </w:tcPr>
          <w:p w14:paraId="4FE84970" w14:textId="77777777" w:rsidR="00182884" w:rsidRDefault="00182884" w:rsidP="000A7109">
            <w:pPr>
              <w:spacing w:after="0" w:line="240" w:lineRule="auto"/>
              <w:jc w:val="right"/>
              <w:rPr>
                <w:rFonts w:eastAsia="Times New Roman" w:cstheme="minorHAnsi"/>
                <w:color w:val="000000"/>
                <w:sz w:val="20"/>
                <w:szCs w:val="20"/>
                <w:lang w:eastAsia="en-GB"/>
              </w:rPr>
            </w:pPr>
            <w:r>
              <w:rPr>
                <w:rFonts w:eastAsia="Times New Roman" w:cstheme="minorHAnsi"/>
                <w:color w:val="000000"/>
                <w:sz w:val="20"/>
                <w:szCs w:val="20"/>
                <w:lang w:eastAsia="en-GB"/>
              </w:rPr>
              <w:t>Differential increase 95%CI</w:t>
            </w:r>
          </w:p>
        </w:tc>
      </w:tr>
      <w:tr w:rsidR="00182884" w:rsidRPr="00C72F45" w14:paraId="231586E3" w14:textId="77777777" w:rsidTr="000A7109">
        <w:trPr>
          <w:trHeight w:val="288"/>
        </w:trPr>
        <w:tc>
          <w:tcPr>
            <w:tcW w:w="280" w:type="dxa"/>
            <w:tcBorders>
              <w:bottom w:val="single" w:sz="4" w:space="0" w:color="auto"/>
            </w:tcBorders>
            <w:shd w:val="clear" w:color="auto" w:fill="auto"/>
            <w:noWrap/>
            <w:vAlign w:val="bottom"/>
          </w:tcPr>
          <w:p w14:paraId="0DE96FB3" w14:textId="77777777" w:rsidR="00182884" w:rsidRPr="00D850D4" w:rsidRDefault="00182884" w:rsidP="000A7109">
            <w:pPr>
              <w:spacing w:after="0" w:line="240" w:lineRule="auto"/>
              <w:jc w:val="left"/>
              <w:rPr>
                <w:rFonts w:eastAsia="Times New Roman" w:cstheme="minorHAnsi"/>
                <w:color w:val="000000"/>
                <w:sz w:val="20"/>
                <w:szCs w:val="20"/>
                <w:lang w:eastAsia="en-GB"/>
              </w:rPr>
            </w:pPr>
          </w:p>
        </w:tc>
        <w:tc>
          <w:tcPr>
            <w:tcW w:w="1705" w:type="dxa"/>
            <w:tcBorders>
              <w:bottom w:val="single" w:sz="4" w:space="0" w:color="auto"/>
            </w:tcBorders>
            <w:shd w:val="clear" w:color="auto" w:fill="auto"/>
            <w:noWrap/>
            <w:vAlign w:val="bottom"/>
          </w:tcPr>
          <w:p w14:paraId="4F6EE617" w14:textId="77777777" w:rsidR="00182884" w:rsidRPr="00D850D4" w:rsidRDefault="00182884" w:rsidP="000A7109">
            <w:pPr>
              <w:spacing w:after="0" w:line="240" w:lineRule="auto"/>
              <w:jc w:val="left"/>
              <w:rPr>
                <w:rFonts w:eastAsia="Times New Roman" w:cstheme="minorHAnsi"/>
                <w:color w:val="000000"/>
                <w:sz w:val="20"/>
                <w:szCs w:val="20"/>
                <w:lang w:eastAsia="en-GB"/>
              </w:rPr>
            </w:pPr>
          </w:p>
        </w:tc>
        <w:tc>
          <w:tcPr>
            <w:tcW w:w="1032" w:type="dxa"/>
            <w:gridSpan w:val="3"/>
            <w:tcBorders>
              <w:top w:val="single" w:sz="4" w:space="0" w:color="auto"/>
              <w:bottom w:val="single" w:sz="4" w:space="0" w:color="auto"/>
            </w:tcBorders>
            <w:shd w:val="clear" w:color="auto" w:fill="auto"/>
            <w:noWrap/>
            <w:vAlign w:val="bottom"/>
          </w:tcPr>
          <w:p w14:paraId="6C7DE5CE" w14:textId="77777777" w:rsidR="00182884" w:rsidRDefault="00182884" w:rsidP="000A7109">
            <w:pPr>
              <w:spacing w:after="0" w:line="240" w:lineRule="auto"/>
              <w:jc w:val="right"/>
              <w:rPr>
                <w:rFonts w:eastAsia="Times New Roman" w:cstheme="minorHAnsi"/>
                <w:color w:val="000000"/>
                <w:sz w:val="20"/>
                <w:szCs w:val="20"/>
                <w:lang w:eastAsia="en-GB"/>
              </w:rPr>
            </w:pPr>
            <w:r>
              <w:rPr>
                <w:rFonts w:eastAsia="Times New Roman" w:cstheme="minorHAnsi"/>
                <w:color w:val="000000"/>
                <w:sz w:val="20"/>
                <w:szCs w:val="20"/>
                <w:lang w:eastAsia="en-GB"/>
              </w:rPr>
              <w:t>CFI arm</w:t>
            </w:r>
          </w:p>
          <w:p w14:paraId="34E60DCB"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Pr>
                <w:rFonts w:eastAsia="Times New Roman" w:cstheme="minorHAnsi"/>
                <w:color w:val="000000"/>
                <w:sz w:val="20"/>
                <w:szCs w:val="20"/>
                <w:lang w:eastAsia="en-GB"/>
              </w:rPr>
              <w:t>(A)</w:t>
            </w:r>
          </w:p>
        </w:tc>
        <w:tc>
          <w:tcPr>
            <w:tcW w:w="1378" w:type="dxa"/>
            <w:tcBorders>
              <w:top w:val="single" w:sz="4" w:space="0" w:color="auto"/>
              <w:bottom w:val="single" w:sz="4" w:space="0" w:color="auto"/>
            </w:tcBorders>
            <w:shd w:val="clear" w:color="auto" w:fill="auto"/>
            <w:noWrap/>
            <w:vAlign w:val="bottom"/>
          </w:tcPr>
          <w:p w14:paraId="78ABE542" w14:textId="77777777" w:rsidR="00182884" w:rsidRDefault="00182884" w:rsidP="000A7109">
            <w:pPr>
              <w:spacing w:after="0" w:line="240" w:lineRule="auto"/>
              <w:jc w:val="right"/>
              <w:rPr>
                <w:rFonts w:eastAsia="Times New Roman" w:cstheme="minorHAnsi"/>
                <w:color w:val="000000"/>
                <w:sz w:val="20"/>
                <w:szCs w:val="20"/>
                <w:lang w:eastAsia="en-GB"/>
              </w:rPr>
            </w:pPr>
            <w:r>
              <w:rPr>
                <w:rFonts w:eastAsia="Times New Roman" w:cstheme="minorHAnsi"/>
                <w:color w:val="000000"/>
                <w:sz w:val="20"/>
                <w:szCs w:val="20"/>
                <w:lang w:eastAsia="en-GB"/>
              </w:rPr>
              <w:t>Non-CFI arm</w:t>
            </w:r>
          </w:p>
          <w:p w14:paraId="7586FDE0"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Pr>
                <w:rFonts w:eastAsia="Times New Roman" w:cstheme="minorHAnsi"/>
                <w:color w:val="000000"/>
                <w:sz w:val="20"/>
                <w:szCs w:val="20"/>
                <w:lang w:eastAsia="en-GB"/>
              </w:rPr>
              <w:t>(B)</w:t>
            </w:r>
          </w:p>
        </w:tc>
        <w:tc>
          <w:tcPr>
            <w:tcW w:w="222" w:type="dxa"/>
            <w:tcBorders>
              <w:bottom w:val="single" w:sz="4" w:space="0" w:color="auto"/>
            </w:tcBorders>
          </w:tcPr>
          <w:p w14:paraId="56C65F9A" w14:textId="77777777" w:rsidR="00182884" w:rsidRPr="00D850D4" w:rsidRDefault="00182884" w:rsidP="000A7109">
            <w:pPr>
              <w:spacing w:after="0" w:line="240" w:lineRule="auto"/>
              <w:jc w:val="right"/>
              <w:rPr>
                <w:rFonts w:eastAsia="Times New Roman" w:cstheme="minorHAnsi"/>
                <w:color w:val="000000"/>
                <w:sz w:val="20"/>
                <w:szCs w:val="20"/>
                <w:lang w:eastAsia="en-GB"/>
              </w:rPr>
            </w:pPr>
          </w:p>
        </w:tc>
        <w:tc>
          <w:tcPr>
            <w:tcW w:w="1337" w:type="dxa"/>
            <w:tcBorders>
              <w:top w:val="single" w:sz="4" w:space="0" w:color="auto"/>
              <w:bottom w:val="single" w:sz="4" w:space="0" w:color="auto"/>
            </w:tcBorders>
            <w:vAlign w:val="bottom"/>
          </w:tcPr>
          <w:p w14:paraId="134E8013" w14:textId="77777777" w:rsidR="00182884" w:rsidRDefault="00182884" w:rsidP="000A7109">
            <w:pPr>
              <w:spacing w:after="0" w:line="240" w:lineRule="auto"/>
              <w:jc w:val="right"/>
              <w:rPr>
                <w:rFonts w:eastAsia="Times New Roman" w:cstheme="minorHAnsi"/>
                <w:color w:val="000000"/>
                <w:sz w:val="20"/>
                <w:szCs w:val="20"/>
                <w:lang w:eastAsia="en-GB"/>
              </w:rPr>
            </w:pPr>
            <w:r>
              <w:rPr>
                <w:rFonts w:eastAsia="Times New Roman" w:cstheme="minorHAnsi"/>
                <w:color w:val="000000"/>
                <w:sz w:val="20"/>
                <w:szCs w:val="20"/>
                <w:lang w:eastAsia="en-GB"/>
              </w:rPr>
              <w:t>CFI arm</w:t>
            </w:r>
          </w:p>
          <w:p w14:paraId="4594064F" w14:textId="77777777" w:rsidR="00182884" w:rsidRDefault="00182884" w:rsidP="000A7109">
            <w:pPr>
              <w:spacing w:after="0" w:line="240" w:lineRule="auto"/>
              <w:ind w:left="-89"/>
              <w:jc w:val="right"/>
              <w:rPr>
                <w:rFonts w:eastAsia="Times New Roman" w:cstheme="minorHAnsi"/>
                <w:color w:val="000000"/>
                <w:sz w:val="20"/>
                <w:szCs w:val="20"/>
                <w:lang w:eastAsia="en-GB"/>
              </w:rPr>
            </w:pPr>
            <w:r>
              <w:rPr>
                <w:rFonts w:eastAsia="Times New Roman" w:cstheme="minorHAnsi"/>
                <w:color w:val="000000"/>
                <w:sz w:val="20"/>
                <w:szCs w:val="20"/>
                <w:lang w:eastAsia="en-GB"/>
              </w:rPr>
              <w:t xml:space="preserve">(C)= </w:t>
            </w:r>
            <w:r w:rsidRPr="00CA735C">
              <w:rPr>
                <w:rFonts w:eastAsia="Times New Roman" w:cstheme="minorHAnsi"/>
                <w:i/>
                <w:iCs/>
                <w:color w:val="000000"/>
                <w:sz w:val="20"/>
                <w:szCs w:val="20"/>
                <w:lang w:eastAsia="en-GB"/>
              </w:rPr>
              <w:t>ref</w:t>
            </w:r>
            <w:r>
              <w:rPr>
                <w:rFonts w:eastAsia="Times New Roman" w:cstheme="minorHAnsi"/>
                <w:color w:val="000000"/>
                <w:sz w:val="20"/>
                <w:szCs w:val="20"/>
                <w:lang w:eastAsia="en-GB"/>
              </w:rPr>
              <w:t>(A)-(A)</w:t>
            </w:r>
          </w:p>
        </w:tc>
        <w:tc>
          <w:tcPr>
            <w:tcW w:w="1417" w:type="dxa"/>
            <w:tcBorders>
              <w:top w:val="single" w:sz="4" w:space="0" w:color="auto"/>
              <w:bottom w:val="single" w:sz="4" w:space="0" w:color="auto"/>
            </w:tcBorders>
            <w:shd w:val="clear" w:color="auto" w:fill="auto"/>
            <w:noWrap/>
            <w:vAlign w:val="bottom"/>
          </w:tcPr>
          <w:p w14:paraId="5AC2E162" w14:textId="77777777" w:rsidR="00182884" w:rsidRPr="00520DCC" w:rsidRDefault="00182884" w:rsidP="000A7109">
            <w:pPr>
              <w:spacing w:after="0" w:line="240" w:lineRule="auto"/>
              <w:ind w:left="-109"/>
              <w:jc w:val="right"/>
              <w:rPr>
                <w:rFonts w:eastAsia="Times New Roman" w:cstheme="minorHAnsi"/>
                <w:color w:val="000000"/>
                <w:sz w:val="20"/>
                <w:szCs w:val="20"/>
                <w:lang w:val="it-IT" w:eastAsia="en-GB"/>
              </w:rPr>
            </w:pPr>
            <w:r w:rsidRPr="00520DCC">
              <w:rPr>
                <w:rFonts w:eastAsia="Times New Roman" w:cstheme="minorHAnsi"/>
                <w:color w:val="000000"/>
                <w:sz w:val="20"/>
                <w:szCs w:val="20"/>
                <w:lang w:val="it-IT" w:eastAsia="en-GB"/>
              </w:rPr>
              <w:t>Non-CFI arm</w:t>
            </w:r>
          </w:p>
          <w:p w14:paraId="014D60E5" w14:textId="77777777" w:rsidR="00182884" w:rsidRPr="00520DCC" w:rsidRDefault="00182884" w:rsidP="000A7109">
            <w:pPr>
              <w:spacing w:after="0" w:line="240" w:lineRule="auto"/>
              <w:ind w:left="-253" w:right="-19"/>
              <w:jc w:val="right"/>
              <w:rPr>
                <w:rFonts w:eastAsia="Times New Roman" w:cstheme="minorHAnsi"/>
                <w:color w:val="000000"/>
                <w:sz w:val="20"/>
                <w:szCs w:val="20"/>
                <w:lang w:val="it-IT" w:eastAsia="en-GB"/>
              </w:rPr>
            </w:pPr>
            <w:r w:rsidRPr="00520DCC">
              <w:rPr>
                <w:rFonts w:eastAsia="Times New Roman" w:cstheme="minorHAnsi"/>
                <w:color w:val="000000"/>
                <w:sz w:val="20"/>
                <w:szCs w:val="20"/>
                <w:lang w:val="it-IT" w:eastAsia="en-GB"/>
              </w:rPr>
              <w:t xml:space="preserve">(D)= </w:t>
            </w:r>
            <w:r w:rsidRPr="00520DCC">
              <w:rPr>
                <w:rFonts w:eastAsia="Times New Roman" w:cstheme="minorHAnsi"/>
                <w:i/>
                <w:iCs/>
                <w:color w:val="000000"/>
                <w:sz w:val="20"/>
                <w:szCs w:val="20"/>
                <w:lang w:val="it-IT" w:eastAsia="en-GB"/>
              </w:rPr>
              <w:t>ref</w:t>
            </w:r>
            <w:r w:rsidRPr="00520DCC">
              <w:rPr>
                <w:rFonts w:eastAsia="Times New Roman" w:cstheme="minorHAnsi"/>
                <w:color w:val="000000"/>
                <w:sz w:val="20"/>
                <w:szCs w:val="20"/>
                <w:lang w:val="it-IT" w:eastAsia="en-GB"/>
              </w:rPr>
              <w:t>(B)-(B)</w:t>
            </w:r>
          </w:p>
        </w:tc>
        <w:tc>
          <w:tcPr>
            <w:tcW w:w="1276" w:type="dxa"/>
            <w:vMerge/>
            <w:tcBorders>
              <w:bottom w:val="single" w:sz="4" w:space="0" w:color="auto"/>
            </w:tcBorders>
            <w:shd w:val="clear" w:color="auto" w:fill="auto"/>
            <w:noWrap/>
            <w:vAlign w:val="bottom"/>
          </w:tcPr>
          <w:p w14:paraId="108AE113" w14:textId="77777777" w:rsidR="00182884" w:rsidRPr="00520DCC" w:rsidRDefault="00182884" w:rsidP="000A7109">
            <w:pPr>
              <w:spacing w:after="0" w:line="240" w:lineRule="auto"/>
              <w:jc w:val="right"/>
              <w:rPr>
                <w:rFonts w:eastAsia="Times New Roman" w:cstheme="minorHAnsi"/>
                <w:color w:val="000000"/>
                <w:sz w:val="20"/>
                <w:szCs w:val="20"/>
                <w:lang w:val="it-IT" w:eastAsia="en-GB"/>
              </w:rPr>
            </w:pPr>
          </w:p>
        </w:tc>
        <w:tc>
          <w:tcPr>
            <w:tcW w:w="1118" w:type="dxa"/>
            <w:vMerge/>
            <w:tcBorders>
              <w:bottom w:val="single" w:sz="4" w:space="0" w:color="auto"/>
            </w:tcBorders>
            <w:shd w:val="clear" w:color="auto" w:fill="auto"/>
            <w:noWrap/>
            <w:vAlign w:val="bottom"/>
          </w:tcPr>
          <w:p w14:paraId="3AE94C01" w14:textId="77777777" w:rsidR="00182884" w:rsidRPr="00520DCC" w:rsidRDefault="00182884" w:rsidP="000A7109">
            <w:pPr>
              <w:spacing w:after="0" w:line="240" w:lineRule="auto"/>
              <w:jc w:val="right"/>
              <w:rPr>
                <w:rFonts w:eastAsia="Times New Roman" w:cstheme="minorHAnsi"/>
                <w:color w:val="000000"/>
                <w:sz w:val="20"/>
                <w:szCs w:val="20"/>
                <w:lang w:val="it-IT" w:eastAsia="en-GB"/>
              </w:rPr>
            </w:pPr>
          </w:p>
        </w:tc>
      </w:tr>
      <w:tr w:rsidR="00182884" w:rsidRPr="00D850D4" w14:paraId="08102FB7" w14:textId="77777777" w:rsidTr="000A7109">
        <w:trPr>
          <w:trHeight w:val="288"/>
        </w:trPr>
        <w:tc>
          <w:tcPr>
            <w:tcW w:w="1985" w:type="dxa"/>
            <w:gridSpan w:val="2"/>
            <w:tcBorders>
              <w:top w:val="single" w:sz="4" w:space="0" w:color="auto"/>
            </w:tcBorders>
            <w:shd w:val="clear" w:color="auto" w:fill="auto"/>
            <w:noWrap/>
          </w:tcPr>
          <w:p w14:paraId="0BE47D66" w14:textId="77777777" w:rsidR="00182884" w:rsidRPr="00D850D4" w:rsidRDefault="00182884" w:rsidP="000A7109">
            <w:pPr>
              <w:spacing w:after="0" w:line="240" w:lineRule="auto"/>
              <w:jc w:val="left"/>
              <w:rPr>
                <w:rFonts w:eastAsia="Times New Roman" w:cstheme="minorHAnsi"/>
                <w:b/>
                <w:bCs/>
                <w:color w:val="000000"/>
                <w:sz w:val="20"/>
                <w:szCs w:val="20"/>
                <w:lang w:eastAsia="en-GB"/>
              </w:rPr>
            </w:pPr>
            <w:r w:rsidRPr="00D850D4">
              <w:rPr>
                <w:rFonts w:eastAsia="Times New Roman" w:cstheme="minorHAnsi"/>
                <w:b/>
                <w:bCs/>
                <w:color w:val="000000"/>
                <w:sz w:val="20"/>
                <w:szCs w:val="20"/>
                <w:lang w:eastAsia="en-GB"/>
              </w:rPr>
              <w:t>Age</w:t>
            </w:r>
          </w:p>
        </w:tc>
        <w:tc>
          <w:tcPr>
            <w:tcW w:w="1032" w:type="dxa"/>
            <w:gridSpan w:val="3"/>
            <w:tcBorders>
              <w:top w:val="single" w:sz="4" w:space="0" w:color="auto"/>
            </w:tcBorders>
            <w:shd w:val="clear" w:color="auto" w:fill="auto"/>
            <w:noWrap/>
            <w:vAlign w:val="bottom"/>
          </w:tcPr>
          <w:p w14:paraId="57AB57BE" w14:textId="77777777" w:rsidR="00182884" w:rsidRPr="00D850D4" w:rsidRDefault="00182884" w:rsidP="000A7109">
            <w:pPr>
              <w:spacing w:after="0" w:line="240" w:lineRule="auto"/>
              <w:jc w:val="right"/>
              <w:rPr>
                <w:rFonts w:eastAsia="Times New Roman" w:cstheme="minorHAnsi"/>
                <w:color w:val="000000"/>
                <w:sz w:val="20"/>
                <w:szCs w:val="20"/>
                <w:lang w:eastAsia="en-GB"/>
              </w:rPr>
            </w:pPr>
          </w:p>
        </w:tc>
        <w:tc>
          <w:tcPr>
            <w:tcW w:w="1378" w:type="dxa"/>
            <w:tcBorders>
              <w:top w:val="single" w:sz="4" w:space="0" w:color="auto"/>
            </w:tcBorders>
            <w:shd w:val="clear" w:color="auto" w:fill="auto"/>
            <w:noWrap/>
            <w:vAlign w:val="bottom"/>
          </w:tcPr>
          <w:p w14:paraId="6351FBDF" w14:textId="77777777" w:rsidR="00182884" w:rsidRPr="00D850D4" w:rsidRDefault="00182884" w:rsidP="000A7109">
            <w:pPr>
              <w:spacing w:after="0" w:line="240" w:lineRule="auto"/>
              <w:jc w:val="right"/>
              <w:rPr>
                <w:rFonts w:eastAsia="Times New Roman" w:cstheme="minorHAnsi"/>
                <w:color w:val="000000"/>
                <w:sz w:val="20"/>
                <w:szCs w:val="20"/>
                <w:lang w:eastAsia="en-GB"/>
              </w:rPr>
            </w:pPr>
          </w:p>
        </w:tc>
        <w:tc>
          <w:tcPr>
            <w:tcW w:w="222" w:type="dxa"/>
            <w:tcBorders>
              <w:top w:val="single" w:sz="4" w:space="0" w:color="auto"/>
            </w:tcBorders>
          </w:tcPr>
          <w:p w14:paraId="5B3890C6" w14:textId="77777777" w:rsidR="00182884" w:rsidRPr="00D850D4" w:rsidRDefault="00182884" w:rsidP="000A7109">
            <w:pPr>
              <w:spacing w:after="0" w:line="240" w:lineRule="auto"/>
              <w:jc w:val="right"/>
              <w:rPr>
                <w:rFonts w:eastAsia="Times New Roman" w:cstheme="minorHAnsi"/>
                <w:color w:val="000000"/>
                <w:sz w:val="20"/>
                <w:szCs w:val="20"/>
                <w:lang w:eastAsia="en-GB"/>
              </w:rPr>
            </w:pPr>
          </w:p>
        </w:tc>
        <w:tc>
          <w:tcPr>
            <w:tcW w:w="1337" w:type="dxa"/>
            <w:tcBorders>
              <w:top w:val="single" w:sz="4" w:space="0" w:color="auto"/>
            </w:tcBorders>
            <w:shd w:val="clear" w:color="auto" w:fill="auto"/>
            <w:noWrap/>
            <w:vAlign w:val="bottom"/>
          </w:tcPr>
          <w:p w14:paraId="2416D1F3" w14:textId="77777777" w:rsidR="00182884" w:rsidRPr="00D850D4" w:rsidRDefault="00182884" w:rsidP="000A7109">
            <w:pPr>
              <w:spacing w:after="0" w:line="240" w:lineRule="auto"/>
              <w:jc w:val="right"/>
              <w:rPr>
                <w:rFonts w:eastAsia="Times New Roman" w:cstheme="minorHAnsi"/>
                <w:color w:val="000000"/>
                <w:sz w:val="20"/>
                <w:szCs w:val="20"/>
                <w:lang w:eastAsia="en-GB"/>
              </w:rPr>
            </w:pPr>
          </w:p>
        </w:tc>
        <w:tc>
          <w:tcPr>
            <w:tcW w:w="1417" w:type="dxa"/>
            <w:tcBorders>
              <w:top w:val="single" w:sz="4" w:space="0" w:color="auto"/>
            </w:tcBorders>
            <w:vAlign w:val="bottom"/>
          </w:tcPr>
          <w:p w14:paraId="1A811ED6" w14:textId="77777777" w:rsidR="00182884" w:rsidRPr="00D850D4" w:rsidRDefault="00182884" w:rsidP="000A7109">
            <w:pPr>
              <w:spacing w:after="0" w:line="240" w:lineRule="auto"/>
              <w:jc w:val="right"/>
              <w:rPr>
                <w:rFonts w:eastAsia="Times New Roman" w:cstheme="minorHAnsi"/>
                <w:color w:val="000000"/>
                <w:sz w:val="20"/>
                <w:szCs w:val="20"/>
                <w:lang w:eastAsia="en-GB"/>
              </w:rPr>
            </w:pPr>
          </w:p>
        </w:tc>
        <w:tc>
          <w:tcPr>
            <w:tcW w:w="1276" w:type="dxa"/>
            <w:tcBorders>
              <w:top w:val="single" w:sz="4" w:space="0" w:color="auto"/>
            </w:tcBorders>
            <w:shd w:val="clear" w:color="auto" w:fill="auto"/>
            <w:noWrap/>
            <w:vAlign w:val="bottom"/>
          </w:tcPr>
          <w:p w14:paraId="6688BD20" w14:textId="77777777" w:rsidR="00182884" w:rsidRPr="00D850D4" w:rsidRDefault="00182884" w:rsidP="000A7109">
            <w:pPr>
              <w:spacing w:after="0" w:line="240" w:lineRule="auto"/>
              <w:jc w:val="right"/>
              <w:rPr>
                <w:rFonts w:eastAsia="Times New Roman" w:cstheme="minorHAnsi"/>
                <w:color w:val="000000"/>
                <w:sz w:val="20"/>
                <w:szCs w:val="20"/>
                <w:lang w:eastAsia="en-GB"/>
              </w:rPr>
            </w:pPr>
          </w:p>
        </w:tc>
        <w:tc>
          <w:tcPr>
            <w:tcW w:w="1118" w:type="dxa"/>
            <w:tcBorders>
              <w:top w:val="single" w:sz="4" w:space="0" w:color="auto"/>
            </w:tcBorders>
            <w:shd w:val="clear" w:color="auto" w:fill="auto"/>
            <w:noWrap/>
            <w:vAlign w:val="bottom"/>
          </w:tcPr>
          <w:p w14:paraId="26CC561C" w14:textId="77777777" w:rsidR="00182884" w:rsidRPr="00D850D4" w:rsidRDefault="00182884" w:rsidP="000A7109">
            <w:pPr>
              <w:spacing w:after="0" w:line="240" w:lineRule="auto"/>
              <w:jc w:val="right"/>
              <w:rPr>
                <w:rFonts w:eastAsia="Times New Roman" w:cstheme="minorHAnsi"/>
                <w:color w:val="000000"/>
                <w:sz w:val="20"/>
                <w:szCs w:val="20"/>
                <w:lang w:eastAsia="en-GB"/>
              </w:rPr>
            </w:pPr>
          </w:p>
        </w:tc>
      </w:tr>
      <w:tr w:rsidR="00182884" w:rsidRPr="00D850D4" w14:paraId="0F12CFC3" w14:textId="77777777" w:rsidTr="000A7109">
        <w:trPr>
          <w:trHeight w:val="288"/>
        </w:trPr>
        <w:tc>
          <w:tcPr>
            <w:tcW w:w="280" w:type="dxa"/>
            <w:shd w:val="clear" w:color="auto" w:fill="auto"/>
            <w:noWrap/>
          </w:tcPr>
          <w:p w14:paraId="70033427" w14:textId="77777777" w:rsidR="00182884" w:rsidRPr="00D850D4" w:rsidRDefault="00182884" w:rsidP="000A7109">
            <w:pPr>
              <w:spacing w:after="0" w:line="240" w:lineRule="auto"/>
              <w:jc w:val="left"/>
              <w:rPr>
                <w:rFonts w:eastAsia="Times New Roman" w:cstheme="minorHAnsi"/>
                <w:b/>
                <w:bCs/>
                <w:color w:val="000000"/>
                <w:sz w:val="20"/>
                <w:szCs w:val="20"/>
                <w:lang w:eastAsia="en-GB"/>
              </w:rPr>
            </w:pPr>
          </w:p>
        </w:tc>
        <w:tc>
          <w:tcPr>
            <w:tcW w:w="1705" w:type="dxa"/>
            <w:shd w:val="clear" w:color="auto" w:fill="auto"/>
            <w:noWrap/>
            <w:hideMark/>
          </w:tcPr>
          <w:p w14:paraId="45F4B09B" w14:textId="77777777" w:rsidR="00182884" w:rsidRPr="00D850D4" w:rsidRDefault="00182884" w:rsidP="000A7109">
            <w:pPr>
              <w:spacing w:after="0" w:line="240" w:lineRule="auto"/>
              <w:jc w:val="left"/>
              <w:rPr>
                <w:rFonts w:eastAsia="Times New Roman" w:cstheme="minorHAnsi"/>
                <w:color w:val="000000"/>
                <w:sz w:val="20"/>
                <w:szCs w:val="20"/>
                <w:lang w:eastAsia="en-GB"/>
              </w:rPr>
            </w:pPr>
            <w:r w:rsidRPr="00D850D4">
              <w:rPr>
                <w:rFonts w:eastAsia="Times New Roman" w:cstheme="minorHAnsi"/>
                <w:color w:val="000000"/>
                <w:sz w:val="20"/>
                <w:szCs w:val="20"/>
                <w:lang w:eastAsia="en-GB"/>
              </w:rPr>
              <w:t>under 20</w:t>
            </w:r>
          </w:p>
        </w:tc>
        <w:tc>
          <w:tcPr>
            <w:tcW w:w="1032" w:type="dxa"/>
            <w:gridSpan w:val="3"/>
            <w:shd w:val="clear" w:color="auto" w:fill="auto"/>
            <w:noWrap/>
            <w:hideMark/>
          </w:tcPr>
          <w:p w14:paraId="57280EA3"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972C3">
              <w:rPr>
                <w:rFonts w:cstheme="minorHAnsi"/>
                <w:color w:val="000000"/>
                <w:sz w:val="20"/>
                <w:szCs w:val="20"/>
              </w:rPr>
              <w:t>66.6</w:t>
            </w:r>
          </w:p>
        </w:tc>
        <w:tc>
          <w:tcPr>
            <w:tcW w:w="1378" w:type="dxa"/>
            <w:shd w:val="clear" w:color="auto" w:fill="auto"/>
            <w:noWrap/>
          </w:tcPr>
          <w:p w14:paraId="36C6655F" w14:textId="77777777" w:rsidR="00182884" w:rsidRPr="00D850D4" w:rsidRDefault="00182884" w:rsidP="000A7109">
            <w:pPr>
              <w:spacing w:after="0" w:line="240" w:lineRule="auto"/>
              <w:jc w:val="right"/>
              <w:rPr>
                <w:rFonts w:eastAsia="Times New Roman" w:cstheme="minorHAnsi"/>
                <w:i/>
                <w:iCs/>
                <w:color w:val="000000"/>
                <w:sz w:val="20"/>
                <w:szCs w:val="20"/>
                <w:lang w:eastAsia="en-GB"/>
              </w:rPr>
            </w:pPr>
            <w:r w:rsidRPr="00D972C3">
              <w:rPr>
                <w:rFonts w:cstheme="minorHAnsi"/>
                <w:color w:val="000000"/>
                <w:sz w:val="20"/>
                <w:szCs w:val="20"/>
              </w:rPr>
              <w:t>45.4</w:t>
            </w:r>
          </w:p>
        </w:tc>
        <w:tc>
          <w:tcPr>
            <w:tcW w:w="222" w:type="dxa"/>
          </w:tcPr>
          <w:p w14:paraId="742BC566" w14:textId="77777777" w:rsidR="00182884" w:rsidRPr="00D972C3" w:rsidRDefault="00182884" w:rsidP="000A7109">
            <w:pPr>
              <w:spacing w:after="0" w:line="240" w:lineRule="auto"/>
              <w:jc w:val="right"/>
              <w:rPr>
                <w:rFonts w:eastAsia="Times New Roman" w:cstheme="minorHAnsi"/>
                <w:color w:val="000000"/>
                <w:sz w:val="20"/>
                <w:szCs w:val="20"/>
                <w:lang w:eastAsia="en-GB"/>
              </w:rPr>
            </w:pPr>
          </w:p>
        </w:tc>
        <w:tc>
          <w:tcPr>
            <w:tcW w:w="1337" w:type="dxa"/>
          </w:tcPr>
          <w:p w14:paraId="4E40DCBB" w14:textId="77777777" w:rsidR="00182884" w:rsidRPr="00D972C3" w:rsidRDefault="00182884" w:rsidP="000A7109">
            <w:pPr>
              <w:spacing w:after="0" w:line="240" w:lineRule="auto"/>
              <w:jc w:val="right"/>
              <w:rPr>
                <w:rFonts w:eastAsia="Times New Roman" w:cstheme="minorHAnsi"/>
                <w:i/>
                <w:iCs/>
                <w:color w:val="000000"/>
                <w:sz w:val="20"/>
                <w:szCs w:val="20"/>
                <w:lang w:eastAsia="en-GB"/>
              </w:rPr>
            </w:pPr>
            <w:r w:rsidRPr="00D972C3">
              <w:rPr>
                <w:rFonts w:eastAsia="Times New Roman" w:cstheme="minorHAnsi"/>
                <w:i/>
                <w:iCs/>
                <w:color w:val="000000"/>
                <w:sz w:val="20"/>
                <w:szCs w:val="20"/>
                <w:lang w:eastAsia="en-GB"/>
              </w:rPr>
              <w:t>ref</w:t>
            </w:r>
          </w:p>
        </w:tc>
        <w:tc>
          <w:tcPr>
            <w:tcW w:w="1417" w:type="dxa"/>
            <w:shd w:val="clear" w:color="auto" w:fill="auto"/>
            <w:noWrap/>
          </w:tcPr>
          <w:p w14:paraId="2960C362"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972C3">
              <w:rPr>
                <w:rFonts w:eastAsia="Times New Roman" w:cstheme="minorHAnsi"/>
                <w:i/>
                <w:iCs/>
                <w:color w:val="000000"/>
                <w:sz w:val="20"/>
                <w:szCs w:val="20"/>
                <w:lang w:eastAsia="en-GB"/>
              </w:rPr>
              <w:t>ref</w:t>
            </w:r>
          </w:p>
        </w:tc>
        <w:tc>
          <w:tcPr>
            <w:tcW w:w="1276" w:type="dxa"/>
            <w:shd w:val="clear" w:color="auto" w:fill="auto"/>
            <w:noWrap/>
          </w:tcPr>
          <w:p w14:paraId="00344B17"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972C3">
              <w:rPr>
                <w:rFonts w:eastAsia="Times New Roman" w:cstheme="minorHAnsi"/>
                <w:i/>
                <w:iCs/>
                <w:color w:val="000000"/>
                <w:sz w:val="20"/>
                <w:szCs w:val="20"/>
                <w:lang w:eastAsia="en-GB"/>
              </w:rPr>
              <w:t>ref</w:t>
            </w:r>
          </w:p>
        </w:tc>
        <w:tc>
          <w:tcPr>
            <w:tcW w:w="1118" w:type="dxa"/>
            <w:shd w:val="clear" w:color="auto" w:fill="auto"/>
            <w:noWrap/>
          </w:tcPr>
          <w:p w14:paraId="71316594" w14:textId="77777777" w:rsidR="00182884" w:rsidRPr="00D850D4" w:rsidRDefault="00182884" w:rsidP="000A7109">
            <w:pPr>
              <w:spacing w:after="0" w:line="240" w:lineRule="auto"/>
              <w:jc w:val="right"/>
              <w:rPr>
                <w:rFonts w:eastAsia="Times New Roman" w:cstheme="minorHAnsi"/>
                <w:color w:val="000000"/>
                <w:sz w:val="20"/>
                <w:szCs w:val="20"/>
                <w:lang w:eastAsia="en-GB"/>
              </w:rPr>
            </w:pPr>
          </w:p>
        </w:tc>
      </w:tr>
      <w:tr w:rsidR="00182884" w:rsidRPr="00D850D4" w14:paraId="6F67ED96" w14:textId="77777777" w:rsidTr="000A7109">
        <w:trPr>
          <w:trHeight w:val="288"/>
        </w:trPr>
        <w:tc>
          <w:tcPr>
            <w:tcW w:w="280" w:type="dxa"/>
            <w:shd w:val="clear" w:color="auto" w:fill="auto"/>
            <w:noWrap/>
          </w:tcPr>
          <w:p w14:paraId="5FB92A67" w14:textId="77777777" w:rsidR="00182884" w:rsidRPr="00D850D4" w:rsidRDefault="00182884" w:rsidP="000A7109">
            <w:pPr>
              <w:spacing w:after="0" w:line="240" w:lineRule="auto"/>
              <w:jc w:val="left"/>
              <w:rPr>
                <w:rFonts w:eastAsia="Times New Roman" w:cstheme="minorHAnsi"/>
                <w:b/>
                <w:bCs/>
                <w:color w:val="000000"/>
                <w:sz w:val="20"/>
                <w:szCs w:val="20"/>
                <w:lang w:eastAsia="en-GB"/>
              </w:rPr>
            </w:pPr>
          </w:p>
        </w:tc>
        <w:tc>
          <w:tcPr>
            <w:tcW w:w="1705" w:type="dxa"/>
            <w:shd w:val="clear" w:color="auto" w:fill="auto"/>
            <w:noWrap/>
            <w:hideMark/>
          </w:tcPr>
          <w:p w14:paraId="5D9CA4F5" w14:textId="77777777" w:rsidR="00182884" w:rsidRPr="00D850D4" w:rsidRDefault="00182884" w:rsidP="000A7109">
            <w:pPr>
              <w:spacing w:after="0" w:line="240" w:lineRule="auto"/>
              <w:jc w:val="left"/>
              <w:rPr>
                <w:rFonts w:eastAsia="Times New Roman" w:cstheme="minorHAnsi"/>
                <w:color w:val="000000"/>
                <w:sz w:val="20"/>
                <w:szCs w:val="20"/>
                <w:lang w:eastAsia="en-GB"/>
              </w:rPr>
            </w:pPr>
            <w:r w:rsidRPr="00D850D4">
              <w:rPr>
                <w:rFonts w:eastAsia="Times New Roman" w:cstheme="minorHAnsi"/>
                <w:color w:val="000000"/>
                <w:sz w:val="20"/>
                <w:szCs w:val="20"/>
                <w:lang w:eastAsia="en-GB"/>
              </w:rPr>
              <w:t>20-29</w:t>
            </w:r>
          </w:p>
        </w:tc>
        <w:tc>
          <w:tcPr>
            <w:tcW w:w="1032" w:type="dxa"/>
            <w:gridSpan w:val="3"/>
            <w:shd w:val="clear" w:color="auto" w:fill="auto"/>
            <w:noWrap/>
            <w:hideMark/>
          </w:tcPr>
          <w:p w14:paraId="5D71284A"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972C3">
              <w:rPr>
                <w:rFonts w:cstheme="minorHAnsi"/>
                <w:color w:val="000000"/>
                <w:sz w:val="20"/>
                <w:szCs w:val="20"/>
              </w:rPr>
              <w:t>49.5</w:t>
            </w:r>
          </w:p>
        </w:tc>
        <w:tc>
          <w:tcPr>
            <w:tcW w:w="1378" w:type="dxa"/>
            <w:shd w:val="clear" w:color="auto" w:fill="auto"/>
            <w:noWrap/>
          </w:tcPr>
          <w:p w14:paraId="59237E31"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972C3">
              <w:rPr>
                <w:rFonts w:cstheme="minorHAnsi"/>
                <w:color w:val="000000"/>
                <w:sz w:val="20"/>
                <w:szCs w:val="20"/>
              </w:rPr>
              <w:t>32.9</w:t>
            </w:r>
          </w:p>
        </w:tc>
        <w:tc>
          <w:tcPr>
            <w:tcW w:w="222" w:type="dxa"/>
          </w:tcPr>
          <w:p w14:paraId="41ACF970" w14:textId="77777777" w:rsidR="00182884" w:rsidRPr="00D972C3" w:rsidRDefault="00182884" w:rsidP="000A7109">
            <w:pPr>
              <w:spacing w:after="0" w:line="240" w:lineRule="auto"/>
              <w:jc w:val="right"/>
              <w:rPr>
                <w:rFonts w:eastAsia="Times New Roman" w:cstheme="minorHAnsi"/>
                <w:color w:val="000000"/>
                <w:sz w:val="20"/>
                <w:szCs w:val="20"/>
                <w:lang w:eastAsia="en-GB"/>
              </w:rPr>
            </w:pPr>
          </w:p>
        </w:tc>
        <w:tc>
          <w:tcPr>
            <w:tcW w:w="1337" w:type="dxa"/>
          </w:tcPr>
          <w:p w14:paraId="23EA1D26" w14:textId="77777777" w:rsidR="00182884" w:rsidRPr="00D972C3" w:rsidRDefault="00182884" w:rsidP="000A7109">
            <w:pPr>
              <w:spacing w:after="0" w:line="240" w:lineRule="auto"/>
              <w:jc w:val="right"/>
              <w:rPr>
                <w:rFonts w:eastAsia="Times New Roman" w:cstheme="minorHAnsi"/>
                <w:color w:val="000000"/>
                <w:sz w:val="20"/>
                <w:szCs w:val="20"/>
                <w:lang w:eastAsia="en-GB"/>
              </w:rPr>
            </w:pPr>
            <w:r w:rsidRPr="00D972C3">
              <w:rPr>
                <w:rFonts w:cstheme="minorHAnsi"/>
                <w:color w:val="000000"/>
                <w:sz w:val="20"/>
                <w:szCs w:val="20"/>
              </w:rPr>
              <w:t>17.2</w:t>
            </w:r>
          </w:p>
        </w:tc>
        <w:tc>
          <w:tcPr>
            <w:tcW w:w="1417" w:type="dxa"/>
            <w:shd w:val="clear" w:color="auto" w:fill="auto"/>
            <w:noWrap/>
            <w:hideMark/>
          </w:tcPr>
          <w:p w14:paraId="676CFE03"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972C3">
              <w:rPr>
                <w:rFonts w:cstheme="minorHAnsi"/>
                <w:color w:val="000000"/>
                <w:sz w:val="20"/>
                <w:szCs w:val="20"/>
              </w:rPr>
              <w:t>12.6</w:t>
            </w:r>
          </w:p>
        </w:tc>
        <w:tc>
          <w:tcPr>
            <w:tcW w:w="1276" w:type="dxa"/>
            <w:shd w:val="clear" w:color="auto" w:fill="auto"/>
            <w:noWrap/>
            <w:hideMark/>
          </w:tcPr>
          <w:p w14:paraId="5B59B6AB"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972C3">
              <w:rPr>
                <w:rFonts w:cstheme="minorHAnsi"/>
                <w:color w:val="000000"/>
                <w:sz w:val="20"/>
                <w:szCs w:val="20"/>
              </w:rPr>
              <w:t xml:space="preserve"> 4.6</w:t>
            </w:r>
          </w:p>
        </w:tc>
        <w:tc>
          <w:tcPr>
            <w:tcW w:w="1118" w:type="dxa"/>
            <w:shd w:val="clear" w:color="auto" w:fill="auto"/>
            <w:noWrap/>
            <w:hideMark/>
          </w:tcPr>
          <w:p w14:paraId="1BC1A872"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972C3">
              <w:rPr>
                <w:rFonts w:cstheme="minorHAnsi"/>
                <w:color w:val="000000"/>
                <w:sz w:val="20"/>
                <w:szCs w:val="20"/>
              </w:rPr>
              <w:t>[-0.9</w:t>
            </w:r>
            <w:r>
              <w:rPr>
                <w:rFonts w:cstheme="minorHAnsi"/>
                <w:color w:val="000000"/>
                <w:sz w:val="20"/>
                <w:szCs w:val="20"/>
              </w:rPr>
              <w:t>–</w:t>
            </w:r>
            <w:r w:rsidRPr="00D972C3">
              <w:rPr>
                <w:rFonts w:cstheme="minorHAnsi"/>
                <w:color w:val="000000"/>
                <w:sz w:val="20"/>
                <w:szCs w:val="20"/>
              </w:rPr>
              <w:t>10.0]</w:t>
            </w:r>
          </w:p>
        </w:tc>
      </w:tr>
      <w:tr w:rsidR="00182884" w:rsidRPr="00D850D4" w14:paraId="710EEB89" w14:textId="77777777" w:rsidTr="000A7109">
        <w:trPr>
          <w:trHeight w:val="288"/>
        </w:trPr>
        <w:tc>
          <w:tcPr>
            <w:tcW w:w="280" w:type="dxa"/>
            <w:shd w:val="clear" w:color="auto" w:fill="auto"/>
            <w:noWrap/>
          </w:tcPr>
          <w:p w14:paraId="01127AF9" w14:textId="77777777" w:rsidR="00182884" w:rsidRPr="00D850D4" w:rsidRDefault="00182884" w:rsidP="000A7109">
            <w:pPr>
              <w:spacing w:after="0" w:line="240" w:lineRule="auto"/>
              <w:jc w:val="left"/>
              <w:rPr>
                <w:rFonts w:eastAsia="Times New Roman" w:cstheme="minorHAnsi"/>
                <w:b/>
                <w:bCs/>
                <w:color w:val="000000"/>
                <w:sz w:val="20"/>
                <w:szCs w:val="20"/>
                <w:lang w:eastAsia="en-GB"/>
              </w:rPr>
            </w:pPr>
          </w:p>
        </w:tc>
        <w:tc>
          <w:tcPr>
            <w:tcW w:w="1705" w:type="dxa"/>
            <w:shd w:val="clear" w:color="auto" w:fill="auto"/>
            <w:noWrap/>
            <w:hideMark/>
          </w:tcPr>
          <w:p w14:paraId="3D045017" w14:textId="77777777" w:rsidR="00182884" w:rsidRPr="00D850D4" w:rsidRDefault="00182884" w:rsidP="000A7109">
            <w:pPr>
              <w:spacing w:after="0" w:line="240" w:lineRule="auto"/>
              <w:jc w:val="left"/>
              <w:rPr>
                <w:rFonts w:eastAsia="Times New Roman" w:cstheme="minorHAnsi"/>
                <w:color w:val="000000"/>
                <w:sz w:val="20"/>
                <w:szCs w:val="20"/>
                <w:lang w:eastAsia="en-GB"/>
              </w:rPr>
            </w:pPr>
            <w:r w:rsidRPr="00D850D4">
              <w:rPr>
                <w:rFonts w:eastAsia="Times New Roman" w:cstheme="minorHAnsi"/>
                <w:color w:val="000000"/>
                <w:sz w:val="20"/>
                <w:szCs w:val="20"/>
                <w:lang w:eastAsia="en-GB"/>
              </w:rPr>
              <w:t>30</w:t>
            </w:r>
            <w:r>
              <w:rPr>
                <w:rFonts w:eastAsia="Times New Roman" w:cstheme="minorHAnsi"/>
                <w:color w:val="000000"/>
                <w:sz w:val="20"/>
                <w:szCs w:val="20"/>
                <w:lang w:eastAsia="en-GB"/>
              </w:rPr>
              <w:t>–</w:t>
            </w:r>
            <w:r w:rsidRPr="00D850D4">
              <w:rPr>
                <w:rFonts w:eastAsia="Times New Roman" w:cstheme="minorHAnsi"/>
                <w:color w:val="000000"/>
                <w:sz w:val="20"/>
                <w:szCs w:val="20"/>
                <w:lang w:eastAsia="en-GB"/>
              </w:rPr>
              <w:t>39</w:t>
            </w:r>
          </w:p>
        </w:tc>
        <w:tc>
          <w:tcPr>
            <w:tcW w:w="1032" w:type="dxa"/>
            <w:gridSpan w:val="3"/>
            <w:shd w:val="clear" w:color="auto" w:fill="auto"/>
            <w:noWrap/>
            <w:hideMark/>
          </w:tcPr>
          <w:p w14:paraId="69814D95"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972C3">
              <w:rPr>
                <w:rFonts w:cstheme="minorHAnsi"/>
                <w:color w:val="000000"/>
                <w:sz w:val="20"/>
                <w:szCs w:val="20"/>
              </w:rPr>
              <w:t>29.8</w:t>
            </w:r>
          </w:p>
        </w:tc>
        <w:tc>
          <w:tcPr>
            <w:tcW w:w="1378" w:type="dxa"/>
            <w:shd w:val="clear" w:color="auto" w:fill="auto"/>
            <w:noWrap/>
          </w:tcPr>
          <w:p w14:paraId="208A4085"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972C3">
              <w:rPr>
                <w:rFonts w:cstheme="minorHAnsi"/>
                <w:color w:val="000000"/>
                <w:sz w:val="20"/>
                <w:szCs w:val="20"/>
              </w:rPr>
              <w:t>17.6</w:t>
            </w:r>
          </w:p>
        </w:tc>
        <w:tc>
          <w:tcPr>
            <w:tcW w:w="222" w:type="dxa"/>
          </w:tcPr>
          <w:p w14:paraId="72D9FDAA" w14:textId="77777777" w:rsidR="00182884" w:rsidRPr="00D972C3" w:rsidRDefault="00182884" w:rsidP="000A7109">
            <w:pPr>
              <w:spacing w:after="0" w:line="240" w:lineRule="auto"/>
              <w:jc w:val="right"/>
              <w:rPr>
                <w:rFonts w:eastAsia="Times New Roman" w:cstheme="minorHAnsi"/>
                <w:color w:val="000000"/>
                <w:sz w:val="20"/>
                <w:szCs w:val="20"/>
                <w:lang w:eastAsia="en-GB"/>
              </w:rPr>
            </w:pPr>
          </w:p>
        </w:tc>
        <w:tc>
          <w:tcPr>
            <w:tcW w:w="1337" w:type="dxa"/>
          </w:tcPr>
          <w:p w14:paraId="2FE54A4F" w14:textId="77777777" w:rsidR="00182884" w:rsidRPr="00D972C3" w:rsidRDefault="00182884" w:rsidP="000A7109">
            <w:pPr>
              <w:spacing w:after="0" w:line="240" w:lineRule="auto"/>
              <w:jc w:val="right"/>
              <w:rPr>
                <w:rFonts w:eastAsia="Times New Roman" w:cstheme="minorHAnsi"/>
                <w:color w:val="000000"/>
                <w:sz w:val="20"/>
                <w:szCs w:val="20"/>
                <w:lang w:eastAsia="en-GB"/>
              </w:rPr>
            </w:pPr>
            <w:r w:rsidRPr="00D972C3">
              <w:rPr>
                <w:rFonts w:cstheme="minorHAnsi"/>
                <w:color w:val="000000"/>
                <w:sz w:val="20"/>
                <w:szCs w:val="20"/>
              </w:rPr>
              <w:t>36.8</w:t>
            </w:r>
          </w:p>
        </w:tc>
        <w:tc>
          <w:tcPr>
            <w:tcW w:w="1417" w:type="dxa"/>
            <w:shd w:val="clear" w:color="auto" w:fill="auto"/>
            <w:noWrap/>
            <w:hideMark/>
          </w:tcPr>
          <w:p w14:paraId="0A6093BE"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972C3">
              <w:rPr>
                <w:rFonts w:cstheme="minorHAnsi"/>
                <w:color w:val="000000"/>
                <w:sz w:val="20"/>
                <w:szCs w:val="20"/>
              </w:rPr>
              <w:t>27.8</w:t>
            </w:r>
          </w:p>
        </w:tc>
        <w:tc>
          <w:tcPr>
            <w:tcW w:w="1276" w:type="dxa"/>
            <w:shd w:val="clear" w:color="auto" w:fill="auto"/>
            <w:noWrap/>
            <w:hideMark/>
          </w:tcPr>
          <w:p w14:paraId="361087BD"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972C3">
              <w:rPr>
                <w:rFonts w:cstheme="minorHAnsi"/>
                <w:color w:val="000000"/>
                <w:sz w:val="20"/>
                <w:szCs w:val="20"/>
              </w:rPr>
              <w:t xml:space="preserve"> 9.0</w:t>
            </w:r>
          </w:p>
        </w:tc>
        <w:tc>
          <w:tcPr>
            <w:tcW w:w="1118" w:type="dxa"/>
            <w:shd w:val="clear" w:color="auto" w:fill="auto"/>
            <w:noWrap/>
            <w:hideMark/>
          </w:tcPr>
          <w:p w14:paraId="33341B7A" w14:textId="77777777" w:rsidR="00182884" w:rsidRPr="00D850D4" w:rsidRDefault="00182884" w:rsidP="000A7109">
            <w:pPr>
              <w:spacing w:after="0" w:line="240" w:lineRule="auto"/>
              <w:jc w:val="right"/>
              <w:rPr>
                <w:rFonts w:eastAsia="Times New Roman" w:cstheme="minorHAnsi"/>
                <w:b/>
                <w:bCs/>
                <w:color w:val="000000"/>
                <w:sz w:val="20"/>
                <w:szCs w:val="20"/>
                <w:lang w:eastAsia="en-GB"/>
              </w:rPr>
            </w:pPr>
            <w:r w:rsidRPr="00C85EE6">
              <w:rPr>
                <w:rFonts w:cstheme="minorHAnsi"/>
                <w:b/>
                <w:bCs/>
                <w:color w:val="000000"/>
                <w:sz w:val="20"/>
                <w:szCs w:val="20"/>
              </w:rPr>
              <w:t>[3.8–14.2]</w:t>
            </w:r>
          </w:p>
        </w:tc>
      </w:tr>
      <w:tr w:rsidR="00182884" w:rsidRPr="00D850D4" w14:paraId="555F0C44" w14:textId="77777777" w:rsidTr="000A7109">
        <w:trPr>
          <w:trHeight w:val="288"/>
        </w:trPr>
        <w:tc>
          <w:tcPr>
            <w:tcW w:w="280" w:type="dxa"/>
            <w:shd w:val="clear" w:color="auto" w:fill="auto"/>
            <w:noWrap/>
          </w:tcPr>
          <w:p w14:paraId="646EED44" w14:textId="77777777" w:rsidR="00182884" w:rsidRPr="00D850D4" w:rsidRDefault="00182884" w:rsidP="000A7109">
            <w:pPr>
              <w:spacing w:after="0" w:line="240" w:lineRule="auto"/>
              <w:jc w:val="left"/>
              <w:rPr>
                <w:rFonts w:eastAsia="Times New Roman" w:cstheme="minorHAnsi"/>
                <w:b/>
                <w:bCs/>
                <w:color w:val="000000"/>
                <w:sz w:val="20"/>
                <w:szCs w:val="20"/>
                <w:lang w:eastAsia="en-GB"/>
              </w:rPr>
            </w:pPr>
          </w:p>
        </w:tc>
        <w:tc>
          <w:tcPr>
            <w:tcW w:w="1705" w:type="dxa"/>
            <w:shd w:val="clear" w:color="auto" w:fill="auto"/>
            <w:noWrap/>
            <w:hideMark/>
          </w:tcPr>
          <w:p w14:paraId="0E912558" w14:textId="77777777" w:rsidR="00182884" w:rsidRPr="00D850D4" w:rsidRDefault="00182884" w:rsidP="000A7109">
            <w:pPr>
              <w:spacing w:after="0" w:line="240" w:lineRule="auto"/>
              <w:jc w:val="left"/>
              <w:rPr>
                <w:rFonts w:eastAsia="Times New Roman" w:cstheme="minorHAnsi"/>
                <w:color w:val="000000"/>
                <w:sz w:val="20"/>
                <w:szCs w:val="20"/>
                <w:lang w:eastAsia="en-GB"/>
              </w:rPr>
            </w:pPr>
            <w:r w:rsidRPr="00D850D4">
              <w:rPr>
                <w:rFonts w:eastAsia="Times New Roman" w:cstheme="minorHAnsi"/>
                <w:color w:val="000000"/>
                <w:sz w:val="20"/>
                <w:szCs w:val="20"/>
                <w:lang w:eastAsia="en-GB"/>
              </w:rPr>
              <w:t>40 and over</w:t>
            </w:r>
          </w:p>
        </w:tc>
        <w:tc>
          <w:tcPr>
            <w:tcW w:w="1032" w:type="dxa"/>
            <w:gridSpan w:val="3"/>
            <w:shd w:val="clear" w:color="auto" w:fill="auto"/>
            <w:noWrap/>
            <w:hideMark/>
          </w:tcPr>
          <w:p w14:paraId="71525A10"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972C3">
              <w:rPr>
                <w:rFonts w:cstheme="minorHAnsi"/>
                <w:color w:val="000000"/>
                <w:sz w:val="20"/>
                <w:szCs w:val="20"/>
              </w:rPr>
              <w:t>44.6</w:t>
            </w:r>
          </w:p>
        </w:tc>
        <w:tc>
          <w:tcPr>
            <w:tcW w:w="1378" w:type="dxa"/>
            <w:shd w:val="clear" w:color="auto" w:fill="auto"/>
            <w:noWrap/>
          </w:tcPr>
          <w:p w14:paraId="7F560162"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972C3">
              <w:rPr>
                <w:rFonts w:cstheme="minorHAnsi"/>
                <w:color w:val="000000"/>
                <w:sz w:val="20"/>
                <w:szCs w:val="20"/>
              </w:rPr>
              <w:t>33.5</w:t>
            </w:r>
          </w:p>
        </w:tc>
        <w:tc>
          <w:tcPr>
            <w:tcW w:w="222" w:type="dxa"/>
          </w:tcPr>
          <w:p w14:paraId="21800A42" w14:textId="77777777" w:rsidR="00182884" w:rsidRPr="00D972C3" w:rsidRDefault="00182884" w:rsidP="000A7109">
            <w:pPr>
              <w:spacing w:after="0" w:line="240" w:lineRule="auto"/>
              <w:jc w:val="right"/>
              <w:rPr>
                <w:rFonts w:eastAsia="Times New Roman" w:cstheme="minorHAnsi"/>
                <w:color w:val="000000"/>
                <w:sz w:val="20"/>
                <w:szCs w:val="20"/>
                <w:lang w:eastAsia="en-GB"/>
              </w:rPr>
            </w:pPr>
          </w:p>
        </w:tc>
        <w:tc>
          <w:tcPr>
            <w:tcW w:w="1337" w:type="dxa"/>
          </w:tcPr>
          <w:p w14:paraId="481650FB" w14:textId="77777777" w:rsidR="00182884" w:rsidRPr="00D972C3" w:rsidRDefault="00182884" w:rsidP="000A7109">
            <w:pPr>
              <w:spacing w:after="0" w:line="240" w:lineRule="auto"/>
              <w:jc w:val="right"/>
              <w:rPr>
                <w:rFonts w:eastAsia="Times New Roman" w:cstheme="minorHAnsi"/>
                <w:color w:val="000000"/>
                <w:sz w:val="20"/>
                <w:szCs w:val="20"/>
                <w:lang w:eastAsia="en-GB"/>
              </w:rPr>
            </w:pPr>
            <w:r w:rsidRPr="00D972C3">
              <w:rPr>
                <w:rFonts w:cstheme="minorHAnsi"/>
                <w:color w:val="000000"/>
                <w:sz w:val="20"/>
                <w:szCs w:val="20"/>
              </w:rPr>
              <w:t>22.0</w:t>
            </w:r>
          </w:p>
        </w:tc>
        <w:tc>
          <w:tcPr>
            <w:tcW w:w="1417" w:type="dxa"/>
            <w:shd w:val="clear" w:color="auto" w:fill="auto"/>
            <w:noWrap/>
            <w:hideMark/>
          </w:tcPr>
          <w:p w14:paraId="1B2D8035"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972C3">
              <w:rPr>
                <w:rFonts w:cstheme="minorHAnsi"/>
                <w:color w:val="000000"/>
                <w:sz w:val="20"/>
                <w:szCs w:val="20"/>
              </w:rPr>
              <w:t>11.9</w:t>
            </w:r>
          </w:p>
        </w:tc>
        <w:tc>
          <w:tcPr>
            <w:tcW w:w="1276" w:type="dxa"/>
            <w:shd w:val="clear" w:color="auto" w:fill="auto"/>
            <w:noWrap/>
            <w:hideMark/>
          </w:tcPr>
          <w:p w14:paraId="3B9C2E9F"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972C3">
              <w:rPr>
                <w:rFonts w:cstheme="minorHAnsi"/>
                <w:color w:val="000000"/>
                <w:sz w:val="20"/>
                <w:szCs w:val="20"/>
              </w:rPr>
              <w:t>10.1</w:t>
            </w:r>
          </w:p>
        </w:tc>
        <w:tc>
          <w:tcPr>
            <w:tcW w:w="1118" w:type="dxa"/>
            <w:shd w:val="clear" w:color="auto" w:fill="auto"/>
            <w:noWrap/>
            <w:hideMark/>
          </w:tcPr>
          <w:p w14:paraId="71B55A88" w14:textId="77777777" w:rsidR="00182884" w:rsidRPr="00D850D4" w:rsidRDefault="00182884" w:rsidP="000A7109">
            <w:pPr>
              <w:spacing w:after="0" w:line="240" w:lineRule="auto"/>
              <w:jc w:val="right"/>
              <w:rPr>
                <w:rFonts w:eastAsia="Times New Roman" w:cstheme="minorHAnsi"/>
                <w:b/>
                <w:bCs/>
                <w:color w:val="000000"/>
                <w:sz w:val="20"/>
                <w:szCs w:val="20"/>
                <w:lang w:eastAsia="en-GB"/>
              </w:rPr>
            </w:pPr>
            <w:r w:rsidRPr="00C85EE6">
              <w:rPr>
                <w:rFonts w:cstheme="minorHAnsi"/>
                <w:b/>
                <w:bCs/>
                <w:color w:val="000000"/>
                <w:sz w:val="20"/>
                <w:szCs w:val="20"/>
              </w:rPr>
              <w:t>[4.5–15.6]</w:t>
            </w:r>
          </w:p>
        </w:tc>
      </w:tr>
      <w:tr w:rsidR="00182884" w:rsidRPr="00D850D4" w14:paraId="76F36FC1" w14:textId="77777777" w:rsidTr="000A7109">
        <w:trPr>
          <w:trHeight w:val="288"/>
        </w:trPr>
        <w:tc>
          <w:tcPr>
            <w:tcW w:w="1985" w:type="dxa"/>
            <w:gridSpan w:val="2"/>
            <w:shd w:val="clear" w:color="auto" w:fill="auto"/>
            <w:noWrap/>
          </w:tcPr>
          <w:p w14:paraId="3A666618" w14:textId="77777777" w:rsidR="00182884" w:rsidRPr="00D850D4" w:rsidRDefault="00182884" w:rsidP="000A7109">
            <w:pPr>
              <w:spacing w:after="0" w:line="240" w:lineRule="auto"/>
              <w:jc w:val="left"/>
              <w:rPr>
                <w:rFonts w:eastAsia="Times New Roman" w:cstheme="minorHAnsi"/>
                <w:b/>
                <w:bCs/>
                <w:color w:val="000000"/>
                <w:sz w:val="20"/>
                <w:szCs w:val="20"/>
                <w:lang w:eastAsia="en-GB"/>
              </w:rPr>
            </w:pPr>
            <w:r w:rsidRPr="00D850D4">
              <w:rPr>
                <w:rFonts w:eastAsia="Times New Roman" w:cstheme="minorHAnsi"/>
                <w:b/>
                <w:bCs/>
                <w:color w:val="000000"/>
                <w:sz w:val="20"/>
                <w:szCs w:val="20"/>
                <w:lang w:eastAsia="en-GB"/>
              </w:rPr>
              <w:t>Education</w:t>
            </w:r>
          </w:p>
        </w:tc>
        <w:tc>
          <w:tcPr>
            <w:tcW w:w="1032" w:type="dxa"/>
            <w:gridSpan w:val="3"/>
            <w:shd w:val="clear" w:color="auto" w:fill="auto"/>
            <w:noWrap/>
          </w:tcPr>
          <w:p w14:paraId="056774F3" w14:textId="77777777" w:rsidR="00182884" w:rsidRPr="00D972C3" w:rsidRDefault="00182884" w:rsidP="000A7109">
            <w:pPr>
              <w:spacing w:after="0" w:line="240" w:lineRule="auto"/>
              <w:jc w:val="right"/>
              <w:rPr>
                <w:rFonts w:eastAsia="Times New Roman" w:cstheme="minorHAnsi"/>
                <w:color w:val="000000"/>
                <w:sz w:val="20"/>
                <w:szCs w:val="20"/>
                <w:lang w:eastAsia="en-GB"/>
              </w:rPr>
            </w:pPr>
          </w:p>
        </w:tc>
        <w:tc>
          <w:tcPr>
            <w:tcW w:w="1378" w:type="dxa"/>
            <w:shd w:val="clear" w:color="auto" w:fill="auto"/>
            <w:noWrap/>
          </w:tcPr>
          <w:p w14:paraId="6CFE33AA" w14:textId="77777777" w:rsidR="00182884" w:rsidRPr="00D972C3" w:rsidRDefault="00182884" w:rsidP="000A7109">
            <w:pPr>
              <w:spacing w:after="0" w:line="240" w:lineRule="auto"/>
              <w:jc w:val="right"/>
              <w:rPr>
                <w:rFonts w:eastAsia="Times New Roman" w:cstheme="minorHAnsi"/>
                <w:color w:val="000000"/>
                <w:sz w:val="20"/>
                <w:szCs w:val="20"/>
                <w:lang w:eastAsia="en-GB"/>
              </w:rPr>
            </w:pPr>
          </w:p>
        </w:tc>
        <w:tc>
          <w:tcPr>
            <w:tcW w:w="222" w:type="dxa"/>
          </w:tcPr>
          <w:p w14:paraId="6F10F319" w14:textId="77777777" w:rsidR="00182884" w:rsidRPr="00D972C3" w:rsidRDefault="00182884" w:rsidP="000A7109">
            <w:pPr>
              <w:spacing w:after="0" w:line="240" w:lineRule="auto"/>
              <w:jc w:val="right"/>
              <w:rPr>
                <w:rFonts w:eastAsia="Times New Roman" w:cstheme="minorHAnsi"/>
                <w:color w:val="000000"/>
                <w:sz w:val="20"/>
                <w:szCs w:val="20"/>
                <w:lang w:eastAsia="en-GB"/>
              </w:rPr>
            </w:pPr>
          </w:p>
        </w:tc>
        <w:tc>
          <w:tcPr>
            <w:tcW w:w="1337" w:type="dxa"/>
            <w:shd w:val="clear" w:color="auto" w:fill="auto"/>
            <w:noWrap/>
          </w:tcPr>
          <w:p w14:paraId="784AE71C" w14:textId="77777777" w:rsidR="00182884" w:rsidRPr="00D972C3" w:rsidRDefault="00182884" w:rsidP="000A7109">
            <w:pPr>
              <w:spacing w:after="0" w:line="240" w:lineRule="auto"/>
              <w:jc w:val="right"/>
              <w:rPr>
                <w:rFonts w:eastAsia="Times New Roman" w:cstheme="minorHAnsi"/>
                <w:color w:val="000000"/>
                <w:sz w:val="20"/>
                <w:szCs w:val="20"/>
                <w:lang w:eastAsia="en-GB"/>
              </w:rPr>
            </w:pPr>
          </w:p>
        </w:tc>
        <w:tc>
          <w:tcPr>
            <w:tcW w:w="1417" w:type="dxa"/>
          </w:tcPr>
          <w:p w14:paraId="6C912610" w14:textId="77777777" w:rsidR="00182884" w:rsidRPr="00D972C3" w:rsidRDefault="00182884" w:rsidP="000A7109">
            <w:pPr>
              <w:spacing w:after="0" w:line="240" w:lineRule="auto"/>
              <w:jc w:val="right"/>
              <w:rPr>
                <w:rFonts w:eastAsia="Times New Roman" w:cstheme="minorHAnsi"/>
                <w:color w:val="000000"/>
                <w:sz w:val="20"/>
                <w:szCs w:val="20"/>
                <w:lang w:eastAsia="en-GB"/>
              </w:rPr>
            </w:pPr>
          </w:p>
        </w:tc>
        <w:tc>
          <w:tcPr>
            <w:tcW w:w="1276" w:type="dxa"/>
            <w:shd w:val="clear" w:color="auto" w:fill="auto"/>
            <w:noWrap/>
          </w:tcPr>
          <w:p w14:paraId="176E2E9F" w14:textId="77777777" w:rsidR="00182884" w:rsidRPr="00D972C3" w:rsidRDefault="00182884" w:rsidP="000A7109">
            <w:pPr>
              <w:spacing w:after="0" w:line="240" w:lineRule="auto"/>
              <w:jc w:val="right"/>
              <w:rPr>
                <w:rFonts w:eastAsia="Times New Roman" w:cstheme="minorHAnsi"/>
                <w:color w:val="000000"/>
                <w:sz w:val="20"/>
                <w:szCs w:val="20"/>
                <w:lang w:eastAsia="en-GB"/>
              </w:rPr>
            </w:pPr>
          </w:p>
        </w:tc>
        <w:tc>
          <w:tcPr>
            <w:tcW w:w="1118" w:type="dxa"/>
            <w:shd w:val="clear" w:color="auto" w:fill="auto"/>
            <w:noWrap/>
          </w:tcPr>
          <w:p w14:paraId="78FF5882" w14:textId="77777777" w:rsidR="00182884" w:rsidRPr="00D972C3" w:rsidRDefault="00182884" w:rsidP="000A7109">
            <w:pPr>
              <w:spacing w:after="0" w:line="240" w:lineRule="auto"/>
              <w:jc w:val="right"/>
              <w:rPr>
                <w:rFonts w:eastAsia="Times New Roman" w:cstheme="minorHAnsi"/>
                <w:color w:val="000000"/>
                <w:sz w:val="20"/>
                <w:szCs w:val="20"/>
                <w:lang w:eastAsia="en-GB"/>
              </w:rPr>
            </w:pPr>
          </w:p>
        </w:tc>
      </w:tr>
      <w:tr w:rsidR="00182884" w:rsidRPr="00D850D4" w14:paraId="12B4EF12" w14:textId="77777777" w:rsidTr="000A7109">
        <w:trPr>
          <w:trHeight w:val="288"/>
        </w:trPr>
        <w:tc>
          <w:tcPr>
            <w:tcW w:w="280" w:type="dxa"/>
            <w:shd w:val="clear" w:color="auto" w:fill="auto"/>
            <w:noWrap/>
          </w:tcPr>
          <w:p w14:paraId="74133B1E" w14:textId="77777777" w:rsidR="00182884" w:rsidRPr="00D850D4" w:rsidRDefault="00182884" w:rsidP="000A7109">
            <w:pPr>
              <w:spacing w:after="0" w:line="240" w:lineRule="auto"/>
              <w:jc w:val="left"/>
              <w:rPr>
                <w:rFonts w:eastAsia="Times New Roman" w:cstheme="minorHAnsi"/>
                <w:b/>
                <w:bCs/>
                <w:color w:val="000000"/>
                <w:sz w:val="20"/>
                <w:szCs w:val="20"/>
                <w:lang w:eastAsia="en-GB"/>
              </w:rPr>
            </w:pPr>
          </w:p>
        </w:tc>
        <w:tc>
          <w:tcPr>
            <w:tcW w:w="1988" w:type="dxa"/>
            <w:gridSpan w:val="2"/>
            <w:shd w:val="clear" w:color="auto" w:fill="auto"/>
            <w:noWrap/>
            <w:hideMark/>
          </w:tcPr>
          <w:p w14:paraId="20CFDF6B" w14:textId="77777777" w:rsidR="00182884" w:rsidRPr="00D850D4" w:rsidRDefault="00182884" w:rsidP="000A7109">
            <w:pPr>
              <w:spacing w:after="0" w:line="240" w:lineRule="auto"/>
              <w:jc w:val="left"/>
              <w:rPr>
                <w:rFonts w:eastAsia="Times New Roman" w:cstheme="minorHAnsi"/>
                <w:color w:val="000000"/>
                <w:sz w:val="20"/>
                <w:szCs w:val="20"/>
                <w:lang w:eastAsia="en-GB"/>
              </w:rPr>
            </w:pPr>
            <w:r w:rsidRPr="00D850D4">
              <w:rPr>
                <w:rFonts w:eastAsia="Times New Roman" w:cstheme="minorHAnsi"/>
                <w:color w:val="000000"/>
                <w:sz w:val="20"/>
                <w:szCs w:val="20"/>
                <w:lang w:eastAsia="en-GB"/>
              </w:rPr>
              <w:t>No education/</w:t>
            </w:r>
            <w:r w:rsidRPr="00D972C3">
              <w:rPr>
                <w:rFonts w:eastAsia="Times New Roman" w:cstheme="minorHAnsi"/>
                <w:color w:val="000000"/>
                <w:sz w:val="20"/>
                <w:szCs w:val="20"/>
                <w:lang w:eastAsia="en-GB"/>
              </w:rPr>
              <w:t xml:space="preserve"> </w:t>
            </w:r>
            <w:r w:rsidRPr="00D850D4">
              <w:rPr>
                <w:rFonts w:eastAsia="Times New Roman" w:cstheme="minorHAnsi"/>
                <w:color w:val="000000"/>
                <w:sz w:val="20"/>
                <w:szCs w:val="20"/>
                <w:lang w:eastAsia="en-GB"/>
              </w:rPr>
              <w:t>Primary</w:t>
            </w:r>
          </w:p>
        </w:tc>
        <w:tc>
          <w:tcPr>
            <w:tcW w:w="749" w:type="dxa"/>
            <w:gridSpan w:val="2"/>
            <w:shd w:val="clear" w:color="auto" w:fill="auto"/>
            <w:noWrap/>
            <w:hideMark/>
          </w:tcPr>
          <w:p w14:paraId="61BAC68A"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972C3">
              <w:rPr>
                <w:rFonts w:cstheme="minorHAnsi"/>
                <w:color w:val="000000"/>
                <w:sz w:val="20"/>
                <w:szCs w:val="20"/>
              </w:rPr>
              <w:t>56.5</w:t>
            </w:r>
          </w:p>
        </w:tc>
        <w:tc>
          <w:tcPr>
            <w:tcW w:w="1378" w:type="dxa"/>
            <w:shd w:val="clear" w:color="auto" w:fill="auto"/>
            <w:noWrap/>
          </w:tcPr>
          <w:p w14:paraId="555F7E96"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972C3">
              <w:rPr>
                <w:rFonts w:cstheme="minorHAnsi"/>
                <w:color w:val="000000"/>
                <w:sz w:val="20"/>
                <w:szCs w:val="20"/>
              </w:rPr>
              <w:t>41.9</w:t>
            </w:r>
          </w:p>
        </w:tc>
        <w:tc>
          <w:tcPr>
            <w:tcW w:w="222" w:type="dxa"/>
          </w:tcPr>
          <w:p w14:paraId="4B883442" w14:textId="77777777" w:rsidR="00182884" w:rsidRPr="00D972C3" w:rsidRDefault="00182884" w:rsidP="000A7109">
            <w:pPr>
              <w:spacing w:after="0" w:line="240" w:lineRule="auto"/>
              <w:jc w:val="right"/>
              <w:rPr>
                <w:rFonts w:eastAsia="Times New Roman" w:cstheme="minorHAnsi"/>
                <w:color w:val="000000"/>
                <w:sz w:val="20"/>
                <w:szCs w:val="20"/>
                <w:lang w:eastAsia="en-GB"/>
              </w:rPr>
            </w:pPr>
          </w:p>
        </w:tc>
        <w:tc>
          <w:tcPr>
            <w:tcW w:w="1337" w:type="dxa"/>
          </w:tcPr>
          <w:p w14:paraId="434993CE" w14:textId="77777777" w:rsidR="00182884" w:rsidRPr="00D972C3" w:rsidRDefault="00182884" w:rsidP="000A7109">
            <w:pPr>
              <w:spacing w:after="0" w:line="240" w:lineRule="auto"/>
              <w:jc w:val="right"/>
              <w:rPr>
                <w:rFonts w:eastAsia="Times New Roman" w:cstheme="minorHAnsi"/>
                <w:i/>
                <w:iCs/>
                <w:color w:val="000000"/>
                <w:sz w:val="20"/>
                <w:szCs w:val="20"/>
                <w:lang w:eastAsia="en-GB"/>
              </w:rPr>
            </w:pPr>
            <w:r w:rsidRPr="00D972C3">
              <w:rPr>
                <w:rFonts w:eastAsia="Times New Roman" w:cstheme="minorHAnsi"/>
                <w:i/>
                <w:iCs/>
                <w:color w:val="000000"/>
                <w:sz w:val="20"/>
                <w:szCs w:val="20"/>
                <w:lang w:eastAsia="en-GB"/>
              </w:rPr>
              <w:t>ref</w:t>
            </w:r>
          </w:p>
        </w:tc>
        <w:tc>
          <w:tcPr>
            <w:tcW w:w="1417" w:type="dxa"/>
            <w:shd w:val="clear" w:color="auto" w:fill="auto"/>
            <w:noWrap/>
          </w:tcPr>
          <w:p w14:paraId="78B818C7"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972C3">
              <w:rPr>
                <w:rFonts w:eastAsia="Times New Roman" w:cstheme="minorHAnsi"/>
                <w:i/>
                <w:iCs/>
                <w:color w:val="000000"/>
                <w:sz w:val="20"/>
                <w:szCs w:val="20"/>
                <w:lang w:eastAsia="en-GB"/>
              </w:rPr>
              <w:t>ref</w:t>
            </w:r>
          </w:p>
        </w:tc>
        <w:tc>
          <w:tcPr>
            <w:tcW w:w="1276" w:type="dxa"/>
            <w:shd w:val="clear" w:color="auto" w:fill="auto"/>
            <w:noWrap/>
          </w:tcPr>
          <w:p w14:paraId="499B8D6B"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972C3">
              <w:rPr>
                <w:rFonts w:eastAsia="Times New Roman" w:cstheme="minorHAnsi"/>
                <w:i/>
                <w:iCs/>
                <w:color w:val="000000"/>
                <w:sz w:val="20"/>
                <w:szCs w:val="20"/>
                <w:lang w:eastAsia="en-GB"/>
              </w:rPr>
              <w:t>ref</w:t>
            </w:r>
          </w:p>
        </w:tc>
        <w:tc>
          <w:tcPr>
            <w:tcW w:w="1118" w:type="dxa"/>
            <w:shd w:val="clear" w:color="auto" w:fill="auto"/>
            <w:noWrap/>
          </w:tcPr>
          <w:p w14:paraId="6F8D16EA" w14:textId="77777777" w:rsidR="00182884" w:rsidRPr="00D850D4" w:rsidRDefault="00182884" w:rsidP="000A7109">
            <w:pPr>
              <w:spacing w:after="0" w:line="240" w:lineRule="auto"/>
              <w:jc w:val="right"/>
              <w:rPr>
                <w:rFonts w:eastAsia="Times New Roman" w:cstheme="minorHAnsi"/>
                <w:color w:val="000000"/>
                <w:sz w:val="20"/>
                <w:szCs w:val="20"/>
                <w:lang w:eastAsia="en-GB"/>
              </w:rPr>
            </w:pPr>
          </w:p>
        </w:tc>
      </w:tr>
      <w:tr w:rsidR="00182884" w:rsidRPr="00D850D4" w14:paraId="25AADBB5" w14:textId="77777777" w:rsidTr="000A7109">
        <w:trPr>
          <w:trHeight w:val="288"/>
        </w:trPr>
        <w:tc>
          <w:tcPr>
            <w:tcW w:w="280" w:type="dxa"/>
            <w:shd w:val="clear" w:color="auto" w:fill="auto"/>
            <w:noWrap/>
          </w:tcPr>
          <w:p w14:paraId="424433EB" w14:textId="77777777" w:rsidR="00182884" w:rsidRPr="00D850D4" w:rsidRDefault="00182884" w:rsidP="000A7109">
            <w:pPr>
              <w:spacing w:after="0" w:line="240" w:lineRule="auto"/>
              <w:jc w:val="left"/>
              <w:rPr>
                <w:rFonts w:eastAsia="Times New Roman" w:cstheme="minorHAnsi"/>
                <w:b/>
                <w:bCs/>
                <w:color w:val="000000"/>
                <w:sz w:val="20"/>
                <w:szCs w:val="20"/>
                <w:lang w:eastAsia="en-GB"/>
              </w:rPr>
            </w:pPr>
          </w:p>
        </w:tc>
        <w:tc>
          <w:tcPr>
            <w:tcW w:w="1705" w:type="dxa"/>
            <w:shd w:val="clear" w:color="auto" w:fill="auto"/>
            <w:noWrap/>
            <w:hideMark/>
          </w:tcPr>
          <w:p w14:paraId="4D88A8EB" w14:textId="77777777" w:rsidR="00182884" w:rsidRPr="00D850D4" w:rsidRDefault="00182884" w:rsidP="000A7109">
            <w:pPr>
              <w:spacing w:after="0" w:line="240" w:lineRule="auto"/>
              <w:jc w:val="left"/>
              <w:rPr>
                <w:rFonts w:eastAsia="Times New Roman" w:cstheme="minorHAnsi"/>
                <w:color w:val="000000"/>
                <w:sz w:val="20"/>
                <w:szCs w:val="20"/>
                <w:lang w:eastAsia="en-GB"/>
              </w:rPr>
            </w:pPr>
            <w:r w:rsidRPr="00D850D4">
              <w:rPr>
                <w:rFonts w:eastAsia="Times New Roman" w:cstheme="minorHAnsi"/>
                <w:color w:val="000000"/>
                <w:sz w:val="20"/>
                <w:szCs w:val="20"/>
                <w:lang w:eastAsia="en-GB"/>
              </w:rPr>
              <w:t>Secondary</w:t>
            </w:r>
          </w:p>
        </w:tc>
        <w:tc>
          <w:tcPr>
            <w:tcW w:w="1032" w:type="dxa"/>
            <w:gridSpan w:val="3"/>
            <w:shd w:val="clear" w:color="auto" w:fill="auto"/>
            <w:noWrap/>
            <w:hideMark/>
          </w:tcPr>
          <w:p w14:paraId="0EC52474"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972C3">
              <w:rPr>
                <w:rFonts w:cstheme="minorHAnsi"/>
                <w:color w:val="000000"/>
                <w:sz w:val="20"/>
                <w:szCs w:val="20"/>
              </w:rPr>
              <w:t>40.1</w:t>
            </w:r>
          </w:p>
        </w:tc>
        <w:tc>
          <w:tcPr>
            <w:tcW w:w="1378" w:type="dxa"/>
            <w:shd w:val="clear" w:color="auto" w:fill="auto"/>
            <w:noWrap/>
          </w:tcPr>
          <w:p w14:paraId="3C142AE4"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972C3">
              <w:rPr>
                <w:rFonts w:cstheme="minorHAnsi"/>
                <w:color w:val="000000"/>
                <w:sz w:val="20"/>
                <w:szCs w:val="20"/>
              </w:rPr>
              <w:t>26.5</w:t>
            </w:r>
          </w:p>
        </w:tc>
        <w:tc>
          <w:tcPr>
            <w:tcW w:w="222" w:type="dxa"/>
          </w:tcPr>
          <w:p w14:paraId="6CBE41DF" w14:textId="77777777" w:rsidR="00182884" w:rsidRPr="00D972C3" w:rsidRDefault="00182884" w:rsidP="000A7109">
            <w:pPr>
              <w:spacing w:after="0" w:line="240" w:lineRule="auto"/>
              <w:jc w:val="right"/>
              <w:rPr>
                <w:rFonts w:eastAsia="Times New Roman" w:cstheme="minorHAnsi"/>
                <w:color w:val="000000"/>
                <w:sz w:val="20"/>
                <w:szCs w:val="20"/>
                <w:lang w:eastAsia="en-GB"/>
              </w:rPr>
            </w:pPr>
          </w:p>
        </w:tc>
        <w:tc>
          <w:tcPr>
            <w:tcW w:w="1337" w:type="dxa"/>
          </w:tcPr>
          <w:p w14:paraId="59F1E812" w14:textId="77777777" w:rsidR="00182884" w:rsidRPr="00D972C3" w:rsidRDefault="00182884" w:rsidP="000A7109">
            <w:pPr>
              <w:spacing w:after="0" w:line="240" w:lineRule="auto"/>
              <w:jc w:val="right"/>
              <w:rPr>
                <w:rFonts w:eastAsia="Times New Roman" w:cstheme="minorHAnsi"/>
                <w:color w:val="000000"/>
                <w:sz w:val="20"/>
                <w:szCs w:val="20"/>
                <w:lang w:eastAsia="en-GB"/>
              </w:rPr>
            </w:pPr>
            <w:r w:rsidRPr="00D972C3">
              <w:rPr>
                <w:rFonts w:cstheme="minorHAnsi"/>
                <w:color w:val="000000"/>
                <w:sz w:val="20"/>
                <w:szCs w:val="20"/>
              </w:rPr>
              <w:t>16.4</w:t>
            </w:r>
          </w:p>
        </w:tc>
        <w:tc>
          <w:tcPr>
            <w:tcW w:w="1417" w:type="dxa"/>
            <w:shd w:val="clear" w:color="auto" w:fill="auto"/>
            <w:noWrap/>
            <w:hideMark/>
          </w:tcPr>
          <w:p w14:paraId="3060CF49"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972C3">
              <w:rPr>
                <w:rFonts w:cstheme="minorHAnsi"/>
                <w:color w:val="000000"/>
                <w:sz w:val="20"/>
                <w:szCs w:val="20"/>
              </w:rPr>
              <w:t>15.4</w:t>
            </w:r>
          </w:p>
        </w:tc>
        <w:tc>
          <w:tcPr>
            <w:tcW w:w="1276" w:type="dxa"/>
            <w:shd w:val="clear" w:color="auto" w:fill="auto"/>
            <w:noWrap/>
            <w:hideMark/>
          </w:tcPr>
          <w:p w14:paraId="0CFCE7B5"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972C3">
              <w:rPr>
                <w:rFonts w:cstheme="minorHAnsi"/>
                <w:color w:val="000000"/>
                <w:sz w:val="20"/>
                <w:szCs w:val="20"/>
              </w:rPr>
              <w:t xml:space="preserve"> 1.0</w:t>
            </w:r>
          </w:p>
        </w:tc>
        <w:tc>
          <w:tcPr>
            <w:tcW w:w="1118" w:type="dxa"/>
            <w:shd w:val="clear" w:color="auto" w:fill="auto"/>
            <w:noWrap/>
            <w:hideMark/>
          </w:tcPr>
          <w:p w14:paraId="5D51C978"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972C3">
              <w:rPr>
                <w:rFonts w:cstheme="minorHAnsi"/>
                <w:color w:val="000000"/>
                <w:sz w:val="20"/>
                <w:szCs w:val="20"/>
              </w:rPr>
              <w:t>[-2.8</w:t>
            </w:r>
            <w:r>
              <w:rPr>
                <w:rFonts w:cstheme="minorHAnsi"/>
                <w:color w:val="000000"/>
                <w:sz w:val="20"/>
                <w:szCs w:val="20"/>
              </w:rPr>
              <w:t>–</w:t>
            </w:r>
            <w:r w:rsidRPr="00D972C3">
              <w:rPr>
                <w:rFonts w:cstheme="minorHAnsi"/>
                <w:color w:val="000000"/>
                <w:sz w:val="20"/>
                <w:szCs w:val="20"/>
              </w:rPr>
              <w:t xml:space="preserve"> 4.8]</w:t>
            </w:r>
          </w:p>
        </w:tc>
      </w:tr>
      <w:tr w:rsidR="00182884" w:rsidRPr="00D850D4" w14:paraId="1C7E86EC" w14:textId="77777777" w:rsidTr="000A7109">
        <w:trPr>
          <w:trHeight w:val="288"/>
        </w:trPr>
        <w:tc>
          <w:tcPr>
            <w:tcW w:w="280" w:type="dxa"/>
            <w:shd w:val="clear" w:color="auto" w:fill="auto"/>
            <w:noWrap/>
          </w:tcPr>
          <w:p w14:paraId="26BB83CD" w14:textId="77777777" w:rsidR="00182884" w:rsidRPr="00D850D4" w:rsidRDefault="00182884" w:rsidP="000A7109">
            <w:pPr>
              <w:spacing w:after="0" w:line="240" w:lineRule="auto"/>
              <w:jc w:val="left"/>
              <w:rPr>
                <w:rFonts w:eastAsia="Times New Roman" w:cstheme="minorHAnsi"/>
                <w:b/>
                <w:bCs/>
                <w:color w:val="000000"/>
                <w:sz w:val="20"/>
                <w:szCs w:val="20"/>
                <w:lang w:eastAsia="en-GB"/>
              </w:rPr>
            </w:pPr>
          </w:p>
        </w:tc>
        <w:tc>
          <w:tcPr>
            <w:tcW w:w="1705" w:type="dxa"/>
            <w:shd w:val="clear" w:color="auto" w:fill="auto"/>
            <w:noWrap/>
            <w:hideMark/>
          </w:tcPr>
          <w:p w14:paraId="02BC092C" w14:textId="77777777" w:rsidR="00182884" w:rsidRPr="00D850D4" w:rsidRDefault="00182884" w:rsidP="000A7109">
            <w:pPr>
              <w:spacing w:after="0" w:line="240" w:lineRule="auto"/>
              <w:jc w:val="left"/>
              <w:rPr>
                <w:rFonts w:eastAsia="Times New Roman" w:cstheme="minorHAnsi"/>
                <w:color w:val="000000"/>
                <w:sz w:val="20"/>
                <w:szCs w:val="20"/>
                <w:lang w:eastAsia="en-GB"/>
              </w:rPr>
            </w:pPr>
            <w:r w:rsidRPr="00D850D4">
              <w:rPr>
                <w:rFonts w:eastAsia="Times New Roman" w:cstheme="minorHAnsi"/>
                <w:color w:val="000000"/>
                <w:sz w:val="20"/>
                <w:szCs w:val="20"/>
                <w:lang w:eastAsia="en-GB"/>
              </w:rPr>
              <w:t>Tertiary</w:t>
            </w:r>
          </w:p>
        </w:tc>
        <w:tc>
          <w:tcPr>
            <w:tcW w:w="1032" w:type="dxa"/>
            <w:gridSpan w:val="3"/>
            <w:shd w:val="clear" w:color="auto" w:fill="auto"/>
            <w:noWrap/>
            <w:hideMark/>
          </w:tcPr>
          <w:p w14:paraId="02B88B38"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972C3">
              <w:rPr>
                <w:rFonts w:cstheme="minorHAnsi"/>
                <w:color w:val="000000"/>
                <w:sz w:val="20"/>
                <w:szCs w:val="20"/>
              </w:rPr>
              <w:t>22.0</w:t>
            </w:r>
          </w:p>
        </w:tc>
        <w:tc>
          <w:tcPr>
            <w:tcW w:w="1378" w:type="dxa"/>
            <w:shd w:val="clear" w:color="auto" w:fill="auto"/>
            <w:noWrap/>
          </w:tcPr>
          <w:p w14:paraId="7CC19997"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972C3">
              <w:rPr>
                <w:rFonts w:cstheme="minorHAnsi"/>
                <w:color w:val="000000"/>
                <w:sz w:val="20"/>
                <w:szCs w:val="20"/>
              </w:rPr>
              <w:t>14.6</w:t>
            </w:r>
          </w:p>
        </w:tc>
        <w:tc>
          <w:tcPr>
            <w:tcW w:w="222" w:type="dxa"/>
          </w:tcPr>
          <w:p w14:paraId="2A2E3A2D" w14:textId="77777777" w:rsidR="00182884" w:rsidRPr="00D972C3" w:rsidRDefault="00182884" w:rsidP="000A7109">
            <w:pPr>
              <w:spacing w:after="0" w:line="240" w:lineRule="auto"/>
              <w:jc w:val="right"/>
              <w:rPr>
                <w:rFonts w:eastAsia="Times New Roman" w:cstheme="minorHAnsi"/>
                <w:color w:val="000000"/>
                <w:sz w:val="20"/>
                <w:szCs w:val="20"/>
                <w:lang w:eastAsia="en-GB"/>
              </w:rPr>
            </w:pPr>
          </w:p>
        </w:tc>
        <w:tc>
          <w:tcPr>
            <w:tcW w:w="1337" w:type="dxa"/>
          </w:tcPr>
          <w:p w14:paraId="4A7A9A27" w14:textId="77777777" w:rsidR="00182884" w:rsidRPr="00D972C3" w:rsidRDefault="00182884" w:rsidP="000A7109">
            <w:pPr>
              <w:spacing w:after="0" w:line="240" w:lineRule="auto"/>
              <w:jc w:val="right"/>
              <w:rPr>
                <w:rFonts w:eastAsia="Times New Roman" w:cstheme="minorHAnsi"/>
                <w:color w:val="000000"/>
                <w:sz w:val="20"/>
                <w:szCs w:val="20"/>
                <w:lang w:eastAsia="en-GB"/>
              </w:rPr>
            </w:pPr>
            <w:r w:rsidRPr="00D972C3">
              <w:rPr>
                <w:rFonts w:cstheme="minorHAnsi"/>
                <w:color w:val="000000"/>
                <w:sz w:val="20"/>
                <w:szCs w:val="20"/>
              </w:rPr>
              <w:t>34.4</w:t>
            </w:r>
          </w:p>
        </w:tc>
        <w:tc>
          <w:tcPr>
            <w:tcW w:w="1417" w:type="dxa"/>
            <w:shd w:val="clear" w:color="auto" w:fill="auto"/>
            <w:noWrap/>
            <w:hideMark/>
          </w:tcPr>
          <w:p w14:paraId="5C78A0C9"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972C3">
              <w:rPr>
                <w:rFonts w:cstheme="minorHAnsi"/>
                <w:color w:val="000000"/>
                <w:sz w:val="20"/>
                <w:szCs w:val="20"/>
              </w:rPr>
              <w:t>27.3</w:t>
            </w:r>
          </w:p>
        </w:tc>
        <w:tc>
          <w:tcPr>
            <w:tcW w:w="1276" w:type="dxa"/>
            <w:shd w:val="clear" w:color="auto" w:fill="auto"/>
            <w:noWrap/>
            <w:hideMark/>
          </w:tcPr>
          <w:p w14:paraId="1ABD17F6"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972C3">
              <w:rPr>
                <w:rFonts w:cstheme="minorHAnsi"/>
                <w:color w:val="000000"/>
                <w:sz w:val="20"/>
                <w:szCs w:val="20"/>
              </w:rPr>
              <w:t xml:space="preserve"> 7.2</w:t>
            </w:r>
          </w:p>
        </w:tc>
        <w:tc>
          <w:tcPr>
            <w:tcW w:w="1118" w:type="dxa"/>
            <w:shd w:val="clear" w:color="auto" w:fill="auto"/>
            <w:noWrap/>
            <w:hideMark/>
          </w:tcPr>
          <w:p w14:paraId="634D0325" w14:textId="77777777" w:rsidR="00182884" w:rsidRPr="00D850D4" w:rsidRDefault="00182884" w:rsidP="000A7109">
            <w:pPr>
              <w:spacing w:after="0" w:line="240" w:lineRule="auto"/>
              <w:jc w:val="right"/>
              <w:rPr>
                <w:rFonts w:eastAsia="Times New Roman" w:cstheme="minorHAnsi"/>
                <w:b/>
                <w:bCs/>
                <w:color w:val="000000"/>
                <w:sz w:val="20"/>
                <w:szCs w:val="20"/>
                <w:lang w:eastAsia="en-GB"/>
              </w:rPr>
            </w:pPr>
            <w:r w:rsidRPr="00C85EE6">
              <w:rPr>
                <w:rFonts w:cstheme="minorHAnsi"/>
                <w:b/>
                <w:bCs/>
                <w:color w:val="000000"/>
                <w:sz w:val="20"/>
                <w:szCs w:val="20"/>
              </w:rPr>
              <w:t>[3.0–11.4]</w:t>
            </w:r>
          </w:p>
        </w:tc>
      </w:tr>
      <w:tr w:rsidR="00182884" w:rsidRPr="00D850D4" w14:paraId="2AB4EF15" w14:textId="77777777" w:rsidTr="000A7109">
        <w:trPr>
          <w:trHeight w:val="288"/>
        </w:trPr>
        <w:tc>
          <w:tcPr>
            <w:tcW w:w="1985" w:type="dxa"/>
            <w:gridSpan w:val="2"/>
            <w:shd w:val="clear" w:color="auto" w:fill="auto"/>
            <w:noWrap/>
          </w:tcPr>
          <w:p w14:paraId="3D0AD577" w14:textId="77777777" w:rsidR="00182884" w:rsidRPr="00D850D4" w:rsidRDefault="00182884" w:rsidP="000A7109">
            <w:pPr>
              <w:spacing w:after="0" w:line="240" w:lineRule="auto"/>
              <w:jc w:val="left"/>
              <w:rPr>
                <w:rFonts w:eastAsia="Times New Roman" w:cstheme="minorHAnsi"/>
                <w:b/>
                <w:bCs/>
                <w:color w:val="000000"/>
                <w:sz w:val="20"/>
                <w:szCs w:val="20"/>
                <w:lang w:eastAsia="en-GB"/>
              </w:rPr>
            </w:pPr>
            <w:r w:rsidRPr="00D850D4">
              <w:rPr>
                <w:rFonts w:eastAsia="Times New Roman" w:cstheme="minorHAnsi"/>
                <w:b/>
                <w:bCs/>
                <w:color w:val="000000"/>
                <w:sz w:val="20"/>
                <w:szCs w:val="20"/>
                <w:lang w:eastAsia="en-GB"/>
              </w:rPr>
              <w:t>Marital Status</w:t>
            </w:r>
          </w:p>
        </w:tc>
        <w:tc>
          <w:tcPr>
            <w:tcW w:w="1032" w:type="dxa"/>
            <w:gridSpan w:val="3"/>
            <w:shd w:val="clear" w:color="auto" w:fill="auto"/>
            <w:noWrap/>
          </w:tcPr>
          <w:p w14:paraId="63AC05E1" w14:textId="77777777" w:rsidR="00182884" w:rsidRPr="00D972C3" w:rsidRDefault="00182884" w:rsidP="000A7109">
            <w:pPr>
              <w:spacing w:after="0" w:line="240" w:lineRule="auto"/>
              <w:jc w:val="right"/>
              <w:rPr>
                <w:rFonts w:eastAsia="Times New Roman" w:cstheme="minorHAnsi"/>
                <w:color w:val="000000"/>
                <w:sz w:val="20"/>
                <w:szCs w:val="20"/>
                <w:lang w:eastAsia="en-GB"/>
              </w:rPr>
            </w:pPr>
          </w:p>
        </w:tc>
        <w:tc>
          <w:tcPr>
            <w:tcW w:w="1378" w:type="dxa"/>
            <w:shd w:val="clear" w:color="auto" w:fill="auto"/>
            <w:noWrap/>
          </w:tcPr>
          <w:p w14:paraId="596A65CC" w14:textId="77777777" w:rsidR="00182884" w:rsidRPr="00D972C3" w:rsidRDefault="00182884" w:rsidP="000A7109">
            <w:pPr>
              <w:spacing w:after="0" w:line="240" w:lineRule="auto"/>
              <w:jc w:val="right"/>
              <w:rPr>
                <w:rFonts w:eastAsia="Times New Roman" w:cstheme="minorHAnsi"/>
                <w:color w:val="000000"/>
                <w:sz w:val="20"/>
                <w:szCs w:val="20"/>
                <w:lang w:eastAsia="en-GB"/>
              </w:rPr>
            </w:pPr>
          </w:p>
        </w:tc>
        <w:tc>
          <w:tcPr>
            <w:tcW w:w="222" w:type="dxa"/>
          </w:tcPr>
          <w:p w14:paraId="61D033E0" w14:textId="77777777" w:rsidR="00182884" w:rsidRPr="00D972C3" w:rsidRDefault="00182884" w:rsidP="000A7109">
            <w:pPr>
              <w:spacing w:after="0" w:line="240" w:lineRule="auto"/>
              <w:jc w:val="right"/>
              <w:rPr>
                <w:rFonts w:eastAsia="Times New Roman" w:cstheme="minorHAnsi"/>
                <w:color w:val="000000"/>
                <w:sz w:val="20"/>
                <w:szCs w:val="20"/>
                <w:lang w:eastAsia="en-GB"/>
              </w:rPr>
            </w:pPr>
          </w:p>
        </w:tc>
        <w:tc>
          <w:tcPr>
            <w:tcW w:w="1337" w:type="dxa"/>
            <w:shd w:val="clear" w:color="auto" w:fill="auto"/>
            <w:noWrap/>
          </w:tcPr>
          <w:p w14:paraId="0B630061" w14:textId="77777777" w:rsidR="00182884" w:rsidRPr="00D972C3" w:rsidRDefault="00182884" w:rsidP="000A7109">
            <w:pPr>
              <w:spacing w:after="0" w:line="240" w:lineRule="auto"/>
              <w:jc w:val="right"/>
              <w:rPr>
                <w:rFonts w:eastAsia="Times New Roman" w:cstheme="minorHAnsi"/>
                <w:color w:val="000000"/>
                <w:sz w:val="20"/>
                <w:szCs w:val="20"/>
                <w:lang w:eastAsia="en-GB"/>
              </w:rPr>
            </w:pPr>
          </w:p>
        </w:tc>
        <w:tc>
          <w:tcPr>
            <w:tcW w:w="1417" w:type="dxa"/>
          </w:tcPr>
          <w:p w14:paraId="70124135" w14:textId="77777777" w:rsidR="00182884" w:rsidRPr="00D972C3" w:rsidRDefault="00182884" w:rsidP="000A7109">
            <w:pPr>
              <w:spacing w:after="0" w:line="240" w:lineRule="auto"/>
              <w:jc w:val="right"/>
              <w:rPr>
                <w:rFonts w:eastAsia="Times New Roman" w:cstheme="minorHAnsi"/>
                <w:color w:val="000000"/>
                <w:sz w:val="20"/>
                <w:szCs w:val="20"/>
                <w:lang w:eastAsia="en-GB"/>
              </w:rPr>
            </w:pPr>
          </w:p>
        </w:tc>
        <w:tc>
          <w:tcPr>
            <w:tcW w:w="1276" w:type="dxa"/>
            <w:shd w:val="clear" w:color="auto" w:fill="auto"/>
            <w:noWrap/>
          </w:tcPr>
          <w:p w14:paraId="075C8266" w14:textId="77777777" w:rsidR="00182884" w:rsidRPr="00D972C3" w:rsidRDefault="00182884" w:rsidP="000A7109">
            <w:pPr>
              <w:spacing w:after="0" w:line="240" w:lineRule="auto"/>
              <w:jc w:val="right"/>
              <w:rPr>
                <w:rFonts w:eastAsia="Times New Roman" w:cstheme="minorHAnsi"/>
                <w:color w:val="000000"/>
                <w:sz w:val="20"/>
                <w:szCs w:val="20"/>
                <w:lang w:eastAsia="en-GB"/>
              </w:rPr>
            </w:pPr>
          </w:p>
        </w:tc>
        <w:tc>
          <w:tcPr>
            <w:tcW w:w="1118" w:type="dxa"/>
            <w:shd w:val="clear" w:color="auto" w:fill="auto"/>
            <w:noWrap/>
          </w:tcPr>
          <w:p w14:paraId="03032527" w14:textId="77777777" w:rsidR="00182884" w:rsidRPr="00D972C3" w:rsidRDefault="00182884" w:rsidP="000A7109">
            <w:pPr>
              <w:spacing w:after="0" w:line="240" w:lineRule="auto"/>
              <w:jc w:val="right"/>
              <w:rPr>
                <w:rFonts w:eastAsia="Times New Roman" w:cstheme="minorHAnsi"/>
                <w:color w:val="000000"/>
                <w:sz w:val="20"/>
                <w:szCs w:val="20"/>
                <w:lang w:eastAsia="en-GB"/>
              </w:rPr>
            </w:pPr>
          </w:p>
        </w:tc>
      </w:tr>
      <w:tr w:rsidR="00182884" w:rsidRPr="00D850D4" w14:paraId="6CD0DC54" w14:textId="77777777" w:rsidTr="000A7109">
        <w:trPr>
          <w:trHeight w:val="288"/>
        </w:trPr>
        <w:tc>
          <w:tcPr>
            <w:tcW w:w="280" w:type="dxa"/>
            <w:shd w:val="clear" w:color="auto" w:fill="auto"/>
            <w:noWrap/>
          </w:tcPr>
          <w:p w14:paraId="7A44CF05" w14:textId="77777777" w:rsidR="00182884" w:rsidRPr="00D850D4" w:rsidRDefault="00182884" w:rsidP="000A7109">
            <w:pPr>
              <w:spacing w:after="0" w:line="240" w:lineRule="auto"/>
              <w:jc w:val="left"/>
              <w:rPr>
                <w:rFonts w:eastAsia="Times New Roman" w:cstheme="minorHAnsi"/>
                <w:color w:val="000000"/>
                <w:sz w:val="20"/>
                <w:szCs w:val="20"/>
                <w:lang w:eastAsia="en-GB"/>
              </w:rPr>
            </w:pPr>
          </w:p>
        </w:tc>
        <w:tc>
          <w:tcPr>
            <w:tcW w:w="1705" w:type="dxa"/>
            <w:shd w:val="clear" w:color="auto" w:fill="auto"/>
            <w:noWrap/>
            <w:hideMark/>
          </w:tcPr>
          <w:p w14:paraId="3CC6F438" w14:textId="77777777" w:rsidR="00182884" w:rsidRPr="00D850D4" w:rsidRDefault="00182884" w:rsidP="000A7109">
            <w:pPr>
              <w:spacing w:after="0" w:line="240" w:lineRule="auto"/>
              <w:jc w:val="left"/>
              <w:rPr>
                <w:rFonts w:eastAsia="Times New Roman" w:cstheme="minorHAnsi"/>
                <w:color w:val="000000"/>
                <w:sz w:val="20"/>
                <w:szCs w:val="20"/>
                <w:lang w:eastAsia="en-GB"/>
              </w:rPr>
            </w:pPr>
            <w:r w:rsidRPr="00D850D4">
              <w:rPr>
                <w:rFonts w:eastAsia="Times New Roman" w:cstheme="minorHAnsi"/>
                <w:color w:val="000000"/>
                <w:sz w:val="20"/>
                <w:szCs w:val="20"/>
                <w:lang w:eastAsia="en-GB"/>
              </w:rPr>
              <w:t>Single</w:t>
            </w:r>
          </w:p>
        </w:tc>
        <w:tc>
          <w:tcPr>
            <w:tcW w:w="1032" w:type="dxa"/>
            <w:gridSpan w:val="3"/>
            <w:shd w:val="clear" w:color="auto" w:fill="auto"/>
            <w:noWrap/>
            <w:hideMark/>
          </w:tcPr>
          <w:p w14:paraId="3793D67F"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972C3">
              <w:rPr>
                <w:rFonts w:cstheme="minorHAnsi"/>
                <w:color w:val="000000"/>
                <w:sz w:val="20"/>
                <w:szCs w:val="20"/>
              </w:rPr>
              <w:t>50.0</w:t>
            </w:r>
          </w:p>
        </w:tc>
        <w:tc>
          <w:tcPr>
            <w:tcW w:w="1378" w:type="dxa"/>
            <w:shd w:val="clear" w:color="auto" w:fill="auto"/>
            <w:noWrap/>
          </w:tcPr>
          <w:p w14:paraId="3D988AEC"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972C3">
              <w:rPr>
                <w:rFonts w:cstheme="minorHAnsi"/>
                <w:color w:val="000000"/>
                <w:sz w:val="20"/>
                <w:szCs w:val="20"/>
              </w:rPr>
              <w:t>35.7</w:t>
            </w:r>
          </w:p>
        </w:tc>
        <w:tc>
          <w:tcPr>
            <w:tcW w:w="222" w:type="dxa"/>
          </w:tcPr>
          <w:p w14:paraId="20164FD6" w14:textId="77777777" w:rsidR="00182884" w:rsidRPr="00D972C3" w:rsidRDefault="00182884" w:rsidP="000A7109">
            <w:pPr>
              <w:spacing w:after="0" w:line="240" w:lineRule="auto"/>
              <w:jc w:val="right"/>
              <w:rPr>
                <w:rFonts w:eastAsia="Times New Roman" w:cstheme="minorHAnsi"/>
                <w:color w:val="000000"/>
                <w:sz w:val="20"/>
                <w:szCs w:val="20"/>
                <w:lang w:eastAsia="en-GB"/>
              </w:rPr>
            </w:pPr>
          </w:p>
        </w:tc>
        <w:tc>
          <w:tcPr>
            <w:tcW w:w="1337" w:type="dxa"/>
          </w:tcPr>
          <w:p w14:paraId="13017EE4" w14:textId="77777777" w:rsidR="00182884" w:rsidRPr="00D972C3" w:rsidRDefault="00182884" w:rsidP="000A7109">
            <w:pPr>
              <w:spacing w:after="0" w:line="240" w:lineRule="auto"/>
              <w:jc w:val="right"/>
              <w:rPr>
                <w:rFonts w:eastAsia="Times New Roman" w:cstheme="minorHAnsi"/>
                <w:i/>
                <w:iCs/>
                <w:color w:val="000000"/>
                <w:sz w:val="20"/>
                <w:szCs w:val="20"/>
                <w:lang w:eastAsia="en-GB"/>
              </w:rPr>
            </w:pPr>
            <w:r w:rsidRPr="00D972C3">
              <w:rPr>
                <w:rFonts w:cstheme="minorHAnsi"/>
                <w:color w:val="000000"/>
                <w:sz w:val="20"/>
                <w:szCs w:val="20"/>
              </w:rPr>
              <w:t>0.0</w:t>
            </w:r>
          </w:p>
        </w:tc>
        <w:tc>
          <w:tcPr>
            <w:tcW w:w="1417" w:type="dxa"/>
            <w:shd w:val="clear" w:color="auto" w:fill="auto"/>
            <w:noWrap/>
          </w:tcPr>
          <w:p w14:paraId="3B6DA282"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972C3">
              <w:rPr>
                <w:rFonts w:eastAsia="Times New Roman" w:cstheme="minorHAnsi"/>
                <w:i/>
                <w:iCs/>
                <w:color w:val="000000"/>
                <w:sz w:val="20"/>
                <w:szCs w:val="20"/>
                <w:lang w:eastAsia="en-GB"/>
              </w:rPr>
              <w:t>ref</w:t>
            </w:r>
          </w:p>
        </w:tc>
        <w:tc>
          <w:tcPr>
            <w:tcW w:w="1276" w:type="dxa"/>
            <w:shd w:val="clear" w:color="auto" w:fill="auto"/>
            <w:noWrap/>
          </w:tcPr>
          <w:p w14:paraId="7800191C"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972C3">
              <w:rPr>
                <w:rFonts w:eastAsia="Times New Roman" w:cstheme="minorHAnsi"/>
                <w:i/>
                <w:iCs/>
                <w:color w:val="000000"/>
                <w:sz w:val="20"/>
                <w:szCs w:val="20"/>
                <w:lang w:eastAsia="en-GB"/>
              </w:rPr>
              <w:t>ref</w:t>
            </w:r>
          </w:p>
        </w:tc>
        <w:tc>
          <w:tcPr>
            <w:tcW w:w="1118" w:type="dxa"/>
            <w:shd w:val="clear" w:color="auto" w:fill="auto"/>
            <w:noWrap/>
          </w:tcPr>
          <w:p w14:paraId="36D036BE" w14:textId="77777777" w:rsidR="00182884" w:rsidRPr="00D850D4" w:rsidRDefault="00182884" w:rsidP="000A7109">
            <w:pPr>
              <w:spacing w:after="0" w:line="240" w:lineRule="auto"/>
              <w:jc w:val="right"/>
              <w:rPr>
                <w:rFonts w:eastAsia="Times New Roman" w:cstheme="minorHAnsi"/>
                <w:color w:val="000000"/>
                <w:sz w:val="20"/>
                <w:szCs w:val="20"/>
                <w:lang w:eastAsia="en-GB"/>
              </w:rPr>
            </w:pPr>
          </w:p>
        </w:tc>
      </w:tr>
      <w:tr w:rsidR="00182884" w:rsidRPr="00D850D4" w14:paraId="5C3A98CC" w14:textId="77777777" w:rsidTr="000A7109">
        <w:trPr>
          <w:trHeight w:val="288"/>
        </w:trPr>
        <w:tc>
          <w:tcPr>
            <w:tcW w:w="280" w:type="dxa"/>
            <w:shd w:val="clear" w:color="auto" w:fill="auto"/>
            <w:noWrap/>
          </w:tcPr>
          <w:p w14:paraId="23A18365" w14:textId="77777777" w:rsidR="00182884" w:rsidRPr="00D850D4" w:rsidRDefault="00182884" w:rsidP="000A7109">
            <w:pPr>
              <w:spacing w:after="0" w:line="240" w:lineRule="auto"/>
              <w:jc w:val="left"/>
              <w:rPr>
                <w:rFonts w:eastAsia="Times New Roman" w:cstheme="minorHAnsi"/>
                <w:color w:val="000000"/>
                <w:sz w:val="20"/>
                <w:szCs w:val="20"/>
                <w:lang w:eastAsia="en-GB"/>
              </w:rPr>
            </w:pPr>
          </w:p>
        </w:tc>
        <w:tc>
          <w:tcPr>
            <w:tcW w:w="2130" w:type="dxa"/>
            <w:gridSpan w:val="3"/>
            <w:shd w:val="clear" w:color="auto" w:fill="auto"/>
            <w:noWrap/>
            <w:hideMark/>
          </w:tcPr>
          <w:p w14:paraId="063A7D5B" w14:textId="77777777" w:rsidR="00182884" w:rsidRPr="00D850D4" w:rsidRDefault="00182884" w:rsidP="000A7109">
            <w:pPr>
              <w:spacing w:after="0" w:line="240" w:lineRule="auto"/>
              <w:jc w:val="left"/>
              <w:rPr>
                <w:rFonts w:eastAsia="Times New Roman" w:cstheme="minorHAnsi"/>
                <w:color w:val="000000"/>
                <w:sz w:val="20"/>
                <w:szCs w:val="20"/>
                <w:lang w:eastAsia="en-GB"/>
              </w:rPr>
            </w:pPr>
            <w:r w:rsidRPr="00D850D4">
              <w:rPr>
                <w:rFonts w:eastAsia="Times New Roman" w:cstheme="minorHAnsi"/>
                <w:color w:val="000000"/>
                <w:sz w:val="20"/>
                <w:szCs w:val="20"/>
                <w:lang w:eastAsia="en-GB"/>
              </w:rPr>
              <w:t>Married/</w:t>
            </w:r>
            <w:r w:rsidRPr="00D972C3">
              <w:rPr>
                <w:rFonts w:eastAsia="Times New Roman" w:cstheme="minorHAnsi"/>
                <w:color w:val="000000"/>
                <w:sz w:val="20"/>
                <w:szCs w:val="20"/>
                <w:lang w:eastAsia="en-GB"/>
              </w:rPr>
              <w:t xml:space="preserve"> </w:t>
            </w:r>
            <w:r w:rsidRPr="00D850D4">
              <w:rPr>
                <w:rFonts w:eastAsia="Times New Roman" w:cstheme="minorHAnsi"/>
                <w:color w:val="000000"/>
                <w:sz w:val="20"/>
                <w:szCs w:val="20"/>
                <w:lang w:eastAsia="en-GB"/>
              </w:rPr>
              <w:t>Informal union</w:t>
            </w:r>
          </w:p>
        </w:tc>
        <w:tc>
          <w:tcPr>
            <w:tcW w:w="607" w:type="dxa"/>
            <w:shd w:val="clear" w:color="auto" w:fill="auto"/>
            <w:noWrap/>
            <w:hideMark/>
          </w:tcPr>
          <w:p w14:paraId="0CE7C05D"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972C3">
              <w:rPr>
                <w:rFonts w:cstheme="minorHAnsi"/>
                <w:color w:val="000000"/>
                <w:sz w:val="20"/>
                <w:szCs w:val="20"/>
              </w:rPr>
              <w:t>41.6</w:t>
            </w:r>
          </w:p>
        </w:tc>
        <w:tc>
          <w:tcPr>
            <w:tcW w:w="1378" w:type="dxa"/>
            <w:shd w:val="clear" w:color="auto" w:fill="auto"/>
            <w:noWrap/>
          </w:tcPr>
          <w:p w14:paraId="31CB5B05"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972C3">
              <w:rPr>
                <w:rFonts w:cstheme="minorHAnsi"/>
                <w:color w:val="000000"/>
                <w:sz w:val="20"/>
                <w:szCs w:val="20"/>
              </w:rPr>
              <w:t>28.2</w:t>
            </w:r>
          </w:p>
        </w:tc>
        <w:tc>
          <w:tcPr>
            <w:tcW w:w="222" w:type="dxa"/>
          </w:tcPr>
          <w:p w14:paraId="616FA13C" w14:textId="77777777" w:rsidR="00182884" w:rsidRPr="00D972C3" w:rsidRDefault="00182884" w:rsidP="000A7109">
            <w:pPr>
              <w:spacing w:after="0" w:line="240" w:lineRule="auto"/>
              <w:jc w:val="right"/>
              <w:rPr>
                <w:rFonts w:eastAsia="Times New Roman" w:cstheme="minorHAnsi"/>
                <w:color w:val="000000"/>
                <w:sz w:val="20"/>
                <w:szCs w:val="20"/>
                <w:lang w:eastAsia="en-GB"/>
              </w:rPr>
            </w:pPr>
          </w:p>
        </w:tc>
        <w:tc>
          <w:tcPr>
            <w:tcW w:w="1337" w:type="dxa"/>
          </w:tcPr>
          <w:p w14:paraId="12897382" w14:textId="77777777" w:rsidR="00182884" w:rsidRPr="00D972C3" w:rsidRDefault="00182884" w:rsidP="000A7109">
            <w:pPr>
              <w:spacing w:after="0" w:line="240" w:lineRule="auto"/>
              <w:jc w:val="right"/>
              <w:rPr>
                <w:rFonts w:eastAsia="Times New Roman" w:cstheme="minorHAnsi"/>
                <w:color w:val="000000"/>
                <w:sz w:val="20"/>
                <w:szCs w:val="20"/>
                <w:lang w:eastAsia="en-GB"/>
              </w:rPr>
            </w:pPr>
            <w:r w:rsidRPr="00D972C3">
              <w:rPr>
                <w:rFonts w:cstheme="minorHAnsi"/>
                <w:color w:val="000000"/>
                <w:sz w:val="20"/>
                <w:szCs w:val="20"/>
              </w:rPr>
              <w:t xml:space="preserve"> 8.4</w:t>
            </w:r>
          </w:p>
        </w:tc>
        <w:tc>
          <w:tcPr>
            <w:tcW w:w="1417" w:type="dxa"/>
            <w:shd w:val="clear" w:color="auto" w:fill="auto"/>
            <w:noWrap/>
            <w:hideMark/>
          </w:tcPr>
          <w:p w14:paraId="3E210D9B"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972C3">
              <w:rPr>
                <w:rFonts w:cstheme="minorHAnsi"/>
                <w:color w:val="000000"/>
                <w:sz w:val="20"/>
                <w:szCs w:val="20"/>
              </w:rPr>
              <w:t xml:space="preserve"> 7.4</w:t>
            </w:r>
          </w:p>
        </w:tc>
        <w:tc>
          <w:tcPr>
            <w:tcW w:w="1276" w:type="dxa"/>
            <w:shd w:val="clear" w:color="auto" w:fill="auto"/>
            <w:noWrap/>
            <w:hideMark/>
          </w:tcPr>
          <w:p w14:paraId="1513C2CF"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972C3">
              <w:rPr>
                <w:rFonts w:cstheme="minorHAnsi"/>
                <w:color w:val="000000"/>
                <w:sz w:val="20"/>
                <w:szCs w:val="20"/>
              </w:rPr>
              <w:t xml:space="preserve"> 1.0</w:t>
            </w:r>
          </w:p>
        </w:tc>
        <w:tc>
          <w:tcPr>
            <w:tcW w:w="1118" w:type="dxa"/>
            <w:shd w:val="clear" w:color="auto" w:fill="auto"/>
            <w:noWrap/>
            <w:hideMark/>
          </w:tcPr>
          <w:p w14:paraId="32254E53"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972C3">
              <w:rPr>
                <w:rFonts w:cstheme="minorHAnsi"/>
                <w:color w:val="000000"/>
                <w:sz w:val="20"/>
                <w:szCs w:val="20"/>
              </w:rPr>
              <w:t>[-3.2</w:t>
            </w:r>
            <w:r>
              <w:rPr>
                <w:rFonts w:cstheme="minorHAnsi"/>
                <w:color w:val="000000"/>
                <w:sz w:val="20"/>
                <w:szCs w:val="20"/>
              </w:rPr>
              <w:t>–</w:t>
            </w:r>
            <w:r w:rsidRPr="00D972C3">
              <w:rPr>
                <w:rFonts w:cstheme="minorHAnsi"/>
                <w:color w:val="000000"/>
                <w:sz w:val="20"/>
                <w:szCs w:val="20"/>
              </w:rPr>
              <w:t xml:space="preserve"> 5.2]</w:t>
            </w:r>
          </w:p>
        </w:tc>
      </w:tr>
      <w:tr w:rsidR="00182884" w:rsidRPr="00D850D4" w14:paraId="06BDDFB5" w14:textId="77777777" w:rsidTr="000A7109">
        <w:trPr>
          <w:trHeight w:val="288"/>
        </w:trPr>
        <w:tc>
          <w:tcPr>
            <w:tcW w:w="280" w:type="dxa"/>
            <w:shd w:val="clear" w:color="auto" w:fill="auto"/>
            <w:noWrap/>
          </w:tcPr>
          <w:p w14:paraId="4F04B15C" w14:textId="77777777" w:rsidR="00182884" w:rsidRPr="00D850D4" w:rsidRDefault="00182884" w:rsidP="000A7109">
            <w:pPr>
              <w:spacing w:after="0" w:line="240" w:lineRule="auto"/>
              <w:jc w:val="left"/>
              <w:rPr>
                <w:rFonts w:eastAsia="Times New Roman" w:cstheme="minorHAnsi"/>
                <w:color w:val="000000"/>
                <w:sz w:val="20"/>
                <w:szCs w:val="20"/>
                <w:lang w:eastAsia="en-GB"/>
              </w:rPr>
            </w:pPr>
          </w:p>
        </w:tc>
        <w:tc>
          <w:tcPr>
            <w:tcW w:w="1988" w:type="dxa"/>
            <w:gridSpan w:val="2"/>
            <w:shd w:val="clear" w:color="auto" w:fill="auto"/>
            <w:noWrap/>
            <w:hideMark/>
          </w:tcPr>
          <w:p w14:paraId="0214FBCE" w14:textId="77777777" w:rsidR="00182884" w:rsidRPr="00D850D4" w:rsidRDefault="00182884" w:rsidP="000A7109">
            <w:pPr>
              <w:spacing w:after="0" w:line="240" w:lineRule="auto"/>
              <w:jc w:val="left"/>
              <w:rPr>
                <w:rFonts w:eastAsia="Times New Roman" w:cstheme="minorHAnsi"/>
                <w:color w:val="000000"/>
                <w:sz w:val="20"/>
                <w:szCs w:val="20"/>
                <w:lang w:eastAsia="en-GB"/>
              </w:rPr>
            </w:pPr>
            <w:r w:rsidRPr="00D850D4">
              <w:rPr>
                <w:rFonts w:eastAsia="Times New Roman" w:cstheme="minorHAnsi"/>
                <w:color w:val="000000"/>
                <w:sz w:val="20"/>
                <w:szCs w:val="20"/>
                <w:lang w:eastAsia="en-GB"/>
              </w:rPr>
              <w:t>Widowed/</w:t>
            </w:r>
            <w:r w:rsidRPr="00D972C3">
              <w:rPr>
                <w:rFonts w:eastAsia="Times New Roman" w:cstheme="minorHAnsi"/>
                <w:color w:val="000000"/>
                <w:sz w:val="20"/>
                <w:szCs w:val="20"/>
                <w:lang w:eastAsia="en-GB"/>
              </w:rPr>
              <w:t xml:space="preserve"> </w:t>
            </w:r>
            <w:r w:rsidRPr="00D850D4">
              <w:rPr>
                <w:rFonts w:eastAsia="Times New Roman" w:cstheme="minorHAnsi"/>
                <w:color w:val="000000"/>
                <w:sz w:val="20"/>
                <w:szCs w:val="20"/>
                <w:lang w:eastAsia="en-GB"/>
              </w:rPr>
              <w:t>Separated/</w:t>
            </w:r>
            <w:r w:rsidRPr="00D972C3">
              <w:rPr>
                <w:rFonts w:eastAsia="Times New Roman" w:cstheme="minorHAnsi"/>
                <w:color w:val="000000"/>
                <w:sz w:val="20"/>
                <w:szCs w:val="20"/>
                <w:lang w:eastAsia="en-GB"/>
              </w:rPr>
              <w:t xml:space="preserve"> </w:t>
            </w:r>
            <w:r w:rsidRPr="00D850D4">
              <w:rPr>
                <w:rFonts w:eastAsia="Times New Roman" w:cstheme="minorHAnsi"/>
                <w:color w:val="000000"/>
                <w:sz w:val="20"/>
                <w:szCs w:val="20"/>
                <w:lang w:eastAsia="en-GB"/>
              </w:rPr>
              <w:t>Divorced</w:t>
            </w:r>
          </w:p>
        </w:tc>
        <w:tc>
          <w:tcPr>
            <w:tcW w:w="749" w:type="dxa"/>
            <w:gridSpan w:val="2"/>
            <w:shd w:val="clear" w:color="auto" w:fill="auto"/>
            <w:noWrap/>
            <w:hideMark/>
          </w:tcPr>
          <w:p w14:paraId="7A0CB818"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972C3">
              <w:rPr>
                <w:rFonts w:cstheme="minorHAnsi"/>
                <w:color w:val="000000"/>
                <w:sz w:val="20"/>
                <w:szCs w:val="20"/>
              </w:rPr>
              <w:t>53.3</w:t>
            </w:r>
          </w:p>
        </w:tc>
        <w:tc>
          <w:tcPr>
            <w:tcW w:w="1378" w:type="dxa"/>
            <w:shd w:val="clear" w:color="auto" w:fill="auto"/>
            <w:noWrap/>
          </w:tcPr>
          <w:p w14:paraId="54FF5BA5"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972C3">
              <w:rPr>
                <w:rFonts w:cstheme="minorHAnsi"/>
                <w:color w:val="000000"/>
                <w:sz w:val="20"/>
                <w:szCs w:val="20"/>
              </w:rPr>
              <w:t>37.8</w:t>
            </w:r>
          </w:p>
        </w:tc>
        <w:tc>
          <w:tcPr>
            <w:tcW w:w="222" w:type="dxa"/>
          </w:tcPr>
          <w:p w14:paraId="636B9B23" w14:textId="77777777" w:rsidR="00182884" w:rsidRPr="00D972C3" w:rsidRDefault="00182884" w:rsidP="000A7109">
            <w:pPr>
              <w:spacing w:after="0" w:line="240" w:lineRule="auto"/>
              <w:jc w:val="right"/>
              <w:rPr>
                <w:rFonts w:eastAsia="Times New Roman" w:cstheme="minorHAnsi"/>
                <w:color w:val="000000"/>
                <w:sz w:val="20"/>
                <w:szCs w:val="20"/>
                <w:lang w:eastAsia="en-GB"/>
              </w:rPr>
            </w:pPr>
          </w:p>
        </w:tc>
        <w:tc>
          <w:tcPr>
            <w:tcW w:w="1337" w:type="dxa"/>
          </w:tcPr>
          <w:p w14:paraId="322B7185" w14:textId="77777777" w:rsidR="00182884" w:rsidRPr="00D972C3" w:rsidRDefault="00182884" w:rsidP="000A7109">
            <w:pPr>
              <w:spacing w:after="0" w:line="240" w:lineRule="auto"/>
              <w:jc w:val="right"/>
              <w:rPr>
                <w:rFonts w:eastAsia="Times New Roman" w:cstheme="minorHAnsi"/>
                <w:color w:val="000000"/>
                <w:sz w:val="20"/>
                <w:szCs w:val="20"/>
                <w:lang w:eastAsia="en-GB"/>
              </w:rPr>
            </w:pPr>
            <w:r w:rsidRPr="00D972C3">
              <w:rPr>
                <w:rFonts w:cstheme="minorHAnsi"/>
                <w:color w:val="000000"/>
                <w:sz w:val="20"/>
                <w:szCs w:val="20"/>
              </w:rPr>
              <w:t>-3.3</w:t>
            </w:r>
          </w:p>
        </w:tc>
        <w:tc>
          <w:tcPr>
            <w:tcW w:w="1417" w:type="dxa"/>
            <w:shd w:val="clear" w:color="auto" w:fill="auto"/>
            <w:noWrap/>
            <w:hideMark/>
          </w:tcPr>
          <w:p w14:paraId="47AED30F"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972C3">
              <w:rPr>
                <w:rFonts w:cstheme="minorHAnsi"/>
                <w:color w:val="000000"/>
                <w:sz w:val="20"/>
                <w:szCs w:val="20"/>
              </w:rPr>
              <w:t>-2.1</w:t>
            </w:r>
          </w:p>
        </w:tc>
        <w:tc>
          <w:tcPr>
            <w:tcW w:w="1276" w:type="dxa"/>
            <w:shd w:val="clear" w:color="auto" w:fill="auto"/>
            <w:noWrap/>
            <w:hideMark/>
          </w:tcPr>
          <w:p w14:paraId="18E3B4D4"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972C3">
              <w:rPr>
                <w:rFonts w:cstheme="minorHAnsi"/>
                <w:color w:val="000000"/>
                <w:sz w:val="20"/>
                <w:szCs w:val="20"/>
              </w:rPr>
              <w:t>-1.1</w:t>
            </w:r>
          </w:p>
        </w:tc>
        <w:tc>
          <w:tcPr>
            <w:tcW w:w="1118" w:type="dxa"/>
            <w:shd w:val="clear" w:color="auto" w:fill="auto"/>
            <w:noWrap/>
            <w:hideMark/>
          </w:tcPr>
          <w:p w14:paraId="729CDC57"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972C3">
              <w:rPr>
                <w:rFonts w:cstheme="minorHAnsi"/>
                <w:color w:val="000000"/>
                <w:sz w:val="20"/>
                <w:szCs w:val="20"/>
              </w:rPr>
              <w:t>[-6.2</w:t>
            </w:r>
            <w:r>
              <w:rPr>
                <w:rFonts w:cstheme="minorHAnsi"/>
                <w:color w:val="000000"/>
                <w:sz w:val="20"/>
                <w:szCs w:val="20"/>
              </w:rPr>
              <w:t>–</w:t>
            </w:r>
            <w:r w:rsidRPr="00D972C3">
              <w:rPr>
                <w:rFonts w:cstheme="minorHAnsi"/>
                <w:color w:val="000000"/>
                <w:sz w:val="20"/>
                <w:szCs w:val="20"/>
              </w:rPr>
              <w:t xml:space="preserve"> 4.0]</w:t>
            </w:r>
          </w:p>
        </w:tc>
      </w:tr>
      <w:tr w:rsidR="00182884" w:rsidRPr="00D850D4" w14:paraId="54199F4A" w14:textId="77777777" w:rsidTr="000A7109">
        <w:trPr>
          <w:trHeight w:val="288"/>
        </w:trPr>
        <w:tc>
          <w:tcPr>
            <w:tcW w:w="3017" w:type="dxa"/>
            <w:gridSpan w:val="5"/>
            <w:shd w:val="clear" w:color="auto" w:fill="auto"/>
            <w:noWrap/>
          </w:tcPr>
          <w:p w14:paraId="3D3BDE06" w14:textId="77777777" w:rsidR="00182884" w:rsidRPr="00D972C3" w:rsidRDefault="00182884" w:rsidP="000A7109">
            <w:pPr>
              <w:spacing w:after="0" w:line="240" w:lineRule="auto"/>
              <w:jc w:val="left"/>
              <w:rPr>
                <w:rFonts w:eastAsia="Times New Roman" w:cstheme="minorHAnsi"/>
                <w:color w:val="000000"/>
                <w:sz w:val="20"/>
                <w:szCs w:val="20"/>
                <w:lang w:eastAsia="en-GB"/>
              </w:rPr>
            </w:pPr>
            <w:r w:rsidRPr="00D972C3">
              <w:rPr>
                <w:rFonts w:eastAsia="Arial" w:cstheme="minorHAnsi"/>
                <w:b/>
                <w:bCs/>
                <w:color w:val="000000"/>
                <w:sz w:val="20"/>
                <w:szCs w:val="20"/>
              </w:rPr>
              <w:t>Household assets index</w:t>
            </w:r>
          </w:p>
        </w:tc>
        <w:tc>
          <w:tcPr>
            <w:tcW w:w="1378" w:type="dxa"/>
            <w:shd w:val="clear" w:color="auto" w:fill="auto"/>
            <w:noWrap/>
          </w:tcPr>
          <w:p w14:paraId="3CC159A8" w14:textId="77777777" w:rsidR="00182884" w:rsidRPr="00D972C3" w:rsidRDefault="00182884" w:rsidP="000A7109">
            <w:pPr>
              <w:spacing w:after="0" w:line="240" w:lineRule="auto"/>
              <w:jc w:val="right"/>
              <w:rPr>
                <w:rFonts w:eastAsia="Times New Roman" w:cstheme="minorHAnsi"/>
                <w:color w:val="000000"/>
                <w:sz w:val="20"/>
                <w:szCs w:val="20"/>
                <w:lang w:eastAsia="en-GB"/>
              </w:rPr>
            </w:pPr>
          </w:p>
        </w:tc>
        <w:tc>
          <w:tcPr>
            <w:tcW w:w="222" w:type="dxa"/>
          </w:tcPr>
          <w:p w14:paraId="609954D3" w14:textId="77777777" w:rsidR="00182884" w:rsidRPr="00D972C3" w:rsidRDefault="00182884" w:rsidP="000A7109">
            <w:pPr>
              <w:spacing w:after="0" w:line="240" w:lineRule="auto"/>
              <w:jc w:val="right"/>
              <w:rPr>
                <w:rFonts w:eastAsia="Times New Roman" w:cstheme="minorHAnsi"/>
                <w:color w:val="000000"/>
                <w:sz w:val="20"/>
                <w:szCs w:val="20"/>
                <w:lang w:eastAsia="en-GB"/>
              </w:rPr>
            </w:pPr>
          </w:p>
        </w:tc>
        <w:tc>
          <w:tcPr>
            <w:tcW w:w="1337" w:type="dxa"/>
            <w:shd w:val="clear" w:color="auto" w:fill="auto"/>
            <w:noWrap/>
          </w:tcPr>
          <w:p w14:paraId="755817D6" w14:textId="77777777" w:rsidR="00182884" w:rsidRPr="00D972C3" w:rsidRDefault="00182884" w:rsidP="000A7109">
            <w:pPr>
              <w:spacing w:after="0" w:line="240" w:lineRule="auto"/>
              <w:jc w:val="right"/>
              <w:rPr>
                <w:rFonts w:eastAsia="Times New Roman" w:cstheme="minorHAnsi"/>
                <w:color w:val="000000"/>
                <w:sz w:val="20"/>
                <w:szCs w:val="20"/>
                <w:lang w:eastAsia="en-GB"/>
              </w:rPr>
            </w:pPr>
          </w:p>
        </w:tc>
        <w:tc>
          <w:tcPr>
            <w:tcW w:w="1417" w:type="dxa"/>
          </w:tcPr>
          <w:p w14:paraId="4F97703E" w14:textId="77777777" w:rsidR="00182884" w:rsidRPr="00D972C3" w:rsidRDefault="00182884" w:rsidP="000A7109">
            <w:pPr>
              <w:spacing w:after="0" w:line="240" w:lineRule="auto"/>
              <w:jc w:val="right"/>
              <w:rPr>
                <w:rFonts w:eastAsia="Times New Roman" w:cstheme="minorHAnsi"/>
                <w:color w:val="000000"/>
                <w:sz w:val="20"/>
                <w:szCs w:val="20"/>
                <w:lang w:eastAsia="en-GB"/>
              </w:rPr>
            </w:pPr>
          </w:p>
        </w:tc>
        <w:tc>
          <w:tcPr>
            <w:tcW w:w="1276" w:type="dxa"/>
            <w:shd w:val="clear" w:color="auto" w:fill="auto"/>
            <w:noWrap/>
          </w:tcPr>
          <w:p w14:paraId="7FB9CBF8" w14:textId="77777777" w:rsidR="00182884" w:rsidRPr="00D972C3" w:rsidRDefault="00182884" w:rsidP="000A7109">
            <w:pPr>
              <w:spacing w:after="0" w:line="240" w:lineRule="auto"/>
              <w:jc w:val="right"/>
              <w:rPr>
                <w:rFonts w:eastAsia="Times New Roman" w:cstheme="minorHAnsi"/>
                <w:color w:val="000000"/>
                <w:sz w:val="20"/>
                <w:szCs w:val="20"/>
                <w:lang w:eastAsia="en-GB"/>
              </w:rPr>
            </w:pPr>
          </w:p>
        </w:tc>
        <w:tc>
          <w:tcPr>
            <w:tcW w:w="1118" w:type="dxa"/>
            <w:shd w:val="clear" w:color="auto" w:fill="auto"/>
            <w:noWrap/>
          </w:tcPr>
          <w:p w14:paraId="15D2D3F2" w14:textId="77777777" w:rsidR="00182884" w:rsidRPr="00D972C3" w:rsidRDefault="00182884" w:rsidP="000A7109">
            <w:pPr>
              <w:spacing w:after="0" w:line="240" w:lineRule="auto"/>
              <w:jc w:val="right"/>
              <w:rPr>
                <w:rFonts w:eastAsia="Times New Roman" w:cstheme="minorHAnsi"/>
                <w:color w:val="000000"/>
                <w:sz w:val="20"/>
                <w:szCs w:val="20"/>
                <w:lang w:eastAsia="en-GB"/>
              </w:rPr>
            </w:pPr>
          </w:p>
        </w:tc>
      </w:tr>
      <w:tr w:rsidR="00182884" w:rsidRPr="00D850D4" w14:paraId="439C70BD" w14:textId="77777777" w:rsidTr="000A7109">
        <w:trPr>
          <w:trHeight w:val="288"/>
        </w:trPr>
        <w:tc>
          <w:tcPr>
            <w:tcW w:w="280" w:type="dxa"/>
            <w:shd w:val="clear" w:color="auto" w:fill="auto"/>
            <w:noWrap/>
          </w:tcPr>
          <w:p w14:paraId="7600B272" w14:textId="77777777" w:rsidR="00182884" w:rsidRPr="00D850D4" w:rsidRDefault="00182884" w:rsidP="000A7109">
            <w:pPr>
              <w:spacing w:after="0" w:line="240" w:lineRule="auto"/>
              <w:jc w:val="left"/>
              <w:rPr>
                <w:rFonts w:eastAsia="Times New Roman" w:cstheme="minorHAnsi"/>
                <w:color w:val="000000"/>
                <w:sz w:val="20"/>
                <w:szCs w:val="20"/>
                <w:lang w:eastAsia="en-GB"/>
              </w:rPr>
            </w:pPr>
          </w:p>
        </w:tc>
        <w:tc>
          <w:tcPr>
            <w:tcW w:w="1705" w:type="dxa"/>
            <w:shd w:val="clear" w:color="auto" w:fill="auto"/>
            <w:noWrap/>
            <w:hideMark/>
          </w:tcPr>
          <w:p w14:paraId="13CAB415" w14:textId="77777777" w:rsidR="00182884" w:rsidRPr="00D850D4" w:rsidRDefault="00182884" w:rsidP="000A7109">
            <w:pPr>
              <w:spacing w:after="0" w:line="240" w:lineRule="auto"/>
              <w:jc w:val="left"/>
              <w:rPr>
                <w:rFonts w:eastAsia="Times New Roman" w:cstheme="minorHAnsi"/>
                <w:color w:val="000000"/>
                <w:sz w:val="20"/>
                <w:szCs w:val="20"/>
                <w:lang w:eastAsia="en-GB"/>
              </w:rPr>
            </w:pPr>
            <w:r w:rsidRPr="00D850D4">
              <w:rPr>
                <w:rFonts w:eastAsia="Times New Roman" w:cstheme="minorHAnsi"/>
                <w:color w:val="000000"/>
                <w:sz w:val="20"/>
                <w:szCs w:val="20"/>
                <w:lang w:eastAsia="en-GB"/>
              </w:rPr>
              <w:t>40% poorest</w:t>
            </w:r>
          </w:p>
        </w:tc>
        <w:tc>
          <w:tcPr>
            <w:tcW w:w="1032" w:type="dxa"/>
            <w:gridSpan w:val="3"/>
            <w:shd w:val="clear" w:color="auto" w:fill="auto"/>
            <w:noWrap/>
            <w:hideMark/>
          </w:tcPr>
          <w:p w14:paraId="626B360F"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972C3">
              <w:rPr>
                <w:rFonts w:cstheme="minorHAnsi"/>
                <w:color w:val="000000"/>
                <w:sz w:val="20"/>
                <w:szCs w:val="20"/>
              </w:rPr>
              <w:t>43.6</w:t>
            </w:r>
          </w:p>
        </w:tc>
        <w:tc>
          <w:tcPr>
            <w:tcW w:w="1378" w:type="dxa"/>
            <w:shd w:val="clear" w:color="auto" w:fill="auto"/>
            <w:noWrap/>
          </w:tcPr>
          <w:p w14:paraId="4605D2A3"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972C3">
              <w:rPr>
                <w:rFonts w:cstheme="minorHAnsi"/>
                <w:color w:val="000000"/>
                <w:sz w:val="20"/>
                <w:szCs w:val="20"/>
              </w:rPr>
              <w:t>31.2</w:t>
            </w:r>
          </w:p>
        </w:tc>
        <w:tc>
          <w:tcPr>
            <w:tcW w:w="222" w:type="dxa"/>
          </w:tcPr>
          <w:p w14:paraId="686E9459" w14:textId="77777777" w:rsidR="00182884" w:rsidRPr="00D972C3" w:rsidRDefault="00182884" w:rsidP="000A7109">
            <w:pPr>
              <w:spacing w:after="0" w:line="240" w:lineRule="auto"/>
              <w:jc w:val="right"/>
              <w:rPr>
                <w:rFonts w:eastAsia="Times New Roman" w:cstheme="minorHAnsi"/>
                <w:color w:val="000000"/>
                <w:sz w:val="20"/>
                <w:szCs w:val="20"/>
                <w:lang w:eastAsia="en-GB"/>
              </w:rPr>
            </w:pPr>
          </w:p>
        </w:tc>
        <w:tc>
          <w:tcPr>
            <w:tcW w:w="1337" w:type="dxa"/>
          </w:tcPr>
          <w:p w14:paraId="753E1211" w14:textId="77777777" w:rsidR="00182884" w:rsidRPr="00D972C3" w:rsidRDefault="00182884" w:rsidP="000A7109">
            <w:pPr>
              <w:spacing w:after="0" w:line="240" w:lineRule="auto"/>
              <w:jc w:val="right"/>
              <w:rPr>
                <w:rFonts w:eastAsia="Times New Roman" w:cstheme="minorHAnsi"/>
                <w:i/>
                <w:iCs/>
                <w:color w:val="000000"/>
                <w:sz w:val="20"/>
                <w:szCs w:val="20"/>
                <w:lang w:eastAsia="en-GB"/>
              </w:rPr>
            </w:pPr>
            <w:r w:rsidRPr="00D972C3">
              <w:rPr>
                <w:rFonts w:eastAsia="Times New Roman" w:cstheme="minorHAnsi"/>
                <w:i/>
                <w:iCs/>
                <w:color w:val="000000"/>
                <w:sz w:val="20"/>
                <w:szCs w:val="20"/>
                <w:lang w:eastAsia="en-GB"/>
              </w:rPr>
              <w:t>ref</w:t>
            </w:r>
          </w:p>
        </w:tc>
        <w:tc>
          <w:tcPr>
            <w:tcW w:w="1417" w:type="dxa"/>
            <w:shd w:val="clear" w:color="auto" w:fill="auto"/>
            <w:noWrap/>
          </w:tcPr>
          <w:p w14:paraId="6947FA0E"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972C3">
              <w:rPr>
                <w:rFonts w:eastAsia="Times New Roman" w:cstheme="minorHAnsi"/>
                <w:i/>
                <w:iCs/>
                <w:color w:val="000000"/>
                <w:sz w:val="20"/>
                <w:szCs w:val="20"/>
                <w:lang w:eastAsia="en-GB"/>
              </w:rPr>
              <w:t>ref</w:t>
            </w:r>
          </w:p>
        </w:tc>
        <w:tc>
          <w:tcPr>
            <w:tcW w:w="1276" w:type="dxa"/>
            <w:shd w:val="clear" w:color="auto" w:fill="auto"/>
            <w:noWrap/>
          </w:tcPr>
          <w:p w14:paraId="0950C9E0"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972C3">
              <w:rPr>
                <w:rFonts w:eastAsia="Times New Roman" w:cstheme="minorHAnsi"/>
                <w:i/>
                <w:iCs/>
                <w:color w:val="000000"/>
                <w:sz w:val="20"/>
                <w:szCs w:val="20"/>
                <w:lang w:eastAsia="en-GB"/>
              </w:rPr>
              <w:t>ref</w:t>
            </w:r>
          </w:p>
        </w:tc>
        <w:tc>
          <w:tcPr>
            <w:tcW w:w="1118" w:type="dxa"/>
            <w:shd w:val="clear" w:color="auto" w:fill="auto"/>
            <w:noWrap/>
          </w:tcPr>
          <w:p w14:paraId="7B5D413B" w14:textId="77777777" w:rsidR="00182884" w:rsidRPr="00D850D4" w:rsidRDefault="00182884" w:rsidP="000A7109">
            <w:pPr>
              <w:spacing w:after="0" w:line="240" w:lineRule="auto"/>
              <w:jc w:val="right"/>
              <w:rPr>
                <w:rFonts w:eastAsia="Times New Roman" w:cstheme="minorHAnsi"/>
                <w:color w:val="000000"/>
                <w:sz w:val="20"/>
                <w:szCs w:val="20"/>
                <w:lang w:eastAsia="en-GB"/>
              </w:rPr>
            </w:pPr>
          </w:p>
        </w:tc>
      </w:tr>
      <w:tr w:rsidR="00182884" w:rsidRPr="00D850D4" w14:paraId="0DBB92DA" w14:textId="77777777" w:rsidTr="000A7109">
        <w:trPr>
          <w:trHeight w:val="288"/>
        </w:trPr>
        <w:tc>
          <w:tcPr>
            <w:tcW w:w="280" w:type="dxa"/>
            <w:shd w:val="clear" w:color="auto" w:fill="auto"/>
            <w:noWrap/>
          </w:tcPr>
          <w:p w14:paraId="639DE9AF" w14:textId="77777777" w:rsidR="00182884" w:rsidRPr="00D850D4" w:rsidRDefault="00182884" w:rsidP="000A7109">
            <w:pPr>
              <w:spacing w:after="0" w:line="240" w:lineRule="auto"/>
              <w:jc w:val="left"/>
              <w:rPr>
                <w:rFonts w:eastAsia="Times New Roman" w:cstheme="minorHAnsi"/>
                <w:color w:val="000000"/>
                <w:sz w:val="20"/>
                <w:szCs w:val="20"/>
                <w:lang w:eastAsia="en-GB"/>
              </w:rPr>
            </w:pPr>
          </w:p>
        </w:tc>
        <w:tc>
          <w:tcPr>
            <w:tcW w:w="1705" w:type="dxa"/>
            <w:shd w:val="clear" w:color="auto" w:fill="auto"/>
            <w:noWrap/>
            <w:hideMark/>
          </w:tcPr>
          <w:p w14:paraId="3C1AD569" w14:textId="77777777" w:rsidR="00182884" w:rsidRPr="00D850D4" w:rsidRDefault="00182884" w:rsidP="000A7109">
            <w:pPr>
              <w:spacing w:after="0" w:line="240" w:lineRule="auto"/>
              <w:jc w:val="left"/>
              <w:rPr>
                <w:rFonts w:eastAsia="Times New Roman" w:cstheme="minorHAnsi"/>
                <w:color w:val="000000"/>
                <w:sz w:val="20"/>
                <w:szCs w:val="20"/>
                <w:lang w:eastAsia="en-GB"/>
              </w:rPr>
            </w:pPr>
            <w:r w:rsidRPr="00D850D4">
              <w:rPr>
                <w:rFonts w:eastAsia="Times New Roman" w:cstheme="minorHAnsi"/>
                <w:color w:val="000000"/>
                <w:sz w:val="20"/>
                <w:szCs w:val="20"/>
                <w:lang w:eastAsia="en-GB"/>
              </w:rPr>
              <w:t>40% wealth middle</w:t>
            </w:r>
          </w:p>
        </w:tc>
        <w:tc>
          <w:tcPr>
            <w:tcW w:w="1032" w:type="dxa"/>
            <w:gridSpan w:val="3"/>
            <w:shd w:val="clear" w:color="auto" w:fill="auto"/>
            <w:noWrap/>
            <w:hideMark/>
          </w:tcPr>
          <w:p w14:paraId="6C79FA21"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972C3">
              <w:rPr>
                <w:rFonts w:cstheme="minorHAnsi"/>
                <w:color w:val="000000"/>
                <w:sz w:val="20"/>
                <w:szCs w:val="20"/>
              </w:rPr>
              <w:t>46.4</w:t>
            </w:r>
          </w:p>
        </w:tc>
        <w:tc>
          <w:tcPr>
            <w:tcW w:w="1378" w:type="dxa"/>
            <w:shd w:val="clear" w:color="auto" w:fill="auto"/>
            <w:noWrap/>
          </w:tcPr>
          <w:p w14:paraId="1E7DADCA"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972C3">
              <w:rPr>
                <w:rFonts w:cstheme="minorHAnsi"/>
                <w:color w:val="000000"/>
                <w:sz w:val="20"/>
                <w:szCs w:val="20"/>
              </w:rPr>
              <w:t>30.7</w:t>
            </w:r>
          </w:p>
        </w:tc>
        <w:tc>
          <w:tcPr>
            <w:tcW w:w="222" w:type="dxa"/>
          </w:tcPr>
          <w:p w14:paraId="5680E424" w14:textId="77777777" w:rsidR="00182884" w:rsidRPr="00D972C3" w:rsidRDefault="00182884" w:rsidP="000A7109">
            <w:pPr>
              <w:spacing w:after="0" w:line="240" w:lineRule="auto"/>
              <w:jc w:val="right"/>
              <w:rPr>
                <w:rFonts w:eastAsia="Times New Roman" w:cstheme="minorHAnsi"/>
                <w:color w:val="000000"/>
                <w:sz w:val="20"/>
                <w:szCs w:val="20"/>
                <w:lang w:eastAsia="en-GB"/>
              </w:rPr>
            </w:pPr>
          </w:p>
        </w:tc>
        <w:tc>
          <w:tcPr>
            <w:tcW w:w="1337" w:type="dxa"/>
          </w:tcPr>
          <w:p w14:paraId="29BD170A" w14:textId="77777777" w:rsidR="00182884" w:rsidRPr="00D972C3" w:rsidRDefault="00182884" w:rsidP="000A7109">
            <w:pPr>
              <w:spacing w:after="0" w:line="240" w:lineRule="auto"/>
              <w:jc w:val="right"/>
              <w:rPr>
                <w:rFonts w:eastAsia="Times New Roman" w:cstheme="minorHAnsi"/>
                <w:color w:val="000000"/>
                <w:sz w:val="20"/>
                <w:szCs w:val="20"/>
                <w:lang w:eastAsia="en-GB"/>
              </w:rPr>
            </w:pPr>
            <w:r w:rsidRPr="00D972C3">
              <w:rPr>
                <w:rFonts w:cstheme="minorHAnsi"/>
                <w:color w:val="000000"/>
                <w:sz w:val="20"/>
                <w:szCs w:val="20"/>
              </w:rPr>
              <w:t>-2.8</w:t>
            </w:r>
          </w:p>
        </w:tc>
        <w:tc>
          <w:tcPr>
            <w:tcW w:w="1417" w:type="dxa"/>
            <w:shd w:val="clear" w:color="auto" w:fill="auto"/>
            <w:noWrap/>
            <w:hideMark/>
          </w:tcPr>
          <w:p w14:paraId="5629ABEE"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972C3">
              <w:rPr>
                <w:rFonts w:cstheme="minorHAnsi"/>
                <w:color w:val="000000"/>
                <w:sz w:val="20"/>
                <w:szCs w:val="20"/>
              </w:rPr>
              <w:t xml:space="preserve"> 0.5</w:t>
            </w:r>
          </w:p>
        </w:tc>
        <w:tc>
          <w:tcPr>
            <w:tcW w:w="1276" w:type="dxa"/>
            <w:shd w:val="clear" w:color="auto" w:fill="auto"/>
            <w:noWrap/>
            <w:hideMark/>
          </w:tcPr>
          <w:p w14:paraId="17B5A660"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972C3">
              <w:rPr>
                <w:rFonts w:cstheme="minorHAnsi"/>
                <w:color w:val="000000"/>
                <w:sz w:val="20"/>
                <w:szCs w:val="20"/>
              </w:rPr>
              <w:t>-3.3</w:t>
            </w:r>
          </w:p>
        </w:tc>
        <w:tc>
          <w:tcPr>
            <w:tcW w:w="1118" w:type="dxa"/>
            <w:shd w:val="clear" w:color="auto" w:fill="auto"/>
            <w:noWrap/>
            <w:hideMark/>
          </w:tcPr>
          <w:p w14:paraId="2EBC6D58"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972C3">
              <w:rPr>
                <w:rFonts w:cstheme="minorHAnsi"/>
                <w:color w:val="000000"/>
                <w:sz w:val="20"/>
                <w:szCs w:val="20"/>
              </w:rPr>
              <w:t>[-7.6</w:t>
            </w:r>
            <w:r>
              <w:rPr>
                <w:rFonts w:cstheme="minorHAnsi"/>
                <w:color w:val="000000"/>
                <w:sz w:val="20"/>
                <w:szCs w:val="20"/>
              </w:rPr>
              <w:t>–</w:t>
            </w:r>
            <w:r w:rsidRPr="00D972C3">
              <w:rPr>
                <w:rFonts w:cstheme="minorHAnsi"/>
                <w:color w:val="000000"/>
                <w:sz w:val="20"/>
                <w:szCs w:val="20"/>
              </w:rPr>
              <w:t xml:space="preserve"> 1.0]</w:t>
            </w:r>
          </w:p>
        </w:tc>
      </w:tr>
      <w:tr w:rsidR="00182884" w:rsidRPr="00D850D4" w14:paraId="26F637AC" w14:textId="77777777" w:rsidTr="000A7109">
        <w:trPr>
          <w:trHeight w:val="288"/>
        </w:trPr>
        <w:tc>
          <w:tcPr>
            <w:tcW w:w="280" w:type="dxa"/>
            <w:shd w:val="clear" w:color="auto" w:fill="auto"/>
            <w:noWrap/>
          </w:tcPr>
          <w:p w14:paraId="6FFD6C6A" w14:textId="77777777" w:rsidR="00182884" w:rsidRPr="00D850D4" w:rsidRDefault="00182884" w:rsidP="000A7109">
            <w:pPr>
              <w:spacing w:after="0" w:line="240" w:lineRule="auto"/>
              <w:jc w:val="left"/>
              <w:rPr>
                <w:rFonts w:eastAsia="Times New Roman" w:cstheme="minorHAnsi"/>
                <w:color w:val="000000"/>
                <w:sz w:val="20"/>
                <w:szCs w:val="20"/>
                <w:lang w:eastAsia="en-GB"/>
              </w:rPr>
            </w:pPr>
          </w:p>
        </w:tc>
        <w:tc>
          <w:tcPr>
            <w:tcW w:w="1705" w:type="dxa"/>
            <w:shd w:val="clear" w:color="auto" w:fill="auto"/>
            <w:noWrap/>
            <w:hideMark/>
          </w:tcPr>
          <w:p w14:paraId="683519B0" w14:textId="77777777" w:rsidR="00182884" w:rsidRPr="00D850D4" w:rsidRDefault="00182884" w:rsidP="000A7109">
            <w:pPr>
              <w:spacing w:after="0" w:line="240" w:lineRule="auto"/>
              <w:jc w:val="left"/>
              <w:rPr>
                <w:rFonts w:eastAsia="Times New Roman" w:cstheme="minorHAnsi"/>
                <w:color w:val="000000"/>
                <w:sz w:val="20"/>
                <w:szCs w:val="20"/>
                <w:lang w:eastAsia="en-GB"/>
              </w:rPr>
            </w:pPr>
            <w:r w:rsidRPr="00D850D4">
              <w:rPr>
                <w:rFonts w:eastAsia="Times New Roman" w:cstheme="minorHAnsi"/>
                <w:color w:val="000000"/>
                <w:sz w:val="20"/>
                <w:szCs w:val="20"/>
                <w:lang w:eastAsia="en-GB"/>
              </w:rPr>
              <w:t>20% richest</w:t>
            </w:r>
          </w:p>
        </w:tc>
        <w:tc>
          <w:tcPr>
            <w:tcW w:w="1032" w:type="dxa"/>
            <w:gridSpan w:val="3"/>
            <w:shd w:val="clear" w:color="auto" w:fill="auto"/>
            <w:noWrap/>
            <w:hideMark/>
          </w:tcPr>
          <w:p w14:paraId="58276674"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972C3">
              <w:rPr>
                <w:rFonts w:cstheme="minorHAnsi"/>
                <w:color w:val="000000"/>
                <w:sz w:val="20"/>
                <w:szCs w:val="20"/>
              </w:rPr>
              <w:t>49.5</w:t>
            </w:r>
          </w:p>
        </w:tc>
        <w:tc>
          <w:tcPr>
            <w:tcW w:w="1378" w:type="dxa"/>
            <w:shd w:val="clear" w:color="auto" w:fill="auto"/>
            <w:noWrap/>
          </w:tcPr>
          <w:p w14:paraId="7A925118"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972C3">
              <w:rPr>
                <w:rFonts w:cstheme="minorHAnsi"/>
                <w:color w:val="000000"/>
                <w:sz w:val="20"/>
                <w:szCs w:val="20"/>
              </w:rPr>
              <w:t>36.1</w:t>
            </w:r>
          </w:p>
        </w:tc>
        <w:tc>
          <w:tcPr>
            <w:tcW w:w="222" w:type="dxa"/>
          </w:tcPr>
          <w:p w14:paraId="5A3E0791" w14:textId="77777777" w:rsidR="00182884" w:rsidRPr="00D972C3" w:rsidRDefault="00182884" w:rsidP="000A7109">
            <w:pPr>
              <w:spacing w:after="0" w:line="240" w:lineRule="auto"/>
              <w:jc w:val="right"/>
              <w:rPr>
                <w:rFonts w:eastAsia="Times New Roman" w:cstheme="minorHAnsi"/>
                <w:color w:val="000000"/>
                <w:sz w:val="20"/>
                <w:szCs w:val="20"/>
                <w:lang w:eastAsia="en-GB"/>
              </w:rPr>
            </w:pPr>
          </w:p>
        </w:tc>
        <w:tc>
          <w:tcPr>
            <w:tcW w:w="1337" w:type="dxa"/>
          </w:tcPr>
          <w:p w14:paraId="18B53DA4" w14:textId="77777777" w:rsidR="00182884" w:rsidRPr="00D972C3" w:rsidRDefault="00182884" w:rsidP="000A7109">
            <w:pPr>
              <w:spacing w:after="0" w:line="240" w:lineRule="auto"/>
              <w:jc w:val="right"/>
              <w:rPr>
                <w:rFonts w:eastAsia="Times New Roman" w:cstheme="minorHAnsi"/>
                <w:color w:val="000000"/>
                <w:sz w:val="20"/>
                <w:szCs w:val="20"/>
                <w:lang w:eastAsia="en-GB"/>
              </w:rPr>
            </w:pPr>
            <w:r w:rsidRPr="00D972C3">
              <w:rPr>
                <w:rFonts w:cstheme="minorHAnsi"/>
                <w:color w:val="000000"/>
                <w:sz w:val="20"/>
                <w:szCs w:val="20"/>
              </w:rPr>
              <w:t>-5.9</w:t>
            </w:r>
          </w:p>
        </w:tc>
        <w:tc>
          <w:tcPr>
            <w:tcW w:w="1417" w:type="dxa"/>
            <w:shd w:val="clear" w:color="auto" w:fill="auto"/>
            <w:noWrap/>
            <w:hideMark/>
          </w:tcPr>
          <w:p w14:paraId="7C0A68A2"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972C3">
              <w:rPr>
                <w:rFonts w:cstheme="minorHAnsi"/>
                <w:color w:val="000000"/>
                <w:sz w:val="20"/>
                <w:szCs w:val="20"/>
              </w:rPr>
              <w:t>-4.9</w:t>
            </w:r>
          </w:p>
        </w:tc>
        <w:tc>
          <w:tcPr>
            <w:tcW w:w="1276" w:type="dxa"/>
            <w:shd w:val="clear" w:color="auto" w:fill="auto"/>
            <w:noWrap/>
            <w:hideMark/>
          </w:tcPr>
          <w:p w14:paraId="365D0790"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972C3">
              <w:rPr>
                <w:rFonts w:cstheme="minorHAnsi"/>
                <w:color w:val="000000"/>
                <w:sz w:val="20"/>
                <w:szCs w:val="20"/>
              </w:rPr>
              <w:t>-1.0</w:t>
            </w:r>
          </w:p>
        </w:tc>
        <w:tc>
          <w:tcPr>
            <w:tcW w:w="1118" w:type="dxa"/>
            <w:shd w:val="clear" w:color="auto" w:fill="auto"/>
            <w:noWrap/>
            <w:hideMark/>
          </w:tcPr>
          <w:p w14:paraId="29F7EAC4"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972C3">
              <w:rPr>
                <w:rFonts w:cstheme="minorHAnsi"/>
                <w:color w:val="000000"/>
                <w:sz w:val="20"/>
                <w:szCs w:val="20"/>
              </w:rPr>
              <w:t>[-5.3</w:t>
            </w:r>
            <w:r>
              <w:rPr>
                <w:rFonts w:cstheme="minorHAnsi"/>
                <w:color w:val="000000"/>
                <w:sz w:val="20"/>
                <w:szCs w:val="20"/>
              </w:rPr>
              <w:t>–</w:t>
            </w:r>
            <w:r w:rsidRPr="00D972C3">
              <w:rPr>
                <w:rFonts w:cstheme="minorHAnsi"/>
                <w:color w:val="000000"/>
                <w:sz w:val="20"/>
                <w:szCs w:val="20"/>
              </w:rPr>
              <w:t xml:space="preserve"> 3.2]</w:t>
            </w:r>
          </w:p>
        </w:tc>
      </w:tr>
      <w:tr w:rsidR="00182884" w:rsidRPr="00D850D4" w14:paraId="5E7DBFA7" w14:textId="77777777" w:rsidTr="000A7109">
        <w:trPr>
          <w:trHeight w:val="288"/>
        </w:trPr>
        <w:tc>
          <w:tcPr>
            <w:tcW w:w="1985" w:type="dxa"/>
            <w:gridSpan w:val="2"/>
            <w:shd w:val="clear" w:color="auto" w:fill="auto"/>
            <w:noWrap/>
          </w:tcPr>
          <w:p w14:paraId="4EC28C7D" w14:textId="77777777" w:rsidR="00182884" w:rsidRPr="00D850D4" w:rsidRDefault="00182884" w:rsidP="000A7109">
            <w:pPr>
              <w:spacing w:after="0" w:line="240" w:lineRule="auto"/>
              <w:jc w:val="left"/>
              <w:rPr>
                <w:rFonts w:eastAsia="Times New Roman" w:cstheme="minorHAnsi"/>
                <w:color w:val="000000"/>
                <w:sz w:val="20"/>
                <w:szCs w:val="20"/>
                <w:lang w:eastAsia="en-GB"/>
              </w:rPr>
            </w:pPr>
            <w:r w:rsidRPr="00D850D4">
              <w:rPr>
                <w:rFonts w:eastAsia="Arial" w:cstheme="minorHAnsi"/>
                <w:b/>
                <w:bCs/>
                <w:color w:val="000000"/>
                <w:sz w:val="20"/>
                <w:szCs w:val="20"/>
              </w:rPr>
              <w:t>Currently employed</w:t>
            </w:r>
          </w:p>
        </w:tc>
        <w:tc>
          <w:tcPr>
            <w:tcW w:w="1032" w:type="dxa"/>
            <w:gridSpan w:val="3"/>
            <w:shd w:val="clear" w:color="auto" w:fill="auto"/>
            <w:noWrap/>
          </w:tcPr>
          <w:p w14:paraId="18946A6F" w14:textId="77777777" w:rsidR="00182884" w:rsidRPr="00D972C3" w:rsidRDefault="00182884" w:rsidP="000A7109">
            <w:pPr>
              <w:spacing w:after="0" w:line="240" w:lineRule="auto"/>
              <w:jc w:val="right"/>
              <w:rPr>
                <w:rFonts w:eastAsia="Times New Roman" w:cstheme="minorHAnsi"/>
                <w:color w:val="000000"/>
                <w:sz w:val="20"/>
                <w:szCs w:val="20"/>
                <w:lang w:eastAsia="en-GB"/>
              </w:rPr>
            </w:pPr>
          </w:p>
        </w:tc>
        <w:tc>
          <w:tcPr>
            <w:tcW w:w="1378" w:type="dxa"/>
            <w:shd w:val="clear" w:color="auto" w:fill="auto"/>
            <w:noWrap/>
          </w:tcPr>
          <w:p w14:paraId="10C3E1B2" w14:textId="77777777" w:rsidR="00182884" w:rsidRPr="00D972C3" w:rsidRDefault="00182884" w:rsidP="000A7109">
            <w:pPr>
              <w:spacing w:after="0" w:line="240" w:lineRule="auto"/>
              <w:jc w:val="right"/>
              <w:rPr>
                <w:rFonts w:eastAsia="Times New Roman" w:cstheme="minorHAnsi"/>
                <w:color w:val="000000"/>
                <w:sz w:val="20"/>
                <w:szCs w:val="20"/>
                <w:lang w:eastAsia="en-GB"/>
              </w:rPr>
            </w:pPr>
          </w:p>
        </w:tc>
        <w:tc>
          <w:tcPr>
            <w:tcW w:w="222" w:type="dxa"/>
          </w:tcPr>
          <w:p w14:paraId="45B61413" w14:textId="77777777" w:rsidR="00182884" w:rsidRPr="00D972C3" w:rsidRDefault="00182884" w:rsidP="000A7109">
            <w:pPr>
              <w:spacing w:after="0" w:line="240" w:lineRule="auto"/>
              <w:jc w:val="right"/>
              <w:rPr>
                <w:rFonts w:eastAsia="Times New Roman" w:cstheme="minorHAnsi"/>
                <w:color w:val="000000"/>
                <w:sz w:val="20"/>
                <w:szCs w:val="20"/>
                <w:lang w:eastAsia="en-GB"/>
              </w:rPr>
            </w:pPr>
          </w:p>
        </w:tc>
        <w:tc>
          <w:tcPr>
            <w:tcW w:w="1337" w:type="dxa"/>
            <w:shd w:val="clear" w:color="auto" w:fill="auto"/>
            <w:noWrap/>
          </w:tcPr>
          <w:p w14:paraId="752CEF65" w14:textId="77777777" w:rsidR="00182884" w:rsidRPr="00D972C3" w:rsidRDefault="00182884" w:rsidP="000A7109">
            <w:pPr>
              <w:spacing w:after="0" w:line="240" w:lineRule="auto"/>
              <w:jc w:val="right"/>
              <w:rPr>
                <w:rFonts w:eastAsia="Times New Roman" w:cstheme="minorHAnsi"/>
                <w:color w:val="000000"/>
                <w:sz w:val="20"/>
                <w:szCs w:val="20"/>
                <w:lang w:eastAsia="en-GB"/>
              </w:rPr>
            </w:pPr>
          </w:p>
        </w:tc>
        <w:tc>
          <w:tcPr>
            <w:tcW w:w="1417" w:type="dxa"/>
          </w:tcPr>
          <w:p w14:paraId="57E8F55E" w14:textId="77777777" w:rsidR="00182884" w:rsidRPr="00D972C3" w:rsidRDefault="00182884" w:rsidP="000A7109">
            <w:pPr>
              <w:spacing w:after="0" w:line="240" w:lineRule="auto"/>
              <w:jc w:val="right"/>
              <w:rPr>
                <w:rFonts w:eastAsia="Times New Roman" w:cstheme="minorHAnsi"/>
                <w:color w:val="000000"/>
                <w:sz w:val="20"/>
                <w:szCs w:val="20"/>
                <w:lang w:eastAsia="en-GB"/>
              </w:rPr>
            </w:pPr>
          </w:p>
        </w:tc>
        <w:tc>
          <w:tcPr>
            <w:tcW w:w="1276" w:type="dxa"/>
            <w:shd w:val="clear" w:color="auto" w:fill="auto"/>
            <w:noWrap/>
          </w:tcPr>
          <w:p w14:paraId="1F1A04C5" w14:textId="77777777" w:rsidR="00182884" w:rsidRPr="00D972C3" w:rsidRDefault="00182884" w:rsidP="000A7109">
            <w:pPr>
              <w:spacing w:after="0" w:line="240" w:lineRule="auto"/>
              <w:jc w:val="right"/>
              <w:rPr>
                <w:rFonts w:eastAsia="Times New Roman" w:cstheme="minorHAnsi"/>
                <w:color w:val="000000"/>
                <w:sz w:val="20"/>
                <w:szCs w:val="20"/>
                <w:lang w:eastAsia="en-GB"/>
              </w:rPr>
            </w:pPr>
          </w:p>
        </w:tc>
        <w:tc>
          <w:tcPr>
            <w:tcW w:w="1118" w:type="dxa"/>
            <w:shd w:val="clear" w:color="auto" w:fill="auto"/>
            <w:noWrap/>
          </w:tcPr>
          <w:p w14:paraId="4435C971" w14:textId="77777777" w:rsidR="00182884" w:rsidRPr="00D972C3" w:rsidRDefault="00182884" w:rsidP="000A7109">
            <w:pPr>
              <w:spacing w:after="0" w:line="240" w:lineRule="auto"/>
              <w:jc w:val="right"/>
              <w:rPr>
                <w:rFonts w:eastAsia="Times New Roman" w:cstheme="minorHAnsi"/>
                <w:color w:val="000000"/>
                <w:sz w:val="20"/>
                <w:szCs w:val="20"/>
                <w:lang w:eastAsia="en-GB"/>
              </w:rPr>
            </w:pPr>
          </w:p>
        </w:tc>
      </w:tr>
      <w:tr w:rsidR="00182884" w:rsidRPr="00D850D4" w14:paraId="087CEDF8" w14:textId="77777777" w:rsidTr="000A7109">
        <w:trPr>
          <w:trHeight w:val="288"/>
        </w:trPr>
        <w:tc>
          <w:tcPr>
            <w:tcW w:w="280" w:type="dxa"/>
            <w:shd w:val="clear" w:color="auto" w:fill="auto"/>
            <w:noWrap/>
          </w:tcPr>
          <w:p w14:paraId="192E4E13" w14:textId="77777777" w:rsidR="00182884" w:rsidRPr="00D850D4" w:rsidRDefault="00182884" w:rsidP="000A7109">
            <w:pPr>
              <w:spacing w:after="0" w:line="240" w:lineRule="auto"/>
              <w:jc w:val="left"/>
              <w:rPr>
                <w:rFonts w:eastAsia="Times New Roman" w:cstheme="minorHAnsi"/>
                <w:color w:val="000000"/>
                <w:sz w:val="20"/>
                <w:szCs w:val="20"/>
                <w:lang w:eastAsia="en-GB"/>
              </w:rPr>
            </w:pPr>
          </w:p>
        </w:tc>
        <w:tc>
          <w:tcPr>
            <w:tcW w:w="1705" w:type="dxa"/>
            <w:shd w:val="clear" w:color="auto" w:fill="auto"/>
            <w:noWrap/>
            <w:hideMark/>
          </w:tcPr>
          <w:p w14:paraId="2075F1AA" w14:textId="77777777" w:rsidR="00182884" w:rsidRPr="00D850D4" w:rsidRDefault="00182884" w:rsidP="000A7109">
            <w:pPr>
              <w:spacing w:after="0" w:line="240" w:lineRule="auto"/>
              <w:jc w:val="left"/>
              <w:rPr>
                <w:rFonts w:eastAsia="Times New Roman" w:cstheme="minorHAnsi"/>
                <w:color w:val="000000"/>
                <w:sz w:val="20"/>
                <w:szCs w:val="20"/>
                <w:lang w:eastAsia="en-GB"/>
              </w:rPr>
            </w:pPr>
            <w:r w:rsidRPr="00D850D4">
              <w:rPr>
                <w:rFonts w:eastAsia="Times New Roman" w:cstheme="minorHAnsi"/>
                <w:color w:val="000000"/>
                <w:sz w:val="20"/>
                <w:szCs w:val="20"/>
                <w:lang w:eastAsia="en-GB"/>
              </w:rPr>
              <w:t>Not employed</w:t>
            </w:r>
          </w:p>
        </w:tc>
        <w:tc>
          <w:tcPr>
            <w:tcW w:w="1032" w:type="dxa"/>
            <w:gridSpan w:val="3"/>
            <w:shd w:val="clear" w:color="auto" w:fill="auto"/>
            <w:noWrap/>
            <w:hideMark/>
          </w:tcPr>
          <w:p w14:paraId="67C4DA87"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972C3">
              <w:rPr>
                <w:rFonts w:cstheme="minorHAnsi"/>
                <w:color w:val="000000"/>
                <w:sz w:val="20"/>
                <w:szCs w:val="20"/>
              </w:rPr>
              <w:t>49.5</w:t>
            </w:r>
          </w:p>
        </w:tc>
        <w:tc>
          <w:tcPr>
            <w:tcW w:w="1378" w:type="dxa"/>
            <w:shd w:val="clear" w:color="auto" w:fill="auto"/>
            <w:noWrap/>
          </w:tcPr>
          <w:p w14:paraId="060049BC"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972C3">
              <w:rPr>
                <w:rFonts w:cstheme="minorHAnsi"/>
                <w:color w:val="000000"/>
                <w:sz w:val="20"/>
                <w:szCs w:val="20"/>
              </w:rPr>
              <w:t>35.5</w:t>
            </w:r>
          </w:p>
        </w:tc>
        <w:tc>
          <w:tcPr>
            <w:tcW w:w="222" w:type="dxa"/>
          </w:tcPr>
          <w:p w14:paraId="541958DC" w14:textId="77777777" w:rsidR="00182884" w:rsidRPr="00D972C3" w:rsidRDefault="00182884" w:rsidP="000A7109">
            <w:pPr>
              <w:spacing w:after="0" w:line="240" w:lineRule="auto"/>
              <w:jc w:val="right"/>
              <w:rPr>
                <w:rFonts w:eastAsia="Times New Roman" w:cstheme="minorHAnsi"/>
                <w:color w:val="000000"/>
                <w:sz w:val="20"/>
                <w:szCs w:val="20"/>
                <w:lang w:eastAsia="en-GB"/>
              </w:rPr>
            </w:pPr>
          </w:p>
        </w:tc>
        <w:tc>
          <w:tcPr>
            <w:tcW w:w="1337" w:type="dxa"/>
          </w:tcPr>
          <w:p w14:paraId="6B72C629" w14:textId="77777777" w:rsidR="00182884" w:rsidRPr="00D972C3" w:rsidRDefault="00182884" w:rsidP="000A7109">
            <w:pPr>
              <w:spacing w:after="0" w:line="240" w:lineRule="auto"/>
              <w:jc w:val="right"/>
              <w:rPr>
                <w:rFonts w:eastAsia="Times New Roman" w:cstheme="minorHAnsi"/>
                <w:i/>
                <w:iCs/>
                <w:color w:val="000000"/>
                <w:sz w:val="20"/>
                <w:szCs w:val="20"/>
                <w:lang w:eastAsia="en-GB"/>
              </w:rPr>
            </w:pPr>
            <w:r w:rsidRPr="00D972C3">
              <w:rPr>
                <w:rFonts w:eastAsia="Times New Roman" w:cstheme="minorHAnsi"/>
                <w:i/>
                <w:iCs/>
                <w:color w:val="000000"/>
                <w:sz w:val="20"/>
                <w:szCs w:val="20"/>
                <w:lang w:eastAsia="en-GB"/>
              </w:rPr>
              <w:t>ref</w:t>
            </w:r>
          </w:p>
        </w:tc>
        <w:tc>
          <w:tcPr>
            <w:tcW w:w="1417" w:type="dxa"/>
            <w:shd w:val="clear" w:color="auto" w:fill="auto"/>
            <w:noWrap/>
          </w:tcPr>
          <w:p w14:paraId="2D2915B9"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972C3">
              <w:rPr>
                <w:rFonts w:eastAsia="Times New Roman" w:cstheme="minorHAnsi"/>
                <w:i/>
                <w:iCs/>
                <w:color w:val="000000"/>
                <w:sz w:val="20"/>
                <w:szCs w:val="20"/>
                <w:lang w:eastAsia="en-GB"/>
              </w:rPr>
              <w:t>ref</w:t>
            </w:r>
          </w:p>
        </w:tc>
        <w:tc>
          <w:tcPr>
            <w:tcW w:w="1276" w:type="dxa"/>
            <w:shd w:val="clear" w:color="auto" w:fill="auto"/>
            <w:noWrap/>
          </w:tcPr>
          <w:p w14:paraId="1C331361"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972C3">
              <w:rPr>
                <w:rFonts w:eastAsia="Times New Roman" w:cstheme="minorHAnsi"/>
                <w:i/>
                <w:iCs/>
                <w:color w:val="000000"/>
                <w:sz w:val="20"/>
                <w:szCs w:val="20"/>
                <w:lang w:eastAsia="en-GB"/>
              </w:rPr>
              <w:t>ref</w:t>
            </w:r>
          </w:p>
        </w:tc>
        <w:tc>
          <w:tcPr>
            <w:tcW w:w="1118" w:type="dxa"/>
            <w:shd w:val="clear" w:color="auto" w:fill="auto"/>
            <w:noWrap/>
          </w:tcPr>
          <w:p w14:paraId="6E7B3A6A" w14:textId="77777777" w:rsidR="00182884" w:rsidRPr="00D850D4" w:rsidRDefault="00182884" w:rsidP="000A7109">
            <w:pPr>
              <w:spacing w:after="0" w:line="240" w:lineRule="auto"/>
              <w:jc w:val="right"/>
              <w:rPr>
                <w:rFonts w:eastAsia="Times New Roman" w:cstheme="minorHAnsi"/>
                <w:color w:val="000000"/>
                <w:sz w:val="20"/>
                <w:szCs w:val="20"/>
                <w:lang w:eastAsia="en-GB"/>
              </w:rPr>
            </w:pPr>
          </w:p>
        </w:tc>
      </w:tr>
      <w:tr w:rsidR="00182884" w:rsidRPr="00D850D4" w14:paraId="360AED69" w14:textId="77777777" w:rsidTr="000A7109">
        <w:trPr>
          <w:trHeight w:val="288"/>
        </w:trPr>
        <w:tc>
          <w:tcPr>
            <w:tcW w:w="280" w:type="dxa"/>
            <w:shd w:val="clear" w:color="auto" w:fill="auto"/>
            <w:noWrap/>
          </w:tcPr>
          <w:p w14:paraId="3BC20781" w14:textId="77777777" w:rsidR="00182884" w:rsidRPr="00D850D4" w:rsidRDefault="00182884" w:rsidP="000A7109">
            <w:pPr>
              <w:spacing w:after="0" w:line="240" w:lineRule="auto"/>
              <w:jc w:val="left"/>
              <w:rPr>
                <w:rFonts w:eastAsia="Times New Roman" w:cstheme="minorHAnsi"/>
                <w:color w:val="000000"/>
                <w:sz w:val="20"/>
                <w:szCs w:val="20"/>
                <w:lang w:eastAsia="en-GB"/>
              </w:rPr>
            </w:pPr>
          </w:p>
        </w:tc>
        <w:tc>
          <w:tcPr>
            <w:tcW w:w="1705" w:type="dxa"/>
            <w:shd w:val="clear" w:color="auto" w:fill="auto"/>
            <w:noWrap/>
            <w:hideMark/>
          </w:tcPr>
          <w:p w14:paraId="1DA6B37C" w14:textId="77777777" w:rsidR="00182884" w:rsidRPr="00D850D4" w:rsidRDefault="00182884" w:rsidP="000A7109">
            <w:pPr>
              <w:spacing w:after="0" w:line="240" w:lineRule="auto"/>
              <w:jc w:val="left"/>
              <w:rPr>
                <w:rFonts w:eastAsia="Times New Roman" w:cstheme="minorHAnsi"/>
                <w:color w:val="000000"/>
                <w:sz w:val="20"/>
                <w:szCs w:val="20"/>
                <w:lang w:eastAsia="en-GB"/>
              </w:rPr>
            </w:pPr>
            <w:r w:rsidRPr="00D850D4">
              <w:rPr>
                <w:rFonts w:eastAsia="Times New Roman" w:cstheme="minorHAnsi"/>
                <w:color w:val="000000"/>
                <w:sz w:val="20"/>
                <w:szCs w:val="20"/>
                <w:lang w:eastAsia="en-GB"/>
              </w:rPr>
              <w:t>Currently employed</w:t>
            </w:r>
          </w:p>
        </w:tc>
        <w:tc>
          <w:tcPr>
            <w:tcW w:w="1032" w:type="dxa"/>
            <w:gridSpan w:val="3"/>
            <w:shd w:val="clear" w:color="auto" w:fill="auto"/>
            <w:noWrap/>
            <w:hideMark/>
          </w:tcPr>
          <w:p w14:paraId="1F406ACD"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972C3">
              <w:rPr>
                <w:rFonts w:cstheme="minorHAnsi"/>
                <w:color w:val="000000"/>
                <w:sz w:val="20"/>
                <w:szCs w:val="20"/>
              </w:rPr>
              <w:t>31.7</w:t>
            </w:r>
          </w:p>
        </w:tc>
        <w:tc>
          <w:tcPr>
            <w:tcW w:w="1378" w:type="dxa"/>
            <w:shd w:val="clear" w:color="auto" w:fill="auto"/>
            <w:noWrap/>
          </w:tcPr>
          <w:p w14:paraId="054DEA48" w14:textId="77777777" w:rsidR="00182884" w:rsidRPr="00D850D4" w:rsidRDefault="00182884" w:rsidP="000A7109">
            <w:pPr>
              <w:jc w:val="right"/>
              <w:rPr>
                <w:rFonts w:cstheme="minorHAnsi"/>
                <w:color w:val="000000"/>
                <w:sz w:val="20"/>
                <w:szCs w:val="20"/>
              </w:rPr>
            </w:pPr>
            <w:r w:rsidRPr="00D972C3">
              <w:rPr>
                <w:rFonts w:cstheme="minorHAnsi"/>
                <w:color w:val="000000"/>
                <w:sz w:val="20"/>
                <w:szCs w:val="20"/>
              </w:rPr>
              <w:t>18.3</w:t>
            </w:r>
          </w:p>
        </w:tc>
        <w:tc>
          <w:tcPr>
            <w:tcW w:w="222" w:type="dxa"/>
          </w:tcPr>
          <w:p w14:paraId="19217B4A" w14:textId="77777777" w:rsidR="00182884" w:rsidRPr="00D972C3" w:rsidRDefault="00182884" w:rsidP="000A7109">
            <w:pPr>
              <w:spacing w:after="0" w:line="240" w:lineRule="auto"/>
              <w:jc w:val="right"/>
              <w:rPr>
                <w:rFonts w:eastAsia="Times New Roman" w:cstheme="minorHAnsi"/>
                <w:color w:val="000000"/>
                <w:sz w:val="20"/>
                <w:szCs w:val="20"/>
                <w:lang w:eastAsia="en-GB"/>
              </w:rPr>
            </w:pPr>
          </w:p>
        </w:tc>
        <w:tc>
          <w:tcPr>
            <w:tcW w:w="1337" w:type="dxa"/>
          </w:tcPr>
          <w:p w14:paraId="34838306" w14:textId="77777777" w:rsidR="00182884" w:rsidRPr="00D972C3" w:rsidRDefault="00182884" w:rsidP="000A7109">
            <w:pPr>
              <w:spacing w:after="0" w:line="240" w:lineRule="auto"/>
              <w:jc w:val="right"/>
              <w:rPr>
                <w:rFonts w:eastAsia="Times New Roman" w:cstheme="minorHAnsi"/>
                <w:color w:val="000000"/>
                <w:sz w:val="20"/>
                <w:szCs w:val="20"/>
                <w:lang w:eastAsia="en-GB"/>
              </w:rPr>
            </w:pPr>
            <w:r w:rsidRPr="00D972C3">
              <w:rPr>
                <w:rFonts w:cstheme="minorHAnsi"/>
                <w:color w:val="000000"/>
                <w:sz w:val="20"/>
                <w:szCs w:val="20"/>
              </w:rPr>
              <w:t>17.8</w:t>
            </w:r>
          </w:p>
        </w:tc>
        <w:tc>
          <w:tcPr>
            <w:tcW w:w="1417" w:type="dxa"/>
            <w:shd w:val="clear" w:color="auto" w:fill="auto"/>
            <w:noWrap/>
            <w:hideMark/>
          </w:tcPr>
          <w:p w14:paraId="34465F69"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972C3">
              <w:rPr>
                <w:rFonts w:cstheme="minorHAnsi"/>
                <w:color w:val="000000"/>
                <w:sz w:val="20"/>
                <w:szCs w:val="20"/>
              </w:rPr>
              <w:t>17.2</w:t>
            </w:r>
          </w:p>
        </w:tc>
        <w:tc>
          <w:tcPr>
            <w:tcW w:w="1276" w:type="dxa"/>
            <w:shd w:val="clear" w:color="auto" w:fill="auto"/>
            <w:noWrap/>
            <w:hideMark/>
          </w:tcPr>
          <w:p w14:paraId="0AC71E02"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972C3">
              <w:rPr>
                <w:rFonts w:cstheme="minorHAnsi"/>
                <w:color w:val="000000"/>
                <w:sz w:val="20"/>
                <w:szCs w:val="20"/>
              </w:rPr>
              <w:t xml:space="preserve"> 0.6</w:t>
            </w:r>
          </w:p>
        </w:tc>
        <w:tc>
          <w:tcPr>
            <w:tcW w:w="1118" w:type="dxa"/>
            <w:shd w:val="clear" w:color="auto" w:fill="auto"/>
            <w:noWrap/>
            <w:hideMark/>
          </w:tcPr>
          <w:p w14:paraId="13D6E48F"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972C3">
              <w:rPr>
                <w:rFonts w:cstheme="minorHAnsi"/>
                <w:color w:val="000000"/>
                <w:sz w:val="20"/>
                <w:szCs w:val="20"/>
              </w:rPr>
              <w:t>[-3.3</w:t>
            </w:r>
            <w:r>
              <w:rPr>
                <w:rFonts w:cstheme="minorHAnsi"/>
                <w:color w:val="000000"/>
                <w:sz w:val="20"/>
                <w:szCs w:val="20"/>
              </w:rPr>
              <w:t>–</w:t>
            </w:r>
            <w:r w:rsidRPr="00D972C3">
              <w:rPr>
                <w:rFonts w:cstheme="minorHAnsi"/>
                <w:color w:val="000000"/>
                <w:sz w:val="20"/>
                <w:szCs w:val="20"/>
              </w:rPr>
              <w:t xml:space="preserve"> 4.5]</w:t>
            </w:r>
          </w:p>
        </w:tc>
      </w:tr>
      <w:tr w:rsidR="00182884" w:rsidRPr="00D850D4" w14:paraId="78CF4B0E" w14:textId="77777777" w:rsidTr="000A7109">
        <w:trPr>
          <w:trHeight w:val="288"/>
        </w:trPr>
        <w:tc>
          <w:tcPr>
            <w:tcW w:w="1985" w:type="dxa"/>
            <w:gridSpan w:val="2"/>
            <w:shd w:val="clear" w:color="auto" w:fill="auto"/>
            <w:noWrap/>
          </w:tcPr>
          <w:p w14:paraId="5C42961B" w14:textId="77777777" w:rsidR="00182884" w:rsidRPr="00D850D4" w:rsidRDefault="00182884" w:rsidP="000A7109">
            <w:pPr>
              <w:spacing w:after="0" w:line="240" w:lineRule="auto"/>
              <w:jc w:val="left"/>
              <w:rPr>
                <w:rFonts w:eastAsia="Times New Roman" w:cstheme="minorHAnsi"/>
                <w:color w:val="000000"/>
                <w:sz w:val="20"/>
                <w:szCs w:val="20"/>
                <w:lang w:eastAsia="en-GB"/>
              </w:rPr>
            </w:pPr>
            <w:r w:rsidRPr="00D850D4">
              <w:rPr>
                <w:rFonts w:eastAsia="Arial" w:cstheme="minorHAnsi"/>
                <w:b/>
                <w:bCs/>
                <w:color w:val="000000"/>
                <w:sz w:val="20"/>
                <w:szCs w:val="20"/>
              </w:rPr>
              <w:t>Area type</w:t>
            </w:r>
          </w:p>
        </w:tc>
        <w:tc>
          <w:tcPr>
            <w:tcW w:w="1032" w:type="dxa"/>
            <w:gridSpan w:val="3"/>
            <w:shd w:val="clear" w:color="auto" w:fill="auto"/>
            <w:noWrap/>
          </w:tcPr>
          <w:p w14:paraId="01857629" w14:textId="77777777" w:rsidR="00182884" w:rsidRPr="00D972C3" w:rsidRDefault="00182884" w:rsidP="000A7109">
            <w:pPr>
              <w:spacing w:after="0" w:line="240" w:lineRule="auto"/>
              <w:jc w:val="right"/>
              <w:rPr>
                <w:rFonts w:eastAsia="Times New Roman" w:cstheme="minorHAnsi"/>
                <w:color w:val="000000"/>
                <w:sz w:val="20"/>
                <w:szCs w:val="20"/>
                <w:lang w:eastAsia="en-GB"/>
              </w:rPr>
            </w:pPr>
          </w:p>
        </w:tc>
        <w:tc>
          <w:tcPr>
            <w:tcW w:w="1378" w:type="dxa"/>
            <w:shd w:val="clear" w:color="auto" w:fill="auto"/>
            <w:noWrap/>
          </w:tcPr>
          <w:p w14:paraId="7812A908" w14:textId="77777777" w:rsidR="00182884" w:rsidRPr="00D972C3" w:rsidRDefault="00182884" w:rsidP="000A7109">
            <w:pPr>
              <w:spacing w:after="0" w:line="240" w:lineRule="auto"/>
              <w:jc w:val="right"/>
              <w:rPr>
                <w:rFonts w:eastAsia="Times New Roman" w:cstheme="minorHAnsi"/>
                <w:color w:val="000000"/>
                <w:sz w:val="20"/>
                <w:szCs w:val="20"/>
                <w:lang w:eastAsia="en-GB"/>
              </w:rPr>
            </w:pPr>
          </w:p>
        </w:tc>
        <w:tc>
          <w:tcPr>
            <w:tcW w:w="222" w:type="dxa"/>
          </w:tcPr>
          <w:p w14:paraId="7EEB8334" w14:textId="77777777" w:rsidR="00182884" w:rsidRPr="00D972C3" w:rsidRDefault="00182884" w:rsidP="000A7109">
            <w:pPr>
              <w:spacing w:after="0" w:line="240" w:lineRule="auto"/>
              <w:jc w:val="right"/>
              <w:rPr>
                <w:rFonts w:eastAsia="Times New Roman" w:cstheme="minorHAnsi"/>
                <w:color w:val="000000"/>
                <w:sz w:val="20"/>
                <w:szCs w:val="20"/>
                <w:lang w:eastAsia="en-GB"/>
              </w:rPr>
            </w:pPr>
          </w:p>
        </w:tc>
        <w:tc>
          <w:tcPr>
            <w:tcW w:w="1337" w:type="dxa"/>
            <w:shd w:val="clear" w:color="auto" w:fill="auto"/>
            <w:noWrap/>
          </w:tcPr>
          <w:p w14:paraId="2C154B77" w14:textId="77777777" w:rsidR="00182884" w:rsidRPr="00D972C3" w:rsidRDefault="00182884" w:rsidP="000A7109">
            <w:pPr>
              <w:spacing w:after="0" w:line="240" w:lineRule="auto"/>
              <w:jc w:val="right"/>
              <w:rPr>
                <w:rFonts w:eastAsia="Times New Roman" w:cstheme="minorHAnsi"/>
                <w:color w:val="000000"/>
                <w:sz w:val="20"/>
                <w:szCs w:val="20"/>
                <w:lang w:eastAsia="en-GB"/>
              </w:rPr>
            </w:pPr>
          </w:p>
        </w:tc>
        <w:tc>
          <w:tcPr>
            <w:tcW w:w="1417" w:type="dxa"/>
          </w:tcPr>
          <w:p w14:paraId="47FCEB86" w14:textId="77777777" w:rsidR="00182884" w:rsidRPr="00D972C3" w:rsidRDefault="00182884" w:rsidP="000A7109">
            <w:pPr>
              <w:spacing w:after="0" w:line="240" w:lineRule="auto"/>
              <w:jc w:val="right"/>
              <w:rPr>
                <w:rFonts w:eastAsia="Times New Roman" w:cstheme="minorHAnsi"/>
                <w:color w:val="000000"/>
                <w:sz w:val="20"/>
                <w:szCs w:val="20"/>
                <w:lang w:eastAsia="en-GB"/>
              </w:rPr>
            </w:pPr>
          </w:p>
        </w:tc>
        <w:tc>
          <w:tcPr>
            <w:tcW w:w="1276" w:type="dxa"/>
            <w:shd w:val="clear" w:color="auto" w:fill="auto"/>
            <w:noWrap/>
          </w:tcPr>
          <w:p w14:paraId="4CE43E9C" w14:textId="77777777" w:rsidR="00182884" w:rsidRPr="00D972C3" w:rsidRDefault="00182884" w:rsidP="000A7109">
            <w:pPr>
              <w:spacing w:after="0" w:line="240" w:lineRule="auto"/>
              <w:jc w:val="right"/>
              <w:rPr>
                <w:rFonts w:eastAsia="Times New Roman" w:cstheme="minorHAnsi"/>
                <w:color w:val="000000"/>
                <w:sz w:val="20"/>
                <w:szCs w:val="20"/>
                <w:lang w:eastAsia="en-GB"/>
              </w:rPr>
            </w:pPr>
          </w:p>
        </w:tc>
        <w:tc>
          <w:tcPr>
            <w:tcW w:w="1118" w:type="dxa"/>
            <w:shd w:val="clear" w:color="auto" w:fill="auto"/>
            <w:noWrap/>
          </w:tcPr>
          <w:p w14:paraId="6B42B2B9" w14:textId="77777777" w:rsidR="00182884" w:rsidRPr="00D972C3" w:rsidRDefault="00182884" w:rsidP="000A7109">
            <w:pPr>
              <w:spacing w:after="0" w:line="240" w:lineRule="auto"/>
              <w:jc w:val="right"/>
              <w:rPr>
                <w:rFonts w:eastAsia="Times New Roman" w:cstheme="minorHAnsi"/>
                <w:color w:val="000000"/>
                <w:sz w:val="20"/>
                <w:szCs w:val="20"/>
                <w:lang w:eastAsia="en-GB"/>
              </w:rPr>
            </w:pPr>
          </w:p>
        </w:tc>
      </w:tr>
      <w:tr w:rsidR="00182884" w:rsidRPr="00D850D4" w14:paraId="764C3BA7" w14:textId="77777777" w:rsidTr="000A7109">
        <w:trPr>
          <w:trHeight w:val="288"/>
        </w:trPr>
        <w:tc>
          <w:tcPr>
            <w:tcW w:w="280" w:type="dxa"/>
            <w:shd w:val="clear" w:color="auto" w:fill="auto"/>
            <w:noWrap/>
          </w:tcPr>
          <w:p w14:paraId="437F4EFF" w14:textId="77777777" w:rsidR="00182884" w:rsidRPr="00D850D4" w:rsidRDefault="00182884" w:rsidP="000A7109">
            <w:pPr>
              <w:spacing w:after="0" w:line="240" w:lineRule="auto"/>
              <w:jc w:val="left"/>
              <w:rPr>
                <w:rFonts w:eastAsia="Times New Roman" w:cstheme="minorHAnsi"/>
                <w:color w:val="000000"/>
                <w:sz w:val="20"/>
                <w:szCs w:val="20"/>
                <w:lang w:eastAsia="en-GB"/>
              </w:rPr>
            </w:pPr>
          </w:p>
        </w:tc>
        <w:tc>
          <w:tcPr>
            <w:tcW w:w="1705" w:type="dxa"/>
            <w:shd w:val="clear" w:color="auto" w:fill="auto"/>
            <w:noWrap/>
            <w:hideMark/>
          </w:tcPr>
          <w:p w14:paraId="060670AB" w14:textId="77777777" w:rsidR="00182884" w:rsidRPr="00D850D4" w:rsidRDefault="00182884" w:rsidP="000A7109">
            <w:pPr>
              <w:spacing w:after="0" w:line="240" w:lineRule="auto"/>
              <w:jc w:val="left"/>
              <w:rPr>
                <w:rFonts w:eastAsia="Times New Roman" w:cstheme="minorHAnsi"/>
                <w:color w:val="000000"/>
                <w:sz w:val="20"/>
                <w:szCs w:val="20"/>
                <w:lang w:eastAsia="en-GB"/>
              </w:rPr>
            </w:pPr>
            <w:r w:rsidRPr="00D850D4">
              <w:rPr>
                <w:rFonts w:eastAsia="Times New Roman" w:cstheme="minorHAnsi"/>
                <w:color w:val="000000"/>
                <w:sz w:val="20"/>
                <w:szCs w:val="20"/>
                <w:lang w:eastAsia="en-GB"/>
              </w:rPr>
              <w:t>Rural</w:t>
            </w:r>
          </w:p>
        </w:tc>
        <w:tc>
          <w:tcPr>
            <w:tcW w:w="1032" w:type="dxa"/>
            <w:gridSpan w:val="3"/>
            <w:shd w:val="clear" w:color="auto" w:fill="auto"/>
            <w:noWrap/>
            <w:hideMark/>
          </w:tcPr>
          <w:p w14:paraId="401D1667"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972C3">
              <w:rPr>
                <w:rFonts w:cstheme="minorHAnsi"/>
                <w:color w:val="000000"/>
                <w:sz w:val="20"/>
                <w:szCs w:val="20"/>
              </w:rPr>
              <w:t>49.9</w:t>
            </w:r>
          </w:p>
        </w:tc>
        <w:tc>
          <w:tcPr>
            <w:tcW w:w="1378" w:type="dxa"/>
            <w:shd w:val="clear" w:color="auto" w:fill="auto"/>
            <w:noWrap/>
          </w:tcPr>
          <w:p w14:paraId="36F155CB"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972C3">
              <w:rPr>
                <w:rFonts w:cstheme="minorHAnsi"/>
                <w:color w:val="000000"/>
                <w:sz w:val="20"/>
                <w:szCs w:val="20"/>
              </w:rPr>
              <w:t>35.8</w:t>
            </w:r>
          </w:p>
        </w:tc>
        <w:tc>
          <w:tcPr>
            <w:tcW w:w="222" w:type="dxa"/>
          </w:tcPr>
          <w:p w14:paraId="6375278F" w14:textId="77777777" w:rsidR="00182884" w:rsidRPr="00D972C3" w:rsidRDefault="00182884" w:rsidP="000A7109">
            <w:pPr>
              <w:spacing w:after="0" w:line="240" w:lineRule="auto"/>
              <w:jc w:val="right"/>
              <w:rPr>
                <w:rFonts w:eastAsia="Times New Roman" w:cstheme="minorHAnsi"/>
                <w:color w:val="000000"/>
                <w:sz w:val="20"/>
                <w:szCs w:val="20"/>
                <w:lang w:eastAsia="en-GB"/>
              </w:rPr>
            </w:pPr>
          </w:p>
        </w:tc>
        <w:tc>
          <w:tcPr>
            <w:tcW w:w="1337" w:type="dxa"/>
          </w:tcPr>
          <w:p w14:paraId="207B787C" w14:textId="77777777" w:rsidR="00182884" w:rsidRPr="00D972C3" w:rsidRDefault="00182884" w:rsidP="000A7109">
            <w:pPr>
              <w:spacing w:after="0" w:line="240" w:lineRule="auto"/>
              <w:jc w:val="right"/>
              <w:rPr>
                <w:rFonts w:eastAsia="Times New Roman" w:cstheme="minorHAnsi"/>
                <w:i/>
                <w:iCs/>
                <w:color w:val="000000"/>
                <w:sz w:val="20"/>
                <w:szCs w:val="20"/>
                <w:lang w:eastAsia="en-GB"/>
              </w:rPr>
            </w:pPr>
            <w:r w:rsidRPr="00D972C3">
              <w:rPr>
                <w:rFonts w:eastAsia="Times New Roman" w:cstheme="minorHAnsi"/>
                <w:i/>
                <w:iCs/>
                <w:color w:val="000000"/>
                <w:sz w:val="20"/>
                <w:szCs w:val="20"/>
                <w:lang w:eastAsia="en-GB"/>
              </w:rPr>
              <w:t>ref</w:t>
            </w:r>
          </w:p>
        </w:tc>
        <w:tc>
          <w:tcPr>
            <w:tcW w:w="1417" w:type="dxa"/>
            <w:shd w:val="clear" w:color="auto" w:fill="auto"/>
            <w:noWrap/>
          </w:tcPr>
          <w:p w14:paraId="3BC9F73A"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972C3">
              <w:rPr>
                <w:rFonts w:eastAsia="Times New Roman" w:cstheme="minorHAnsi"/>
                <w:i/>
                <w:iCs/>
                <w:color w:val="000000"/>
                <w:sz w:val="20"/>
                <w:szCs w:val="20"/>
                <w:lang w:eastAsia="en-GB"/>
              </w:rPr>
              <w:t>ref</w:t>
            </w:r>
          </w:p>
        </w:tc>
        <w:tc>
          <w:tcPr>
            <w:tcW w:w="1276" w:type="dxa"/>
            <w:shd w:val="clear" w:color="auto" w:fill="auto"/>
            <w:noWrap/>
          </w:tcPr>
          <w:p w14:paraId="4E1E3F2A"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972C3">
              <w:rPr>
                <w:rFonts w:eastAsia="Times New Roman" w:cstheme="minorHAnsi"/>
                <w:i/>
                <w:iCs/>
                <w:color w:val="000000"/>
                <w:sz w:val="20"/>
                <w:szCs w:val="20"/>
                <w:lang w:eastAsia="en-GB"/>
              </w:rPr>
              <w:t>ref</w:t>
            </w:r>
          </w:p>
        </w:tc>
        <w:tc>
          <w:tcPr>
            <w:tcW w:w="1118" w:type="dxa"/>
            <w:shd w:val="clear" w:color="auto" w:fill="auto"/>
            <w:noWrap/>
          </w:tcPr>
          <w:p w14:paraId="796A18F4" w14:textId="77777777" w:rsidR="00182884" w:rsidRPr="00D850D4" w:rsidRDefault="00182884" w:rsidP="000A7109">
            <w:pPr>
              <w:spacing w:after="0" w:line="240" w:lineRule="auto"/>
              <w:jc w:val="right"/>
              <w:rPr>
                <w:rFonts w:eastAsia="Times New Roman" w:cstheme="minorHAnsi"/>
                <w:color w:val="000000"/>
                <w:sz w:val="20"/>
                <w:szCs w:val="20"/>
                <w:lang w:eastAsia="en-GB"/>
              </w:rPr>
            </w:pPr>
          </w:p>
        </w:tc>
      </w:tr>
      <w:tr w:rsidR="00182884" w:rsidRPr="00D850D4" w14:paraId="3C3DB4A0" w14:textId="77777777" w:rsidTr="000A7109">
        <w:trPr>
          <w:trHeight w:val="288"/>
        </w:trPr>
        <w:tc>
          <w:tcPr>
            <w:tcW w:w="280" w:type="dxa"/>
            <w:shd w:val="clear" w:color="auto" w:fill="auto"/>
            <w:noWrap/>
          </w:tcPr>
          <w:p w14:paraId="65996EFA" w14:textId="77777777" w:rsidR="00182884" w:rsidRPr="00D850D4" w:rsidRDefault="00182884" w:rsidP="000A7109">
            <w:pPr>
              <w:spacing w:after="0" w:line="240" w:lineRule="auto"/>
              <w:jc w:val="left"/>
              <w:rPr>
                <w:rFonts w:eastAsia="Times New Roman" w:cstheme="minorHAnsi"/>
                <w:color w:val="000000"/>
                <w:sz w:val="20"/>
                <w:szCs w:val="20"/>
                <w:lang w:eastAsia="en-GB"/>
              </w:rPr>
            </w:pPr>
          </w:p>
        </w:tc>
        <w:tc>
          <w:tcPr>
            <w:tcW w:w="1705" w:type="dxa"/>
            <w:shd w:val="clear" w:color="auto" w:fill="auto"/>
            <w:noWrap/>
            <w:hideMark/>
          </w:tcPr>
          <w:p w14:paraId="4A4349A8" w14:textId="77777777" w:rsidR="00182884" w:rsidRPr="00D850D4" w:rsidRDefault="00182884" w:rsidP="000A7109">
            <w:pPr>
              <w:spacing w:after="0" w:line="240" w:lineRule="auto"/>
              <w:jc w:val="left"/>
              <w:rPr>
                <w:rFonts w:eastAsia="Times New Roman" w:cstheme="minorHAnsi"/>
                <w:color w:val="000000"/>
                <w:sz w:val="20"/>
                <w:szCs w:val="20"/>
                <w:lang w:eastAsia="en-GB"/>
              </w:rPr>
            </w:pPr>
            <w:r w:rsidRPr="00D850D4">
              <w:rPr>
                <w:rFonts w:eastAsia="Times New Roman" w:cstheme="minorHAnsi"/>
                <w:color w:val="000000"/>
                <w:sz w:val="20"/>
                <w:szCs w:val="20"/>
                <w:lang w:eastAsia="en-GB"/>
              </w:rPr>
              <w:t>Peri-Urban</w:t>
            </w:r>
          </w:p>
        </w:tc>
        <w:tc>
          <w:tcPr>
            <w:tcW w:w="1032" w:type="dxa"/>
            <w:gridSpan w:val="3"/>
            <w:shd w:val="clear" w:color="auto" w:fill="auto"/>
            <w:noWrap/>
            <w:hideMark/>
          </w:tcPr>
          <w:p w14:paraId="126D8DE5"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972C3">
              <w:rPr>
                <w:rFonts w:cstheme="minorHAnsi"/>
                <w:color w:val="000000"/>
                <w:sz w:val="20"/>
                <w:szCs w:val="20"/>
              </w:rPr>
              <w:t>41.4</w:t>
            </w:r>
          </w:p>
        </w:tc>
        <w:tc>
          <w:tcPr>
            <w:tcW w:w="1378" w:type="dxa"/>
            <w:shd w:val="clear" w:color="auto" w:fill="auto"/>
            <w:noWrap/>
          </w:tcPr>
          <w:p w14:paraId="0FE95832"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972C3">
              <w:rPr>
                <w:rFonts w:cstheme="minorHAnsi"/>
                <w:color w:val="000000"/>
                <w:sz w:val="20"/>
                <w:szCs w:val="20"/>
              </w:rPr>
              <w:t>28.4</w:t>
            </w:r>
          </w:p>
        </w:tc>
        <w:tc>
          <w:tcPr>
            <w:tcW w:w="222" w:type="dxa"/>
          </w:tcPr>
          <w:p w14:paraId="05E92D04" w14:textId="77777777" w:rsidR="00182884" w:rsidRPr="00D972C3" w:rsidRDefault="00182884" w:rsidP="000A7109">
            <w:pPr>
              <w:spacing w:after="0" w:line="240" w:lineRule="auto"/>
              <w:jc w:val="right"/>
              <w:rPr>
                <w:rFonts w:eastAsia="Times New Roman" w:cstheme="minorHAnsi"/>
                <w:color w:val="000000"/>
                <w:sz w:val="20"/>
                <w:szCs w:val="20"/>
                <w:lang w:eastAsia="en-GB"/>
              </w:rPr>
            </w:pPr>
          </w:p>
        </w:tc>
        <w:tc>
          <w:tcPr>
            <w:tcW w:w="1337" w:type="dxa"/>
          </w:tcPr>
          <w:p w14:paraId="5D70A46E" w14:textId="77777777" w:rsidR="00182884" w:rsidRPr="00D972C3" w:rsidRDefault="00182884" w:rsidP="000A7109">
            <w:pPr>
              <w:spacing w:after="0" w:line="240" w:lineRule="auto"/>
              <w:jc w:val="right"/>
              <w:rPr>
                <w:rFonts w:eastAsia="Times New Roman" w:cstheme="minorHAnsi"/>
                <w:color w:val="000000"/>
                <w:sz w:val="20"/>
                <w:szCs w:val="20"/>
                <w:lang w:eastAsia="en-GB"/>
              </w:rPr>
            </w:pPr>
            <w:r w:rsidRPr="00D972C3">
              <w:rPr>
                <w:rFonts w:cstheme="minorHAnsi"/>
                <w:color w:val="000000"/>
                <w:sz w:val="20"/>
                <w:szCs w:val="20"/>
              </w:rPr>
              <w:t xml:space="preserve"> 8.5</w:t>
            </w:r>
          </w:p>
        </w:tc>
        <w:tc>
          <w:tcPr>
            <w:tcW w:w="1417" w:type="dxa"/>
            <w:shd w:val="clear" w:color="auto" w:fill="auto"/>
            <w:noWrap/>
            <w:hideMark/>
          </w:tcPr>
          <w:p w14:paraId="4560EFB8"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972C3">
              <w:rPr>
                <w:rFonts w:cstheme="minorHAnsi"/>
                <w:color w:val="000000"/>
                <w:sz w:val="20"/>
                <w:szCs w:val="20"/>
              </w:rPr>
              <w:t xml:space="preserve"> 7.5</w:t>
            </w:r>
          </w:p>
        </w:tc>
        <w:tc>
          <w:tcPr>
            <w:tcW w:w="1276" w:type="dxa"/>
            <w:shd w:val="clear" w:color="auto" w:fill="auto"/>
            <w:noWrap/>
            <w:hideMark/>
          </w:tcPr>
          <w:p w14:paraId="32D944EE"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972C3">
              <w:rPr>
                <w:rFonts w:cstheme="minorHAnsi"/>
                <w:color w:val="000000"/>
                <w:sz w:val="20"/>
                <w:szCs w:val="20"/>
              </w:rPr>
              <w:t xml:space="preserve"> 1.0</w:t>
            </w:r>
          </w:p>
        </w:tc>
        <w:tc>
          <w:tcPr>
            <w:tcW w:w="1118" w:type="dxa"/>
            <w:shd w:val="clear" w:color="auto" w:fill="auto"/>
            <w:noWrap/>
            <w:hideMark/>
          </w:tcPr>
          <w:p w14:paraId="54362531"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972C3">
              <w:rPr>
                <w:rFonts w:cstheme="minorHAnsi"/>
                <w:color w:val="000000"/>
                <w:sz w:val="20"/>
                <w:szCs w:val="20"/>
              </w:rPr>
              <w:t>[-3.0</w:t>
            </w:r>
            <w:r>
              <w:rPr>
                <w:rFonts w:cstheme="minorHAnsi"/>
                <w:color w:val="000000"/>
                <w:sz w:val="20"/>
                <w:szCs w:val="20"/>
              </w:rPr>
              <w:t>–</w:t>
            </w:r>
            <w:r w:rsidRPr="00D972C3">
              <w:rPr>
                <w:rFonts w:cstheme="minorHAnsi"/>
                <w:color w:val="000000"/>
                <w:sz w:val="20"/>
                <w:szCs w:val="20"/>
              </w:rPr>
              <w:t xml:space="preserve"> 5.1]</w:t>
            </w:r>
          </w:p>
        </w:tc>
      </w:tr>
      <w:tr w:rsidR="00182884" w:rsidRPr="00D850D4" w14:paraId="6FCF00E3" w14:textId="77777777" w:rsidTr="000A7109">
        <w:trPr>
          <w:trHeight w:val="288"/>
        </w:trPr>
        <w:tc>
          <w:tcPr>
            <w:tcW w:w="280" w:type="dxa"/>
            <w:shd w:val="clear" w:color="auto" w:fill="auto"/>
            <w:noWrap/>
          </w:tcPr>
          <w:p w14:paraId="26472037" w14:textId="77777777" w:rsidR="00182884" w:rsidRPr="00D850D4" w:rsidRDefault="00182884" w:rsidP="000A7109">
            <w:pPr>
              <w:spacing w:after="0" w:line="240" w:lineRule="auto"/>
              <w:jc w:val="left"/>
              <w:rPr>
                <w:rFonts w:eastAsia="Times New Roman" w:cstheme="minorHAnsi"/>
                <w:color w:val="000000"/>
                <w:sz w:val="20"/>
                <w:szCs w:val="20"/>
                <w:lang w:eastAsia="en-GB"/>
              </w:rPr>
            </w:pPr>
          </w:p>
        </w:tc>
        <w:tc>
          <w:tcPr>
            <w:tcW w:w="1705" w:type="dxa"/>
            <w:shd w:val="clear" w:color="auto" w:fill="auto"/>
            <w:noWrap/>
            <w:hideMark/>
          </w:tcPr>
          <w:p w14:paraId="11AB9967" w14:textId="77777777" w:rsidR="00182884" w:rsidRPr="00D850D4" w:rsidRDefault="00182884" w:rsidP="000A7109">
            <w:pPr>
              <w:spacing w:after="0" w:line="240" w:lineRule="auto"/>
              <w:jc w:val="left"/>
              <w:rPr>
                <w:rFonts w:eastAsia="Times New Roman" w:cstheme="minorHAnsi"/>
                <w:color w:val="000000"/>
                <w:sz w:val="20"/>
                <w:szCs w:val="20"/>
                <w:lang w:eastAsia="en-GB"/>
              </w:rPr>
            </w:pPr>
            <w:r w:rsidRPr="00D850D4">
              <w:rPr>
                <w:rFonts w:eastAsia="Times New Roman" w:cstheme="minorHAnsi"/>
                <w:color w:val="000000"/>
                <w:sz w:val="20"/>
                <w:szCs w:val="20"/>
                <w:lang w:eastAsia="en-GB"/>
              </w:rPr>
              <w:t>Urban</w:t>
            </w:r>
          </w:p>
        </w:tc>
        <w:tc>
          <w:tcPr>
            <w:tcW w:w="1032" w:type="dxa"/>
            <w:gridSpan w:val="3"/>
            <w:shd w:val="clear" w:color="auto" w:fill="auto"/>
            <w:noWrap/>
            <w:hideMark/>
          </w:tcPr>
          <w:p w14:paraId="7F28B977"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972C3">
              <w:rPr>
                <w:rFonts w:cstheme="minorHAnsi"/>
                <w:color w:val="000000"/>
                <w:sz w:val="20"/>
                <w:szCs w:val="20"/>
              </w:rPr>
              <w:t>29.1</w:t>
            </w:r>
          </w:p>
        </w:tc>
        <w:tc>
          <w:tcPr>
            <w:tcW w:w="1378" w:type="dxa"/>
            <w:shd w:val="clear" w:color="auto" w:fill="auto"/>
            <w:noWrap/>
          </w:tcPr>
          <w:p w14:paraId="585FFB25"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972C3">
              <w:rPr>
                <w:rFonts w:cstheme="minorHAnsi"/>
                <w:color w:val="000000"/>
                <w:sz w:val="20"/>
                <w:szCs w:val="20"/>
              </w:rPr>
              <w:t>18.1</w:t>
            </w:r>
          </w:p>
        </w:tc>
        <w:tc>
          <w:tcPr>
            <w:tcW w:w="222" w:type="dxa"/>
          </w:tcPr>
          <w:p w14:paraId="7532B073" w14:textId="77777777" w:rsidR="00182884" w:rsidRPr="00D972C3" w:rsidRDefault="00182884" w:rsidP="000A7109">
            <w:pPr>
              <w:spacing w:after="0" w:line="240" w:lineRule="auto"/>
              <w:jc w:val="right"/>
              <w:rPr>
                <w:rFonts w:eastAsia="Times New Roman" w:cstheme="minorHAnsi"/>
                <w:color w:val="000000"/>
                <w:sz w:val="20"/>
                <w:szCs w:val="20"/>
                <w:lang w:eastAsia="en-GB"/>
              </w:rPr>
            </w:pPr>
          </w:p>
        </w:tc>
        <w:tc>
          <w:tcPr>
            <w:tcW w:w="1337" w:type="dxa"/>
          </w:tcPr>
          <w:p w14:paraId="34A82F34" w14:textId="77777777" w:rsidR="00182884" w:rsidRPr="00D972C3" w:rsidRDefault="00182884" w:rsidP="000A7109">
            <w:pPr>
              <w:spacing w:after="0" w:line="240" w:lineRule="auto"/>
              <w:jc w:val="right"/>
              <w:rPr>
                <w:rFonts w:eastAsia="Times New Roman" w:cstheme="minorHAnsi"/>
                <w:color w:val="000000"/>
                <w:sz w:val="20"/>
                <w:szCs w:val="20"/>
                <w:lang w:eastAsia="en-GB"/>
              </w:rPr>
            </w:pPr>
            <w:r w:rsidRPr="00D972C3">
              <w:rPr>
                <w:rFonts w:cstheme="minorHAnsi"/>
                <w:color w:val="000000"/>
                <w:sz w:val="20"/>
                <w:szCs w:val="20"/>
              </w:rPr>
              <w:t>20.9</w:t>
            </w:r>
          </w:p>
        </w:tc>
        <w:tc>
          <w:tcPr>
            <w:tcW w:w="1417" w:type="dxa"/>
            <w:shd w:val="clear" w:color="auto" w:fill="auto"/>
            <w:noWrap/>
            <w:hideMark/>
          </w:tcPr>
          <w:p w14:paraId="3327A872"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972C3">
              <w:rPr>
                <w:rFonts w:cstheme="minorHAnsi"/>
                <w:color w:val="000000"/>
                <w:sz w:val="20"/>
                <w:szCs w:val="20"/>
              </w:rPr>
              <w:t>17.7</w:t>
            </w:r>
          </w:p>
        </w:tc>
        <w:tc>
          <w:tcPr>
            <w:tcW w:w="1276" w:type="dxa"/>
            <w:shd w:val="clear" w:color="auto" w:fill="auto"/>
            <w:noWrap/>
            <w:hideMark/>
          </w:tcPr>
          <w:p w14:paraId="1375ECFE"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972C3">
              <w:rPr>
                <w:rFonts w:cstheme="minorHAnsi"/>
                <w:color w:val="000000"/>
                <w:sz w:val="20"/>
                <w:szCs w:val="20"/>
              </w:rPr>
              <w:t xml:space="preserve"> 3.2</w:t>
            </w:r>
          </w:p>
        </w:tc>
        <w:tc>
          <w:tcPr>
            <w:tcW w:w="1118" w:type="dxa"/>
            <w:shd w:val="clear" w:color="auto" w:fill="auto"/>
            <w:noWrap/>
            <w:hideMark/>
          </w:tcPr>
          <w:p w14:paraId="2E117C01"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972C3">
              <w:rPr>
                <w:rFonts w:cstheme="minorHAnsi"/>
                <w:color w:val="000000"/>
                <w:sz w:val="20"/>
                <w:szCs w:val="20"/>
              </w:rPr>
              <w:t>[-0.6</w:t>
            </w:r>
            <w:r>
              <w:rPr>
                <w:rFonts w:cstheme="minorHAnsi"/>
                <w:color w:val="000000"/>
                <w:sz w:val="20"/>
                <w:szCs w:val="20"/>
              </w:rPr>
              <w:t>–</w:t>
            </w:r>
            <w:r w:rsidRPr="00D972C3">
              <w:rPr>
                <w:rFonts w:cstheme="minorHAnsi"/>
                <w:color w:val="000000"/>
                <w:sz w:val="20"/>
                <w:szCs w:val="20"/>
              </w:rPr>
              <w:t xml:space="preserve"> 6.9]</w:t>
            </w:r>
          </w:p>
        </w:tc>
      </w:tr>
      <w:tr w:rsidR="00182884" w:rsidRPr="00D850D4" w14:paraId="6050C8B7" w14:textId="77777777" w:rsidTr="000A7109">
        <w:trPr>
          <w:trHeight w:val="288"/>
        </w:trPr>
        <w:tc>
          <w:tcPr>
            <w:tcW w:w="3017" w:type="dxa"/>
            <w:gridSpan w:val="5"/>
            <w:shd w:val="clear" w:color="auto" w:fill="auto"/>
            <w:noWrap/>
          </w:tcPr>
          <w:p w14:paraId="7361EC16" w14:textId="77777777" w:rsidR="00182884" w:rsidRPr="00D972C3" w:rsidRDefault="00182884" w:rsidP="000A7109">
            <w:pPr>
              <w:spacing w:after="0" w:line="240" w:lineRule="auto"/>
              <w:jc w:val="left"/>
              <w:rPr>
                <w:rFonts w:eastAsia="Times New Roman" w:cstheme="minorHAnsi"/>
                <w:color w:val="000000"/>
                <w:sz w:val="20"/>
                <w:szCs w:val="20"/>
                <w:lang w:eastAsia="en-GB"/>
              </w:rPr>
            </w:pPr>
            <w:r w:rsidRPr="00D972C3">
              <w:rPr>
                <w:rFonts w:eastAsia="Arial" w:cstheme="minorHAnsi"/>
                <w:b/>
                <w:bCs/>
                <w:color w:val="000000"/>
                <w:sz w:val="20"/>
                <w:szCs w:val="20"/>
              </w:rPr>
              <w:t>Distance to the nearest Clinic</w:t>
            </w:r>
          </w:p>
        </w:tc>
        <w:tc>
          <w:tcPr>
            <w:tcW w:w="1378" w:type="dxa"/>
            <w:shd w:val="clear" w:color="auto" w:fill="auto"/>
            <w:noWrap/>
          </w:tcPr>
          <w:p w14:paraId="0EAB104A" w14:textId="77777777" w:rsidR="00182884" w:rsidRPr="00D972C3" w:rsidRDefault="00182884" w:rsidP="000A7109">
            <w:pPr>
              <w:spacing w:after="0" w:line="240" w:lineRule="auto"/>
              <w:jc w:val="right"/>
              <w:rPr>
                <w:rFonts w:eastAsia="Times New Roman" w:cstheme="minorHAnsi"/>
                <w:color w:val="000000"/>
                <w:sz w:val="20"/>
                <w:szCs w:val="20"/>
                <w:lang w:eastAsia="en-GB"/>
              </w:rPr>
            </w:pPr>
          </w:p>
        </w:tc>
        <w:tc>
          <w:tcPr>
            <w:tcW w:w="222" w:type="dxa"/>
          </w:tcPr>
          <w:p w14:paraId="539CA9F1" w14:textId="77777777" w:rsidR="00182884" w:rsidRPr="00D972C3" w:rsidRDefault="00182884" w:rsidP="000A7109">
            <w:pPr>
              <w:spacing w:after="0" w:line="240" w:lineRule="auto"/>
              <w:jc w:val="right"/>
              <w:rPr>
                <w:rFonts w:eastAsia="Times New Roman" w:cstheme="minorHAnsi"/>
                <w:color w:val="000000"/>
                <w:sz w:val="20"/>
                <w:szCs w:val="20"/>
                <w:lang w:eastAsia="en-GB"/>
              </w:rPr>
            </w:pPr>
          </w:p>
        </w:tc>
        <w:tc>
          <w:tcPr>
            <w:tcW w:w="1337" w:type="dxa"/>
            <w:shd w:val="clear" w:color="auto" w:fill="auto"/>
            <w:noWrap/>
          </w:tcPr>
          <w:p w14:paraId="3C307232" w14:textId="77777777" w:rsidR="00182884" w:rsidRPr="00D972C3" w:rsidRDefault="00182884" w:rsidP="000A7109">
            <w:pPr>
              <w:spacing w:after="0" w:line="240" w:lineRule="auto"/>
              <w:jc w:val="right"/>
              <w:rPr>
                <w:rFonts w:eastAsia="Times New Roman" w:cstheme="minorHAnsi"/>
                <w:color w:val="000000"/>
                <w:sz w:val="20"/>
                <w:szCs w:val="20"/>
                <w:lang w:eastAsia="en-GB"/>
              </w:rPr>
            </w:pPr>
          </w:p>
        </w:tc>
        <w:tc>
          <w:tcPr>
            <w:tcW w:w="1417" w:type="dxa"/>
          </w:tcPr>
          <w:p w14:paraId="2999B45E" w14:textId="77777777" w:rsidR="00182884" w:rsidRPr="00D972C3" w:rsidRDefault="00182884" w:rsidP="000A7109">
            <w:pPr>
              <w:spacing w:after="0" w:line="240" w:lineRule="auto"/>
              <w:jc w:val="right"/>
              <w:rPr>
                <w:rFonts w:eastAsia="Times New Roman" w:cstheme="minorHAnsi"/>
                <w:color w:val="000000"/>
                <w:sz w:val="20"/>
                <w:szCs w:val="20"/>
                <w:lang w:eastAsia="en-GB"/>
              </w:rPr>
            </w:pPr>
          </w:p>
        </w:tc>
        <w:tc>
          <w:tcPr>
            <w:tcW w:w="1276" w:type="dxa"/>
            <w:shd w:val="clear" w:color="auto" w:fill="auto"/>
            <w:noWrap/>
          </w:tcPr>
          <w:p w14:paraId="08A94993" w14:textId="77777777" w:rsidR="00182884" w:rsidRPr="00D972C3" w:rsidRDefault="00182884" w:rsidP="000A7109">
            <w:pPr>
              <w:spacing w:after="0" w:line="240" w:lineRule="auto"/>
              <w:jc w:val="right"/>
              <w:rPr>
                <w:rFonts w:eastAsia="Times New Roman" w:cstheme="minorHAnsi"/>
                <w:color w:val="000000"/>
                <w:sz w:val="20"/>
                <w:szCs w:val="20"/>
                <w:lang w:eastAsia="en-GB"/>
              </w:rPr>
            </w:pPr>
          </w:p>
        </w:tc>
        <w:tc>
          <w:tcPr>
            <w:tcW w:w="1118" w:type="dxa"/>
            <w:shd w:val="clear" w:color="auto" w:fill="auto"/>
            <w:noWrap/>
          </w:tcPr>
          <w:p w14:paraId="6178548E" w14:textId="77777777" w:rsidR="00182884" w:rsidRPr="00D972C3" w:rsidRDefault="00182884" w:rsidP="000A7109">
            <w:pPr>
              <w:spacing w:after="0" w:line="240" w:lineRule="auto"/>
              <w:jc w:val="right"/>
              <w:rPr>
                <w:rFonts w:eastAsia="Times New Roman" w:cstheme="minorHAnsi"/>
                <w:color w:val="000000"/>
                <w:sz w:val="20"/>
                <w:szCs w:val="20"/>
                <w:lang w:eastAsia="en-GB"/>
              </w:rPr>
            </w:pPr>
          </w:p>
        </w:tc>
      </w:tr>
      <w:tr w:rsidR="00182884" w:rsidRPr="00D850D4" w14:paraId="1D8D0B95" w14:textId="77777777" w:rsidTr="000A7109">
        <w:trPr>
          <w:trHeight w:val="288"/>
        </w:trPr>
        <w:tc>
          <w:tcPr>
            <w:tcW w:w="280" w:type="dxa"/>
            <w:shd w:val="clear" w:color="auto" w:fill="auto"/>
            <w:noWrap/>
          </w:tcPr>
          <w:p w14:paraId="1630FB5C" w14:textId="77777777" w:rsidR="00182884" w:rsidRPr="00D850D4" w:rsidRDefault="00182884" w:rsidP="000A7109">
            <w:pPr>
              <w:spacing w:after="0" w:line="240" w:lineRule="auto"/>
              <w:jc w:val="left"/>
              <w:rPr>
                <w:rFonts w:eastAsia="Times New Roman" w:cstheme="minorHAnsi"/>
                <w:color w:val="000000"/>
                <w:sz w:val="20"/>
                <w:szCs w:val="20"/>
                <w:lang w:eastAsia="en-GB"/>
              </w:rPr>
            </w:pPr>
          </w:p>
        </w:tc>
        <w:tc>
          <w:tcPr>
            <w:tcW w:w="1705" w:type="dxa"/>
            <w:shd w:val="clear" w:color="auto" w:fill="auto"/>
            <w:noWrap/>
            <w:hideMark/>
          </w:tcPr>
          <w:p w14:paraId="7027BAF5" w14:textId="77777777" w:rsidR="00182884" w:rsidRPr="00D850D4" w:rsidRDefault="00182884" w:rsidP="000A7109">
            <w:pPr>
              <w:spacing w:after="0" w:line="240" w:lineRule="auto"/>
              <w:jc w:val="left"/>
              <w:rPr>
                <w:rFonts w:eastAsia="Times New Roman" w:cstheme="minorHAnsi"/>
                <w:color w:val="000000"/>
                <w:sz w:val="20"/>
                <w:szCs w:val="20"/>
                <w:lang w:eastAsia="en-GB"/>
              </w:rPr>
            </w:pPr>
            <w:r w:rsidRPr="00D850D4">
              <w:rPr>
                <w:rFonts w:eastAsia="Times New Roman" w:cstheme="minorHAnsi"/>
                <w:color w:val="000000"/>
                <w:sz w:val="20"/>
                <w:szCs w:val="20"/>
                <w:lang w:eastAsia="en-GB"/>
              </w:rPr>
              <w:t>4 km or below</w:t>
            </w:r>
          </w:p>
        </w:tc>
        <w:tc>
          <w:tcPr>
            <w:tcW w:w="1032" w:type="dxa"/>
            <w:gridSpan w:val="3"/>
            <w:shd w:val="clear" w:color="auto" w:fill="auto"/>
            <w:noWrap/>
            <w:hideMark/>
          </w:tcPr>
          <w:p w14:paraId="3F3C2E3B"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972C3">
              <w:rPr>
                <w:rFonts w:cstheme="minorHAnsi"/>
                <w:color w:val="000000"/>
                <w:sz w:val="20"/>
                <w:szCs w:val="20"/>
              </w:rPr>
              <w:t>44.1</w:t>
            </w:r>
          </w:p>
        </w:tc>
        <w:tc>
          <w:tcPr>
            <w:tcW w:w="1378" w:type="dxa"/>
            <w:shd w:val="clear" w:color="auto" w:fill="auto"/>
            <w:noWrap/>
          </w:tcPr>
          <w:p w14:paraId="02C67690"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972C3">
              <w:rPr>
                <w:rFonts w:cstheme="minorHAnsi"/>
                <w:color w:val="000000"/>
                <w:sz w:val="20"/>
                <w:szCs w:val="20"/>
              </w:rPr>
              <w:t>29.5</w:t>
            </w:r>
          </w:p>
        </w:tc>
        <w:tc>
          <w:tcPr>
            <w:tcW w:w="222" w:type="dxa"/>
          </w:tcPr>
          <w:p w14:paraId="12BF1FB9" w14:textId="77777777" w:rsidR="00182884" w:rsidRPr="00D972C3" w:rsidRDefault="00182884" w:rsidP="000A7109">
            <w:pPr>
              <w:spacing w:after="0" w:line="240" w:lineRule="auto"/>
              <w:jc w:val="right"/>
              <w:rPr>
                <w:rFonts w:eastAsia="Times New Roman" w:cstheme="minorHAnsi"/>
                <w:color w:val="000000"/>
                <w:sz w:val="20"/>
                <w:szCs w:val="20"/>
                <w:lang w:eastAsia="en-GB"/>
              </w:rPr>
            </w:pPr>
          </w:p>
        </w:tc>
        <w:tc>
          <w:tcPr>
            <w:tcW w:w="1337" w:type="dxa"/>
          </w:tcPr>
          <w:p w14:paraId="4930B288" w14:textId="77777777" w:rsidR="00182884" w:rsidRPr="00D972C3" w:rsidRDefault="00182884" w:rsidP="000A7109">
            <w:pPr>
              <w:spacing w:after="0" w:line="240" w:lineRule="auto"/>
              <w:jc w:val="right"/>
              <w:rPr>
                <w:rFonts w:eastAsia="Times New Roman" w:cstheme="minorHAnsi"/>
                <w:i/>
                <w:iCs/>
                <w:color w:val="000000"/>
                <w:sz w:val="20"/>
                <w:szCs w:val="20"/>
                <w:lang w:eastAsia="en-GB"/>
              </w:rPr>
            </w:pPr>
            <w:r w:rsidRPr="00D972C3">
              <w:rPr>
                <w:rFonts w:eastAsia="Times New Roman" w:cstheme="minorHAnsi"/>
                <w:i/>
                <w:iCs/>
                <w:color w:val="000000"/>
                <w:sz w:val="20"/>
                <w:szCs w:val="20"/>
                <w:lang w:eastAsia="en-GB"/>
              </w:rPr>
              <w:t>ref</w:t>
            </w:r>
          </w:p>
        </w:tc>
        <w:tc>
          <w:tcPr>
            <w:tcW w:w="1417" w:type="dxa"/>
            <w:shd w:val="clear" w:color="auto" w:fill="auto"/>
            <w:noWrap/>
          </w:tcPr>
          <w:p w14:paraId="6C3DF055"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972C3">
              <w:rPr>
                <w:rFonts w:eastAsia="Times New Roman" w:cstheme="minorHAnsi"/>
                <w:i/>
                <w:iCs/>
                <w:color w:val="000000"/>
                <w:sz w:val="20"/>
                <w:szCs w:val="20"/>
                <w:lang w:eastAsia="en-GB"/>
              </w:rPr>
              <w:t>ref</w:t>
            </w:r>
          </w:p>
        </w:tc>
        <w:tc>
          <w:tcPr>
            <w:tcW w:w="1276" w:type="dxa"/>
            <w:shd w:val="clear" w:color="auto" w:fill="auto"/>
            <w:noWrap/>
          </w:tcPr>
          <w:p w14:paraId="1F39E06C"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972C3">
              <w:rPr>
                <w:rFonts w:eastAsia="Times New Roman" w:cstheme="minorHAnsi"/>
                <w:i/>
                <w:iCs/>
                <w:color w:val="000000"/>
                <w:sz w:val="20"/>
                <w:szCs w:val="20"/>
                <w:lang w:eastAsia="en-GB"/>
              </w:rPr>
              <w:t>ref</w:t>
            </w:r>
          </w:p>
        </w:tc>
        <w:tc>
          <w:tcPr>
            <w:tcW w:w="1118" w:type="dxa"/>
            <w:shd w:val="clear" w:color="auto" w:fill="auto"/>
            <w:noWrap/>
          </w:tcPr>
          <w:p w14:paraId="0A63464F" w14:textId="77777777" w:rsidR="00182884" w:rsidRPr="00D850D4" w:rsidRDefault="00182884" w:rsidP="000A7109">
            <w:pPr>
              <w:spacing w:after="0" w:line="240" w:lineRule="auto"/>
              <w:jc w:val="right"/>
              <w:rPr>
                <w:rFonts w:eastAsia="Times New Roman" w:cstheme="minorHAnsi"/>
                <w:color w:val="000000"/>
                <w:sz w:val="20"/>
                <w:szCs w:val="20"/>
                <w:lang w:eastAsia="en-GB"/>
              </w:rPr>
            </w:pPr>
          </w:p>
        </w:tc>
      </w:tr>
      <w:tr w:rsidR="00182884" w:rsidRPr="00D850D4" w14:paraId="6B1824F4" w14:textId="77777777" w:rsidTr="000A7109">
        <w:trPr>
          <w:trHeight w:val="288"/>
        </w:trPr>
        <w:tc>
          <w:tcPr>
            <w:tcW w:w="280" w:type="dxa"/>
            <w:tcBorders>
              <w:bottom w:val="single" w:sz="4" w:space="0" w:color="auto"/>
            </w:tcBorders>
            <w:shd w:val="clear" w:color="auto" w:fill="auto"/>
            <w:noWrap/>
          </w:tcPr>
          <w:p w14:paraId="47022686" w14:textId="77777777" w:rsidR="00182884" w:rsidRPr="00D850D4" w:rsidRDefault="00182884" w:rsidP="000A7109">
            <w:pPr>
              <w:spacing w:after="0" w:line="240" w:lineRule="auto"/>
              <w:jc w:val="left"/>
              <w:rPr>
                <w:rFonts w:eastAsia="Times New Roman" w:cstheme="minorHAnsi"/>
                <w:color w:val="000000"/>
                <w:sz w:val="20"/>
                <w:szCs w:val="20"/>
                <w:lang w:eastAsia="en-GB"/>
              </w:rPr>
            </w:pPr>
          </w:p>
        </w:tc>
        <w:tc>
          <w:tcPr>
            <w:tcW w:w="1705" w:type="dxa"/>
            <w:tcBorders>
              <w:bottom w:val="single" w:sz="4" w:space="0" w:color="auto"/>
            </w:tcBorders>
            <w:shd w:val="clear" w:color="auto" w:fill="auto"/>
            <w:noWrap/>
            <w:hideMark/>
          </w:tcPr>
          <w:p w14:paraId="388CC2E3" w14:textId="77777777" w:rsidR="00182884" w:rsidRPr="00D850D4" w:rsidRDefault="00182884" w:rsidP="000A7109">
            <w:pPr>
              <w:spacing w:after="0" w:line="240" w:lineRule="auto"/>
              <w:jc w:val="left"/>
              <w:rPr>
                <w:rFonts w:eastAsia="Times New Roman" w:cstheme="minorHAnsi"/>
                <w:color w:val="000000"/>
                <w:sz w:val="20"/>
                <w:szCs w:val="20"/>
                <w:lang w:eastAsia="en-GB"/>
              </w:rPr>
            </w:pPr>
            <w:r w:rsidRPr="00D850D4">
              <w:rPr>
                <w:rFonts w:eastAsia="Times New Roman" w:cstheme="minorHAnsi"/>
                <w:color w:val="000000"/>
                <w:sz w:val="20"/>
                <w:szCs w:val="20"/>
                <w:lang w:eastAsia="en-GB"/>
              </w:rPr>
              <w:t>&gt;4km</w:t>
            </w:r>
          </w:p>
        </w:tc>
        <w:tc>
          <w:tcPr>
            <w:tcW w:w="1032" w:type="dxa"/>
            <w:gridSpan w:val="3"/>
            <w:tcBorders>
              <w:bottom w:val="single" w:sz="4" w:space="0" w:color="auto"/>
            </w:tcBorders>
            <w:shd w:val="clear" w:color="auto" w:fill="auto"/>
            <w:noWrap/>
            <w:hideMark/>
          </w:tcPr>
          <w:p w14:paraId="0B1D6100"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972C3">
              <w:rPr>
                <w:rFonts w:cstheme="minorHAnsi"/>
                <w:color w:val="000000"/>
                <w:sz w:val="20"/>
                <w:szCs w:val="20"/>
              </w:rPr>
              <w:t>52.6</w:t>
            </w:r>
          </w:p>
        </w:tc>
        <w:tc>
          <w:tcPr>
            <w:tcW w:w="1378" w:type="dxa"/>
            <w:tcBorders>
              <w:bottom w:val="single" w:sz="4" w:space="0" w:color="auto"/>
            </w:tcBorders>
            <w:shd w:val="clear" w:color="auto" w:fill="auto"/>
            <w:noWrap/>
          </w:tcPr>
          <w:p w14:paraId="011EEB03"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972C3">
              <w:rPr>
                <w:rFonts w:cstheme="minorHAnsi"/>
                <w:color w:val="000000"/>
                <w:sz w:val="20"/>
                <w:szCs w:val="20"/>
              </w:rPr>
              <w:t>39.5</w:t>
            </w:r>
          </w:p>
        </w:tc>
        <w:tc>
          <w:tcPr>
            <w:tcW w:w="222" w:type="dxa"/>
            <w:tcBorders>
              <w:bottom w:val="single" w:sz="4" w:space="0" w:color="auto"/>
            </w:tcBorders>
          </w:tcPr>
          <w:p w14:paraId="1A2A7370" w14:textId="77777777" w:rsidR="00182884" w:rsidRPr="00D972C3" w:rsidRDefault="00182884" w:rsidP="000A7109">
            <w:pPr>
              <w:spacing w:after="0" w:line="240" w:lineRule="auto"/>
              <w:jc w:val="right"/>
              <w:rPr>
                <w:rFonts w:eastAsia="Times New Roman" w:cstheme="minorHAnsi"/>
                <w:color w:val="000000"/>
                <w:sz w:val="20"/>
                <w:szCs w:val="20"/>
                <w:lang w:eastAsia="en-GB"/>
              </w:rPr>
            </w:pPr>
          </w:p>
        </w:tc>
        <w:tc>
          <w:tcPr>
            <w:tcW w:w="1337" w:type="dxa"/>
            <w:tcBorders>
              <w:bottom w:val="single" w:sz="4" w:space="0" w:color="auto"/>
            </w:tcBorders>
          </w:tcPr>
          <w:p w14:paraId="699B3CA5" w14:textId="77777777" w:rsidR="00182884" w:rsidRPr="00D972C3" w:rsidRDefault="00182884" w:rsidP="000A7109">
            <w:pPr>
              <w:spacing w:after="0" w:line="240" w:lineRule="auto"/>
              <w:jc w:val="right"/>
              <w:rPr>
                <w:rFonts w:eastAsia="Times New Roman" w:cstheme="minorHAnsi"/>
                <w:color w:val="000000"/>
                <w:sz w:val="20"/>
                <w:szCs w:val="20"/>
                <w:lang w:eastAsia="en-GB"/>
              </w:rPr>
            </w:pPr>
            <w:r w:rsidRPr="00D972C3">
              <w:rPr>
                <w:rFonts w:eastAsia="Times New Roman" w:cstheme="minorHAnsi"/>
                <w:color w:val="000000"/>
                <w:sz w:val="20"/>
                <w:szCs w:val="20"/>
                <w:lang w:eastAsia="en-GB"/>
              </w:rPr>
              <w:t>-8.6</w:t>
            </w:r>
          </w:p>
        </w:tc>
        <w:tc>
          <w:tcPr>
            <w:tcW w:w="1417" w:type="dxa"/>
            <w:tcBorders>
              <w:bottom w:val="single" w:sz="4" w:space="0" w:color="auto"/>
            </w:tcBorders>
            <w:shd w:val="clear" w:color="auto" w:fill="auto"/>
            <w:noWrap/>
            <w:hideMark/>
          </w:tcPr>
          <w:p w14:paraId="03726AB0"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972C3">
              <w:rPr>
                <w:rFonts w:cstheme="minorHAnsi"/>
                <w:color w:val="000000"/>
                <w:sz w:val="20"/>
                <w:szCs w:val="20"/>
              </w:rPr>
              <w:t>-9.9</w:t>
            </w:r>
          </w:p>
        </w:tc>
        <w:tc>
          <w:tcPr>
            <w:tcW w:w="1276" w:type="dxa"/>
            <w:tcBorders>
              <w:bottom w:val="single" w:sz="4" w:space="0" w:color="auto"/>
            </w:tcBorders>
            <w:shd w:val="clear" w:color="auto" w:fill="auto"/>
            <w:noWrap/>
            <w:hideMark/>
          </w:tcPr>
          <w:p w14:paraId="57738A8C"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972C3">
              <w:rPr>
                <w:rFonts w:cstheme="minorHAnsi"/>
                <w:color w:val="000000"/>
                <w:sz w:val="20"/>
                <w:szCs w:val="20"/>
              </w:rPr>
              <w:t xml:space="preserve"> 1.4</w:t>
            </w:r>
          </w:p>
        </w:tc>
        <w:tc>
          <w:tcPr>
            <w:tcW w:w="1118" w:type="dxa"/>
            <w:tcBorders>
              <w:bottom w:val="single" w:sz="4" w:space="0" w:color="auto"/>
            </w:tcBorders>
            <w:shd w:val="clear" w:color="auto" w:fill="auto"/>
            <w:noWrap/>
            <w:hideMark/>
          </w:tcPr>
          <w:p w14:paraId="069707F0" w14:textId="77777777" w:rsidR="00182884" w:rsidRPr="00D850D4" w:rsidRDefault="00182884" w:rsidP="000A7109">
            <w:pPr>
              <w:spacing w:after="0" w:line="240" w:lineRule="auto"/>
              <w:jc w:val="right"/>
              <w:rPr>
                <w:rFonts w:eastAsia="Times New Roman" w:cstheme="minorHAnsi"/>
                <w:color w:val="000000"/>
                <w:sz w:val="20"/>
                <w:szCs w:val="20"/>
                <w:lang w:eastAsia="en-GB"/>
              </w:rPr>
            </w:pPr>
            <w:r w:rsidRPr="00D972C3">
              <w:rPr>
                <w:rFonts w:cstheme="minorHAnsi"/>
                <w:color w:val="000000"/>
                <w:sz w:val="20"/>
                <w:szCs w:val="20"/>
              </w:rPr>
              <w:t>[-2.8</w:t>
            </w:r>
            <w:r>
              <w:rPr>
                <w:rFonts w:cstheme="minorHAnsi"/>
                <w:color w:val="000000"/>
                <w:sz w:val="20"/>
                <w:szCs w:val="20"/>
              </w:rPr>
              <w:t>–</w:t>
            </w:r>
            <w:r w:rsidRPr="00D972C3">
              <w:rPr>
                <w:rFonts w:cstheme="minorHAnsi"/>
                <w:color w:val="000000"/>
                <w:sz w:val="20"/>
                <w:szCs w:val="20"/>
              </w:rPr>
              <w:t xml:space="preserve"> 5.5]</w:t>
            </w:r>
          </w:p>
        </w:tc>
      </w:tr>
    </w:tbl>
    <w:p w14:paraId="3C17CF66" w14:textId="77777777" w:rsidR="00182884" w:rsidRDefault="00182884" w:rsidP="001A02EC">
      <w:pPr>
        <w:sectPr w:rsidR="00182884" w:rsidSect="00374DF5">
          <w:footerReference w:type="default" r:id="rId8"/>
          <w:pgSz w:w="11906" w:h="16838"/>
          <w:pgMar w:top="1417" w:right="1417" w:bottom="1417" w:left="1417" w:header="708" w:footer="708" w:gutter="0"/>
          <w:lnNumType w:countBy="1" w:restart="continuous"/>
          <w:cols w:space="708"/>
          <w:docGrid w:linePitch="360"/>
        </w:sectPr>
      </w:pPr>
    </w:p>
    <w:p w14:paraId="2224ECF4" w14:textId="174D58B9" w:rsidR="00182884" w:rsidRPr="0042310B" w:rsidRDefault="00182884" w:rsidP="00182884">
      <w:pPr>
        <w:spacing w:after="0"/>
        <w:jc w:val="left"/>
        <w:rPr>
          <w:b/>
          <w:bCs/>
        </w:rPr>
      </w:pPr>
      <w:r w:rsidRPr="0042310B">
        <w:rPr>
          <w:b/>
          <w:bCs/>
        </w:rPr>
        <w:lastRenderedPageBreak/>
        <w:t xml:space="preserve">Table </w:t>
      </w:r>
      <w:r>
        <w:rPr>
          <w:b/>
          <w:bCs/>
        </w:rPr>
        <w:t>4</w:t>
      </w:r>
      <w:r w:rsidRPr="0042310B">
        <w:rPr>
          <w:b/>
          <w:bCs/>
        </w:rPr>
        <w:t xml:space="preserve">. </w:t>
      </w:r>
      <w:r>
        <w:rPr>
          <w:b/>
          <w:bCs/>
        </w:rPr>
        <w:t>Univariate and multivariate analysis of risk factors associated with home-based HIV testing uptake among men and women.</w:t>
      </w:r>
    </w:p>
    <w:tbl>
      <w:tblPr>
        <w:tblStyle w:val="TableGrid"/>
        <w:tblW w:w="1439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
        <w:gridCol w:w="2880"/>
        <w:gridCol w:w="654"/>
        <w:gridCol w:w="1190"/>
        <w:gridCol w:w="881"/>
        <w:gridCol w:w="675"/>
        <w:gridCol w:w="996"/>
        <w:gridCol w:w="855"/>
        <w:gridCol w:w="283"/>
        <w:gridCol w:w="709"/>
        <w:gridCol w:w="1129"/>
        <w:gridCol w:w="841"/>
        <w:gridCol w:w="814"/>
        <w:gridCol w:w="1180"/>
        <w:gridCol w:w="960"/>
      </w:tblGrid>
      <w:tr w:rsidR="00182884" w:rsidRPr="009340A4" w14:paraId="3E615523" w14:textId="77777777" w:rsidTr="000A7109">
        <w:tc>
          <w:tcPr>
            <w:tcW w:w="345" w:type="dxa"/>
            <w:tcBorders>
              <w:top w:val="single" w:sz="4" w:space="0" w:color="auto"/>
            </w:tcBorders>
          </w:tcPr>
          <w:p w14:paraId="7DA31252" w14:textId="77777777" w:rsidR="00182884" w:rsidRPr="009340A4" w:rsidRDefault="00182884" w:rsidP="009340A4">
            <w:pPr>
              <w:spacing w:after="0" w:line="240" w:lineRule="auto"/>
              <w:rPr>
                <w:sz w:val="17"/>
                <w:szCs w:val="17"/>
                <w:lang w:val="en-GB"/>
              </w:rPr>
            </w:pPr>
          </w:p>
        </w:tc>
        <w:tc>
          <w:tcPr>
            <w:tcW w:w="2880" w:type="dxa"/>
            <w:tcBorders>
              <w:top w:val="single" w:sz="4" w:space="0" w:color="auto"/>
            </w:tcBorders>
          </w:tcPr>
          <w:p w14:paraId="7402D124" w14:textId="77777777" w:rsidR="00182884" w:rsidRPr="009340A4" w:rsidRDefault="00182884" w:rsidP="009340A4">
            <w:pPr>
              <w:spacing w:after="0" w:line="240" w:lineRule="auto"/>
              <w:rPr>
                <w:sz w:val="17"/>
                <w:szCs w:val="17"/>
                <w:lang w:val="en-GB"/>
              </w:rPr>
            </w:pPr>
          </w:p>
        </w:tc>
        <w:tc>
          <w:tcPr>
            <w:tcW w:w="5251" w:type="dxa"/>
            <w:gridSpan w:val="6"/>
            <w:tcBorders>
              <w:top w:val="single" w:sz="4" w:space="0" w:color="auto"/>
              <w:bottom w:val="single" w:sz="4" w:space="0" w:color="auto"/>
            </w:tcBorders>
          </w:tcPr>
          <w:p w14:paraId="2B1E4DF0" w14:textId="77777777" w:rsidR="00182884" w:rsidRPr="009340A4" w:rsidRDefault="00182884" w:rsidP="009340A4">
            <w:pPr>
              <w:spacing w:after="0" w:line="240" w:lineRule="auto"/>
              <w:jc w:val="center"/>
              <w:rPr>
                <w:sz w:val="17"/>
                <w:szCs w:val="17"/>
              </w:rPr>
            </w:pPr>
            <w:r w:rsidRPr="009340A4">
              <w:rPr>
                <w:sz w:val="17"/>
                <w:szCs w:val="17"/>
              </w:rPr>
              <w:t>Men (n=9,290)</w:t>
            </w:r>
          </w:p>
        </w:tc>
        <w:tc>
          <w:tcPr>
            <w:tcW w:w="283" w:type="dxa"/>
            <w:tcBorders>
              <w:top w:val="single" w:sz="4" w:space="0" w:color="auto"/>
              <w:bottom w:val="single" w:sz="4" w:space="0" w:color="auto"/>
            </w:tcBorders>
          </w:tcPr>
          <w:p w14:paraId="44A0AD67" w14:textId="77777777" w:rsidR="00182884" w:rsidRPr="009340A4" w:rsidRDefault="00182884" w:rsidP="009340A4">
            <w:pPr>
              <w:spacing w:after="0" w:line="240" w:lineRule="auto"/>
              <w:jc w:val="center"/>
              <w:rPr>
                <w:sz w:val="17"/>
                <w:szCs w:val="17"/>
              </w:rPr>
            </w:pPr>
          </w:p>
        </w:tc>
        <w:tc>
          <w:tcPr>
            <w:tcW w:w="5633" w:type="dxa"/>
            <w:gridSpan w:val="6"/>
            <w:tcBorders>
              <w:top w:val="single" w:sz="4" w:space="0" w:color="auto"/>
              <w:bottom w:val="single" w:sz="4" w:space="0" w:color="auto"/>
            </w:tcBorders>
          </w:tcPr>
          <w:p w14:paraId="6329319E" w14:textId="77777777" w:rsidR="00182884" w:rsidRPr="009340A4" w:rsidRDefault="00182884" w:rsidP="009340A4">
            <w:pPr>
              <w:spacing w:after="0" w:line="240" w:lineRule="auto"/>
              <w:jc w:val="center"/>
              <w:rPr>
                <w:sz w:val="17"/>
                <w:szCs w:val="17"/>
              </w:rPr>
            </w:pPr>
            <w:r w:rsidRPr="009340A4">
              <w:rPr>
                <w:sz w:val="17"/>
                <w:szCs w:val="17"/>
              </w:rPr>
              <w:t>Women (n=15,280)</w:t>
            </w:r>
          </w:p>
        </w:tc>
      </w:tr>
      <w:tr w:rsidR="00182884" w:rsidRPr="009340A4" w14:paraId="18E3FC5D" w14:textId="77777777" w:rsidTr="000A7109">
        <w:tc>
          <w:tcPr>
            <w:tcW w:w="345" w:type="dxa"/>
            <w:tcBorders>
              <w:bottom w:val="single" w:sz="4" w:space="0" w:color="auto"/>
            </w:tcBorders>
          </w:tcPr>
          <w:p w14:paraId="370BF848" w14:textId="77777777" w:rsidR="00182884" w:rsidRPr="009340A4" w:rsidRDefault="00182884" w:rsidP="009340A4">
            <w:pPr>
              <w:spacing w:after="0" w:line="240" w:lineRule="auto"/>
              <w:rPr>
                <w:sz w:val="17"/>
                <w:szCs w:val="17"/>
              </w:rPr>
            </w:pPr>
          </w:p>
        </w:tc>
        <w:tc>
          <w:tcPr>
            <w:tcW w:w="2880" w:type="dxa"/>
            <w:tcBorders>
              <w:bottom w:val="single" w:sz="4" w:space="0" w:color="auto"/>
            </w:tcBorders>
          </w:tcPr>
          <w:p w14:paraId="6140B074" w14:textId="77777777" w:rsidR="00182884" w:rsidRPr="009340A4" w:rsidRDefault="00182884" w:rsidP="009340A4">
            <w:pPr>
              <w:spacing w:after="0" w:line="240" w:lineRule="auto"/>
              <w:rPr>
                <w:sz w:val="17"/>
                <w:szCs w:val="17"/>
              </w:rPr>
            </w:pPr>
          </w:p>
        </w:tc>
        <w:tc>
          <w:tcPr>
            <w:tcW w:w="2725" w:type="dxa"/>
            <w:gridSpan w:val="3"/>
            <w:tcBorders>
              <w:top w:val="single" w:sz="4" w:space="0" w:color="auto"/>
              <w:bottom w:val="single" w:sz="4" w:space="0" w:color="auto"/>
            </w:tcBorders>
          </w:tcPr>
          <w:p w14:paraId="09BE4B3A" w14:textId="77777777" w:rsidR="00182884" w:rsidRPr="009340A4" w:rsidRDefault="00182884" w:rsidP="009340A4">
            <w:pPr>
              <w:spacing w:after="0" w:line="240" w:lineRule="auto"/>
              <w:jc w:val="center"/>
              <w:rPr>
                <w:b/>
                <w:bCs/>
                <w:sz w:val="17"/>
                <w:szCs w:val="17"/>
              </w:rPr>
            </w:pPr>
            <w:r w:rsidRPr="009340A4">
              <w:rPr>
                <w:b/>
                <w:bCs/>
                <w:sz w:val="17"/>
                <w:szCs w:val="17"/>
              </w:rPr>
              <w:t>Univariate</w:t>
            </w:r>
          </w:p>
        </w:tc>
        <w:tc>
          <w:tcPr>
            <w:tcW w:w="2526" w:type="dxa"/>
            <w:gridSpan w:val="3"/>
            <w:tcBorders>
              <w:top w:val="single" w:sz="4" w:space="0" w:color="auto"/>
              <w:bottom w:val="single" w:sz="4" w:space="0" w:color="auto"/>
            </w:tcBorders>
            <w:shd w:val="clear" w:color="auto" w:fill="auto"/>
          </w:tcPr>
          <w:p w14:paraId="6458B7ED" w14:textId="77777777" w:rsidR="00182884" w:rsidRPr="009340A4" w:rsidRDefault="00182884" w:rsidP="009340A4">
            <w:pPr>
              <w:spacing w:after="0" w:line="240" w:lineRule="auto"/>
              <w:jc w:val="center"/>
              <w:rPr>
                <w:b/>
                <w:bCs/>
                <w:sz w:val="17"/>
                <w:szCs w:val="17"/>
              </w:rPr>
            </w:pPr>
            <w:r w:rsidRPr="009340A4">
              <w:rPr>
                <w:b/>
                <w:bCs/>
                <w:sz w:val="17"/>
                <w:szCs w:val="17"/>
              </w:rPr>
              <w:t>Multivariate</w:t>
            </w:r>
          </w:p>
        </w:tc>
        <w:tc>
          <w:tcPr>
            <w:tcW w:w="283" w:type="dxa"/>
            <w:tcBorders>
              <w:top w:val="single" w:sz="4" w:space="0" w:color="auto"/>
              <w:bottom w:val="single" w:sz="4" w:space="0" w:color="auto"/>
            </w:tcBorders>
          </w:tcPr>
          <w:p w14:paraId="3A94E05B" w14:textId="77777777" w:rsidR="00182884" w:rsidRPr="009340A4" w:rsidRDefault="00182884" w:rsidP="009340A4">
            <w:pPr>
              <w:spacing w:after="0" w:line="240" w:lineRule="auto"/>
              <w:jc w:val="center"/>
              <w:rPr>
                <w:b/>
                <w:bCs/>
                <w:sz w:val="17"/>
                <w:szCs w:val="17"/>
              </w:rPr>
            </w:pPr>
          </w:p>
        </w:tc>
        <w:tc>
          <w:tcPr>
            <w:tcW w:w="2679" w:type="dxa"/>
            <w:gridSpan w:val="3"/>
            <w:tcBorders>
              <w:top w:val="single" w:sz="4" w:space="0" w:color="auto"/>
              <w:bottom w:val="single" w:sz="4" w:space="0" w:color="auto"/>
            </w:tcBorders>
          </w:tcPr>
          <w:p w14:paraId="7C6FD40D" w14:textId="77777777" w:rsidR="00182884" w:rsidRPr="009340A4" w:rsidRDefault="00182884" w:rsidP="009340A4">
            <w:pPr>
              <w:spacing w:after="0" w:line="240" w:lineRule="auto"/>
              <w:jc w:val="center"/>
              <w:rPr>
                <w:b/>
                <w:bCs/>
                <w:sz w:val="17"/>
                <w:szCs w:val="17"/>
              </w:rPr>
            </w:pPr>
            <w:r w:rsidRPr="009340A4">
              <w:rPr>
                <w:b/>
                <w:bCs/>
                <w:sz w:val="17"/>
                <w:szCs w:val="17"/>
              </w:rPr>
              <w:t>Univariate</w:t>
            </w:r>
          </w:p>
        </w:tc>
        <w:tc>
          <w:tcPr>
            <w:tcW w:w="2954" w:type="dxa"/>
            <w:gridSpan w:val="3"/>
            <w:tcBorders>
              <w:top w:val="single" w:sz="4" w:space="0" w:color="auto"/>
              <w:bottom w:val="single" w:sz="4" w:space="0" w:color="auto"/>
            </w:tcBorders>
            <w:shd w:val="clear" w:color="auto" w:fill="auto"/>
          </w:tcPr>
          <w:p w14:paraId="6927047C" w14:textId="77777777" w:rsidR="00182884" w:rsidRPr="009340A4" w:rsidRDefault="00182884" w:rsidP="009340A4">
            <w:pPr>
              <w:spacing w:after="0" w:line="240" w:lineRule="auto"/>
              <w:jc w:val="center"/>
              <w:rPr>
                <w:b/>
                <w:bCs/>
                <w:sz w:val="17"/>
                <w:szCs w:val="17"/>
              </w:rPr>
            </w:pPr>
            <w:r w:rsidRPr="009340A4">
              <w:rPr>
                <w:b/>
                <w:bCs/>
                <w:sz w:val="17"/>
                <w:szCs w:val="17"/>
              </w:rPr>
              <w:t>Multivariate</w:t>
            </w:r>
          </w:p>
        </w:tc>
      </w:tr>
      <w:tr w:rsidR="00182884" w:rsidRPr="009340A4" w14:paraId="3C4A976D" w14:textId="77777777" w:rsidTr="000A7109">
        <w:tc>
          <w:tcPr>
            <w:tcW w:w="345" w:type="dxa"/>
            <w:tcBorders>
              <w:bottom w:val="single" w:sz="4" w:space="0" w:color="auto"/>
            </w:tcBorders>
          </w:tcPr>
          <w:p w14:paraId="7D55442A" w14:textId="77777777" w:rsidR="00182884" w:rsidRPr="009340A4" w:rsidRDefault="00182884" w:rsidP="009340A4">
            <w:pPr>
              <w:spacing w:after="0" w:line="240" w:lineRule="auto"/>
              <w:rPr>
                <w:sz w:val="17"/>
                <w:szCs w:val="17"/>
              </w:rPr>
            </w:pPr>
          </w:p>
        </w:tc>
        <w:tc>
          <w:tcPr>
            <w:tcW w:w="2880" w:type="dxa"/>
            <w:tcBorders>
              <w:bottom w:val="single" w:sz="4" w:space="0" w:color="auto"/>
            </w:tcBorders>
          </w:tcPr>
          <w:p w14:paraId="4B24EAEE" w14:textId="77777777" w:rsidR="00182884" w:rsidRPr="009340A4" w:rsidRDefault="00182884" w:rsidP="009340A4">
            <w:pPr>
              <w:spacing w:after="0" w:line="240" w:lineRule="auto"/>
              <w:rPr>
                <w:sz w:val="17"/>
                <w:szCs w:val="17"/>
              </w:rPr>
            </w:pPr>
          </w:p>
        </w:tc>
        <w:tc>
          <w:tcPr>
            <w:tcW w:w="654" w:type="dxa"/>
            <w:tcBorders>
              <w:top w:val="single" w:sz="4" w:space="0" w:color="auto"/>
              <w:bottom w:val="single" w:sz="4" w:space="0" w:color="auto"/>
            </w:tcBorders>
          </w:tcPr>
          <w:p w14:paraId="6255870C" w14:textId="77777777" w:rsidR="00182884" w:rsidRPr="009340A4" w:rsidRDefault="00182884" w:rsidP="009340A4">
            <w:pPr>
              <w:spacing w:after="0" w:line="240" w:lineRule="auto"/>
              <w:jc w:val="right"/>
              <w:rPr>
                <w:sz w:val="17"/>
                <w:szCs w:val="17"/>
              </w:rPr>
            </w:pPr>
            <w:r w:rsidRPr="009340A4">
              <w:rPr>
                <w:sz w:val="17"/>
                <w:szCs w:val="17"/>
              </w:rPr>
              <w:t>RR</w:t>
            </w:r>
          </w:p>
        </w:tc>
        <w:tc>
          <w:tcPr>
            <w:tcW w:w="1190" w:type="dxa"/>
            <w:tcBorders>
              <w:top w:val="single" w:sz="4" w:space="0" w:color="auto"/>
              <w:bottom w:val="single" w:sz="4" w:space="0" w:color="auto"/>
            </w:tcBorders>
          </w:tcPr>
          <w:p w14:paraId="062AC85B" w14:textId="77777777" w:rsidR="00182884" w:rsidRPr="009340A4" w:rsidRDefault="00182884" w:rsidP="009340A4">
            <w:pPr>
              <w:spacing w:after="0" w:line="240" w:lineRule="auto"/>
              <w:jc w:val="right"/>
              <w:rPr>
                <w:b/>
                <w:bCs/>
                <w:sz w:val="17"/>
                <w:szCs w:val="17"/>
              </w:rPr>
            </w:pPr>
            <w:r w:rsidRPr="009340A4">
              <w:rPr>
                <w:b/>
                <w:bCs/>
                <w:sz w:val="17"/>
                <w:szCs w:val="17"/>
              </w:rPr>
              <w:t>CI95%</w:t>
            </w:r>
          </w:p>
        </w:tc>
        <w:tc>
          <w:tcPr>
            <w:tcW w:w="881" w:type="dxa"/>
            <w:tcBorders>
              <w:top w:val="single" w:sz="4" w:space="0" w:color="auto"/>
              <w:bottom w:val="single" w:sz="4" w:space="0" w:color="auto"/>
            </w:tcBorders>
          </w:tcPr>
          <w:p w14:paraId="3254FB3D" w14:textId="77777777" w:rsidR="00182884" w:rsidRPr="009340A4" w:rsidRDefault="00182884" w:rsidP="009340A4">
            <w:pPr>
              <w:spacing w:after="0" w:line="240" w:lineRule="auto"/>
              <w:jc w:val="right"/>
              <w:rPr>
                <w:sz w:val="17"/>
                <w:szCs w:val="17"/>
              </w:rPr>
            </w:pPr>
            <w:r w:rsidRPr="009340A4">
              <w:rPr>
                <w:sz w:val="17"/>
                <w:szCs w:val="17"/>
              </w:rPr>
              <w:t>p-value</w:t>
            </w:r>
          </w:p>
        </w:tc>
        <w:tc>
          <w:tcPr>
            <w:tcW w:w="675" w:type="dxa"/>
            <w:tcBorders>
              <w:bottom w:val="single" w:sz="4" w:space="0" w:color="auto"/>
            </w:tcBorders>
          </w:tcPr>
          <w:p w14:paraId="01372523" w14:textId="77777777" w:rsidR="00182884" w:rsidRPr="009340A4" w:rsidRDefault="00182884" w:rsidP="009340A4">
            <w:pPr>
              <w:spacing w:after="0" w:line="240" w:lineRule="auto"/>
              <w:jc w:val="right"/>
              <w:rPr>
                <w:sz w:val="17"/>
                <w:szCs w:val="17"/>
              </w:rPr>
            </w:pPr>
            <w:r w:rsidRPr="009340A4">
              <w:rPr>
                <w:sz w:val="17"/>
                <w:szCs w:val="17"/>
              </w:rPr>
              <w:t>RRa</w:t>
            </w:r>
          </w:p>
        </w:tc>
        <w:tc>
          <w:tcPr>
            <w:tcW w:w="996" w:type="dxa"/>
            <w:tcBorders>
              <w:top w:val="single" w:sz="4" w:space="0" w:color="auto"/>
              <w:bottom w:val="single" w:sz="4" w:space="0" w:color="auto"/>
            </w:tcBorders>
          </w:tcPr>
          <w:p w14:paraId="3B985840" w14:textId="77777777" w:rsidR="00182884" w:rsidRPr="009340A4" w:rsidRDefault="00182884" w:rsidP="009340A4">
            <w:pPr>
              <w:spacing w:after="0" w:line="240" w:lineRule="auto"/>
              <w:jc w:val="right"/>
              <w:rPr>
                <w:b/>
                <w:bCs/>
                <w:sz w:val="17"/>
                <w:szCs w:val="17"/>
              </w:rPr>
            </w:pPr>
            <w:r w:rsidRPr="009340A4">
              <w:rPr>
                <w:b/>
                <w:bCs/>
                <w:sz w:val="17"/>
                <w:szCs w:val="17"/>
              </w:rPr>
              <w:t>CI95%</w:t>
            </w:r>
          </w:p>
        </w:tc>
        <w:tc>
          <w:tcPr>
            <w:tcW w:w="855" w:type="dxa"/>
            <w:tcBorders>
              <w:top w:val="single" w:sz="4" w:space="0" w:color="auto"/>
              <w:bottom w:val="single" w:sz="4" w:space="0" w:color="auto"/>
            </w:tcBorders>
          </w:tcPr>
          <w:p w14:paraId="5E7E735B" w14:textId="77777777" w:rsidR="00182884" w:rsidRPr="009340A4" w:rsidRDefault="00182884" w:rsidP="009340A4">
            <w:pPr>
              <w:spacing w:after="0" w:line="240" w:lineRule="auto"/>
              <w:jc w:val="right"/>
              <w:rPr>
                <w:sz w:val="17"/>
                <w:szCs w:val="17"/>
              </w:rPr>
            </w:pPr>
            <w:r w:rsidRPr="009340A4">
              <w:rPr>
                <w:sz w:val="17"/>
                <w:szCs w:val="17"/>
              </w:rPr>
              <w:t>p-value</w:t>
            </w:r>
          </w:p>
        </w:tc>
        <w:tc>
          <w:tcPr>
            <w:tcW w:w="283" w:type="dxa"/>
            <w:tcBorders>
              <w:top w:val="single" w:sz="4" w:space="0" w:color="auto"/>
              <w:bottom w:val="single" w:sz="4" w:space="0" w:color="auto"/>
            </w:tcBorders>
          </w:tcPr>
          <w:p w14:paraId="341C42C6" w14:textId="77777777" w:rsidR="00182884" w:rsidRPr="009340A4" w:rsidRDefault="00182884" w:rsidP="009340A4">
            <w:pPr>
              <w:spacing w:after="0" w:line="240" w:lineRule="auto"/>
              <w:jc w:val="right"/>
              <w:rPr>
                <w:sz w:val="17"/>
                <w:szCs w:val="17"/>
              </w:rPr>
            </w:pPr>
          </w:p>
        </w:tc>
        <w:tc>
          <w:tcPr>
            <w:tcW w:w="709" w:type="dxa"/>
            <w:tcBorders>
              <w:top w:val="single" w:sz="4" w:space="0" w:color="auto"/>
              <w:bottom w:val="single" w:sz="4" w:space="0" w:color="auto"/>
            </w:tcBorders>
          </w:tcPr>
          <w:p w14:paraId="3B3A822B" w14:textId="77777777" w:rsidR="00182884" w:rsidRPr="009340A4" w:rsidRDefault="00182884" w:rsidP="009340A4">
            <w:pPr>
              <w:spacing w:after="0" w:line="240" w:lineRule="auto"/>
              <w:jc w:val="right"/>
              <w:rPr>
                <w:sz w:val="17"/>
                <w:szCs w:val="17"/>
              </w:rPr>
            </w:pPr>
            <w:r w:rsidRPr="009340A4">
              <w:rPr>
                <w:sz w:val="17"/>
                <w:szCs w:val="17"/>
              </w:rPr>
              <w:t>RR</w:t>
            </w:r>
          </w:p>
        </w:tc>
        <w:tc>
          <w:tcPr>
            <w:tcW w:w="1129" w:type="dxa"/>
            <w:tcBorders>
              <w:top w:val="single" w:sz="4" w:space="0" w:color="auto"/>
              <w:bottom w:val="single" w:sz="4" w:space="0" w:color="auto"/>
            </w:tcBorders>
          </w:tcPr>
          <w:p w14:paraId="4EA07619" w14:textId="77777777" w:rsidR="00182884" w:rsidRPr="009340A4" w:rsidRDefault="00182884" w:rsidP="009340A4">
            <w:pPr>
              <w:spacing w:after="0" w:line="240" w:lineRule="auto"/>
              <w:jc w:val="right"/>
              <w:rPr>
                <w:b/>
                <w:bCs/>
                <w:sz w:val="17"/>
                <w:szCs w:val="17"/>
              </w:rPr>
            </w:pPr>
            <w:r w:rsidRPr="009340A4">
              <w:rPr>
                <w:b/>
                <w:bCs/>
                <w:sz w:val="17"/>
                <w:szCs w:val="17"/>
              </w:rPr>
              <w:t>CI95%</w:t>
            </w:r>
          </w:p>
        </w:tc>
        <w:tc>
          <w:tcPr>
            <w:tcW w:w="841" w:type="dxa"/>
            <w:tcBorders>
              <w:top w:val="single" w:sz="4" w:space="0" w:color="auto"/>
              <w:bottom w:val="single" w:sz="4" w:space="0" w:color="auto"/>
            </w:tcBorders>
          </w:tcPr>
          <w:p w14:paraId="7CDF8C0C" w14:textId="77777777" w:rsidR="00182884" w:rsidRPr="009340A4" w:rsidRDefault="00182884" w:rsidP="009340A4">
            <w:pPr>
              <w:spacing w:after="0" w:line="240" w:lineRule="auto"/>
              <w:jc w:val="right"/>
              <w:rPr>
                <w:b/>
                <w:bCs/>
                <w:sz w:val="17"/>
                <w:szCs w:val="17"/>
              </w:rPr>
            </w:pPr>
            <w:r w:rsidRPr="009340A4">
              <w:rPr>
                <w:b/>
                <w:bCs/>
                <w:sz w:val="17"/>
                <w:szCs w:val="17"/>
              </w:rPr>
              <w:t>pvalue</w:t>
            </w:r>
          </w:p>
        </w:tc>
        <w:tc>
          <w:tcPr>
            <w:tcW w:w="814" w:type="dxa"/>
            <w:tcBorders>
              <w:top w:val="single" w:sz="4" w:space="0" w:color="auto"/>
              <w:bottom w:val="single" w:sz="4" w:space="0" w:color="auto"/>
            </w:tcBorders>
          </w:tcPr>
          <w:p w14:paraId="270CA8F0" w14:textId="77777777" w:rsidR="00182884" w:rsidRPr="009340A4" w:rsidRDefault="00182884" w:rsidP="009340A4">
            <w:pPr>
              <w:spacing w:after="0" w:line="240" w:lineRule="auto"/>
              <w:jc w:val="right"/>
              <w:rPr>
                <w:sz w:val="17"/>
                <w:szCs w:val="17"/>
              </w:rPr>
            </w:pPr>
            <w:r w:rsidRPr="009340A4">
              <w:rPr>
                <w:sz w:val="17"/>
                <w:szCs w:val="17"/>
              </w:rPr>
              <w:t>RRa</w:t>
            </w:r>
          </w:p>
        </w:tc>
        <w:tc>
          <w:tcPr>
            <w:tcW w:w="1180" w:type="dxa"/>
            <w:tcBorders>
              <w:top w:val="single" w:sz="4" w:space="0" w:color="auto"/>
              <w:bottom w:val="single" w:sz="4" w:space="0" w:color="auto"/>
            </w:tcBorders>
          </w:tcPr>
          <w:p w14:paraId="2BB9CD57" w14:textId="77777777" w:rsidR="00182884" w:rsidRPr="009340A4" w:rsidRDefault="00182884" w:rsidP="009340A4">
            <w:pPr>
              <w:spacing w:after="0" w:line="240" w:lineRule="auto"/>
              <w:jc w:val="right"/>
              <w:rPr>
                <w:b/>
                <w:bCs/>
                <w:sz w:val="17"/>
                <w:szCs w:val="17"/>
              </w:rPr>
            </w:pPr>
            <w:r w:rsidRPr="009340A4">
              <w:rPr>
                <w:b/>
                <w:bCs/>
                <w:sz w:val="17"/>
                <w:szCs w:val="17"/>
              </w:rPr>
              <w:t>CI95%</w:t>
            </w:r>
          </w:p>
        </w:tc>
        <w:tc>
          <w:tcPr>
            <w:tcW w:w="960" w:type="dxa"/>
            <w:tcBorders>
              <w:top w:val="single" w:sz="4" w:space="0" w:color="auto"/>
              <w:bottom w:val="single" w:sz="4" w:space="0" w:color="auto"/>
            </w:tcBorders>
          </w:tcPr>
          <w:p w14:paraId="12074765" w14:textId="77777777" w:rsidR="00182884" w:rsidRPr="009340A4" w:rsidRDefault="00182884" w:rsidP="009340A4">
            <w:pPr>
              <w:spacing w:after="0" w:line="240" w:lineRule="auto"/>
              <w:jc w:val="right"/>
              <w:rPr>
                <w:b/>
                <w:bCs/>
                <w:sz w:val="17"/>
                <w:szCs w:val="17"/>
              </w:rPr>
            </w:pPr>
            <w:r w:rsidRPr="009340A4">
              <w:rPr>
                <w:b/>
                <w:bCs/>
                <w:sz w:val="17"/>
                <w:szCs w:val="17"/>
              </w:rPr>
              <w:t>p-value</w:t>
            </w:r>
          </w:p>
        </w:tc>
      </w:tr>
      <w:tr w:rsidR="00182884" w:rsidRPr="009340A4" w14:paraId="50BE4B44" w14:textId="77777777" w:rsidTr="000A7109">
        <w:tc>
          <w:tcPr>
            <w:tcW w:w="3225" w:type="dxa"/>
            <w:gridSpan w:val="2"/>
            <w:tcBorders>
              <w:top w:val="single" w:sz="4" w:space="0" w:color="auto"/>
            </w:tcBorders>
          </w:tcPr>
          <w:p w14:paraId="14A0111C" w14:textId="77777777" w:rsidR="00182884" w:rsidRPr="009340A4" w:rsidRDefault="00182884" w:rsidP="009340A4">
            <w:pPr>
              <w:spacing w:after="0" w:line="240" w:lineRule="auto"/>
              <w:rPr>
                <w:b/>
                <w:bCs/>
                <w:sz w:val="17"/>
                <w:szCs w:val="17"/>
              </w:rPr>
            </w:pPr>
            <w:r w:rsidRPr="009340A4">
              <w:rPr>
                <w:b/>
                <w:bCs/>
                <w:sz w:val="17"/>
                <w:szCs w:val="17"/>
              </w:rPr>
              <w:t>Arm</w:t>
            </w:r>
          </w:p>
        </w:tc>
        <w:tc>
          <w:tcPr>
            <w:tcW w:w="654" w:type="dxa"/>
            <w:tcBorders>
              <w:top w:val="single" w:sz="4" w:space="0" w:color="auto"/>
            </w:tcBorders>
          </w:tcPr>
          <w:p w14:paraId="5BBD10D9" w14:textId="77777777" w:rsidR="00182884" w:rsidRPr="009340A4" w:rsidRDefault="00182884" w:rsidP="009340A4">
            <w:pPr>
              <w:spacing w:after="0" w:line="240" w:lineRule="auto"/>
              <w:jc w:val="right"/>
              <w:rPr>
                <w:sz w:val="17"/>
                <w:szCs w:val="17"/>
              </w:rPr>
            </w:pPr>
          </w:p>
        </w:tc>
        <w:tc>
          <w:tcPr>
            <w:tcW w:w="1190" w:type="dxa"/>
            <w:tcBorders>
              <w:top w:val="single" w:sz="4" w:space="0" w:color="auto"/>
            </w:tcBorders>
          </w:tcPr>
          <w:p w14:paraId="7F3C3F14" w14:textId="77777777" w:rsidR="00182884" w:rsidRPr="009340A4" w:rsidRDefault="00182884" w:rsidP="009340A4">
            <w:pPr>
              <w:spacing w:after="0" w:line="240" w:lineRule="auto"/>
              <w:jc w:val="right"/>
              <w:rPr>
                <w:b/>
                <w:bCs/>
                <w:sz w:val="17"/>
                <w:szCs w:val="17"/>
              </w:rPr>
            </w:pPr>
          </w:p>
        </w:tc>
        <w:tc>
          <w:tcPr>
            <w:tcW w:w="881" w:type="dxa"/>
            <w:tcBorders>
              <w:top w:val="single" w:sz="4" w:space="0" w:color="auto"/>
            </w:tcBorders>
          </w:tcPr>
          <w:p w14:paraId="454CD1D5" w14:textId="77777777" w:rsidR="00182884" w:rsidRPr="009340A4" w:rsidRDefault="00182884" w:rsidP="009340A4">
            <w:pPr>
              <w:spacing w:after="0" w:line="240" w:lineRule="auto"/>
              <w:jc w:val="right"/>
              <w:rPr>
                <w:b/>
                <w:bCs/>
                <w:sz w:val="17"/>
                <w:szCs w:val="17"/>
              </w:rPr>
            </w:pPr>
            <w:r w:rsidRPr="009340A4">
              <w:rPr>
                <w:b/>
                <w:bCs/>
                <w:color w:val="000000" w:themeColor="text1"/>
                <w:sz w:val="17"/>
                <w:szCs w:val="17"/>
              </w:rPr>
              <w:t>&lt;0.001</w:t>
            </w:r>
          </w:p>
        </w:tc>
        <w:tc>
          <w:tcPr>
            <w:tcW w:w="675" w:type="dxa"/>
            <w:tcBorders>
              <w:top w:val="single" w:sz="4" w:space="0" w:color="auto"/>
            </w:tcBorders>
          </w:tcPr>
          <w:p w14:paraId="2F1AC40D" w14:textId="77777777" w:rsidR="00182884" w:rsidRPr="009340A4" w:rsidRDefault="00182884" w:rsidP="009340A4">
            <w:pPr>
              <w:spacing w:after="0" w:line="240" w:lineRule="auto"/>
              <w:jc w:val="right"/>
              <w:rPr>
                <w:sz w:val="17"/>
                <w:szCs w:val="17"/>
              </w:rPr>
            </w:pPr>
          </w:p>
        </w:tc>
        <w:tc>
          <w:tcPr>
            <w:tcW w:w="996" w:type="dxa"/>
            <w:tcBorders>
              <w:top w:val="single" w:sz="4" w:space="0" w:color="auto"/>
            </w:tcBorders>
          </w:tcPr>
          <w:p w14:paraId="30E0013D" w14:textId="77777777" w:rsidR="00182884" w:rsidRPr="009340A4" w:rsidRDefault="00182884" w:rsidP="009340A4">
            <w:pPr>
              <w:spacing w:after="0" w:line="240" w:lineRule="auto"/>
              <w:jc w:val="right"/>
              <w:rPr>
                <w:sz w:val="17"/>
                <w:szCs w:val="17"/>
              </w:rPr>
            </w:pPr>
          </w:p>
        </w:tc>
        <w:tc>
          <w:tcPr>
            <w:tcW w:w="855" w:type="dxa"/>
            <w:tcBorders>
              <w:top w:val="single" w:sz="4" w:space="0" w:color="auto"/>
            </w:tcBorders>
          </w:tcPr>
          <w:p w14:paraId="1C9C44D3" w14:textId="77777777" w:rsidR="00182884" w:rsidRPr="009340A4" w:rsidRDefault="00182884" w:rsidP="009340A4">
            <w:pPr>
              <w:spacing w:after="0" w:line="240" w:lineRule="auto"/>
              <w:jc w:val="right"/>
              <w:rPr>
                <w:b/>
                <w:bCs/>
                <w:color w:val="000000"/>
                <w:sz w:val="17"/>
                <w:szCs w:val="17"/>
              </w:rPr>
            </w:pPr>
            <w:r w:rsidRPr="009340A4">
              <w:rPr>
                <w:b/>
                <w:bCs/>
                <w:color w:val="000000" w:themeColor="text1"/>
                <w:sz w:val="17"/>
                <w:szCs w:val="17"/>
              </w:rPr>
              <w:t>&lt;0.001</w:t>
            </w:r>
          </w:p>
        </w:tc>
        <w:tc>
          <w:tcPr>
            <w:tcW w:w="283" w:type="dxa"/>
            <w:tcBorders>
              <w:top w:val="single" w:sz="4" w:space="0" w:color="auto"/>
            </w:tcBorders>
          </w:tcPr>
          <w:p w14:paraId="320906F4" w14:textId="77777777" w:rsidR="00182884" w:rsidRPr="009340A4" w:rsidRDefault="00182884" w:rsidP="009340A4">
            <w:pPr>
              <w:spacing w:after="0" w:line="240" w:lineRule="auto"/>
              <w:jc w:val="right"/>
              <w:rPr>
                <w:b/>
                <w:bCs/>
                <w:sz w:val="17"/>
                <w:szCs w:val="17"/>
              </w:rPr>
            </w:pPr>
          </w:p>
        </w:tc>
        <w:tc>
          <w:tcPr>
            <w:tcW w:w="709" w:type="dxa"/>
            <w:tcBorders>
              <w:top w:val="single" w:sz="4" w:space="0" w:color="auto"/>
            </w:tcBorders>
          </w:tcPr>
          <w:p w14:paraId="1F5C903D" w14:textId="77777777" w:rsidR="00182884" w:rsidRPr="009340A4" w:rsidRDefault="00182884" w:rsidP="009340A4">
            <w:pPr>
              <w:spacing w:after="0" w:line="240" w:lineRule="auto"/>
              <w:jc w:val="right"/>
              <w:rPr>
                <w:b/>
                <w:bCs/>
                <w:sz w:val="17"/>
                <w:szCs w:val="17"/>
              </w:rPr>
            </w:pPr>
          </w:p>
        </w:tc>
        <w:tc>
          <w:tcPr>
            <w:tcW w:w="1129" w:type="dxa"/>
            <w:tcBorders>
              <w:top w:val="single" w:sz="4" w:space="0" w:color="auto"/>
            </w:tcBorders>
          </w:tcPr>
          <w:p w14:paraId="3D164695" w14:textId="77777777" w:rsidR="00182884" w:rsidRPr="009340A4" w:rsidRDefault="00182884" w:rsidP="009340A4">
            <w:pPr>
              <w:spacing w:after="0" w:line="240" w:lineRule="auto"/>
              <w:jc w:val="right"/>
              <w:rPr>
                <w:color w:val="000000"/>
                <w:sz w:val="17"/>
                <w:szCs w:val="17"/>
              </w:rPr>
            </w:pPr>
          </w:p>
        </w:tc>
        <w:tc>
          <w:tcPr>
            <w:tcW w:w="841" w:type="dxa"/>
            <w:tcBorders>
              <w:top w:val="single" w:sz="4" w:space="0" w:color="auto"/>
            </w:tcBorders>
          </w:tcPr>
          <w:p w14:paraId="1A9E947A" w14:textId="77777777" w:rsidR="00182884" w:rsidRPr="009340A4" w:rsidRDefault="00182884" w:rsidP="009340A4">
            <w:pPr>
              <w:spacing w:after="0" w:line="240" w:lineRule="auto"/>
              <w:jc w:val="right"/>
              <w:rPr>
                <w:b/>
                <w:bCs/>
                <w:sz w:val="17"/>
                <w:szCs w:val="17"/>
              </w:rPr>
            </w:pPr>
            <w:r w:rsidRPr="009340A4">
              <w:rPr>
                <w:b/>
                <w:bCs/>
                <w:color w:val="000000" w:themeColor="text1"/>
                <w:sz w:val="17"/>
                <w:szCs w:val="17"/>
              </w:rPr>
              <w:t>&lt;0.001</w:t>
            </w:r>
          </w:p>
        </w:tc>
        <w:tc>
          <w:tcPr>
            <w:tcW w:w="814" w:type="dxa"/>
            <w:tcBorders>
              <w:top w:val="single" w:sz="4" w:space="0" w:color="auto"/>
            </w:tcBorders>
          </w:tcPr>
          <w:p w14:paraId="50B2D7B3" w14:textId="77777777" w:rsidR="00182884" w:rsidRPr="009340A4" w:rsidRDefault="00182884" w:rsidP="009340A4">
            <w:pPr>
              <w:spacing w:after="0" w:line="240" w:lineRule="auto"/>
              <w:jc w:val="right"/>
              <w:rPr>
                <w:color w:val="000000"/>
                <w:sz w:val="17"/>
                <w:szCs w:val="17"/>
              </w:rPr>
            </w:pPr>
          </w:p>
        </w:tc>
        <w:tc>
          <w:tcPr>
            <w:tcW w:w="1180" w:type="dxa"/>
            <w:tcBorders>
              <w:top w:val="single" w:sz="4" w:space="0" w:color="auto"/>
            </w:tcBorders>
          </w:tcPr>
          <w:p w14:paraId="7809BD86" w14:textId="77777777" w:rsidR="00182884" w:rsidRPr="009340A4" w:rsidRDefault="00182884" w:rsidP="009340A4">
            <w:pPr>
              <w:spacing w:after="0" w:line="240" w:lineRule="auto"/>
              <w:jc w:val="right"/>
              <w:rPr>
                <w:sz w:val="17"/>
                <w:szCs w:val="17"/>
              </w:rPr>
            </w:pPr>
          </w:p>
        </w:tc>
        <w:tc>
          <w:tcPr>
            <w:tcW w:w="960" w:type="dxa"/>
            <w:tcBorders>
              <w:top w:val="single" w:sz="4" w:space="0" w:color="auto"/>
            </w:tcBorders>
          </w:tcPr>
          <w:p w14:paraId="28B8B32B" w14:textId="77777777" w:rsidR="00182884" w:rsidRPr="009340A4" w:rsidRDefault="00182884" w:rsidP="009340A4">
            <w:pPr>
              <w:spacing w:after="0" w:line="240" w:lineRule="auto"/>
              <w:jc w:val="right"/>
              <w:rPr>
                <w:color w:val="000000"/>
                <w:sz w:val="17"/>
                <w:szCs w:val="17"/>
              </w:rPr>
            </w:pPr>
            <w:r w:rsidRPr="009340A4">
              <w:rPr>
                <w:b/>
                <w:bCs/>
                <w:color w:val="000000" w:themeColor="text1"/>
                <w:sz w:val="17"/>
                <w:szCs w:val="17"/>
              </w:rPr>
              <w:t>&lt;0.001</w:t>
            </w:r>
          </w:p>
        </w:tc>
      </w:tr>
      <w:tr w:rsidR="00182884" w:rsidRPr="009340A4" w14:paraId="6355003D" w14:textId="77777777" w:rsidTr="000A7109">
        <w:tc>
          <w:tcPr>
            <w:tcW w:w="345" w:type="dxa"/>
          </w:tcPr>
          <w:p w14:paraId="2F5A56F5" w14:textId="77777777" w:rsidR="00182884" w:rsidRPr="009340A4" w:rsidRDefault="00182884" w:rsidP="009340A4">
            <w:pPr>
              <w:spacing w:after="0" w:line="240" w:lineRule="auto"/>
              <w:rPr>
                <w:sz w:val="17"/>
                <w:szCs w:val="17"/>
              </w:rPr>
            </w:pPr>
          </w:p>
        </w:tc>
        <w:tc>
          <w:tcPr>
            <w:tcW w:w="2880" w:type="dxa"/>
          </w:tcPr>
          <w:p w14:paraId="37C6B405" w14:textId="77777777" w:rsidR="00182884" w:rsidRPr="009340A4" w:rsidRDefault="00182884" w:rsidP="009340A4">
            <w:pPr>
              <w:spacing w:after="0" w:line="240" w:lineRule="auto"/>
              <w:rPr>
                <w:sz w:val="17"/>
                <w:szCs w:val="17"/>
              </w:rPr>
            </w:pPr>
            <w:r w:rsidRPr="009340A4">
              <w:rPr>
                <w:sz w:val="17"/>
                <w:szCs w:val="17"/>
              </w:rPr>
              <w:t>Control</w:t>
            </w:r>
          </w:p>
        </w:tc>
        <w:tc>
          <w:tcPr>
            <w:tcW w:w="654" w:type="dxa"/>
          </w:tcPr>
          <w:p w14:paraId="5CF4F470" w14:textId="77777777" w:rsidR="00182884" w:rsidRPr="009340A4" w:rsidRDefault="00182884" w:rsidP="009340A4">
            <w:pPr>
              <w:spacing w:after="0" w:line="240" w:lineRule="auto"/>
              <w:jc w:val="right"/>
              <w:rPr>
                <w:i/>
                <w:iCs/>
                <w:sz w:val="17"/>
                <w:szCs w:val="17"/>
              </w:rPr>
            </w:pPr>
            <w:r w:rsidRPr="009340A4">
              <w:rPr>
                <w:i/>
                <w:iCs/>
                <w:sz w:val="17"/>
                <w:szCs w:val="17"/>
              </w:rPr>
              <w:t>ref.</w:t>
            </w:r>
          </w:p>
        </w:tc>
        <w:tc>
          <w:tcPr>
            <w:tcW w:w="1190" w:type="dxa"/>
          </w:tcPr>
          <w:p w14:paraId="3C52579C" w14:textId="77777777" w:rsidR="00182884" w:rsidRPr="009340A4" w:rsidRDefault="00182884" w:rsidP="009340A4">
            <w:pPr>
              <w:spacing w:after="0" w:line="240" w:lineRule="auto"/>
              <w:jc w:val="right"/>
              <w:rPr>
                <w:b/>
                <w:bCs/>
                <w:i/>
                <w:iCs/>
                <w:sz w:val="17"/>
                <w:szCs w:val="17"/>
              </w:rPr>
            </w:pPr>
            <w:r w:rsidRPr="009340A4">
              <w:rPr>
                <w:i/>
                <w:iCs/>
                <w:sz w:val="17"/>
                <w:szCs w:val="17"/>
              </w:rPr>
              <w:t>ref.</w:t>
            </w:r>
          </w:p>
        </w:tc>
        <w:tc>
          <w:tcPr>
            <w:tcW w:w="881" w:type="dxa"/>
          </w:tcPr>
          <w:p w14:paraId="3DF7DD3B" w14:textId="77777777" w:rsidR="00182884" w:rsidRPr="009340A4" w:rsidRDefault="00182884" w:rsidP="009340A4">
            <w:pPr>
              <w:spacing w:after="0" w:line="240" w:lineRule="auto"/>
              <w:jc w:val="right"/>
              <w:rPr>
                <w:i/>
                <w:iCs/>
                <w:sz w:val="17"/>
                <w:szCs w:val="17"/>
              </w:rPr>
            </w:pPr>
          </w:p>
        </w:tc>
        <w:tc>
          <w:tcPr>
            <w:tcW w:w="675" w:type="dxa"/>
          </w:tcPr>
          <w:p w14:paraId="68EEE6F0" w14:textId="77777777" w:rsidR="00182884" w:rsidRPr="009340A4" w:rsidRDefault="00182884" w:rsidP="009340A4">
            <w:pPr>
              <w:spacing w:after="0" w:line="240" w:lineRule="auto"/>
              <w:jc w:val="right"/>
              <w:rPr>
                <w:i/>
                <w:iCs/>
                <w:sz w:val="17"/>
                <w:szCs w:val="17"/>
              </w:rPr>
            </w:pPr>
            <w:r w:rsidRPr="009340A4">
              <w:rPr>
                <w:i/>
                <w:iCs/>
                <w:sz w:val="17"/>
                <w:szCs w:val="17"/>
              </w:rPr>
              <w:t>ref.</w:t>
            </w:r>
          </w:p>
        </w:tc>
        <w:tc>
          <w:tcPr>
            <w:tcW w:w="996" w:type="dxa"/>
          </w:tcPr>
          <w:p w14:paraId="301E8278" w14:textId="77777777" w:rsidR="00182884" w:rsidRPr="009340A4" w:rsidRDefault="00182884" w:rsidP="009340A4">
            <w:pPr>
              <w:spacing w:after="0" w:line="240" w:lineRule="auto"/>
              <w:jc w:val="right"/>
              <w:rPr>
                <w:b/>
                <w:bCs/>
                <w:i/>
                <w:iCs/>
                <w:sz w:val="17"/>
                <w:szCs w:val="17"/>
              </w:rPr>
            </w:pPr>
            <w:r w:rsidRPr="009340A4">
              <w:rPr>
                <w:i/>
                <w:iCs/>
                <w:sz w:val="17"/>
                <w:szCs w:val="17"/>
              </w:rPr>
              <w:t>ref.</w:t>
            </w:r>
          </w:p>
        </w:tc>
        <w:tc>
          <w:tcPr>
            <w:tcW w:w="855" w:type="dxa"/>
          </w:tcPr>
          <w:p w14:paraId="1D80040C" w14:textId="77777777" w:rsidR="00182884" w:rsidRPr="009340A4" w:rsidRDefault="00182884" w:rsidP="009340A4">
            <w:pPr>
              <w:spacing w:after="0" w:line="240" w:lineRule="auto"/>
              <w:jc w:val="right"/>
              <w:rPr>
                <w:i/>
                <w:iCs/>
                <w:sz w:val="17"/>
                <w:szCs w:val="17"/>
              </w:rPr>
            </w:pPr>
          </w:p>
        </w:tc>
        <w:tc>
          <w:tcPr>
            <w:tcW w:w="283" w:type="dxa"/>
          </w:tcPr>
          <w:p w14:paraId="5327FAA7" w14:textId="77777777" w:rsidR="00182884" w:rsidRPr="009340A4" w:rsidRDefault="00182884" w:rsidP="009340A4">
            <w:pPr>
              <w:spacing w:after="0" w:line="240" w:lineRule="auto"/>
              <w:jc w:val="right"/>
              <w:rPr>
                <w:b/>
                <w:bCs/>
                <w:i/>
                <w:iCs/>
                <w:sz w:val="17"/>
                <w:szCs w:val="17"/>
              </w:rPr>
            </w:pPr>
          </w:p>
        </w:tc>
        <w:tc>
          <w:tcPr>
            <w:tcW w:w="709" w:type="dxa"/>
          </w:tcPr>
          <w:p w14:paraId="3FC7BEA5" w14:textId="77777777" w:rsidR="00182884" w:rsidRPr="009340A4" w:rsidRDefault="00182884" w:rsidP="009340A4">
            <w:pPr>
              <w:spacing w:after="0" w:line="240" w:lineRule="auto"/>
              <w:jc w:val="right"/>
              <w:rPr>
                <w:i/>
                <w:iCs/>
                <w:sz w:val="17"/>
                <w:szCs w:val="17"/>
              </w:rPr>
            </w:pPr>
            <w:r w:rsidRPr="009340A4">
              <w:rPr>
                <w:i/>
                <w:iCs/>
                <w:sz w:val="17"/>
                <w:szCs w:val="17"/>
              </w:rPr>
              <w:t>ref.</w:t>
            </w:r>
          </w:p>
        </w:tc>
        <w:tc>
          <w:tcPr>
            <w:tcW w:w="1129" w:type="dxa"/>
          </w:tcPr>
          <w:p w14:paraId="6CE9A1F2" w14:textId="77777777" w:rsidR="00182884" w:rsidRPr="009340A4" w:rsidRDefault="00182884" w:rsidP="009340A4">
            <w:pPr>
              <w:spacing w:after="0" w:line="240" w:lineRule="auto"/>
              <w:jc w:val="right"/>
              <w:rPr>
                <w:b/>
                <w:bCs/>
                <w:i/>
                <w:iCs/>
                <w:sz w:val="17"/>
                <w:szCs w:val="17"/>
              </w:rPr>
            </w:pPr>
            <w:r w:rsidRPr="009340A4">
              <w:rPr>
                <w:i/>
                <w:iCs/>
                <w:sz w:val="17"/>
                <w:szCs w:val="17"/>
              </w:rPr>
              <w:t>ref.</w:t>
            </w:r>
          </w:p>
        </w:tc>
        <w:tc>
          <w:tcPr>
            <w:tcW w:w="841" w:type="dxa"/>
          </w:tcPr>
          <w:p w14:paraId="59F6B13B" w14:textId="77777777" w:rsidR="00182884" w:rsidRPr="009340A4" w:rsidRDefault="00182884" w:rsidP="009340A4">
            <w:pPr>
              <w:spacing w:after="0" w:line="240" w:lineRule="auto"/>
              <w:jc w:val="right"/>
              <w:rPr>
                <w:b/>
                <w:bCs/>
                <w:sz w:val="17"/>
                <w:szCs w:val="17"/>
              </w:rPr>
            </w:pPr>
          </w:p>
        </w:tc>
        <w:tc>
          <w:tcPr>
            <w:tcW w:w="814" w:type="dxa"/>
          </w:tcPr>
          <w:p w14:paraId="67FA090F" w14:textId="77777777" w:rsidR="00182884" w:rsidRPr="009340A4" w:rsidRDefault="00182884" w:rsidP="009340A4">
            <w:pPr>
              <w:spacing w:after="0" w:line="240" w:lineRule="auto"/>
              <w:jc w:val="right"/>
              <w:rPr>
                <w:i/>
                <w:iCs/>
                <w:sz w:val="17"/>
                <w:szCs w:val="17"/>
              </w:rPr>
            </w:pPr>
            <w:r w:rsidRPr="009340A4">
              <w:rPr>
                <w:i/>
                <w:iCs/>
                <w:sz w:val="17"/>
                <w:szCs w:val="17"/>
              </w:rPr>
              <w:t>ref.</w:t>
            </w:r>
          </w:p>
        </w:tc>
        <w:tc>
          <w:tcPr>
            <w:tcW w:w="1180" w:type="dxa"/>
          </w:tcPr>
          <w:p w14:paraId="7E3A827A" w14:textId="77777777" w:rsidR="00182884" w:rsidRPr="009340A4" w:rsidRDefault="00182884" w:rsidP="009340A4">
            <w:pPr>
              <w:spacing w:after="0" w:line="240" w:lineRule="auto"/>
              <w:jc w:val="right"/>
              <w:rPr>
                <w:b/>
                <w:bCs/>
                <w:i/>
                <w:iCs/>
                <w:sz w:val="17"/>
                <w:szCs w:val="17"/>
              </w:rPr>
            </w:pPr>
            <w:r w:rsidRPr="009340A4">
              <w:rPr>
                <w:i/>
                <w:iCs/>
                <w:sz w:val="17"/>
                <w:szCs w:val="17"/>
              </w:rPr>
              <w:t>ref.</w:t>
            </w:r>
          </w:p>
        </w:tc>
        <w:tc>
          <w:tcPr>
            <w:tcW w:w="960" w:type="dxa"/>
          </w:tcPr>
          <w:p w14:paraId="25AC7018" w14:textId="77777777" w:rsidR="00182884" w:rsidRPr="009340A4" w:rsidRDefault="00182884" w:rsidP="009340A4">
            <w:pPr>
              <w:spacing w:after="0" w:line="240" w:lineRule="auto"/>
              <w:jc w:val="right"/>
              <w:rPr>
                <w:b/>
                <w:bCs/>
                <w:sz w:val="17"/>
                <w:szCs w:val="17"/>
              </w:rPr>
            </w:pPr>
          </w:p>
        </w:tc>
      </w:tr>
      <w:tr w:rsidR="00182884" w:rsidRPr="009340A4" w14:paraId="34720534" w14:textId="77777777" w:rsidTr="000A7109">
        <w:tc>
          <w:tcPr>
            <w:tcW w:w="345" w:type="dxa"/>
          </w:tcPr>
          <w:p w14:paraId="4EF714DA" w14:textId="77777777" w:rsidR="00182884" w:rsidRPr="009340A4" w:rsidRDefault="00182884" w:rsidP="009340A4">
            <w:pPr>
              <w:spacing w:after="0" w:line="240" w:lineRule="auto"/>
              <w:rPr>
                <w:sz w:val="17"/>
                <w:szCs w:val="17"/>
              </w:rPr>
            </w:pPr>
          </w:p>
        </w:tc>
        <w:tc>
          <w:tcPr>
            <w:tcW w:w="2880" w:type="dxa"/>
          </w:tcPr>
          <w:p w14:paraId="77E7D039" w14:textId="77777777" w:rsidR="00182884" w:rsidRPr="009340A4" w:rsidRDefault="00182884" w:rsidP="009340A4">
            <w:pPr>
              <w:spacing w:after="0" w:line="240" w:lineRule="auto"/>
              <w:rPr>
                <w:sz w:val="17"/>
                <w:szCs w:val="17"/>
              </w:rPr>
            </w:pPr>
            <w:r w:rsidRPr="009340A4">
              <w:rPr>
                <w:sz w:val="17"/>
                <w:szCs w:val="17"/>
              </w:rPr>
              <w:t>Financial incentive</w:t>
            </w:r>
          </w:p>
        </w:tc>
        <w:tc>
          <w:tcPr>
            <w:tcW w:w="654" w:type="dxa"/>
          </w:tcPr>
          <w:p w14:paraId="132C2387"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1.56</w:t>
            </w:r>
          </w:p>
        </w:tc>
        <w:tc>
          <w:tcPr>
            <w:tcW w:w="1190" w:type="dxa"/>
          </w:tcPr>
          <w:p w14:paraId="1F5BBF99" w14:textId="77777777" w:rsidR="00182884" w:rsidRPr="009340A4" w:rsidRDefault="00182884" w:rsidP="009340A4">
            <w:pPr>
              <w:spacing w:after="0" w:line="240" w:lineRule="auto"/>
              <w:jc w:val="right"/>
              <w:rPr>
                <w:color w:val="000000"/>
                <w:sz w:val="17"/>
                <w:szCs w:val="17"/>
              </w:rPr>
            </w:pPr>
            <w:r w:rsidRPr="009340A4">
              <w:rPr>
                <w:sz w:val="17"/>
                <w:szCs w:val="17"/>
              </w:rPr>
              <w:t>[1.45-1.68]</w:t>
            </w:r>
          </w:p>
        </w:tc>
        <w:tc>
          <w:tcPr>
            <w:tcW w:w="881" w:type="dxa"/>
          </w:tcPr>
          <w:p w14:paraId="1DD203FC" w14:textId="77777777" w:rsidR="00182884" w:rsidRPr="009340A4" w:rsidRDefault="00182884" w:rsidP="009340A4">
            <w:pPr>
              <w:spacing w:after="0" w:line="240" w:lineRule="auto"/>
              <w:jc w:val="right"/>
              <w:rPr>
                <w:color w:val="000000"/>
                <w:sz w:val="17"/>
                <w:szCs w:val="17"/>
              </w:rPr>
            </w:pPr>
          </w:p>
        </w:tc>
        <w:tc>
          <w:tcPr>
            <w:tcW w:w="675" w:type="dxa"/>
          </w:tcPr>
          <w:p w14:paraId="1CEFA541"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1.47</w:t>
            </w:r>
          </w:p>
        </w:tc>
        <w:tc>
          <w:tcPr>
            <w:tcW w:w="996" w:type="dxa"/>
          </w:tcPr>
          <w:p w14:paraId="30A365C3"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[1.20-1.81]</w:t>
            </w:r>
          </w:p>
        </w:tc>
        <w:tc>
          <w:tcPr>
            <w:tcW w:w="855" w:type="dxa"/>
          </w:tcPr>
          <w:p w14:paraId="0783B7B2" w14:textId="77777777" w:rsidR="00182884" w:rsidRPr="009340A4" w:rsidRDefault="00182884" w:rsidP="009340A4">
            <w:pPr>
              <w:spacing w:after="0" w:line="240" w:lineRule="auto"/>
              <w:jc w:val="right"/>
              <w:rPr>
                <w:color w:val="000000"/>
                <w:sz w:val="17"/>
                <w:szCs w:val="17"/>
              </w:rPr>
            </w:pPr>
          </w:p>
        </w:tc>
        <w:tc>
          <w:tcPr>
            <w:tcW w:w="283" w:type="dxa"/>
          </w:tcPr>
          <w:p w14:paraId="632AD093" w14:textId="77777777" w:rsidR="00182884" w:rsidRPr="009340A4" w:rsidRDefault="00182884" w:rsidP="009340A4">
            <w:pPr>
              <w:spacing w:after="0" w:line="240" w:lineRule="auto"/>
              <w:jc w:val="right"/>
              <w:rPr>
                <w:color w:val="000000"/>
                <w:sz w:val="17"/>
                <w:szCs w:val="17"/>
              </w:rPr>
            </w:pPr>
          </w:p>
        </w:tc>
        <w:tc>
          <w:tcPr>
            <w:tcW w:w="709" w:type="dxa"/>
          </w:tcPr>
          <w:p w14:paraId="7C9077FB"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1.43</w:t>
            </w:r>
          </w:p>
        </w:tc>
        <w:tc>
          <w:tcPr>
            <w:tcW w:w="1129" w:type="dxa"/>
          </w:tcPr>
          <w:p w14:paraId="4D57DD8E" w14:textId="77777777" w:rsidR="00182884" w:rsidRPr="009340A4" w:rsidRDefault="00182884" w:rsidP="009340A4">
            <w:pPr>
              <w:spacing w:after="0" w:line="240" w:lineRule="auto"/>
              <w:jc w:val="right"/>
              <w:rPr>
                <w:color w:val="000000"/>
                <w:sz w:val="17"/>
                <w:szCs w:val="17"/>
              </w:rPr>
            </w:pPr>
            <w:r w:rsidRPr="009340A4">
              <w:rPr>
                <w:sz w:val="17"/>
                <w:szCs w:val="17"/>
              </w:rPr>
              <w:t>[1.36-1.51]</w:t>
            </w:r>
          </w:p>
        </w:tc>
        <w:tc>
          <w:tcPr>
            <w:tcW w:w="841" w:type="dxa"/>
          </w:tcPr>
          <w:p w14:paraId="3EDB76B7" w14:textId="77777777" w:rsidR="00182884" w:rsidRPr="009340A4" w:rsidRDefault="00182884" w:rsidP="009340A4">
            <w:pPr>
              <w:spacing w:after="0" w:line="240" w:lineRule="auto"/>
              <w:jc w:val="right"/>
              <w:rPr>
                <w:b/>
                <w:bCs/>
                <w:color w:val="000000"/>
                <w:sz w:val="17"/>
                <w:szCs w:val="17"/>
              </w:rPr>
            </w:pPr>
          </w:p>
        </w:tc>
        <w:tc>
          <w:tcPr>
            <w:tcW w:w="814" w:type="dxa"/>
          </w:tcPr>
          <w:p w14:paraId="04661410"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1.46</w:t>
            </w:r>
          </w:p>
        </w:tc>
        <w:tc>
          <w:tcPr>
            <w:tcW w:w="1180" w:type="dxa"/>
          </w:tcPr>
          <w:p w14:paraId="5B1C6B86"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[1.25-1.69]</w:t>
            </w:r>
          </w:p>
        </w:tc>
        <w:tc>
          <w:tcPr>
            <w:tcW w:w="960" w:type="dxa"/>
          </w:tcPr>
          <w:p w14:paraId="6C55D8FB" w14:textId="77777777" w:rsidR="00182884" w:rsidRPr="009340A4" w:rsidRDefault="00182884" w:rsidP="009340A4">
            <w:pPr>
              <w:spacing w:after="0" w:line="240" w:lineRule="auto"/>
              <w:jc w:val="right"/>
              <w:rPr>
                <w:color w:val="000000"/>
                <w:sz w:val="17"/>
                <w:szCs w:val="17"/>
              </w:rPr>
            </w:pPr>
          </w:p>
        </w:tc>
      </w:tr>
      <w:tr w:rsidR="00182884" w:rsidRPr="009340A4" w14:paraId="370FD170" w14:textId="77777777" w:rsidTr="000A7109">
        <w:tc>
          <w:tcPr>
            <w:tcW w:w="3225" w:type="dxa"/>
            <w:gridSpan w:val="2"/>
          </w:tcPr>
          <w:p w14:paraId="153E64A6" w14:textId="77777777" w:rsidR="00182884" w:rsidRPr="009340A4" w:rsidRDefault="00182884" w:rsidP="009340A4">
            <w:pPr>
              <w:spacing w:after="0" w:line="240" w:lineRule="auto"/>
              <w:rPr>
                <w:b/>
                <w:bCs/>
                <w:sz w:val="17"/>
                <w:szCs w:val="17"/>
              </w:rPr>
            </w:pPr>
            <w:r w:rsidRPr="009340A4">
              <w:rPr>
                <w:b/>
                <w:bCs/>
                <w:sz w:val="17"/>
                <w:szCs w:val="17"/>
              </w:rPr>
              <w:t>Age</w:t>
            </w:r>
          </w:p>
        </w:tc>
        <w:tc>
          <w:tcPr>
            <w:tcW w:w="654" w:type="dxa"/>
          </w:tcPr>
          <w:p w14:paraId="15A7F618" w14:textId="77777777" w:rsidR="00182884" w:rsidRPr="009340A4" w:rsidRDefault="00182884" w:rsidP="009340A4">
            <w:pPr>
              <w:spacing w:after="0" w:line="240" w:lineRule="auto"/>
              <w:jc w:val="right"/>
              <w:rPr>
                <w:sz w:val="17"/>
                <w:szCs w:val="17"/>
              </w:rPr>
            </w:pPr>
          </w:p>
        </w:tc>
        <w:tc>
          <w:tcPr>
            <w:tcW w:w="1190" w:type="dxa"/>
          </w:tcPr>
          <w:p w14:paraId="6798BCA0" w14:textId="77777777" w:rsidR="00182884" w:rsidRPr="009340A4" w:rsidRDefault="00182884" w:rsidP="009340A4">
            <w:pPr>
              <w:spacing w:after="0" w:line="240" w:lineRule="auto"/>
              <w:jc w:val="right"/>
              <w:rPr>
                <w:sz w:val="17"/>
                <w:szCs w:val="17"/>
              </w:rPr>
            </w:pPr>
          </w:p>
        </w:tc>
        <w:tc>
          <w:tcPr>
            <w:tcW w:w="881" w:type="dxa"/>
          </w:tcPr>
          <w:p w14:paraId="69893205" w14:textId="77777777" w:rsidR="00182884" w:rsidRPr="009340A4" w:rsidRDefault="00182884" w:rsidP="009340A4">
            <w:pPr>
              <w:spacing w:after="0" w:line="240" w:lineRule="auto"/>
              <w:jc w:val="right"/>
              <w:rPr>
                <w:b/>
                <w:bCs/>
                <w:sz w:val="17"/>
                <w:szCs w:val="17"/>
              </w:rPr>
            </w:pPr>
            <w:r w:rsidRPr="009340A4">
              <w:rPr>
                <w:b/>
                <w:bCs/>
                <w:color w:val="000000" w:themeColor="text1"/>
                <w:sz w:val="17"/>
                <w:szCs w:val="17"/>
              </w:rPr>
              <w:t>&lt;0.001</w:t>
            </w:r>
          </w:p>
        </w:tc>
        <w:tc>
          <w:tcPr>
            <w:tcW w:w="675" w:type="dxa"/>
          </w:tcPr>
          <w:p w14:paraId="4F50D93C" w14:textId="77777777" w:rsidR="00182884" w:rsidRPr="009340A4" w:rsidRDefault="00182884" w:rsidP="009340A4">
            <w:pPr>
              <w:spacing w:after="0" w:line="240" w:lineRule="auto"/>
              <w:jc w:val="right"/>
              <w:rPr>
                <w:sz w:val="17"/>
                <w:szCs w:val="17"/>
              </w:rPr>
            </w:pPr>
          </w:p>
        </w:tc>
        <w:tc>
          <w:tcPr>
            <w:tcW w:w="996" w:type="dxa"/>
          </w:tcPr>
          <w:p w14:paraId="6BAAB074" w14:textId="77777777" w:rsidR="00182884" w:rsidRPr="009340A4" w:rsidRDefault="00182884" w:rsidP="009340A4">
            <w:pPr>
              <w:spacing w:after="0" w:line="240" w:lineRule="auto"/>
              <w:jc w:val="right"/>
              <w:rPr>
                <w:sz w:val="17"/>
                <w:szCs w:val="17"/>
              </w:rPr>
            </w:pPr>
          </w:p>
        </w:tc>
        <w:tc>
          <w:tcPr>
            <w:tcW w:w="855" w:type="dxa"/>
          </w:tcPr>
          <w:p w14:paraId="0E40544B" w14:textId="77777777" w:rsidR="00182884" w:rsidRPr="009340A4" w:rsidRDefault="00182884" w:rsidP="009340A4">
            <w:pPr>
              <w:spacing w:after="0" w:line="240" w:lineRule="auto"/>
              <w:jc w:val="right"/>
              <w:rPr>
                <w:sz w:val="17"/>
                <w:szCs w:val="17"/>
              </w:rPr>
            </w:pPr>
            <w:r w:rsidRPr="009340A4">
              <w:rPr>
                <w:b/>
                <w:bCs/>
                <w:color w:val="000000" w:themeColor="text1"/>
                <w:sz w:val="17"/>
                <w:szCs w:val="17"/>
              </w:rPr>
              <w:t>&lt;0.001</w:t>
            </w:r>
          </w:p>
        </w:tc>
        <w:tc>
          <w:tcPr>
            <w:tcW w:w="283" w:type="dxa"/>
          </w:tcPr>
          <w:p w14:paraId="54EE885A" w14:textId="77777777" w:rsidR="00182884" w:rsidRPr="009340A4" w:rsidRDefault="00182884" w:rsidP="009340A4">
            <w:pPr>
              <w:spacing w:after="0" w:line="240" w:lineRule="auto"/>
              <w:jc w:val="right"/>
              <w:rPr>
                <w:sz w:val="17"/>
                <w:szCs w:val="17"/>
              </w:rPr>
            </w:pPr>
          </w:p>
        </w:tc>
        <w:tc>
          <w:tcPr>
            <w:tcW w:w="709" w:type="dxa"/>
          </w:tcPr>
          <w:p w14:paraId="5DF1CCFE" w14:textId="77777777" w:rsidR="00182884" w:rsidRPr="009340A4" w:rsidRDefault="00182884" w:rsidP="009340A4">
            <w:pPr>
              <w:spacing w:after="0" w:line="240" w:lineRule="auto"/>
              <w:jc w:val="right"/>
              <w:rPr>
                <w:sz w:val="17"/>
                <w:szCs w:val="17"/>
              </w:rPr>
            </w:pPr>
          </w:p>
        </w:tc>
        <w:tc>
          <w:tcPr>
            <w:tcW w:w="1129" w:type="dxa"/>
          </w:tcPr>
          <w:p w14:paraId="2052267C" w14:textId="77777777" w:rsidR="00182884" w:rsidRPr="009340A4" w:rsidRDefault="00182884" w:rsidP="009340A4">
            <w:pPr>
              <w:spacing w:after="0" w:line="240" w:lineRule="auto"/>
              <w:jc w:val="right"/>
              <w:rPr>
                <w:sz w:val="17"/>
                <w:szCs w:val="17"/>
              </w:rPr>
            </w:pPr>
          </w:p>
        </w:tc>
        <w:tc>
          <w:tcPr>
            <w:tcW w:w="841" w:type="dxa"/>
          </w:tcPr>
          <w:p w14:paraId="0A9B2058" w14:textId="77777777" w:rsidR="00182884" w:rsidRPr="009340A4" w:rsidRDefault="00182884" w:rsidP="009340A4">
            <w:pPr>
              <w:spacing w:after="0" w:line="240" w:lineRule="auto"/>
              <w:jc w:val="right"/>
              <w:rPr>
                <w:b/>
                <w:bCs/>
                <w:sz w:val="17"/>
                <w:szCs w:val="17"/>
              </w:rPr>
            </w:pPr>
            <w:r w:rsidRPr="009340A4">
              <w:rPr>
                <w:b/>
                <w:bCs/>
                <w:color w:val="000000" w:themeColor="text1"/>
                <w:sz w:val="17"/>
                <w:szCs w:val="17"/>
              </w:rPr>
              <w:t>&lt;0.001</w:t>
            </w:r>
          </w:p>
        </w:tc>
        <w:tc>
          <w:tcPr>
            <w:tcW w:w="814" w:type="dxa"/>
          </w:tcPr>
          <w:p w14:paraId="7C347368" w14:textId="77777777" w:rsidR="00182884" w:rsidRPr="009340A4" w:rsidRDefault="00182884" w:rsidP="009340A4">
            <w:pPr>
              <w:spacing w:after="0" w:line="240" w:lineRule="auto"/>
              <w:jc w:val="right"/>
              <w:rPr>
                <w:sz w:val="17"/>
                <w:szCs w:val="17"/>
              </w:rPr>
            </w:pPr>
          </w:p>
        </w:tc>
        <w:tc>
          <w:tcPr>
            <w:tcW w:w="1180" w:type="dxa"/>
          </w:tcPr>
          <w:p w14:paraId="033C59C4" w14:textId="77777777" w:rsidR="00182884" w:rsidRPr="009340A4" w:rsidRDefault="00182884" w:rsidP="009340A4">
            <w:pPr>
              <w:spacing w:after="0" w:line="240" w:lineRule="auto"/>
              <w:jc w:val="right"/>
              <w:rPr>
                <w:sz w:val="17"/>
                <w:szCs w:val="17"/>
              </w:rPr>
            </w:pPr>
          </w:p>
        </w:tc>
        <w:tc>
          <w:tcPr>
            <w:tcW w:w="960" w:type="dxa"/>
          </w:tcPr>
          <w:p w14:paraId="3D4C66C8" w14:textId="77777777" w:rsidR="00182884" w:rsidRPr="009340A4" w:rsidRDefault="00182884" w:rsidP="009340A4">
            <w:pPr>
              <w:spacing w:after="0" w:line="240" w:lineRule="auto"/>
              <w:jc w:val="right"/>
              <w:rPr>
                <w:b/>
                <w:bCs/>
                <w:color w:val="000000"/>
                <w:sz w:val="17"/>
                <w:szCs w:val="17"/>
              </w:rPr>
            </w:pPr>
            <w:r w:rsidRPr="009340A4">
              <w:rPr>
                <w:b/>
                <w:bCs/>
                <w:color w:val="000000" w:themeColor="text1"/>
                <w:sz w:val="17"/>
                <w:szCs w:val="17"/>
              </w:rPr>
              <w:t>&lt;0.001</w:t>
            </w:r>
          </w:p>
        </w:tc>
      </w:tr>
      <w:tr w:rsidR="00182884" w:rsidRPr="009340A4" w14:paraId="27075B97" w14:textId="77777777" w:rsidTr="000A7109">
        <w:tc>
          <w:tcPr>
            <w:tcW w:w="345" w:type="dxa"/>
          </w:tcPr>
          <w:p w14:paraId="74E28ACE" w14:textId="77777777" w:rsidR="00182884" w:rsidRPr="009340A4" w:rsidRDefault="00182884" w:rsidP="009340A4">
            <w:pPr>
              <w:spacing w:after="0" w:line="240" w:lineRule="auto"/>
              <w:rPr>
                <w:sz w:val="17"/>
                <w:szCs w:val="17"/>
              </w:rPr>
            </w:pPr>
          </w:p>
        </w:tc>
        <w:tc>
          <w:tcPr>
            <w:tcW w:w="2880" w:type="dxa"/>
          </w:tcPr>
          <w:p w14:paraId="31F3E7DD" w14:textId="77777777" w:rsidR="00182884" w:rsidRPr="009340A4" w:rsidRDefault="00182884" w:rsidP="009340A4">
            <w:pPr>
              <w:spacing w:after="0" w:line="240" w:lineRule="auto"/>
              <w:rPr>
                <w:sz w:val="17"/>
                <w:szCs w:val="17"/>
              </w:rPr>
            </w:pPr>
            <w:r w:rsidRPr="009340A4">
              <w:rPr>
                <w:sz w:val="17"/>
                <w:szCs w:val="17"/>
              </w:rPr>
              <w:t>Under 20</w:t>
            </w:r>
          </w:p>
        </w:tc>
        <w:tc>
          <w:tcPr>
            <w:tcW w:w="654" w:type="dxa"/>
          </w:tcPr>
          <w:p w14:paraId="7512D9D5" w14:textId="77777777" w:rsidR="00182884" w:rsidRPr="009340A4" w:rsidRDefault="00182884" w:rsidP="009340A4">
            <w:pPr>
              <w:spacing w:after="0" w:line="240" w:lineRule="auto"/>
              <w:jc w:val="right"/>
              <w:rPr>
                <w:i/>
                <w:iCs/>
                <w:sz w:val="17"/>
                <w:szCs w:val="17"/>
              </w:rPr>
            </w:pPr>
            <w:r w:rsidRPr="009340A4">
              <w:rPr>
                <w:i/>
                <w:iCs/>
                <w:sz w:val="17"/>
                <w:szCs w:val="17"/>
              </w:rPr>
              <w:t>ref.</w:t>
            </w:r>
          </w:p>
        </w:tc>
        <w:tc>
          <w:tcPr>
            <w:tcW w:w="1190" w:type="dxa"/>
          </w:tcPr>
          <w:p w14:paraId="6F3BA455" w14:textId="77777777" w:rsidR="00182884" w:rsidRPr="009340A4" w:rsidRDefault="00182884" w:rsidP="009340A4">
            <w:pPr>
              <w:spacing w:after="0" w:line="240" w:lineRule="auto"/>
              <w:jc w:val="right"/>
              <w:rPr>
                <w:b/>
                <w:bCs/>
                <w:i/>
                <w:iCs/>
                <w:sz w:val="17"/>
                <w:szCs w:val="17"/>
              </w:rPr>
            </w:pPr>
            <w:r w:rsidRPr="009340A4">
              <w:rPr>
                <w:i/>
                <w:iCs/>
                <w:sz w:val="17"/>
                <w:szCs w:val="17"/>
              </w:rPr>
              <w:t>ref.</w:t>
            </w:r>
          </w:p>
        </w:tc>
        <w:tc>
          <w:tcPr>
            <w:tcW w:w="881" w:type="dxa"/>
          </w:tcPr>
          <w:p w14:paraId="5E1C36B4" w14:textId="77777777" w:rsidR="00182884" w:rsidRPr="009340A4" w:rsidRDefault="00182884" w:rsidP="009340A4">
            <w:pPr>
              <w:spacing w:after="0" w:line="240" w:lineRule="auto"/>
              <w:jc w:val="right"/>
              <w:rPr>
                <w:i/>
                <w:iCs/>
                <w:sz w:val="17"/>
                <w:szCs w:val="17"/>
              </w:rPr>
            </w:pPr>
          </w:p>
        </w:tc>
        <w:tc>
          <w:tcPr>
            <w:tcW w:w="675" w:type="dxa"/>
          </w:tcPr>
          <w:p w14:paraId="7B6B91E5" w14:textId="77777777" w:rsidR="00182884" w:rsidRPr="009340A4" w:rsidRDefault="00182884" w:rsidP="009340A4">
            <w:pPr>
              <w:spacing w:after="0" w:line="240" w:lineRule="auto"/>
              <w:jc w:val="right"/>
              <w:rPr>
                <w:i/>
                <w:iCs/>
                <w:sz w:val="17"/>
                <w:szCs w:val="17"/>
              </w:rPr>
            </w:pPr>
            <w:r w:rsidRPr="009340A4">
              <w:rPr>
                <w:i/>
                <w:iCs/>
                <w:sz w:val="17"/>
                <w:szCs w:val="17"/>
              </w:rPr>
              <w:t>ref.</w:t>
            </w:r>
          </w:p>
        </w:tc>
        <w:tc>
          <w:tcPr>
            <w:tcW w:w="996" w:type="dxa"/>
          </w:tcPr>
          <w:p w14:paraId="68C8FDB8" w14:textId="77777777" w:rsidR="00182884" w:rsidRPr="009340A4" w:rsidRDefault="00182884" w:rsidP="009340A4">
            <w:pPr>
              <w:spacing w:after="0" w:line="240" w:lineRule="auto"/>
              <w:jc w:val="right"/>
              <w:rPr>
                <w:b/>
                <w:bCs/>
                <w:i/>
                <w:iCs/>
                <w:sz w:val="17"/>
                <w:szCs w:val="17"/>
              </w:rPr>
            </w:pPr>
            <w:r w:rsidRPr="009340A4">
              <w:rPr>
                <w:i/>
                <w:iCs/>
                <w:sz w:val="17"/>
                <w:szCs w:val="17"/>
              </w:rPr>
              <w:t>ref.</w:t>
            </w:r>
          </w:p>
        </w:tc>
        <w:tc>
          <w:tcPr>
            <w:tcW w:w="855" w:type="dxa"/>
          </w:tcPr>
          <w:p w14:paraId="01BA5BAE" w14:textId="77777777" w:rsidR="00182884" w:rsidRPr="009340A4" w:rsidRDefault="00182884" w:rsidP="009340A4">
            <w:pPr>
              <w:spacing w:after="0" w:line="240" w:lineRule="auto"/>
              <w:jc w:val="right"/>
              <w:rPr>
                <w:i/>
                <w:iCs/>
                <w:sz w:val="17"/>
                <w:szCs w:val="17"/>
              </w:rPr>
            </w:pPr>
          </w:p>
        </w:tc>
        <w:tc>
          <w:tcPr>
            <w:tcW w:w="283" w:type="dxa"/>
          </w:tcPr>
          <w:p w14:paraId="655BE1E6" w14:textId="77777777" w:rsidR="00182884" w:rsidRPr="009340A4" w:rsidRDefault="00182884" w:rsidP="009340A4">
            <w:pPr>
              <w:spacing w:after="0" w:line="240" w:lineRule="auto"/>
              <w:jc w:val="right"/>
              <w:rPr>
                <w:b/>
                <w:bCs/>
                <w:i/>
                <w:iCs/>
                <w:sz w:val="17"/>
                <w:szCs w:val="17"/>
              </w:rPr>
            </w:pPr>
          </w:p>
        </w:tc>
        <w:tc>
          <w:tcPr>
            <w:tcW w:w="709" w:type="dxa"/>
          </w:tcPr>
          <w:p w14:paraId="10F61D89" w14:textId="77777777" w:rsidR="00182884" w:rsidRPr="009340A4" w:rsidRDefault="00182884" w:rsidP="009340A4">
            <w:pPr>
              <w:spacing w:after="0" w:line="240" w:lineRule="auto"/>
              <w:jc w:val="right"/>
              <w:rPr>
                <w:i/>
                <w:iCs/>
                <w:sz w:val="17"/>
                <w:szCs w:val="17"/>
              </w:rPr>
            </w:pPr>
            <w:r w:rsidRPr="009340A4">
              <w:rPr>
                <w:i/>
                <w:iCs/>
                <w:sz w:val="17"/>
                <w:szCs w:val="17"/>
              </w:rPr>
              <w:t>ref.</w:t>
            </w:r>
          </w:p>
        </w:tc>
        <w:tc>
          <w:tcPr>
            <w:tcW w:w="1129" w:type="dxa"/>
          </w:tcPr>
          <w:p w14:paraId="4CD7C73E" w14:textId="77777777" w:rsidR="00182884" w:rsidRPr="009340A4" w:rsidRDefault="00182884" w:rsidP="009340A4">
            <w:pPr>
              <w:spacing w:after="0" w:line="240" w:lineRule="auto"/>
              <w:jc w:val="right"/>
              <w:rPr>
                <w:b/>
                <w:bCs/>
                <w:i/>
                <w:iCs/>
                <w:sz w:val="17"/>
                <w:szCs w:val="17"/>
              </w:rPr>
            </w:pPr>
            <w:r w:rsidRPr="009340A4">
              <w:rPr>
                <w:i/>
                <w:iCs/>
                <w:sz w:val="17"/>
                <w:szCs w:val="17"/>
              </w:rPr>
              <w:t>ref.</w:t>
            </w:r>
          </w:p>
        </w:tc>
        <w:tc>
          <w:tcPr>
            <w:tcW w:w="841" w:type="dxa"/>
          </w:tcPr>
          <w:p w14:paraId="0D037164" w14:textId="77777777" w:rsidR="00182884" w:rsidRPr="009340A4" w:rsidRDefault="00182884" w:rsidP="009340A4">
            <w:pPr>
              <w:spacing w:after="0" w:line="240" w:lineRule="auto"/>
              <w:jc w:val="right"/>
              <w:rPr>
                <w:b/>
                <w:bCs/>
                <w:sz w:val="17"/>
                <w:szCs w:val="17"/>
              </w:rPr>
            </w:pPr>
          </w:p>
        </w:tc>
        <w:tc>
          <w:tcPr>
            <w:tcW w:w="814" w:type="dxa"/>
          </w:tcPr>
          <w:p w14:paraId="5821B0F7" w14:textId="77777777" w:rsidR="00182884" w:rsidRPr="009340A4" w:rsidRDefault="00182884" w:rsidP="009340A4">
            <w:pPr>
              <w:spacing w:after="0" w:line="240" w:lineRule="auto"/>
              <w:jc w:val="right"/>
              <w:rPr>
                <w:i/>
                <w:iCs/>
                <w:sz w:val="17"/>
                <w:szCs w:val="17"/>
              </w:rPr>
            </w:pPr>
            <w:r w:rsidRPr="009340A4">
              <w:rPr>
                <w:i/>
                <w:iCs/>
                <w:sz w:val="17"/>
                <w:szCs w:val="17"/>
              </w:rPr>
              <w:t>ref.</w:t>
            </w:r>
          </w:p>
        </w:tc>
        <w:tc>
          <w:tcPr>
            <w:tcW w:w="1180" w:type="dxa"/>
          </w:tcPr>
          <w:p w14:paraId="1F8ED0F2" w14:textId="77777777" w:rsidR="00182884" w:rsidRPr="009340A4" w:rsidRDefault="00182884" w:rsidP="009340A4">
            <w:pPr>
              <w:spacing w:after="0" w:line="240" w:lineRule="auto"/>
              <w:jc w:val="right"/>
              <w:rPr>
                <w:b/>
                <w:bCs/>
                <w:i/>
                <w:iCs/>
                <w:sz w:val="17"/>
                <w:szCs w:val="17"/>
              </w:rPr>
            </w:pPr>
            <w:r w:rsidRPr="009340A4">
              <w:rPr>
                <w:i/>
                <w:iCs/>
                <w:sz w:val="17"/>
                <w:szCs w:val="17"/>
              </w:rPr>
              <w:t>ref.</w:t>
            </w:r>
          </w:p>
        </w:tc>
        <w:tc>
          <w:tcPr>
            <w:tcW w:w="960" w:type="dxa"/>
          </w:tcPr>
          <w:p w14:paraId="44F285E4" w14:textId="77777777" w:rsidR="00182884" w:rsidRPr="009340A4" w:rsidRDefault="00182884" w:rsidP="009340A4">
            <w:pPr>
              <w:spacing w:after="0" w:line="240" w:lineRule="auto"/>
              <w:jc w:val="right"/>
              <w:rPr>
                <w:b/>
                <w:bCs/>
                <w:sz w:val="17"/>
                <w:szCs w:val="17"/>
              </w:rPr>
            </w:pPr>
          </w:p>
        </w:tc>
      </w:tr>
      <w:tr w:rsidR="00182884" w:rsidRPr="009340A4" w14:paraId="76251FE4" w14:textId="77777777" w:rsidTr="000A7109">
        <w:tc>
          <w:tcPr>
            <w:tcW w:w="345" w:type="dxa"/>
          </w:tcPr>
          <w:p w14:paraId="60516893" w14:textId="77777777" w:rsidR="00182884" w:rsidRPr="009340A4" w:rsidRDefault="00182884" w:rsidP="009340A4">
            <w:pPr>
              <w:spacing w:after="0" w:line="240" w:lineRule="auto"/>
              <w:rPr>
                <w:sz w:val="17"/>
                <w:szCs w:val="17"/>
              </w:rPr>
            </w:pPr>
          </w:p>
        </w:tc>
        <w:tc>
          <w:tcPr>
            <w:tcW w:w="2880" w:type="dxa"/>
          </w:tcPr>
          <w:p w14:paraId="2E25BC80" w14:textId="77777777" w:rsidR="00182884" w:rsidRPr="009340A4" w:rsidRDefault="00182884" w:rsidP="009340A4">
            <w:pPr>
              <w:spacing w:after="0" w:line="240" w:lineRule="auto"/>
              <w:rPr>
                <w:sz w:val="17"/>
                <w:szCs w:val="17"/>
              </w:rPr>
            </w:pPr>
            <w:r w:rsidRPr="009340A4">
              <w:rPr>
                <w:sz w:val="17"/>
                <w:szCs w:val="17"/>
              </w:rPr>
              <w:t xml:space="preserve">20-29 </w:t>
            </w:r>
          </w:p>
        </w:tc>
        <w:tc>
          <w:tcPr>
            <w:tcW w:w="654" w:type="dxa"/>
          </w:tcPr>
          <w:p w14:paraId="78BD3FF5" w14:textId="77777777" w:rsidR="00182884" w:rsidRPr="009340A4" w:rsidRDefault="00182884" w:rsidP="009340A4">
            <w:pPr>
              <w:spacing w:after="0" w:line="240" w:lineRule="auto"/>
              <w:jc w:val="right"/>
              <w:rPr>
                <w:color w:val="000000"/>
                <w:sz w:val="17"/>
                <w:szCs w:val="17"/>
              </w:rPr>
            </w:pPr>
            <w:r w:rsidRPr="009340A4">
              <w:rPr>
                <w:sz w:val="17"/>
                <w:szCs w:val="17"/>
              </w:rPr>
              <w:t>0.71</w:t>
            </w:r>
          </w:p>
        </w:tc>
        <w:tc>
          <w:tcPr>
            <w:tcW w:w="1190" w:type="dxa"/>
          </w:tcPr>
          <w:p w14:paraId="0F4B8275" w14:textId="77777777" w:rsidR="00182884" w:rsidRPr="009340A4" w:rsidRDefault="00182884" w:rsidP="009340A4">
            <w:pPr>
              <w:spacing w:after="0" w:line="240" w:lineRule="auto"/>
              <w:jc w:val="right"/>
              <w:rPr>
                <w:color w:val="000000"/>
                <w:sz w:val="17"/>
                <w:szCs w:val="17"/>
              </w:rPr>
            </w:pPr>
            <w:r w:rsidRPr="009340A4">
              <w:rPr>
                <w:sz w:val="17"/>
                <w:szCs w:val="17"/>
              </w:rPr>
              <w:t>[0.65-0.77]</w:t>
            </w:r>
          </w:p>
        </w:tc>
        <w:tc>
          <w:tcPr>
            <w:tcW w:w="881" w:type="dxa"/>
          </w:tcPr>
          <w:p w14:paraId="5ED87E12" w14:textId="77777777" w:rsidR="00182884" w:rsidRPr="009340A4" w:rsidRDefault="00182884" w:rsidP="009340A4">
            <w:pPr>
              <w:spacing w:after="0" w:line="240" w:lineRule="auto"/>
              <w:jc w:val="right"/>
              <w:rPr>
                <w:b/>
                <w:bCs/>
                <w:color w:val="000000"/>
                <w:sz w:val="17"/>
                <w:szCs w:val="17"/>
              </w:rPr>
            </w:pPr>
          </w:p>
        </w:tc>
        <w:tc>
          <w:tcPr>
            <w:tcW w:w="675" w:type="dxa"/>
          </w:tcPr>
          <w:p w14:paraId="326961E4"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0.89</w:t>
            </w:r>
          </w:p>
        </w:tc>
        <w:tc>
          <w:tcPr>
            <w:tcW w:w="996" w:type="dxa"/>
          </w:tcPr>
          <w:p w14:paraId="0FDD2A25"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[0.82-0.97]</w:t>
            </w:r>
          </w:p>
        </w:tc>
        <w:tc>
          <w:tcPr>
            <w:tcW w:w="855" w:type="dxa"/>
          </w:tcPr>
          <w:p w14:paraId="32A67767" w14:textId="77777777" w:rsidR="00182884" w:rsidRPr="009340A4" w:rsidRDefault="00182884" w:rsidP="009340A4">
            <w:pPr>
              <w:spacing w:after="0" w:line="240" w:lineRule="auto"/>
              <w:jc w:val="right"/>
              <w:rPr>
                <w:b/>
                <w:bCs/>
                <w:color w:val="000000"/>
                <w:sz w:val="17"/>
                <w:szCs w:val="17"/>
              </w:rPr>
            </w:pPr>
          </w:p>
        </w:tc>
        <w:tc>
          <w:tcPr>
            <w:tcW w:w="283" w:type="dxa"/>
          </w:tcPr>
          <w:p w14:paraId="373F7978" w14:textId="77777777" w:rsidR="00182884" w:rsidRPr="009340A4" w:rsidRDefault="00182884" w:rsidP="009340A4">
            <w:pPr>
              <w:spacing w:after="0" w:line="240" w:lineRule="auto"/>
              <w:jc w:val="right"/>
              <w:rPr>
                <w:sz w:val="17"/>
                <w:szCs w:val="17"/>
              </w:rPr>
            </w:pPr>
          </w:p>
        </w:tc>
        <w:tc>
          <w:tcPr>
            <w:tcW w:w="709" w:type="dxa"/>
          </w:tcPr>
          <w:p w14:paraId="1923BC46"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0.72</w:t>
            </w:r>
          </w:p>
        </w:tc>
        <w:tc>
          <w:tcPr>
            <w:tcW w:w="1129" w:type="dxa"/>
          </w:tcPr>
          <w:p w14:paraId="0AFA8E71"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[0.68-0.78]</w:t>
            </w:r>
          </w:p>
        </w:tc>
        <w:tc>
          <w:tcPr>
            <w:tcW w:w="841" w:type="dxa"/>
          </w:tcPr>
          <w:p w14:paraId="493743B1" w14:textId="77777777" w:rsidR="00182884" w:rsidRPr="009340A4" w:rsidRDefault="00182884" w:rsidP="009340A4">
            <w:pPr>
              <w:spacing w:after="0" w:line="240" w:lineRule="auto"/>
              <w:jc w:val="right"/>
              <w:rPr>
                <w:b/>
                <w:bCs/>
                <w:color w:val="000000"/>
                <w:sz w:val="17"/>
                <w:szCs w:val="17"/>
              </w:rPr>
            </w:pPr>
          </w:p>
        </w:tc>
        <w:tc>
          <w:tcPr>
            <w:tcW w:w="814" w:type="dxa"/>
          </w:tcPr>
          <w:p w14:paraId="682CB171"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0.80</w:t>
            </w:r>
          </w:p>
        </w:tc>
        <w:tc>
          <w:tcPr>
            <w:tcW w:w="1180" w:type="dxa"/>
          </w:tcPr>
          <w:p w14:paraId="15A03B95"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[0.73-0.87]</w:t>
            </w:r>
          </w:p>
        </w:tc>
        <w:tc>
          <w:tcPr>
            <w:tcW w:w="960" w:type="dxa"/>
          </w:tcPr>
          <w:p w14:paraId="3F1A7C73" w14:textId="77777777" w:rsidR="00182884" w:rsidRPr="009340A4" w:rsidRDefault="00182884" w:rsidP="009340A4">
            <w:pPr>
              <w:spacing w:after="0" w:line="240" w:lineRule="auto"/>
              <w:jc w:val="right"/>
              <w:rPr>
                <w:b/>
                <w:bCs/>
                <w:sz w:val="17"/>
                <w:szCs w:val="17"/>
              </w:rPr>
            </w:pPr>
          </w:p>
        </w:tc>
      </w:tr>
      <w:tr w:rsidR="00182884" w:rsidRPr="009340A4" w14:paraId="470BE4A7" w14:textId="77777777" w:rsidTr="000A7109">
        <w:tc>
          <w:tcPr>
            <w:tcW w:w="345" w:type="dxa"/>
          </w:tcPr>
          <w:p w14:paraId="09455F0C" w14:textId="77777777" w:rsidR="00182884" w:rsidRPr="009340A4" w:rsidRDefault="00182884" w:rsidP="009340A4">
            <w:pPr>
              <w:spacing w:after="0" w:line="240" w:lineRule="auto"/>
              <w:rPr>
                <w:sz w:val="17"/>
                <w:szCs w:val="17"/>
              </w:rPr>
            </w:pPr>
          </w:p>
        </w:tc>
        <w:tc>
          <w:tcPr>
            <w:tcW w:w="2880" w:type="dxa"/>
          </w:tcPr>
          <w:p w14:paraId="455C1485" w14:textId="77777777" w:rsidR="00182884" w:rsidRPr="009340A4" w:rsidRDefault="00182884" w:rsidP="009340A4">
            <w:pPr>
              <w:spacing w:after="0" w:line="240" w:lineRule="auto"/>
              <w:rPr>
                <w:sz w:val="17"/>
                <w:szCs w:val="17"/>
              </w:rPr>
            </w:pPr>
            <w:r w:rsidRPr="009340A4">
              <w:rPr>
                <w:sz w:val="17"/>
                <w:szCs w:val="17"/>
              </w:rPr>
              <w:t>30-39</w:t>
            </w:r>
          </w:p>
        </w:tc>
        <w:tc>
          <w:tcPr>
            <w:tcW w:w="654" w:type="dxa"/>
          </w:tcPr>
          <w:p w14:paraId="788BFEE4" w14:textId="77777777" w:rsidR="00182884" w:rsidRPr="009340A4" w:rsidRDefault="00182884" w:rsidP="009340A4">
            <w:pPr>
              <w:spacing w:after="0" w:line="240" w:lineRule="auto"/>
              <w:jc w:val="right"/>
              <w:rPr>
                <w:color w:val="000000"/>
                <w:sz w:val="17"/>
                <w:szCs w:val="17"/>
              </w:rPr>
            </w:pPr>
            <w:r w:rsidRPr="009340A4">
              <w:rPr>
                <w:sz w:val="17"/>
                <w:szCs w:val="17"/>
              </w:rPr>
              <w:t>0.44</w:t>
            </w:r>
          </w:p>
        </w:tc>
        <w:tc>
          <w:tcPr>
            <w:tcW w:w="1190" w:type="dxa"/>
          </w:tcPr>
          <w:p w14:paraId="2DBE6318" w14:textId="77777777" w:rsidR="00182884" w:rsidRPr="009340A4" w:rsidRDefault="00182884" w:rsidP="009340A4">
            <w:pPr>
              <w:spacing w:after="0" w:line="240" w:lineRule="auto"/>
              <w:jc w:val="right"/>
              <w:rPr>
                <w:color w:val="000000"/>
                <w:sz w:val="17"/>
                <w:szCs w:val="17"/>
              </w:rPr>
            </w:pPr>
            <w:r w:rsidRPr="009340A4">
              <w:rPr>
                <w:sz w:val="17"/>
                <w:szCs w:val="17"/>
              </w:rPr>
              <w:t>[0.39-0.50]</w:t>
            </w:r>
          </w:p>
        </w:tc>
        <w:tc>
          <w:tcPr>
            <w:tcW w:w="881" w:type="dxa"/>
          </w:tcPr>
          <w:p w14:paraId="7BEC69B4" w14:textId="77777777" w:rsidR="00182884" w:rsidRPr="009340A4" w:rsidRDefault="00182884" w:rsidP="009340A4">
            <w:pPr>
              <w:spacing w:after="0" w:line="240" w:lineRule="auto"/>
              <w:jc w:val="right"/>
              <w:rPr>
                <w:b/>
                <w:bCs/>
                <w:sz w:val="17"/>
                <w:szCs w:val="17"/>
              </w:rPr>
            </w:pPr>
          </w:p>
        </w:tc>
        <w:tc>
          <w:tcPr>
            <w:tcW w:w="675" w:type="dxa"/>
          </w:tcPr>
          <w:p w14:paraId="37A0245D"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0.71</w:t>
            </w:r>
          </w:p>
        </w:tc>
        <w:tc>
          <w:tcPr>
            <w:tcW w:w="996" w:type="dxa"/>
          </w:tcPr>
          <w:p w14:paraId="159FD4EF"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[0.61-0.83]</w:t>
            </w:r>
          </w:p>
        </w:tc>
        <w:tc>
          <w:tcPr>
            <w:tcW w:w="855" w:type="dxa"/>
          </w:tcPr>
          <w:p w14:paraId="2FB8A3CD" w14:textId="77777777" w:rsidR="00182884" w:rsidRPr="009340A4" w:rsidRDefault="00182884" w:rsidP="009340A4">
            <w:pPr>
              <w:spacing w:after="0" w:line="240" w:lineRule="auto"/>
              <w:jc w:val="right"/>
              <w:rPr>
                <w:b/>
                <w:bCs/>
                <w:sz w:val="17"/>
                <w:szCs w:val="17"/>
              </w:rPr>
            </w:pPr>
          </w:p>
        </w:tc>
        <w:tc>
          <w:tcPr>
            <w:tcW w:w="283" w:type="dxa"/>
          </w:tcPr>
          <w:p w14:paraId="5970B42E" w14:textId="77777777" w:rsidR="00182884" w:rsidRPr="009340A4" w:rsidRDefault="00182884" w:rsidP="009340A4">
            <w:pPr>
              <w:spacing w:after="0" w:line="240" w:lineRule="auto"/>
              <w:jc w:val="right"/>
              <w:rPr>
                <w:sz w:val="17"/>
                <w:szCs w:val="17"/>
              </w:rPr>
            </w:pPr>
          </w:p>
        </w:tc>
        <w:tc>
          <w:tcPr>
            <w:tcW w:w="709" w:type="dxa"/>
          </w:tcPr>
          <w:p w14:paraId="53BD3834"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0.41</w:t>
            </w:r>
          </w:p>
        </w:tc>
        <w:tc>
          <w:tcPr>
            <w:tcW w:w="1129" w:type="dxa"/>
          </w:tcPr>
          <w:p w14:paraId="1D220786"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[0.37-0.45]</w:t>
            </w:r>
          </w:p>
        </w:tc>
        <w:tc>
          <w:tcPr>
            <w:tcW w:w="841" w:type="dxa"/>
          </w:tcPr>
          <w:p w14:paraId="3D8750FC" w14:textId="77777777" w:rsidR="00182884" w:rsidRPr="009340A4" w:rsidRDefault="00182884" w:rsidP="009340A4">
            <w:pPr>
              <w:spacing w:after="0" w:line="240" w:lineRule="auto"/>
              <w:jc w:val="right"/>
              <w:rPr>
                <w:b/>
                <w:bCs/>
                <w:color w:val="000000"/>
                <w:sz w:val="17"/>
                <w:szCs w:val="17"/>
              </w:rPr>
            </w:pPr>
          </w:p>
        </w:tc>
        <w:tc>
          <w:tcPr>
            <w:tcW w:w="814" w:type="dxa"/>
          </w:tcPr>
          <w:p w14:paraId="0B3A9AF5"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0.49</w:t>
            </w:r>
          </w:p>
        </w:tc>
        <w:tc>
          <w:tcPr>
            <w:tcW w:w="1180" w:type="dxa"/>
          </w:tcPr>
          <w:p w14:paraId="62576073"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[0.42-0.56]</w:t>
            </w:r>
          </w:p>
        </w:tc>
        <w:tc>
          <w:tcPr>
            <w:tcW w:w="960" w:type="dxa"/>
          </w:tcPr>
          <w:p w14:paraId="4D1C0580" w14:textId="77777777" w:rsidR="00182884" w:rsidRPr="009340A4" w:rsidRDefault="00182884" w:rsidP="009340A4">
            <w:pPr>
              <w:spacing w:after="0" w:line="240" w:lineRule="auto"/>
              <w:jc w:val="right"/>
              <w:rPr>
                <w:b/>
                <w:bCs/>
                <w:sz w:val="17"/>
                <w:szCs w:val="17"/>
              </w:rPr>
            </w:pPr>
          </w:p>
        </w:tc>
      </w:tr>
      <w:tr w:rsidR="00182884" w:rsidRPr="009340A4" w14:paraId="2172F9A5" w14:textId="77777777" w:rsidTr="000A7109">
        <w:tc>
          <w:tcPr>
            <w:tcW w:w="345" w:type="dxa"/>
          </w:tcPr>
          <w:p w14:paraId="2E4FBCC0" w14:textId="77777777" w:rsidR="00182884" w:rsidRPr="009340A4" w:rsidRDefault="00182884" w:rsidP="009340A4">
            <w:pPr>
              <w:spacing w:after="0" w:line="240" w:lineRule="auto"/>
              <w:rPr>
                <w:sz w:val="17"/>
                <w:szCs w:val="17"/>
              </w:rPr>
            </w:pPr>
          </w:p>
        </w:tc>
        <w:tc>
          <w:tcPr>
            <w:tcW w:w="2880" w:type="dxa"/>
          </w:tcPr>
          <w:p w14:paraId="4408E2AC" w14:textId="77777777" w:rsidR="00182884" w:rsidRPr="009340A4" w:rsidRDefault="00182884" w:rsidP="009340A4">
            <w:pPr>
              <w:spacing w:after="0" w:line="240" w:lineRule="auto"/>
              <w:rPr>
                <w:sz w:val="17"/>
                <w:szCs w:val="17"/>
              </w:rPr>
            </w:pPr>
            <w:r w:rsidRPr="009340A4">
              <w:rPr>
                <w:sz w:val="17"/>
                <w:szCs w:val="17"/>
              </w:rPr>
              <w:t>40 and over</w:t>
            </w:r>
          </w:p>
        </w:tc>
        <w:tc>
          <w:tcPr>
            <w:tcW w:w="654" w:type="dxa"/>
          </w:tcPr>
          <w:p w14:paraId="23ECC0EB" w14:textId="77777777" w:rsidR="00182884" w:rsidRPr="009340A4" w:rsidRDefault="00182884" w:rsidP="009340A4">
            <w:pPr>
              <w:spacing w:after="0" w:line="240" w:lineRule="auto"/>
              <w:jc w:val="right"/>
              <w:rPr>
                <w:color w:val="000000"/>
                <w:sz w:val="17"/>
                <w:szCs w:val="17"/>
              </w:rPr>
            </w:pPr>
            <w:r w:rsidRPr="009340A4">
              <w:rPr>
                <w:sz w:val="17"/>
                <w:szCs w:val="17"/>
              </w:rPr>
              <w:t>0.60</w:t>
            </w:r>
          </w:p>
        </w:tc>
        <w:tc>
          <w:tcPr>
            <w:tcW w:w="1190" w:type="dxa"/>
          </w:tcPr>
          <w:p w14:paraId="4CB1C871" w14:textId="77777777" w:rsidR="00182884" w:rsidRPr="009340A4" w:rsidRDefault="00182884" w:rsidP="009340A4">
            <w:pPr>
              <w:spacing w:after="0" w:line="240" w:lineRule="auto"/>
              <w:jc w:val="right"/>
              <w:rPr>
                <w:color w:val="000000"/>
                <w:sz w:val="17"/>
                <w:szCs w:val="17"/>
              </w:rPr>
            </w:pPr>
            <w:r w:rsidRPr="009340A4">
              <w:rPr>
                <w:sz w:val="17"/>
                <w:szCs w:val="17"/>
              </w:rPr>
              <w:t>[0.54-0.68]</w:t>
            </w:r>
          </w:p>
        </w:tc>
        <w:tc>
          <w:tcPr>
            <w:tcW w:w="881" w:type="dxa"/>
          </w:tcPr>
          <w:p w14:paraId="5B63856B" w14:textId="77777777" w:rsidR="00182884" w:rsidRPr="009340A4" w:rsidRDefault="00182884" w:rsidP="009340A4">
            <w:pPr>
              <w:spacing w:after="0" w:line="240" w:lineRule="auto"/>
              <w:jc w:val="right"/>
              <w:rPr>
                <w:b/>
                <w:bCs/>
                <w:color w:val="000000"/>
                <w:sz w:val="17"/>
                <w:szCs w:val="17"/>
              </w:rPr>
            </w:pPr>
          </w:p>
        </w:tc>
        <w:tc>
          <w:tcPr>
            <w:tcW w:w="675" w:type="dxa"/>
          </w:tcPr>
          <w:p w14:paraId="14024911"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0.81</w:t>
            </w:r>
          </w:p>
        </w:tc>
        <w:tc>
          <w:tcPr>
            <w:tcW w:w="996" w:type="dxa"/>
          </w:tcPr>
          <w:p w14:paraId="36B9D9EF"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[0.72-0.91]</w:t>
            </w:r>
          </w:p>
        </w:tc>
        <w:tc>
          <w:tcPr>
            <w:tcW w:w="855" w:type="dxa"/>
          </w:tcPr>
          <w:p w14:paraId="12EA679D" w14:textId="77777777" w:rsidR="00182884" w:rsidRPr="009340A4" w:rsidRDefault="00182884" w:rsidP="009340A4">
            <w:pPr>
              <w:spacing w:after="0" w:line="240" w:lineRule="auto"/>
              <w:jc w:val="right"/>
              <w:rPr>
                <w:b/>
                <w:bCs/>
                <w:color w:val="000000"/>
                <w:sz w:val="17"/>
                <w:szCs w:val="17"/>
              </w:rPr>
            </w:pPr>
          </w:p>
        </w:tc>
        <w:tc>
          <w:tcPr>
            <w:tcW w:w="283" w:type="dxa"/>
          </w:tcPr>
          <w:p w14:paraId="4595B7F1" w14:textId="77777777" w:rsidR="00182884" w:rsidRPr="009340A4" w:rsidRDefault="00182884" w:rsidP="009340A4">
            <w:pPr>
              <w:spacing w:after="0" w:line="240" w:lineRule="auto"/>
              <w:jc w:val="right"/>
              <w:rPr>
                <w:sz w:val="17"/>
                <w:szCs w:val="17"/>
              </w:rPr>
            </w:pPr>
          </w:p>
        </w:tc>
        <w:tc>
          <w:tcPr>
            <w:tcW w:w="709" w:type="dxa"/>
          </w:tcPr>
          <w:p w14:paraId="1BBE8473"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0.70</w:t>
            </w:r>
          </w:p>
        </w:tc>
        <w:tc>
          <w:tcPr>
            <w:tcW w:w="1129" w:type="dxa"/>
          </w:tcPr>
          <w:p w14:paraId="76EBF8D4"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[0.65-0.77]</w:t>
            </w:r>
          </w:p>
        </w:tc>
        <w:tc>
          <w:tcPr>
            <w:tcW w:w="841" w:type="dxa"/>
          </w:tcPr>
          <w:p w14:paraId="55B5E10A" w14:textId="77777777" w:rsidR="00182884" w:rsidRPr="009340A4" w:rsidRDefault="00182884" w:rsidP="009340A4">
            <w:pPr>
              <w:spacing w:after="0" w:line="240" w:lineRule="auto"/>
              <w:jc w:val="right"/>
              <w:rPr>
                <w:b/>
                <w:bCs/>
                <w:color w:val="000000"/>
                <w:sz w:val="17"/>
                <w:szCs w:val="17"/>
              </w:rPr>
            </w:pPr>
          </w:p>
        </w:tc>
        <w:tc>
          <w:tcPr>
            <w:tcW w:w="814" w:type="dxa"/>
          </w:tcPr>
          <w:p w14:paraId="3D871892"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0.75</w:t>
            </w:r>
          </w:p>
        </w:tc>
        <w:tc>
          <w:tcPr>
            <w:tcW w:w="1180" w:type="dxa"/>
          </w:tcPr>
          <w:p w14:paraId="02C66E03"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[0.68-0.83]</w:t>
            </w:r>
          </w:p>
        </w:tc>
        <w:tc>
          <w:tcPr>
            <w:tcW w:w="960" w:type="dxa"/>
          </w:tcPr>
          <w:p w14:paraId="11771BD2" w14:textId="77777777" w:rsidR="00182884" w:rsidRPr="009340A4" w:rsidRDefault="00182884" w:rsidP="009340A4">
            <w:pPr>
              <w:spacing w:after="0" w:line="240" w:lineRule="auto"/>
              <w:jc w:val="right"/>
              <w:rPr>
                <w:b/>
                <w:bCs/>
                <w:sz w:val="17"/>
                <w:szCs w:val="17"/>
              </w:rPr>
            </w:pPr>
          </w:p>
        </w:tc>
      </w:tr>
      <w:tr w:rsidR="00182884" w:rsidRPr="009340A4" w14:paraId="08062A5A" w14:textId="77777777" w:rsidTr="000A7109">
        <w:tc>
          <w:tcPr>
            <w:tcW w:w="3225" w:type="dxa"/>
            <w:gridSpan w:val="2"/>
          </w:tcPr>
          <w:p w14:paraId="52DFFBD1" w14:textId="77777777" w:rsidR="00182884" w:rsidRPr="009340A4" w:rsidRDefault="00182884" w:rsidP="009340A4">
            <w:pPr>
              <w:spacing w:after="0" w:line="240" w:lineRule="auto"/>
              <w:rPr>
                <w:b/>
                <w:bCs/>
                <w:sz w:val="17"/>
                <w:szCs w:val="17"/>
              </w:rPr>
            </w:pPr>
            <w:r w:rsidRPr="009340A4">
              <w:rPr>
                <w:b/>
                <w:bCs/>
                <w:sz w:val="17"/>
                <w:szCs w:val="17"/>
              </w:rPr>
              <w:t>Education</w:t>
            </w:r>
          </w:p>
        </w:tc>
        <w:tc>
          <w:tcPr>
            <w:tcW w:w="654" w:type="dxa"/>
          </w:tcPr>
          <w:p w14:paraId="75CC68B3" w14:textId="77777777" w:rsidR="00182884" w:rsidRPr="009340A4" w:rsidRDefault="00182884" w:rsidP="009340A4">
            <w:pPr>
              <w:spacing w:after="0" w:line="240" w:lineRule="auto"/>
              <w:jc w:val="right"/>
              <w:rPr>
                <w:sz w:val="17"/>
                <w:szCs w:val="17"/>
              </w:rPr>
            </w:pPr>
          </w:p>
        </w:tc>
        <w:tc>
          <w:tcPr>
            <w:tcW w:w="1190" w:type="dxa"/>
          </w:tcPr>
          <w:p w14:paraId="3DD98AD2" w14:textId="77777777" w:rsidR="00182884" w:rsidRPr="009340A4" w:rsidRDefault="00182884" w:rsidP="009340A4">
            <w:pPr>
              <w:spacing w:after="0" w:line="240" w:lineRule="auto"/>
              <w:jc w:val="right"/>
              <w:rPr>
                <w:b/>
                <w:bCs/>
                <w:sz w:val="17"/>
                <w:szCs w:val="17"/>
              </w:rPr>
            </w:pPr>
          </w:p>
        </w:tc>
        <w:tc>
          <w:tcPr>
            <w:tcW w:w="881" w:type="dxa"/>
          </w:tcPr>
          <w:p w14:paraId="5DAF746D" w14:textId="77777777" w:rsidR="00182884" w:rsidRPr="009340A4" w:rsidRDefault="00182884" w:rsidP="009340A4">
            <w:pPr>
              <w:spacing w:after="0" w:line="240" w:lineRule="auto"/>
              <w:jc w:val="right"/>
              <w:rPr>
                <w:b/>
                <w:bCs/>
                <w:sz w:val="17"/>
                <w:szCs w:val="17"/>
              </w:rPr>
            </w:pPr>
            <w:r w:rsidRPr="009340A4">
              <w:rPr>
                <w:b/>
                <w:bCs/>
                <w:color w:val="000000" w:themeColor="text1"/>
                <w:sz w:val="17"/>
                <w:szCs w:val="17"/>
              </w:rPr>
              <w:t>&lt;0.001</w:t>
            </w:r>
          </w:p>
        </w:tc>
        <w:tc>
          <w:tcPr>
            <w:tcW w:w="675" w:type="dxa"/>
          </w:tcPr>
          <w:p w14:paraId="2F126725" w14:textId="77777777" w:rsidR="00182884" w:rsidRPr="009340A4" w:rsidRDefault="00182884" w:rsidP="009340A4">
            <w:pPr>
              <w:spacing w:after="0" w:line="240" w:lineRule="auto"/>
              <w:jc w:val="right"/>
              <w:rPr>
                <w:sz w:val="17"/>
                <w:szCs w:val="17"/>
              </w:rPr>
            </w:pPr>
          </w:p>
        </w:tc>
        <w:tc>
          <w:tcPr>
            <w:tcW w:w="996" w:type="dxa"/>
          </w:tcPr>
          <w:p w14:paraId="700BBF58" w14:textId="77777777" w:rsidR="00182884" w:rsidRPr="009340A4" w:rsidRDefault="00182884" w:rsidP="009340A4">
            <w:pPr>
              <w:spacing w:after="0" w:line="240" w:lineRule="auto"/>
              <w:jc w:val="right"/>
              <w:rPr>
                <w:sz w:val="17"/>
                <w:szCs w:val="17"/>
              </w:rPr>
            </w:pPr>
          </w:p>
        </w:tc>
        <w:tc>
          <w:tcPr>
            <w:tcW w:w="855" w:type="dxa"/>
          </w:tcPr>
          <w:p w14:paraId="0DB8890F" w14:textId="77777777" w:rsidR="00182884" w:rsidRPr="009340A4" w:rsidRDefault="00182884" w:rsidP="009340A4">
            <w:pPr>
              <w:spacing w:after="0" w:line="240" w:lineRule="auto"/>
              <w:jc w:val="right"/>
              <w:rPr>
                <w:b/>
                <w:bCs/>
                <w:sz w:val="17"/>
                <w:szCs w:val="17"/>
              </w:rPr>
            </w:pPr>
            <w:r w:rsidRPr="009340A4">
              <w:rPr>
                <w:b/>
                <w:bCs/>
                <w:color w:val="000000" w:themeColor="text1"/>
                <w:sz w:val="17"/>
                <w:szCs w:val="17"/>
              </w:rPr>
              <w:t>&lt;0.001</w:t>
            </w:r>
          </w:p>
        </w:tc>
        <w:tc>
          <w:tcPr>
            <w:tcW w:w="283" w:type="dxa"/>
          </w:tcPr>
          <w:p w14:paraId="7B6EC21D" w14:textId="77777777" w:rsidR="00182884" w:rsidRPr="009340A4" w:rsidRDefault="00182884" w:rsidP="009340A4">
            <w:pPr>
              <w:spacing w:after="0" w:line="240" w:lineRule="auto"/>
              <w:jc w:val="right"/>
              <w:rPr>
                <w:sz w:val="17"/>
                <w:szCs w:val="17"/>
              </w:rPr>
            </w:pPr>
          </w:p>
        </w:tc>
        <w:tc>
          <w:tcPr>
            <w:tcW w:w="709" w:type="dxa"/>
          </w:tcPr>
          <w:p w14:paraId="6319BF2E" w14:textId="77777777" w:rsidR="00182884" w:rsidRPr="009340A4" w:rsidRDefault="00182884" w:rsidP="009340A4">
            <w:pPr>
              <w:spacing w:after="0" w:line="240" w:lineRule="auto"/>
              <w:jc w:val="right"/>
              <w:rPr>
                <w:b/>
                <w:bCs/>
                <w:sz w:val="17"/>
                <w:szCs w:val="17"/>
              </w:rPr>
            </w:pPr>
          </w:p>
        </w:tc>
        <w:tc>
          <w:tcPr>
            <w:tcW w:w="1129" w:type="dxa"/>
          </w:tcPr>
          <w:p w14:paraId="6DC8303C" w14:textId="77777777" w:rsidR="00182884" w:rsidRPr="009340A4" w:rsidRDefault="00182884" w:rsidP="009340A4">
            <w:pPr>
              <w:spacing w:after="0" w:line="240" w:lineRule="auto"/>
              <w:jc w:val="right"/>
              <w:rPr>
                <w:b/>
                <w:bCs/>
                <w:sz w:val="17"/>
                <w:szCs w:val="17"/>
              </w:rPr>
            </w:pPr>
          </w:p>
        </w:tc>
        <w:tc>
          <w:tcPr>
            <w:tcW w:w="841" w:type="dxa"/>
          </w:tcPr>
          <w:p w14:paraId="33EF568C" w14:textId="77777777" w:rsidR="00182884" w:rsidRPr="009340A4" w:rsidRDefault="00182884" w:rsidP="009340A4">
            <w:pPr>
              <w:spacing w:after="0" w:line="240" w:lineRule="auto"/>
              <w:jc w:val="right"/>
              <w:rPr>
                <w:b/>
                <w:bCs/>
                <w:sz w:val="17"/>
                <w:szCs w:val="17"/>
              </w:rPr>
            </w:pPr>
            <w:r w:rsidRPr="009340A4">
              <w:rPr>
                <w:b/>
                <w:bCs/>
                <w:color w:val="000000" w:themeColor="text1"/>
                <w:sz w:val="17"/>
                <w:szCs w:val="17"/>
              </w:rPr>
              <w:t>&lt;0.001</w:t>
            </w:r>
          </w:p>
        </w:tc>
        <w:tc>
          <w:tcPr>
            <w:tcW w:w="814" w:type="dxa"/>
          </w:tcPr>
          <w:p w14:paraId="7FD8104C" w14:textId="77777777" w:rsidR="00182884" w:rsidRPr="009340A4" w:rsidRDefault="00182884" w:rsidP="009340A4">
            <w:pPr>
              <w:spacing w:after="0" w:line="240" w:lineRule="auto"/>
              <w:jc w:val="right"/>
              <w:rPr>
                <w:b/>
                <w:bCs/>
                <w:sz w:val="17"/>
                <w:szCs w:val="17"/>
              </w:rPr>
            </w:pPr>
          </w:p>
        </w:tc>
        <w:tc>
          <w:tcPr>
            <w:tcW w:w="1180" w:type="dxa"/>
          </w:tcPr>
          <w:p w14:paraId="1EF632D7" w14:textId="77777777" w:rsidR="00182884" w:rsidRPr="009340A4" w:rsidRDefault="00182884" w:rsidP="009340A4">
            <w:pPr>
              <w:spacing w:after="0" w:line="240" w:lineRule="auto"/>
              <w:jc w:val="right"/>
              <w:rPr>
                <w:sz w:val="17"/>
                <w:szCs w:val="17"/>
              </w:rPr>
            </w:pPr>
          </w:p>
        </w:tc>
        <w:tc>
          <w:tcPr>
            <w:tcW w:w="960" w:type="dxa"/>
          </w:tcPr>
          <w:p w14:paraId="66092610" w14:textId="77777777" w:rsidR="00182884" w:rsidRPr="009340A4" w:rsidRDefault="00182884" w:rsidP="009340A4">
            <w:pPr>
              <w:spacing w:after="0" w:line="240" w:lineRule="auto"/>
              <w:jc w:val="right"/>
              <w:rPr>
                <w:b/>
                <w:bCs/>
                <w:sz w:val="17"/>
                <w:szCs w:val="17"/>
              </w:rPr>
            </w:pPr>
            <w:r w:rsidRPr="009340A4">
              <w:rPr>
                <w:b/>
                <w:bCs/>
                <w:color w:val="000000" w:themeColor="text1"/>
                <w:sz w:val="17"/>
                <w:szCs w:val="17"/>
              </w:rPr>
              <w:t>&lt;0.001</w:t>
            </w:r>
          </w:p>
        </w:tc>
      </w:tr>
      <w:tr w:rsidR="00182884" w:rsidRPr="009340A4" w14:paraId="18B13576" w14:textId="77777777" w:rsidTr="000A7109">
        <w:tc>
          <w:tcPr>
            <w:tcW w:w="345" w:type="dxa"/>
          </w:tcPr>
          <w:p w14:paraId="6F937FCE" w14:textId="77777777" w:rsidR="00182884" w:rsidRPr="009340A4" w:rsidRDefault="00182884" w:rsidP="009340A4">
            <w:pPr>
              <w:spacing w:after="0" w:line="240" w:lineRule="auto"/>
              <w:rPr>
                <w:sz w:val="17"/>
                <w:szCs w:val="17"/>
              </w:rPr>
            </w:pPr>
          </w:p>
        </w:tc>
        <w:tc>
          <w:tcPr>
            <w:tcW w:w="2880" w:type="dxa"/>
          </w:tcPr>
          <w:p w14:paraId="089AFC1F" w14:textId="77777777" w:rsidR="00182884" w:rsidRPr="009340A4" w:rsidRDefault="00182884" w:rsidP="009340A4">
            <w:pPr>
              <w:spacing w:after="0" w:line="240" w:lineRule="auto"/>
              <w:rPr>
                <w:sz w:val="17"/>
                <w:szCs w:val="17"/>
                <w:lang w:val="en-GB"/>
              </w:rPr>
            </w:pPr>
            <w:r w:rsidRPr="009340A4">
              <w:rPr>
                <w:sz w:val="17"/>
                <w:szCs w:val="17"/>
                <w:lang w:val="en-GB"/>
              </w:rPr>
              <w:t>Never went to school/Primary</w:t>
            </w:r>
          </w:p>
        </w:tc>
        <w:tc>
          <w:tcPr>
            <w:tcW w:w="654" w:type="dxa"/>
          </w:tcPr>
          <w:p w14:paraId="3CC6F586" w14:textId="77777777" w:rsidR="00182884" w:rsidRPr="009340A4" w:rsidRDefault="00182884" w:rsidP="009340A4">
            <w:pPr>
              <w:spacing w:after="0" w:line="240" w:lineRule="auto"/>
              <w:jc w:val="right"/>
              <w:rPr>
                <w:i/>
                <w:iCs/>
                <w:sz w:val="17"/>
                <w:szCs w:val="17"/>
              </w:rPr>
            </w:pPr>
            <w:r w:rsidRPr="009340A4">
              <w:rPr>
                <w:i/>
                <w:iCs/>
                <w:sz w:val="17"/>
                <w:szCs w:val="17"/>
              </w:rPr>
              <w:t>ref.</w:t>
            </w:r>
          </w:p>
        </w:tc>
        <w:tc>
          <w:tcPr>
            <w:tcW w:w="1190" w:type="dxa"/>
          </w:tcPr>
          <w:p w14:paraId="37C5DB5D" w14:textId="77777777" w:rsidR="00182884" w:rsidRPr="009340A4" w:rsidRDefault="00182884" w:rsidP="009340A4">
            <w:pPr>
              <w:spacing w:after="0" w:line="240" w:lineRule="auto"/>
              <w:jc w:val="right"/>
              <w:rPr>
                <w:b/>
                <w:bCs/>
                <w:i/>
                <w:iCs/>
                <w:sz w:val="17"/>
                <w:szCs w:val="17"/>
              </w:rPr>
            </w:pPr>
            <w:r w:rsidRPr="009340A4">
              <w:rPr>
                <w:i/>
                <w:iCs/>
                <w:sz w:val="17"/>
                <w:szCs w:val="17"/>
              </w:rPr>
              <w:t>ref.</w:t>
            </w:r>
          </w:p>
        </w:tc>
        <w:tc>
          <w:tcPr>
            <w:tcW w:w="881" w:type="dxa"/>
          </w:tcPr>
          <w:p w14:paraId="3C7D55C7" w14:textId="77777777" w:rsidR="00182884" w:rsidRPr="009340A4" w:rsidRDefault="00182884" w:rsidP="009340A4">
            <w:pPr>
              <w:spacing w:after="0" w:line="240" w:lineRule="auto"/>
              <w:jc w:val="right"/>
              <w:rPr>
                <w:i/>
                <w:iCs/>
                <w:sz w:val="17"/>
                <w:szCs w:val="17"/>
              </w:rPr>
            </w:pPr>
          </w:p>
        </w:tc>
        <w:tc>
          <w:tcPr>
            <w:tcW w:w="675" w:type="dxa"/>
          </w:tcPr>
          <w:p w14:paraId="2F5088B6" w14:textId="77777777" w:rsidR="00182884" w:rsidRPr="009340A4" w:rsidRDefault="00182884" w:rsidP="009340A4">
            <w:pPr>
              <w:spacing w:after="0" w:line="240" w:lineRule="auto"/>
              <w:jc w:val="right"/>
              <w:rPr>
                <w:i/>
                <w:iCs/>
                <w:sz w:val="17"/>
                <w:szCs w:val="17"/>
              </w:rPr>
            </w:pPr>
            <w:r w:rsidRPr="009340A4">
              <w:rPr>
                <w:i/>
                <w:iCs/>
                <w:sz w:val="17"/>
                <w:szCs w:val="17"/>
              </w:rPr>
              <w:t>ref.</w:t>
            </w:r>
          </w:p>
        </w:tc>
        <w:tc>
          <w:tcPr>
            <w:tcW w:w="996" w:type="dxa"/>
          </w:tcPr>
          <w:p w14:paraId="3F998AA7" w14:textId="77777777" w:rsidR="00182884" w:rsidRPr="009340A4" w:rsidRDefault="00182884" w:rsidP="009340A4">
            <w:pPr>
              <w:spacing w:after="0" w:line="240" w:lineRule="auto"/>
              <w:jc w:val="right"/>
              <w:rPr>
                <w:b/>
                <w:bCs/>
                <w:i/>
                <w:iCs/>
                <w:sz w:val="17"/>
                <w:szCs w:val="17"/>
              </w:rPr>
            </w:pPr>
            <w:r w:rsidRPr="009340A4">
              <w:rPr>
                <w:i/>
                <w:iCs/>
                <w:sz w:val="17"/>
                <w:szCs w:val="17"/>
              </w:rPr>
              <w:t>ref.</w:t>
            </w:r>
          </w:p>
        </w:tc>
        <w:tc>
          <w:tcPr>
            <w:tcW w:w="855" w:type="dxa"/>
          </w:tcPr>
          <w:p w14:paraId="00690F06" w14:textId="77777777" w:rsidR="00182884" w:rsidRPr="009340A4" w:rsidRDefault="00182884" w:rsidP="009340A4">
            <w:pPr>
              <w:spacing w:after="0" w:line="240" w:lineRule="auto"/>
              <w:jc w:val="right"/>
              <w:rPr>
                <w:i/>
                <w:iCs/>
                <w:sz w:val="17"/>
                <w:szCs w:val="17"/>
              </w:rPr>
            </w:pPr>
          </w:p>
        </w:tc>
        <w:tc>
          <w:tcPr>
            <w:tcW w:w="283" w:type="dxa"/>
          </w:tcPr>
          <w:p w14:paraId="5972114D" w14:textId="77777777" w:rsidR="00182884" w:rsidRPr="009340A4" w:rsidRDefault="00182884" w:rsidP="009340A4">
            <w:pPr>
              <w:spacing w:after="0" w:line="240" w:lineRule="auto"/>
              <w:jc w:val="right"/>
              <w:rPr>
                <w:b/>
                <w:bCs/>
                <w:i/>
                <w:iCs/>
                <w:sz w:val="17"/>
                <w:szCs w:val="17"/>
              </w:rPr>
            </w:pPr>
          </w:p>
        </w:tc>
        <w:tc>
          <w:tcPr>
            <w:tcW w:w="709" w:type="dxa"/>
          </w:tcPr>
          <w:p w14:paraId="080E92B1" w14:textId="77777777" w:rsidR="00182884" w:rsidRPr="009340A4" w:rsidRDefault="00182884" w:rsidP="009340A4">
            <w:pPr>
              <w:spacing w:after="0" w:line="240" w:lineRule="auto"/>
              <w:jc w:val="right"/>
              <w:rPr>
                <w:i/>
                <w:iCs/>
                <w:sz w:val="17"/>
                <w:szCs w:val="17"/>
              </w:rPr>
            </w:pPr>
            <w:r w:rsidRPr="009340A4">
              <w:rPr>
                <w:i/>
                <w:iCs/>
                <w:sz w:val="17"/>
                <w:szCs w:val="17"/>
              </w:rPr>
              <w:t>ref.</w:t>
            </w:r>
          </w:p>
        </w:tc>
        <w:tc>
          <w:tcPr>
            <w:tcW w:w="1129" w:type="dxa"/>
          </w:tcPr>
          <w:p w14:paraId="321E3863" w14:textId="77777777" w:rsidR="00182884" w:rsidRPr="009340A4" w:rsidRDefault="00182884" w:rsidP="009340A4">
            <w:pPr>
              <w:spacing w:after="0" w:line="240" w:lineRule="auto"/>
              <w:jc w:val="right"/>
              <w:rPr>
                <w:b/>
                <w:bCs/>
                <w:i/>
                <w:iCs/>
                <w:sz w:val="17"/>
                <w:szCs w:val="17"/>
              </w:rPr>
            </w:pPr>
            <w:r w:rsidRPr="009340A4">
              <w:rPr>
                <w:i/>
                <w:iCs/>
                <w:sz w:val="17"/>
                <w:szCs w:val="17"/>
              </w:rPr>
              <w:t>ref.</w:t>
            </w:r>
          </w:p>
        </w:tc>
        <w:tc>
          <w:tcPr>
            <w:tcW w:w="841" w:type="dxa"/>
          </w:tcPr>
          <w:p w14:paraId="4C660E9F" w14:textId="77777777" w:rsidR="00182884" w:rsidRPr="009340A4" w:rsidRDefault="00182884" w:rsidP="009340A4">
            <w:pPr>
              <w:spacing w:after="0" w:line="240" w:lineRule="auto"/>
              <w:jc w:val="right"/>
              <w:rPr>
                <w:b/>
                <w:bCs/>
                <w:sz w:val="17"/>
                <w:szCs w:val="17"/>
              </w:rPr>
            </w:pPr>
          </w:p>
        </w:tc>
        <w:tc>
          <w:tcPr>
            <w:tcW w:w="814" w:type="dxa"/>
          </w:tcPr>
          <w:p w14:paraId="024BCFBE" w14:textId="77777777" w:rsidR="00182884" w:rsidRPr="009340A4" w:rsidRDefault="00182884" w:rsidP="009340A4">
            <w:pPr>
              <w:spacing w:after="0" w:line="240" w:lineRule="auto"/>
              <w:jc w:val="right"/>
              <w:rPr>
                <w:i/>
                <w:iCs/>
                <w:sz w:val="17"/>
                <w:szCs w:val="17"/>
              </w:rPr>
            </w:pPr>
            <w:r w:rsidRPr="009340A4">
              <w:rPr>
                <w:i/>
                <w:iCs/>
                <w:sz w:val="17"/>
                <w:szCs w:val="17"/>
              </w:rPr>
              <w:t>ref.</w:t>
            </w:r>
          </w:p>
        </w:tc>
        <w:tc>
          <w:tcPr>
            <w:tcW w:w="1180" w:type="dxa"/>
          </w:tcPr>
          <w:p w14:paraId="316D67AB" w14:textId="77777777" w:rsidR="00182884" w:rsidRPr="009340A4" w:rsidRDefault="00182884" w:rsidP="009340A4">
            <w:pPr>
              <w:spacing w:after="0" w:line="240" w:lineRule="auto"/>
              <w:jc w:val="right"/>
              <w:rPr>
                <w:b/>
                <w:bCs/>
                <w:i/>
                <w:iCs/>
                <w:sz w:val="17"/>
                <w:szCs w:val="17"/>
              </w:rPr>
            </w:pPr>
            <w:r w:rsidRPr="009340A4">
              <w:rPr>
                <w:i/>
                <w:iCs/>
                <w:sz w:val="17"/>
                <w:szCs w:val="17"/>
              </w:rPr>
              <w:t>ref.</w:t>
            </w:r>
          </w:p>
        </w:tc>
        <w:tc>
          <w:tcPr>
            <w:tcW w:w="960" w:type="dxa"/>
          </w:tcPr>
          <w:p w14:paraId="4D2ED514" w14:textId="77777777" w:rsidR="00182884" w:rsidRPr="009340A4" w:rsidRDefault="00182884" w:rsidP="009340A4">
            <w:pPr>
              <w:spacing w:after="0" w:line="240" w:lineRule="auto"/>
              <w:jc w:val="right"/>
              <w:rPr>
                <w:b/>
                <w:bCs/>
                <w:sz w:val="17"/>
                <w:szCs w:val="17"/>
              </w:rPr>
            </w:pPr>
          </w:p>
        </w:tc>
      </w:tr>
      <w:tr w:rsidR="00182884" w:rsidRPr="009340A4" w14:paraId="62D44863" w14:textId="77777777" w:rsidTr="000A7109">
        <w:tc>
          <w:tcPr>
            <w:tcW w:w="345" w:type="dxa"/>
          </w:tcPr>
          <w:p w14:paraId="615CB77F" w14:textId="77777777" w:rsidR="00182884" w:rsidRPr="009340A4" w:rsidRDefault="00182884" w:rsidP="009340A4">
            <w:pPr>
              <w:spacing w:after="0" w:line="240" w:lineRule="auto"/>
              <w:rPr>
                <w:sz w:val="17"/>
                <w:szCs w:val="17"/>
              </w:rPr>
            </w:pPr>
          </w:p>
        </w:tc>
        <w:tc>
          <w:tcPr>
            <w:tcW w:w="2880" w:type="dxa"/>
          </w:tcPr>
          <w:p w14:paraId="3CF875DA" w14:textId="77777777" w:rsidR="00182884" w:rsidRPr="009340A4" w:rsidRDefault="00182884" w:rsidP="009340A4">
            <w:pPr>
              <w:spacing w:after="0" w:line="240" w:lineRule="auto"/>
              <w:rPr>
                <w:sz w:val="17"/>
                <w:szCs w:val="17"/>
              </w:rPr>
            </w:pPr>
            <w:r w:rsidRPr="009340A4">
              <w:rPr>
                <w:sz w:val="17"/>
                <w:szCs w:val="17"/>
              </w:rPr>
              <w:t>Secondary</w:t>
            </w:r>
          </w:p>
        </w:tc>
        <w:tc>
          <w:tcPr>
            <w:tcW w:w="654" w:type="dxa"/>
          </w:tcPr>
          <w:p w14:paraId="22CE098F"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0.64</w:t>
            </w:r>
          </w:p>
        </w:tc>
        <w:tc>
          <w:tcPr>
            <w:tcW w:w="1190" w:type="dxa"/>
          </w:tcPr>
          <w:p w14:paraId="555172DD"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[0.60-0.69]</w:t>
            </w:r>
          </w:p>
        </w:tc>
        <w:tc>
          <w:tcPr>
            <w:tcW w:w="881" w:type="dxa"/>
          </w:tcPr>
          <w:p w14:paraId="30B05FCD" w14:textId="77777777" w:rsidR="00182884" w:rsidRPr="009340A4" w:rsidRDefault="00182884" w:rsidP="009340A4">
            <w:pPr>
              <w:spacing w:after="0" w:line="240" w:lineRule="auto"/>
              <w:jc w:val="right"/>
              <w:rPr>
                <w:b/>
                <w:bCs/>
                <w:sz w:val="17"/>
                <w:szCs w:val="17"/>
              </w:rPr>
            </w:pPr>
          </w:p>
        </w:tc>
        <w:tc>
          <w:tcPr>
            <w:tcW w:w="675" w:type="dxa"/>
          </w:tcPr>
          <w:p w14:paraId="79581B4E"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0.82</w:t>
            </w:r>
          </w:p>
        </w:tc>
        <w:tc>
          <w:tcPr>
            <w:tcW w:w="996" w:type="dxa"/>
          </w:tcPr>
          <w:p w14:paraId="441C6563"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[0.76-0.88]</w:t>
            </w:r>
          </w:p>
        </w:tc>
        <w:tc>
          <w:tcPr>
            <w:tcW w:w="855" w:type="dxa"/>
          </w:tcPr>
          <w:p w14:paraId="106A7018" w14:textId="77777777" w:rsidR="00182884" w:rsidRPr="009340A4" w:rsidRDefault="00182884" w:rsidP="009340A4">
            <w:pPr>
              <w:spacing w:after="0" w:line="240" w:lineRule="auto"/>
              <w:jc w:val="right"/>
              <w:rPr>
                <w:b/>
                <w:bCs/>
                <w:sz w:val="17"/>
                <w:szCs w:val="17"/>
              </w:rPr>
            </w:pPr>
          </w:p>
        </w:tc>
        <w:tc>
          <w:tcPr>
            <w:tcW w:w="283" w:type="dxa"/>
          </w:tcPr>
          <w:p w14:paraId="5E5AF620" w14:textId="77777777" w:rsidR="00182884" w:rsidRPr="009340A4" w:rsidRDefault="00182884" w:rsidP="009340A4">
            <w:pPr>
              <w:spacing w:after="0" w:line="240" w:lineRule="auto"/>
              <w:jc w:val="right"/>
              <w:rPr>
                <w:color w:val="000000"/>
                <w:sz w:val="17"/>
                <w:szCs w:val="17"/>
              </w:rPr>
            </w:pPr>
          </w:p>
        </w:tc>
        <w:tc>
          <w:tcPr>
            <w:tcW w:w="709" w:type="dxa"/>
          </w:tcPr>
          <w:p w14:paraId="62A1064F"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0.67</w:t>
            </w:r>
          </w:p>
        </w:tc>
        <w:tc>
          <w:tcPr>
            <w:tcW w:w="1129" w:type="dxa"/>
          </w:tcPr>
          <w:p w14:paraId="567BF8FD"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[0.63-0.7]</w:t>
            </w:r>
          </w:p>
        </w:tc>
        <w:tc>
          <w:tcPr>
            <w:tcW w:w="841" w:type="dxa"/>
          </w:tcPr>
          <w:p w14:paraId="6D0BD826" w14:textId="77777777" w:rsidR="00182884" w:rsidRPr="009340A4" w:rsidRDefault="00182884" w:rsidP="009340A4">
            <w:pPr>
              <w:spacing w:after="0" w:line="240" w:lineRule="auto"/>
              <w:jc w:val="right"/>
              <w:rPr>
                <w:b/>
                <w:bCs/>
                <w:color w:val="000000"/>
                <w:sz w:val="17"/>
                <w:szCs w:val="17"/>
              </w:rPr>
            </w:pPr>
          </w:p>
        </w:tc>
        <w:tc>
          <w:tcPr>
            <w:tcW w:w="814" w:type="dxa"/>
          </w:tcPr>
          <w:p w14:paraId="7A702CA0"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0.78</w:t>
            </w:r>
          </w:p>
        </w:tc>
        <w:tc>
          <w:tcPr>
            <w:tcW w:w="1180" w:type="dxa"/>
          </w:tcPr>
          <w:p w14:paraId="3C6CFC06"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[0.73-0.82]</w:t>
            </w:r>
          </w:p>
        </w:tc>
        <w:tc>
          <w:tcPr>
            <w:tcW w:w="960" w:type="dxa"/>
          </w:tcPr>
          <w:p w14:paraId="3C0D3C6F" w14:textId="77777777" w:rsidR="00182884" w:rsidRPr="009340A4" w:rsidRDefault="00182884" w:rsidP="009340A4">
            <w:pPr>
              <w:spacing w:after="0" w:line="240" w:lineRule="auto"/>
              <w:jc w:val="right"/>
              <w:rPr>
                <w:b/>
                <w:bCs/>
                <w:sz w:val="17"/>
                <w:szCs w:val="17"/>
              </w:rPr>
            </w:pPr>
          </w:p>
        </w:tc>
      </w:tr>
      <w:tr w:rsidR="00182884" w:rsidRPr="009340A4" w14:paraId="4F5FD676" w14:textId="77777777" w:rsidTr="000A7109">
        <w:tc>
          <w:tcPr>
            <w:tcW w:w="345" w:type="dxa"/>
          </w:tcPr>
          <w:p w14:paraId="04E9E48C" w14:textId="77777777" w:rsidR="00182884" w:rsidRPr="009340A4" w:rsidRDefault="00182884" w:rsidP="009340A4">
            <w:pPr>
              <w:spacing w:after="0" w:line="240" w:lineRule="auto"/>
              <w:rPr>
                <w:sz w:val="17"/>
                <w:szCs w:val="17"/>
              </w:rPr>
            </w:pPr>
          </w:p>
        </w:tc>
        <w:tc>
          <w:tcPr>
            <w:tcW w:w="2880" w:type="dxa"/>
          </w:tcPr>
          <w:p w14:paraId="1BF17586" w14:textId="77777777" w:rsidR="00182884" w:rsidRPr="009340A4" w:rsidRDefault="00182884" w:rsidP="009340A4">
            <w:pPr>
              <w:spacing w:after="0" w:line="240" w:lineRule="auto"/>
              <w:rPr>
                <w:sz w:val="17"/>
                <w:szCs w:val="17"/>
              </w:rPr>
            </w:pPr>
            <w:r w:rsidRPr="009340A4">
              <w:rPr>
                <w:sz w:val="17"/>
                <w:szCs w:val="17"/>
              </w:rPr>
              <w:t>Tertiary</w:t>
            </w:r>
          </w:p>
        </w:tc>
        <w:tc>
          <w:tcPr>
            <w:tcW w:w="654" w:type="dxa"/>
          </w:tcPr>
          <w:p w14:paraId="19366508"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0.35</w:t>
            </w:r>
          </w:p>
        </w:tc>
        <w:tc>
          <w:tcPr>
            <w:tcW w:w="1190" w:type="dxa"/>
          </w:tcPr>
          <w:p w14:paraId="56CEA518"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[0.27-0.45]</w:t>
            </w:r>
          </w:p>
        </w:tc>
        <w:tc>
          <w:tcPr>
            <w:tcW w:w="881" w:type="dxa"/>
          </w:tcPr>
          <w:p w14:paraId="50A0649B" w14:textId="77777777" w:rsidR="00182884" w:rsidRPr="009340A4" w:rsidRDefault="00182884" w:rsidP="009340A4">
            <w:pPr>
              <w:spacing w:after="0" w:line="240" w:lineRule="auto"/>
              <w:jc w:val="right"/>
              <w:rPr>
                <w:b/>
                <w:bCs/>
                <w:sz w:val="17"/>
                <w:szCs w:val="17"/>
              </w:rPr>
            </w:pPr>
          </w:p>
        </w:tc>
        <w:tc>
          <w:tcPr>
            <w:tcW w:w="675" w:type="dxa"/>
          </w:tcPr>
          <w:p w14:paraId="344074D0"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0.56</w:t>
            </w:r>
          </w:p>
        </w:tc>
        <w:tc>
          <w:tcPr>
            <w:tcW w:w="996" w:type="dxa"/>
          </w:tcPr>
          <w:p w14:paraId="27CE159F"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[0.45-0.70]</w:t>
            </w:r>
          </w:p>
        </w:tc>
        <w:tc>
          <w:tcPr>
            <w:tcW w:w="855" w:type="dxa"/>
          </w:tcPr>
          <w:p w14:paraId="2820483C" w14:textId="77777777" w:rsidR="00182884" w:rsidRPr="009340A4" w:rsidRDefault="00182884" w:rsidP="009340A4">
            <w:pPr>
              <w:spacing w:after="0" w:line="240" w:lineRule="auto"/>
              <w:jc w:val="right"/>
              <w:rPr>
                <w:b/>
                <w:bCs/>
                <w:sz w:val="17"/>
                <w:szCs w:val="17"/>
              </w:rPr>
            </w:pPr>
          </w:p>
        </w:tc>
        <w:tc>
          <w:tcPr>
            <w:tcW w:w="283" w:type="dxa"/>
          </w:tcPr>
          <w:p w14:paraId="797FE69B" w14:textId="77777777" w:rsidR="00182884" w:rsidRPr="009340A4" w:rsidRDefault="00182884" w:rsidP="009340A4">
            <w:pPr>
              <w:spacing w:after="0" w:line="240" w:lineRule="auto"/>
              <w:jc w:val="right"/>
              <w:rPr>
                <w:color w:val="000000"/>
                <w:sz w:val="17"/>
                <w:szCs w:val="17"/>
              </w:rPr>
            </w:pPr>
          </w:p>
        </w:tc>
        <w:tc>
          <w:tcPr>
            <w:tcW w:w="709" w:type="dxa"/>
          </w:tcPr>
          <w:p w14:paraId="3ABECD15"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0.35</w:t>
            </w:r>
          </w:p>
        </w:tc>
        <w:tc>
          <w:tcPr>
            <w:tcW w:w="1129" w:type="dxa"/>
          </w:tcPr>
          <w:p w14:paraId="44CE735F"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[0.3-0.42]</w:t>
            </w:r>
          </w:p>
        </w:tc>
        <w:tc>
          <w:tcPr>
            <w:tcW w:w="841" w:type="dxa"/>
          </w:tcPr>
          <w:p w14:paraId="3F2CEE0F" w14:textId="77777777" w:rsidR="00182884" w:rsidRPr="009340A4" w:rsidRDefault="00182884" w:rsidP="009340A4">
            <w:pPr>
              <w:spacing w:after="0" w:line="240" w:lineRule="auto"/>
              <w:jc w:val="right"/>
              <w:rPr>
                <w:b/>
                <w:bCs/>
                <w:color w:val="000000"/>
                <w:sz w:val="17"/>
                <w:szCs w:val="17"/>
              </w:rPr>
            </w:pPr>
          </w:p>
        </w:tc>
        <w:tc>
          <w:tcPr>
            <w:tcW w:w="814" w:type="dxa"/>
          </w:tcPr>
          <w:p w14:paraId="39B59A87"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0.54</w:t>
            </w:r>
          </w:p>
        </w:tc>
        <w:tc>
          <w:tcPr>
            <w:tcW w:w="1180" w:type="dxa"/>
          </w:tcPr>
          <w:p w14:paraId="06F60829"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[0.46-0.63]</w:t>
            </w:r>
          </w:p>
        </w:tc>
        <w:tc>
          <w:tcPr>
            <w:tcW w:w="960" w:type="dxa"/>
          </w:tcPr>
          <w:p w14:paraId="27A3BB94" w14:textId="77777777" w:rsidR="00182884" w:rsidRPr="009340A4" w:rsidRDefault="00182884" w:rsidP="009340A4">
            <w:pPr>
              <w:spacing w:after="0" w:line="240" w:lineRule="auto"/>
              <w:jc w:val="right"/>
              <w:rPr>
                <w:b/>
                <w:bCs/>
                <w:sz w:val="17"/>
                <w:szCs w:val="17"/>
              </w:rPr>
            </w:pPr>
          </w:p>
        </w:tc>
      </w:tr>
      <w:tr w:rsidR="00182884" w:rsidRPr="009340A4" w14:paraId="1A488DF2" w14:textId="77777777" w:rsidTr="000A7109">
        <w:tc>
          <w:tcPr>
            <w:tcW w:w="3225" w:type="dxa"/>
            <w:gridSpan w:val="2"/>
          </w:tcPr>
          <w:p w14:paraId="2AB34176" w14:textId="77777777" w:rsidR="00182884" w:rsidRPr="009340A4" w:rsidRDefault="00182884" w:rsidP="009340A4">
            <w:pPr>
              <w:spacing w:after="0" w:line="240" w:lineRule="auto"/>
              <w:rPr>
                <w:b/>
                <w:bCs/>
                <w:sz w:val="17"/>
                <w:szCs w:val="17"/>
              </w:rPr>
            </w:pPr>
            <w:r w:rsidRPr="009340A4">
              <w:rPr>
                <w:b/>
                <w:bCs/>
                <w:sz w:val="17"/>
                <w:szCs w:val="17"/>
              </w:rPr>
              <w:t>Marital situation</w:t>
            </w:r>
          </w:p>
        </w:tc>
        <w:tc>
          <w:tcPr>
            <w:tcW w:w="654" w:type="dxa"/>
          </w:tcPr>
          <w:p w14:paraId="39E3287B" w14:textId="77777777" w:rsidR="00182884" w:rsidRPr="009340A4" w:rsidRDefault="00182884" w:rsidP="009340A4">
            <w:pPr>
              <w:spacing w:after="0" w:line="240" w:lineRule="auto"/>
              <w:jc w:val="right"/>
              <w:rPr>
                <w:sz w:val="17"/>
                <w:szCs w:val="17"/>
              </w:rPr>
            </w:pPr>
          </w:p>
        </w:tc>
        <w:tc>
          <w:tcPr>
            <w:tcW w:w="1190" w:type="dxa"/>
          </w:tcPr>
          <w:p w14:paraId="5A94BDA4" w14:textId="77777777" w:rsidR="00182884" w:rsidRPr="009340A4" w:rsidRDefault="00182884" w:rsidP="009340A4">
            <w:pPr>
              <w:spacing w:after="0" w:line="240" w:lineRule="auto"/>
              <w:jc w:val="right"/>
              <w:rPr>
                <w:b/>
                <w:bCs/>
                <w:sz w:val="17"/>
                <w:szCs w:val="17"/>
              </w:rPr>
            </w:pPr>
          </w:p>
        </w:tc>
        <w:tc>
          <w:tcPr>
            <w:tcW w:w="881" w:type="dxa"/>
          </w:tcPr>
          <w:p w14:paraId="173C16F2" w14:textId="77777777" w:rsidR="00182884" w:rsidRPr="009340A4" w:rsidRDefault="00182884" w:rsidP="009340A4">
            <w:pPr>
              <w:spacing w:after="0" w:line="240" w:lineRule="auto"/>
              <w:jc w:val="right"/>
              <w:rPr>
                <w:b/>
                <w:bCs/>
                <w:sz w:val="17"/>
                <w:szCs w:val="17"/>
              </w:rPr>
            </w:pPr>
            <w:r w:rsidRPr="009340A4">
              <w:rPr>
                <w:b/>
                <w:bCs/>
                <w:color w:val="000000" w:themeColor="text1"/>
                <w:sz w:val="17"/>
                <w:szCs w:val="17"/>
              </w:rPr>
              <w:t>&lt;0.001</w:t>
            </w:r>
          </w:p>
        </w:tc>
        <w:tc>
          <w:tcPr>
            <w:tcW w:w="675" w:type="dxa"/>
          </w:tcPr>
          <w:p w14:paraId="7748F7A2" w14:textId="77777777" w:rsidR="00182884" w:rsidRPr="009340A4" w:rsidRDefault="00182884" w:rsidP="009340A4">
            <w:pPr>
              <w:spacing w:after="0" w:line="240" w:lineRule="auto"/>
              <w:jc w:val="right"/>
              <w:rPr>
                <w:sz w:val="17"/>
                <w:szCs w:val="17"/>
              </w:rPr>
            </w:pPr>
          </w:p>
        </w:tc>
        <w:tc>
          <w:tcPr>
            <w:tcW w:w="996" w:type="dxa"/>
          </w:tcPr>
          <w:p w14:paraId="45510B1F" w14:textId="77777777" w:rsidR="00182884" w:rsidRPr="009340A4" w:rsidRDefault="00182884" w:rsidP="009340A4">
            <w:pPr>
              <w:spacing w:after="0" w:line="240" w:lineRule="auto"/>
              <w:jc w:val="right"/>
              <w:rPr>
                <w:sz w:val="17"/>
                <w:szCs w:val="17"/>
              </w:rPr>
            </w:pPr>
          </w:p>
        </w:tc>
        <w:tc>
          <w:tcPr>
            <w:tcW w:w="855" w:type="dxa"/>
          </w:tcPr>
          <w:p w14:paraId="5124751C" w14:textId="77777777" w:rsidR="00182884" w:rsidRPr="009340A4" w:rsidRDefault="00182884" w:rsidP="009340A4">
            <w:pPr>
              <w:spacing w:after="0" w:line="240" w:lineRule="auto"/>
              <w:jc w:val="right"/>
              <w:rPr>
                <w:b/>
                <w:bCs/>
                <w:sz w:val="17"/>
                <w:szCs w:val="17"/>
              </w:rPr>
            </w:pPr>
            <w:r w:rsidRPr="009340A4">
              <w:rPr>
                <w:b/>
                <w:bCs/>
                <w:sz w:val="17"/>
                <w:szCs w:val="17"/>
              </w:rPr>
              <w:t>0.023</w:t>
            </w:r>
          </w:p>
        </w:tc>
        <w:tc>
          <w:tcPr>
            <w:tcW w:w="283" w:type="dxa"/>
          </w:tcPr>
          <w:p w14:paraId="7EAD8CA2" w14:textId="77777777" w:rsidR="00182884" w:rsidRPr="009340A4" w:rsidRDefault="00182884" w:rsidP="009340A4">
            <w:pPr>
              <w:spacing w:after="0" w:line="240" w:lineRule="auto"/>
              <w:jc w:val="right"/>
              <w:rPr>
                <w:b/>
                <w:bCs/>
                <w:sz w:val="17"/>
                <w:szCs w:val="17"/>
              </w:rPr>
            </w:pPr>
          </w:p>
        </w:tc>
        <w:tc>
          <w:tcPr>
            <w:tcW w:w="709" w:type="dxa"/>
          </w:tcPr>
          <w:p w14:paraId="62F91E68" w14:textId="77777777" w:rsidR="00182884" w:rsidRPr="009340A4" w:rsidRDefault="00182884" w:rsidP="009340A4">
            <w:pPr>
              <w:spacing w:after="0" w:line="240" w:lineRule="auto"/>
              <w:jc w:val="right"/>
              <w:rPr>
                <w:b/>
                <w:bCs/>
                <w:sz w:val="17"/>
                <w:szCs w:val="17"/>
              </w:rPr>
            </w:pPr>
          </w:p>
        </w:tc>
        <w:tc>
          <w:tcPr>
            <w:tcW w:w="1129" w:type="dxa"/>
          </w:tcPr>
          <w:p w14:paraId="0A1069DB" w14:textId="77777777" w:rsidR="00182884" w:rsidRPr="009340A4" w:rsidRDefault="00182884" w:rsidP="009340A4">
            <w:pPr>
              <w:spacing w:after="0" w:line="240" w:lineRule="auto"/>
              <w:jc w:val="right"/>
              <w:rPr>
                <w:b/>
                <w:bCs/>
                <w:sz w:val="17"/>
                <w:szCs w:val="17"/>
              </w:rPr>
            </w:pPr>
          </w:p>
        </w:tc>
        <w:tc>
          <w:tcPr>
            <w:tcW w:w="841" w:type="dxa"/>
          </w:tcPr>
          <w:p w14:paraId="32B9A384" w14:textId="77777777" w:rsidR="00182884" w:rsidRPr="009340A4" w:rsidRDefault="00182884" w:rsidP="009340A4">
            <w:pPr>
              <w:spacing w:after="0" w:line="240" w:lineRule="auto"/>
              <w:jc w:val="right"/>
              <w:rPr>
                <w:b/>
                <w:bCs/>
                <w:sz w:val="17"/>
                <w:szCs w:val="17"/>
              </w:rPr>
            </w:pPr>
            <w:r w:rsidRPr="009340A4">
              <w:rPr>
                <w:b/>
                <w:bCs/>
                <w:color w:val="000000" w:themeColor="text1"/>
                <w:sz w:val="17"/>
                <w:szCs w:val="17"/>
              </w:rPr>
              <w:t>&lt;0.001</w:t>
            </w:r>
          </w:p>
        </w:tc>
        <w:tc>
          <w:tcPr>
            <w:tcW w:w="814" w:type="dxa"/>
          </w:tcPr>
          <w:p w14:paraId="16C2D832" w14:textId="77777777" w:rsidR="00182884" w:rsidRPr="009340A4" w:rsidRDefault="00182884" w:rsidP="009340A4">
            <w:pPr>
              <w:spacing w:after="0" w:line="240" w:lineRule="auto"/>
              <w:jc w:val="right"/>
              <w:rPr>
                <w:b/>
                <w:bCs/>
                <w:sz w:val="17"/>
                <w:szCs w:val="17"/>
              </w:rPr>
            </w:pPr>
          </w:p>
        </w:tc>
        <w:tc>
          <w:tcPr>
            <w:tcW w:w="1180" w:type="dxa"/>
          </w:tcPr>
          <w:p w14:paraId="4BECB674" w14:textId="77777777" w:rsidR="00182884" w:rsidRPr="009340A4" w:rsidRDefault="00182884" w:rsidP="009340A4">
            <w:pPr>
              <w:spacing w:after="0" w:line="240" w:lineRule="auto"/>
              <w:jc w:val="right"/>
              <w:rPr>
                <w:sz w:val="17"/>
                <w:szCs w:val="17"/>
              </w:rPr>
            </w:pPr>
          </w:p>
        </w:tc>
        <w:tc>
          <w:tcPr>
            <w:tcW w:w="960" w:type="dxa"/>
          </w:tcPr>
          <w:p w14:paraId="53205422" w14:textId="77777777" w:rsidR="00182884" w:rsidRPr="009340A4" w:rsidRDefault="00182884" w:rsidP="009340A4">
            <w:pPr>
              <w:spacing w:after="0" w:line="240" w:lineRule="auto"/>
              <w:jc w:val="right"/>
              <w:rPr>
                <w:b/>
                <w:bCs/>
                <w:color w:val="000000"/>
                <w:sz w:val="17"/>
                <w:szCs w:val="17"/>
              </w:rPr>
            </w:pPr>
            <w:r w:rsidRPr="009340A4">
              <w:rPr>
                <w:b/>
                <w:bCs/>
                <w:color w:val="000000" w:themeColor="text1"/>
                <w:sz w:val="17"/>
                <w:szCs w:val="17"/>
              </w:rPr>
              <w:t>&lt;0.001</w:t>
            </w:r>
          </w:p>
        </w:tc>
      </w:tr>
      <w:tr w:rsidR="00182884" w:rsidRPr="009340A4" w14:paraId="207CABE7" w14:textId="77777777" w:rsidTr="000A7109">
        <w:tc>
          <w:tcPr>
            <w:tcW w:w="345" w:type="dxa"/>
          </w:tcPr>
          <w:p w14:paraId="6C7A3E79" w14:textId="77777777" w:rsidR="00182884" w:rsidRPr="009340A4" w:rsidRDefault="00182884" w:rsidP="009340A4">
            <w:pPr>
              <w:spacing w:after="0" w:line="240" w:lineRule="auto"/>
              <w:rPr>
                <w:sz w:val="17"/>
                <w:szCs w:val="17"/>
              </w:rPr>
            </w:pPr>
          </w:p>
        </w:tc>
        <w:tc>
          <w:tcPr>
            <w:tcW w:w="2880" w:type="dxa"/>
          </w:tcPr>
          <w:p w14:paraId="28BBA5B0" w14:textId="77777777" w:rsidR="00182884" w:rsidRPr="009340A4" w:rsidRDefault="00182884" w:rsidP="009340A4">
            <w:pPr>
              <w:spacing w:after="0" w:line="240" w:lineRule="auto"/>
              <w:rPr>
                <w:sz w:val="17"/>
                <w:szCs w:val="17"/>
              </w:rPr>
            </w:pPr>
            <w:r w:rsidRPr="009340A4">
              <w:rPr>
                <w:sz w:val="17"/>
                <w:szCs w:val="17"/>
              </w:rPr>
              <w:t>Single</w:t>
            </w:r>
          </w:p>
        </w:tc>
        <w:tc>
          <w:tcPr>
            <w:tcW w:w="654" w:type="dxa"/>
          </w:tcPr>
          <w:p w14:paraId="41D022FC"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1.59</w:t>
            </w:r>
          </w:p>
        </w:tc>
        <w:tc>
          <w:tcPr>
            <w:tcW w:w="1190" w:type="dxa"/>
          </w:tcPr>
          <w:p w14:paraId="68DAF36A"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[1.46-1.72]</w:t>
            </w:r>
          </w:p>
        </w:tc>
        <w:tc>
          <w:tcPr>
            <w:tcW w:w="881" w:type="dxa"/>
          </w:tcPr>
          <w:p w14:paraId="32B9097E" w14:textId="77777777" w:rsidR="00182884" w:rsidRPr="009340A4" w:rsidRDefault="00182884" w:rsidP="009340A4">
            <w:pPr>
              <w:spacing w:after="0" w:line="240" w:lineRule="auto"/>
              <w:jc w:val="right"/>
              <w:rPr>
                <w:color w:val="000000"/>
                <w:sz w:val="17"/>
                <w:szCs w:val="17"/>
              </w:rPr>
            </w:pPr>
          </w:p>
        </w:tc>
        <w:tc>
          <w:tcPr>
            <w:tcW w:w="675" w:type="dxa"/>
          </w:tcPr>
          <w:p w14:paraId="7FADF465"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1.11</w:t>
            </w:r>
          </w:p>
        </w:tc>
        <w:tc>
          <w:tcPr>
            <w:tcW w:w="996" w:type="dxa"/>
          </w:tcPr>
          <w:p w14:paraId="4F85CDC9"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[1.01-1.22]</w:t>
            </w:r>
          </w:p>
        </w:tc>
        <w:tc>
          <w:tcPr>
            <w:tcW w:w="855" w:type="dxa"/>
          </w:tcPr>
          <w:p w14:paraId="5B34850A" w14:textId="77777777" w:rsidR="00182884" w:rsidRPr="009340A4" w:rsidRDefault="00182884" w:rsidP="009340A4">
            <w:pPr>
              <w:spacing w:after="0" w:line="240" w:lineRule="auto"/>
              <w:jc w:val="right"/>
              <w:rPr>
                <w:color w:val="000000"/>
                <w:sz w:val="17"/>
                <w:szCs w:val="17"/>
              </w:rPr>
            </w:pPr>
          </w:p>
        </w:tc>
        <w:tc>
          <w:tcPr>
            <w:tcW w:w="283" w:type="dxa"/>
          </w:tcPr>
          <w:p w14:paraId="08E0B57D" w14:textId="77777777" w:rsidR="00182884" w:rsidRPr="009340A4" w:rsidRDefault="00182884" w:rsidP="009340A4">
            <w:pPr>
              <w:spacing w:after="0" w:line="240" w:lineRule="auto"/>
              <w:jc w:val="right"/>
              <w:rPr>
                <w:color w:val="000000"/>
                <w:sz w:val="17"/>
                <w:szCs w:val="17"/>
              </w:rPr>
            </w:pPr>
          </w:p>
        </w:tc>
        <w:tc>
          <w:tcPr>
            <w:tcW w:w="709" w:type="dxa"/>
          </w:tcPr>
          <w:p w14:paraId="2F9F429F"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1.24</w:t>
            </w:r>
          </w:p>
        </w:tc>
        <w:tc>
          <w:tcPr>
            <w:tcW w:w="1129" w:type="dxa"/>
          </w:tcPr>
          <w:p w14:paraId="0BCB88CF"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[1.17-1.31]</w:t>
            </w:r>
          </w:p>
        </w:tc>
        <w:tc>
          <w:tcPr>
            <w:tcW w:w="841" w:type="dxa"/>
          </w:tcPr>
          <w:p w14:paraId="1A4C25C6" w14:textId="77777777" w:rsidR="00182884" w:rsidRPr="009340A4" w:rsidRDefault="00182884" w:rsidP="009340A4">
            <w:pPr>
              <w:spacing w:after="0" w:line="240" w:lineRule="auto"/>
              <w:jc w:val="right"/>
              <w:rPr>
                <w:sz w:val="17"/>
                <w:szCs w:val="17"/>
              </w:rPr>
            </w:pPr>
          </w:p>
        </w:tc>
        <w:tc>
          <w:tcPr>
            <w:tcW w:w="814" w:type="dxa"/>
          </w:tcPr>
          <w:p w14:paraId="7651D5B9"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0.91</w:t>
            </w:r>
          </w:p>
        </w:tc>
        <w:tc>
          <w:tcPr>
            <w:tcW w:w="1180" w:type="dxa"/>
          </w:tcPr>
          <w:p w14:paraId="3C810E46"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[0.87-0.96]</w:t>
            </w:r>
          </w:p>
        </w:tc>
        <w:tc>
          <w:tcPr>
            <w:tcW w:w="960" w:type="dxa"/>
          </w:tcPr>
          <w:p w14:paraId="3E0D54D8" w14:textId="77777777" w:rsidR="00182884" w:rsidRPr="009340A4" w:rsidRDefault="00182884" w:rsidP="009340A4">
            <w:pPr>
              <w:spacing w:after="0" w:line="240" w:lineRule="auto"/>
              <w:jc w:val="right"/>
              <w:rPr>
                <w:sz w:val="17"/>
                <w:szCs w:val="17"/>
              </w:rPr>
            </w:pPr>
          </w:p>
        </w:tc>
      </w:tr>
      <w:tr w:rsidR="00182884" w:rsidRPr="009340A4" w14:paraId="675239A9" w14:textId="77777777" w:rsidTr="000A7109">
        <w:tc>
          <w:tcPr>
            <w:tcW w:w="345" w:type="dxa"/>
          </w:tcPr>
          <w:p w14:paraId="69DB70B1" w14:textId="77777777" w:rsidR="00182884" w:rsidRPr="009340A4" w:rsidRDefault="00182884" w:rsidP="009340A4">
            <w:pPr>
              <w:spacing w:after="0" w:line="240" w:lineRule="auto"/>
              <w:rPr>
                <w:sz w:val="17"/>
                <w:szCs w:val="17"/>
              </w:rPr>
            </w:pPr>
          </w:p>
        </w:tc>
        <w:tc>
          <w:tcPr>
            <w:tcW w:w="2880" w:type="dxa"/>
          </w:tcPr>
          <w:p w14:paraId="227F23D9" w14:textId="77777777" w:rsidR="00182884" w:rsidRPr="009340A4" w:rsidRDefault="00182884" w:rsidP="009340A4">
            <w:pPr>
              <w:spacing w:after="0" w:line="240" w:lineRule="auto"/>
              <w:rPr>
                <w:sz w:val="17"/>
                <w:szCs w:val="17"/>
              </w:rPr>
            </w:pPr>
            <w:r w:rsidRPr="009340A4">
              <w:rPr>
                <w:sz w:val="17"/>
                <w:szCs w:val="17"/>
              </w:rPr>
              <w:t>Married/Informal union</w:t>
            </w:r>
          </w:p>
        </w:tc>
        <w:tc>
          <w:tcPr>
            <w:tcW w:w="654" w:type="dxa"/>
          </w:tcPr>
          <w:p w14:paraId="028F04BE" w14:textId="77777777" w:rsidR="00182884" w:rsidRPr="009340A4" w:rsidRDefault="00182884" w:rsidP="009340A4">
            <w:pPr>
              <w:spacing w:after="0" w:line="240" w:lineRule="auto"/>
              <w:jc w:val="right"/>
              <w:rPr>
                <w:i/>
                <w:iCs/>
                <w:sz w:val="17"/>
                <w:szCs w:val="17"/>
              </w:rPr>
            </w:pPr>
            <w:r w:rsidRPr="009340A4">
              <w:rPr>
                <w:i/>
                <w:iCs/>
                <w:sz w:val="17"/>
                <w:szCs w:val="17"/>
              </w:rPr>
              <w:t>ref.</w:t>
            </w:r>
          </w:p>
        </w:tc>
        <w:tc>
          <w:tcPr>
            <w:tcW w:w="1190" w:type="dxa"/>
          </w:tcPr>
          <w:p w14:paraId="43B59662" w14:textId="77777777" w:rsidR="00182884" w:rsidRPr="009340A4" w:rsidRDefault="00182884" w:rsidP="009340A4">
            <w:pPr>
              <w:spacing w:after="0" w:line="240" w:lineRule="auto"/>
              <w:jc w:val="right"/>
              <w:rPr>
                <w:b/>
                <w:bCs/>
                <w:i/>
                <w:iCs/>
                <w:sz w:val="17"/>
                <w:szCs w:val="17"/>
              </w:rPr>
            </w:pPr>
            <w:r w:rsidRPr="009340A4">
              <w:rPr>
                <w:i/>
                <w:iCs/>
                <w:sz w:val="17"/>
                <w:szCs w:val="17"/>
              </w:rPr>
              <w:t>ref.</w:t>
            </w:r>
          </w:p>
        </w:tc>
        <w:tc>
          <w:tcPr>
            <w:tcW w:w="881" w:type="dxa"/>
          </w:tcPr>
          <w:p w14:paraId="285711A3" w14:textId="77777777" w:rsidR="00182884" w:rsidRPr="009340A4" w:rsidRDefault="00182884" w:rsidP="009340A4">
            <w:pPr>
              <w:spacing w:after="0" w:line="240" w:lineRule="auto"/>
              <w:jc w:val="right"/>
              <w:rPr>
                <w:i/>
                <w:iCs/>
                <w:sz w:val="17"/>
                <w:szCs w:val="17"/>
              </w:rPr>
            </w:pPr>
          </w:p>
        </w:tc>
        <w:tc>
          <w:tcPr>
            <w:tcW w:w="675" w:type="dxa"/>
          </w:tcPr>
          <w:p w14:paraId="2F4C5123" w14:textId="77777777" w:rsidR="00182884" w:rsidRPr="009340A4" w:rsidRDefault="00182884" w:rsidP="009340A4">
            <w:pPr>
              <w:spacing w:after="0" w:line="240" w:lineRule="auto"/>
              <w:jc w:val="right"/>
              <w:rPr>
                <w:i/>
                <w:iCs/>
                <w:sz w:val="17"/>
                <w:szCs w:val="17"/>
              </w:rPr>
            </w:pPr>
            <w:r w:rsidRPr="009340A4">
              <w:rPr>
                <w:i/>
                <w:iCs/>
                <w:sz w:val="17"/>
                <w:szCs w:val="17"/>
              </w:rPr>
              <w:t>ref.</w:t>
            </w:r>
          </w:p>
        </w:tc>
        <w:tc>
          <w:tcPr>
            <w:tcW w:w="996" w:type="dxa"/>
          </w:tcPr>
          <w:p w14:paraId="1DD18B07" w14:textId="77777777" w:rsidR="00182884" w:rsidRPr="009340A4" w:rsidRDefault="00182884" w:rsidP="009340A4">
            <w:pPr>
              <w:spacing w:after="0" w:line="240" w:lineRule="auto"/>
              <w:jc w:val="right"/>
              <w:rPr>
                <w:b/>
                <w:bCs/>
                <w:i/>
                <w:iCs/>
                <w:sz w:val="17"/>
                <w:szCs w:val="17"/>
              </w:rPr>
            </w:pPr>
            <w:r w:rsidRPr="009340A4">
              <w:rPr>
                <w:i/>
                <w:iCs/>
                <w:sz w:val="17"/>
                <w:szCs w:val="17"/>
              </w:rPr>
              <w:t>ref.</w:t>
            </w:r>
          </w:p>
        </w:tc>
        <w:tc>
          <w:tcPr>
            <w:tcW w:w="855" w:type="dxa"/>
          </w:tcPr>
          <w:p w14:paraId="0ACF40D2" w14:textId="77777777" w:rsidR="00182884" w:rsidRPr="009340A4" w:rsidRDefault="00182884" w:rsidP="009340A4">
            <w:pPr>
              <w:spacing w:after="0" w:line="240" w:lineRule="auto"/>
              <w:jc w:val="right"/>
              <w:rPr>
                <w:i/>
                <w:iCs/>
                <w:sz w:val="17"/>
                <w:szCs w:val="17"/>
              </w:rPr>
            </w:pPr>
          </w:p>
        </w:tc>
        <w:tc>
          <w:tcPr>
            <w:tcW w:w="283" w:type="dxa"/>
          </w:tcPr>
          <w:p w14:paraId="4BF67162" w14:textId="77777777" w:rsidR="00182884" w:rsidRPr="009340A4" w:rsidRDefault="00182884" w:rsidP="009340A4">
            <w:pPr>
              <w:spacing w:after="0" w:line="240" w:lineRule="auto"/>
              <w:jc w:val="right"/>
              <w:rPr>
                <w:b/>
                <w:bCs/>
                <w:i/>
                <w:iCs/>
                <w:sz w:val="17"/>
                <w:szCs w:val="17"/>
              </w:rPr>
            </w:pPr>
          </w:p>
        </w:tc>
        <w:tc>
          <w:tcPr>
            <w:tcW w:w="709" w:type="dxa"/>
          </w:tcPr>
          <w:p w14:paraId="4868A62D" w14:textId="77777777" w:rsidR="00182884" w:rsidRPr="009340A4" w:rsidRDefault="00182884" w:rsidP="009340A4">
            <w:pPr>
              <w:spacing w:after="0" w:line="240" w:lineRule="auto"/>
              <w:jc w:val="right"/>
              <w:rPr>
                <w:i/>
                <w:iCs/>
                <w:sz w:val="17"/>
                <w:szCs w:val="17"/>
              </w:rPr>
            </w:pPr>
            <w:r w:rsidRPr="009340A4">
              <w:rPr>
                <w:i/>
                <w:iCs/>
                <w:sz w:val="17"/>
                <w:szCs w:val="17"/>
              </w:rPr>
              <w:t>ref.</w:t>
            </w:r>
          </w:p>
        </w:tc>
        <w:tc>
          <w:tcPr>
            <w:tcW w:w="1129" w:type="dxa"/>
          </w:tcPr>
          <w:p w14:paraId="71BBE390" w14:textId="77777777" w:rsidR="00182884" w:rsidRPr="009340A4" w:rsidRDefault="00182884" w:rsidP="009340A4">
            <w:pPr>
              <w:spacing w:after="0" w:line="240" w:lineRule="auto"/>
              <w:jc w:val="right"/>
              <w:rPr>
                <w:b/>
                <w:bCs/>
                <w:i/>
                <w:iCs/>
                <w:sz w:val="17"/>
                <w:szCs w:val="17"/>
              </w:rPr>
            </w:pPr>
            <w:r w:rsidRPr="009340A4">
              <w:rPr>
                <w:i/>
                <w:iCs/>
                <w:sz w:val="17"/>
                <w:szCs w:val="17"/>
              </w:rPr>
              <w:t>ref.</w:t>
            </w:r>
          </w:p>
        </w:tc>
        <w:tc>
          <w:tcPr>
            <w:tcW w:w="841" w:type="dxa"/>
          </w:tcPr>
          <w:p w14:paraId="5015F5A3" w14:textId="77777777" w:rsidR="00182884" w:rsidRPr="009340A4" w:rsidRDefault="00182884" w:rsidP="009340A4">
            <w:pPr>
              <w:spacing w:after="0" w:line="240" w:lineRule="auto"/>
              <w:jc w:val="right"/>
              <w:rPr>
                <w:b/>
                <w:bCs/>
                <w:sz w:val="17"/>
                <w:szCs w:val="17"/>
              </w:rPr>
            </w:pPr>
          </w:p>
        </w:tc>
        <w:tc>
          <w:tcPr>
            <w:tcW w:w="814" w:type="dxa"/>
          </w:tcPr>
          <w:p w14:paraId="757D3E76" w14:textId="77777777" w:rsidR="00182884" w:rsidRPr="009340A4" w:rsidRDefault="00182884" w:rsidP="009340A4">
            <w:pPr>
              <w:spacing w:after="0" w:line="240" w:lineRule="auto"/>
              <w:jc w:val="right"/>
              <w:rPr>
                <w:i/>
                <w:iCs/>
                <w:sz w:val="17"/>
                <w:szCs w:val="17"/>
              </w:rPr>
            </w:pPr>
            <w:r w:rsidRPr="009340A4">
              <w:rPr>
                <w:i/>
                <w:iCs/>
                <w:sz w:val="17"/>
                <w:szCs w:val="17"/>
              </w:rPr>
              <w:t>ref.</w:t>
            </w:r>
          </w:p>
        </w:tc>
        <w:tc>
          <w:tcPr>
            <w:tcW w:w="1180" w:type="dxa"/>
          </w:tcPr>
          <w:p w14:paraId="60D2234F" w14:textId="77777777" w:rsidR="00182884" w:rsidRPr="009340A4" w:rsidRDefault="00182884" w:rsidP="009340A4">
            <w:pPr>
              <w:spacing w:after="0" w:line="240" w:lineRule="auto"/>
              <w:jc w:val="right"/>
              <w:rPr>
                <w:b/>
                <w:bCs/>
                <w:i/>
                <w:iCs/>
                <w:sz w:val="17"/>
                <w:szCs w:val="17"/>
              </w:rPr>
            </w:pPr>
            <w:r w:rsidRPr="009340A4">
              <w:rPr>
                <w:i/>
                <w:iCs/>
                <w:sz w:val="17"/>
                <w:szCs w:val="17"/>
              </w:rPr>
              <w:t>ref.</w:t>
            </w:r>
          </w:p>
        </w:tc>
        <w:tc>
          <w:tcPr>
            <w:tcW w:w="960" w:type="dxa"/>
          </w:tcPr>
          <w:p w14:paraId="78A18402" w14:textId="77777777" w:rsidR="00182884" w:rsidRPr="009340A4" w:rsidRDefault="00182884" w:rsidP="009340A4">
            <w:pPr>
              <w:spacing w:after="0" w:line="240" w:lineRule="auto"/>
              <w:jc w:val="right"/>
              <w:rPr>
                <w:sz w:val="17"/>
                <w:szCs w:val="17"/>
              </w:rPr>
            </w:pPr>
          </w:p>
        </w:tc>
      </w:tr>
      <w:tr w:rsidR="00182884" w:rsidRPr="009340A4" w14:paraId="6999262F" w14:textId="77777777" w:rsidTr="000A7109">
        <w:tc>
          <w:tcPr>
            <w:tcW w:w="345" w:type="dxa"/>
          </w:tcPr>
          <w:p w14:paraId="587AE8D3" w14:textId="77777777" w:rsidR="00182884" w:rsidRPr="009340A4" w:rsidRDefault="00182884" w:rsidP="009340A4">
            <w:pPr>
              <w:spacing w:after="0" w:line="240" w:lineRule="auto"/>
              <w:rPr>
                <w:sz w:val="17"/>
                <w:szCs w:val="17"/>
              </w:rPr>
            </w:pPr>
          </w:p>
        </w:tc>
        <w:tc>
          <w:tcPr>
            <w:tcW w:w="2880" w:type="dxa"/>
          </w:tcPr>
          <w:p w14:paraId="7E42DE16" w14:textId="77777777" w:rsidR="00182884" w:rsidRPr="009340A4" w:rsidRDefault="00182884" w:rsidP="009340A4">
            <w:pPr>
              <w:spacing w:after="0" w:line="240" w:lineRule="auto"/>
              <w:rPr>
                <w:sz w:val="17"/>
                <w:szCs w:val="17"/>
              </w:rPr>
            </w:pPr>
            <w:r w:rsidRPr="009340A4">
              <w:rPr>
                <w:sz w:val="17"/>
                <w:szCs w:val="17"/>
              </w:rPr>
              <w:t>Widowed/Separated/Divorced</w:t>
            </w:r>
          </w:p>
        </w:tc>
        <w:tc>
          <w:tcPr>
            <w:tcW w:w="654" w:type="dxa"/>
          </w:tcPr>
          <w:p w14:paraId="664EE05C"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1.42</w:t>
            </w:r>
          </w:p>
        </w:tc>
        <w:tc>
          <w:tcPr>
            <w:tcW w:w="1190" w:type="dxa"/>
          </w:tcPr>
          <w:p w14:paraId="7B0218B0"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[1.18-1.71]</w:t>
            </w:r>
          </w:p>
        </w:tc>
        <w:tc>
          <w:tcPr>
            <w:tcW w:w="881" w:type="dxa"/>
          </w:tcPr>
          <w:p w14:paraId="1A7A0E07" w14:textId="77777777" w:rsidR="00182884" w:rsidRPr="009340A4" w:rsidRDefault="00182884" w:rsidP="009340A4">
            <w:pPr>
              <w:spacing w:after="0" w:line="240" w:lineRule="auto"/>
              <w:jc w:val="right"/>
              <w:rPr>
                <w:b/>
                <w:bCs/>
                <w:color w:val="000000"/>
                <w:sz w:val="17"/>
                <w:szCs w:val="17"/>
              </w:rPr>
            </w:pPr>
          </w:p>
        </w:tc>
        <w:tc>
          <w:tcPr>
            <w:tcW w:w="675" w:type="dxa"/>
          </w:tcPr>
          <w:p w14:paraId="5778E035"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1.21</w:t>
            </w:r>
          </w:p>
        </w:tc>
        <w:tc>
          <w:tcPr>
            <w:tcW w:w="996" w:type="dxa"/>
          </w:tcPr>
          <w:p w14:paraId="533E3DE6"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[0.99-1.47]</w:t>
            </w:r>
          </w:p>
        </w:tc>
        <w:tc>
          <w:tcPr>
            <w:tcW w:w="855" w:type="dxa"/>
          </w:tcPr>
          <w:p w14:paraId="15D988EF" w14:textId="77777777" w:rsidR="00182884" w:rsidRPr="009340A4" w:rsidRDefault="00182884" w:rsidP="009340A4">
            <w:pPr>
              <w:spacing w:after="0" w:line="240" w:lineRule="auto"/>
              <w:jc w:val="right"/>
              <w:rPr>
                <w:b/>
                <w:bCs/>
                <w:color w:val="000000"/>
                <w:sz w:val="17"/>
                <w:szCs w:val="17"/>
              </w:rPr>
            </w:pPr>
          </w:p>
        </w:tc>
        <w:tc>
          <w:tcPr>
            <w:tcW w:w="283" w:type="dxa"/>
          </w:tcPr>
          <w:p w14:paraId="5566ED46" w14:textId="77777777" w:rsidR="00182884" w:rsidRPr="009340A4" w:rsidRDefault="00182884" w:rsidP="009340A4">
            <w:pPr>
              <w:spacing w:after="0" w:line="240" w:lineRule="auto"/>
              <w:jc w:val="right"/>
              <w:rPr>
                <w:color w:val="000000"/>
                <w:sz w:val="17"/>
                <w:szCs w:val="17"/>
              </w:rPr>
            </w:pPr>
          </w:p>
        </w:tc>
        <w:tc>
          <w:tcPr>
            <w:tcW w:w="709" w:type="dxa"/>
          </w:tcPr>
          <w:p w14:paraId="68A975F6"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1.31</w:t>
            </w:r>
          </w:p>
        </w:tc>
        <w:tc>
          <w:tcPr>
            <w:tcW w:w="1129" w:type="dxa"/>
          </w:tcPr>
          <w:p w14:paraId="481F4EE9"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[1.23-1.39]</w:t>
            </w:r>
          </w:p>
        </w:tc>
        <w:tc>
          <w:tcPr>
            <w:tcW w:w="841" w:type="dxa"/>
          </w:tcPr>
          <w:p w14:paraId="742313BD" w14:textId="77777777" w:rsidR="00182884" w:rsidRPr="009340A4" w:rsidRDefault="00182884" w:rsidP="009340A4">
            <w:pPr>
              <w:spacing w:after="0" w:line="240" w:lineRule="auto"/>
              <w:jc w:val="right"/>
              <w:rPr>
                <w:color w:val="000000"/>
                <w:sz w:val="17"/>
                <w:szCs w:val="17"/>
              </w:rPr>
            </w:pPr>
          </w:p>
        </w:tc>
        <w:tc>
          <w:tcPr>
            <w:tcW w:w="814" w:type="dxa"/>
          </w:tcPr>
          <w:p w14:paraId="00B9245D"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1.08</w:t>
            </w:r>
          </w:p>
        </w:tc>
        <w:tc>
          <w:tcPr>
            <w:tcW w:w="1180" w:type="dxa"/>
          </w:tcPr>
          <w:p w14:paraId="59B4AA13"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[1.01-1.16]</w:t>
            </w:r>
          </w:p>
        </w:tc>
        <w:tc>
          <w:tcPr>
            <w:tcW w:w="960" w:type="dxa"/>
          </w:tcPr>
          <w:p w14:paraId="02ED6DC7" w14:textId="77777777" w:rsidR="00182884" w:rsidRPr="009340A4" w:rsidRDefault="00182884" w:rsidP="009340A4">
            <w:pPr>
              <w:spacing w:after="0" w:line="240" w:lineRule="auto"/>
              <w:jc w:val="right"/>
              <w:rPr>
                <w:color w:val="000000"/>
                <w:sz w:val="17"/>
                <w:szCs w:val="17"/>
              </w:rPr>
            </w:pPr>
          </w:p>
        </w:tc>
      </w:tr>
      <w:tr w:rsidR="00182884" w:rsidRPr="009340A4" w14:paraId="04778A7F" w14:textId="77777777" w:rsidTr="000A7109">
        <w:tc>
          <w:tcPr>
            <w:tcW w:w="3225" w:type="dxa"/>
            <w:gridSpan w:val="2"/>
          </w:tcPr>
          <w:p w14:paraId="335AD070" w14:textId="77777777" w:rsidR="00182884" w:rsidRPr="009340A4" w:rsidRDefault="00182884" w:rsidP="009340A4">
            <w:pPr>
              <w:spacing w:after="0" w:line="240" w:lineRule="auto"/>
              <w:rPr>
                <w:b/>
                <w:bCs/>
                <w:sz w:val="17"/>
                <w:szCs w:val="17"/>
              </w:rPr>
            </w:pPr>
            <w:r w:rsidRPr="009340A4">
              <w:rPr>
                <w:b/>
                <w:bCs/>
                <w:sz w:val="17"/>
                <w:szCs w:val="17"/>
              </w:rPr>
              <w:t>Household assets index</w:t>
            </w:r>
          </w:p>
        </w:tc>
        <w:tc>
          <w:tcPr>
            <w:tcW w:w="654" w:type="dxa"/>
          </w:tcPr>
          <w:p w14:paraId="3DFB30BB" w14:textId="77777777" w:rsidR="00182884" w:rsidRPr="009340A4" w:rsidRDefault="00182884" w:rsidP="009340A4">
            <w:pPr>
              <w:spacing w:after="0" w:line="240" w:lineRule="auto"/>
              <w:jc w:val="right"/>
              <w:rPr>
                <w:sz w:val="17"/>
                <w:szCs w:val="17"/>
              </w:rPr>
            </w:pPr>
          </w:p>
        </w:tc>
        <w:tc>
          <w:tcPr>
            <w:tcW w:w="1190" w:type="dxa"/>
          </w:tcPr>
          <w:p w14:paraId="688939D1" w14:textId="77777777" w:rsidR="00182884" w:rsidRPr="009340A4" w:rsidRDefault="00182884" w:rsidP="009340A4">
            <w:pPr>
              <w:spacing w:after="0" w:line="240" w:lineRule="auto"/>
              <w:jc w:val="right"/>
              <w:rPr>
                <w:b/>
                <w:bCs/>
                <w:sz w:val="17"/>
                <w:szCs w:val="17"/>
              </w:rPr>
            </w:pPr>
          </w:p>
        </w:tc>
        <w:tc>
          <w:tcPr>
            <w:tcW w:w="881" w:type="dxa"/>
          </w:tcPr>
          <w:p w14:paraId="737BF67E" w14:textId="77777777" w:rsidR="00182884" w:rsidRPr="009340A4" w:rsidRDefault="00182884" w:rsidP="009340A4">
            <w:pPr>
              <w:spacing w:after="0" w:line="240" w:lineRule="auto"/>
              <w:jc w:val="right"/>
              <w:rPr>
                <w:sz w:val="17"/>
                <w:szCs w:val="17"/>
              </w:rPr>
            </w:pPr>
            <w:r w:rsidRPr="009340A4">
              <w:rPr>
                <w:sz w:val="17"/>
                <w:szCs w:val="17"/>
              </w:rPr>
              <w:t>0.474</w:t>
            </w:r>
          </w:p>
        </w:tc>
        <w:tc>
          <w:tcPr>
            <w:tcW w:w="675" w:type="dxa"/>
          </w:tcPr>
          <w:p w14:paraId="75AC2B5E" w14:textId="77777777" w:rsidR="00182884" w:rsidRPr="009340A4" w:rsidRDefault="00182884" w:rsidP="009340A4">
            <w:pPr>
              <w:spacing w:after="0" w:line="240" w:lineRule="auto"/>
              <w:jc w:val="right"/>
              <w:rPr>
                <w:sz w:val="17"/>
                <w:szCs w:val="17"/>
              </w:rPr>
            </w:pPr>
          </w:p>
        </w:tc>
        <w:tc>
          <w:tcPr>
            <w:tcW w:w="996" w:type="dxa"/>
          </w:tcPr>
          <w:p w14:paraId="6908AF0E" w14:textId="77777777" w:rsidR="00182884" w:rsidRPr="009340A4" w:rsidRDefault="00182884" w:rsidP="009340A4">
            <w:pPr>
              <w:spacing w:after="0" w:line="240" w:lineRule="auto"/>
              <w:jc w:val="right"/>
              <w:rPr>
                <w:sz w:val="17"/>
                <w:szCs w:val="17"/>
              </w:rPr>
            </w:pPr>
          </w:p>
        </w:tc>
        <w:tc>
          <w:tcPr>
            <w:tcW w:w="855" w:type="dxa"/>
          </w:tcPr>
          <w:p w14:paraId="0D309A4F" w14:textId="77777777" w:rsidR="00182884" w:rsidRPr="009340A4" w:rsidRDefault="00182884" w:rsidP="009340A4">
            <w:pPr>
              <w:spacing w:after="0" w:line="240" w:lineRule="auto"/>
              <w:jc w:val="right"/>
              <w:rPr>
                <w:sz w:val="17"/>
                <w:szCs w:val="17"/>
              </w:rPr>
            </w:pPr>
            <w:r w:rsidRPr="009340A4">
              <w:rPr>
                <w:sz w:val="17"/>
                <w:szCs w:val="17"/>
              </w:rPr>
              <w:t>0.288</w:t>
            </w:r>
          </w:p>
        </w:tc>
        <w:tc>
          <w:tcPr>
            <w:tcW w:w="283" w:type="dxa"/>
          </w:tcPr>
          <w:p w14:paraId="1C9C8398" w14:textId="77777777" w:rsidR="00182884" w:rsidRPr="009340A4" w:rsidRDefault="00182884" w:rsidP="009340A4">
            <w:pPr>
              <w:spacing w:after="0" w:line="240" w:lineRule="auto"/>
              <w:jc w:val="right"/>
              <w:rPr>
                <w:sz w:val="17"/>
                <w:szCs w:val="17"/>
              </w:rPr>
            </w:pPr>
          </w:p>
        </w:tc>
        <w:tc>
          <w:tcPr>
            <w:tcW w:w="709" w:type="dxa"/>
          </w:tcPr>
          <w:p w14:paraId="3B712F38" w14:textId="77777777" w:rsidR="00182884" w:rsidRPr="009340A4" w:rsidRDefault="00182884" w:rsidP="009340A4">
            <w:pPr>
              <w:spacing w:after="0" w:line="240" w:lineRule="auto"/>
              <w:jc w:val="right"/>
              <w:rPr>
                <w:b/>
                <w:bCs/>
                <w:sz w:val="17"/>
                <w:szCs w:val="17"/>
              </w:rPr>
            </w:pPr>
          </w:p>
        </w:tc>
        <w:tc>
          <w:tcPr>
            <w:tcW w:w="1129" w:type="dxa"/>
          </w:tcPr>
          <w:p w14:paraId="002D3863" w14:textId="77777777" w:rsidR="00182884" w:rsidRPr="009340A4" w:rsidRDefault="00182884" w:rsidP="009340A4">
            <w:pPr>
              <w:spacing w:after="0" w:line="240" w:lineRule="auto"/>
              <w:jc w:val="right"/>
              <w:rPr>
                <w:b/>
                <w:bCs/>
                <w:sz w:val="17"/>
                <w:szCs w:val="17"/>
              </w:rPr>
            </w:pPr>
          </w:p>
        </w:tc>
        <w:tc>
          <w:tcPr>
            <w:tcW w:w="841" w:type="dxa"/>
          </w:tcPr>
          <w:p w14:paraId="61D8D48D" w14:textId="77777777" w:rsidR="00182884" w:rsidRPr="009340A4" w:rsidRDefault="00182884" w:rsidP="009340A4">
            <w:pPr>
              <w:spacing w:after="0" w:line="240" w:lineRule="auto"/>
              <w:jc w:val="right"/>
              <w:rPr>
                <w:sz w:val="17"/>
                <w:szCs w:val="17"/>
              </w:rPr>
            </w:pPr>
            <w:r w:rsidRPr="009340A4">
              <w:rPr>
                <w:b/>
                <w:bCs/>
                <w:color w:val="000000" w:themeColor="text1"/>
                <w:sz w:val="17"/>
                <w:szCs w:val="17"/>
              </w:rPr>
              <w:t>0.001</w:t>
            </w:r>
          </w:p>
        </w:tc>
        <w:tc>
          <w:tcPr>
            <w:tcW w:w="814" w:type="dxa"/>
          </w:tcPr>
          <w:p w14:paraId="565F13F8" w14:textId="77777777" w:rsidR="00182884" w:rsidRPr="009340A4" w:rsidRDefault="00182884" w:rsidP="009340A4">
            <w:pPr>
              <w:spacing w:after="0" w:line="240" w:lineRule="auto"/>
              <w:jc w:val="right"/>
              <w:rPr>
                <w:b/>
                <w:bCs/>
                <w:sz w:val="17"/>
                <w:szCs w:val="17"/>
              </w:rPr>
            </w:pPr>
          </w:p>
        </w:tc>
        <w:tc>
          <w:tcPr>
            <w:tcW w:w="1180" w:type="dxa"/>
          </w:tcPr>
          <w:p w14:paraId="188DE4CB" w14:textId="77777777" w:rsidR="00182884" w:rsidRPr="009340A4" w:rsidRDefault="00182884" w:rsidP="009340A4">
            <w:pPr>
              <w:spacing w:after="0" w:line="240" w:lineRule="auto"/>
              <w:jc w:val="right"/>
              <w:rPr>
                <w:b/>
                <w:bCs/>
                <w:sz w:val="17"/>
                <w:szCs w:val="17"/>
              </w:rPr>
            </w:pPr>
          </w:p>
        </w:tc>
        <w:tc>
          <w:tcPr>
            <w:tcW w:w="960" w:type="dxa"/>
          </w:tcPr>
          <w:p w14:paraId="168EEF1B" w14:textId="77777777" w:rsidR="00182884" w:rsidRPr="009340A4" w:rsidRDefault="00182884" w:rsidP="009340A4">
            <w:pPr>
              <w:spacing w:after="0" w:line="240" w:lineRule="auto"/>
              <w:jc w:val="right"/>
              <w:rPr>
                <w:b/>
                <w:bCs/>
                <w:sz w:val="17"/>
                <w:szCs w:val="17"/>
              </w:rPr>
            </w:pPr>
            <w:r w:rsidRPr="009340A4">
              <w:rPr>
                <w:b/>
                <w:bCs/>
                <w:sz w:val="17"/>
                <w:szCs w:val="17"/>
              </w:rPr>
              <w:t>0.009</w:t>
            </w:r>
          </w:p>
        </w:tc>
      </w:tr>
      <w:tr w:rsidR="00182884" w:rsidRPr="009340A4" w14:paraId="4D713E24" w14:textId="77777777" w:rsidTr="000A7109">
        <w:tc>
          <w:tcPr>
            <w:tcW w:w="345" w:type="dxa"/>
          </w:tcPr>
          <w:p w14:paraId="7908D9A3" w14:textId="77777777" w:rsidR="00182884" w:rsidRPr="009340A4" w:rsidRDefault="00182884" w:rsidP="009340A4">
            <w:pPr>
              <w:spacing w:after="0" w:line="240" w:lineRule="auto"/>
              <w:rPr>
                <w:sz w:val="17"/>
                <w:szCs w:val="17"/>
              </w:rPr>
            </w:pPr>
          </w:p>
        </w:tc>
        <w:tc>
          <w:tcPr>
            <w:tcW w:w="2880" w:type="dxa"/>
          </w:tcPr>
          <w:p w14:paraId="6392488F" w14:textId="77777777" w:rsidR="00182884" w:rsidRPr="009340A4" w:rsidRDefault="00182884" w:rsidP="009340A4">
            <w:pPr>
              <w:spacing w:after="0" w:line="240" w:lineRule="auto"/>
              <w:rPr>
                <w:sz w:val="17"/>
                <w:szCs w:val="17"/>
              </w:rPr>
            </w:pPr>
            <w:r w:rsidRPr="009340A4">
              <w:rPr>
                <w:sz w:val="17"/>
                <w:szCs w:val="17"/>
              </w:rPr>
              <w:t>40% poorest</w:t>
            </w:r>
          </w:p>
        </w:tc>
        <w:tc>
          <w:tcPr>
            <w:tcW w:w="654" w:type="dxa"/>
          </w:tcPr>
          <w:p w14:paraId="7DF68A02" w14:textId="77777777" w:rsidR="00182884" w:rsidRPr="009340A4" w:rsidRDefault="00182884" w:rsidP="009340A4">
            <w:pPr>
              <w:spacing w:after="0" w:line="240" w:lineRule="auto"/>
              <w:jc w:val="right"/>
              <w:rPr>
                <w:color w:val="000000"/>
                <w:sz w:val="17"/>
                <w:szCs w:val="17"/>
              </w:rPr>
            </w:pPr>
            <w:r w:rsidRPr="009340A4">
              <w:rPr>
                <w:i/>
                <w:iCs/>
                <w:sz w:val="17"/>
                <w:szCs w:val="17"/>
              </w:rPr>
              <w:t>ref.</w:t>
            </w:r>
          </w:p>
        </w:tc>
        <w:tc>
          <w:tcPr>
            <w:tcW w:w="1190" w:type="dxa"/>
          </w:tcPr>
          <w:p w14:paraId="76197CCA" w14:textId="77777777" w:rsidR="00182884" w:rsidRPr="009340A4" w:rsidRDefault="00182884" w:rsidP="009340A4">
            <w:pPr>
              <w:spacing w:after="0" w:line="240" w:lineRule="auto"/>
              <w:jc w:val="right"/>
              <w:rPr>
                <w:color w:val="000000"/>
                <w:sz w:val="17"/>
                <w:szCs w:val="17"/>
              </w:rPr>
            </w:pPr>
            <w:r w:rsidRPr="009340A4">
              <w:rPr>
                <w:i/>
                <w:iCs/>
                <w:sz w:val="17"/>
                <w:szCs w:val="17"/>
              </w:rPr>
              <w:t>ref.</w:t>
            </w:r>
          </w:p>
        </w:tc>
        <w:tc>
          <w:tcPr>
            <w:tcW w:w="881" w:type="dxa"/>
          </w:tcPr>
          <w:p w14:paraId="4AD53A35" w14:textId="77777777" w:rsidR="00182884" w:rsidRPr="009340A4" w:rsidRDefault="00182884" w:rsidP="009340A4">
            <w:pPr>
              <w:spacing w:after="0" w:line="240" w:lineRule="auto"/>
              <w:jc w:val="right"/>
              <w:rPr>
                <w:color w:val="000000"/>
                <w:sz w:val="17"/>
                <w:szCs w:val="17"/>
              </w:rPr>
            </w:pPr>
          </w:p>
        </w:tc>
        <w:tc>
          <w:tcPr>
            <w:tcW w:w="675" w:type="dxa"/>
          </w:tcPr>
          <w:p w14:paraId="7126E196" w14:textId="77777777" w:rsidR="00182884" w:rsidRPr="009340A4" w:rsidRDefault="00182884" w:rsidP="009340A4">
            <w:pPr>
              <w:spacing w:after="0" w:line="240" w:lineRule="auto"/>
              <w:jc w:val="right"/>
              <w:rPr>
                <w:color w:val="000000"/>
                <w:sz w:val="17"/>
                <w:szCs w:val="17"/>
              </w:rPr>
            </w:pPr>
            <w:r w:rsidRPr="009340A4">
              <w:rPr>
                <w:i/>
                <w:iCs/>
                <w:sz w:val="17"/>
                <w:szCs w:val="17"/>
              </w:rPr>
              <w:t>ref.</w:t>
            </w:r>
          </w:p>
        </w:tc>
        <w:tc>
          <w:tcPr>
            <w:tcW w:w="996" w:type="dxa"/>
          </w:tcPr>
          <w:p w14:paraId="7BA92BA1" w14:textId="77777777" w:rsidR="00182884" w:rsidRPr="009340A4" w:rsidRDefault="00182884" w:rsidP="009340A4">
            <w:pPr>
              <w:spacing w:after="0" w:line="240" w:lineRule="auto"/>
              <w:jc w:val="right"/>
              <w:rPr>
                <w:color w:val="000000"/>
                <w:sz w:val="17"/>
                <w:szCs w:val="17"/>
              </w:rPr>
            </w:pPr>
            <w:r w:rsidRPr="009340A4">
              <w:rPr>
                <w:i/>
                <w:iCs/>
                <w:sz w:val="17"/>
                <w:szCs w:val="17"/>
              </w:rPr>
              <w:t>ref.</w:t>
            </w:r>
          </w:p>
        </w:tc>
        <w:tc>
          <w:tcPr>
            <w:tcW w:w="855" w:type="dxa"/>
          </w:tcPr>
          <w:p w14:paraId="23FBAE4F" w14:textId="77777777" w:rsidR="00182884" w:rsidRPr="009340A4" w:rsidRDefault="00182884" w:rsidP="009340A4">
            <w:pPr>
              <w:spacing w:after="0" w:line="240" w:lineRule="auto"/>
              <w:jc w:val="right"/>
              <w:rPr>
                <w:color w:val="000000"/>
                <w:sz w:val="17"/>
                <w:szCs w:val="17"/>
              </w:rPr>
            </w:pPr>
          </w:p>
        </w:tc>
        <w:tc>
          <w:tcPr>
            <w:tcW w:w="283" w:type="dxa"/>
          </w:tcPr>
          <w:p w14:paraId="095AD90E" w14:textId="77777777" w:rsidR="00182884" w:rsidRPr="009340A4" w:rsidRDefault="00182884" w:rsidP="009340A4">
            <w:pPr>
              <w:spacing w:after="0" w:line="240" w:lineRule="auto"/>
              <w:jc w:val="right"/>
              <w:rPr>
                <w:color w:val="000000"/>
                <w:sz w:val="17"/>
                <w:szCs w:val="17"/>
              </w:rPr>
            </w:pPr>
          </w:p>
        </w:tc>
        <w:tc>
          <w:tcPr>
            <w:tcW w:w="709" w:type="dxa"/>
          </w:tcPr>
          <w:p w14:paraId="7D45A514" w14:textId="77777777" w:rsidR="00182884" w:rsidRPr="009340A4" w:rsidRDefault="00182884" w:rsidP="009340A4">
            <w:pPr>
              <w:spacing w:after="0" w:line="240" w:lineRule="auto"/>
              <w:jc w:val="right"/>
              <w:rPr>
                <w:color w:val="000000"/>
                <w:sz w:val="17"/>
                <w:szCs w:val="17"/>
              </w:rPr>
            </w:pPr>
            <w:r w:rsidRPr="009340A4">
              <w:rPr>
                <w:i/>
                <w:iCs/>
                <w:sz w:val="17"/>
                <w:szCs w:val="17"/>
              </w:rPr>
              <w:t>ref.</w:t>
            </w:r>
          </w:p>
        </w:tc>
        <w:tc>
          <w:tcPr>
            <w:tcW w:w="1129" w:type="dxa"/>
          </w:tcPr>
          <w:p w14:paraId="73DAFCE7" w14:textId="77777777" w:rsidR="00182884" w:rsidRPr="009340A4" w:rsidRDefault="00182884" w:rsidP="009340A4">
            <w:pPr>
              <w:spacing w:after="0" w:line="240" w:lineRule="auto"/>
              <w:jc w:val="right"/>
              <w:rPr>
                <w:color w:val="000000"/>
                <w:sz w:val="17"/>
                <w:szCs w:val="17"/>
              </w:rPr>
            </w:pPr>
            <w:r w:rsidRPr="009340A4">
              <w:rPr>
                <w:i/>
                <w:iCs/>
                <w:sz w:val="17"/>
                <w:szCs w:val="17"/>
              </w:rPr>
              <w:t>ref.</w:t>
            </w:r>
          </w:p>
        </w:tc>
        <w:tc>
          <w:tcPr>
            <w:tcW w:w="841" w:type="dxa"/>
          </w:tcPr>
          <w:p w14:paraId="332527E0" w14:textId="77777777" w:rsidR="00182884" w:rsidRPr="009340A4" w:rsidRDefault="00182884" w:rsidP="009340A4">
            <w:pPr>
              <w:spacing w:after="0" w:line="240" w:lineRule="auto"/>
              <w:jc w:val="right"/>
              <w:rPr>
                <w:color w:val="000000"/>
                <w:sz w:val="17"/>
                <w:szCs w:val="17"/>
              </w:rPr>
            </w:pPr>
          </w:p>
        </w:tc>
        <w:tc>
          <w:tcPr>
            <w:tcW w:w="814" w:type="dxa"/>
          </w:tcPr>
          <w:p w14:paraId="33777CE4" w14:textId="77777777" w:rsidR="00182884" w:rsidRPr="009340A4" w:rsidRDefault="00182884" w:rsidP="009340A4">
            <w:pPr>
              <w:spacing w:after="0" w:line="240" w:lineRule="auto"/>
              <w:jc w:val="right"/>
              <w:rPr>
                <w:color w:val="000000"/>
                <w:sz w:val="17"/>
                <w:szCs w:val="17"/>
              </w:rPr>
            </w:pPr>
            <w:r w:rsidRPr="009340A4">
              <w:rPr>
                <w:i/>
                <w:iCs/>
                <w:sz w:val="17"/>
                <w:szCs w:val="17"/>
              </w:rPr>
              <w:t>ref.</w:t>
            </w:r>
          </w:p>
        </w:tc>
        <w:tc>
          <w:tcPr>
            <w:tcW w:w="1180" w:type="dxa"/>
          </w:tcPr>
          <w:p w14:paraId="09FEF95E" w14:textId="77777777" w:rsidR="00182884" w:rsidRPr="009340A4" w:rsidRDefault="00182884" w:rsidP="009340A4">
            <w:pPr>
              <w:spacing w:after="0" w:line="240" w:lineRule="auto"/>
              <w:jc w:val="right"/>
              <w:rPr>
                <w:color w:val="000000"/>
                <w:sz w:val="17"/>
                <w:szCs w:val="17"/>
              </w:rPr>
            </w:pPr>
            <w:r w:rsidRPr="009340A4">
              <w:rPr>
                <w:i/>
                <w:iCs/>
                <w:sz w:val="17"/>
                <w:szCs w:val="17"/>
              </w:rPr>
              <w:t>ref.</w:t>
            </w:r>
          </w:p>
        </w:tc>
        <w:tc>
          <w:tcPr>
            <w:tcW w:w="960" w:type="dxa"/>
          </w:tcPr>
          <w:p w14:paraId="15B14A04" w14:textId="77777777" w:rsidR="00182884" w:rsidRPr="009340A4" w:rsidRDefault="00182884" w:rsidP="009340A4">
            <w:pPr>
              <w:spacing w:after="0" w:line="240" w:lineRule="auto"/>
              <w:jc w:val="right"/>
              <w:rPr>
                <w:color w:val="000000"/>
                <w:sz w:val="17"/>
                <w:szCs w:val="17"/>
              </w:rPr>
            </w:pPr>
          </w:p>
        </w:tc>
      </w:tr>
      <w:tr w:rsidR="00182884" w:rsidRPr="009340A4" w14:paraId="03231514" w14:textId="77777777" w:rsidTr="000A7109">
        <w:tc>
          <w:tcPr>
            <w:tcW w:w="345" w:type="dxa"/>
          </w:tcPr>
          <w:p w14:paraId="0C69B7E2" w14:textId="77777777" w:rsidR="00182884" w:rsidRPr="009340A4" w:rsidRDefault="00182884" w:rsidP="009340A4">
            <w:pPr>
              <w:spacing w:after="0" w:line="240" w:lineRule="auto"/>
              <w:rPr>
                <w:sz w:val="17"/>
                <w:szCs w:val="17"/>
              </w:rPr>
            </w:pPr>
          </w:p>
        </w:tc>
        <w:tc>
          <w:tcPr>
            <w:tcW w:w="2880" w:type="dxa"/>
          </w:tcPr>
          <w:p w14:paraId="4EC0138C" w14:textId="77777777" w:rsidR="00182884" w:rsidRPr="009340A4" w:rsidRDefault="00182884" w:rsidP="009340A4">
            <w:pPr>
              <w:spacing w:after="0" w:line="240" w:lineRule="auto"/>
              <w:rPr>
                <w:sz w:val="17"/>
                <w:szCs w:val="17"/>
              </w:rPr>
            </w:pPr>
            <w:r w:rsidRPr="009340A4">
              <w:rPr>
                <w:sz w:val="17"/>
                <w:szCs w:val="17"/>
              </w:rPr>
              <w:t>40% wealth middle</w:t>
            </w:r>
          </w:p>
        </w:tc>
        <w:tc>
          <w:tcPr>
            <w:tcW w:w="654" w:type="dxa"/>
          </w:tcPr>
          <w:p w14:paraId="39BAAF69" w14:textId="77777777" w:rsidR="00182884" w:rsidRPr="009340A4" w:rsidRDefault="00182884" w:rsidP="009340A4">
            <w:pPr>
              <w:spacing w:after="0" w:line="240" w:lineRule="auto"/>
              <w:jc w:val="right"/>
              <w:rPr>
                <w:i/>
                <w:iCs/>
                <w:sz w:val="17"/>
                <w:szCs w:val="17"/>
              </w:rPr>
            </w:pPr>
            <w:r w:rsidRPr="009340A4">
              <w:rPr>
                <w:color w:val="000000" w:themeColor="text1"/>
                <w:sz w:val="17"/>
                <w:szCs w:val="17"/>
              </w:rPr>
              <w:t>1.07</w:t>
            </w:r>
          </w:p>
        </w:tc>
        <w:tc>
          <w:tcPr>
            <w:tcW w:w="1190" w:type="dxa"/>
          </w:tcPr>
          <w:p w14:paraId="49E828E9" w14:textId="77777777" w:rsidR="00182884" w:rsidRPr="009340A4" w:rsidRDefault="00182884" w:rsidP="009340A4">
            <w:pPr>
              <w:spacing w:after="0" w:line="240" w:lineRule="auto"/>
              <w:jc w:val="right"/>
              <w:rPr>
                <w:b/>
                <w:bCs/>
                <w:i/>
                <w:iCs/>
                <w:sz w:val="17"/>
                <w:szCs w:val="17"/>
              </w:rPr>
            </w:pPr>
            <w:r w:rsidRPr="009340A4">
              <w:rPr>
                <w:color w:val="000000" w:themeColor="text1"/>
                <w:sz w:val="17"/>
                <w:szCs w:val="17"/>
              </w:rPr>
              <w:t>[0.96-1.19]</w:t>
            </w:r>
          </w:p>
        </w:tc>
        <w:tc>
          <w:tcPr>
            <w:tcW w:w="881" w:type="dxa"/>
          </w:tcPr>
          <w:p w14:paraId="6A763D59" w14:textId="77777777" w:rsidR="00182884" w:rsidRPr="009340A4" w:rsidRDefault="00182884" w:rsidP="009340A4">
            <w:pPr>
              <w:spacing w:after="0" w:line="240" w:lineRule="auto"/>
              <w:jc w:val="right"/>
              <w:rPr>
                <w:i/>
                <w:iCs/>
                <w:sz w:val="17"/>
                <w:szCs w:val="17"/>
              </w:rPr>
            </w:pPr>
          </w:p>
        </w:tc>
        <w:tc>
          <w:tcPr>
            <w:tcW w:w="675" w:type="dxa"/>
          </w:tcPr>
          <w:p w14:paraId="551C5CD7" w14:textId="77777777" w:rsidR="00182884" w:rsidRPr="009340A4" w:rsidRDefault="00182884" w:rsidP="009340A4">
            <w:pPr>
              <w:spacing w:after="0" w:line="240" w:lineRule="auto"/>
              <w:jc w:val="right"/>
              <w:rPr>
                <w:i/>
                <w:iCs/>
                <w:sz w:val="17"/>
                <w:szCs w:val="17"/>
              </w:rPr>
            </w:pPr>
            <w:r w:rsidRPr="009340A4">
              <w:rPr>
                <w:color w:val="000000" w:themeColor="text1"/>
                <w:sz w:val="17"/>
                <w:szCs w:val="17"/>
              </w:rPr>
              <w:t>1.06</w:t>
            </w:r>
          </w:p>
        </w:tc>
        <w:tc>
          <w:tcPr>
            <w:tcW w:w="996" w:type="dxa"/>
          </w:tcPr>
          <w:p w14:paraId="3C229852" w14:textId="77777777" w:rsidR="00182884" w:rsidRPr="009340A4" w:rsidRDefault="00182884" w:rsidP="009340A4">
            <w:pPr>
              <w:spacing w:after="0" w:line="240" w:lineRule="auto"/>
              <w:jc w:val="right"/>
              <w:rPr>
                <w:b/>
                <w:bCs/>
                <w:i/>
                <w:iCs/>
                <w:sz w:val="17"/>
                <w:szCs w:val="17"/>
              </w:rPr>
            </w:pPr>
            <w:r w:rsidRPr="009340A4">
              <w:rPr>
                <w:color w:val="000000" w:themeColor="text1"/>
                <w:sz w:val="17"/>
                <w:szCs w:val="17"/>
              </w:rPr>
              <w:t>[0.96-1.17]</w:t>
            </w:r>
          </w:p>
        </w:tc>
        <w:tc>
          <w:tcPr>
            <w:tcW w:w="855" w:type="dxa"/>
          </w:tcPr>
          <w:p w14:paraId="163A5111" w14:textId="77777777" w:rsidR="00182884" w:rsidRPr="009340A4" w:rsidRDefault="00182884" w:rsidP="009340A4">
            <w:pPr>
              <w:spacing w:after="0" w:line="240" w:lineRule="auto"/>
              <w:jc w:val="right"/>
              <w:rPr>
                <w:i/>
                <w:iCs/>
                <w:sz w:val="17"/>
                <w:szCs w:val="17"/>
              </w:rPr>
            </w:pPr>
          </w:p>
        </w:tc>
        <w:tc>
          <w:tcPr>
            <w:tcW w:w="283" w:type="dxa"/>
          </w:tcPr>
          <w:p w14:paraId="5644B365" w14:textId="77777777" w:rsidR="00182884" w:rsidRPr="009340A4" w:rsidRDefault="00182884" w:rsidP="009340A4">
            <w:pPr>
              <w:spacing w:after="0" w:line="240" w:lineRule="auto"/>
              <w:jc w:val="right"/>
              <w:rPr>
                <w:b/>
                <w:bCs/>
                <w:i/>
                <w:iCs/>
                <w:sz w:val="17"/>
                <w:szCs w:val="17"/>
              </w:rPr>
            </w:pPr>
          </w:p>
        </w:tc>
        <w:tc>
          <w:tcPr>
            <w:tcW w:w="709" w:type="dxa"/>
          </w:tcPr>
          <w:p w14:paraId="24A308B4" w14:textId="77777777" w:rsidR="00182884" w:rsidRPr="009340A4" w:rsidRDefault="00182884" w:rsidP="009340A4">
            <w:pPr>
              <w:spacing w:after="0" w:line="240" w:lineRule="auto"/>
              <w:jc w:val="right"/>
              <w:rPr>
                <w:i/>
                <w:iCs/>
                <w:sz w:val="17"/>
                <w:szCs w:val="17"/>
              </w:rPr>
            </w:pPr>
            <w:r w:rsidRPr="009340A4">
              <w:rPr>
                <w:color w:val="000000" w:themeColor="text1"/>
                <w:sz w:val="17"/>
                <w:szCs w:val="17"/>
              </w:rPr>
              <w:t>1.15</w:t>
            </w:r>
          </w:p>
        </w:tc>
        <w:tc>
          <w:tcPr>
            <w:tcW w:w="1129" w:type="dxa"/>
          </w:tcPr>
          <w:p w14:paraId="1D91A128" w14:textId="77777777" w:rsidR="00182884" w:rsidRPr="009340A4" w:rsidRDefault="00182884" w:rsidP="009340A4">
            <w:pPr>
              <w:spacing w:after="0" w:line="240" w:lineRule="auto"/>
              <w:jc w:val="right"/>
              <w:rPr>
                <w:b/>
                <w:bCs/>
                <w:i/>
                <w:iCs/>
                <w:sz w:val="17"/>
                <w:szCs w:val="17"/>
              </w:rPr>
            </w:pPr>
            <w:r w:rsidRPr="009340A4">
              <w:rPr>
                <w:color w:val="000000" w:themeColor="text1"/>
                <w:sz w:val="17"/>
                <w:szCs w:val="17"/>
              </w:rPr>
              <w:t>[1.06-1.24]</w:t>
            </w:r>
          </w:p>
        </w:tc>
        <w:tc>
          <w:tcPr>
            <w:tcW w:w="841" w:type="dxa"/>
          </w:tcPr>
          <w:p w14:paraId="76E0451C" w14:textId="77777777" w:rsidR="00182884" w:rsidRPr="009340A4" w:rsidRDefault="00182884" w:rsidP="009340A4">
            <w:pPr>
              <w:spacing w:after="0" w:line="240" w:lineRule="auto"/>
              <w:jc w:val="right"/>
              <w:rPr>
                <w:b/>
                <w:bCs/>
                <w:sz w:val="17"/>
                <w:szCs w:val="17"/>
              </w:rPr>
            </w:pPr>
          </w:p>
        </w:tc>
        <w:tc>
          <w:tcPr>
            <w:tcW w:w="814" w:type="dxa"/>
          </w:tcPr>
          <w:p w14:paraId="14C82B40" w14:textId="77777777" w:rsidR="00182884" w:rsidRPr="009340A4" w:rsidRDefault="00182884" w:rsidP="009340A4">
            <w:pPr>
              <w:spacing w:after="0" w:line="240" w:lineRule="auto"/>
              <w:jc w:val="right"/>
              <w:rPr>
                <w:i/>
                <w:iCs/>
                <w:sz w:val="17"/>
                <w:szCs w:val="17"/>
              </w:rPr>
            </w:pPr>
            <w:r w:rsidRPr="009340A4">
              <w:rPr>
                <w:color w:val="000000" w:themeColor="text1"/>
                <w:sz w:val="17"/>
                <w:szCs w:val="17"/>
              </w:rPr>
              <w:t>1.04</w:t>
            </w:r>
          </w:p>
        </w:tc>
        <w:tc>
          <w:tcPr>
            <w:tcW w:w="1180" w:type="dxa"/>
          </w:tcPr>
          <w:p w14:paraId="5E2FF543" w14:textId="77777777" w:rsidR="00182884" w:rsidRPr="009340A4" w:rsidRDefault="00182884" w:rsidP="009340A4">
            <w:pPr>
              <w:spacing w:after="0" w:line="240" w:lineRule="auto"/>
              <w:jc w:val="right"/>
              <w:rPr>
                <w:b/>
                <w:bCs/>
                <w:i/>
                <w:iCs/>
                <w:sz w:val="17"/>
                <w:szCs w:val="17"/>
              </w:rPr>
            </w:pPr>
            <w:r w:rsidRPr="009340A4">
              <w:rPr>
                <w:color w:val="000000" w:themeColor="text1"/>
                <w:sz w:val="17"/>
                <w:szCs w:val="17"/>
              </w:rPr>
              <w:t>[0.99-1.09]</w:t>
            </w:r>
          </w:p>
        </w:tc>
        <w:tc>
          <w:tcPr>
            <w:tcW w:w="960" w:type="dxa"/>
          </w:tcPr>
          <w:p w14:paraId="70E10253" w14:textId="77777777" w:rsidR="00182884" w:rsidRPr="009340A4" w:rsidRDefault="00182884" w:rsidP="009340A4">
            <w:pPr>
              <w:spacing w:after="0" w:line="240" w:lineRule="auto"/>
              <w:jc w:val="right"/>
              <w:rPr>
                <w:sz w:val="17"/>
                <w:szCs w:val="17"/>
              </w:rPr>
            </w:pPr>
          </w:p>
        </w:tc>
      </w:tr>
      <w:tr w:rsidR="00182884" w:rsidRPr="009340A4" w14:paraId="0EA96796" w14:textId="77777777" w:rsidTr="000A7109">
        <w:tc>
          <w:tcPr>
            <w:tcW w:w="345" w:type="dxa"/>
          </w:tcPr>
          <w:p w14:paraId="73EC5B88" w14:textId="77777777" w:rsidR="00182884" w:rsidRPr="009340A4" w:rsidRDefault="00182884" w:rsidP="009340A4">
            <w:pPr>
              <w:spacing w:after="0" w:line="240" w:lineRule="auto"/>
              <w:rPr>
                <w:sz w:val="17"/>
                <w:szCs w:val="17"/>
              </w:rPr>
            </w:pPr>
          </w:p>
        </w:tc>
        <w:tc>
          <w:tcPr>
            <w:tcW w:w="2880" w:type="dxa"/>
          </w:tcPr>
          <w:p w14:paraId="4D80643F" w14:textId="77777777" w:rsidR="00182884" w:rsidRPr="009340A4" w:rsidRDefault="00182884" w:rsidP="009340A4">
            <w:pPr>
              <w:spacing w:after="0" w:line="240" w:lineRule="auto"/>
              <w:rPr>
                <w:sz w:val="17"/>
                <w:szCs w:val="17"/>
              </w:rPr>
            </w:pPr>
            <w:r w:rsidRPr="009340A4">
              <w:rPr>
                <w:sz w:val="17"/>
                <w:szCs w:val="17"/>
              </w:rPr>
              <w:t>20% richest</w:t>
            </w:r>
          </w:p>
        </w:tc>
        <w:tc>
          <w:tcPr>
            <w:tcW w:w="654" w:type="dxa"/>
          </w:tcPr>
          <w:p w14:paraId="5192AEC2"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1.04</w:t>
            </w:r>
          </w:p>
        </w:tc>
        <w:tc>
          <w:tcPr>
            <w:tcW w:w="1190" w:type="dxa"/>
          </w:tcPr>
          <w:p w14:paraId="03473B92"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[0.95-1.14]</w:t>
            </w:r>
          </w:p>
        </w:tc>
        <w:tc>
          <w:tcPr>
            <w:tcW w:w="881" w:type="dxa"/>
          </w:tcPr>
          <w:p w14:paraId="5EC50383" w14:textId="77777777" w:rsidR="00182884" w:rsidRPr="009340A4" w:rsidRDefault="00182884" w:rsidP="009340A4">
            <w:pPr>
              <w:spacing w:after="0" w:line="240" w:lineRule="auto"/>
              <w:jc w:val="right"/>
              <w:rPr>
                <w:color w:val="000000"/>
                <w:sz w:val="17"/>
                <w:szCs w:val="17"/>
              </w:rPr>
            </w:pPr>
          </w:p>
        </w:tc>
        <w:tc>
          <w:tcPr>
            <w:tcW w:w="675" w:type="dxa"/>
          </w:tcPr>
          <w:p w14:paraId="4724B0A1"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1.07</w:t>
            </w:r>
          </w:p>
        </w:tc>
        <w:tc>
          <w:tcPr>
            <w:tcW w:w="996" w:type="dxa"/>
          </w:tcPr>
          <w:p w14:paraId="6598DA84"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[0.92-1.24]</w:t>
            </w:r>
          </w:p>
        </w:tc>
        <w:tc>
          <w:tcPr>
            <w:tcW w:w="855" w:type="dxa"/>
          </w:tcPr>
          <w:p w14:paraId="3403E57A" w14:textId="77777777" w:rsidR="00182884" w:rsidRPr="009340A4" w:rsidRDefault="00182884" w:rsidP="009340A4">
            <w:pPr>
              <w:spacing w:after="0" w:line="240" w:lineRule="auto"/>
              <w:jc w:val="right"/>
              <w:rPr>
                <w:color w:val="000000"/>
                <w:sz w:val="17"/>
                <w:szCs w:val="17"/>
              </w:rPr>
            </w:pPr>
          </w:p>
        </w:tc>
        <w:tc>
          <w:tcPr>
            <w:tcW w:w="283" w:type="dxa"/>
          </w:tcPr>
          <w:p w14:paraId="148745E6" w14:textId="77777777" w:rsidR="00182884" w:rsidRPr="009340A4" w:rsidRDefault="00182884" w:rsidP="009340A4">
            <w:pPr>
              <w:spacing w:after="0" w:line="240" w:lineRule="auto"/>
              <w:jc w:val="right"/>
              <w:rPr>
                <w:color w:val="000000"/>
                <w:sz w:val="17"/>
                <w:szCs w:val="17"/>
              </w:rPr>
            </w:pPr>
          </w:p>
        </w:tc>
        <w:tc>
          <w:tcPr>
            <w:tcW w:w="709" w:type="dxa"/>
          </w:tcPr>
          <w:p w14:paraId="24915476"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1.02</w:t>
            </w:r>
          </w:p>
        </w:tc>
        <w:tc>
          <w:tcPr>
            <w:tcW w:w="1129" w:type="dxa"/>
          </w:tcPr>
          <w:p w14:paraId="7661E66A"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[0.94-1.10]</w:t>
            </w:r>
          </w:p>
        </w:tc>
        <w:tc>
          <w:tcPr>
            <w:tcW w:w="841" w:type="dxa"/>
          </w:tcPr>
          <w:p w14:paraId="24D16F83" w14:textId="77777777" w:rsidR="00182884" w:rsidRPr="009340A4" w:rsidRDefault="00182884" w:rsidP="009340A4">
            <w:pPr>
              <w:spacing w:after="0" w:line="240" w:lineRule="auto"/>
              <w:jc w:val="right"/>
              <w:rPr>
                <w:color w:val="000000"/>
                <w:sz w:val="17"/>
                <w:szCs w:val="17"/>
              </w:rPr>
            </w:pPr>
          </w:p>
        </w:tc>
        <w:tc>
          <w:tcPr>
            <w:tcW w:w="814" w:type="dxa"/>
          </w:tcPr>
          <w:p w14:paraId="11AFC9F0"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1.11</w:t>
            </w:r>
          </w:p>
        </w:tc>
        <w:tc>
          <w:tcPr>
            <w:tcW w:w="1180" w:type="dxa"/>
          </w:tcPr>
          <w:p w14:paraId="1FE2AB65"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[1.04-1.19]</w:t>
            </w:r>
          </w:p>
        </w:tc>
        <w:tc>
          <w:tcPr>
            <w:tcW w:w="960" w:type="dxa"/>
          </w:tcPr>
          <w:p w14:paraId="55D605CD" w14:textId="77777777" w:rsidR="00182884" w:rsidRPr="009340A4" w:rsidRDefault="00182884" w:rsidP="009340A4">
            <w:pPr>
              <w:spacing w:after="0" w:line="240" w:lineRule="auto"/>
              <w:jc w:val="right"/>
              <w:rPr>
                <w:color w:val="000000"/>
                <w:sz w:val="17"/>
                <w:szCs w:val="17"/>
              </w:rPr>
            </w:pPr>
          </w:p>
        </w:tc>
      </w:tr>
      <w:tr w:rsidR="00182884" w:rsidRPr="009340A4" w14:paraId="0C9D72D4" w14:textId="77777777" w:rsidTr="000A7109">
        <w:tc>
          <w:tcPr>
            <w:tcW w:w="3225" w:type="dxa"/>
            <w:gridSpan w:val="2"/>
          </w:tcPr>
          <w:p w14:paraId="13F79E5E" w14:textId="77777777" w:rsidR="00182884" w:rsidRPr="009340A4" w:rsidRDefault="00182884" w:rsidP="009340A4">
            <w:pPr>
              <w:spacing w:after="0" w:line="240" w:lineRule="auto"/>
              <w:rPr>
                <w:b/>
                <w:bCs/>
                <w:sz w:val="17"/>
                <w:szCs w:val="17"/>
              </w:rPr>
            </w:pPr>
            <w:r w:rsidRPr="009340A4">
              <w:rPr>
                <w:b/>
                <w:bCs/>
                <w:sz w:val="17"/>
                <w:szCs w:val="17"/>
              </w:rPr>
              <w:t>Professional situation</w:t>
            </w:r>
          </w:p>
        </w:tc>
        <w:tc>
          <w:tcPr>
            <w:tcW w:w="654" w:type="dxa"/>
          </w:tcPr>
          <w:p w14:paraId="1D832A75" w14:textId="77777777" w:rsidR="00182884" w:rsidRPr="009340A4" w:rsidRDefault="00182884" w:rsidP="009340A4">
            <w:pPr>
              <w:spacing w:after="0" w:line="240" w:lineRule="auto"/>
              <w:jc w:val="right"/>
              <w:rPr>
                <w:sz w:val="17"/>
                <w:szCs w:val="17"/>
              </w:rPr>
            </w:pPr>
          </w:p>
        </w:tc>
        <w:tc>
          <w:tcPr>
            <w:tcW w:w="1190" w:type="dxa"/>
          </w:tcPr>
          <w:p w14:paraId="4C0087B8" w14:textId="77777777" w:rsidR="00182884" w:rsidRPr="009340A4" w:rsidRDefault="00182884" w:rsidP="009340A4">
            <w:pPr>
              <w:spacing w:after="0" w:line="240" w:lineRule="auto"/>
              <w:jc w:val="right"/>
              <w:rPr>
                <w:b/>
                <w:bCs/>
                <w:sz w:val="17"/>
                <w:szCs w:val="17"/>
              </w:rPr>
            </w:pPr>
          </w:p>
        </w:tc>
        <w:tc>
          <w:tcPr>
            <w:tcW w:w="881" w:type="dxa"/>
          </w:tcPr>
          <w:p w14:paraId="4B63870B" w14:textId="77777777" w:rsidR="00182884" w:rsidRPr="009340A4" w:rsidRDefault="00182884" w:rsidP="009340A4">
            <w:pPr>
              <w:spacing w:after="0" w:line="240" w:lineRule="auto"/>
              <w:jc w:val="right"/>
              <w:rPr>
                <w:sz w:val="17"/>
                <w:szCs w:val="17"/>
              </w:rPr>
            </w:pPr>
            <w:r w:rsidRPr="009340A4">
              <w:rPr>
                <w:b/>
                <w:bCs/>
                <w:color w:val="000000" w:themeColor="text1"/>
                <w:sz w:val="17"/>
                <w:szCs w:val="17"/>
              </w:rPr>
              <w:t>&lt;0.001</w:t>
            </w:r>
          </w:p>
        </w:tc>
        <w:tc>
          <w:tcPr>
            <w:tcW w:w="675" w:type="dxa"/>
          </w:tcPr>
          <w:p w14:paraId="44408BBC" w14:textId="77777777" w:rsidR="00182884" w:rsidRPr="009340A4" w:rsidRDefault="00182884" w:rsidP="009340A4">
            <w:pPr>
              <w:spacing w:after="0" w:line="240" w:lineRule="auto"/>
              <w:jc w:val="right"/>
              <w:rPr>
                <w:sz w:val="17"/>
                <w:szCs w:val="17"/>
              </w:rPr>
            </w:pPr>
          </w:p>
        </w:tc>
        <w:tc>
          <w:tcPr>
            <w:tcW w:w="996" w:type="dxa"/>
          </w:tcPr>
          <w:p w14:paraId="7B3D83DC" w14:textId="77777777" w:rsidR="00182884" w:rsidRPr="009340A4" w:rsidRDefault="00182884" w:rsidP="009340A4">
            <w:pPr>
              <w:spacing w:after="0" w:line="240" w:lineRule="auto"/>
              <w:jc w:val="right"/>
              <w:rPr>
                <w:sz w:val="17"/>
                <w:szCs w:val="17"/>
              </w:rPr>
            </w:pPr>
          </w:p>
        </w:tc>
        <w:tc>
          <w:tcPr>
            <w:tcW w:w="855" w:type="dxa"/>
          </w:tcPr>
          <w:p w14:paraId="01F88397" w14:textId="77777777" w:rsidR="00182884" w:rsidRPr="009340A4" w:rsidRDefault="00182884" w:rsidP="009340A4">
            <w:pPr>
              <w:spacing w:after="0" w:line="240" w:lineRule="auto"/>
              <w:jc w:val="right"/>
              <w:rPr>
                <w:sz w:val="17"/>
                <w:szCs w:val="17"/>
              </w:rPr>
            </w:pPr>
            <w:r w:rsidRPr="009340A4">
              <w:rPr>
                <w:b/>
                <w:bCs/>
                <w:color w:val="000000" w:themeColor="text1"/>
                <w:sz w:val="17"/>
                <w:szCs w:val="17"/>
              </w:rPr>
              <w:t>&lt;0.001</w:t>
            </w:r>
          </w:p>
        </w:tc>
        <w:tc>
          <w:tcPr>
            <w:tcW w:w="283" w:type="dxa"/>
          </w:tcPr>
          <w:p w14:paraId="35DCE44A" w14:textId="77777777" w:rsidR="00182884" w:rsidRPr="009340A4" w:rsidRDefault="00182884" w:rsidP="009340A4">
            <w:pPr>
              <w:spacing w:after="0" w:line="240" w:lineRule="auto"/>
              <w:jc w:val="right"/>
              <w:rPr>
                <w:sz w:val="17"/>
                <w:szCs w:val="17"/>
              </w:rPr>
            </w:pPr>
          </w:p>
        </w:tc>
        <w:tc>
          <w:tcPr>
            <w:tcW w:w="709" w:type="dxa"/>
          </w:tcPr>
          <w:p w14:paraId="762EB9B5" w14:textId="77777777" w:rsidR="00182884" w:rsidRPr="009340A4" w:rsidRDefault="00182884" w:rsidP="009340A4">
            <w:pPr>
              <w:spacing w:after="0" w:line="240" w:lineRule="auto"/>
              <w:jc w:val="right"/>
              <w:rPr>
                <w:b/>
                <w:bCs/>
                <w:sz w:val="17"/>
                <w:szCs w:val="17"/>
              </w:rPr>
            </w:pPr>
          </w:p>
        </w:tc>
        <w:tc>
          <w:tcPr>
            <w:tcW w:w="1129" w:type="dxa"/>
          </w:tcPr>
          <w:p w14:paraId="799748E4" w14:textId="77777777" w:rsidR="00182884" w:rsidRPr="009340A4" w:rsidRDefault="00182884" w:rsidP="009340A4">
            <w:pPr>
              <w:spacing w:after="0" w:line="240" w:lineRule="auto"/>
              <w:jc w:val="right"/>
              <w:rPr>
                <w:b/>
                <w:bCs/>
                <w:sz w:val="17"/>
                <w:szCs w:val="17"/>
              </w:rPr>
            </w:pPr>
          </w:p>
        </w:tc>
        <w:tc>
          <w:tcPr>
            <w:tcW w:w="841" w:type="dxa"/>
          </w:tcPr>
          <w:p w14:paraId="3BD441A6" w14:textId="77777777" w:rsidR="00182884" w:rsidRPr="009340A4" w:rsidRDefault="00182884" w:rsidP="009340A4">
            <w:pPr>
              <w:spacing w:after="0" w:line="240" w:lineRule="auto"/>
              <w:jc w:val="right"/>
              <w:rPr>
                <w:b/>
                <w:bCs/>
                <w:sz w:val="17"/>
                <w:szCs w:val="17"/>
              </w:rPr>
            </w:pPr>
            <w:r w:rsidRPr="009340A4">
              <w:rPr>
                <w:b/>
                <w:bCs/>
                <w:color w:val="000000" w:themeColor="text1"/>
                <w:sz w:val="17"/>
                <w:szCs w:val="17"/>
              </w:rPr>
              <w:t>&lt;0.001</w:t>
            </w:r>
          </w:p>
        </w:tc>
        <w:tc>
          <w:tcPr>
            <w:tcW w:w="814" w:type="dxa"/>
          </w:tcPr>
          <w:p w14:paraId="58E749A8" w14:textId="77777777" w:rsidR="00182884" w:rsidRPr="009340A4" w:rsidRDefault="00182884" w:rsidP="009340A4">
            <w:pPr>
              <w:spacing w:after="0" w:line="240" w:lineRule="auto"/>
              <w:jc w:val="right"/>
              <w:rPr>
                <w:color w:val="000000"/>
                <w:sz w:val="17"/>
                <w:szCs w:val="17"/>
              </w:rPr>
            </w:pPr>
          </w:p>
        </w:tc>
        <w:tc>
          <w:tcPr>
            <w:tcW w:w="1180" w:type="dxa"/>
          </w:tcPr>
          <w:p w14:paraId="3C018F64" w14:textId="77777777" w:rsidR="00182884" w:rsidRPr="009340A4" w:rsidRDefault="00182884" w:rsidP="009340A4">
            <w:pPr>
              <w:spacing w:after="0" w:line="240" w:lineRule="auto"/>
              <w:jc w:val="right"/>
              <w:rPr>
                <w:color w:val="000000"/>
                <w:sz w:val="17"/>
                <w:szCs w:val="17"/>
              </w:rPr>
            </w:pPr>
          </w:p>
        </w:tc>
        <w:tc>
          <w:tcPr>
            <w:tcW w:w="960" w:type="dxa"/>
          </w:tcPr>
          <w:p w14:paraId="22E6D59B" w14:textId="77777777" w:rsidR="00182884" w:rsidRPr="009340A4" w:rsidRDefault="00182884" w:rsidP="009340A4">
            <w:pPr>
              <w:spacing w:after="0" w:line="240" w:lineRule="auto"/>
              <w:jc w:val="right"/>
              <w:rPr>
                <w:b/>
                <w:bCs/>
                <w:color w:val="000000"/>
                <w:sz w:val="17"/>
                <w:szCs w:val="17"/>
              </w:rPr>
            </w:pPr>
            <w:r w:rsidRPr="009340A4">
              <w:rPr>
                <w:b/>
                <w:bCs/>
                <w:color w:val="000000" w:themeColor="text1"/>
                <w:sz w:val="17"/>
                <w:szCs w:val="17"/>
              </w:rPr>
              <w:t>&lt;0.001</w:t>
            </w:r>
          </w:p>
        </w:tc>
      </w:tr>
      <w:tr w:rsidR="00182884" w:rsidRPr="009340A4" w14:paraId="7575E666" w14:textId="77777777" w:rsidTr="000A7109">
        <w:tc>
          <w:tcPr>
            <w:tcW w:w="345" w:type="dxa"/>
          </w:tcPr>
          <w:p w14:paraId="0F4AE87D" w14:textId="77777777" w:rsidR="00182884" w:rsidRPr="009340A4" w:rsidRDefault="00182884" w:rsidP="009340A4">
            <w:pPr>
              <w:spacing w:after="0" w:line="240" w:lineRule="auto"/>
              <w:rPr>
                <w:sz w:val="17"/>
                <w:szCs w:val="17"/>
              </w:rPr>
            </w:pPr>
          </w:p>
        </w:tc>
        <w:tc>
          <w:tcPr>
            <w:tcW w:w="2880" w:type="dxa"/>
          </w:tcPr>
          <w:p w14:paraId="47C5C319" w14:textId="77777777" w:rsidR="00182884" w:rsidRPr="009340A4" w:rsidRDefault="00182884" w:rsidP="009340A4">
            <w:pPr>
              <w:spacing w:after="0" w:line="240" w:lineRule="auto"/>
              <w:rPr>
                <w:sz w:val="17"/>
                <w:szCs w:val="17"/>
              </w:rPr>
            </w:pPr>
            <w:r w:rsidRPr="009340A4">
              <w:rPr>
                <w:sz w:val="17"/>
                <w:szCs w:val="17"/>
              </w:rPr>
              <w:t>Currently employed</w:t>
            </w:r>
          </w:p>
        </w:tc>
        <w:tc>
          <w:tcPr>
            <w:tcW w:w="654" w:type="dxa"/>
          </w:tcPr>
          <w:p w14:paraId="08DA7F0F"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0.50</w:t>
            </w:r>
          </w:p>
        </w:tc>
        <w:tc>
          <w:tcPr>
            <w:tcW w:w="1190" w:type="dxa"/>
          </w:tcPr>
          <w:p w14:paraId="41492848"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[0.44-0.55]</w:t>
            </w:r>
          </w:p>
        </w:tc>
        <w:tc>
          <w:tcPr>
            <w:tcW w:w="881" w:type="dxa"/>
          </w:tcPr>
          <w:p w14:paraId="2E9B3716" w14:textId="77777777" w:rsidR="00182884" w:rsidRPr="009340A4" w:rsidRDefault="00182884" w:rsidP="009340A4">
            <w:pPr>
              <w:spacing w:after="0" w:line="240" w:lineRule="auto"/>
              <w:jc w:val="right"/>
              <w:rPr>
                <w:sz w:val="17"/>
                <w:szCs w:val="17"/>
              </w:rPr>
            </w:pPr>
          </w:p>
        </w:tc>
        <w:tc>
          <w:tcPr>
            <w:tcW w:w="675" w:type="dxa"/>
          </w:tcPr>
          <w:p w14:paraId="139D142C"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0.66</w:t>
            </w:r>
          </w:p>
        </w:tc>
        <w:tc>
          <w:tcPr>
            <w:tcW w:w="996" w:type="dxa"/>
          </w:tcPr>
          <w:p w14:paraId="0C1B92E9"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[0.59-0.74]</w:t>
            </w:r>
          </w:p>
        </w:tc>
        <w:tc>
          <w:tcPr>
            <w:tcW w:w="855" w:type="dxa"/>
          </w:tcPr>
          <w:p w14:paraId="18DFAD98" w14:textId="77777777" w:rsidR="00182884" w:rsidRPr="009340A4" w:rsidRDefault="00182884" w:rsidP="009340A4">
            <w:pPr>
              <w:spacing w:after="0" w:line="240" w:lineRule="auto"/>
              <w:jc w:val="right"/>
              <w:rPr>
                <w:sz w:val="17"/>
                <w:szCs w:val="17"/>
              </w:rPr>
            </w:pPr>
          </w:p>
        </w:tc>
        <w:tc>
          <w:tcPr>
            <w:tcW w:w="283" w:type="dxa"/>
          </w:tcPr>
          <w:p w14:paraId="5813557E" w14:textId="77777777" w:rsidR="00182884" w:rsidRPr="009340A4" w:rsidRDefault="00182884" w:rsidP="009340A4">
            <w:pPr>
              <w:spacing w:after="0" w:line="240" w:lineRule="auto"/>
              <w:jc w:val="right"/>
              <w:rPr>
                <w:color w:val="000000"/>
                <w:sz w:val="17"/>
                <w:szCs w:val="17"/>
              </w:rPr>
            </w:pPr>
          </w:p>
        </w:tc>
        <w:tc>
          <w:tcPr>
            <w:tcW w:w="709" w:type="dxa"/>
          </w:tcPr>
          <w:p w14:paraId="78C3A23B"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0.56</w:t>
            </w:r>
          </w:p>
        </w:tc>
        <w:tc>
          <w:tcPr>
            <w:tcW w:w="1129" w:type="dxa"/>
          </w:tcPr>
          <w:p w14:paraId="04339B03"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[0.51-0.62]</w:t>
            </w:r>
          </w:p>
        </w:tc>
        <w:tc>
          <w:tcPr>
            <w:tcW w:w="841" w:type="dxa"/>
          </w:tcPr>
          <w:p w14:paraId="4ACE7305" w14:textId="77777777" w:rsidR="00182884" w:rsidRPr="009340A4" w:rsidRDefault="00182884" w:rsidP="009340A4">
            <w:pPr>
              <w:spacing w:after="0" w:line="240" w:lineRule="auto"/>
              <w:jc w:val="right"/>
              <w:rPr>
                <w:b/>
                <w:bCs/>
                <w:color w:val="000000"/>
                <w:sz w:val="17"/>
                <w:szCs w:val="17"/>
              </w:rPr>
            </w:pPr>
          </w:p>
        </w:tc>
        <w:tc>
          <w:tcPr>
            <w:tcW w:w="814" w:type="dxa"/>
          </w:tcPr>
          <w:p w14:paraId="6D1F51BE"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0.69</w:t>
            </w:r>
          </w:p>
        </w:tc>
        <w:tc>
          <w:tcPr>
            <w:tcW w:w="1180" w:type="dxa"/>
          </w:tcPr>
          <w:p w14:paraId="658FD870"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[0.60-0.79]</w:t>
            </w:r>
          </w:p>
        </w:tc>
        <w:tc>
          <w:tcPr>
            <w:tcW w:w="960" w:type="dxa"/>
          </w:tcPr>
          <w:p w14:paraId="5A6F289D" w14:textId="77777777" w:rsidR="00182884" w:rsidRPr="009340A4" w:rsidRDefault="00182884" w:rsidP="009340A4">
            <w:pPr>
              <w:spacing w:after="0" w:line="240" w:lineRule="auto"/>
              <w:jc w:val="right"/>
              <w:rPr>
                <w:b/>
                <w:bCs/>
                <w:sz w:val="17"/>
                <w:szCs w:val="17"/>
              </w:rPr>
            </w:pPr>
          </w:p>
        </w:tc>
      </w:tr>
      <w:tr w:rsidR="00182884" w:rsidRPr="009340A4" w14:paraId="2A24863F" w14:textId="77777777" w:rsidTr="000A7109">
        <w:tc>
          <w:tcPr>
            <w:tcW w:w="345" w:type="dxa"/>
          </w:tcPr>
          <w:p w14:paraId="4714CF51" w14:textId="77777777" w:rsidR="00182884" w:rsidRPr="009340A4" w:rsidRDefault="00182884" w:rsidP="009340A4">
            <w:pPr>
              <w:spacing w:after="0" w:line="240" w:lineRule="auto"/>
              <w:rPr>
                <w:sz w:val="17"/>
                <w:szCs w:val="17"/>
              </w:rPr>
            </w:pPr>
          </w:p>
        </w:tc>
        <w:tc>
          <w:tcPr>
            <w:tcW w:w="2880" w:type="dxa"/>
          </w:tcPr>
          <w:p w14:paraId="04621E70" w14:textId="77777777" w:rsidR="00182884" w:rsidRPr="009340A4" w:rsidRDefault="00182884" w:rsidP="009340A4">
            <w:pPr>
              <w:spacing w:after="0" w:line="240" w:lineRule="auto"/>
              <w:rPr>
                <w:sz w:val="17"/>
                <w:szCs w:val="17"/>
              </w:rPr>
            </w:pPr>
            <w:r w:rsidRPr="009340A4">
              <w:rPr>
                <w:sz w:val="17"/>
                <w:szCs w:val="17"/>
              </w:rPr>
              <w:t>Not Employed</w:t>
            </w:r>
          </w:p>
        </w:tc>
        <w:tc>
          <w:tcPr>
            <w:tcW w:w="654" w:type="dxa"/>
          </w:tcPr>
          <w:p w14:paraId="43365128" w14:textId="77777777" w:rsidR="00182884" w:rsidRPr="009340A4" w:rsidRDefault="00182884" w:rsidP="009340A4">
            <w:pPr>
              <w:spacing w:after="0" w:line="240" w:lineRule="auto"/>
              <w:jc w:val="right"/>
              <w:rPr>
                <w:i/>
                <w:iCs/>
                <w:sz w:val="17"/>
                <w:szCs w:val="17"/>
              </w:rPr>
            </w:pPr>
            <w:r w:rsidRPr="009340A4">
              <w:rPr>
                <w:i/>
                <w:iCs/>
                <w:sz w:val="17"/>
                <w:szCs w:val="17"/>
              </w:rPr>
              <w:t>ref.</w:t>
            </w:r>
          </w:p>
        </w:tc>
        <w:tc>
          <w:tcPr>
            <w:tcW w:w="1190" w:type="dxa"/>
          </w:tcPr>
          <w:p w14:paraId="15D4344A" w14:textId="77777777" w:rsidR="00182884" w:rsidRPr="009340A4" w:rsidRDefault="00182884" w:rsidP="009340A4">
            <w:pPr>
              <w:spacing w:after="0" w:line="240" w:lineRule="auto"/>
              <w:jc w:val="right"/>
              <w:rPr>
                <w:b/>
                <w:bCs/>
                <w:i/>
                <w:iCs/>
                <w:sz w:val="17"/>
                <w:szCs w:val="17"/>
              </w:rPr>
            </w:pPr>
            <w:r w:rsidRPr="009340A4">
              <w:rPr>
                <w:i/>
                <w:iCs/>
                <w:sz w:val="17"/>
                <w:szCs w:val="17"/>
              </w:rPr>
              <w:t>ref.</w:t>
            </w:r>
          </w:p>
        </w:tc>
        <w:tc>
          <w:tcPr>
            <w:tcW w:w="881" w:type="dxa"/>
          </w:tcPr>
          <w:p w14:paraId="08E6BCAC" w14:textId="77777777" w:rsidR="00182884" w:rsidRPr="009340A4" w:rsidRDefault="00182884" w:rsidP="009340A4">
            <w:pPr>
              <w:spacing w:after="0" w:line="240" w:lineRule="auto"/>
              <w:jc w:val="right"/>
              <w:rPr>
                <w:i/>
                <w:iCs/>
                <w:sz w:val="17"/>
                <w:szCs w:val="17"/>
              </w:rPr>
            </w:pPr>
          </w:p>
        </w:tc>
        <w:tc>
          <w:tcPr>
            <w:tcW w:w="675" w:type="dxa"/>
          </w:tcPr>
          <w:p w14:paraId="16E0D865" w14:textId="77777777" w:rsidR="00182884" w:rsidRPr="009340A4" w:rsidRDefault="00182884" w:rsidP="009340A4">
            <w:pPr>
              <w:spacing w:after="0" w:line="240" w:lineRule="auto"/>
              <w:jc w:val="right"/>
              <w:rPr>
                <w:i/>
                <w:iCs/>
                <w:sz w:val="17"/>
                <w:szCs w:val="17"/>
              </w:rPr>
            </w:pPr>
            <w:r w:rsidRPr="009340A4">
              <w:rPr>
                <w:i/>
                <w:iCs/>
                <w:sz w:val="17"/>
                <w:szCs w:val="17"/>
              </w:rPr>
              <w:t>ref.</w:t>
            </w:r>
          </w:p>
        </w:tc>
        <w:tc>
          <w:tcPr>
            <w:tcW w:w="996" w:type="dxa"/>
          </w:tcPr>
          <w:p w14:paraId="4ADA6039" w14:textId="77777777" w:rsidR="00182884" w:rsidRPr="009340A4" w:rsidRDefault="00182884" w:rsidP="009340A4">
            <w:pPr>
              <w:spacing w:after="0" w:line="240" w:lineRule="auto"/>
              <w:jc w:val="right"/>
              <w:rPr>
                <w:b/>
                <w:bCs/>
                <w:i/>
                <w:iCs/>
                <w:sz w:val="17"/>
                <w:szCs w:val="17"/>
              </w:rPr>
            </w:pPr>
            <w:r w:rsidRPr="009340A4">
              <w:rPr>
                <w:i/>
                <w:iCs/>
                <w:sz w:val="17"/>
                <w:szCs w:val="17"/>
              </w:rPr>
              <w:t>ref.</w:t>
            </w:r>
          </w:p>
        </w:tc>
        <w:tc>
          <w:tcPr>
            <w:tcW w:w="855" w:type="dxa"/>
          </w:tcPr>
          <w:p w14:paraId="36AA5A20" w14:textId="77777777" w:rsidR="00182884" w:rsidRPr="009340A4" w:rsidRDefault="00182884" w:rsidP="009340A4">
            <w:pPr>
              <w:spacing w:after="0" w:line="240" w:lineRule="auto"/>
              <w:jc w:val="right"/>
              <w:rPr>
                <w:i/>
                <w:iCs/>
                <w:sz w:val="17"/>
                <w:szCs w:val="17"/>
              </w:rPr>
            </w:pPr>
          </w:p>
        </w:tc>
        <w:tc>
          <w:tcPr>
            <w:tcW w:w="283" w:type="dxa"/>
          </w:tcPr>
          <w:p w14:paraId="40505B49" w14:textId="77777777" w:rsidR="00182884" w:rsidRPr="009340A4" w:rsidRDefault="00182884" w:rsidP="009340A4">
            <w:pPr>
              <w:spacing w:after="0" w:line="240" w:lineRule="auto"/>
              <w:jc w:val="right"/>
              <w:rPr>
                <w:b/>
                <w:bCs/>
                <w:i/>
                <w:iCs/>
                <w:sz w:val="17"/>
                <w:szCs w:val="17"/>
              </w:rPr>
            </w:pPr>
          </w:p>
        </w:tc>
        <w:tc>
          <w:tcPr>
            <w:tcW w:w="709" w:type="dxa"/>
          </w:tcPr>
          <w:p w14:paraId="65CADB4E" w14:textId="77777777" w:rsidR="00182884" w:rsidRPr="009340A4" w:rsidRDefault="00182884" w:rsidP="009340A4">
            <w:pPr>
              <w:spacing w:after="0" w:line="240" w:lineRule="auto"/>
              <w:jc w:val="right"/>
              <w:rPr>
                <w:i/>
                <w:iCs/>
                <w:sz w:val="17"/>
                <w:szCs w:val="17"/>
              </w:rPr>
            </w:pPr>
            <w:r w:rsidRPr="009340A4">
              <w:rPr>
                <w:i/>
                <w:iCs/>
                <w:sz w:val="17"/>
                <w:szCs w:val="17"/>
              </w:rPr>
              <w:t>ref.</w:t>
            </w:r>
          </w:p>
        </w:tc>
        <w:tc>
          <w:tcPr>
            <w:tcW w:w="1129" w:type="dxa"/>
          </w:tcPr>
          <w:p w14:paraId="324C2CBB" w14:textId="77777777" w:rsidR="00182884" w:rsidRPr="009340A4" w:rsidRDefault="00182884" w:rsidP="009340A4">
            <w:pPr>
              <w:spacing w:after="0" w:line="240" w:lineRule="auto"/>
              <w:jc w:val="right"/>
              <w:rPr>
                <w:b/>
                <w:bCs/>
                <w:i/>
                <w:iCs/>
                <w:sz w:val="17"/>
                <w:szCs w:val="17"/>
              </w:rPr>
            </w:pPr>
            <w:r w:rsidRPr="009340A4">
              <w:rPr>
                <w:i/>
                <w:iCs/>
                <w:sz w:val="17"/>
                <w:szCs w:val="17"/>
              </w:rPr>
              <w:t>ref.</w:t>
            </w:r>
          </w:p>
        </w:tc>
        <w:tc>
          <w:tcPr>
            <w:tcW w:w="841" w:type="dxa"/>
          </w:tcPr>
          <w:p w14:paraId="2F5CE344" w14:textId="77777777" w:rsidR="00182884" w:rsidRPr="009340A4" w:rsidRDefault="00182884" w:rsidP="009340A4">
            <w:pPr>
              <w:spacing w:after="0" w:line="240" w:lineRule="auto"/>
              <w:jc w:val="right"/>
              <w:rPr>
                <w:b/>
                <w:bCs/>
                <w:sz w:val="17"/>
                <w:szCs w:val="17"/>
              </w:rPr>
            </w:pPr>
          </w:p>
        </w:tc>
        <w:tc>
          <w:tcPr>
            <w:tcW w:w="814" w:type="dxa"/>
          </w:tcPr>
          <w:p w14:paraId="19877FAC" w14:textId="77777777" w:rsidR="00182884" w:rsidRPr="009340A4" w:rsidRDefault="00182884" w:rsidP="009340A4">
            <w:pPr>
              <w:spacing w:after="0" w:line="240" w:lineRule="auto"/>
              <w:jc w:val="right"/>
              <w:rPr>
                <w:i/>
                <w:iCs/>
                <w:sz w:val="17"/>
                <w:szCs w:val="17"/>
              </w:rPr>
            </w:pPr>
            <w:r w:rsidRPr="009340A4">
              <w:rPr>
                <w:i/>
                <w:iCs/>
                <w:sz w:val="17"/>
                <w:szCs w:val="17"/>
              </w:rPr>
              <w:t>ref.</w:t>
            </w:r>
          </w:p>
        </w:tc>
        <w:tc>
          <w:tcPr>
            <w:tcW w:w="1180" w:type="dxa"/>
          </w:tcPr>
          <w:p w14:paraId="7E39A666" w14:textId="77777777" w:rsidR="00182884" w:rsidRPr="009340A4" w:rsidRDefault="00182884" w:rsidP="009340A4">
            <w:pPr>
              <w:spacing w:after="0" w:line="240" w:lineRule="auto"/>
              <w:jc w:val="right"/>
              <w:rPr>
                <w:b/>
                <w:bCs/>
                <w:i/>
                <w:iCs/>
                <w:sz w:val="17"/>
                <w:szCs w:val="17"/>
              </w:rPr>
            </w:pPr>
            <w:r w:rsidRPr="009340A4">
              <w:rPr>
                <w:i/>
                <w:iCs/>
                <w:sz w:val="17"/>
                <w:szCs w:val="17"/>
              </w:rPr>
              <w:t>ref.</w:t>
            </w:r>
          </w:p>
        </w:tc>
        <w:tc>
          <w:tcPr>
            <w:tcW w:w="960" w:type="dxa"/>
          </w:tcPr>
          <w:p w14:paraId="04B18ABF" w14:textId="77777777" w:rsidR="00182884" w:rsidRPr="009340A4" w:rsidRDefault="00182884" w:rsidP="009340A4">
            <w:pPr>
              <w:spacing w:after="0" w:line="240" w:lineRule="auto"/>
              <w:jc w:val="right"/>
              <w:rPr>
                <w:b/>
                <w:bCs/>
                <w:sz w:val="17"/>
                <w:szCs w:val="17"/>
              </w:rPr>
            </w:pPr>
          </w:p>
        </w:tc>
      </w:tr>
      <w:tr w:rsidR="00182884" w:rsidRPr="009340A4" w14:paraId="687FC02A" w14:textId="77777777" w:rsidTr="000A7109">
        <w:tc>
          <w:tcPr>
            <w:tcW w:w="3225" w:type="dxa"/>
            <w:gridSpan w:val="2"/>
          </w:tcPr>
          <w:p w14:paraId="563EF5F4" w14:textId="77777777" w:rsidR="00182884" w:rsidRPr="009340A4" w:rsidRDefault="00182884" w:rsidP="009340A4">
            <w:pPr>
              <w:spacing w:after="0" w:line="240" w:lineRule="auto"/>
              <w:rPr>
                <w:b/>
                <w:bCs/>
                <w:sz w:val="17"/>
                <w:szCs w:val="17"/>
              </w:rPr>
            </w:pPr>
            <w:r w:rsidRPr="009340A4">
              <w:rPr>
                <w:rFonts w:eastAsia="Times New Roman"/>
                <w:b/>
                <w:bCs/>
                <w:color w:val="000000" w:themeColor="text1"/>
                <w:sz w:val="17"/>
                <w:szCs w:val="17"/>
              </w:rPr>
              <w:t>Area of residency</w:t>
            </w:r>
          </w:p>
        </w:tc>
        <w:tc>
          <w:tcPr>
            <w:tcW w:w="654" w:type="dxa"/>
          </w:tcPr>
          <w:p w14:paraId="486E6E07" w14:textId="77777777" w:rsidR="00182884" w:rsidRPr="009340A4" w:rsidRDefault="00182884" w:rsidP="009340A4">
            <w:pPr>
              <w:spacing w:after="0" w:line="240" w:lineRule="auto"/>
              <w:jc w:val="right"/>
              <w:rPr>
                <w:sz w:val="17"/>
                <w:szCs w:val="17"/>
              </w:rPr>
            </w:pPr>
          </w:p>
        </w:tc>
        <w:tc>
          <w:tcPr>
            <w:tcW w:w="1190" w:type="dxa"/>
          </w:tcPr>
          <w:p w14:paraId="4F7FDAF5" w14:textId="77777777" w:rsidR="00182884" w:rsidRPr="009340A4" w:rsidRDefault="00182884" w:rsidP="009340A4">
            <w:pPr>
              <w:spacing w:after="0" w:line="240" w:lineRule="auto"/>
              <w:jc w:val="right"/>
              <w:rPr>
                <w:b/>
                <w:bCs/>
                <w:sz w:val="17"/>
                <w:szCs w:val="17"/>
              </w:rPr>
            </w:pPr>
          </w:p>
        </w:tc>
        <w:tc>
          <w:tcPr>
            <w:tcW w:w="881" w:type="dxa"/>
          </w:tcPr>
          <w:p w14:paraId="76FFCFBA" w14:textId="77777777" w:rsidR="00182884" w:rsidRPr="009340A4" w:rsidRDefault="00182884" w:rsidP="009340A4">
            <w:pPr>
              <w:spacing w:after="0" w:line="240" w:lineRule="auto"/>
              <w:jc w:val="right"/>
              <w:rPr>
                <w:sz w:val="17"/>
                <w:szCs w:val="17"/>
              </w:rPr>
            </w:pPr>
            <w:r w:rsidRPr="009340A4">
              <w:rPr>
                <w:b/>
                <w:bCs/>
                <w:color w:val="000000" w:themeColor="text1"/>
                <w:sz w:val="17"/>
                <w:szCs w:val="17"/>
              </w:rPr>
              <w:t>0.006</w:t>
            </w:r>
          </w:p>
        </w:tc>
        <w:tc>
          <w:tcPr>
            <w:tcW w:w="675" w:type="dxa"/>
          </w:tcPr>
          <w:p w14:paraId="4ED113E5" w14:textId="77777777" w:rsidR="00182884" w:rsidRPr="009340A4" w:rsidRDefault="00182884" w:rsidP="009340A4">
            <w:pPr>
              <w:spacing w:after="0" w:line="240" w:lineRule="auto"/>
              <w:jc w:val="right"/>
              <w:rPr>
                <w:sz w:val="17"/>
                <w:szCs w:val="17"/>
              </w:rPr>
            </w:pPr>
          </w:p>
        </w:tc>
        <w:tc>
          <w:tcPr>
            <w:tcW w:w="996" w:type="dxa"/>
          </w:tcPr>
          <w:p w14:paraId="45F525D0" w14:textId="77777777" w:rsidR="00182884" w:rsidRPr="009340A4" w:rsidRDefault="00182884" w:rsidP="009340A4">
            <w:pPr>
              <w:spacing w:after="0" w:line="240" w:lineRule="auto"/>
              <w:jc w:val="right"/>
              <w:rPr>
                <w:sz w:val="17"/>
                <w:szCs w:val="17"/>
              </w:rPr>
            </w:pPr>
          </w:p>
        </w:tc>
        <w:tc>
          <w:tcPr>
            <w:tcW w:w="855" w:type="dxa"/>
          </w:tcPr>
          <w:p w14:paraId="68B86C6F" w14:textId="77777777" w:rsidR="00182884" w:rsidRPr="009340A4" w:rsidRDefault="00182884" w:rsidP="009340A4">
            <w:pPr>
              <w:spacing w:after="0" w:line="240" w:lineRule="auto"/>
              <w:jc w:val="right"/>
              <w:rPr>
                <w:b/>
                <w:bCs/>
                <w:sz w:val="17"/>
                <w:szCs w:val="17"/>
              </w:rPr>
            </w:pPr>
            <w:r w:rsidRPr="009340A4">
              <w:rPr>
                <w:b/>
                <w:bCs/>
                <w:sz w:val="17"/>
                <w:szCs w:val="17"/>
              </w:rPr>
              <w:t>0.001</w:t>
            </w:r>
          </w:p>
        </w:tc>
        <w:tc>
          <w:tcPr>
            <w:tcW w:w="283" w:type="dxa"/>
          </w:tcPr>
          <w:p w14:paraId="0624D04B" w14:textId="77777777" w:rsidR="00182884" w:rsidRPr="009340A4" w:rsidRDefault="00182884" w:rsidP="009340A4">
            <w:pPr>
              <w:spacing w:after="0" w:line="240" w:lineRule="auto"/>
              <w:jc w:val="right"/>
              <w:rPr>
                <w:b/>
                <w:bCs/>
                <w:sz w:val="17"/>
                <w:szCs w:val="17"/>
              </w:rPr>
            </w:pPr>
          </w:p>
        </w:tc>
        <w:tc>
          <w:tcPr>
            <w:tcW w:w="709" w:type="dxa"/>
          </w:tcPr>
          <w:p w14:paraId="4D578B49" w14:textId="77777777" w:rsidR="00182884" w:rsidRPr="009340A4" w:rsidRDefault="00182884" w:rsidP="009340A4">
            <w:pPr>
              <w:spacing w:after="0" w:line="240" w:lineRule="auto"/>
              <w:jc w:val="right"/>
              <w:rPr>
                <w:b/>
                <w:bCs/>
                <w:sz w:val="17"/>
                <w:szCs w:val="17"/>
              </w:rPr>
            </w:pPr>
          </w:p>
        </w:tc>
        <w:tc>
          <w:tcPr>
            <w:tcW w:w="1129" w:type="dxa"/>
          </w:tcPr>
          <w:p w14:paraId="328758A5" w14:textId="77777777" w:rsidR="00182884" w:rsidRPr="009340A4" w:rsidRDefault="00182884" w:rsidP="009340A4">
            <w:pPr>
              <w:spacing w:after="0" w:line="240" w:lineRule="auto"/>
              <w:jc w:val="right"/>
              <w:rPr>
                <w:b/>
                <w:bCs/>
                <w:sz w:val="17"/>
                <w:szCs w:val="17"/>
              </w:rPr>
            </w:pPr>
          </w:p>
        </w:tc>
        <w:tc>
          <w:tcPr>
            <w:tcW w:w="841" w:type="dxa"/>
          </w:tcPr>
          <w:p w14:paraId="0D6085B7" w14:textId="77777777" w:rsidR="00182884" w:rsidRPr="009340A4" w:rsidRDefault="00182884" w:rsidP="009340A4">
            <w:pPr>
              <w:spacing w:after="0" w:line="240" w:lineRule="auto"/>
              <w:jc w:val="right"/>
              <w:rPr>
                <w:b/>
                <w:bCs/>
                <w:sz w:val="17"/>
                <w:szCs w:val="17"/>
              </w:rPr>
            </w:pPr>
            <w:r w:rsidRPr="009340A4">
              <w:rPr>
                <w:b/>
                <w:bCs/>
                <w:color w:val="000000" w:themeColor="text1"/>
                <w:sz w:val="17"/>
                <w:szCs w:val="17"/>
              </w:rPr>
              <w:t>&lt;0.001</w:t>
            </w:r>
          </w:p>
        </w:tc>
        <w:tc>
          <w:tcPr>
            <w:tcW w:w="814" w:type="dxa"/>
          </w:tcPr>
          <w:p w14:paraId="4AF673CE" w14:textId="77777777" w:rsidR="00182884" w:rsidRPr="009340A4" w:rsidRDefault="00182884" w:rsidP="009340A4">
            <w:pPr>
              <w:spacing w:after="0" w:line="240" w:lineRule="auto"/>
              <w:jc w:val="right"/>
              <w:rPr>
                <w:b/>
                <w:bCs/>
                <w:sz w:val="17"/>
                <w:szCs w:val="17"/>
              </w:rPr>
            </w:pPr>
          </w:p>
        </w:tc>
        <w:tc>
          <w:tcPr>
            <w:tcW w:w="1180" w:type="dxa"/>
          </w:tcPr>
          <w:p w14:paraId="6BC573C2" w14:textId="77777777" w:rsidR="00182884" w:rsidRPr="009340A4" w:rsidRDefault="00182884" w:rsidP="009340A4">
            <w:pPr>
              <w:spacing w:after="0" w:line="240" w:lineRule="auto"/>
              <w:jc w:val="right"/>
              <w:rPr>
                <w:sz w:val="17"/>
                <w:szCs w:val="17"/>
              </w:rPr>
            </w:pPr>
          </w:p>
        </w:tc>
        <w:tc>
          <w:tcPr>
            <w:tcW w:w="960" w:type="dxa"/>
          </w:tcPr>
          <w:p w14:paraId="10F6D616" w14:textId="77777777" w:rsidR="00182884" w:rsidRPr="009340A4" w:rsidRDefault="00182884" w:rsidP="009340A4">
            <w:pPr>
              <w:spacing w:after="0" w:line="240" w:lineRule="auto"/>
              <w:jc w:val="right"/>
              <w:rPr>
                <w:b/>
                <w:bCs/>
                <w:color w:val="000000"/>
                <w:sz w:val="17"/>
                <w:szCs w:val="17"/>
              </w:rPr>
            </w:pPr>
            <w:r w:rsidRPr="009340A4">
              <w:rPr>
                <w:b/>
                <w:bCs/>
                <w:color w:val="000000" w:themeColor="text1"/>
                <w:sz w:val="17"/>
                <w:szCs w:val="17"/>
              </w:rPr>
              <w:t>&lt;0.001</w:t>
            </w:r>
          </w:p>
        </w:tc>
      </w:tr>
      <w:tr w:rsidR="00182884" w:rsidRPr="009340A4" w14:paraId="4B67EA64" w14:textId="77777777" w:rsidTr="000A7109">
        <w:tc>
          <w:tcPr>
            <w:tcW w:w="345" w:type="dxa"/>
          </w:tcPr>
          <w:p w14:paraId="07FBF19D" w14:textId="77777777" w:rsidR="00182884" w:rsidRPr="009340A4" w:rsidRDefault="00182884" w:rsidP="009340A4">
            <w:pPr>
              <w:spacing w:after="0" w:line="240" w:lineRule="auto"/>
              <w:rPr>
                <w:sz w:val="17"/>
                <w:szCs w:val="17"/>
              </w:rPr>
            </w:pPr>
          </w:p>
        </w:tc>
        <w:tc>
          <w:tcPr>
            <w:tcW w:w="2880" w:type="dxa"/>
          </w:tcPr>
          <w:p w14:paraId="6770CC28" w14:textId="77777777" w:rsidR="00182884" w:rsidRPr="009340A4" w:rsidRDefault="00182884" w:rsidP="009340A4">
            <w:pPr>
              <w:spacing w:after="0" w:line="240" w:lineRule="auto"/>
              <w:rPr>
                <w:sz w:val="17"/>
                <w:szCs w:val="17"/>
              </w:rPr>
            </w:pPr>
            <w:r w:rsidRPr="009340A4">
              <w:rPr>
                <w:sz w:val="17"/>
                <w:szCs w:val="17"/>
              </w:rPr>
              <w:t>Rural</w:t>
            </w:r>
          </w:p>
        </w:tc>
        <w:tc>
          <w:tcPr>
            <w:tcW w:w="654" w:type="dxa"/>
          </w:tcPr>
          <w:p w14:paraId="6D54F63E" w14:textId="77777777" w:rsidR="00182884" w:rsidRPr="009340A4" w:rsidRDefault="00182884" w:rsidP="009340A4">
            <w:pPr>
              <w:spacing w:after="0" w:line="240" w:lineRule="auto"/>
              <w:jc w:val="right"/>
              <w:rPr>
                <w:i/>
                <w:iCs/>
                <w:sz w:val="17"/>
                <w:szCs w:val="17"/>
              </w:rPr>
            </w:pPr>
            <w:r w:rsidRPr="009340A4">
              <w:rPr>
                <w:i/>
                <w:iCs/>
                <w:sz w:val="17"/>
                <w:szCs w:val="17"/>
              </w:rPr>
              <w:t>ref.</w:t>
            </w:r>
          </w:p>
        </w:tc>
        <w:tc>
          <w:tcPr>
            <w:tcW w:w="1190" w:type="dxa"/>
          </w:tcPr>
          <w:p w14:paraId="6F778EF3" w14:textId="77777777" w:rsidR="00182884" w:rsidRPr="009340A4" w:rsidRDefault="00182884" w:rsidP="009340A4">
            <w:pPr>
              <w:spacing w:after="0" w:line="240" w:lineRule="auto"/>
              <w:jc w:val="right"/>
              <w:rPr>
                <w:b/>
                <w:bCs/>
                <w:i/>
                <w:iCs/>
                <w:sz w:val="17"/>
                <w:szCs w:val="17"/>
              </w:rPr>
            </w:pPr>
            <w:r w:rsidRPr="009340A4">
              <w:rPr>
                <w:i/>
                <w:iCs/>
                <w:sz w:val="17"/>
                <w:szCs w:val="17"/>
              </w:rPr>
              <w:t>ref.</w:t>
            </w:r>
          </w:p>
        </w:tc>
        <w:tc>
          <w:tcPr>
            <w:tcW w:w="881" w:type="dxa"/>
          </w:tcPr>
          <w:p w14:paraId="58B3E5CE" w14:textId="77777777" w:rsidR="00182884" w:rsidRPr="009340A4" w:rsidRDefault="00182884" w:rsidP="009340A4">
            <w:pPr>
              <w:spacing w:after="0" w:line="240" w:lineRule="auto"/>
              <w:jc w:val="right"/>
              <w:rPr>
                <w:i/>
                <w:iCs/>
                <w:sz w:val="17"/>
                <w:szCs w:val="17"/>
              </w:rPr>
            </w:pPr>
          </w:p>
        </w:tc>
        <w:tc>
          <w:tcPr>
            <w:tcW w:w="675" w:type="dxa"/>
          </w:tcPr>
          <w:p w14:paraId="0883EE79" w14:textId="77777777" w:rsidR="00182884" w:rsidRPr="009340A4" w:rsidRDefault="00182884" w:rsidP="009340A4">
            <w:pPr>
              <w:spacing w:after="0" w:line="240" w:lineRule="auto"/>
              <w:jc w:val="right"/>
              <w:rPr>
                <w:i/>
                <w:iCs/>
                <w:sz w:val="17"/>
                <w:szCs w:val="17"/>
              </w:rPr>
            </w:pPr>
            <w:r w:rsidRPr="009340A4">
              <w:rPr>
                <w:i/>
                <w:iCs/>
                <w:sz w:val="17"/>
                <w:szCs w:val="17"/>
              </w:rPr>
              <w:t>ref.</w:t>
            </w:r>
          </w:p>
        </w:tc>
        <w:tc>
          <w:tcPr>
            <w:tcW w:w="996" w:type="dxa"/>
          </w:tcPr>
          <w:p w14:paraId="48605B3E" w14:textId="77777777" w:rsidR="00182884" w:rsidRPr="009340A4" w:rsidRDefault="00182884" w:rsidP="009340A4">
            <w:pPr>
              <w:spacing w:after="0" w:line="240" w:lineRule="auto"/>
              <w:jc w:val="right"/>
              <w:rPr>
                <w:b/>
                <w:bCs/>
                <w:i/>
                <w:iCs/>
                <w:sz w:val="17"/>
                <w:szCs w:val="17"/>
              </w:rPr>
            </w:pPr>
            <w:r w:rsidRPr="009340A4">
              <w:rPr>
                <w:i/>
                <w:iCs/>
                <w:sz w:val="17"/>
                <w:szCs w:val="17"/>
              </w:rPr>
              <w:t>ref.</w:t>
            </w:r>
          </w:p>
        </w:tc>
        <w:tc>
          <w:tcPr>
            <w:tcW w:w="855" w:type="dxa"/>
          </w:tcPr>
          <w:p w14:paraId="339937B6" w14:textId="77777777" w:rsidR="00182884" w:rsidRPr="009340A4" w:rsidRDefault="00182884" w:rsidP="009340A4">
            <w:pPr>
              <w:spacing w:after="0" w:line="240" w:lineRule="auto"/>
              <w:jc w:val="right"/>
              <w:rPr>
                <w:i/>
                <w:iCs/>
                <w:sz w:val="17"/>
                <w:szCs w:val="17"/>
              </w:rPr>
            </w:pPr>
          </w:p>
        </w:tc>
        <w:tc>
          <w:tcPr>
            <w:tcW w:w="283" w:type="dxa"/>
          </w:tcPr>
          <w:p w14:paraId="17FB00F5" w14:textId="77777777" w:rsidR="00182884" w:rsidRPr="009340A4" w:rsidRDefault="00182884" w:rsidP="009340A4">
            <w:pPr>
              <w:spacing w:after="0" w:line="240" w:lineRule="auto"/>
              <w:jc w:val="right"/>
              <w:rPr>
                <w:b/>
                <w:bCs/>
                <w:i/>
                <w:iCs/>
                <w:sz w:val="17"/>
                <w:szCs w:val="17"/>
              </w:rPr>
            </w:pPr>
          </w:p>
        </w:tc>
        <w:tc>
          <w:tcPr>
            <w:tcW w:w="709" w:type="dxa"/>
          </w:tcPr>
          <w:p w14:paraId="1360878E" w14:textId="77777777" w:rsidR="00182884" w:rsidRPr="009340A4" w:rsidRDefault="00182884" w:rsidP="009340A4">
            <w:pPr>
              <w:spacing w:after="0" w:line="240" w:lineRule="auto"/>
              <w:jc w:val="right"/>
              <w:rPr>
                <w:i/>
                <w:iCs/>
                <w:sz w:val="17"/>
                <w:szCs w:val="17"/>
              </w:rPr>
            </w:pPr>
            <w:r w:rsidRPr="009340A4">
              <w:rPr>
                <w:i/>
                <w:iCs/>
                <w:sz w:val="17"/>
                <w:szCs w:val="17"/>
              </w:rPr>
              <w:t>ref.</w:t>
            </w:r>
          </w:p>
        </w:tc>
        <w:tc>
          <w:tcPr>
            <w:tcW w:w="1129" w:type="dxa"/>
          </w:tcPr>
          <w:p w14:paraId="793D102D" w14:textId="77777777" w:rsidR="00182884" w:rsidRPr="009340A4" w:rsidRDefault="00182884" w:rsidP="009340A4">
            <w:pPr>
              <w:spacing w:after="0" w:line="240" w:lineRule="auto"/>
              <w:jc w:val="right"/>
              <w:rPr>
                <w:b/>
                <w:bCs/>
                <w:i/>
                <w:iCs/>
                <w:sz w:val="17"/>
                <w:szCs w:val="17"/>
              </w:rPr>
            </w:pPr>
            <w:r w:rsidRPr="009340A4">
              <w:rPr>
                <w:i/>
                <w:iCs/>
                <w:sz w:val="17"/>
                <w:szCs w:val="17"/>
              </w:rPr>
              <w:t>ref.</w:t>
            </w:r>
          </w:p>
        </w:tc>
        <w:tc>
          <w:tcPr>
            <w:tcW w:w="841" w:type="dxa"/>
          </w:tcPr>
          <w:p w14:paraId="36A27407" w14:textId="77777777" w:rsidR="00182884" w:rsidRPr="009340A4" w:rsidRDefault="00182884" w:rsidP="009340A4">
            <w:pPr>
              <w:spacing w:after="0" w:line="240" w:lineRule="auto"/>
              <w:jc w:val="right"/>
              <w:rPr>
                <w:b/>
                <w:bCs/>
                <w:sz w:val="17"/>
                <w:szCs w:val="17"/>
              </w:rPr>
            </w:pPr>
          </w:p>
        </w:tc>
        <w:tc>
          <w:tcPr>
            <w:tcW w:w="814" w:type="dxa"/>
          </w:tcPr>
          <w:p w14:paraId="1149F6C1" w14:textId="77777777" w:rsidR="00182884" w:rsidRPr="009340A4" w:rsidRDefault="00182884" w:rsidP="009340A4">
            <w:pPr>
              <w:spacing w:after="0" w:line="240" w:lineRule="auto"/>
              <w:jc w:val="right"/>
              <w:rPr>
                <w:i/>
                <w:iCs/>
                <w:sz w:val="17"/>
                <w:szCs w:val="17"/>
              </w:rPr>
            </w:pPr>
            <w:r w:rsidRPr="009340A4">
              <w:rPr>
                <w:i/>
                <w:iCs/>
                <w:sz w:val="17"/>
                <w:szCs w:val="17"/>
              </w:rPr>
              <w:t>ref.</w:t>
            </w:r>
          </w:p>
        </w:tc>
        <w:tc>
          <w:tcPr>
            <w:tcW w:w="1180" w:type="dxa"/>
          </w:tcPr>
          <w:p w14:paraId="5D8C0528" w14:textId="77777777" w:rsidR="00182884" w:rsidRPr="009340A4" w:rsidRDefault="00182884" w:rsidP="009340A4">
            <w:pPr>
              <w:spacing w:after="0" w:line="240" w:lineRule="auto"/>
              <w:jc w:val="right"/>
              <w:rPr>
                <w:b/>
                <w:bCs/>
                <w:i/>
                <w:iCs/>
                <w:sz w:val="17"/>
                <w:szCs w:val="17"/>
              </w:rPr>
            </w:pPr>
            <w:r w:rsidRPr="009340A4">
              <w:rPr>
                <w:i/>
                <w:iCs/>
                <w:sz w:val="17"/>
                <w:szCs w:val="17"/>
              </w:rPr>
              <w:t>ref.</w:t>
            </w:r>
          </w:p>
        </w:tc>
        <w:tc>
          <w:tcPr>
            <w:tcW w:w="960" w:type="dxa"/>
          </w:tcPr>
          <w:p w14:paraId="5FAEAE77" w14:textId="77777777" w:rsidR="00182884" w:rsidRPr="009340A4" w:rsidRDefault="00182884" w:rsidP="009340A4">
            <w:pPr>
              <w:spacing w:after="0" w:line="240" w:lineRule="auto"/>
              <w:jc w:val="right"/>
              <w:rPr>
                <w:b/>
                <w:bCs/>
                <w:sz w:val="17"/>
                <w:szCs w:val="17"/>
              </w:rPr>
            </w:pPr>
          </w:p>
        </w:tc>
      </w:tr>
      <w:tr w:rsidR="00182884" w:rsidRPr="009340A4" w14:paraId="117C19BC" w14:textId="77777777" w:rsidTr="000A7109">
        <w:tc>
          <w:tcPr>
            <w:tcW w:w="345" w:type="dxa"/>
          </w:tcPr>
          <w:p w14:paraId="6C97CC07" w14:textId="77777777" w:rsidR="00182884" w:rsidRPr="009340A4" w:rsidRDefault="00182884" w:rsidP="009340A4">
            <w:pPr>
              <w:spacing w:after="0" w:line="240" w:lineRule="auto"/>
              <w:rPr>
                <w:sz w:val="17"/>
                <w:szCs w:val="17"/>
              </w:rPr>
            </w:pPr>
          </w:p>
        </w:tc>
        <w:tc>
          <w:tcPr>
            <w:tcW w:w="2880" w:type="dxa"/>
          </w:tcPr>
          <w:p w14:paraId="167B103F" w14:textId="77777777" w:rsidR="00182884" w:rsidRPr="009340A4" w:rsidRDefault="00182884" w:rsidP="009340A4">
            <w:pPr>
              <w:spacing w:after="0" w:line="240" w:lineRule="auto"/>
              <w:rPr>
                <w:sz w:val="17"/>
                <w:szCs w:val="17"/>
              </w:rPr>
            </w:pPr>
            <w:r w:rsidRPr="009340A4">
              <w:rPr>
                <w:sz w:val="17"/>
                <w:szCs w:val="17"/>
              </w:rPr>
              <w:t>Peri-urban</w:t>
            </w:r>
          </w:p>
        </w:tc>
        <w:tc>
          <w:tcPr>
            <w:tcW w:w="654" w:type="dxa"/>
          </w:tcPr>
          <w:p w14:paraId="0A2B035A"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0.81</w:t>
            </w:r>
          </w:p>
        </w:tc>
        <w:tc>
          <w:tcPr>
            <w:tcW w:w="1190" w:type="dxa"/>
          </w:tcPr>
          <w:p w14:paraId="2F2C4B98"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[0.68-0.97]</w:t>
            </w:r>
          </w:p>
        </w:tc>
        <w:tc>
          <w:tcPr>
            <w:tcW w:w="881" w:type="dxa"/>
          </w:tcPr>
          <w:p w14:paraId="515CCD06" w14:textId="77777777" w:rsidR="00182884" w:rsidRPr="009340A4" w:rsidRDefault="00182884" w:rsidP="009340A4">
            <w:pPr>
              <w:spacing w:after="0" w:line="240" w:lineRule="auto"/>
              <w:jc w:val="right"/>
              <w:rPr>
                <w:b/>
                <w:bCs/>
                <w:color w:val="000000"/>
                <w:sz w:val="17"/>
                <w:szCs w:val="17"/>
              </w:rPr>
            </w:pPr>
          </w:p>
        </w:tc>
        <w:tc>
          <w:tcPr>
            <w:tcW w:w="675" w:type="dxa"/>
          </w:tcPr>
          <w:p w14:paraId="703251F8"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0.82</w:t>
            </w:r>
          </w:p>
        </w:tc>
        <w:tc>
          <w:tcPr>
            <w:tcW w:w="996" w:type="dxa"/>
          </w:tcPr>
          <w:p w14:paraId="557F7B6C"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[0.70-0.95]</w:t>
            </w:r>
          </w:p>
        </w:tc>
        <w:tc>
          <w:tcPr>
            <w:tcW w:w="855" w:type="dxa"/>
          </w:tcPr>
          <w:p w14:paraId="16AEC078" w14:textId="77777777" w:rsidR="00182884" w:rsidRPr="009340A4" w:rsidRDefault="00182884" w:rsidP="009340A4">
            <w:pPr>
              <w:spacing w:after="0" w:line="240" w:lineRule="auto"/>
              <w:jc w:val="right"/>
              <w:rPr>
                <w:b/>
                <w:bCs/>
                <w:color w:val="000000"/>
                <w:sz w:val="17"/>
                <w:szCs w:val="17"/>
              </w:rPr>
            </w:pPr>
          </w:p>
        </w:tc>
        <w:tc>
          <w:tcPr>
            <w:tcW w:w="283" w:type="dxa"/>
          </w:tcPr>
          <w:p w14:paraId="491A7417" w14:textId="77777777" w:rsidR="00182884" w:rsidRPr="009340A4" w:rsidRDefault="00182884" w:rsidP="009340A4">
            <w:pPr>
              <w:spacing w:after="0" w:line="240" w:lineRule="auto"/>
              <w:jc w:val="right"/>
              <w:rPr>
                <w:color w:val="000000"/>
                <w:sz w:val="17"/>
                <w:szCs w:val="17"/>
              </w:rPr>
            </w:pPr>
          </w:p>
        </w:tc>
        <w:tc>
          <w:tcPr>
            <w:tcW w:w="709" w:type="dxa"/>
          </w:tcPr>
          <w:p w14:paraId="16E46E8D"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0.82</w:t>
            </w:r>
          </w:p>
        </w:tc>
        <w:tc>
          <w:tcPr>
            <w:tcW w:w="1129" w:type="dxa"/>
          </w:tcPr>
          <w:p w14:paraId="5471C2AE"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[0.73-0.93]</w:t>
            </w:r>
          </w:p>
        </w:tc>
        <w:tc>
          <w:tcPr>
            <w:tcW w:w="841" w:type="dxa"/>
          </w:tcPr>
          <w:p w14:paraId="2B46748A" w14:textId="77777777" w:rsidR="00182884" w:rsidRPr="009340A4" w:rsidRDefault="00182884" w:rsidP="009340A4">
            <w:pPr>
              <w:spacing w:after="0" w:line="240" w:lineRule="auto"/>
              <w:jc w:val="right"/>
              <w:rPr>
                <w:sz w:val="17"/>
                <w:szCs w:val="17"/>
              </w:rPr>
            </w:pPr>
          </w:p>
        </w:tc>
        <w:tc>
          <w:tcPr>
            <w:tcW w:w="814" w:type="dxa"/>
          </w:tcPr>
          <w:p w14:paraId="48F1981E"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0.92</w:t>
            </w:r>
          </w:p>
        </w:tc>
        <w:tc>
          <w:tcPr>
            <w:tcW w:w="1180" w:type="dxa"/>
          </w:tcPr>
          <w:p w14:paraId="77658366"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[0.84-1.00]</w:t>
            </w:r>
          </w:p>
        </w:tc>
        <w:tc>
          <w:tcPr>
            <w:tcW w:w="960" w:type="dxa"/>
          </w:tcPr>
          <w:p w14:paraId="0C6ECB5B" w14:textId="77777777" w:rsidR="00182884" w:rsidRPr="009340A4" w:rsidRDefault="00182884" w:rsidP="009340A4">
            <w:pPr>
              <w:spacing w:after="0" w:line="240" w:lineRule="auto"/>
              <w:jc w:val="right"/>
              <w:rPr>
                <w:sz w:val="17"/>
                <w:szCs w:val="17"/>
              </w:rPr>
            </w:pPr>
          </w:p>
        </w:tc>
      </w:tr>
      <w:tr w:rsidR="00182884" w:rsidRPr="009340A4" w14:paraId="2A07857E" w14:textId="77777777" w:rsidTr="000A7109">
        <w:tc>
          <w:tcPr>
            <w:tcW w:w="345" w:type="dxa"/>
          </w:tcPr>
          <w:p w14:paraId="60F3F333" w14:textId="77777777" w:rsidR="00182884" w:rsidRPr="009340A4" w:rsidRDefault="00182884" w:rsidP="009340A4">
            <w:pPr>
              <w:spacing w:after="0" w:line="240" w:lineRule="auto"/>
              <w:rPr>
                <w:sz w:val="17"/>
                <w:szCs w:val="17"/>
              </w:rPr>
            </w:pPr>
          </w:p>
        </w:tc>
        <w:tc>
          <w:tcPr>
            <w:tcW w:w="2880" w:type="dxa"/>
          </w:tcPr>
          <w:p w14:paraId="09C5C452" w14:textId="77777777" w:rsidR="00182884" w:rsidRPr="009340A4" w:rsidRDefault="00182884" w:rsidP="009340A4">
            <w:pPr>
              <w:spacing w:after="0" w:line="240" w:lineRule="auto"/>
              <w:rPr>
                <w:sz w:val="17"/>
                <w:szCs w:val="17"/>
              </w:rPr>
            </w:pPr>
            <w:r w:rsidRPr="009340A4">
              <w:rPr>
                <w:sz w:val="17"/>
                <w:szCs w:val="17"/>
              </w:rPr>
              <w:t>Urban</w:t>
            </w:r>
          </w:p>
        </w:tc>
        <w:tc>
          <w:tcPr>
            <w:tcW w:w="654" w:type="dxa"/>
          </w:tcPr>
          <w:p w14:paraId="03093AA3"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0.61</w:t>
            </w:r>
          </w:p>
        </w:tc>
        <w:tc>
          <w:tcPr>
            <w:tcW w:w="1190" w:type="dxa"/>
          </w:tcPr>
          <w:p w14:paraId="141B1F36"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[0.42-0.87]</w:t>
            </w:r>
          </w:p>
        </w:tc>
        <w:tc>
          <w:tcPr>
            <w:tcW w:w="881" w:type="dxa"/>
          </w:tcPr>
          <w:p w14:paraId="6F892399" w14:textId="77777777" w:rsidR="00182884" w:rsidRPr="009340A4" w:rsidRDefault="00182884" w:rsidP="009340A4">
            <w:pPr>
              <w:spacing w:after="0" w:line="240" w:lineRule="auto"/>
              <w:jc w:val="right"/>
              <w:rPr>
                <w:b/>
                <w:bCs/>
                <w:color w:val="000000"/>
                <w:sz w:val="17"/>
                <w:szCs w:val="17"/>
              </w:rPr>
            </w:pPr>
          </w:p>
        </w:tc>
        <w:tc>
          <w:tcPr>
            <w:tcW w:w="675" w:type="dxa"/>
          </w:tcPr>
          <w:p w14:paraId="7B279246"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0.77</w:t>
            </w:r>
          </w:p>
        </w:tc>
        <w:tc>
          <w:tcPr>
            <w:tcW w:w="996" w:type="dxa"/>
          </w:tcPr>
          <w:p w14:paraId="382384A3"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[0.53-1.14]</w:t>
            </w:r>
          </w:p>
        </w:tc>
        <w:tc>
          <w:tcPr>
            <w:tcW w:w="855" w:type="dxa"/>
          </w:tcPr>
          <w:p w14:paraId="45A428C5" w14:textId="77777777" w:rsidR="00182884" w:rsidRPr="009340A4" w:rsidRDefault="00182884" w:rsidP="009340A4">
            <w:pPr>
              <w:spacing w:after="0" w:line="240" w:lineRule="auto"/>
              <w:jc w:val="right"/>
              <w:rPr>
                <w:b/>
                <w:bCs/>
                <w:color w:val="000000"/>
                <w:sz w:val="17"/>
                <w:szCs w:val="17"/>
              </w:rPr>
            </w:pPr>
          </w:p>
        </w:tc>
        <w:tc>
          <w:tcPr>
            <w:tcW w:w="283" w:type="dxa"/>
          </w:tcPr>
          <w:p w14:paraId="45BCF950" w14:textId="77777777" w:rsidR="00182884" w:rsidRPr="009340A4" w:rsidRDefault="00182884" w:rsidP="009340A4">
            <w:pPr>
              <w:spacing w:after="0" w:line="240" w:lineRule="auto"/>
              <w:jc w:val="right"/>
              <w:rPr>
                <w:color w:val="000000"/>
                <w:sz w:val="17"/>
                <w:szCs w:val="17"/>
              </w:rPr>
            </w:pPr>
          </w:p>
        </w:tc>
        <w:tc>
          <w:tcPr>
            <w:tcW w:w="709" w:type="dxa"/>
          </w:tcPr>
          <w:p w14:paraId="7DB5538A"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0.50</w:t>
            </w:r>
          </w:p>
        </w:tc>
        <w:tc>
          <w:tcPr>
            <w:tcW w:w="1129" w:type="dxa"/>
          </w:tcPr>
          <w:p w14:paraId="3052E166"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[0.38-0.65]</w:t>
            </w:r>
          </w:p>
        </w:tc>
        <w:tc>
          <w:tcPr>
            <w:tcW w:w="841" w:type="dxa"/>
          </w:tcPr>
          <w:p w14:paraId="769DE117" w14:textId="77777777" w:rsidR="00182884" w:rsidRPr="009340A4" w:rsidRDefault="00182884" w:rsidP="009340A4">
            <w:pPr>
              <w:spacing w:after="0" w:line="240" w:lineRule="auto"/>
              <w:jc w:val="right"/>
              <w:rPr>
                <w:b/>
                <w:bCs/>
                <w:color w:val="000000"/>
                <w:sz w:val="17"/>
                <w:szCs w:val="17"/>
              </w:rPr>
            </w:pPr>
          </w:p>
        </w:tc>
        <w:tc>
          <w:tcPr>
            <w:tcW w:w="814" w:type="dxa"/>
          </w:tcPr>
          <w:p w14:paraId="21D123CC"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0.68</w:t>
            </w:r>
          </w:p>
        </w:tc>
        <w:tc>
          <w:tcPr>
            <w:tcW w:w="1180" w:type="dxa"/>
          </w:tcPr>
          <w:p w14:paraId="6F570713"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[0.60-0.78]</w:t>
            </w:r>
          </w:p>
        </w:tc>
        <w:tc>
          <w:tcPr>
            <w:tcW w:w="960" w:type="dxa"/>
          </w:tcPr>
          <w:p w14:paraId="78B7460E" w14:textId="77777777" w:rsidR="00182884" w:rsidRPr="009340A4" w:rsidRDefault="00182884" w:rsidP="009340A4">
            <w:pPr>
              <w:spacing w:after="0" w:line="240" w:lineRule="auto"/>
              <w:jc w:val="right"/>
              <w:rPr>
                <w:b/>
                <w:bCs/>
                <w:sz w:val="17"/>
                <w:szCs w:val="17"/>
              </w:rPr>
            </w:pPr>
          </w:p>
        </w:tc>
      </w:tr>
      <w:tr w:rsidR="00182884" w:rsidRPr="009340A4" w14:paraId="78C27EB0" w14:textId="77777777" w:rsidTr="000A7109">
        <w:tc>
          <w:tcPr>
            <w:tcW w:w="3225" w:type="dxa"/>
            <w:gridSpan w:val="2"/>
          </w:tcPr>
          <w:p w14:paraId="7D98F6BB" w14:textId="77777777" w:rsidR="00182884" w:rsidRPr="009340A4" w:rsidRDefault="00182884" w:rsidP="009340A4">
            <w:pPr>
              <w:spacing w:after="0" w:line="240" w:lineRule="auto"/>
              <w:jc w:val="left"/>
              <w:rPr>
                <w:b/>
                <w:bCs/>
                <w:sz w:val="17"/>
                <w:szCs w:val="17"/>
              </w:rPr>
            </w:pPr>
            <w:r w:rsidRPr="009340A4">
              <w:rPr>
                <w:b/>
                <w:bCs/>
                <w:sz w:val="17"/>
                <w:szCs w:val="17"/>
              </w:rPr>
              <w:t>Distance from nearest clinic</w:t>
            </w:r>
          </w:p>
        </w:tc>
        <w:tc>
          <w:tcPr>
            <w:tcW w:w="654" w:type="dxa"/>
          </w:tcPr>
          <w:p w14:paraId="703E5A78" w14:textId="77777777" w:rsidR="00182884" w:rsidRPr="009340A4" w:rsidRDefault="00182884" w:rsidP="009340A4">
            <w:pPr>
              <w:spacing w:after="0" w:line="240" w:lineRule="auto"/>
              <w:jc w:val="right"/>
              <w:rPr>
                <w:sz w:val="17"/>
                <w:szCs w:val="17"/>
              </w:rPr>
            </w:pPr>
          </w:p>
        </w:tc>
        <w:tc>
          <w:tcPr>
            <w:tcW w:w="1190" w:type="dxa"/>
          </w:tcPr>
          <w:p w14:paraId="23219539" w14:textId="77777777" w:rsidR="00182884" w:rsidRPr="009340A4" w:rsidRDefault="00182884" w:rsidP="009340A4">
            <w:pPr>
              <w:spacing w:after="0" w:line="240" w:lineRule="auto"/>
              <w:jc w:val="right"/>
              <w:rPr>
                <w:b/>
                <w:bCs/>
                <w:sz w:val="17"/>
                <w:szCs w:val="17"/>
              </w:rPr>
            </w:pPr>
          </w:p>
        </w:tc>
        <w:tc>
          <w:tcPr>
            <w:tcW w:w="881" w:type="dxa"/>
          </w:tcPr>
          <w:p w14:paraId="5A666746" w14:textId="77777777" w:rsidR="00182884" w:rsidRPr="009340A4" w:rsidRDefault="00182884" w:rsidP="009340A4">
            <w:pPr>
              <w:spacing w:after="0" w:line="240" w:lineRule="auto"/>
              <w:jc w:val="right"/>
              <w:rPr>
                <w:b/>
                <w:bCs/>
                <w:color w:val="000000"/>
                <w:sz w:val="17"/>
                <w:szCs w:val="17"/>
              </w:rPr>
            </w:pPr>
            <w:r w:rsidRPr="009340A4">
              <w:rPr>
                <w:b/>
                <w:bCs/>
                <w:color w:val="000000" w:themeColor="text1"/>
                <w:sz w:val="17"/>
                <w:szCs w:val="17"/>
              </w:rPr>
              <w:t>0.021</w:t>
            </w:r>
          </w:p>
        </w:tc>
        <w:tc>
          <w:tcPr>
            <w:tcW w:w="675" w:type="dxa"/>
          </w:tcPr>
          <w:p w14:paraId="2594D1C8" w14:textId="77777777" w:rsidR="00182884" w:rsidRPr="009340A4" w:rsidRDefault="00182884" w:rsidP="009340A4">
            <w:pPr>
              <w:spacing w:after="0" w:line="240" w:lineRule="auto"/>
              <w:jc w:val="right"/>
              <w:rPr>
                <w:sz w:val="17"/>
                <w:szCs w:val="17"/>
              </w:rPr>
            </w:pPr>
          </w:p>
        </w:tc>
        <w:tc>
          <w:tcPr>
            <w:tcW w:w="996" w:type="dxa"/>
          </w:tcPr>
          <w:p w14:paraId="5940A7F7" w14:textId="77777777" w:rsidR="00182884" w:rsidRPr="009340A4" w:rsidRDefault="00182884" w:rsidP="009340A4">
            <w:pPr>
              <w:spacing w:after="0" w:line="240" w:lineRule="auto"/>
              <w:jc w:val="right"/>
              <w:rPr>
                <w:sz w:val="17"/>
                <w:szCs w:val="17"/>
              </w:rPr>
            </w:pPr>
          </w:p>
        </w:tc>
        <w:tc>
          <w:tcPr>
            <w:tcW w:w="855" w:type="dxa"/>
          </w:tcPr>
          <w:p w14:paraId="2078A56B" w14:textId="77777777" w:rsidR="00182884" w:rsidRPr="009340A4" w:rsidRDefault="00182884" w:rsidP="009340A4">
            <w:pPr>
              <w:spacing w:after="0" w:line="240" w:lineRule="auto"/>
              <w:jc w:val="right"/>
              <w:rPr>
                <w:sz w:val="17"/>
                <w:szCs w:val="17"/>
              </w:rPr>
            </w:pPr>
            <w:r w:rsidRPr="009340A4">
              <w:rPr>
                <w:sz w:val="17"/>
                <w:szCs w:val="17"/>
              </w:rPr>
              <w:t>0.339</w:t>
            </w:r>
          </w:p>
        </w:tc>
        <w:tc>
          <w:tcPr>
            <w:tcW w:w="283" w:type="dxa"/>
          </w:tcPr>
          <w:p w14:paraId="4F6EC8EB" w14:textId="77777777" w:rsidR="00182884" w:rsidRPr="009340A4" w:rsidRDefault="00182884" w:rsidP="009340A4">
            <w:pPr>
              <w:spacing w:after="0" w:line="240" w:lineRule="auto"/>
              <w:jc w:val="right"/>
              <w:rPr>
                <w:color w:val="000000"/>
                <w:sz w:val="17"/>
                <w:szCs w:val="17"/>
              </w:rPr>
            </w:pPr>
          </w:p>
        </w:tc>
        <w:tc>
          <w:tcPr>
            <w:tcW w:w="709" w:type="dxa"/>
          </w:tcPr>
          <w:p w14:paraId="681ED169" w14:textId="77777777" w:rsidR="00182884" w:rsidRPr="009340A4" w:rsidRDefault="00182884" w:rsidP="009340A4">
            <w:pPr>
              <w:spacing w:after="0" w:line="240" w:lineRule="auto"/>
              <w:jc w:val="right"/>
              <w:rPr>
                <w:b/>
                <w:bCs/>
                <w:sz w:val="17"/>
                <w:szCs w:val="17"/>
              </w:rPr>
            </w:pPr>
          </w:p>
        </w:tc>
        <w:tc>
          <w:tcPr>
            <w:tcW w:w="1129" w:type="dxa"/>
          </w:tcPr>
          <w:p w14:paraId="01549485" w14:textId="77777777" w:rsidR="00182884" w:rsidRPr="009340A4" w:rsidRDefault="00182884" w:rsidP="009340A4">
            <w:pPr>
              <w:spacing w:after="0" w:line="240" w:lineRule="auto"/>
              <w:jc w:val="right"/>
              <w:rPr>
                <w:b/>
                <w:bCs/>
                <w:color w:val="000000"/>
                <w:sz w:val="17"/>
                <w:szCs w:val="17"/>
              </w:rPr>
            </w:pPr>
          </w:p>
        </w:tc>
        <w:tc>
          <w:tcPr>
            <w:tcW w:w="841" w:type="dxa"/>
          </w:tcPr>
          <w:p w14:paraId="24D270F5" w14:textId="77777777" w:rsidR="00182884" w:rsidRPr="009340A4" w:rsidRDefault="00182884" w:rsidP="009340A4">
            <w:pPr>
              <w:spacing w:after="0" w:line="240" w:lineRule="auto"/>
              <w:jc w:val="right"/>
              <w:rPr>
                <w:color w:val="000000"/>
                <w:sz w:val="17"/>
                <w:szCs w:val="17"/>
              </w:rPr>
            </w:pPr>
            <w:r w:rsidRPr="009340A4">
              <w:rPr>
                <w:b/>
                <w:bCs/>
                <w:color w:val="000000" w:themeColor="text1"/>
                <w:sz w:val="17"/>
                <w:szCs w:val="17"/>
              </w:rPr>
              <w:t>&lt;0.001</w:t>
            </w:r>
          </w:p>
        </w:tc>
        <w:tc>
          <w:tcPr>
            <w:tcW w:w="814" w:type="dxa"/>
          </w:tcPr>
          <w:p w14:paraId="38443B26" w14:textId="77777777" w:rsidR="00182884" w:rsidRPr="009340A4" w:rsidRDefault="00182884" w:rsidP="009340A4">
            <w:pPr>
              <w:spacing w:after="0" w:line="240" w:lineRule="auto"/>
              <w:jc w:val="right"/>
              <w:rPr>
                <w:b/>
                <w:bCs/>
                <w:color w:val="000000"/>
                <w:sz w:val="17"/>
                <w:szCs w:val="17"/>
              </w:rPr>
            </w:pPr>
          </w:p>
        </w:tc>
        <w:tc>
          <w:tcPr>
            <w:tcW w:w="1180" w:type="dxa"/>
          </w:tcPr>
          <w:p w14:paraId="2C9E0579" w14:textId="77777777" w:rsidR="00182884" w:rsidRPr="009340A4" w:rsidRDefault="00182884" w:rsidP="009340A4">
            <w:pPr>
              <w:spacing w:after="0" w:line="240" w:lineRule="auto"/>
              <w:jc w:val="right"/>
              <w:rPr>
                <w:b/>
                <w:bCs/>
                <w:color w:val="000000"/>
                <w:sz w:val="17"/>
                <w:szCs w:val="17"/>
              </w:rPr>
            </w:pPr>
          </w:p>
        </w:tc>
        <w:tc>
          <w:tcPr>
            <w:tcW w:w="960" w:type="dxa"/>
          </w:tcPr>
          <w:p w14:paraId="4544BAE3" w14:textId="77777777" w:rsidR="00182884" w:rsidRPr="009340A4" w:rsidRDefault="00182884" w:rsidP="009340A4">
            <w:pPr>
              <w:spacing w:after="0" w:line="240" w:lineRule="auto"/>
              <w:jc w:val="right"/>
              <w:rPr>
                <w:b/>
                <w:bCs/>
                <w:color w:val="000000"/>
                <w:sz w:val="17"/>
                <w:szCs w:val="17"/>
              </w:rPr>
            </w:pPr>
            <w:r w:rsidRPr="009340A4">
              <w:rPr>
                <w:b/>
                <w:bCs/>
                <w:color w:val="000000" w:themeColor="text1"/>
                <w:sz w:val="17"/>
                <w:szCs w:val="17"/>
              </w:rPr>
              <w:t>0.018</w:t>
            </w:r>
          </w:p>
        </w:tc>
      </w:tr>
      <w:tr w:rsidR="00182884" w:rsidRPr="009340A4" w14:paraId="2A3B13C2" w14:textId="77777777" w:rsidTr="000A7109">
        <w:tc>
          <w:tcPr>
            <w:tcW w:w="345" w:type="dxa"/>
          </w:tcPr>
          <w:p w14:paraId="5883192D" w14:textId="77777777" w:rsidR="00182884" w:rsidRPr="009340A4" w:rsidRDefault="00182884" w:rsidP="009340A4">
            <w:pPr>
              <w:spacing w:after="0" w:line="240" w:lineRule="auto"/>
              <w:rPr>
                <w:sz w:val="17"/>
                <w:szCs w:val="17"/>
              </w:rPr>
            </w:pPr>
          </w:p>
        </w:tc>
        <w:tc>
          <w:tcPr>
            <w:tcW w:w="2880" w:type="dxa"/>
          </w:tcPr>
          <w:p w14:paraId="3869BB46" w14:textId="77777777" w:rsidR="00182884" w:rsidRPr="009340A4" w:rsidRDefault="00182884" w:rsidP="009340A4">
            <w:pPr>
              <w:spacing w:after="0" w:line="240" w:lineRule="auto"/>
              <w:rPr>
                <w:sz w:val="17"/>
                <w:szCs w:val="17"/>
              </w:rPr>
            </w:pPr>
            <w:r w:rsidRPr="009340A4">
              <w:rPr>
                <w:sz w:val="17"/>
                <w:szCs w:val="17"/>
              </w:rPr>
              <w:t>4km or below</w:t>
            </w:r>
          </w:p>
        </w:tc>
        <w:tc>
          <w:tcPr>
            <w:tcW w:w="654" w:type="dxa"/>
          </w:tcPr>
          <w:p w14:paraId="4B4243CC" w14:textId="77777777" w:rsidR="00182884" w:rsidRPr="009340A4" w:rsidRDefault="00182884" w:rsidP="009340A4">
            <w:pPr>
              <w:spacing w:after="0" w:line="240" w:lineRule="auto"/>
              <w:jc w:val="right"/>
              <w:rPr>
                <w:i/>
                <w:iCs/>
                <w:sz w:val="17"/>
                <w:szCs w:val="17"/>
              </w:rPr>
            </w:pPr>
            <w:r w:rsidRPr="009340A4">
              <w:rPr>
                <w:i/>
                <w:iCs/>
                <w:sz w:val="17"/>
                <w:szCs w:val="17"/>
              </w:rPr>
              <w:t>ref.</w:t>
            </w:r>
          </w:p>
        </w:tc>
        <w:tc>
          <w:tcPr>
            <w:tcW w:w="1190" w:type="dxa"/>
          </w:tcPr>
          <w:p w14:paraId="482FBB01" w14:textId="77777777" w:rsidR="00182884" w:rsidRPr="009340A4" w:rsidRDefault="00182884" w:rsidP="009340A4">
            <w:pPr>
              <w:spacing w:after="0" w:line="240" w:lineRule="auto"/>
              <w:jc w:val="right"/>
              <w:rPr>
                <w:b/>
                <w:bCs/>
                <w:i/>
                <w:iCs/>
                <w:sz w:val="17"/>
                <w:szCs w:val="17"/>
              </w:rPr>
            </w:pPr>
            <w:r w:rsidRPr="009340A4">
              <w:rPr>
                <w:i/>
                <w:iCs/>
                <w:sz w:val="17"/>
                <w:szCs w:val="17"/>
              </w:rPr>
              <w:t>ref.</w:t>
            </w:r>
          </w:p>
        </w:tc>
        <w:tc>
          <w:tcPr>
            <w:tcW w:w="881" w:type="dxa"/>
          </w:tcPr>
          <w:p w14:paraId="6A2603A8" w14:textId="77777777" w:rsidR="00182884" w:rsidRPr="009340A4" w:rsidRDefault="00182884" w:rsidP="009340A4">
            <w:pPr>
              <w:spacing w:after="0" w:line="240" w:lineRule="auto"/>
              <w:jc w:val="right"/>
              <w:rPr>
                <w:i/>
                <w:iCs/>
                <w:sz w:val="17"/>
                <w:szCs w:val="17"/>
              </w:rPr>
            </w:pPr>
          </w:p>
        </w:tc>
        <w:tc>
          <w:tcPr>
            <w:tcW w:w="675" w:type="dxa"/>
          </w:tcPr>
          <w:p w14:paraId="4F672C42" w14:textId="77777777" w:rsidR="00182884" w:rsidRPr="009340A4" w:rsidRDefault="00182884" w:rsidP="009340A4">
            <w:pPr>
              <w:spacing w:after="0" w:line="240" w:lineRule="auto"/>
              <w:jc w:val="right"/>
              <w:rPr>
                <w:i/>
                <w:iCs/>
                <w:sz w:val="17"/>
                <w:szCs w:val="17"/>
              </w:rPr>
            </w:pPr>
            <w:r w:rsidRPr="009340A4">
              <w:rPr>
                <w:i/>
                <w:iCs/>
                <w:sz w:val="17"/>
                <w:szCs w:val="17"/>
              </w:rPr>
              <w:t>ref.</w:t>
            </w:r>
          </w:p>
        </w:tc>
        <w:tc>
          <w:tcPr>
            <w:tcW w:w="996" w:type="dxa"/>
          </w:tcPr>
          <w:p w14:paraId="4419ACDA" w14:textId="77777777" w:rsidR="00182884" w:rsidRPr="009340A4" w:rsidRDefault="00182884" w:rsidP="009340A4">
            <w:pPr>
              <w:spacing w:after="0" w:line="240" w:lineRule="auto"/>
              <w:jc w:val="right"/>
              <w:rPr>
                <w:b/>
                <w:bCs/>
                <w:i/>
                <w:iCs/>
                <w:sz w:val="17"/>
                <w:szCs w:val="17"/>
              </w:rPr>
            </w:pPr>
            <w:r w:rsidRPr="009340A4">
              <w:rPr>
                <w:i/>
                <w:iCs/>
                <w:sz w:val="17"/>
                <w:szCs w:val="17"/>
              </w:rPr>
              <w:t>ref.</w:t>
            </w:r>
          </w:p>
        </w:tc>
        <w:tc>
          <w:tcPr>
            <w:tcW w:w="855" w:type="dxa"/>
          </w:tcPr>
          <w:p w14:paraId="28090EF9" w14:textId="77777777" w:rsidR="00182884" w:rsidRPr="009340A4" w:rsidRDefault="00182884" w:rsidP="009340A4">
            <w:pPr>
              <w:spacing w:after="0" w:line="240" w:lineRule="auto"/>
              <w:jc w:val="right"/>
              <w:rPr>
                <w:i/>
                <w:iCs/>
                <w:sz w:val="17"/>
                <w:szCs w:val="17"/>
              </w:rPr>
            </w:pPr>
          </w:p>
        </w:tc>
        <w:tc>
          <w:tcPr>
            <w:tcW w:w="283" w:type="dxa"/>
          </w:tcPr>
          <w:p w14:paraId="7E902FE2" w14:textId="77777777" w:rsidR="00182884" w:rsidRPr="009340A4" w:rsidRDefault="00182884" w:rsidP="009340A4">
            <w:pPr>
              <w:spacing w:after="0" w:line="240" w:lineRule="auto"/>
              <w:jc w:val="right"/>
              <w:rPr>
                <w:b/>
                <w:bCs/>
                <w:i/>
                <w:iCs/>
                <w:sz w:val="17"/>
                <w:szCs w:val="17"/>
              </w:rPr>
            </w:pPr>
          </w:p>
        </w:tc>
        <w:tc>
          <w:tcPr>
            <w:tcW w:w="709" w:type="dxa"/>
          </w:tcPr>
          <w:p w14:paraId="7C89F19A" w14:textId="77777777" w:rsidR="00182884" w:rsidRPr="009340A4" w:rsidRDefault="00182884" w:rsidP="009340A4">
            <w:pPr>
              <w:spacing w:after="0" w:line="240" w:lineRule="auto"/>
              <w:jc w:val="right"/>
              <w:rPr>
                <w:i/>
                <w:iCs/>
                <w:sz w:val="17"/>
                <w:szCs w:val="17"/>
              </w:rPr>
            </w:pPr>
            <w:r w:rsidRPr="009340A4">
              <w:rPr>
                <w:i/>
                <w:iCs/>
                <w:sz w:val="17"/>
                <w:szCs w:val="17"/>
              </w:rPr>
              <w:t>ref.</w:t>
            </w:r>
          </w:p>
        </w:tc>
        <w:tc>
          <w:tcPr>
            <w:tcW w:w="1129" w:type="dxa"/>
          </w:tcPr>
          <w:p w14:paraId="53068E91" w14:textId="77777777" w:rsidR="00182884" w:rsidRPr="009340A4" w:rsidRDefault="00182884" w:rsidP="009340A4">
            <w:pPr>
              <w:spacing w:after="0" w:line="240" w:lineRule="auto"/>
              <w:jc w:val="right"/>
              <w:rPr>
                <w:b/>
                <w:bCs/>
                <w:i/>
                <w:iCs/>
                <w:sz w:val="17"/>
                <w:szCs w:val="17"/>
              </w:rPr>
            </w:pPr>
            <w:r w:rsidRPr="009340A4">
              <w:rPr>
                <w:i/>
                <w:iCs/>
                <w:sz w:val="17"/>
                <w:szCs w:val="17"/>
              </w:rPr>
              <w:t>ref.</w:t>
            </w:r>
          </w:p>
        </w:tc>
        <w:tc>
          <w:tcPr>
            <w:tcW w:w="841" w:type="dxa"/>
          </w:tcPr>
          <w:p w14:paraId="3D9820A0" w14:textId="77777777" w:rsidR="00182884" w:rsidRPr="009340A4" w:rsidRDefault="00182884" w:rsidP="009340A4">
            <w:pPr>
              <w:spacing w:after="0" w:line="240" w:lineRule="auto"/>
              <w:jc w:val="right"/>
              <w:rPr>
                <w:b/>
                <w:bCs/>
                <w:sz w:val="17"/>
                <w:szCs w:val="17"/>
              </w:rPr>
            </w:pPr>
          </w:p>
        </w:tc>
        <w:tc>
          <w:tcPr>
            <w:tcW w:w="814" w:type="dxa"/>
          </w:tcPr>
          <w:p w14:paraId="10286CB3" w14:textId="77777777" w:rsidR="00182884" w:rsidRPr="009340A4" w:rsidRDefault="00182884" w:rsidP="009340A4">
            <w:pPr>
              <w:spacing w:after="0" w:line="240" w:lineRule="auto"/>
              <w:jc w:val="right"/>
              <w:rPr>
                <w:i/>
                <w:iCs/>
                <w:sz w:val="17"/>
                <w:szCs w:val="17"/>
              </w:rPr>
            </w:pPr>
            <w:r w:rsidRPr="009340A4">
              <w:rPr>
                <w:i/>
                <w:iCs/>
                <w:sz w:val="17"/>
                <w:szCs w:val="17"/>
              </w:rPr>
              <w:t>ref.</w:t>
            </w:r>
          </w:p>
        </w:tc>
        <w:tc>
          <w:tcPr>
            <w:tcW w:w="1180" w:type="dxa"/>
          </w:tcPr>
          <w:p w14:paraId="79DEC8F2" w14:textId="77777777" w:rsidR="00182884" w:rsidRPr="009340A4" w:rsidRDefault="00182884" w:rsidP="009340A4">
            <w:pPr>
              <w:spacing w:after="0" w:line="240" w:lineRule="auto"/>
              <w:jc w:val="right"/>
              <w:rPr>
                <w:b/>
                <w:bCs/>
                <w:i/>
                <w:iCs/>
                <w:sz w:val="17"/>
                <w:szCs w:val="17"/>
              </w:rPr>
            </w:pPr>
            <w:r w:rsidRPr="009340A4">
              <w:rPr>
                <w:i/>
                <w:iCs/>
                <w:sz w:val="17"/>
                <w:szCs w:val="17"/>
              </w:rPr>
              <w:t>ref.</w:t>
            </w:r>
          </w:p>
        </w:tc>
        <w:tc>
          <w:tcPr>
            <w:tcW w:w="960" w:type="dxa"/>
          </w:tcPr>
          <w:p w14:paraId="72CFD569" w14:textId="77777777" w:rsidR="00182884" w:rsidRPr="009340A4" w:rsidRDefault="00182884" w:rsidP="009340A4">
            <w:pPr>
              <w:spacing w:after="0" w:line="240" w:lineRule="auto"/>
              <w:jc w:val="right"/>
              <w:rPr>
                <w:b/>
                <w:bCs/>
                <w:sz w:val="17"/>
                <w:szCs w:val="17"/>
              </w:rPr>
            </w:pPr>
          </w:p>
        </w:tc>
      </w:tr>
      <w:tr w:rsidR="00182884" w:rsidRPr="009340A4" w14:paraId="771F9DE1" w14:textId="77777777" w:rsidTr="000A7109">
        <w:tc>
          <w:tcPr>
            <w:tcW w:w="345" w:type="dxa"/>
          </w:tcPr>
          <w:p w14:paraId="3771C1A2" w14:textId="77777777" w:rsidR="00182884" w:rsidRPr="009340A4" w:rsidRDefault="00182884" w:rsidP="009340A4">
            <w:pPr>
              <w:spacing w:after="0" w:line="240" w:lineRule="auto"/>
              <w:rPr>
                <w:sz w:val="17"/>
                <w:szCs w:val="17"/>
              </w:rPr>
            </w:pPr>
          </w:p>
        </w:tc>
        <w:tc>
          <w:tcPr>
            <w:tcW w:w="2880" w:type="dxa"/>
          </w:tcPr>
          <w:p w14:paraId="221E3A9F" w14:textId="77777777" w:rsidR="00182884" w:rsidRPr="009340A4" w:rsidRDefault="00182884" w:rsidP="009340A4">
            <w:pPr>
              <w:spacing w:after="0" w:line="240" w:lineRule="auto"/>
              <w:rPr>
                <w:sz w:val="17"/>
                <w:szCs w:val="17"/>
              </w:rPr>
            </w:pPr>
            <w:r w:rsidRPr="009340A4">
              <w:rPr>
                <w:sz w:val="17"/>
                <w:szCs w:val="17"/>
              </w:rPr>
              <w:t>&gt;4km</w:t>
            </w:r>
          </w:p>
        </w:tc>
        <w:tc>
          <w:tcPr>
            <w:tcW w:w="654" w:type="dxa"/>
          </w:tcPr>
          <w:p w14:paraId="7CBBA646"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1.23</w:t>
            </w:r>
          </w:p>
        </w:tc>
        <w:tc>
          <w:tcPr>
            <w:tcW w:w="1190" w:type="dxa"/>
          </w:tcPr>
          <w:p w14:paraId="45E6B454"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[1.03-1.46]</w:t>
            </w:r>
          </w:p>
        </w:tc>
        <w:tc>
          <w:tcPr>
            <w:tcW w:w="881" w:type="dxa"/>
          </w:tcPr>
          <w:p w14:paraId="3EA0DFBF" w14:textId="77777777" w:rsidR="00182884" w:rsidRPr="009340A4" w:rsidRDefault="00182884" w:rsidP="009340A4">
            <w:pPr>
              <w:spacing w:after="0" w:line="240" w:lineRule="auto"/>
              <w:jc w:val="right"/>
              <w:rPr>
                <w:color w:val="000000"/>
                <w:sz w:val="17"/>
                <w:szCs w:val="17"/>
              </w:rPr>
            </w:pPr>
          </w:p>
        </w:tc>
        <w:tc>
          <w:tcPr>
            <w:tcW w:w="675" w:type="dxa"/>
          </w:tcPr>
          <w:p w14:paraId="3CB46513"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1.07</w:t>
            </w:r>
          </w:p>
        </w:tc>
        <w:tc>
          <w:tcPr>
            <w:tcW w:w="996" w:type="dxa"/>
          </w:tcPr>
          <w:p w14:paraId="6F9656B4"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[0.93-1.24]</w:t>
            </w:r>
          </w:p>
        </w:tc>
        <w:tc>
          <w:tcPr>
            <w:tcW w:w="855" w:type="dxa"/>
          </w:tcPr>
          <w:p w14:paraId="75891832" w14:textId="77777777" w:rsidR="00182884" w:rsidRPr="009340A4" w:rsidRDefault="00182884" w:rsidP="009340A4">
            <w:pPr>
              <w:spacing w:after="0" w:line="240" w:lineRule="auto"/>
              <w:jc w:val="right"/>
              <w:rPr>
                <w:color w:val="000000"/>
                <w:sz w:val="17"/>
                <w:szCs w:val="17"/>
              </w:rPr>
            </w:pPr>
          </w:p>
        </w:tc>
        <w:tc>
          <w:tcPr>
            <w:tcW w:w="283" w:type="dxa"/>
          </w:tcPr>
          <w:p w14:paraId="27722A14" w14:textId="77777777" w:rsidR="00182884" w:rsidRPr="009340A4" w:rsidRDefault="00182884" w:rsidP="009340A4">
            <w:pPr>
              <w:spacing w:after="0" w:line="240" w:lineRule="auto"/>
              <w:jc w:val="right"/>
              <w:rPr>
                <w:color w:val="000000"/>
                <w:sz w:val="17"/>
                <w:szCs w:val="17"/>
              </w:rPr>
            </w:pPr>
          </w:p>
        </w:tc>
        <w:tc>
          <w:tcPr>
            <w:tcW w:w="709" w:type="dxa"/>
          </w:tcPr>
          <w:p w14:paraId="61C51B1A"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1.26</w:t>
            </w:r>
          </w:p>
        </w:tc>
        <w:tc>
          <w:tcPr>
            <w:tcW w:w="1129" w:type="dxa"/>
          </w:tcPr>
          <w:p w14:paraId="61ADAC7B"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[1.13-1.41]</w:t>
            </w:r>
          </w:p>
        </w:tc>
        <w:tc>
          <w:tcPr>
            <w:tcW w:w="841" w:type="dxa"/>
          </w:tcPr>
          <w:p w14:paraId="5EBEC412" w14:textId="77777777" w:rsidR="00182884" w:rsidRPr="009340A4" w:rsidRDefault="00182884" w:rsidP="009340A4">
            <w:pPr>
              <w:spacing w:after="0" w:line="240" w:lineRule="auto"/>
              <w:jc w:val="right"/>
              <w:rPr>
                <w:b/>
                <w:bCs/>
                <w:color w:val="000000"/>
                <w:sz w:val="17"/>
                <w:szCs w:val="17"/>
              </w:rPr>
            </w:pPr>
          </w:p>
        </w:tc>
        <w:tc>
          <w:tcPr>
            <w:tcW w:w="814" w:type="dxa"/>
          </w:tcPr>
          <w:p w14:paraId="5774DB20"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1.11</w:t>
            </w:r>
          </w:p>
        </w:tc>
        <w:tc>
          <w:tcPr>
            <w:tcW w:w="1180" w:type="dxa"/>
          </w:tcPr>
          <w:p w14:paraId="39074CBE"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[1.02-1.21]</w:t>
            </w:r>
          </w:p>
        </w:tc>
        <w:tc>
          <w:tcPr>
            <w:tcW w:w="960" w:type="dxa"/>
          </w:tcPr>
          <w:p w14:paraId="6817E100" w14:textId="77777777" w:rsidR="00182884" w:rsidRPr="009340A4" w:rsidRDefault="00182884" w:rsidP="009340A4">
            <w:pPr>
              <w:spacing w:after="0" w:line="240" w:lineRule="auto"/>
              <w:jc w:val="right"/>
              <w:rPr>
                <w:b/>
                <w:bCs/>
                <w:sz w:val="17"/>
                <w:szCs w:val="17"/>
              </w:rPr>
            </w:pPr>
          </w:p>
        </w:tc>
      </w:tr>
      <w:tr w:rsidR="00182884" w:rsidRPr="009340A4" w14:paraId="40AAF049" w14:textId="77777777" w:rsidTr="000A7109">
        <w:tc>
          <w:tcPr>
            <w:tcW w:w="3225" w:type="dxa"/>
            <w:gridSpan w:val="2"/>
          </w:tcPr>
          <w:p w14:paraId="12F8BBA0" w14:textId="77777777" w:rsidR="00182884" w:rsidRPr="009340A4" w:rsidRDefault="00182884" w:rsidP="009340A4">
            <w:pPr>
              <w:spacing w:after="0" w:line="240" w:lineRule="auto"/>
              <w:rPr>
                <w:b/>
                <w:bCs/>
                <w:i/>
                <w:iCs/>
                <w:sz w:val="17"/>
                <w:szCs w:val="17"/>
              </w:rPr>
            </w:pPr>
            <w:r w:rsidRPr="009340A4">
              <w:rPr>
                <w:b/>
                <w:bCs/>
                <w:i/>
                <w:iCs/>
                <w:sz w:val="17"/>
                <w:szCs w:val="17"/>
              </w:rPr>
              <w:t>Interaction with arm</w:t>
            </w:r>
          </w:p>
        </w:tc>
        <w:tc>
          <w:tcPr>
            <w:tcW w:w="654" w:type="dxa"/>
          </w:tcPr>
          <w:p w14:paraId="6B429867" w14:textId="77777777" w:rsidR="00182884" w:rsidRPr="009340A4" w:rsidRDefault="00182884" w:rsidP="009340A4">
            <w:pPr>
              <w:spacing w:after="0" w:line="240" w:lineRule="auto"/>
              <w:jc w:val="right"/>
              <w:rPr>
                <w:sz w:val="17"/>
                <w:szCs w:val="17"/>
              </w:rPr>
            </w:pPr>
          </w:p>
        </w:tc>
        <w:tc>
          <w:tcPr>
            <w:tcW w:w="1190" w:type="dxa"/>
          </w:tcPr>
          <w:p w14:paraId="74DD98DB" w14:textId="77777777" w:rsidR="00182884" w:rsidRPr="009340A4" w:rsidRDefault="00182884" w:rsidP="009340A4">
            <w:pPr>
              <w:spacing w:after="0" w:line="240" w:lineRule="auto"/>
              <w:jc w:val="right"/>
              <w:rPr>
                <w:b/>
                <w:bCs/>
                <w:sz w:val="17"/>
                <w:szCs w:val="17"/>
              </w:rPr>
            </w:pPr>
          </w:p>
        </w:tc>
        <w:tc>
          <w:tcPr>
            <w:tcW w:w="881" w:type="dxa"/>
          </w:tcPr>
          <w:p w14:paraId="743E0A0F" w14:textId="77777777" w:rsidR="00182884" w:rsidRPr="009340A4" w:rsidRDefault="00182884" w:rsidP="009340A4">
            <w:pPr>
              <w:spacing w:after="0" w:line="240" w:lineRule="auto"/>
              <w:jc w:val="right"/>
              <w:rPr>
                <w:sz w:val="17"/>
                <w:szCs w:val="17"/>
              </w:rPr>
            </w:pPr>
          </w:p>
        </w:tc>
        <w:tc>
          <w:tcPr>
            <w:tcW w:w="675" w:type="dxa"/>
          </w:tcPr>
          <w:p w14:paraId="0B14CF13" w14:textId="77777777" w:rsidR="00182884" w:rsidRPr="009340A4" w:rsidRDefault="00182884" w:rsidP="009340A4">
            <w:pPr>
              <w:spacing w:after="0" w:line="240" w:lineRule="auto"/>
              <w:jc w:val="right"/>
              <w:rPr>
                <w:sz w:val="17"/>
                <w:szCs w:val="17"/>
              </w:rPr>
            </w:pPr>
          </w:p>
        </w:tc>
        <w:tc>
          <w:tcPr>
            <w:tcW w:w="996" w:type="dxa"/>
          </w:tcPr>
          <w:p w14:paraId="3858B57D" w14:textId="77777777" w:rsidR="00182884" w:rsidRPr="009340A4" w:rsidRDefault="00182884" w:rsidP="009340A4">
            <w:pPr>
              <w:spacing w:after="0" w:line="240" w:lineRule="auto"/>
              <w:jc w:val="right"/>
              <w:rPr>
                <w:sz w:val="17"/>
                <w:szCs w:val="17"/>
              </w:rPr>
            </w:pPr>
          </w:p>
        </w:tc>
        <w:tc>
          <w:tcPr>
            <w:tcW w:w="855" w:type="dxa"/>
          </w:tcPr>
          <w:p w14:paraId="3E374EFB" w14:textId="77777777" w:rsidR="00182884" w:rsidRPr="009340A4" w:rsidRDefault="00182884" w:rsidP="009340A4">
            <w:pPr>
              <w:spacing w:after="0" w:line="240" w:lineRule="auto"/>
              <w:jc w:val="right"/>
              <w:rPr>
                <w:b/>
                <w:bCs/>
                <w:sz w:val="17"/>
                <w:szCs w:val="17"/>
              </w:rPr>
            </w:pPr>
          </w:p>
        </w:tc>
        <w:tc>
          <w:tcPr>
            <w:tcW w:w="283" w:type="dxa"/>
          </w:tcPr>
          <w:p w14:paraId="6ADDD377" w14:textId="77777777" w:rsidR="00182884" w:rsidRPr="009340A4" w:rsidRDefault="00182884" w:rsidP="009340A4">
            <w:pPr>
              <w:spacing w:after="0" w:line="240" w:lineRule="auto"/>
              <w:jc w:val="right"/>
              <w:rPr>
                <w:sz w:val="17"/>
                <w:szCs w:val="17"/>
              </w:rPr>
            </w:pPr>
          </w:p>
        </w:tc>
        <w:tc>
          <w:tcPr>
            <w:tcW w:w="709" w:type="dxa"/>
          </w:tcPr>
          <w:p w14:paraId="5B0665BA" w14:textId="77777777" w:rsidR="00182884" w:rsidRPr="009340A4" w:rsidRDefault="00182884" w:rsidP="009340A4">
            <w:pPr>
              <w:spacing w:after="0" w:line="240" w:lineRule="auto"/>
              <w:jc w:val="right"/>
              <w:rPr>
                <w:color w:val="000000"/>
                <w:sz w:val="17"/>
                <w:szCs w:val="17"/>
              </w:rPr>
            </w:pPr>
          </w:p>
        </w:tc>
        <w:tc>
          <w:tcPr>
            <w:tcW w:w="1129" w:type="dxa"/>
          </w:tcPr>
          <w:p w14:paraId="1F79872F" w14:textId="77777777" w:rsidR="00182884" w:rsidRPr="009340A4" w:rsidRDefault="00182884" w:rsidP="009340A4">
            <w:pPr>
              <w:spacing w:after="0" w:line="240" w:lineRule="auto"/>
              <w:jc w:val="right"/>
              <w:rPr>
                <w:b/>
                <w:bCs/>
                <w:sz w:val="17"/>
                <w:szCs w:val="17"/>
              </w:rPr>
            </w:pPr>
          </w:p>
        </w:tc>
        <w:tc>
          <w:tcPr>
            <w:tcW w:w="841" w:type="dxa"/>
          </w:tcPr>
          <w:p w14:paraId="1443DE29" w14:textId="77777777" w:rsidR="00182884" w:rsidRPr="009340A4" w:rsidRDefault="00182884" w:rsidP="009340A4">
            <w:pPr>
              <w:spacing w:after="0" w:line="240" w:lineRule="auto"/>
              <w:jc w:val="right"/>
              <w:rPr>
                <w:b/>
                <w:bCs/>
                <w:sz w:val="17"/>
                <w:szCs w:val="17"/>
              </w:rPr>
            </w:pPr>
          </w:p>
        </w:tc>
        <w:tc>
          <w:tcPr>
            <w:tcW w:w="814" w:type="dxa"/>
          </w:tcPr>
          <w:p w14:paraId="0AAE7455" w14:textId="77777777" w:rsidR="00182884" w:rsidRPr="009340A4" w:rsidRDefault="00182884" w:rsidP="009340A4">
            <w:pPr>
              <w:spacing w:after="0" w:line="240" w:lineRule="auto"/>
              <w:jc w:val="right"/>
              <w:rPr>
                <w:b/>
                <w:bCs/>
                <w:sz w:val="17"/>
                <w:szCs w:val="17"/>
              </w:rPr>
            </w:pPr>
          </w:p>
        </w:tc>
        <w:tc>
          <w:tcPr>
            <w:tcW w:w="1180" w:type="dxa"/>
          </w:tcPr>
          <w:p w14:paraId="61B1A583" w14:textId="77777777" w:rsidR="00182884" w:rsidRPr="009340A4" w:rsidRDefault="00182884" w:rsidP="009340A4">
            <w:pPr>
              <w:spacing w:after="0" w:line="240" w:lineRule="auto"/>
              <w:jc w:val="right"/>
              <w:rPr>
                <w:color w:val="000000"/>
                <w:sz w:val="17"/>
                <w:szCs w:val="17"/>
              </w:rPr>
            </w:pPr>
          </w:p>
        </w:tc>
        <w:tc>
          <w:tcPr>
            <w:tcW w:w="960" w:type="dxa"/>
          </w:tcPr>
          <w:p w14:paraId="77277B1D" w14:textId="77777777" w:rsidR="00182884" w:rsidRPr="009340A4" w:rsidRDefault="00182884" w:rsidP="009340A4">
            <w:pPr>
              <w:spacing w:after="0" w:line="240" w:lineRule="auto"/>
              <w:jc w:val="right"/>
              <w:rPr>
                <w:color w:val="000000"/>
                <w:sz w:val="17"/>
                <w:szCs w:val="17"/>
              </w:rPr>
            </w:pPr>
          </w:p>
        </w:tc>
      </w:tr>
      <w:tr w:rsidR="00182884" w:rsidRPr="009340A4" w14:paraId="53D51196" w14:textId="77777777" w:rsidTr="000A7109">
        <w:tc>
          <w:tcPr>
            <w:tcW w:w="345" w:type="dxa"/>
          </w:tcPr>
          <w:p w14:paraId="78D0F7F5" w14:textId="77777777" w:rsidR="00182884" w:rsidRPr="009340A4" w:rsidRDefault="00182884" w:rsidP="009340A4">
            <w:pPr>
              <w:spacing w:after="0" w:line="240" w:lineRule="auto"/>
              <w:rPr>
                <w:sz w:val="17"/>
                <w:szCs w:val="17"/>
              </w:rPr>
            </w:pPr>
          </w:p>
        </w:tc>
        <w:tc>
          <w:tcPr>
            <w:tcW w:w="2880" w:type="dxa"/>
          </w:tcPr>
          <w:p w14:paraId="03C5713C" w14:textId="77777777" w:rsidR="00182884" w:rsidRPr="009340A4" w:rsidRDefault="00182884" w:rsidP="009340A4">
            <w:pPr>
              <w:spacing w:after="0" w:line="240" w:lineRule="auto"/>
              <w:rPr>
                <w:sz w:val="17"/>
                <w:szCs w:val="17"/>
              </w:rPr>
            </w:pPr>
            <w:r w:rsidRPr="009340A4">
              <w:rPr>
                <w:sz w:val="17"/>
                <w:szCs w:val="17"/>
              </w:rPr>
              <w:t>Age 20-29</w:t>
            </w:r>
          </w:p>
        </w:tc>
        <w:tc>
          <w:tcPr>
            <w:tcW w:w="654" w:type="dxa"/>
          </w:tcPr>
          <w:p w14:paraId="4895CEC2"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1.08</w:t>
            </w:r>
          </w:p>
        </w:tc>
        <w:tc>
          <w:tcPr>
            <w:tcW w:w="1190" w:type="dxa"/>
          </w:tcPr>
          <w:p w14:paraId="3629B8A7"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[0.93-1.25]</w:t>
            </w:r>
          </w:p>
        </w:tc>
        <w:tc>
          <w:tcPr>
            <w:tcW w:w="881" w:type="dxa"/>
          </w:tcPr>
          <w:p w14:paraId="799D9FC7" w14:textId="77777777" w:rsidR="00182884" w:rsidRPr="009340A4" w:rsidRDefault="00182884" w:rsidP="009340A4">
            <w:pPr>
              <w:spacing w:after="0" w:line="240" w:lineRule="auto"/>
              <w:jc w:val="right"/>
              <w:rPr>
                <w:color w:val="000000"/>
                <w:sz w:val="17"/>
                <w:szCs w:val="17"/>
              </w:rPr>
            </w:pPr>
            <w:r w:rsidRPr="009340A4">
              <w:rPr>
                <w:sz w:val="17"/>
                <w:szCs w:val="17"/>
              </w:rPr>
              <w:t>0.738</w:t>
            </w:r>
          </w:p>
        </w:tc>
        <w:tc>
          <w:tcPr>
            <w:tcW w:w="675" w:type="dxa"/>
          </w:tcPr>
          <w:p w14:paraId="2F078F94" w14:textId="77777777" w:rsidR="00182884" w:rsidRPr="009340A4" w:rsidRDefault="00182884" w:rsidP="009340A4">
            <w:pPr>
              <w:spacing w:after="0" w:line="240" w:lineRule="auto"/>
              <w:jc w:val="right"/>
              <w:rPr>
                <w:color w:val="000000"/>
                <w:sz w:val="17"/>
                <w:szCs w:val="17"/>
              </w:rPr>
            </w:pPr>
          </w:p>
        </w:tc>
        <w:tc>
          <w:tcPr>
            <w:tcW w:w="996" w:type="dxa"/>
          </w:tcPr>
          <w:p w14:paraId="501BE506" w14:textId="77777777" w:rsidR="00182884" w:rsidRPr="009340A4" w:rsidRDefault="00182884" w:rsidP="009340A4">
            <w:pPr>
              <w:spacing w:after="0" w:line="240" w:lineRule="auto"/>
              <w:jc w:val="right"/>
              <w:rPr>
                <w:color w:val="000000"/>
                <w:sz w:val="17"/>
                <w:szCs w:val="17"/>
              </w:rPr>
            </w:pPr>
          </w:p>
        </w:tc>
        <w:tc>
          <w:tcPr>
            <w:tcW w:w="855" w:type="dxa"/>
          </w:tcPr>
          <w:p w14:paraId="592E033A" w14:textId="77777777" w:rsidR="00182884" w:rsidRPr="009340A4" w:rsidRDefault="00182884" w:rsidP="009340A4">
            <w:pPr>
              <w:spacing w:after="0" w:line="240" w:lineRule="auto"/>
              <w:jc w:val="right"/>
              <w:rPr>
                <w:color w:val="000000"/>
                <w:sz w:val="17"/>
                <w:szCs w:val="17"/>
              </w:rPr>
            </w:pPr>
          </w:p>
        </w:tc>
        <w:tc>
          <w:tcPr>
            <w:tcW w:w="283" w:type="dxa"/>
          </w:tcPr>
          <w:p w14:paraId="553E9F10" w14:textId="77777777" w:rsidR="00182884" w:rsidRPr="009340A4" w:rsidRDefault="00182884" w:rsidP="009340A4">
            <w:pPr>
              <w:spacing w:after="0" w:line="240" w:lineRule="auto"/>
              <w:jc w:val="right"/>
              <w:rPr>
                <w:color w:val="000000"/>
                <w:sz w:val="17"/>
                <w:szCs w:val="17"/>
              </w:rPr>
            </w:pPr>
          </w:p>
        </w:tc>
        <w:tc>
          <w:tcPr>
            <w:tcW w:w="709" w:type="dxa"/>
          </w:tcPr>
          <w:p w14:paraId="5E68FE3B"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1.03</w:t>
            </w:r>
          </w:p>
        </w:tc>
        <w:tc>
          <w:tcPr>
            <w:tcW w:w="1129" w:type="dxa"/>
          </w:tcPr>
          <w:p w14:paraId="7CEDF9F7"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[0.89-1.18]</w:t>
            </w:r>
          </w:p>
        </w:tc>
        <w:tc>
          <w:tcPr>
            <w:tcW w:w="841" w:type="dxa"/>
          </w:tcPr>
          <w:p w14:paraId="509B8572" w14:textId="77777777" w:rsidR="00182884" w:rsidRPr="009340A4" w:rsidRDefault="00182884" w:rsidP="009340A4">
            <w:pPr>
              <w:spacing w:after="0" w:line="240" w:lineRule="auto"/>
              <w:jc w:val="right"/>
              <w:rPr>
                <w:color w:val="000000"/>
                <w:sz w:val="17"/>
                <w:szCs w:val="17"/>
              </w:rPr>
            </w:pPr>
            <w:r w:rsidRPr="009340A4">
              <w:rPr>
                <w:b/>
                <w:bCs/>
                <w:color w:val="000000" w:themeColor="text1"/>
                <w:sz w:val="17"/>
                <w:szCs w:val="17"/>
              </w:rPr>
              <w:t>0.010</w:t>
            </w:r>
          </w:p>
        </w:tc>
        <w:tc>
          <w:tcPr>
            <w:tcW w:w="814" w:type="dxa"/>
          </w:tcPr>
          <w:p w14:paraId="795B450C"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0.98</w:t>
            </w:r>
          </w:p>
        </w:tc>
        <w:tc>
          <w:tcPr>
            <w:tcW w:w="1180" w:type="dxa"/>
          </w:tcPr>
          <w:p w14:paraId="3D74C702"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[0.85-1.12]</w:t>
            </w:r>
          </w:p>
        </w:tc>
        <w:tc>
          <w:tcPr>
            <w:tcW w:w="960" w:type="dxa"/>
          </w:tcPr>
          <w:p w14:paraId="44037610" w14:textId="77777777" w:rsidR="00182884" w:rsidRPr="009340A4" w:rsidRDefault="00182884" w:rsidP="009340A4">
            <w:pPr>
              <w:spacing w:after="0" w:line="240" w:lineRule="auto"/>
              <w:jc w:val="right"/>
              <w:rPr>
                <w:b/>
                <w:bCs/>
                <w:color w:val="000000"/>
                <w:sz w:val="17"/>
                <w:szCs w:val="17"/>
              </w:rPr>
            </w:pPr>
            <w:r w:rsidRPr="009340A4">
              <w:rPr>
                <w:b/>
                <w:bCs/>
                <w:color w:val="000000" w:themeColor="text1"/>
                <w:sz w:val="17"/>
                <w:szCs w:val="17"/>
              </w:rPr>
              <w:t>0.005</w:t>
            </w:r>
          </w:p>
        </w:tc>
      </w:tr>
      <w:tr w:rsidR="00182884" w:rsidRPr="009340A4" w14:paraId="233081EB" w14:textId="77777777" w:rsidTr="000A7109">
        <w:tc>
          <w:tcPr>
            <w:tcW w:w="345" w:type="dxa"/>
          </w:tcPr>
          <w:p w14:paraId="3010962A" w14:textId="77777777" w:rsidR="00182884" w:rsidRPr="009340A4" w:rsidRDefault="00182884" w:rsidP="009340A4">
            <w:pPr>
              <w:spacing w:after="0" w:line="240" w:lineRule="auto"/>
              <w:rPr>
                <w:sz w:val="17"/>
                <w:szCs w:val="17"/>
              </w:rPr>
            </w:pPr>
          </w:p>
        </w:tc>
        <w:tc>
          <w:tcPr>
            <w:tcW w:w="2880" w:type="dxa"/>
          </w:tcPr>
          <w:p w14:paraId="075D879A" w14:textId="77777777" w:rsidR="00182884" w:rsidRPr="009340A4" w:rsidRDefault="00182884" w:rsidP="009340A4">
            <w:pPr>
              <w:spacing w:after="0" w:line="240" w:lineRule="auto"/>
              <w:rPr>
                <w:sz w:val="17"/>
                <w:szCs w:val="17"/>
              </w:rPr>
            </w:pPr>
            <w:r w:rsidRPr="009340A4">
              <w:rPr>
                <w:sz w:val="17"/>
                <w:szCs w:val="17"/>
              </w:rPr>
              <w:t>Age 30-39</w:t>
            </w:r>
          </w:p>
        </w:tc>
        <w:tc>
          <w:tcPr>
            <w:tcW w:w="654" w:type="dxa"/>
          </w:tcPr>
          <w:p w14:paraId="2A27D738"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1.04</w:t>
            </w:r>
          </w:p>
        </w:tc>
        <w:tc>
          <w:tcPr>
            <w:tcW w:w="1190" w:type="dxa"/>
          </w:tcPr>
          <w:p w14:paraId="557842A1"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[0.80-1.35]</w:t>
            </w:r>
          </w:p>
        </w:tc>
        <w:tc>
          <w:tcPr>
            <w:tcW w:w="881" w:type="dxa"/>
          </w:tcPr>
          <w:p w14:paraId="01A0F8AD" w14:textId="77777777" w:rsidR="00182884" w:rsidRPr="009340A4" w:rsidRDefault="00182884" w:rsidP="009340A4">
            <w:pPr>
              <w:spacing w:after="0" w:line="240" w:lineRule="auto"/>
              <w:jc w:val="right"/>
              <w:rPr>
                <w:color w:val="000000"/>
                <w:sz w:val="17"/>
                <w:szCs w:val="17"/>
              </w:rPr>
            </w:pPr>
          </w:p>
        </w:tc>
        <w:tc>
          <w:tcPr>
            <w:tcW w:w="675" w:type="dxa"/>
          </w:tcPr>
          <w:p w14:paraId="1770C4B0" w14:textId="77777777" w:rsidR="00182884" w:rsidRPr="009340A4" w:rsidRDefault="00182884" w:rsidP="009340A4">
            <w:pPr>
              <w:spacing w:after="0" w:line="240" w:lineRule="auto"/>
              <w:jc w:val="right"/>
              <w:rPr>
                <w:color w:val="000000"/>
                <w:sz w:val="17"/>
                <w:szCs w:val="17"/>
              </w:rPr>
            </w:pPr>
          </w:p>
        </w:tc>
        <w:tc>
          <w:tcPr>
            <w:tcW w:w="996" w:type="dxa"/>
          </w:tcPr>
          <w:p w14:paraId="5C36647C" w14:textId="77777777" w:rsidR="00182884" w:rsidRPr="009340A4" w:rsidRDefault="00182884" w:rsidP="009340A4">
            <w:pPr>
              <w:spacing w:after="0" w:line="240" w:lineRule="auto"/>
              <w:jc w:val="right"/>
              <w:rPr>
                <w:color w:val="000000"/>
                <w:sz w:val="17"/>
                <w:szCs w:val="17"/>
              </w:rPr>
            </w:pPr>
          </w:p>
        </w:tc>
        <w:tc>
          <w:tcPr>
            <w:tcW w:w="855" w:type="dxa"/>
          </w:tcPr>
          <w:p w14:paraId="2DB9D881" w14:textId="77777777" w:rsidR="00182884" w:rsidRPr="009340A4" w:rsidRDefault="00182884" w:rsidP="009340A4">
            <w:pPr>
              <w:spacing w:after="0" w:line="240" w:lineRule="auto"/>
              <w:jc w:val="right"/>
              <w:rPr>
                <w:color w:val="000000"/>
                <w:sz w:val="17"/>
                <w:szCs w:val="17"/>
              </w:rPr>
            </w:pPr>
          </w:p>
        </w:tc>
        <w:tc>
          <w:tcPr>
            <w:tcW w:w="283" w:type="dxa"/>
          </w:tcPr>
          <w:p w14:paraId="4DB39ACA" w14:textId="77777777" w:rsidR="00182884" w:rsidRPr="009340A4" w:rsidRDefault="00182884" w:rsidP="009340A4">
            <w:pPr>
              <w:spacing w:after="0" w:line="240" w:lineRule="auto"/>
              <w:jc w:val="right"/>
              <w:rPr>
                <w:color w:val="000000"/>
                <w:sz w:val="17"/>
                <w:szCs w:val="17"/>
              </w:rPr>
            </w:pPr>
          </w:p>
        </w:tc>
        <w:tc>
          <w:tcPr>
            <w:tcW w:w="709" w:type="dxa"/>
          </w:tcPr>
          <w:p w14:paraId="7E460D9F"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1.15</w:t>
            </w:r>
          </w:p>
        </w:tc>
        <w:tc>
          <w:tcPr>
            <w:tcW w:w="1129" w:type="dxa"/>
          </w:tcPr>
          <w:p w14:paraId="60858F96"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[0.94-1.41]</w:t>
            </w:r>
          </w:p>
        </w:tc>
        <w:tc>
          <w:tcPr>
            <w:tcW w:w="841" w:type="dxa"/>
          </w:tcPr>
          <w:p w14:paraId="7EE24D06" w14:textId="77777777" w:rsidR="00182884" w:rsidRPr="009340A4" w:rsidRDefault="00182884" w:rsidP="009340A4">
            <w:pPr>
              <w:spacing w:after="0" w:line="240" w:lineRule="auto"/>
              <w:jc w:val="right"/>
              <w:rPr>
                <w:color w:val="000000"/>
                <w:sz w:val="17"/>
                <w:szCs w:val="17"/>
              </w:rPr>
            </w:pPr>
          </w:p>
        </w:tc>
        <w:tc>
          <w:tcPr>
            <w:tcW w:w="814" w:type="dxa"/>
          </w:tcPr>
          <w:p w14:paraId="4AB1CFB9"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1.08</w:t>
            </w:r>
          </w:p>
        </w:tc>
        <w:tc>
          <w:tcPr>
            <w:tcW w:w="1180" w:type="dxa"/>
          </w:tcPr>
          <w:p w14:paraId="227ABF74"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[0.87-1.32]</w:t>
            </w:r>
          </w:p>
        </w:tc>
        <w:tc>
          <w:tcPr>
            <w:tcW w:w="960" w:type="dxa"/>
          </w:tcPr>
          <w:p w14:paraId="5A0F9769" w14:textId="77777777" w:rsidR="00182884" w:rsidRPr="009340A4" w:rsidRDefault="00182884" w:rsidP="009340A4">
            <w:pPr>
              <w:spacing w:after="0" w:line="240" w:lineRule="auto"/>
              <w:jc w:val="right"/>
              <w:rPr>
                <w:color w:val="000000"/>
                <w:sz w:val="17"/>
                <w:szCs w:val="17"/>
              </w:rPr>
            </w:pPr>
          </w:p>
        </w:tc>
      </w:tr>
      <w:tr w:rsidR="00182884" w:rsidRPr="009340A4" w14:paraId="5357B565" w14:textId="77777777" w:rsidTr="000A7109">
        <w:tc>
          <w:tcPr>
            <w:tcW w:w="345" w:type="dxa"/>
          </w:tcPr>
          <w:p w14:paraId="16F4E7FE" w14:textId="77777777" w:rsidR="00182884" w:rsidRPr="009340A4" w:rsidRDefault="00182884" w:rsidP="009340A4">
            <w:pPr>
              <w:spacing w:after="0" w:line="240" w:lineRule="auto"/>
              <w:rPr>
                <w:sz w:val="17"/>
                <w:szCs w:val="17"/>
              </w:rPr>
            </w:pPr>
          </w:p>
        </w:tc>
        <w:tc>
          <w:tcPr>
            <w:tcW w:w="2880" w:type="dxa"/>
          </w:tcPr>
          <w:p w14:paraId="4C74CA06" w14:textId="77777777" w:rsidR="00182884" w:rsidRPr="009340A4" w:rsidRDefault="00182884" w:rsidP="009340A4">
            <w:pPr>
              <w:spacing w:after="0" w:line="240" w:lineRule="auto"/>
              <w:rPr>
                <w:sz w:val="17"/>
                <w:szCs w:val="17"/>
              </w:rPr>
            </w:pPr>
            <w:r w:rsidRPr="009340A4">
              <w:rPr>
                <w:sz w:val="17"/>
                <w:szCs w:val="17"/>
              </w:rPr>
              <w:t>Age 40 and over</w:t>
            </w:r>
          </w:p>
        </w:tc>
        <w:tc>
          <w:tcPr>
            <w:tcW w:w="654" w:type="dxa"/>
          </w:tcPr>
          <w:p w14:paraId="37771E59"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1.00</w:t>
            </w:r>
          </w:p>
        </w:tc>
        <w:tc>
          <w:tcPr>
            <w:tcW w:w="1190" w:type="dxa"/>
          </w:tcPr>
          <w:p w14:paraId="6FD411D3"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[0.80-1.26]</w:t>
            </w:r>
          </w:p>
        </w:tc>
        <w:tc>
          <w:tcPr>
            <w:tcW w:w="881" w:type="dxa"/>
          </w:tcPr>
          <w:p w14:paraId="35BCAF28" w14:textId="77777777" w:rsidR="00182884" w:rsidRPr="009340A4" w:rsidRDefault="00182884" w:rsidP="009340A4">
            <w:pPr>
              <w:spacing w:after="0" w:line="240" w:lineRule="auto"/>
              <w:jc w:val="right"/>
              <w:rPr>
                <w:color w:val="000000"/>
                <w:sz w:val="17"/>
                <w:szCs w:val="17"/>
              </w:rPr>
            </w:pPr>
          </w:p>
        </w:tc>
        <w:tc>
          <w:tcPr>
            <w:tcW w:w="675" w:type="dxa"/>
          </w:tcPr>
          <w:p w14:paraId="229873C4" w14:textId="77777777" w:rsidR="00182884" w:rsidRPr="009340A4" w:rsidRDefault="00182884" w:rsidP="009340A4">
            <w:pPr>
              <w:spacing w:after="0" w:line="240" w:lineRule="auto"/>
              <w:jc w:val="right"/>
              <w:rPr>
                <w:color w:val="000000"/>
                <w:sz w:val="17"/>
                <w:szCs w:val="17"/>
              </w:rPr>
            </w:pPr>
          </w:p>
        </w:tc>
        <w:tc>
          <w:tcPr>
            <w:tcW w:w="996" w:type="dxa"/>
          </w:tcPr>
          <w:p w14:paraId="4D9DDEB3" w14:textId="77777777" w:rsidR="00182884" w:rsidRPr="009340A4" w:rsidRDefault="00182884" w:rsidP="009340A4">
            <w:pPr>
              <w:spacing w:after="0" w:line="240" w:lineRule="auto"/>
              <w:jc w:val="right"/>
              <w:rPr>
                <w:color w:val="000000"/>
                <w:sz w:val="17"/>
                <w:szCs w:val="17"/>
              </w:rPr>
            </w:pPr>
          </w:p>
        </w:tc>
        <w:tc>
          <w:tcPr>
            <w:tcW w:w="855" w:type="dxa"/>
          </w:tcPr>
          <w:p w14:paraId="3C755138" w14:textId="77777777" w:rsidR="00182884" w:rsidRPr="009340A4" w:rsidRDefault="00182884" w:rsidP="009340A4">
            <w:pPr>
              <w:spacing w:after="0" w:line="240" w:lineRule="auto"/>
              <w:jc w:val="right"/>
              <w:rPr>
                <w:color w:val="000000"/>
                <w:sz w:val="17"/>
                <w:szCs w:val="17"/>
              </w:rPr>
            </w:pPr>
          </w:p>
        </w:tc>
        <w:tc>
          <w:tcPr>
            <w:tcW w:w="283" w:type="dxa"/>
          </w:tcPr>
          <w:p w14:paraId="7BB9A32A" w14:textId="77777777" w:rsidR="00182884" w:rsidRPr="009340A4" w:rsidRDefault="00182884" w:rsidP="009340A4">
            <w:pPr>
              <w:spacing w:after="0" w:line="240" w:lineRule="auto"/>
              <w:jc w:val="right"/>
              <w:rPr>
                <w:color w:val="000000"/>
                <w:sz w:val="17"/>
                <w:szCs w:val="17"/>
              </w:rPr>
            </w:pPr>
          </w:p>
        </w:tc>
        <w:tc>
          <w:tcPr>
            <w:tcW w:w="709" w:type="dxa"/>
          </w:tcPr>
          <w:p w14:paraId="1BB56996"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0.91</w:t>
            </w:r>
          </w:p>
        </w:tc>
        <w:tc>
          <w:tcPr>
            <w:tcW w:w="1129" w:type="dxa"/>
          </w:tcPr>
          <w:p w14:paraId="19A0658E"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[0.77-1.07]</w:t>
            </w:r>
          </w:p>
        </w:tc>
        <w:tc>
          <w:tcPr>
            <w:tcW w:w="841" w:type="dxa"/>
          </w:tcPr>
          <w:p w14:paraId="3964A5B2" w14:textId="77777777" w:rsidR="00182884" w:rsidRPr="009340A4" w:rsidRDefault="00182884" w:rsidP="009340A4">
            <w:pPr>
              <w:spacing w:after="0" w:line="240" w:lineRule="auto"/>
              <w:jc w:val="right"/>
              <w:rPr>
                <w:color w:val="000000"/>
                <w:sz w:val="17"/>
                <w:szCs w:val="17"/>
              </w:rPr>
            </w:pPr>
          </w:p>
        </w:tc>
        <w:tc>
          <w:tcPr>
            <w:tcW w:w="814" w:type="dxa"/>
          </w:tcPr>
          <w:p w14:paraId="65355E7A"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0.87</w:t>
            </w:r>
          </w:p>
        </w:tc>
        <w:tc>
          <w:tcPr>
            <w:tcW w:w="1180" w:type="dxa"/>
          </w:tcPr>
          <w:p w14:paraId="4B764CBB"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[0.76-1.00]</w:t>
            </w:r>
          </w:p>
        </w:tc>
        <w:tc>
          <w:tcPr>
            <w:tcW w:w="960" w:type="dxa"/>
          </w:tcPr>
          <w:p w14:paraId="146A76AE" w14:textId="77777777" w:rsidR="00182884" w:rsidRPr="009340A4" w:rsidRDefault="00182884" w:rsidP="009340A4">
            <w:pPr>
              <w:spacing w:after="0" w:line="240" w:lineRule="auto"/>
              <w:jc w:val="right"/>
              <w:rPr>
                <w:color w:val="000000"/>
                <w:sz w:val="17"/>
                <w:szCs w:val="17"/>
              </w:rPr>
            </w:pPr>
          </w:p>
        </w:tc>
      </w:tr>
      <w:tr w:rsidR="00182884" w:rsidRPr="009340A4" w14:paraId="427FF082" w14:textId="77777777" w:rsidTr="000A7109">
        <w:tc>
          <w:tcPr>
            <w:tcW w:w="345" w:type="dxa"/>
          </w:tcPr>
          <w:p w14:paraId="66D6C8C5" w14:textId="77777777" w:rsidR="00182884" w:rsidRPr="009340A4" w:rsidRDefault="00182884" w:rsidP="009340A4">
            <w:pPr>
              <w:spacing w:after="0" w:line="240" w:lineRule="auto"/>
              <w:rPr>
                <w:sz w:val="17"/>
                <w:szCs w:val="17"/>
              </w:rPr>
            </w:pPr>
          </w:p>
        </w:tc>
        <w:tc>
          <w:tcPr>
            <w:tcW w:w="2880" w:type="dxa"/>
          </w:tcPr>
          <w:p w14:paraId="58E108AE" w14:textId="77777777" w:rsidR="00182884" w:rsidRPr="009340A4" w:rsidRDefault="00182884" w:rsidP="009340A4">
            <w:pPr>
              <w:spacing w:after="0" w:line="240" w:lineRule="auto"/>
              <w:rPr>
                <w:sz w:val="17"/>
                <w:szCs w:val="17"/>
              </w:rPr>
            </w:pPr>
            <w:r w:rsidRPr="009340A4">
              <w:rPr>
                <w:sz w:val="17"/>
                <w:szCs w:val="17"/>
              </w:rPr>
              <w:t>Education Secondary</w:t>
            </w:r>
          </w:p>
        </w:tc>
        <w:tc>
          <w:tcPr>
            <w:tcW w:w="654" w:type="dxa"/>
          </w:tcPr>
          <w:p w14:paraId="4C16D041"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1.06</w:t>
            </w:r>
          </w:p>
        </w:tc>
        <w:tc>
          <w:tcPr>
            <w:tcW w:w="1190" w:type="dxa"/>
          </w:tcPr>
          <w:p w14:paraId="22402DAC"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[0.93-1.22]</w:t>
            </w:r>
          </w:p>
        </w:tc>
        <w:tc>
          <w:tcPr>
            <w:tcW w:w="881" w:type="dxa"/>
          </w:tcPr>
          <w:p w14:paraId="1324F415" w14:textId="77777777" w:rsidR="00182884" w:rsidRPr="009340A4" w:rsidRDefault="00182884" w:rsidP="009340A4">
            <w:pPr>
              <w:spacing w:after="0" w:line="240" w:lineRule="auto"/>
              <w:jc w:val="right"/>
              <w:rPr>
                <w:sz w:val="17"/>
                <w:szCs w:val="17"/>
              </w:rPr>
            </w:pPr>
            <w:r w:rsidRPr="009340A4">
              <w:rPr>
                <w:sz w:val="17"/>
                <w:szCs w:val="17"/>
              </w:rPr>
              <w:t>0.643</w:t>
            </w:r>
          </w:p>
        </w:tc>
        <w:tc>
          <w:tcPr>
            <w:tcW w:w="675" w:type="dxa"/>
          </w:tcPr>
          <w:p w14:paraId="0BB47FE1" w14:textId="77777777" w:rsidR="00182884" w:rsidRPr="009340A4" w:rsidRDefault="00182884" w:rsidP="009340A4">
            <w:pPr>
              <w:spacing w:after="0" w:line="240" w:lineRule="auto"/>
              <w:jc w:val="right"/>
              <w:rPr>
                <w:color w:val="000000"/>
                <w:sz w:val="17"/>
                <w:szCs w:val="17"/>
              </w:rPr>
            </w:pPr>
          </w:p>
        </w:tc>
        <w:tc>
          <w:tcPr>
            <w:tcW w:w="996" w:type="dxa"/>
          </w:tcPr>
          <w:p w14:paraId="269AA1B2" w14:textId="77777777" w:rsidR="00182884" w:rsidRPr="009340A4" w:rsidRDefault="00182884" w:rsidP="009340A4">
            <w:pPr>
              <w:spacing w:after="0" w:line="240" w:lineRule="auto"/>
              <w:jc w:val="right"/>
              <w:rPr>
                <w:color w:val="000000"/>
                <w:sz w:val="17"/>
                <w:szCs w:val="17"/>
              </w:rPr>
            </w:pPr>
          </w:p>
        </w:tc>
        <w:tc>
          <w:tcPr>
            <w:tcW w:w="855" w:type="dxa"/>
          </w:tcPr>
          <w:p w14:paraId="153A0408" w14:textId="77777777" w:rsidR="00182884" w:rsidRPr="009340A4" w:rsidRDefault="00182884" w:rsidP="009340A4">
            <w:pPr>
              <w:spacing w:after="0" w:line="240" w:lineRule="auto"/>
              <w:jc w:val="right"/>
              <w:rPr>
                <w:color w:val="000000"/>
                <w:sz w:val="17"/>
                <w:szCs w:val="17"/>
              </w:rPr>
            </w:pPr>
          </w:p>
        </w:tc>
        <w:tc>
          <w:tcPr>
            <w:tcW w:w="283" w:type="dxa"/>
          </w:tcPr>
          <w:p w14:paraId="6DB95CA1" w14:textId="77777777" w:rsidR="00182884" w:rsidRPr="009340A4" w:rsidRDefault="00182884" w:rsidP="009340A4">
            <w:pPr>
              <w:spacing w:after="0" w:line="240" w:lineRule="auto"/>
              <w:jc w:val="right"/>
              <w:rPr>
                <w:color w:val="000000"/>
                <w:sz w:val="17"/>
                <w:szCs w:val="17"/>
              </w:rPr>
            </w:pPr>
          </w:p>
        </w:tc>
        <w:tc>
          <w:tcPr>
            <w:tcW w:w="709" w:type="dxa"/>
          </w:tcPr>
          <w:p w14:paraId="7B236F64"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1.12</w:t>
            </w:r>
          </w:p>
        </w:tc>
        <w:tc>
          <w:tcPr>
            <w:tcW w:w="1129" w:type="dxa"/>
          </w:tcPr>
          <w:p w14:paraId="1975468B"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[1.03-1.23]</w:t>
            </w:r>
          </w:p>
        </w:tc>
        <w:tc>
          <w:tcPr>
            <w:tcW w:w="841" w:type="dxa"/>
          </w:tcPr>
          <w:p w14:paraId="431FF5AC" w14:textId="77777777" w:rsidR="00182884" w:rsidRPr="009340A4" w:rsidRDefault="00182884" w:rsidP="009340A4">
            <w:pPr>
              <w:spacing w:after="0" w:line="240" w:lineRule="auto"/>
              <w:jc w:val="right"/>
              <w:rPr>
                <w:b/>
                <w:bCs/>
                <w:color w:val="000000"/>
                <w:sz w:val="17"/>
                <w:szCs w:val="17"/>
              </w:rPr>
            </w:pPr>
            <w:r w:rsidRPr="009340A4">
              <w:rPr>
                <w:b/>
                <w:bCs/>
                <w:color w:val="000000" w:themeColor="text1"/>
                <w:sz w:val="17"/>
                <w:szCs w:val="17"/>
              </w:rPr>
              <w:t>0.041</w:t>
            </w:r>
          </w:p>
        </w:tc>
        <w:tc>
          <w:tcPr>
            <w:tcW w:w="814" w:type="dxa"/>
          </w:tcPr>
          <w:p w14:paraId="3C20A3A6"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1.04</w:t>
            </w:r>
          </w:p>
        </w:tc>
        <w:tc>
          <w:tcPr>
            <w:tcW w:w="1180" w:type="dxa"/>
          </w:tcPr>
          <w:p w14:paraId="4B32DAD1"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[0.95-1.13]</w:t>
            </w:r>
          </w:p>
        </w:tc>
        <w:tc>
          <w:tcPr>
            <w:tcW w:w="960" w:type="dxa"/>
          </w:tcPr>
          <w:p w14:paraId="790150A6"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0.643</w:t>
            </w:r>
          </w:p>
        </w:tc>
      </w:tr>
      <w:tr w:rsidR="00182884" w:rsidRPr="009340A4" w14:paraId="77C4B76B" w14:textId="77777777" w:rsidTr="000A7109">
        <w:tc>
          <w:tcPr>
            <w:tcW w:w="345" w:type="dxa"/>
          </w:tcPr>
          <w:p w14:paraId="413A7CF9" w14:textId="77777777" w:rsidR="00182884" w:rsidRPr="009340A4" w:rsidRDefault="00182884" w:rsidP="009340A4">
            <w:pPr>
              <w:spacing w:after="0" w:line="240" w:lineRule="auto"/>
              <w:rPr>
                <w:sz w:val="17"/>
                <w:szCs w:val="17"/>
              </w:rPr>
            </w:pPr>
          </w:p>
        </w:tc>
        <w:tc>
          <w:tcPr>
            <w:tcW w:w="2880" w:type="dxa"/>
          </w:tcPr>
          <w:p w14:paraId="7BD93CD0" w14:textId="77777777" w:rsidR="00182884" w:rsidRPr="009340A4" w:rsidRDefault="00182884" w:rsidP="009340A4">
            <w:pPr>
              <w:spacing w:after="0" w:line="240" w:lineRule="auto"/>
              <w:rPr>
                <w:sz w:val="17"/>
                <w:szCs w:val="17"/>
              </w:rPr>
            </w:pPr>
            <w:r w:rsidRPr="009340A4">
              <w:rPr>
                <w:sz w:val="17"/>
                <w:szCs w:val="17"/>
              </w:rPr>
              <w:t>Education Tertiary</w:t>
            </w:r>
          </w:p>
        </w:tc>
        <w:tc>
          <w:tcPr>
            <w:tcW w:w="654" w:type="dxa"/>
          </w:tcPr>
          <w:p w14:paraId="57FEE807"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0.92</w:t>
            </w:r>
          </w:p>
        </w:tc>
        <w:tc>
          <w:tcPr>
            <w:tcW w:w="1190" w:type="dxa"/>
          </w:tcPr>
          <w:p w14:paraId="6918471B"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[0.55-1.53]</w:t>
            </w:r>
          </w:p>
        </w:tc>
        <w:tc>
          <w:tcPr>
            <w:tcW w:w="881" w:type="dxa"/>
          </w:tcPr>
          <w:p w14:paraId="636CCC98" w14:textId="77777777" w:rsidR="00182884" w:rsidRPr="009340A4" w:rsidRDefault="00182884" w:rsidP="009340A4">
            <w:pPr>
              <w:spacing w:after="0" w:line="240" w:lineRule="auto"/>
              <w:jc w:val="right"/>
              <w:rPr>
                <w:color w:val="000000"/>
                <w:sz w:val="17"/>
                <w:szCs w:val="17"/>
              </w:rPr>
            </w:pPr>
          </w:p>
        </w:tc>
        <w:tc>
          <w:tcPr>
            <w:tcW w:w="675" w:type="dxa"/>
          </w:tcPr>
          <w:p w14:paraId="5FF1D1BD" w14:textId="77777777" w:rsidR="00182884" w:rsidRPr="009340A4" w:rsidRDefault="00182884" w:rsidP="009340A4">
            <w:pPr>
              <w:spacing w:after="0" w:line="240" w:lineRule="auto"/>
              <w:jc w:val="right"/>
              <w:rPr>
                <w:color w:val="000000"/>
                <w:sz w:val="17"/>
                <w:szCs w:val="17"/>
              </w:rPr>
            </w:pPr>
          </w:p>
        </w:tc>
        <w:tc>
          <w:tcPr>
            <w:tcW w:w="996" w:type="dxa"/>
          </w:tcPr>
          <w:p w14:paraId="5B08166D" w14:textId="77777777" w:rsidR="00182884" w:rsidRPr="009340A4" w:rsidRDefault="00182884" w:rsidP="009340A4">
            <w:pPr>
              <w:spacing w:after="0" w:line="240" w:lineRule="auto"/>
              <w:jc w:val="right"/>
              <w:rPr>
                <w:color w:val="000000"/>
                <w:sz w:val="17"/>
                <w:szCs w:val="17"/>
              </w:rPr>
            </w:pPr>
          </w:p>
        </w:tc>
        <w:tc>
          <w:tcPr>
            <w:tcW w:w="855" w:type="dxa"/>
          </w:tcPr>
          <w:p w14:paraId="60513A79" w14:textId="77777777" w:rsidR="00182884" w:rsidRPr="009340A4" w:rsidRDefault="00182884" w:rsidP="009340A4">
            <w:pPr>
              <w:spacing w:after="0" w:line="240" w:lineRule="auto"/>
              <w:jc w:val="right"/>
              <w:rPr>
                <w:color w:val="000000"/>
                <w:sz w:val="17"/>
                <w:szCs w:val="17"/>
              </w:rPr>
            </w:pPr>
          </w:p>
        </w:tc>
        <w:tc>
          <w:tcPr>
            <w:tcW w:w="283" w:type="dxa"/>
          </w:tcPr>
          <w:p w14:paraId="273D1CDC" w14:textId="77777777" w:rsidR="00182884" w:rsidRPr="009340A4" w:rsidRDefault="00182884" w:rsidP="009340A4">
            <w:pPr>
              <w:spacing w:after="0" w:line="240" w:lineRule="auto"/>
              <w:jc w:val="right"/>
              <w:rPr>
                <w:color w:val="000000"/>
                <w:sz w:val="17"/>
                <w:szCs w:val="17"/>
              </w:rPr>
            </w:pPr>
          </w:p>
        </w:tc>
        <w:tc>
          <w:tcPr>
            <w:tcW w:w="709" w:type="dxa"/>
          </w:tcPr>
          <w:p w14:paraId="6E88E2C9"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1.12</w:t>
            </w:r>
          </w:p>
        </w:tc>
        <w:tc>
          <w:tcPr>
            <w:tcW w:w="1129" w:type="dxa"/>
          </w:tcPr>
          <w:p w14:paraId="14712212"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[0.83-1.51]</w:t>
            </w:r>
          </w:p>
        </w:tc>
        <w:tc>
          <w:tcPr>
            <w:tcW w:w="841" w:type="dxa"/>
          </w:tcPr>
          <w:p w14:paraId="5334D97D" w14:textId="77777777" w:rsidR="00182884" w:rsidRPr="009340A4" w:rsidRDefault="00182884" w:rsidP="009340A4">
            <w:pPr>
              <w:spacing w:after="0" w:line="240" w:lineRule="auto"/>
              <w:jc w:val="right"/>
              <w:rPr>
                <w:color w:val="000000"/>
                <w:sz w:val="17"/>
                <w:szCs w:val="17"/>
              </w:rPr>
            </w:pPr>
          </w:p>
        </w:tc>
        <w:tc>
          <w:tcPr>
            <w:tcW w:w="814" w:type="dxa"/>
          </w:tcPr>
          <w:p w14:paraId="2D887F28"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0.94</w:t>
            </w:r>
          </w:p>
        </w:tc>
        <w:tc>
          <w:tcPr>
            <w:tcW w:w="1180" w:type="dxa"/>
          </w:tcPr>
          <w:p w14:paraId="6882E6D6"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[0.72-1.23]</w:t>
            </w:r>
          </w:p>
        </w:tc>
        <w:tc>
          <w:tcPr>
            <w:tcW w:w="960" w:type="dxa"/>
          </w:tcPr>
          <w:p w14:paraId="00DEA09F" w14:textId="77777777" w:rsidR="00182884" w:rsidRPr="009340A4" w:rsidRDefault="00182884" w:rsidP="009340A4">
            <w:pPr>
              <w:spacing w:after="0" w:line="240" w:lineRule="auto"/>
              <w:jc w:val="right"/>
              <w:rPr>
                <w:color w:val="000000"/>
                <w:sz w:val="17"/>
                <w:szCs w:val="17"/>
              </w:rPr>
            </w:pPr>
          </w:p>
        </w:tc>
      </w:tr>
      <w:tr w:rsidR="00182884" w:rsidRPr="009340A4" w14:paraId="6E34E590" w14:textId="77777777" w:rsidTr="000A7109">
        <w:tc>
          <w:tcPr>
            <w:tcW w:w="345" w:type="dxa"/>
          </w:tcPr>
          <w:p w14:paraId="50BD84E6" w14:textId="77777777" w:rsidR="00182884" w:rsidRPr="009340A4" w:rsidRDefault="00182884" w:rsidP="009340A4">
            <w:pPr>
              <w:spacing w:after="0" w:line="240" w:lineRule="auto"/>
              <w:rPr>
                <w:sz w:val="17"/>
                <w:szCs w:val="17"/>
              </w:rPr>
            </w:pPr>
          </w:p>
        </w:tc>
        <w:tc>
          <w:tcPr>
            <w:tcW w:w="2880" w:type="dxa"/>
          </w:tcPr>
          <w:p w14:paraId="11A048B2" w14:textId="77777777" w:rsidR="00182884" w:rsidRPr="009340A4" w:rsidRDefault="00182884" w:rsidP="009340A4">
            <w:pPr>
              <w:spacing w:after="0" w:line="240" w:lineRule="auto"/>
              <w:rPr>
                <w:sz w:val="17"/>
                <w:szCs w:val="17"/>
              </w:rPr>
            </w:pPr>
            <w:r w:rsidRPr="009340A4">
              <w:rPr>
                <w:sz w:val="17"/>
                <w:szCs w:val="17"/>
              </w:rPr>
              <w:t>Marital status Single</w:t>
            </w:r>
          </w:p>
        </w:tc>
        <w:tc>
          <w:tcPr>
            <w:tcW w:w="654" w:type="dxa"/>
          </w:tcPr>
          <w:p w14:paraId="4D117FAC"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1.02</w:t>
            </w:r>
          </w:p>
        </w:tc>
        <w:tc>
          <w:tcPr>
            <w:tcW w:w="1190" w:type="dxa"/>
          </w:tcPr>
          <w:p w14:paraId="335BCD5D"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[0.87-1.20]</w:t>
            </w:r>
          </w:p>
        </w:tc>
        <w:tc>
          <w:tcPr>
            <w:tcW w:w="881" w:type="dxa"/>
          </w:tcPr>
          <w:p w14:paraId="63E2477E"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0.326</w:t>
            </w:r>
          </w:p>
        </w:tc>
        <w:tc>
          <w:tcPr>
            <w:tcW w:w="675" w:type="dxa"/>
          </w:tcPr>
          <w:p w14:paraId="7ADD9D63" w14:textId="77777777" w:rsidR="00182884" w:rsidRPr="009340A4" w:rsidRDefault="00182884" w:rsidP="009340A4">
            <w:pPr>
              <w:spacing w:after="0" w:line="240" w:lineRule="auto"/>
              <w:jc w:val="right"/>
              <w:rPr>
                <w:color w:val="000000"/>
                <w:sz w:val="17"/>
                <w:szCs w:val="17"/>
              </w:rPr>
            </w:pPr>
          </w:p>
        </w:tc>
        <w:tc>
          <w:tcPr>
            <w:tcW w:w="996" w:type="dxa"/>
          </w:tcPr>
          <w:p w14:paraId="22EBDF65" w14:textId="77777777" w:rsidR="00182884" w:rsidRPr="009340A4" w:rsidRDefault="00182884" w:rsidP="009340A4">
            <w:pPr>
              <w:spacing w:after="0" w:line="240" w:lineRule="auto"/>
              <w:jc w:val="right"/>
              <w:rPr>
                <w:color w:val="000000"/>
                <w:sz w:val="17"/>
                <w:szCs w:val="17"/>
              </w:rPr>
            </w:pPr>
          </w:p>
        </w:tc>
        <w:tc>
          <w:tcPr>
            <w:tcW w:w="855" w:type="dxa"/>
          </w:tcPr>
          <w:p w14:paraId="4DE5E60E" w14:textId="77777777" w:rsidR="00182884" w:rsidRPr="009340A4" w:rsidRDefault="00182884" w:rsidP="009340A4">
            <w:pPr>
              <w:spacing w:after="0" w:line="240" w:lineRule="auto"/>
              <w:jc w:val="right"/>
              <w:rPr>
                <w:color w:val="000000"/>
                <w:sz w:val="17"/>
                <w:szCs w:val="17"/>
              </w:rPr>
            </w:pPr>
          </w:p>
        </w:tc>
        <w:tc>
          <w:tcPr>
            <w:tcW w:w="283" w:type="dxa"/>
          </w:tcPr>
          <w:p w14:paraId="07B7820D" w14:textId="77777777" w:rsidR="00182884" w:rsidRPr="009340A4" w:rsidRDefault="00182884" w:rsidP="009340A4">
            <w:pPr>
              <w:spacing w:after="0" w:line="240" w:lineRule="auto"/>
              <w:jc w:val="right"/>
              <w:rPr>
                <w:color w:val="000000"/>
                <w:sz w:val="17"/>
                <w:szCs w:val="17"/>
              </w:rPr>
            </w:pPr>
          </w:p>
        </w:tc>
        <w:tc>
          <w:tcPr>
            <w:tcW w:w="709" w:type="dxa"/>
          </w:tcPr>
          <w:p w14:paraId="2604F3D5"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0.95</w:t>
            </w:r>
          </w:p>
        </w:tc>
        <w:tc>
          <w:tcPr>
            <w:tcW w:w="1129" w:type="dxa"/>
          </w:tcPr>
          <w:p w14:paraId="270AF451"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[0.85-1.07]</w:t>
            </w:r>
          </w:p>
        </w:tc>
        <w:tc>
          <w:tcPr>
            <w:tcW w:w="841" w:type="dxa"/>
          </w:tcPr>
          <w:p w14:paraId="6A4B9B45"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0.590</w:t>
            </w:r>
          </w:p>
        </w:tc>
        <w:tc>
          <w:tcPr>
            <w:tcW w:w="814" w:type="dxa"/>
          </w:tcPr>
          <w:p w14:paraId="719089B8" w14:textId="77777777" w:rsidR="00182884" w:rsidRPr="009340A4" w:rsidRDefault="00182884" w:rsidP="009340A4">
            <w:pPr>
              <w:spacing w:after="0" w:line="240" w:lineRule="auto"/>
              <w:jc w:val="right"/>
              <w:rPr>
                <w:color w:val="000000"/>
                <w:sz w:val="17"/>
                <w:szCs w:val="17"/>
              </w:rPr>
            </w:pPr>
          </w:p>
        </w:tc>
        <w:tc>
          <w:tcPr>
            <w:tcW w:w="1180" w:type="dxa"/>
          </w:tcPr>
          <w:p w14:paraId="51004803" w14:textId="77777777" w:rsidR="00182884" w:rsidRPr="009340A4" w:rsidRDefault="00182884" w:rsidP="009340A4">
            <w:pPr>
              <w:spacing w:after="0" w:line="240" w:lineRule="auto"/>
              <w:jc w:val="right"/>
              <w:rPr>
                <w:color w:val="000000"/>
                <w:sz w:val="17"/>
                <w:szCs w:val="17"/>
              </w:rPr>
            </w:pPr>
          </w:p>
        </w:tc>
        <w:tc>
          <w:tcPr>
            <w:tcW w:w="960" w:type="dxa"/>
          </w:tcPr>
          <w:p w14:paraId="12D771C9" w14:textId="77777777" w:rsidR="00182884" w:rsidRPr="009340A4" w:rsidRDefault="00182884" w:rsidP="009340A4">
            <w:pPr>
              <w:spacing w:after="0" w:line="240" w:lineRule="auto"/>
              <w:jc w:val="right"/>
              <w:rPr>
                <w:color w:val="000000"/>
                <w:sz w:val="17"/>
                <w:szCs w:val="17"/>
              </w:rPr>
            </w:pPr>
          </w:p>
        </w:tc>
      </w:tr>
      <w:tr w:rsidR="00182884" w:rsidRPr="009340A4" w14:paraId="70B68EBA" w14:textId="77777777" w:rsidTr="000A7109">
        <w:tc>
          <w:tcPr>
            <w:tcW w:w="345" w:type="dxa"/>
          </w:tcPr>
          <w:p w14:paraId="7E57B254" w14:textId="77777777" w:rsidR="00182884" w:rsidRPr="009340A4" w:rsidRDefault="00182884" w:rsidP="009340A4">
            <w:pPr>
              <w:spacing w:after="0" w:line="240" w:lineRule="auto"/>
              <w:rPr>
                <w:sz w:val="17"/>
                <w:szCs w:val="17"/>
              </w:rPr>
            </w:pPr>
          </w:p>
        </w:tc>
        <w:tc>
          <w:tcPr>
            <w:tcW w:w="2880" w:type="dxa"/>
          </w:tcPr>
          <w:p w14:paraId="05614BD0" w14:textId="77777777" w:rsidR="00182884" w:rsidRPr="009340A4" w:rsidRDefault="00182884" w:rsidP="009340A4">
            <w:pPr>
              <w:spacing w:after="0" w:line="240" w:lineRule="auto"/>
              <w:jc w:val="left"/>
              <w:rPr>
                <w:sz w:val="17"/>
                <w:szCs w:val="17"/>
                <w:lang w:val="en-GB"/>
              </w:rPr>
            </w:pPr>
            <w:r w:rsidRPr="009340A4">
              <w:rPr>
                <w:sz w:val="17"/>
                <w:szCs w:val="17"/>
                <w:lang w:val="en-GB"/>
              </w:rPr>
              <w:t>Marital status Widowed/ Separated/ Divorced</w:t>
            </w:r>
          </w:p>
        </w:tc>
        <w:tc>
          <w:tcPr>
            <w:tcW w:w="654" w:type="dxa"/>
          </w:tcPr>
          <w:p w14:paraId="00A61174"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0.76</w:t>
            </w:r>
          </w:p>
        </w:tc>
        <w:tc>
          <w:tcPr>
            <w:tcW w:w="1190" w:type="dxa"/>
          </w:tcPr>
          <w:p w14:paraId="7DF84D07"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[0.52-1.11]</w:t>
            </w:r>
          </w:p>
        </w:tc>
        <w:tc>
          <w:tcPr>
            <w:tcW w:w="881" w:type="dxa"/>
          </w:tcPr>
          <w:p w14:paraId="39B00719" w14:textId="77777777" w:rsidR="00182884" w:rsidRPr="009340A4" w:rsidRDefault="00182884" w:rsidP="009340A4">
            <w:pPr>
              <w:spacing w:after="0" w:line="240" w:lineRule="auto"/>
              <w:jc w:val="right"/>
              <w:rPr>
                <w:color w:val="000000"/>
                <w:sz w:val="17"/>
                <w:szCs w:val="17"/>
              </w:rPr>
            </w:pPr>
          </w:p>
        </w:tc>
        <w:tc>
          <w:tcPr>
            <w:tcW w:w="675" w:type="dxa"/>
          </w:tcPr>
          <w:p w14:paraId="310D0B59" w14:textId="77777777" w:rsidR="00182884" w:rsidRPr="009340A4" w:rsidRDefault="00182884" w:rsidP="009340A4">
            <w:pPr>
              <w:spacing w:after="0" w:line="240" w:lineRule="auto"/>
              <w:jc w:val="right"/>
              <w:rPr>
                <w:color w:val="000000"/>
                <w:sz w:val="17"/>
                <w:szCs w:val="17"/>
              </w:rPr>
            </w:pPr>
          </w:p>
        </w:tc>
        <w:tc>
          <w:tcPr>
            <w:tcW w:w="996" w:type="dxa"/>
          </w:tcPr>
          <w:p w14:paraId="5C7910D3" w14:textId="77777777" w:rsidR="00182884" w:rsidRPr="009340A4" w:rsidRDefault="00182884" w:rsidP="009340A4">
            <w:pPr>
              <w:spacing w:after="0" w:line="240" w:lineRule="auto"/>
              <w:jc w:val="right"/>
              <w:rPr>
                <w:color w:val="000000"/>
                <w:sz w:val="17"/>
                <w:szCs w:val="17"/>
              </w:rPr>
            </w:pPr>
          </w:p>
        </w:tc>
        <w:tc>
          <w:tcPr>
            <w:tcW w:w="855" w:type="dxa"/>
          </w:tcPr>
          <w:p w14:paraId="2B875109" w14:textId="77777777" w:rsidR="00182884" w:rsidRPr="009340A4" w:rsidRDefault="00182884" w:rsidP="009340A4">
            <w:pPr>
              <w:spacing w:after="0" w:line="240" w:lineRule="auto"/>
              <w:jc w:val="right"/>
              <w:rPr>
                <w:color w:val="000000"/>
                <w:sz w:val="17"/>
                <w:szCs w:val="17"/>
              </w:rPr>
            </w:pPr>
          </w:p>
        </w:tc>
        <w:tc>
          <w:tcPr>
            <w:tcW w:w="283" w:type="dxa"/>
          </w:tcPr>
          <w:p w14:paraId="013C8CB5" w14:textId="77777777" w:rsidR="00182884" w:rsidRPr="009340A4" w:rsidRDefault="00182884" w:rsidP="009340A4">
            <w:pPr>
              <w:spacing w:after="0" w:line="240" w:lineRule="auto"/>
              <w:jc w:val="right"/>
              <w:rPr>
                <w:color w:val="000000"/>
                <w:sz w:val="17"/>
                <w:szCs w:val="17"/>
              </w:rPr>
            </w:pPr>
          </w:p>
        </w:tc>
        <w:tc>
          <w:tcPr>
            <w:tcW w:w="709" w:type="dxa"/>
          </w:tcPr>
          <w:p w14:paraId="0AEEA558"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0.96</w:t>
            </w:r>
          </w:p>
        </w:tc>
        <w:tc>
          <w:tcPr>
            <w:tcW w:w="1129" w:type="dxa"/>
          </w:tcPr>
          <w:p w14:paraId="0049CD2F"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[0.85-1.07]</w:t>
            </w:r>
          </w:p>
        </w:tc>
        <w:tc>
          <w:tcPr>
            <w:tcW w:w="841" w:type="dxa"/>
          </w:tcPr>
          <w:p w14:paraId="2A512322" w14:textId="77777777" w:rsidR="00182884" w:rsidRPr="009340A4" w:rsidRDefault="00182884" w:rsidP="009340A4">
            <w:pPr>
              <w:spacing w:after="0" w:line="240" w:lineRule="auto"/>
              <w:jc w:val="right"/>
              <w:rPr>
                <w:color w:val="000000"/>
                <w:sz w:val="17"/>
                <w:szCs w:val="17"/>
              </w:rPr>
            </w:pPr>
          </w:p>
        </w:tc>
        <w:tc>
          <w:tcPr>
            <w:tcW w:w="814" w:type="dxa"/>
          </w:tcPr>
          <w:p w14:paraId="05BDA124" w14:textId="77777777" w:rsidR="00182884" w:rsidRPr="009340A4" w:rsidRDefault="00182884" w:rsidP="009340A4">
            <w:pPr>
              <w:spacing w:after="0" w:line="240" w:lineRule="auto"/>
              <w:jc w:val="right"/>
              <w:rPr>
                <w:color w:val="000000"/>
                <w:sz w:val="17"/>
                <w:szCs w:val="17"/>
              </w:rPr>
            </w:pPr>
          </w:p>
        </w:tc>
        <w:tc>
          <w:tcPr>
            <w:tcW w:w="1180" w:type="dxa"/>
          </w:tcPr>
          <w:p w14:paraId="56DB9AC3" w14:textId="77777777" w:rsidR="00182884" w:rsidRPr="009340A4" w:rsidRDefault="00182884" w:rsidP="009340A4">
            <w:pPr>
              <w:spacing w:after="0" w:line="240" w:lineRule="auto"/>
              <w:jc w:val="right"/>
              <w:rPr>
                <w:color w:val="000000"/>
                <w:sz w:val="17"/>
                <w:szCs w:val="17"/>
              </w:rPr>
            </w:pPr>
          </w:p>
        </w:tc>
        <w:tc>
          <w:tcPr>
            <w:tcW w:w="960" w:type="dxa"/>
          </w:tcPr>
          <w:p w14:paraId="41CD0145" w14:textId="77777777" w:rsidR="00182884" w:rsidRPr="009340A4" w:rsidRDefault="00182884" w:rsidP="009340A4">
            <w:pPr>
              <w:spacing w:after="0" w:line="240" w:lineRule="auto"/>
              <w:jc w:val="right"/>
              <w:rPr>
                <w:color w:val="000000"/>
                <w:sz w:val="17"/>
                <w:szCs w:val="17"/>
              </w:rPr>
            </w:pPr>
          </w:p>
        </w:tc>
      </w:tr>
      <w:tr w:rsidR="00182884" w:rsidRPr="009340A4" w14:paraId="365BA369" w14:textId="77777777" w:rsidTr="000A7109">
        <w:tc>
          <w:tcPr>
            <w:tcW w:w="345" w:type="dxa"/>
          </w:tcPr>
          <w:p w14:paraId="268E6D88" w14:textId="77777777" w:rsidR="00182884" w:rsidRPr="009340A4" w:rsidRDefault="00182884" w:rsidP="009340A4">
            <w:pPr>
              <w:spacing w:after="0" w:line="240" w:lineRule="auto"/>
              <w:rPr>
                <w:sz w:val="17"/>
                <w:szCs w:val="17"/>
              </w:rPr>
            </w:pPr>
          </w:p>
        </w:tc>
        <w:tc>
          <w:tcPr>
            <w:tcW w:w="2880" w:type="dxa"/>
          </w:tcPr>
          <w:p w14:paraId="410CCCE7" w14:textId="77777777" w:rsidR="00182884" w:rsidRPr="009340A4" w:rsidRDefault="00182884" w:rsidP="009340A4">
            <w:pPr>
              <w:spacing w:after="0" w:line="240" w:lineRule="auto"/>
              <w:jc w:val="left"/>
              <w:rPr>
                <w:sz w:val="17"/>
                <w:szCs w:val="17"/>
                <w:lang w:val="en-GB"/>
              </w:rPr>
            </w:pPr>
            <w:r w:rsidRPr="009340A4">
              <w:rPr>
                <w:sz w:val="17"/>
                <w:szCs w:val="17"/>
                <w:lang w:val="en-GB"/>
              </w:rPr>
              <w:t>Household assets index 40% wealth middle</w:t>
            </w:r>
          </w:p>
        </w:tc>
        <w:tc>
          <w:tcPr>
            <w:tcW w:w="654" w:type="dxa"/>
          </w:tcPr>
          <w:p w14:paraId="231D933C"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1.03</w:t>
            </w:r>
          </w:p>
        </w:tc>
        <w:tc>
          <w:tcPr>
            <w:tcW w:w="1190" w:type="dxa"/>
          </w:tcPr>
          <w:p w14:paraId="40A62C0E"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[0.87-1.22]</w:t>
            </w:r>
          </w:p>
        </w:tc>
        <w:tc>
          <w:tcPr>
            <w:tcW w:w="881" w:type="dxa"/>
          </w:tcPr>
          <w:p w14:paraId="41F4E4F6"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0.127</w:t>
            </w:r>
          </w:p>
        </w:tc>
        <w:tc>
          <w:tcPr>
            <w:tcW w:w="675" w:type="dxa"/>
          </w:tcPr>
          <w:p w14:paraId="6B007CF8"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1.00</w:t>
            </w:r>
          </w:p>
        </w:tc>
        <w:tc>
          <w:tcPr>
            <w:tcW w:w="996" w:type="dxa"/>
          </w:tcPr>
          <w:p w14:paraId="0CC71A80"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[0.85-1.16]</w:t>
            </w:r>
          </w:p>
        </w:tc>
        <w:tc>
          <w:tcPr>
            <w:tcW w:w="855" w:type="dxa"/>
          </w:tcPr>
          <w:p w14:paraId="4D506343"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0.249</w:t>
            </w:r>
          </w:p>
        </w:tc>
        <w:tc>
          <w:tcPr>
            <w:tcW w:w="283" w:type="dxa"/>
          </w:tcPr>
          <w:p w14:paraId="1FFCD51D" w14:textId="77777777" w:rsidR="00182884" w:rsidRPr="009340A4" w:rsidRDefault="00182884" w:rsidP="009340A4">
            <w:pPr>
              <w:spacing w:after="0" w:line="240" w:lineRule="auto"/>
              <w:jc w:val="right"/>
              <w:rPr>
                <w:color w:val="000000"/>
                <w:sz w:val="17"/>
                <w:szCs w:val="17"/>
              </w:rPr>
            </w:pPr>
          </w:p>
        </w:tc>
        <w:tc>
          <w:tcPr>
            <w:tcW w:w="709" w:type="dxa"/>
          </w:tcPr>
          <w:p w14:paraId="41886FDC"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1.08</w:t>
            </w:r>
          </w:p>
        </w:tc>
        <w:tc>
          <w:tcPr>
            <w:tcW w:w="1129" w:type="dxa"/>
          </w:tcPr>
          <w:p w14:paraId="2A3818D9"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[0.94-1.24]</w:t>
            </w:r>
          </w:p>
        </w:tc>
        <w:tc>
          <w:tcPr>
            <w:tcW w:w="841" w:type="dxa"/>
          </w:tcPr>
          <w:p w14:paraId="451E1313"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0.399</w:t>
            </w:r>
          </w:p>
        </w:tc>
        <w:tc>
          <w:tcPr>
            <w:tcW w:w="814" w:type="dxa"/>
          </w:tcPr>
          <w:p w14:paraId="2DCE9C5E" w14:textId="77777777" w:rsidR="00182884" w:rsidRPr="009340A4" w:rsidRDefault="00182884" w:rsidP="009340A4">
            <w:pPr>
              <w:spacing w:after="0" w:line="240" w:lineRule="auto"/>
              <w:jc w:val="right"/>
              <w:rPr>
                <w:color w:val="000000"/>
                <w:sz w:val="17"/>
                <w:szCs w:val="17"/>
              </w:rPr>
            </w:pPr>
          </w:p>
        </w:tc>
        <w:tc>
          <w:tcPr>
            <w:tcW w:w="1180" w:type="dxa"/>
          </w:tcPr>
          <w:p w14:paraId="6A517B2B" w14:textId="77777777" w:rsidR="00182884" w:rsidRPr="009340A4" w:rsidRDefault="00182884" w:rsidP="009340A4">
            <w:pPr>
              <w:spacing w:after="0" w:line="240" w:lineRule="auto"/>
              <w:jc w:val="right"/>
              <w:rPr>
                <w:color w:val="000000"/>
                <w:sz w:val="17"/>
                <w:szCs w:val="17"/>
              </w:rPr>
            </w:pPr>
          </w:p>
        </w:tc>
        <w:tc>
          <w:tcPr>
            <w:tcW w:w="960" w:type="dxa"/>
          </w:tcPr>
          <w:p w14:paraId="52EF033A" w14:textId="77777777" w:rsidR="00182884" w:rsidRPr="009340A4" w:rsidRDefault="00182884" w:rsidP="009340A4">
            <w:pPr>
              <w:spacing w:after="0" w:line="240" w:lineRule="auto"/>
              <w:jc w:val="right"/>
              <w:rPr>
                <w:color w:val="000000"/>
                <w:sz w:val="17"/>
                <w:szCs w:val="17"/>
              </w:rPr>
            </w:pPr>
          </w:p>
        </w:tc>
      </w:tr>
      <w:tr w:rsidR="00182884" w:rsidRPr="009340A4" w14:paraId="673774AE" w14:textId="77777777" w:rsidTr="000A7109">
        <w:tc>
          <w:tcPr>
            <w:tcW w:w="345" w:type="dxa"/>
          </w:tcPr>
          <w:p w14:paraId="7498B6BA" w14:textId="77777777" w:rsidR="00182884" w:rsidRPr="009340A4" w:rsidRDefault="00182884" w:rsidP="009340A4">
            <w:pPr>
              <w:spacing w:after="0" w:line="240" w:lineRule="auto"/>
              <w:rPr>
                <w:sz w:val="17"/>
                <w:szCs w:val="17"/>
              </w:rPr>
            </w:pPr>
          </w:p>
        </w:tc>
        <w:tc>
          <w:tcPr>
            <w:tcW w:w="2880" w:type="dxa"/>
          </w:tcPr>
          <w:p w14:paraId="21A6F7A1" w14:textId="77777777" w:rsidR="00182884" w:rsidRPr="009340A4" w:rsidRDefault="00182884" w:rsidP="009340A4">
            <w:pPr>
              <w:spacing w:after="0" w:line="240" w:lineRule="auto"/>
              <w:jc w:val="left"/>
              <w:rPr>
                <w:sz w:val="17"/>
                <w:szCs w:val="17"/>
              </w:rPr>
            </w:pPr>
            <w:r w:rsidRPr="009340A4">
              <w:rPr>
                <w:sz w:val="17"/>
                <w:szCs w:val="17"/>
              </w:rPr>
              <w:t>Household assets index 20% richest</w:t>
            </w:r>
          </w:p>
        </w:tc>
        <w:tc>
          <w:tcPr>
            <w:tcW w:w="654" w:type="dxa"/>
          </w:tcPr>
          <w:p w14:paraId="1D76B149"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0.88</w:t>
            </w:r>
          </w:p>
        </w:tc>
        <w:tc>
          <w:tcPr>
            <w:tcW w:w="1190" w:type="dxa"/>
          </w:tcPr>
          <w:p w14:paraId="6D7BF02B"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[0.74-1.04]</w:t>
            </w:r>
          </w:p>
        </w:tc>
        <w:tc>
          <w:tcPr>
            <w:tcW w:w="881" w:type="dxa"/>
          </w:tcPr>
          <w:p w14:paraId="46B999BB" w14:textId="77777777" w:rsidR="00182884" w:rsidRPr="009340A4" w:rsidRDefault="00182884" w:rsidP="009340A4">
            <w:pPr>
              <w:spacing w:after="0" w:line="240" w:lineRule="auto"/>
              <w:jc w:val="right"/>
              <w:rPr>
                <w:color w:val="000000"/>
                <w:sz w:val="17"/>
                <w:szCs w:val="17"/>
              </w:rPr>
            </w:pPr>
          </w:p>
        </w:tc>
        <w:tc>
          <w:tcPr>
            <w:tcW w:w="675" w:type="dxa"/>
          </w:tcPr>
          <w:p w14:paraId="594B7B5D"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0.89</w:t>
            </w:r>
          </w:p>
        </w:tc>
        <w:tc>
          <w:tcPr>
            <w:tcW w:w="996" w:type="dxa"/>
          </w:tcPr>
          <w:p w14:paraId="3FC89639"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[0.75-1.05]</w:t>
            </w:r>
          </w:p>
        </w:tc>
        <w:tc>
          <w:tcPr>
            <w:tcW w:w="855" w:type="dxa"/>
          </w:tcPr>
          <w:p w14:paraId="0D37D0B7" w14:textId="77777777" w:rsidR="00182884" w:rsidRPr="009340A4" w:rsidRDefault="00182884" w:rsidP="009340A4">
            <w:pPr>
              <w:spacing w:after="0" w:line="240" w:lineRule="auto"/>
              <w:jc w:val="right"/>
              <w:rPr>
                <w:color w:val="000000"/>
                <w:sz w:val="17"/>
                <w:szCs w:val="17"/>
              </w:rPr>
            </w:pPr>
          </w:p>
        </w:tc>
        <w:tc>
          <w:tcPr>
            <w:tcW w:w="283" w:type="dxa"/>
          </w:tcPr>
          <w:p w14:paraId="314EC550" w14:textId="77777777" w:rsidR="00182884" w:rsidRPr="009340A4" w:rsidRDefault="00182884" w:rsidP="009340A4">
            <w:pPr>
              <w:spacing w:after="0" w:line="240" w:lineRule="auto"/>
              <w:jc w:val="right"/>
              <w:rPr>
                <w:color w:val="000000"/>
                <w:sz w:val="17"/>
                <w:szCs w:val="17"/>
              </w:rPr>
            </w:pPr>
          </w:p>
        </w:tc>
        <w:tc>
          <w:tcPr>
            <w:tcW w:w="709" w:type="dxa"/>
          </w:tcPr>
          <w:p w14:paraId="35F456D2"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0.98</w:t>
            </w:r>
          </w:p>
        </w:tc>
        <w:tc>
          <w:tcPr>
            <w:tcW w:w="1129" w:type="dxa"/>
          </w:tcPr>
          <w:p w14:paraId="79B37813"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[0.84-1.14]</w:t>
            </w:r>
          </w:p>
        </w:tc>
        <w:tc>
          <w:tcPr>
            <w:tcW w:w="841" w:type="dxa"/>
          </w:tcPr>
          <w:p w14:paraId="75125D2C" w14:textId="77777777" w:rsidR="00182884" w:rsidRPr="009340A4" w:rsidRDefault="00182884" w:rsidP="009340A4">
            <w:pPr>
              <w:spacing w:after="0" w:line="240" w:lineRule="auto"/>
              <w:jc w:val="right"/>
              <w:rPr>
                <w:color w:val="000000"/>
                <w:sz w:val="17"/>
                <w:szCs w:val="17"/>
              </w:rPr>
            </w:pPr>
          </w:p>
        </w:tc>
        <w:tc>
          <w:tcPr>
            <w:tcW w:w="814" w:type="dxa"/>
          </w:tcPr>
          <w:p w14:paraId="5C8D4CF4" w14:textId="77777777" w:rsidR="00182884" w:rsidRPr="009340A4" w:rsidRDefault="00182884" w:rsidP="009340A4">
            <w:pPr>
              <w:spacing w:after="0" w:line="240" w:lineRule="auto"/>
              <w:jc w:val="right"/>
              <w:rPr>
                <w:color w:val="000000"/>
                <w:sz w:val="17"/>
                <w:szCs w:val="17"/>
              </w:rPr>
            </w:pPr>
          </w:p>
        </w:tc>
        <w:tc>
          <w:tcPr>
            <w:tcW w:w="1180" w:type="dxa"/>
          </w:tcPr>
          <w:p w14:paraId="33CE231A" w14:textId="77777777" w:rsidR="00182884" w:rsidRPr="009340A4" w:rsidRDefault="00182884" w:rsidP="009340A4">
            <w:pPr>
              <w:spacing w:after="0" w:line="240" w:lineRule="auto"/>
              <w:jc w:val="right"/>
              <w:rPr>
                <w:color w:val="000000"/>
                <w:sz w:val="17"/>
                <w:szCs w:val="17"/>
              </w:rPr>
            </w:pPr>
          </w:p>
        </w:tc>
        <w:tc>
          <w:tcPr>
            <w:tcW w:w="960" w:type="dxa"/>
          </w:tcPr>
          <w:p w14:paraId="06257CF5" w14:textId="77777777" w:rsidR="00182884" w:rsidRPr="009340A4" w:rsidRDefault="00182884" w:rsidP="009340A4">
            <w:pPr>
              <w:spacing w:after="0" w:line="240" w:lineRule="auto"/>
              <w:jc w:val="right"/>
              <w:rPr>
                <w:color w:val="000000"/>
                <w:sz w:val="17"/>
                <w:szCs w:val="17"/>
              </w:rPr>
            </w:pPr>
          </w:p>
        </w:tc>
      </w:tr>
      <w:tr w:rsidR="00182884" w:rsidRPr="009340A4" w14:paraId="0C5FAA20" w14:textId="77777777" w:rsidTr="000A7109">
        <w:tc>
          <w:tcPr>
            <w:tcW w:w="345" w:type="dxa"/>
          </w:tcPr>
          <w:p w14:paraId="55842175" w14:textId="77777777" w:rsidR="00182884" w:rsidRPr="009340A4" w:rsidRDefault="00182884" w:rsidP="009340A4">
            <w:pPr>
              <w:spacing w:after="0" w:line="240" w:lineRule="auto"/>
              <w:rPr>
                <w:sz w:val="17"/>
                <w:szCs w:val="17"/>
              </w:rPr>
            </w:pPr>
            <w:bookmarkStart w:id="45" w:name="_Hlk38895280"/>
          </w:p>
        </w:tc>
        <w:tc>
          <w:tcPr>
            <w:tcW w:w="2880" w:type="dxa"/>
          </w:tcPr>
          <w:p w14:paraId="49047512" w14:textId="77777777" w:rsidR="00182884" w:rsidRPr="009340A4" w:rsidRDefault="00182884" w:rsidP="009340A4">
            <w:pPr>
              <w:spacing w:after="0" w:line="240" w:lineRule="auto"/>
              <w:jc w:val="left"/>
              <w:rPr>
                <w:sz w:val="17"/>
                <w:szCs w:val="17"/>
              </w:rPr>
            </w:pPr>
            <w:r w:rsidRPr="009340A4">
              <w:rPr>
                <w:sz w:val="17"/>
                <w:szCs w:val="17"/>
              </w:rPr>
              <w:t>Professional sit. Currently employed</w:t>
            </w:r>
          </w:p>
        </w:tc>
        <w:tc>
          <w:tcPr>
            <w:tcW w:w="654" w:type="dxa"/>
          </w:tcPr>
          <w:p w14:paraId="4B0C1F23"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1.05</w:t>
            </w:r>
          </w:p>
        </w:tc>
        <w:tc>
          <w:tcPr>
            <w:tcW w:w="1190" w:type="dxa"/>
          </w:tcPr>
          <w:p w14:paraId="2B135543"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[0.84-1.31]</w:t>
            </w:r>
          </w:p>
        </w:tc>
        <w:tc>
          <w:tcPr>
            <w:tcW w:w="881" w:type="dxa"/>
          </w:tcPr>
          <w:p w14:paraId="1FBAB320"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0.670</w:t>
            </w:r>
          </w:p>
        </w:tc>
        <w:tc>
          <w:tcPr>
            <w:tcW w:w="675" w:type="dxa"/>
          </w:tcPr>
          <w:p w14:paraId="5876868D" w14:textId="77777777" w:rsidR="00182884" w:rsidRPr="009340A4" w:rsidRDefault="00182884" w:rsidP="009340A4">
            <w:pPr>
              <w:spacing w:after="0" w:line="240" w:lineRule="auto"/>
              <w:jc w:val="right"/>
              <w:rPr>
                <w:color w:val="000000"/>
                <w:sz w:val="17"/>
                <w:szCs w:val="17"/>
              </w:rPr>
            </w:pPr>
          </w:p>
        </w:tc>
        <w:tc>
          <w:tcPr>
            <w:tcW w:w="996" w:type="dxa"/>
          </w:tcPr>
          <w:p w14:paraId="5614A457" w14:textId="77777777" w:rsidR="00182884" w:rsidRPr="009340A4" w:rsidRDefault="00182884" w:rsidP="009340A4">
            <w:pPr>
              <w:spacing w:after="0" w:line="240" w:lineRule="auto"/>
              <w:jc w:val="right"/>
              <w:rPr>
                <w:color w:val="000000"/>
                <w:sz w:val="17"/>
                <w:szCs w:val="17"/>
              </w:rPr>
            </w:pPr>
          </w:p>
        </w:tc>
        <w:tc>
          <w:tcPr>
            <w:tcW w:w="855" w:type="dxa"/>
          </w:tcPr>
          <w:p w14:paraId="70F184A1" w14:textId="77777777" w:rsidR="00182884" w:rsidRPr="009340A4" w:rsidRDefault="00182884" w:rsidP="009340A4">
            <w:pPr>
              <w:spacing w:after="0" w:line="240" w:lineRule="auto"/>
              <w:jc w:val="right"/>
              <w:rPr>
                <w:color w:val="000000"/>
                <w:sz w:val="17"/>
                <w:szCs w:val="17"/>
              </w:rPr>
            </w:pPr>
          </w:p>
        </w:tc>
        <w:tc>
          <w:tcPr>
            <w:tcW w:w="283" w:type="dxa"/>
          </w:tcPr>
          <w:p w14:paraId="7C7A0B52" w14:textId="77777777" w:rsidR="00182884" w:rsidRPr="009340A4" w:rsidRDefault="00182884" w:rsidP="009340A4">
            <w:pPr>
              <w:spacing w:after="0" w:line="240" w:lineRule="auto"/>
              <w:jc w:val="right"/>
              <w:rPr>
                <w:color w:val="000000"/>
                <w:sz w:val="17"/>
                <w:szCs w:val="17"/>
              </w:rPr>
            </w:pPr>
          </w:p>
        </w:tc>
        <w:tc>
          <w:tcPr>
            <w:tcW w:w="709" w:type="dxa"/>
          </w:tcPr>
          <w:p w14:paraId="71114C49"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1.24</w:t>
            </w:r>
          </w:p>
        </w:tc>
        <w:tc>
          <w:tcPr>
            <w:tcW w:w="1129" w:type="dxa"/>
          </w:tcPr>
          <w:p w14:paraId="3FA88455"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[1.05-1.47]</w:t>
            </w:r>
          </w:p>
        </w:tc>
        <w:tc>
          <w:tcPr>
            <w:tcW w:w="841" w:type="dxa"/>
          </w:tcPr>
          <w:p w14:paraId="3EE97570" w14:textId="77777777" w:rsidR="00182884" w:rsidRPr="009340A4" w:rsidRDefault="00182884" w:rsidP="009340A4">
            <w:pPr>
              <w:spacing w:after="0" w:line="240" w:lineRule="auto"/>
              <w:jc w:val="right"/>
              <w:rPr>
                <w:b/>
                <w:bCs/>
                <w:color w:val="000000"/>
                <w:sz w:val="17"/>
                <w:szCs w:val="17"/>
              </w:rPr>
            </w:pPr>
            <w:r w:rsidRPr="009340A4">
              <w:rPr>
                <w:b/>
                <w:bCs/>
                <w:color w:val="000000" w:themeColor="text1"/>
                <w:sz w:val="17"/>
                <w:szCs w:val="17"/>
              </w:rPr>
              <w:t>0.012</w:t>
            </w:r>
          </w:p>
        </w:tc>
        <w:tc>
          <w:tcPr>
            <w:tcW w:w="814" w:type="dxa"/>
          </w:tcPr>
          <w:p w14:paraId="1D4B2B3F"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1.21</w:t>
            </w:r>
          </w:p>
        </w:tc>
        <w:tc>
          <w:tcPr>
            <w:tcW w:w="1180" w:type="dxa"/>
          </w:tcPr>
          <w:p w14:paraId="67C6D664"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[1.03-1.43]</w:t>
            </w:r>
          </w:p>
        </w:tc>
        <w:tc>
          <w:tcPr>
            <w:tcW w:w="960" w:type="dxa"/>
          </w:tcPr>
          <w:p w14:paraId="521BB79C" w14:textId="77777777" w:rsidR="00182884" w:rsidRPr="009340A4" w:rsidRDefault="00182884" w:rsidP="009340A4">
            <w:pPr>
              <w:spacing w:after="0" w:line="240" w:lineRule="auto"/>
              <w:jc w:val="right"/>
              <w:rPr>
                <w:b/>
                <w:bCs/>
                <w:color w:val="000000"/>
                <w:sz w:val="17"/>
                <w:szCs w:val="17"/>
              </w:rPr>
            </w:pPr>
            <w:r w:rsidRPr="009340A4">
              <w:rPr>
                <w:b/>
                <w:bCs/>
                <w:color w:val="000000" w:themeColor="text1"/>
                <w:sz w:val="17"/>
                <w:szCs w:val="17"/>
              </w:rPr>
              <w:t>0.023</w:t>
            </w:r>
          </w:p>
        </w:tc>
      </w:tr>
      <w:bookmarkEnd w:id="45"/>
      <w:tr w:rsidR="00182884" w:rsidRPr="009340A4" w14:paraId="7D038FF5" w14:textId="77777777" w:rsidTr="000A7109">
        <w:tc>
          <w:tcPr>
            <w:tcW w:w="345" w:type="dxa"/>
          </w:tcPr>
          <w:p w14:paraId="4D0E47EB" w14:textId="77777777" w:rsidR="00182884" w:rsidRPr="009340A4" w:rsidRDefault="00182884" w:rsidP="009340A4">
            <w:pPr>
              <w:spacing w:after="0" w:line="240" w:lineRule="auto"/>
              <w:rPr>
                <w:sz w:val="17"/>
                <w:szCs w:val="17"/>
              </w:rPr>
            </w:pPr>
          </w:p>
        </w:tc>
        <w:tc>
          <w:tcPr>
            <w:tcW w:w="2880" w:type="dxa"/>
          </w:tcPr>
          <w:p w14:paraId="37E9E859" w14:textId="77777777" w:rsidR="00182884" w:rsidRPr="009340A4" w:rsidRDefault="00182884" w:rsidP="009340A4">
            <w:pPr>
              <w:spacing w:after="0" w:line="240" w:lineRule="auto"/>
              <w:rPr>
                <w:sz w:val="17"/>
                <w:szCs w:val="17"/>
                <w:lang w:val="en-GB"/>
              </w:rPr>
            </w:pPr>
            <w:r w:rsidRPr="009340A4">
              <w:rPr>
                <w:rFonts w:eastAsia="Times New Roman"/>
                <w:color w:val="000000" w:themeColor="text1"/>
                <w:sz w:val="17"/>
                <w:szCs w:val="17"/>
                <w:lang w:val="en-GB"/>
              </w:rPr>
              <w:t>Area of residency Peri-urban</w:t>
            </w:r>
          </w:p>
        </w:tc>
        <w:tc>
          <w:tcPr>
            <w:tcW w:w="654" w:type="dxa"/>
          </w:tcPr>
          <w:p w14:paraId="23838057"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1.24</w:t>
            </w:r>
          </w:p>
        </w:tc>
        <w:tc>
          <w:tcPr>
            <w:tcW w:w="1190" w:type="dxa"/>
          </w:tcPr>
          <w:p w14:paraId="06DF5390"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[0.98-1.56]</w:t>
            </w:r>
          </w:p>
        </w:tc>
        <w:tc>
          <w:tcPr>
            <w:tcW w:w="881" w:type="dxa"/>
          </w:tcPr>
          <w:p w14:paraId="40957981"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0.193</w:t>
            </w:r>
          </w:p>
        </w:tc>
        <w:tc>
          <w:tcPr>
            <w:tcW w:w="675" w:type="dxa"/>
          </w:tcPr>
          <w:p w14:paraId="41631A90"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1.22</w:t>
            </w:r>
          </w:p>
        </w:tc>
        <w:tc>
          <w:tcPr>
            <w:tcW w:w="996" w:type="dxa"/>
          </w:tcPr>
          <w:p w14:paraId="11FED1D8"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[0.97-1.54]</w:t>
            </w:r>
          </w:p>
        </w:tc>
        <w:tc>
          <w:tcPr>
            <w:tcW w:w="855" w:type="dxa"/>
          </w:tcPr>
          <w:p w14:paraId="77C5028A"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0.227</w:t>
            </w:r>
          </w:p>
        </w:tc>
        <w:tc>
          <w:tcPr>
            <w:tcW w:w="283" w:type="dxa"/>
          </w:tcPr>
          <w:p w14:paraId="5BFF5560" w14:textId="77777777" w:rsidR="00182884" w:rsidRPr="009340A4" w:rsidRDefault="00182884" w:rsidP="009340A4">
            <w:pPr>
              <w:spacing w:after="0" w:line="240" w:lineRule="auto"/>
              <w:jc w:val="right"/>
              <w:rPr>
                <w:color w:val="000000"/>
                <w:sz w:val="17"/>
                <w:szCs w:val="17"/>
              </w:rPr>
            </w:pPr>
          </w:p>
        </w:tc>
        <w:tc>
          <w:tcPr>
            <w:tcW w:w="709" w:type="dxa"/>
          </w:tcPr>
          <w:p w14:paraId="6D7B3DC8"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1.05</w:t>
            </w:r>
          </w:p>
        </w:tc>
        <w:tc>
          <w:tcPr>
            <w:tcW w:w="1129" w:type="dxa"/>
          </w:tcPr>
          <w:p w14:paraId="2BFE0FCD"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[0.87-1.26]</w:t>
            </w:r>
          </w:p>
        </w:tc>
        <w:tc>
          <w:tcPr>
            <w:tcW w:w="841" w:type="dxa"/>
          </w:tcPr>
          <w:p w14:paraId="4CB105E9"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0.597</w:t>
            </w:r>
          </w:p>
        </w:tc>
        <w:tc>
          <w:tcPr>
            <w:tcW w:w="814" w:type="dxa"/>
          </w:tcPr>
          <w:p w14:paraId="3E3C9EB3" w14:textId="77777777" w:rsidR="00182884" w:rsidRPr="009340A4" w:rsidRDefault="00182884" w:rsidP="009340A4">
            <w:pPr>
              <w:spacing w:after="0" w:line="240" w:lineRule="auto"/>
              <w:jc w:val="right"/>
              <w:rPr>
                <w:color w:val="000000"/>
                <w:sz w:val="17"/>
                <w:szCs w:val="17"/>
              </w:rPr>
            </w:pPr>
          </w:p>
        </w:tc>
        <w:tc>
          <w:tcPr>
            <w:tcW w:w="1180" w:type="dxa"/>
          </w:tcPr>
          <w:p w14:paraId="36A117D0" w14:textId="77777777" w:rsidR="00182884" w:rsidRPr="009340A4" w:rsidRDefault="00182884" w:rsidP="009340A4">
            <w:pPr>
              <w:spacing w:after="0" w:line="240" w:lineRule="auto"/>
              <w:jc w:val="right"/>
              <w:rPr>
                <w:color w:val="000000"/>
                <w:sz w:val="17"/>
                <w:szCs w:val="17"/>
              </w:rPr>
            </w:pPr>
          </w:p>
        </w:tc>
        <w:tc>
          <w:tcPr>
            <w:tcW w:w="960" w:type="dxa"/>
          </w:tcPr>
          <w:p w14:paraId="5D1B57C9" w14:textId="77777777" w:rsidR="00182884" w:rsidRPr="009340A4" w:rsidRDefault="00182884" w:rsidP="009340A4">
            <w:pPr>
              <w:spacing w:after="0" w:line="240" w:lineRule="auto"/>
              <w:jc w:val="right"/>
              <w:rPr>
                <w:color w:val="000000"/>
                <w:sz w:val="17"/>
                <w:szCs w:val="17"/>
              </w:rPr>
            </w:pPr>
          </w:p>
        </w:tc>
      </w:tr>
      <w:tr w:rsidR="00182884" w:rsidRPr="009340A4" w14:paraId="479ABB0B" w14:textId="77777777" w:rsidTr="000A7109">
        <w:tc>
          <w:tcPr>
            <w:tcW w:w="345" w:type="dxa"/>
          </w:tcPr>
          <w:p w14:paraId="0CB6B752" w14:textId="77777777" w:rsidR="00182884" w:rsidRPr="009340A4" w:rsidRDefault="00182884" w:rsidP="009340A4">
            <w:pPr>
              <w:spacing w:after="0" w:line="240" w:lineRule="auto"/>
              <w:rPr>
                <w:sz w:val="17"/>
                <w:szCs w:val="17"/>
              </w:rPr>
            </w:pPr>
          </w:p>
        </w:tc>
        <w:tc>
          <w:tcPr>
            <w:tcW w:w="2880" w:type="dxa"/>
          </w:tcPr>
          <w:p w14:paraId="58A38E71" w14:textId="77777777" w:rsidR="00182884" w:rsidRPr="009340A4" w:rsidRDefault="00182884" w:rsidP="009340A4">
            <w:pPr>
              <w:spacing w:after="0" w:line="240" w:lineRule="auto"/>
              <w:rPr>
                <w:sz w:val="17"/>
                <w:szCs w:val="17"/>
              </w:rPr>
            </w:pPr>
            <w:r w:rsidRPr="009340A4">
              <w:rPr>
                <w:rFonts w:eastAsia="Times New Roman"/>
                <w:color w:val="000000" w:themeColor="text1"/>
                <w:sz w:val="17"/>
                <w:szCs w:val="17"/>
              </w:rPr>
              <w:t>Area of residency Urban</w:t>
            </w:r>
          </w:p>
        </w:tc>
        <w:tc>
          <w:tcPr>
            <w:tcW w:w="654" w:type="dxa"/>
          </w:tcPr>
          <w:p w14:paraId="159C7419"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1.14</w:t>
            </w:r>
          </w:p>
        </w:tc>
        <w:tc>
          <w:tcPr>
            <w:tcW w:w="1190" w:type="dxa"/>
          </w:tcPr>
          <w:p w14:paraId="2E1E9DE7"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[0.74-1.75]</w:t>
            </w:r>
          </w:p>
        </w:tc>
        <w:tc>
          <w:tcPr>
            <w:tcW w:w="881" w:type="dxa"/>
          </w:tcPr>
          <w:p w14:paraId="679C70F2" w14:textId="77777777" w:rsidR="00182884" w:rsidRPr="009340A4" w:rsidRDefault="00182884" w:rsidP="009340A4">
            <w:pPr>
              <w:spacing w:after="0" w:line="240" w:lineRule="auto"/>
              <w:jc w:val="right"/>
              <w:rPr>
                <w:color w:val="000000"/>
                <w:sz w:val="17"/>
                <w:szCs w:val="17"/>
              </w:rPr>
            </w:pPr>
          </w:p>
        </w:tc>
        <w:tc>
          <w:tcPr>
            <w:tcW w:w="675" w:type="dxa"/>
          </w:tcPr>
          <w:p w14:paraId="77A5DF6F"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1.11</w:t>
            </w:r>
          </w:p>
        </w:tc>
        <w:tc>
          <w:tcPr>
            <w:tcW w:w="996" w:type="dxa"/>
          </w:tcPr>
          <w:p w14:paraId="31799844"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[0.74-1.67]</w:t>
            </w:r>
          </w:p>
        </w:tc>
        <w:tc>
          <w:tcPr>
            <w:tcW w:w="855" w:type="dxa"/>
          </w:tcPr>
          <w:p w14:paraId="20D334C2" w14:textId="77777777" w:rsidR="00182884" w:rsidRPr="009340A4" w:rsidRDefault="00182884" w:rsidP="009340A4">
            <w:pPr>
              <w:spacing w:after="0" w:line="240" w:lineRule="auto"/>
              <w:jc w:val="right"/>
              <w:rPr>
                <w:color w:val="000000"/>
                <w:sz w:val="17"/>
                <w:szCs w:val="17"/>
              </w:rPr>
            </w:pPr>
          </w:p>
        </w:tc>
        <w:tc>
          <w:tcPr>
            <w:tcW w:w="283" w:type="dxa"/>
          </w:tcPr>
          <w:p w14:paraId="619BB7F6" w14:textId="77777777" w:rsidR="00182884" w:rsidRPr="009340A4" w:rsidRDefault="00182884" w:rsidP="009340A4">
            <w:pPr>
              <w:spacing w:after="0" w:line="240" w:lineRule="auto"/>
              <w:jc w:val="right"/>
              <w:rPr>
                <w:color w:val="000000"/>
                <w:sz w:val="17"/>
                <w:szCs w:val="17"/>
              </w:rPr>
            </w:pPr>
          </w:p>
        </w:tc>
        <w:tc>
          <w:tcPr>
            <w:tcW w:w="709" w:type="dxa"/>
          </w:tcPr>
          <w:p w14:paraId="2DED4F21"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1.15</w:t>
            </w:r>
          </w:p>
        </w:tc>
        <w:tc>
          <w:tcPr>
            <w:tcW w:w="1129" w:type="dxa"/>
          </w:tcPr>
          <w:p w14:paraId="04017B03"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[0.87-1.52]</w:t>
            </w:r>
          </w:p>
        </w:tc>
        <w:tc>
          <w:tcPr>
            <w:tcW w:w="841" w:type="dxa"/>
          </w:tcPr>
          <w:p w14:paraId="47D8C348" w14:textId="77777777" w:rsidR="00182884" w:rsidRPr="009340A4" w:rsidRDefault="00182884" w:rsidP="009340A4">
            <w:pPr>
              <w:spacing w:after="0" w:line="240" w:lineRule="auto"/>
              <w:jc w:val="right"/>
              <w:rPr>
                <w:color w:val="000000"/>
                <w:sz w:val="17"/>
                <w:szCs w:val="17"/>
              </w:rPr>
            </w:pPr>
          </w:p>
        </w:tc>
        <w:tc>
          <w:tcPr>
            <w:tcW w:w="814" w:type="dxa"/>
          </w:tcPr>
          <w:p w14:paraId="61C88CE7" w14:textId="77777777" w:rsidR="00182884" w:rsidRPr="009340A4" w:rsidRDefault="00182884" w:rsidP="009340A4">
            <w:pPr>
              <w:spacing w:after="0" w:line="240" w:lineRule="auto"/>
              <w:jc w:val="right"/>
              <w:rPr>
                <w:color w:val="000000"/>
                <w:sz w:val="17"/>
                <w:szCs w:val="17"/>
              </w:rPr>
            </w:pPr>
          </w:p>
        </w:tc>
        <w:tc>
          <w:tcPr>
            <w:tcW w:w="1180" w:type="dxa"/>
          </w:tcPr>
          <w:p w14:paraId="65D25B66" w14:textId="77777777" w:rsidR="00182884" w:rsidRPr="009340A4" w:rsidRDefault="00182884" w:rsidP="009340A4">
            <w:pPr>
              <w:spacing w:after="0" w:line="240" w:lineRule="auto"/>
              <w:jc w:val="right"/>
              <w:rPr>
                <w:color w:val="000000"/>
                <w:sz w:val="17"/>
                <w:szCs w:val="17"/>
              </w:rPr>
            </w:pPr>
          </w:p>
        </w:tc>
        <w:tc>
          <w:tcPr>
            <w:tcW w:w="960" w:type="dxa"/>
          </w:tcPr>
          <w:p w14:paraId="52093DF5" w14:textId="77777777" w:rsidR="00182884" w:rsidRPr="009340A4" w:rsidRDefault="00182884" w:rsidP="009340A4">
            <w:pPr>
              <w:spacing w:after="0" w:line="240" w:lineRule="auto"/>
              <w:jc w:val="right"/>
              <w:rPr>
                <w:color w:val="000000"/>
                <w:sz w:val="17"/>
                <w:szCs w:val="17"/>
              </w:rPr>
            </w:pPr>
          </w:p>
        </w:tc>
      </w:tr>
      <w:tr w:rsidR="00182884" w:rsidRPr="009340A4" w14:paraId="29A93CE9" w14:textId="77777777" w:rsidTr="000A7109">
        <w:tc>
          <w:tcPr>
            <w:tcW w:w="345" w:type="dxa"/>
            <w:tcBorders>
              <w:bottom w:val="single" w:sz="4" w:space="0" w:color="auto"/>
            </w:tcBorders>
          </w:tcPr>
          <w:p w14:paraId="16066313" w14:textId="77777777" w:rsidR="00182884" w:rsidRPr="009340A4" w:rsidRDefault="00182884" w:rsidP="009340A4">
            <w:pPr>
              <w:spacing w:after="0" w:line="240" w:lineRule="auto"/>
              <w:rPr>
                <w:sz w:val="17"/>
                <w:szCs w:val="17"/>
              </w:rPr>
            </w:pPr>
          </w:p>
        </w:tc>
        <w:tc>
          <w:tcPr>
            <w:tcW w:w="2880" w:type="dxa"/>
            <w:tcBorders>
              <w:bottom w:val="single" w:sz="4" w:space="0" w:color="auto"/>
            </w:tcBorders>
          </w:tcPr>
          <w:p w14:paraId="0E138DB9" w14:textId="77777777" w:rsidR="00182884" w:rsidRPr="009340A4" w:rsidRDefault="00182884" w:rsidP="009340A4">
            <w:pPr>
              <w:spacing w:after="0" w:line="240" w:lineRule="auto"/>
              <w:rPr>
                <w:sz w:val="17"/>
                <w:szCs w:val="17"/>
                <w:lang w:val="en-GB"/>
              </w:rPr>
            </w:pPr>
            <w:r w:rsidRPr="009340A4">
              <w:rPr>
                <w:sz w:val="17"/>
                <w:szCs w:val="17"/>
                <w:lang w:val="en-GB"/>
              </w:rPr>
              <w:t>Distance from nearest clinic &gt;4km</w:t>
            </w:r>
          </w:p>
        </w:tc>
        <w:tc>
          <w:tcPr>
            <w:tcW w:w="654" w:type="dxa"/>
            <w:tcBorders>
              <w:bottom w:val="single" w:sz="4" w:space="0" w:color="auto"/>
            </w:tcBorders>
          </w:tcPr>
          <w:p w14:paraId="1F30A011"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0.86</w:t>
            </w:r>
          </w:p>
        </w:tc>
        <w:tc>
          <w:tcPr>
            <w:tcW w:w="1190" w:type="dxa"/>
            <w:tcBorders>
              <w:bottom w:val="single" w:sz="4" w:space="0" w:color="auto"/>
            </w:tcBorders>
          </w:tcPr>
          <w:p w14:paraId="277965F3"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[0.65-1.13]</w:t>
            </w:r>
          </w:p>
        </w:tc>
        <w:tc>
          <w:tcPr>
            <w:tcW w:w="881" w:type="dxa"/>
            <w:tcBorders>
              <w:bottom w:val="single" w:sz="4" w:space="0" w:color="auto"/>
            </w:tcBorders>
          </w:tcPr>
          <w:p w14:paraId="7748D079"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0.276</w:t>
            </w:r>
          </w:p>
        </w:tc>
        <w:tc>
          <w:tcPr>
            <w:tcW w:w="675" w:type="dxa"/>
            <w:tcBorders>
              <w:bottom w:val="single" w:sz="4" w:space="0" w:color="auto"/>
            </w:tcBorders>
          </w:tcPr>
          <w:p w14:paraId="3F72B0D0" w14:textId="77777777" w:rsidR="00182884" w:rsidRPr="009340A4" w:rsidRDefault="00182884" w:rsidP="009340A4">
            <w:pPr>
              <w:spacing w:after="0" w:line="240" w:lineRule="auto"/>
              <w:jc w:val="right"/>
              <w:rPr>
                <w:color w:val="000000"/>
                <w:sz w:val="17"/>
                <w:szCs w:val="17"/>
              </w:rPr>
            </w:pPr>
          </w:p>
        </w:tc>
        <w:tc>
          <w:tcPr>
            <w:tcW w:w="996" w:type="dxa"/>
            <w:tcBorders>
              <w:bottom w:val="single" w:sz="4" w:space="0" w:color="auto"/>
            </w:tcBorders>
          </w:tcPr>
          <w:p w14:paraId="2DF5E2F8" w14:textId="77777777" w:rsidR="00182884" w:rsidRPr="009340A4" w:rsidRDefault="00182884" w:rsidP="009340A4">
            <w:pPr>
              <w:spacing w:after="0" w:line="240" w:lineRule="auto"/>
              <w:jc w:val="right"/>
              <w:rPr>
                <w:color w:val="000000"/>
                <w:sz w:val="17"/>
                <w:szCs w:val="17"/>
              </w:rPr>
            </w:pPr>
          </w:p>
        </w:tc>
        <w:tc>
          <w:tcPr>
            <w:tcW w:w="855" w:type="dxa"/>
            <w:tcBorders>
              <w:bottom w:val="single" w:sz="4" w:space="0" w:color="auto"/>
            </w:tcBorders>
          </w:tcPr>
          <w:p w14:paraId="4D1121E7" w14:textId="77777777" w:rsidR="00182884" w:rsidRPr="009340A4" w:rsidRDefault="00182884" w:rsidP="009340A4">
            <w:pPr>
              <w:spacing w:after="0" w:line="240" w:lineRule="auto"/>
              <w:jc w:val="right"/>
              <w:rPr>
                <w:color w:val="000000"/>
                <w:sz w:val="17"/>
                <w:szCs w:val="17"/>
              </w:rPr>
            </w:pPr>
          </w:p>
        </w:tc>
        <w:tc>
          <w:tcPr>
            <w:tcW w:w="283" w:type="dxa"/>
            <w:tcBorders>
              <w:bottom w:val="single" w:sz="4" w:space="0" w:color="auto"/>
            </w:tcBorders>
          </w:tcPr>
          <w:p w14:paraId="254E84A5" w14:textId="77777777" w:rsidR="00182884" w:rsidRPr="009340A4" w:rsidRDefault="00182884" w:rsidP="009340A4">
            <w:pPr>
              <w:spacing w:after="0" w:line="240" w:lineRule="auto"/>
              <w:jc w:val="right"/>
              <w:rPr>
                <w:color w:val="000000"/>
                <w:sz w:val="17"/>
                <w:szCs w:val="17"/>
              </w:rPr>
            </w:pPr>
          </w:p>
        </w:tc>
        <w:tc>
          <w:tcPr>
            <w:tcW w:w="709" w:type="dxa"/>
            <w:tcBorders>
              <w:bottom w:val="single" w:sz="4" w:space="0" w:color="auto"/>
            </w:tcBorders>
          </w:tcPr>
          <w:p w14:paraId="50436CBB"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0.89</w:t>
            </w:r>
          </w:p>
        </w:tc>
        <w:tc>
          <w:tcPr>
            <w:tcW w:w="1129" w:type="dxa"/>
            <w:tcBorders>
              <w:bottom w:val="single" w:sz="4" w:space="0" w:color="auto"/>
            </w:tcBorders>
          </w:tcPr>
          <w:p w14:paraId="45AF2404"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[0.75-1.07]</w:t>
            </w:r>
          </w:p>
        </w:tc>
        <w:tc>
          <w:tcPr>
            <w:tcW w:w="841" w:type="dxa"/>
            <w:tcBorders>
              <w:bottom w:val="single" w:sz="4" w:space="0" w:color="auto"/>
            </w:tcBorders>
          </w:tcPr>
          <w:p w14:paraId="6B057E60" w14:textId="77777777" w:rsidR="00182884" w:rsidRPr="009340A4" w:rsidRDefault="00182884" w:rsidP="009340A4">
            <w:pPr>
              <w:spacing w:after="0" w:line="240" w:lineRule="auto"/>
              <w:jc w:val="right"/>
              <w:rPr>
                <w:color w:val="000000"/>
                <w:sz w:val="17"/>
                <w:szCs w:val="17"/>
              </w:rPr>
            </w:pPr>
            <w:r w:rsidRPr="009340A4">
              <w:rPr>
                <w:color w:val="000000" w:themeColor="text1"/>
                <w:sz w:val="17"/>
                <w:szCs w:val="17"/>
              </w:rPr>
              <w:t>0.219</w:t>
            </w:r>
          </w:p>
        </w:tc>
        <w:tc>
          <w:tcPr>
            <w:tcW w:w="814" w:type="dxa"/>
            <w:tcBorders>
              <w:bottom w:val="single" w:sz="4" w:space="0" w:color="auto"/>
            </w:tcBorders>
          </w:tcPr>
          <w:p w14:paraId="4CCE094F" w14:textId="77777777" w:rsidR="00182884" w:rsidRPr="009340A4" w:rsidRDefault="00182884" w:rsidP="009340A4">
            <w:pPr>
              <w:spacing w:after="0" w:line="240" w:lineRule="auto"/>
              <w:jc w:val="right"/>
              <w:rPr>
                <w:color w:val="000000"/>
                <w:sz w:val="17"/>
                <w:szCs w:val="17"/>
              </w:rPr>
            </w:pPr>
          </w:p>
        </w:tc>
        <w:tc>
          <w:tcPr>
            <w:tcW w:w="1180" w:type="dxa"/>
            <w:tcBorders>
              <w:bottom w:val="single" w:sz="4" w:space="0" w:color="auto"/>
            </w:tcBorders>
          </w:tcPr>
          <w:p w14:paraId="1747ECD9" w14:textId="77777777" w:rsidR="00182884" w:rsidRPr="009340A4" w:rsidRDefault="00182884" w:rsidP="009340A4">
            <w:pPr>
              <w:spacing w:after="0" w:line="240" w:lineRule="auto"/>
              <w:jc w:val="right"/>
              <w:rPr>
                <w:color w:val="000000"/>
                <w:sz w:val="17"/>
                <w:szCs w:val="17"/>
              </w:rPr>
            </w:pPr>
          </w:p>
        </w:tc>
        <w:tc>
          <w:tcPr>
            <w:tcW w:w="960" w:type="dxa"/>
            <w:tcBorders>
              <w:bottom w:val="single" w:sz="4" w:space="0" w:color="auto"/>
            </w:tcBorders>
          </w:tcPr>
          <w:p w14:paraId="3D560FCF" w14:textId="77777777" w:rsidR="00182884" w:rsidRPr="009340A4" w:rsidRDefault="00182884" w:rsidP="009340A4">
            <w:pPr>
              <w:spacing w:after="0" w:line="240" w:lineRule="auto"/>
              <w:jc w:val="right"/>
              <w:rPr>
                <w:color w:val="000000"/>
                <w:sz w:val="17"/>
                <w:szCs w:val="17"/>
              </w:rPr>
            </w:pPr>
          </w:p>
        </w:tc>
      </w:tr>
    </w:tbl>
    <w:p w14:paraId="5C927FC6" w14:textId="77777777" w:rsidR="00182884" w:rsidRPr="003A4565" w:rsidRDefault="00182884" w:rsidP="00182884">
      <w:pPr>
        <w:pStyle w:val="NoSpacing"/>
        <w:rPr>
          <w:sz w:val="18"/>
          <w:szCs w:val="18"/>
        </w:rPr>
      </w:pPr>
      <w:r w:rsidRPr="003A4565">
        <w:rPr>
          <w:sz w:val="18"/>
          <w:szCs w:val="18"/>
        </w:rPr>
        <w:t xml:space="preserve">Note: p-value </w:t>
      </w:r>
      <w:r>
        <w:rPr>
          <w:sz w:val="18"/>
          <w:szCs w:val="18"/>
        </w:rPr>
        <w:t xml:space="preserve">mentioned in this table </w:t>
      </w:r>
      <w:r w:rsidRPr="003A4565">
        <w:rPr>
          <w:sz w:val="18"/>
          <w:szCs w:val="18"/>
        </w:rPr>
        <w:t xml:space="preserve">are global p-value. They were computed using </w:t>
      </w:r>
      <w:r>
        <w:rPr>
          <w:sz w:val="18"/>
          <w:szCs w:val="18"/>
        </w:rPr>
        <w:t>Wald</w:t>
      </w:r>
      <w:r w:rsidRPr="003A4565">
        <w:rPr>
          <w:sz w:val="18"/>
          <w:szCs w:val="18"/>
        </w:rPr>
        <w:t xml:space="preserve"> test.</w:t>
      </w:r>
    </w:p>
    <w:p w14:paraId="7BE015A4" w14:textId="77777777" w:rsidR="00182884" w:rsidRPr="001D57A2" w:rsidRDefault="00182884" w:rsidP="001A02EC"/>
    <w:sectPr w:rsidR="00182884" w:rsidRPr="001D57A2" w:rsidSect="00182884">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AC8B8" w14:textId="77777777" w:rsidR="00D26515" w:rsidRDefault="00D26515" w:rsidP="005C003E">
      <w:pPr>
        <w:spacing w:after="0" w:line="240" w:lineRule="auto"/>
      </w:pPr>
      <w:r>
        <w:separator/>
      </w:r>
    </w:p>
  </w:endnote>
  <w:endnote w:type="continuationSeparator" w:id="0">
    <w:p w14:paraId="3FCB27D1" w14:textId="77777777" w:rsidR="00D26515" w:rsidRDefault="00D26515" w:rsidP="005C0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3526747"/>
      <w:docPartObj>
        <w:docPartGallery w:val="Page Numbers (Bottom of Page)"/>
        <w:docPartUnique/>
      </w:docPartObj>
    </w:sdtPr>
    <w:sdtEndPr>
      <w:rPr>
        <w:noProof/>
      </w:rPr>
    </w:sdtEndPr>
    <w:sdtContent>
      <w:p w14:paraId="48BA65A4" w14:textId="157ABB51" w:rsidR="00AF76DC" w:rsidRDefault="00AF76D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59271E" w14:textId="77777777" w:rsidR="00AF76DC" w:rsidRDefault="00AF76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337A9" w14:textId="77777777" w:rsidR="00D26515" w:rsidRDefault="00D26515" w:rsidP="005C003E">
      <w:pPr>
        <w:spacing w:after="0" w:line="240" w:lineRule="auto"/>
      </w:pPr>
      <w:r>
        <w:separator/>
      </w:r>
    </w:p>
  </w:footnote>
  <w:footnote w:type="continuationSeparator" w:id="0">
    <w:p w14:paraId="6D839388" w14:textId="77777777" w:rsidR="00D26515" w:rsidRDefault="00D26515" w:rsidP="005C00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B43294"/>
    <w:multiLevelType w:val="hybridMultilevel"/>
    <w:tmpl w:val="A9E66BF0"/>
    <w:lvl w:ilvl="0" w:tplc="408E074E">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CB73DA5"/>
    <w:multiLevelType w:val="hybridMultilevel"/>
    <w:tmpl w:val="4336FC4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3D06357"/>
    <w:multiLevelType w:val="hybridMultilevel"/>
    <w:tmpl w:val="5AF62100"/>
    <w:lvl w:ilvl="0" w:tplc="3028DB4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6967D0"/>
    <w:multiLevelType w:val="hybridMultilevel"/>
    <w:tmpl w:val="7318B9EA"/>
    <w:lvl w:ilvl="0" w:tplc="F6920AE0">
      <w:start w:val="24"/>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2EC"/>
    <w:rsid w:val="00001ED0"/>
    <w:rsid w:val="0000789F"/>
    <w:rsid w:val="0002752A"/>
    <w:rsid w:val="000600F7"/>
    <w:rsid w:val="00060E3B"/>
    <w:rsid w:val="00065F4C"/>
    <w:rsid w:val="000716FF"/>
    <w:rsid w:val="00075F08"/>
    <w:rsid w:val="000A04A4"/>
    <w:rsid w:val="000C5038"/>
    <w:rsid w:val="000C78A3"/>
    <w:rsid w:val="000D6F1B"/>
    <w:rsid w:val="00106DB3"/>
    <w:rsid w:val="00110BF0"/>
    <w:rsid w:val="001667D8"/>
    <w:rsid w:val="00167CB7"/>
    <w:rsid w:val="00182884"/>
    <w:rsid w:val="001966C2"/>
    <w:rsid w:val="00197D7B"/>
    <w:rsid w:val="001A02EC"/>
    <w:rsid w:val="001A76CD"/>
    <w:rsid w:val="001B41F8"/>
    <w:rsid w:val="001C175F"/>
    <w:rsid w:val="001D2466"/>
    <w:rsid w:val="001E07C8"/>
    <w:rsid w:val="001E55BA"/>
    <w:rsid w:val="001E7DEA"/>
    <w:rsid w:val="001F2ECF"/>
    <w:rsid w:val="00202972"/>
    <w:rsid w:val="00202EBC"/>
    <w:rsid w:val="0020629C"/>
    <w:rsid w:val="00231C11"/>
    <w:rsid w:val="00250DC6"/>
    <w:rsid w:val="0025364F"/>
    <w:rsid w:val="00272607"/>
    <w:rsid w:val="00274ACA"/>
    <w:rsid w:val="002B1EED"/>
    <w:rsid w:val="002B2B45"/>
    <w:rsid w:val="002B64C9"/>
    <w:rsid w:val="002B72A1"/>
    <w:rsid w:val="002D2A90"/>
    <w:rsid w:val="002D3620"/>
    <w:rsid w:val="002E3CEB"/>
    <w:rsid w:val="002E60D2"/>
    <w:rsid w:val="002F7D37"/>
    <w:rsid w:val="0032072C"/>
    <w:rsid w:val="0032351C"/>
    <w:rsid w:val="00331C24"/>
    <w:rsid w:val="0033552C"/>
    <w:rsid w:val="00341CF4"/>
    <w:rsid w:val="00374DF5"/>
    <w:rsid w:val="00376C42"/>
    <w:rsid w:val="003818A6"/>
    <w:rsid w:val="003A2D85"/>
    <w:rsid w:val="003B43B0"/>
    <w:rsid w:val="003C53B6"/>
    <w:rsid w:val="003D0922"/>
    <w:rsid w:val="003E4C7C"/>
    <w:rsid w:val="003F556E"/>
    <w:rsid w:val="003F56F3"/>
    <w:rsid w:val="00404E7B"/>
    <w:rsid w:val="004074F6"/>
    <w:rsid w:val="004159B0"/>
    <w:rsid w:val="00431B7D"/>
    <w:rsid w:val="00433090"/>
    <w:rsid w:val="0044262A"/>
    <w:rsid w:val="0044440D"/>
    <w:rsid w:val="00446889"/>
    <w:rsid w:val="00483FCA"/>
    <w:rsid w:val="004A75A5"/>
    <w:rsid w:val="004B2B1B"/>
    <w:rsid w:val="004F1D8C"/>
    <w:rsid w:val="004F3B5C"/>
    <w:rsid w:val="00507EBC"/>
    <w:rsid w:val="00514E22"/>
    <w:rsid w:val="00520DCC"/>
    <w:rsid w:val="005249FF"/>
    <w:rsid w:val="00526402"/>
    <w:rsid w:val="005414CF"/>
    <w:rsid w:val="005531AA"/>
    <w:rsid w:val="00553284"/>
    <w:rsid w:val="00571D74"/>
    <w:rsid w:val="00587DC7"/>
    <w:rsid w:val="005C003E"/>
    <w:rsid w:val="005C3428"/>
    <w:rsid w:val="005D01DA"/>
    <w:rsid w:val="005F1E6E"/>
    <w:rsid w:val="005F59A6"/>
    <w:rsid w:val="00600024"/>
    <w:rsid w:val="00616A80"/>
    <w:rsid w:val="00653E07"/>
    <w:rsid w:val="00671265"/>
    <w:rsid w:val="00681881"/>
    <w:rsid w:val="006B7050"/>
    <w:rsid w:val="006C66AE"/>
    <w:rsid w:val="006F6A60"/>
    <w:rsid w:val="00714369"/>
    <w:rsid w:val="00714EA7"/>
    <w:rsid w:val="00726D7F"/>
    <w:rsid w:val="00736880"/>
    <w:rsid w:val="007402AB"/>
    <w:rsid w:val="00741716"/>
    <w:rsid w:val="00744EB1"/>
    <w:rsid w:val="00755849"/>
    <w:rsid w:val="00757C3E"/>
    <w:rsid w:val="00795B9A"/>
    <w:rsid w:val="00796F9D"/>
    <w:rsid w:val="007A1693"/>
    <w:rsid w:val="007B037B"/>
    <w:rsid w:val="007B0BAD"/>
    <w:rsid w:val="007B0E8A"/>
    <w:rsid w:val="007C1A10"/>
    <w:rsid w:val="007C58D9"/>
    <w:rsid w:val="007D0520"/>
    <w:rsid w:val="007F06F1"/>
    <w:rsid w:val="0082144D"/>
    <w:rsid w:val="0082495D"/>
    <w:rsid w:val="00834122"/>
    <w:rsid w:val="008559DE"/>
    <w:rsid w:val="00857902"/>
    <w:rsid w:val="00860FFF"/>
    <w:rsid w:val="00866396"/>
    <w:rsid w:val="00872DD1"/>
    <w:rsid w:val="00872F06"/>
    <w:rsid w:val="00873844"/>
    <w:rsid w:val="00877AD3"/>
    <w:rsid w:val="00883459"/>
    <w:rsid w:val="008C14DA"/>
    <w:rsid w:val="008D4784"/>
    <w:rsid w:val="009225E0"/>
    <w:rsid w:val="009315FF"/>
    <w:rsid w:val="009340A4"/>
    <w:rsid w:val="009423D4"/>
    <w:rsid w:val="00952777"/>
    <w:rsid w:val="00955460"/>
    <w:rsid w:val="00956C03"/>
    <w:rsid w:val="00990EE0"/>
    <w:rsid w:val="00997EC9"/>
    <w:rsid w:val="009A4FC5"/>
    <w:rsid w:val="009A6B99"/>
    <w:rsid w:val="009B17FE"/>
    <w:rsid w:val="009B26FD"/>
    <w:rsid w:val="009C1631"/>
    <w:rsid w:val="009C3E13"/>
    <w:rsid w:val="009D4627"/>
    <w:rsid w:val="009D63E5"/>
    <w:rsid w:val="009D67C9"/>
    <w:rsid w:val="00A1692B"/>
    <w:rsid w:val="00A32BE8"/>
    <w:rsid w:val="00A37DA7"/>
    <w:rsid w:val="00A70BEA"/>
    <w:rsid w:val="00A7527D"/>
    <w:rsid w:val="00A81A45"/>
    <w:rsid w:val="00A823B3"/>
    <w:rsid w:val="00A8296D"/>
    <w:rsid w:val="00A83382"/>
    <w:rsid w:val="00A924B1"/>
    <w:rsid w:val="00AB4DCB"/>
    <w:rsid w:val="00AC1868"/>
    <w:rsid w:val="00AC4AD4"/>
    <w:rsid w:val="00AF76DC"/>
    <w:rsid w:val="00B004C0"/>
    <w:rsid w:val="00B00636"/>
    <w:rsid w:val="00B12951"/>
    <w:rsid w:val="00B229A6"/>
    <w:rsid w:val="00B30AA3"/>
    <w:rsid w:val="00B3119A"/>
    <w:rsid w:val="00B4769A"/>
    <w:rsid w:val="00B5489E"/>
    <w:rsid w:val="00B5582D"/>
    <w:rsid w:val="00B82543"/>
    <w:rsid w:val="00B8355E"/>
    <w:rsid w:val="00B83A51"/>
    <w:rsid w:val="00BC55F1"/>
    <w:rsid w:val="00BC75B3"/>
    <w:rsid w:val="00BD0162"/>
    <w:rsid w:val="00BD7CE4"/>
    <w:rsid w:val="00BE082B"/>
    <w:rsid w:val="00BE39EA"/>
    <w:rsid w:val="00BE6E2D"/>
    <w:rsid w:val="00C01123"/>
    <w:rsid w:val="00C135C4"/>
    <w:rsid w:val="00C1669A"/>
    <w:rsid w:val="00C20234"/>
    <w:rsid w:val="00C25036"/>
    <w:rsid w:val="00C33997"/>
    <w:rsid w:val="00C44162"/>
    <w:rsid w:val="00C54DD8"/>
    <w:rsid w:val="00C57D8B"/>
    <w:rsid w:val="00C715DB"/>
    <w:rsid w:val="00C72F45"/>
    <w:rsid w:val="00C7452B"/>
    <w:rsid w:val="00C975FC"/>
    <w:rsid w:val="00CA5D41"/>
    <w:rsid w:val="00CE3AF1"/>
    <w:rsid w:val="00D13AB0"/>
    <w:rsid w:val="00D233B1"/>
    <w:rsid w:val="00D25917"/>
    <w:rsid w:val="00D26515"/>
    <w:rsid w:val="00D37879"/>
    <w:rsid w:val="00D40108"/>
    <w:rsid w:val="00D55349"/>
    <w:rsid w:val="00D56C96"/>
    <w:rsid w:val="00D570EB"/>
    <w:rsid w:val="00D605CC"/>
    <w:rsid w:val="00D74087"/>
    <w:rsid w:val="00DE1B2D"/>
    <w:rsid w:val="00DE2B6B"/>
    <w:rsid w:val="00DE65EC"/>
    <w:rsid w:val="00DF17AB"/>
    <w:rsid w:val="00E00E1D"/>
    <w:rsid w:val="00E056C5"/>
    <w:rsid w:val="00E07CAF"/>
    <w:rsid w:val="00E22AF4"/>
    <w:rsid w:val="00E2307F"/>
    <w:rsid w:val="00E266EE"/>
    <w:rsid w:val="00E62626"/>
    <w:rsid w:val="00E7181C"/>
    <w:rsid w:val="00E810A3"/>
    <w:rsid w:val="00E84C36"/>
    <w:rsid w:val="00E8536C"/>
    <w:rsid w:val="00E92DFE"/>
    <w:rsid w:val="00EB03D1"/>
    <w:rsid w:val="00F37271"/>
    <w:rsid w:val="00F53B52"/>
    <w:rsid w:val="00F83E4F"/>
    <w:rsid w:val="00F860F8"/>
    <w:rsid w:val="00F96F04"/>
    <w:rsid w:val="00F97848"/>
    <w:rsid w:val="00FC2DB0"/>
    <w:rsid w:val="00FC5DAF"/>
    <w:rsid w:val="00FD563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4C2F7"/>
  <w15:chartTrackingRefBased/>
  <w15:docId w15:val="{EB18E1FC-BBE1-48D5-AE60-1109BA317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2EC"/>
    <w:pPr>
      <w:spacing w:after="200" w:line="276" w:lineRule="auto"/>
      <w:jc w:val="both"/>
    </w:pPr>
  </w:style>
  <w:style w:type="paragraph" w:styleId="Heading1">
    <w:name w:val="heading 1"/>
    <w:basedOn w:val="Normal"/>
    <w:next w:val="Normal"/>
    <w:link w:val="Heading1Char"/>
    <w:uiPriority w:val="9"/>
    <w:qFormat/>
    <w:rsid w:val="001A02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A02E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A02EC"/>
    <w:pPr>
      <w:keepNext/>
      <w:keepLines/>
      <w:spacing w:before="40" w:after="0"/>
      <w:outlineLvl w:val="2"/>
    </w:pPr>
    <w:rPr>
      <w:rFonts w:asciiTheme="majorHAnsi" w:eastAsiaTheme="majorEastAsia" w:hAnsiTheme="majorHAnsi" w:cstheme="majorBidi"/>
      <w:i/>
      <w:iCs/>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02E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A02E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A02EC"/>
    <w:rPr>
      <w:rFonts w:asciiTheme="majorHAnsi" w:eastAsiaTheme="majorEastAsia" w:hAnsiTheme="majorHAnsi" w:cstheme="majorBidi"/>
      <w:i/>
      <w:iCs/>
      <w:color w:val="1F3763" w:themeColor="accent1" w:themeShade="7F"/>
      <w:sz w:val="24"/>
      <w:szCs w:val="24"/>
    </w:rPr>
  </w:style>
  <w:style w:type="paragraph" w:styleId="ListParagraph">
    <w:name w:val="List Paragraph"/>
    <w:basedOn w:val="Normal"/>
    <w:uiPriority w:val="34"/>
    <w:qFormat/>
    <w:rsid w:val="001A02EC"/>
    <w:pPr>
      <w:ind w:left="720"/>
      <w:contextualSpacing/>
    </w:pPr>
  </w:style>
  <w:style w:type="paragraph" w:styleId="BalloonText">
    <w:name w:val="Balloon Text"/>
    <w:basedOn w:val="Normal"/>
    <w:link w:val="BalloonTextChar"/>
    <w:uiPriority w:val="99"/>
    <w:semiHidden/>
    <w:unhideWhenUsed/>
    <w:rsid w:val="001A02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02EC"/>
    <w:rPr>
      <w:rFonts w:ascii="Segoe UI" w:hAnsi="Segoe UI" w:cs="Segoe UI"/>
      <w:sz w:val="18"/>
      <w:szCs w:val="18"/>
    </w:rPr>
  </w:style>
  <w:style w:type="character" w:styleId="Hyperlink">
    <w:name w:val="Hyperlink"/>
    <w:basedOn w:val="DefaultParagraphFont"/>
    <w:uiPriority w:val="99"/>
    <w:unhideWhenUsed/>
    <w:rsid w:val="001A02EC"/>
    <w:rPr>
      <w:color w:val="0563C1" w:themeColor="hyperlink"/>
      <w:u w:val="single"/>
    </w:rPr>
  </w:style>
  <w:style w:type="character" w:styleId="UnresolvedMention">
    <w:name w:val="Unresolved Mention"/>
    <w:basedOn w:val="DefaultParagraphFont"/>
    <w:uiPriority w:val="99"/>
    <w:semiHidden/>
    <w:unhideWhenUsed/>
    <w:rsid w:val="001A02EC"/>
    <w:rPr>
      <w:color w:val="605E5C"/>
      <w:shd w:val="clear" w:color="auto" w:fill="E1DFDD"/>
    </w:rPr>
  </w:style>
  <w:style w:type="paragraph" w:styleId="NoSpacing">
    <w:name w:val="No Spacing"/>
    <w:link w:val="NoSpacingChar"/>
    <w:uiPriority w:val="1"/>
    <w:qFormat/>
    <w:rsid w:val="001A02EC"/>
    <w:pPr>
      <w:spacing w:after="0" w:line="240" w:lineRule="auto"/>
      <w:jc w:val="both"/>
    </w:pPr>
  </w:style>
  <w:style w:type="table" w:styleId="TableGrid">
    <w:name w:val="Table Grid"/>
    <w:basedOn w:val="TableNormal"/>
    <w:uiPriority w:val="59"/>
    <w:rsid w:val="001A02EC"/>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1A02EC"/>
    <w:pPr>
      <w:tabs>
        <w:tab w:val="left" w:pos="504"/>
      </w:tabs>
      <w:spacing w:after="240" w:line="240" w:lineRule="auto"/>
      <w:ind w:left="504" w:hanging="504"/>
    </w:pPr>
  </w:style>
  <w:style w:type="character" w:styleId="FollowedHyperlink">
    <w:name w:val="FollowedHyperlink"/>
    <w:basedOn w:val="DefaultParagraphFont"/>
    <w:uiPriority w:val="99"/>
    <w:semiHidden/>
    <w:unhideWhenUsed/>
    <w:rsid w:val="001A02EC"/>
    <w:rPr>
      <w:color w:val="954F72" w:themeColor="followedHyperlink"/>
      <w:u w:val="single"/>
    </w:rPr>
  </w:style>
  <w:style w:type="character" w:styleId="CommentReference">
    <w:name w:val="annotation reference"/>
    <w:basedOn w:val="DefaultParagraphFont"/>
    <w:semiHidden/>
    <w:unhideWhenUsed/>
    <w:rsid w:val="001A02EC"/>
    <w:rPr>
      <w:sz w:val="16"/>
      <w:szCs w:val="16"/>
    </w:rPr>
  </w:style>
  <w:style w:type="paragraph" w:styleId="CommentText">
    <w:name w:val="annotation text"/>
    <w:basedOn w:val="Normal"/>
    <w:link w:val="CommentTextChar"/>
    <w:semiHidden/>
    <w:unhideWhenUsed/>
    <w:rsid w:val="001A02EC"/>
    <w:pPr>
      <w:spacing w:line="240" w:lineRule="auto"/>
    </w:pPr>
    <w:rPr>
      <w:sz w:val="20"/>
      <w:szCs w:val="20"/>
    </w:rPr>
  </w:style>
  <w:style w:type="character" w:customStyle="1" w:styleId="CommentTextChar">
    <w:name w:val="Comment Text Char"/>
    <w:basedOn w:val="DefaultParagraphFont"/>
    <w:link w:val="CommentText"/>
    <w:semiHidden/>
    <w:rsid w:val="001A02EC"/>
    <w:rPr>
      <w:sz w:val="20"/>
      <w:szCs w:val="20"/>
    </w:rPr>
  </w:style>
  <w:style w:type="paragraph" w:styleId="CommentSubject">
    <w:name w:val="annotation subject"/>
    <w:basedOn w:val="CommentText"/>
    <w:next w:val="CommentText"/>
    <w:link w:val="CommentSubjectChar"/>
    <w:uiPriority w:val="99"/>
    <w:semiHidden/>
    <w:unhideWhenUsed/>
    <w:rsid w:val="001A02EC"/>
    <w:rPr>
      <w:b/>
      <w:bCs/>
    </w:rPr>
  </w:style>
  <w:style w:type="character" w:customStyle="1" w:styleId="CommentSubjectChar">
    <w:name w:val="Comment Subject Char"/>
    <w:basedOn w:val="CommentTextChar"/>
    <w:link w:val="CommentSubject"/>
    <w:uiPriority w:val="99"/>
    <w:semiHidden/>
    <w:rsid w:val="001A02EC"/>
    <w:rPr>
      <w:b/>
      <w:bCs/>
      <w:sz w:val="20"/>
      <w:szCs w:val="20"/>
    </w:rPr>
  </w:style>
  <w:style w:type="table" w:customStyle="1" w:styleId="Table">
    <w:name w:val="Table"/>
    <w:semiHidden/>
    <w:qFormat/>
    <w:rsid w:val="001A02EC"/>
    <w:pPr>
      <w:spacing w:after="200" w:line="240" w:lineRule="auto"/>
    </w:pPr>
    <w:rPr>
      <w:sz w:val="24"/>
      <w:szCs w:val="24"/>
      <w:lang w:val="en-US"/>
    </w:rPr>
    <w:tblPr>
      <w:tblCellMar>
        <w:top w:w="0" w:type="dxa"/>
        <w:left w:w="108" w:type="dxa"/>
        <w:bottom w:w="0" w:type="dxa"/>
        <w:right w:w="108" w:type="dxa"/>
      </w:tblCellMar>
    </w:tblPr>
  </w:style>
  <w:style w:type="character" w:styleId="Emphasis">
    <w:name w:val="Emphasis"/>
    <w:basedOn w:val="DefaultParagraphFont"/>
    <w:uiPriority w:val="20"/>
    <w:qFormat/>
    <w:rsid w:val="001A02EC"/>
    <w:rPr>
      <w:i/>
      <w:iCs/>
    </w:rPr>
  </w:style>
  <w:style w:type="character" w:customStyle="1" w:styleId="NoSpacingChar">
    <w:name w:val="No Spacing Char"/>
    <w:basedOn w:val="DefaultParagraphFont"/>
    <w:link w:val="NoSpacing"/>
    <w:uiPriority w:val="1"/>
    <w:locked/>
    <w:rsid w:val="001A02EC"/>
  </w:style>
  <w:style w:type="paragraph" w:styleId="Header">
    <w:name w:val="header"/>
    <w:basedOn w:val="Normal"/>
    <w:link w:val="HeaderChar"/>
    <w:uiPriority w:val="99"/>
    <w:unhideWhenUsed/>
    <w:rsid w:val="005C00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003E"/>
  </w:style>
  <w:style w:type="paragraph" w:styleId="Footer">
    <w:name w:val="footer"/>
    <w:basedOn w:val="Normal"/>
    <w:link w:val="FooterChar"/>
    <w:uiPriority w:val="99"/>
    <w:unhideWhenUsed/>
    <w:rsid w:val="005C00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003E"/>
  </w:style>
  <w:style w:type="paragraph" w:styleId="Revision">
    <w:name w:val="Revision"/>
    <w:hidden/>
    <w:uiPriority w:val="99"/>
    <w:semiHidden/>
    <w:rsid w:val="009D67C9"/>
    <w:pPr>
      <w:spacing w:after="0" w:line="240" w:lineRule="auto"/>
    </w:pPr>
  </w:style>
  <w:style w:type="character" w:customStyle="1" w:styleId="normaltextrun">
    <w:name w:val="normaltextrun"/>
    <w:basedOn w:val="DefaultParagraphFont"/>
    <w:rsid w:val="00D570EB"/>
  </w:style>
  <w:style w:type="character" w:styleId="LineNumber">
    <w:name w:val="line number"/>
    <w:basedOn w:val="DefaultParagraphFont"/>
    <w:uiPriority w:val="99"/>
    <w:semiHidden/>
    <w:unhideWhenUsed/>
    <w:rsid w:val="002B64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94622">
      <w:bodyDiv w:val="1"/>
      <w:marLeft w:val="0"/>
      <w:marRight w:val="0"/>
      <w:marTop w:val="0"/>
      <w:marBottom w:val="0"/>
      <w:divBdr>
        <w:top w:val="none" w:sz="0" w:space="0" w:color="auto"/>
        <w:left w:val="none" w:sz="0" w:space="0" w:color="auto"/>
        <w:bottom w:val="none" w:sz="0" w:space="0" w:color="auto"/>
        <w:right w:val="none" w:sz="0" w:space="0" w:color="auto"/>
      </w:divBdr>
    </w:div>
    <w:div w:id="1234658838">
      <w:bodyDiv w:val="1"/>
      <w:marLeft w:val="0"/>
      <w:marRight w:val="0"/>
      <w:marTop w:val="0"/>
      <w:marBottom w:val="0"/>
      <w:divBdr>
        <w:top w:val="none" w:sz="0" w:space="0" w:color="auto"/>
        <w:left w:val="none" w:sz="0" w:space="0" w:color="auto"/>
        <w:bottom w:val="none" w:sz="0" w:space="0" w:color="auto"/>
        <w:right w:val="none" w:sz="0" w:space="0" w:color="auto"/>
      </w:divBdr>
    </w:div>
    <w:div w:id="1943490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930F2-C57B-4D01-AA09-85D095A0C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1231</TotalTime>
  <Pages>23</Pages>
  <Words>35789</Words>
  <Characters>204003</Characters>
  <Application>Microsoft Office Word</Application>
  <DocSecurity>0</DocSecurity>
  <Lines>1700</Lines>
  <Paragraphs>478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Maxime Inghels</dc:creator>
  <cp:keywords/>
  <dc:description/>
  <cp:lastModifiedBy>Maxime Inghels</cp:lastModifiedBy>
  <cp:revision>39</cp:revision>
  <dcterms:created xsi:type="dcterms:W3CDTF">2022-01-20T11:36:00Z</dcterms:created>
  <dcterms:modified xsi:type="dcterms:W3CDTF">2022-06-14T14:02:00Z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zotero-version="6.0.8"&gt;&lt;session id="HoWxIbrL"/&gt;&lt;style id="http://www.zotero.org/styles/vancouver" locale="en-GB" hasBibliography="1" bibliographyStyleHasBeenSet="1"/&gt;&lt;prefs&gt;&lt;pref name="fieldType" value="Field"/&gt;&lt;/prefs&gt;&lt;/data&gt;</vt:lpwstr>
  </property>
</Properties>
</file>