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3857" w14:textId="61916686" w:rsidR="0006021B" w:rsidRPr="0006021B" w:rsidRDefault="0006021B" w:rsidP="0006021B">
      <w:pPr>
        <w:pStyle w:val="Heading1"/>
      </w:pPr>
      <w:r>
        <w:t xml:space="preserve">Private view? The organisational performance of </w:t>
      </w:r>
      <w:r w:rsidRPr="0006021B">
        <w:t>‘privateness’ and ‘publicness’ at an art gallery</w:t>
      </w:r>
    </w:p>
    <w:p w14:paraId="3FA94D39" w14:textId="5AC44721" w:rsidR="00674C72" w:rsidRDefault="00756E59" w:rsidP="00357B70">
      <w:pPr>
        <w:pStyle w:val="Heading2"/>
      </w:pPr>
      <w:r>
        <w:t>Introduction</w:t>
      </w:r>
    </w:p>
    <w:p w14:paraId="3D4D972F" w14:textId="5335D434" w:rsidR="00840055" w:rsidRDefault="005E6ED9" w:rsidP="00357B70">
      <w:r w:rsidRPr="00BE522E">
        <w:t xml:space="preserve">Art </w:t>
      </w:r>
      <w:r w:rsidR="00BE522E" w:rsidRPr="00BE522E">
        <w:t xml:space="preserve">galleries are beholden to both privateness and publicness. They are caught in the crossfires of a value system that puts a premium on publicness, an economic context that </w:t>
      </w:r>
      <w:r w:rsidR="00125AFA" w:rsidRPr="00125AFA">
        <w:t>incentivises</w:t>
      </w:r>
      <w:r w:rsidR="00125AFA">
        <w:t xml:space="preserve"> </w:t>
      </w:r>
      <w:r w:rsidR="00BE522E" w:rsidRPr="00BE522E">
        <w:t xml:space="preserve">privateness, and </w:t>
      </w:r>
      <w:r w:rsidR="00840055">
        <w:t xml:space="preserve">conflicting </w:t>
      </w:r>
      <w:r w:rsidR="00BE522E" w:rsidRPr="00BE522E">
        <w:t xml:space="preserve">histories of art as both a civic good and an asset class. </w:t>
      </w:r>
      <w:r w:rsidR="000128D9">
        <w:t>In this, a</w:t>
      </w:r>
      <w:r w:rsidR="00BE522E" w:rsidRPr="00BE522E">
        <w:t xml:space="preserve">rt galleries share </w:t>
      </w:r>
      <w:r w:rsidR="000128D9">
        <w:t>a similar position with</w:t>
      </w:r>
      <w:r w:rsidR="00BE522E" w:rsidRPr="00BE522E">
        <w:t xml:space="preserve"> many other </w:t>
      </w:r>
      <w:r w:rsidR="00FC0955">
        <w:t xml:space="preserve">organisations delivering public services </w:t>
      </w:r>
      <w:r w:rsidR="00BE522E" w:rsidRPr="00BE522E">
        <w:t>under neoliberal conditions: parks (Loughran, 2014; Smith, 2018), schools (Carrasco &amp; Gunter, 2019), hospitals (Jones, 2018), libraries (Blewitt, 2014). Such organisations therefore find themselves in the symbolic wilderness between publicness and privateness, required to e</w:t>
      </w:r>
      <w:r w:rsidR="00840055">
        <w:t xml:space="preserve">xtract value from an apparent </w:t>
      </w:r>
      <w:r w:rsidR="00BE522E" w:rsidRPr="00BE522E">
        <w:t>publicness while ingratiating and accommodating multiple and considerable vested</w:t>
      </w:r>
      <w:r w:rsidR="00840055">
        <w:t xml:space="preserve"> private interests. The conventional opposition between the public and the private becomes a problem of organisational performance</w:t>
      </w:r>
      <w:r w:rsidR="00840055" w:rsidRPr="00840055">
        <w:t>—</w:t>
      </w:r>
      <w:r w:rsidR="00840055">
        <w:t>how can the art gallery make its claim of publicness convincing, while bending to the demands of privateness?</w:t>
      </w:r>
    </w:p>
    <w:p w14:paraId="0C93C961" w14:textId="531AC248" w:rsidR="004F4B21" w:rsidRDefault="00FF37BA" w:rsidP="00357B70">
      <w:r>
        <w:t xml:space="preserve">This paper is a study of how </w:t>
      </w:r>
      <w:r w:rsidR="004F4B21">
        <w:t>privateness</w:t>
      </w:r>
      <w:r w:rsidR="00256364">
        <w:t xml:space="preserve"> is </w:t>
      </w:r>
      <w:r w:rsidR="00A924BB">
        <w:t>performed</w:t>
      </w:r>
      <w:r w:rsidR="00256364">
        <w:t xml:space="preserve"> on-the-ground in </w:t>
      </w:r>
      <w:r w:rsidR="002D36E7">
        <w:t xml:space="preserve">a </w:t>
      </w:r>
      <w:r w:rsidR="002D36E7" w:rsidRPr="002D36E7">
        <w:t>state-funded, non-commercial</w:t>
      </w:r>
      <w:r>
        <w:t xml:space="preserve"> </w:t>
      </w:r>
      <w:r w:rsidR="00E1273F">
        <w:t>art gallery</w:t>
      </w:r>
      <w:r>
        <w:t xml:space="preserve"> where publicness</w:t>
      </w:r>
      <w:r w:rsidR="00E1273F">
        <w:t xml:space="preserve"> is a </w:t>
      </w:r>
      <w:proofErr w:type="gramStart"/>
      <w:r w:rsidR="00E1273F">
        <w:t>highly-prized</w:t>
      </w:r>
      <w:proofErr w:type="gramEnd"/>
      <w:r w:rsidR="00E1273F">
        <w:t xml:space="preserve"> credential</w:t>
      </w:r>
      <w:r w:rsidR="00DE41E5">
        <w:t>.</w:t>
      </w:r>
      <w:r w:rsidR="00256364">
        <w:t xml:space="preserve"> </w:t>
      </w:r>
      <w:r w:rsidR="00E1273F">
        <w:t>It begins from the premise that, as well as categories of political and economic bearing, ‘p</w:t>
      </w:r>
      <w:r w:rsidR="00E1273F" w:rsidRPr="00E1273F">
        <w:t>rivateness’ and ‘publicness’ are cultural categories through which lived experiences are made meaningful.</w:t>
      </w:r>
      <w:r w:rsidR="00E1273F">
        <w:t xml:space="preserve"> I conduct the study through a focus </w:t>
      </w:r>
      <w:r w:rsidR="00A726B2">
        <w:t xml:space="preserve">on </w:t>
      </w:r>
      <w:r w:rsidR="0060656D" w:rsidRPr="0060656D">
        <w:t>private patrona</w:t>
      </w:r>
      <w:r w:rsidR="0060656D">
        <w:t>ge and its attached ‘VIP events</w:t>
      </w:r>
      <w:r w:rsidR="00256364">
        <w:t>,</w:t>
      </w:r>
      <w:r w:rsidR="0060656D" w:rsidRPr="0060656D">
        <w:t>’</w:t>
      </w:r>
      <w:r w:rsidR="00256364">
        <w:t xml:space="preserve"> using the example of a private view that had both invite-only and public-facing facets.</w:t>
      </w:r>
      <w:r w:rsidR="00E1273F">
        <w:t xml:space="preserve"> </w:t>
      </w:r>
      <w:r w:rsidR="00256364">
        <w:t xml:space="preserve">To study this private view, I </w:t>
      </w:r>
      <w:r w:rsidR="004F4B21">
        <w:t>apply</w:t>
      </w:r>
      <w:r w:rsidR="002E577B">
        <w:t xml:space="preserve"> performance theory </w:t>
      </w:r>
      <w:r w:rsidR="004F4B21" w:rsidRPr="004F4B21">
        <w:t xml:space="preserve">to organisations </w:t>
      </w:r>
      <w:r w:rsidR="002E577B">
        <w:rPr>
          <w:noProof/>
        </w:rPr>
        <w:t>(Alexander, 2004)</w:t>
      </w:r>
      <w:r w:rsidR="002E577B">
        <w:t>, arguing that the social practices of staff combine with spatial and aesthetic strategies to produce the experiential spaces of privateness and publicness. As these performances often depend on cleaving apart the experiences of different groups of people</w:t>
      </w:r>
      <w:r w:rsidR="004F4B21">
        <w:t xml:space="preserve"> </w:t>
      </w:r>
      <w:r w:rsidR="00E64BD3">
        <w:t xml:space="preserve">at the same occasion </w:t>
      </w:r>
      <w:r w:rsidR="00E64BD3">
        <w:rPr>
          <w:noProof/>
        </w:rPr>
        <w:t>(Wynn, 2016)</w:t>
      </w:r>
      <w:r w:rsidR="002E577B">
        <w:t xml:space="preserve">, I </w:t>
      </w:r>
      <w:r w:rsidR="004F4B21">
        <w:t xml:space="preserve">analyse them through a </w:t>
      </w:r>
      <w:proofErr w:type="spellStart"/>
      <w:r w:rsidR="004F4B21">
        <w:t>mesosociological</w:t>
      </w:r>
      <w:proofErr w:type="spellEnd"/>
      <w:r w:rsidR="004F4B21">
        <w:t xml:space="preserve"> </w:t>
      </w:r>
      <w:r w:rsidR="00843166">
        <w:t xml:space="preserve">framework drawn from Gary Fine </w:t>
      </w:r>
      <w:r w:rsidR="008A5159">
        <w:rPr>
          <w:noProof/>
        </w:rPr>
        <w:t>(Fine, 2010, 2012)</w:t>
      </w:r>
      <w:r w:rsidR="004F4B21">
        <w:t xml:space="preserve">. Crucially, I will suggest that these performances </w:t>
      </w:r>
      <w:r w:rsidR="007712AA">
        <w:t>depend</w:t>
      </w:r>
      <w:r w:rsidR="004F4B21">
        <w:t xml:space="preserve"> on </w:t>
      </w:r>
      <w:r w:rsidR="00843166">
        <w:t>managing and curating</w:t>
      </w:r>
      <w:r w:rsidR="004F4B21">
        <w:t xml:space="preserve"> the perceived </w:t>
      </w:r>
      <w:r w:rsidR="00843166">
        <w:t xml:space="preserve">antagonistic </w:t>
      </w:r>
      <w:r w:rsidR="004F4B21">
        <w:t>relationship between privateness and publicness</w:t>
      </w:r>
      <w:r w:rsidR="00843166">
        <w:t>.</w:t>
      </w:r>
      <w:r w:rsidR="004F4B21">
        <w:t xml:space="preserve"> </w:t>
      </w:r>
    </w:p>
    <w:p w14:paraId="1CA13D85" w14:textId="041A2D33" w:rsidR="009240F6" w:rsidRDefault="00843166" w:rsidP="00357B70">
      <w:r>
        <w:t>My intentions in this paper are twofold. Firstly, it is</w:t>
      </w:r>
      <w:r w:rsidR="009240F6">
        <w:t xml:space="preserve"> </w:t>
      </w:r>
      <w:r w:rsidR="00A91096">
        <w:t>a</w:t>
      </w:r>
      <w:r w:rsidR="002A5D41">
        <w:t>n</w:t>
      </w:r>
      <w:r w:rsidR="007712AA">
        <w:t xml:space="preserve"> </w:t>
      </w:r>
      <w:r>
        <w:t>att</w:t>
      </w:r>
      <w:r w:rsidR="00F83B28">
        <w:t xml:space="preserve">empt to analyse </w:t>
      </w:r>
      <w:r w:rsidR="007712AA">
        <w:t>private</w:t>
      </w:r>
      <w:r w:rsidR="00327CED">
        <w:t xml:space="preserve">ness and publicness </w:t>
      </w:r>
      <w:r w:rsidR="00A91096">
        <w:t xml:space="preserve">as </w:t>
      </w:r>
      <w:r w:rsidR="00774B14">
        <w:t xml:space="preserve">cultural </w:t>
      </w:r>
      <w:r w:rsidR="00A91096">
        <w:t>categories</w:t>
      </w:r>
      <w:r w:rsidR="00327CED">
        <w:t>, as guiding scripts for interpersonal interactions</w:t>
      </w:r>
      <w:r w:rsidR="00774B14">
        <w:t xml:space="preserve"> and organisational performances</w:t>
      </w:r>
      <w:r w:rsidR="00327CED">
        <w:t xml:space="preserve"> </w:t>
      </w:r>
      <w:r w:rsidR="00327CED" w:rsidRPr="00327CED">
        <w:t>(Goffman, 1983)</w:t>
      </w:r>
      <w:r w:rsidR="00327CED">
        <w:t>. This can</w:t>
      </w:r>
      <w:r w:rsidR="002A5D41">
        <w:t xml:space="preserve"> operate </w:t>
      </w:r>
      <w:r w:rsidR="00327CED">
        <w:t>at a remove from the</w:t>
      </w:r>
      <w:r w:rsidR="002A5D41">
        <w:t xml:space="preserve"> parallel economic or political </w:t>
      </w:r>
      <w:proofErr w:type="gramStart"/>
      <w:r w:rsidR="002A5D41">
        <w:t>categories</w:t>
      </w:r>
      <w:r w:rsidR="00BE522E">
        <w:t>, but</w:t>
      </w:r>
      <w:proofErr w:type="gramEnd"/>
      <w:r w:rsidR="00BE522E">
        <w:t xml:space="preserve"> is intimately connected to them</w:t>
      </w:r>
      <w:r w:rsidR="002A5D41">
        <w:t xml:space="preserve">. This matters because it illuminates how these categories can be manipulated or performed to serve </w:t>
      </w:r>
      <w:r w:rsidR="00CE3EA7">
        <w:t>certain</w:t>
      </w:r>
      <w:r w:rsidR="00164924">
        <w:t xml:space="preserve"> interests</w:t>
      </w:r>
      <w:r w:rsidR="005B3224">
        <w:t>.</w:t>
      </w:r>
      <w:r w:rsidR="00171C20">
        <w:t xml:space="preserve"> </w:t>
      </w:r>
      <w:r w:rsidR="009240F6">
        <w:t>The second inten</w:t>
      </w:r>
      <w:r w:rsidR="00CE3EA7">
        <w:t xml:space="preserve">tion is </w:t>
      </w:r>
      <w:r w:rsidR="000865BC">
        <w:t xml:space="preserve">to combine performance theory </w:t>
      </w:r>
      <w:r w:rsidR="000865BC">
        <w:rPr>
          <w:noProof/>
        </w:rPr>
        <w:t>(Alexander, 2004)</w:t>
      </w:r>
      <w:r w:rsidR="000865BC">
        <w:t xml:space="preserve"> and Fine’s ‘tiny publics’ </w:t>
      </w:r>
      <w:r w:rsidR="000865BC">
        <w:rPr>
          <w:noProof/>
        </w:rPr>
        <w:t>(Fine, 2010)</w:t>
      </w:r>
      <w:r w:rsidR="000865BC">
        <w:t xml:space="preserve"> to offer a </w:t>
      </w:r>
      <w:r w:rsidR="00CE3EA7">
        <w:t>cultural sociological</w:t>
      </w:r>
      <w:r w:rsidR="009240F6">
        <w:t xml:space="preserve"> approach to studying</w:t>
      </w:r>
      <w:r w:rsidR="006E47D2">
        <w:t xml:space="preserve"> the social life of</w:t>
      </w:r>
      <w:r w:rsidR="009240F6">
        <w:t xml:space="preserve"> </w:t>
      </w:r>
      <w:r w:rsidR="006E47D2">
        <w:t>organisations</w:t>
      </w:r>
      <w:r w:rsidR="005B3224">
        <w:t>.</w:t>
      </w:r>
      <w:r w:rsidR="006E47D2">
        <w:t xml:space="preserve"> </w:t>
      </w:r>
      <w:r w:rsidR="00CE3EA7">
        <w:t xml:space="preserve">With this, I hope to sharpen </w:t>
      </w:r>
      <w:r w:rsidR="00CE3EA7">
        <w:lastRenderedPageBreak/>
        <w:t xml:space="preserve">our analytical toolkit for studying the deep </w:t>
      </w:r>
      <w:r w:rsidR="00CE3EA7" w:rsidRPr="00CE3EA7">
        <w:t xml:space="preserve">entanglement </w:t>
      </w:r>
      <w:r w:rsidR="00CE3EA7">
        <w:t xml:space="preserve">of publicness and privateness in our everyday lives. </w:t>
      </w:r>
    </w:p>
    <w:p w14:paraId="5338B2CB" w14:textId="71F382D4" w:rsidR="00CE3EA7" w:rsidRDefault="00CE3EA7" w:rsidP="00357B70">
      <w:r w:rsidRPr="00CE3EA7">
        <w:t xml:space="preserve">I begin with a literature review </w:t>
      </w:r>
      <w:r w:rsidR="005B3224">
        <w:t xml:space="preserve">of the private and the </w:t>
      </w:r>
      <w:r w:rsidRPr="00CE3EA7">
        <w:t xml:space="preserve">public as </w:t>
      </w:r>
      <w:r>
        <w:t>applied</w:t>
      </w:r>
      <w:r w:rsidRPr="00CE3EA7">
        <w:t xml:space="preserve"> to art galleries. From here, I move on to introducing </w:t>
      </w:r>
      <w:r>
        <w:t>the performance perspective I bring to this study, as well as</w:t>
      </w:r>
      <w:r w:rsidR="00E74139">
        <w:t xml:space="preserve"> the</w:t>
      </w:r>
      <w:r>
        <w:t xml:space="preserve"> tools </w:t>
      </w:r>
      <w:r w:rsidR="00E74139">
        <w:t>that I draw from</w:t>
      </w:r>
      <w:r>
        <w:t xml:space="preserve"> Gary Fine</w:t>
      </w:r>
      <w:r w:rsidR="00E64BD3">
        <w:t xml:space="preserve">’s </w:t>
      </w:r>
      <w:proofErr w:type="spellStart"/>
      <w:r w:rsidR="00E64BD3">
        <w:t>mesosociology</w:t>
      </w:r>
      <w:proofErr w:type="spellEnd"/>
      <w:r w:rsidR="00E74139">
        <w:t xml:space="preserve">: </w:t>
      </w:r>
      <w:r w:rsidR="00E74139" w:rsidRPr="00E74139">
        <w:rPr>
          <w:i/>
        </w:rPr>
        <w:t>arenas</w:t>
      </w:r>
      <w:r w:rsidR="00E74139" w:rsidRPr="00E74139">
        <w:t xml:space="preserve">, </w:t>
      </w:r>
      <w:r w:rsidR="00E74139" w:rsidRPr="00E74139">
        <w:rPr>
          <w:i/>
        </w:rPr>
        <w:t>relations</w:t>
      </w:r>
      <w:r w:rsidR="00E74139" w:rsidRPr="00E74139">
        <w:t xml:space="preserve">, and </w:t>
      </w:r>
      <w:r w:rsidR="00E74139" w:rsidRPr="00E74139">
        <w:rPr>
          <w:i/>
        </w:rPr>
        <w:t>histories</w:t>
      </w:r>
      <w:r w:rsidR="00E74139" w:rsidRPr="00E74139">
        <w:t xml:space="preserve"> </w:t>
      </w:r>
      <w:r w:rsidR="008A5159">
        <w:rPr>
          <w:noProof/>
        </w:rPr>
        <w:t>(Fine, 2012</w:t>
      </w:r>
      <w:r w:rsidR="00B01A1E">
        <w:rPr>
          <w:noProof/>
        </w:rPr>
        <w:t>: 165-</w:t>
      </w:r>
      <w:r w:rsidR="008A5159">
        <w:rPr>
          <w:noProof/>
        </w:rPr>
        <w:t>9)</w:t>
      </w:r>
      <w:r w:rsidR="00E74139">
        <w:t>.</w:t>
      </w:r>
      <w:r>
        <w:t xml:space="preserve"> </w:t>
      </w:r>
      <w:r w:rsidR="00E74139">
        <w:t>These</w:t>
      </w:r>
      <w:r>
        <w:t xml:space="preserve"> help to explain how </w:t>
      </w:r>
      <w:r w:rsidRPr="00CE3EA7">
        <w:t xml:space="preserve">categories of meaning, such as ‘private’ and ‘public,’ are </w:t>
      </w:r>
      <w:r w:rsidR="00E64BD3">
        <w:t>made salient in</w:t>
      </w:r>
      <w:r w:rsidR="00E74139">
        <w:t xml:space="preserve"> interpersonal contexts. </w:t>
      </w:r>
      <w:r w:rsidRPr="00CE3EA7">
        <w:t xml:space="preserve">After introducing my </w:t>
      </w:r>
      <w:proofErr w:type="spellStart"/>
      <w:r w:rsidRPr="00CE3EA7">
        <w:t>fieldsite</w:t>
      </w:r>
      <w:proofErr w:type="spellEnd"/>
      <w:r w:rsidRPr="00CE3EA7">
        <w:t xml:space="preserve"> and methods, </w:t>
      </w:r>
      <w:r w:rsidR="00327CED">
        <w:t xml:space="preserve">I </w:t>
      </w:r>
      <w:r w:rsidR="00E64BD3">
        <w:t>detail one gallery in the process of h</w:t>
      </w:r>
      <w:r w:rsidR="00BC6096">
        <w:t xml:space="preserve">osting an occasion in which </w:t>
      </w:r>
      <w:r w:rsidR="00E64BD3">
        <w:t xml:space="preserve">the </w:t>
      </w:r>
      <w:r w:rsidR="00E64BD3" w:rsidRPr="00E64BD3">
        <w:rPr>
          <w:i/>
        </w:rPr>
        <w:t>arenas</w:t>
      </w:r>
      <w:r w:rsidR="00E64BD3" w:rsidRPr="00E64BD3">
        <w:t xml:space="preserve">, </w:t>
      </w:r>
      <w:r w:rsidR="00E64BD3" w:rsidRPr="00E64BD3">
        <w:rPr>
          <w:i/>
        </w:rPr>
        <w:t>relations</w:t>
      </w:r>
      <w:r w:rsidR="00E64BD3" w:rsidRPr="00E64BD3">
        <w:t xml:space="preserve">, and </w:t>
      </w:r>
      <w:r w:rsidR="00E64BD3" w:rsidRPr="00E64BD3">
        <w:rPr>
          <w:i/>
        </w:rPr>
        <w:t>histories</w:t>
      </w:r>
      <w:r w:rsidR="00E64BD3">
        <w:rPr>
          <w:i/>
        </w:rPr>
        <w:t xml:space="preserve"> </w:t>
      </w:r>
      <w:r w:rsidR="00BC6096">
        <w:t xml:space="preserve">were highly controlled </w:t>
      </w:r>
      <w:r w:rsidR="00E64BD3">
        <w:t>in order to establish strategically useful spaces of privateness and publicness</w:t>
      </w:r>
      <w:r w:rsidR="005B3224">
        <w:t>: a private view</w:t>
      </w:r>
      <w:r w:rsidR="00E64BD3">
        <w:t>.</w:t>
      </w:r>
      <w:r w:rsidR="000B0E79">
        <w:t xml:space="preserve"> </w:t>
      </w:r>
      <w:r w:rsidR="006E47D2">
        <w:t xml:space="preserve">In concluding remarks, I stress that </w:t>
      </w:r>
      <w:r w:rsidR="006E47D2" w:rsidRPr="006E47D2">
        <w:t xml:space="preserve">much could be gained by coupling existing approaches to studying </w:t>
      </w:r>
      <w:r w:rsidR="00774B14">
        <w:t xml:space="preserve">organisations that negotiate </w:t>
      </w:r>
      <w:r w:rsidR="006E47D2" w:rsidRPr="006E47D2">
        <w:t xml:space="preserve">the tensions between the private and the public </w:t>
      </w:r>
      <w:r w:rsidR="00774B14">
        <w:t xml:space="preserve">through the </w:t>
      </w:r>
      <w:r w:rsidR="006E47D2" w:rsidRPr="006E47D2">
        <w:t>lens</w:t>
      </w:r>
      <w:r w:rsidR="00774B14">
        <w:t xml:space="preserve"> of</w:t>
      </w:r>
      <w:r w:rsidR="009948DC">
        <w:t xml:space="preserve"> organisational</w:t>
      </w:r>
      <w:r w:rsidR="00774B14">
        <w:t xml:space="preserve"> performance</w:t>
      </w:r>
      <w:r w:rsidR="006E47D2" w:rsidRPr="006E47D2">
        <w:t>.</w:t>
      </w:r>
    </w:p>
    <w:p w14:paraId="69D0FB93" w14:textId="77777777" w:rsidR="0019032D" w:rsidRPr="0019032D" w:rsidRDefault="0019032D" w:rsidP="00357B70">
      <w:pPr>
        <w:pStyle w:val="Heading2"/>
      </w:pPr>
      <w:r w:rsidRPr="0019032D">
        <w:t>Literature Review</w:t>
      </w:r>
    </w:p>
    <w:p w14:paraId="115035C9" w14:textId="336869DC" w:rsidR="0019032D" w:rsidRPr="00BB55FD" w:rsidRDefault="00BB55FD" w:rsidP="00357B70">
      <w:pPr>
        <w:pStyle w:val="Heading3"/>
      </w:pPr>
      <w:r w:rsidRPr="00BB55FD">
        <w:t xml:space="preserve">Art Gallery </w:t>
      </w:r>
      <w:r w:rsidR="0019032D" w:rsidRPr="00BB55FD">
        <w:t>Publicness</w:t>
      </w:r>
      <w:r w:rsidRPr="00BB55FD">
        <w:t xml:space="preserve"> </w:t>
      </w:r>
    </w:p>
    <w:p w14:paraId="6B909820" w14:textId="21973C66" w:rsidR="00F35569" w:rsidRDefault="002D36E7" w:rsidP="00357B70">
      <w:r>
        <w:t>The public</w:t>
      </w:r>
      <w:r w:rsidR="0019032D" w:rsidRPr="0019032D">
        <w:t xml:space="preserve"> is a core sociological concern, most influentially theorised by </w:t>
      </w:r>
      <w:r w:rsidR="00125AFA" w:rsidRPr="00125AFA">
        <w:t xml:space="preserve">Jürgen </w:t>
      </w:r>
      <w:r w:rsidR="0019032D" w:rsidRPr="0019032D">
        <w:t xml:space="preserve">Habermas (Habermas, 2005; Habermas et al., 1974). Following Habermas, the ‘public sphere’ has come to mean the coming together of (economically) private individuals to debate and participate in the shaping of a shared set of ideas, rules, and relations and, collectively, exert a force on institutions of power and governance (Habermas, 2005). </w:t>
      </w:r>
      <w:proofErr w:type="gramStart"/>
      <w:r w:rsidR="0019032D" w:rsidRPr="0019032D">
        <w:t>In reality, the</w:t>
      </w:r>
      <w:proofErr w:type="gramEnd"/>
      <w:r w:rsidR="0019032D" w:rsidRPr="0019032D">
        <w:t xml:space="preserve"> word ‘public’ is put to many uses</w:t>
      </w:r>
      <w:r>
        <w:t xml:space="preserve">; </w:t>
      </w:r>
      <w:r w:rsidR="0019032D" w:rsidRPr="0019032D">
        <w:t>as Habermas describes it, the term is a ‘clouded amalgam’ (Habermas, 2005). ‘Public</w:t>
      </w:r>
      <w:r>
        <w:t>’</w:t>
      </w:r>
      <w:r w:rsidR="0019032D" w:rsidRPr="0019032D">
        <w:t xml:space="preserve"> is used to refer to anything from </w:t>
      </w:r>
      <w:r>
        <w:t>spaces</w:t>
      </w:r>
      <w:r w:rsidRPr="002D36E7">
        <w:t>—</w:t>
      </w:r>
      <w:r w:rsidR="009948DC">
        <w:t xml:space="preserve">including </w:t>
      </w:r>
      <w:r>
        <w:t>municipal spaces</w:t>
      </w:r>
      <w:r w:rsidR="009948DC">
        <w:t xml:space="preserve"> or</w:t>
      </w:r>
      <w:r>
        <w:t xml:space="preserve"> ‘third’ spaces like</w:t>
      </w:r>
      <w:r w:rsidR="00C56290" w:rsidRPr="00C56290">
        <w:t xml:space="preserve"> cafés</w:t>
      </w:r>
      <w:r w:rsidRPr="002D36E7">
        <w:t>—</w:t>
      </w:r>
      <w:r w:rsidR="0019032D" w:rsidRPr="0019032D">
        <w:t xml:space="preserve">to communal social arenas like the internet (De </w:t>
      </w:r>
      <w:proofErr w:type="spellStart"/>
      <w:r w:rsidR="0019032D" w:rsidRPr="0019032D">
        <w:t>Magalhães</w:t>
      </w:r>
      <w:proofErr w:type="spellEnd"/>
      <w:r w:rsidR="0019032D" w:rsidRPr="0019032D">
        <w:t>, 2010</w:t>
      </w:r>
      <w:r w:rsidR="00B01A1E">
        <w:t>:</w:t>
      </w:r>
      <w:r w:rsidR="0019032D" w:rsidRPr="0019032D">
        <w:t xml:space="preserve"> 561)</w:t>
      </w:r>
      <w:r w:rsidR="006E47D2">
        <w:t>, to ‘public opinion’</w:t>
      </w:r>
      <w:r>
        <w:t xml:space="preserve"> </w:t>
      </w:r>
      <w:r>
        <w:rPr>
          <w:noProof/>
        </w:rPr>
        <w:t>(Manza &amp; Brooks, 2012)</w:t>
      </w:r>
      <w:r>
        <w:t xml:space="preserve">. </w:t>
      </w:r>
      <w:r w:rsidR="0019032D">
        <w:t>P</w:t>
      </w:r>
      <w:r>
        <w:t>ublicness</w:t>
      </w:r>
      <w:r w:rsidR="0019032D" w:rsidRPr="0019032D">
        <w:t xml:space="preserve"> has </w:t>
      </w:r>
      <w:r w:rsidR="0019032D">
        <w:t xml:space="preserve">also </w:t>
      </w:r>
      <w:r w:rsidR="0019032D" w:rsidRPr="0019032D">
        <w:t xml:space="preserve">been </w:t>
      </w:r>
      <w:r w:rsidR="0019032D">
        <w:t>shown</w:t>
      </w:r>
      <w:r w:rsidR="00BB55FD">
        <w:t xml:space="preserve"> to come</w:t>
      </w:r>
      <w:r w:rsidR="0019032D" w:rsidRPr="0019032D">
        <w:t xml:space="preserve"> in many ‘different shades</w:t>
      </w:r>
      <w:r w:rsidR="0019032D">
        <w:t>,</w:t>
      </w:r>
      <w:r w:rsidR="0019032D" w:rsidRPr="0019032D">
        <w:t>’</w:t>
      </w:r>
      <w:r w:rsidR="0019032D">
        <w:t xml:space="preserve"> </w:t>
      </w:r>
      <w:r w:rsidR="009948DC">
        <w:t xml:space="preserve">as varying </w:t>
      </w:r>
      <w:r w:rsidR="0019032D">
        <w:t>‘degrees of ‘access,’ ‘</w:t>
      </w:r>
      <w:r w:rsidR="00BB55FD">
        <w:t>actor</w:t>
      </w:r>
      <w:r w:rsidR="0019032D">
        <w:t>’ and ‘interest’</w:t>
      </w:r>
      <w:r w:rsidR="009948DC">
        <w:t>’</w:t>
      </w:r>
      <w:r w:rsidR="0019032D">
        <w:t xml:space="preserve"> </w:t>
      </w:r>
      <w:r w:rsidR="00783DE2">
        <w:t>bring</w:t>
      </w:r>
      <w:r w:rsidR="009948DC">
        <w:t xml:space="preserve"> multiple forms of </w:t>
      </w:r>
      <w:r w:rsidR="00783DE2">
        <w:t xml:space="preserve">privateness into the public realm </w:t>
      </w:r>
      <w:r w:rsidR="00B01A1E">
        <w:rPr>
          <w:noProof/>
        </w:rPr>
        <w:t>(Akkar, 2005:</w:t>
      </w:r>
      <w:r w:rsidR="0019032D">
        <w:rPr>
          <w:noProof/>
        </w:rPr>
        <w:t xml:space="preserve"> 16)</w:t>
      </w:r>
      <w:r w:rsidR="00783DE2">
        <w:rPr>
          <w:noProof/>
        </w:rPr>
        <w:t xml:space="preserve">. In many contemporary public spaces, the </w:t>
      </w:r>
      <w:r w:rsidR="00F35569">
        <w:rPr>
          <w:noProof/>
        </w:rPr>
        <w:t>decreasing role of state actors in favour of private or voluntary actors</w:t>
      </w:r>
      <w:r w:rsidR="00783DE2">
        <w:rPr>
          <w:noProof/>
        </w:rPr>
        <w:t xml:space="preserve"> has been </w:t>
      </w:r>
      <w:r w:rsidR="00C56290" w:rsidRPr="00C56290">
        <w:rPr>
          <w:noProof/>
        </w:rPr>
        <w:t>referred</w:t>
      </w:r>
      <w:r w:rsidR="00C56290">
        <w:rPr>
          <w:noProof/>
        </w:rPr>
        <w:t xml:space="preserve"> </w:t>
      </w:r>
      <w:r w:rsidR="00F35569">
        <w:rPr>
          <w:noProof/>
        </w:rPr>
        <w:t xml:space="preserve">to as the </w:t>
      </w:r>
      <w:r w:rsidR="00783DE2">
        <w:rPr>
          <w:noProof/>
        </w:rPr>
        <w:t>‘contract</w:t>
      </w:r>
      <w:r w:rsidR="00F35569">
        <w:rPr>
          <w:noProof/>
        </w:rPr>
        <w:t>ing</w:t>
      </w:r>
      <w:r w:rsidR="00783DE2">
        <w:rPr>
          <w:noProof/>
        </w:rPr>
        <w:t>-out</w:t>
      </w:r>
      <w:r w:rsidR="00783DE2">
        <w:t xml:space="preserve">’ </w:t>
      </w:r>
      <w:r w:rsidR="00F35569">
        <w:t xml:space="preserve">of publicness </w:t>
      </w:r>
      <w:r w:rsidR="00783DE2">
        <w:t xml:space="preserve">(De </w:t>
      </w:r>
      <w:proofErr w:type="spellStart"/>
      <w:r w:rsidR="00783DE2">
        <w:t>Magalhães</w:t>
      </w:r>
      <w:proofErr w:type="spellEnd"/>
      <w:r w:rsidR="00783DE2">
        <w:t>, 2010)</w:t>
      </w:r>
      <w:r w:rsidR="00F35569">
        <w:t>.</w:t>
      </w:r>
      <w:r w:rsidR="00783DE2">
        <w:t xml:space="preserve"> </w:t>
      </w:r>
    </w:p>
    <w:p w14:paraId="4D2C0B67" w14:textId="4D679571" w:rsidR="0019032D" w:rsidRPr="0019032D" w:rsidRDefault="00A77E88" w:rsidP="00357B70">
      <w:r>
        <w:t>A</w:t>
      </w:r>
      <w:r w:rsidR="00F35569">
        <w:t xml:space="preserve"> space is commonly understood as public when it is imagined </w:t>
      </w:r>
      <w:proofErr w:type="gramStart"/>
      <w:r w:rsidR="00F35569">
        <w:t>to furnish</w:t>
      </w:r>
      <w:proofErr w:type="gramEnd"/>
      <w:r w:rsidR="00F35569">
        <w:t xml:space="preserve"> a widely distributed set of people</w:t>
      </w:r>
      <w:r w:rsidR="002D36E7">
        <w:t xml:space="preserve"> </w:t>
      </w:r>
      <w:r w:rsidR="00F35569">
        <w:t>with a</w:t>
      </w:r>
      <w:r w:rsidR="008065B9">
        <w:t>ccess to a</w:t>
      </w:r>
      <w:r w:rsidR="00F35569">
        <w:t xml:space="preserve"> </w:t>
      </w:r>
      <w:r w:rsidR="0019032D" w:rsidRPr="0019032D">
        <w:t>collective asset (whether organised through the state or otherwise)</w:t>
      </w:r>
      <w:r w:rsidR="008065B9">
        <w:t>: a park, a library, a municipal museum</w:t>
      </w:r>
      <w:r w:rsidR="0019032D" w:rsidRPr="0019032D">
        <w:t>.</w:t>
      </w:r>
      <w:r w:rsidR="000D7035">
        <w:t xml:space="preserve"> It follows that experiences are most readily conceived of as public when they are marked by an apparent social openness and inclusivity </w:t>
      </w:r>
      <w:r w:rsidR="007F0D98">
        <w:t>in both form and content</w:t>
      </w:r>
      <w:r>
        <w:t>, and/or when they are rooted in a space that reads as public</w:t>
      </w:r>
      <w:r w:rsidR="007F0D98">
        <w:t>.</w:t>
      </w:r>
      <w:r w:rsidR="0019032D" w:rsidRPr="0019032D">
        <w:t xml:space="preserve"> To the extent that these criteria are apparent in experiences of organisations,</w:t>
      </w:r>
      <w:r w:rsidR="002D36E7">
        <w:t xml:space="preserve"> like art galleries, claims of publicness</w:t>
      </w:r>
      <w:r w:rsidR="0019032D" w:rsidRPr="0019032D">
        <w:t xml:space="preserve"> </w:t>
      </w:r>
      <w:r w:rsidR="008065B9">
        <w:t>appear legitimate</w:t>
      </w:r>
      <w:r w:rsidR="0019032D" w:rsidRPr="0019032D">
        <w:t xml:space="preserve">.  </w:t>
      </w:r>
    </w:p>
    <w:p w14:paraId="2DBE4EC7" w14:textId="2AE9A56D" w:rsidR="0019032D" w:rsidRPr="0019032D" w:rsidRDefault="00B0132E" w:rsidP="00357B70">
      <w:r w:rsidRPr="00B0132E">
        <w:t>State-funded art galleries have a vested interest pr</w:t>
      </w:r>
      <w:r>
        <w:t xml:space="preserve">esenting their spaces as public, and a scan of UK gallery mission statements revels ‘publicness’ as a recurring trope.  </w:t>
      </w:r>
      <w:r w:rsidR="0019032D" w:rsidRPr="0019032D">
        <w:t xml:space="preserve">This is reflective of the current discursive and policy context </w:t>
      </w:r>
      <w:r w:rsidR="00C56290">
        <w:t>that</w:t>
      </w:r>
      <w:r w:rsidR="00C56290" w:rsidRPr="0019032D">
        <w:t xml:space="preserve"> </w:t>
      </w:r>
      <w:r w:rsidR="0019032D" w:rsidRPr="0019032D">
        <w:t xml:space="preserve">promotes broadening access to arts and culture to an ever wider set </w:t>
      </w:r>
      <w:r w:rsidR="0019032D" w:rsidRPr="0019032D">
        <w:lastRenderedPageBreak/>
        <w:t>of people (</w:t>
      </w:r>
      <w:proofErr w:type="spellStart"/>
      <w:r w:rsidR="0019032D" w:rsidRPr="0019032D">
        <w:t>Jancovich</w:t>
      </w:r>
      <w:proofErr w:type="spellEnd"/>
      <w:r w:rsidR="0019032D" w:rsidRPr="0019032D">
        <w:t xml:space="preserve">, 2011). Art Council England’s Strategic Framework 2010-2020, which disciplines the professional field of English </w:t>
      </w:r>
      <w:proofErr w:type="spellStart"/>
      <w:r w:rsidR="0019032D" w:rsidRPr="0019032D">
        <w:t>publically</w:t>
      </w:r>
      <w:proofErr w:type="spellEnd"/>
      <w:r w:rsidR="00C56290">
        <w:t xml:space="preserve"> </w:t>
      </w:r>
      <w:r w:rsidR="0019032D" w:rsidRPr="0019032D">
        <w:t>funded cultural organisations, therefore made a core principle that ‘the cultural sector…strives to engage the public’ (Arts Council England, 2013</w:t>
      </w:r>
      <w:r w:rsidR="00B01A1E">
        <w:t>:</w:t>
      </w:r>
      <w:r w:rsidR="0019032D" w:rsidRPr="0019032D">
        <w:t xml:space="preserve"> 07). As such, state-funded, non-commercial art ga</w:t>
      </w:r>
      <w:r w:rsidR="002D36E7">
        <w:t>lleries are in the business of publicness,</w:t>
      </w:r>
      <w:r w:rsidR="0019032D" w:rsidRPr="0019032D">
        <w:t xml:space="preserve"> with much professional activity and resources invested in ‘outreach’ and ‘participation’ (Jensen, 2013). In addition, art galleries—typically their marketing teams—seek to ‘perform their function of acting</w:t>
      </w:r>
      <w:proofErr w:type="gramStart"/>
      <w:r w:rsidR="0019032D" w:rsidRPr="0019032D">
        <w:t>…‘</w:t>
      </w:r>
      <w:proofErr w:type="gramEnd"/>
      <w:r w:rsidR="0019032D" w:rsidRPr="0019032D">
        <w:t>for the public benefit’’</w:t>
      </w:r>
      <w:r w:rsidR="00BB55FD">
        <w:t>, that is, to make convincing their success in realising their public mandate</w:t>
      </w:r>
      <w:r w:rsidR="0019032D" w:rsidRPr="0019032D">
        <w:t xml:space="preserve"> (McLean &amp; O'Neill, 2009).</w:t>
      </w:r>
      <w:r>
        <w:t xml:space="preserve"> This manifests in </w:t>
      </w:r>
      <w:r w:rsidR="009A49AA">
        <w:t xml:space="preserve">programming, </w:t>
      </w:r>
      <w:r>
        <w:t>architectural</w:t>
      </w:r>
      <w:r w:rsidR="009A49AA">
        <w:t>,</w:t>
      </w:r>
      <w:r>
        <w:t xml:space="preserve"> and design choices (Harris, 2022: 323). </w:t>
      </w:r>
    </w:p>
    <w:p w14:paraId="78E0F265" w14:textId="2E1B17D6" w:rsidR="0019032D" w:rsidRPr="0019032D" w:rsidRDefault="0019032D" w:rsidP="00357B70">
      <w:r w:rsidRPr="0019032D">
        <w:t xml:space="preserve">This is only the most recent chapter of art galleries and their publics. As Rhiannon Mason argues, ‘from the mid‐18th century to the present day, the argument that museums [and art galleries] should be ‘for the people’ has been a recurrent one’ </w:t>
      </w:r>
      <w:r w:rsidR="004A5A37">
        <w:rPr>
          <w:noProof/>
        </w:rPr>
        <w:t>(Mason, 2004</w:t>
      </w:r>
      <w:r w:rsidR="00B01A1E">
        <w:rPr>
          <w:noProof/>
        </w:rPr>
        <w:t>:</w:t>
      </w:r>
      <w:r w:rsidR="004A5A37">
        <w:rPr>
          <w:noProof/>
        </w:rPr>
        <w:t xml:space="preserve"> 56)</w:t>
      </w:r>
      <w:r w:rsidRPr="0019032D">
        <w:t>. Throughout the 19</w:t>
      </w:r>
      <w:r w:rsidRPr="0019032D">
        <w:rPr>
          <w:vertAlign w:val="superscript"/>
        </w:rPr>
        <w:t>th</w:t>
      </w:r>
      <w:r w:rsidRPr="0019032D">
        <w:t xml:space="preserve"> century the ‘public’ to which art galleries addressed themselves was broadened through parliamentary, media and professional debates over the role of galleries in society, and galleries such as the National Gallery (London) were developed (Whitehead, 2005)</w:t>
      </w:r>
      <w:r w:rsidR="002D36E7">
        <w:t>. Contemporary discourses of publicness</w:t>
      </w:r>
      <w:r w:rsidRPr="0019032D">
        <w:t xml:space="preserve"> are the result of this ongoing, and analytically well-trodden, negotiation between cultural organisati</w:t>
      </w:r>
      <w:r w:rsidR="002D36E7">
        <w:t>ons and notions of the public.</w:t>
      </w:r>
    </w:p>
    <w:p w14:paraId="0C9588CC" w14:textId="778C7E74" w:rsidR="009D53B9" w:rsidRDefault="009A49AA" w:rsidP="00CE4A7F">
      <w:r w:rsidRPr="009A49AA">
        <w:t xml:space="preserve">Sociological analysis of art galleries and their publics </w:t>
      </w:r>
      <w:r>
        <w:t>has</w:t>
      </w:r>
      <w:r w:rsidRPr="009A49AA">
        <w:t xml:space="preserve"> three main concerns: the association between art galleries and publics writ large</w:t>
      </w:r>
      <w:r>
        <w:t xml:space="preserve"> throughout history </w:t>
      </w:r>
      <w:r w:rsidRPr="009A49AA">
        <w:t>(Coombes, 2012; Duncan, 1995, 2004, 2013; Kaplan, 2006; Macdonald, 2012; McClellan, 1999; Mukerji, 2017; Prior, 2002); audience composition</w:t>
      </w:r>
      <w:r>
        <w:t xml:space="preserve"> </w:t>
      </w:r>
      <w:r w:rsidRPr="009A49AA">
        <w:t xml:space="preserve">(Bourdieu &amp; </w:t>
      </w:r>
      <w:proofErr w:type="spellStart"/>
      <w:r w:rsidRPr="009A49AA">
        <w:t>Darbel</w:t>
      </w:r>
      <w:proofErr w:type="spellEnd"/>
      <w:r w:rsidRPr="009A49AA">
        <w:t>, 1997); and policy and</w:t>
      </w:r>
      <w:r>
        <w:t xml:space="preserve"> its impact on public-facing</w:t>
      </w:r>
      <w:r w:rsidRPr="009A49AA">
        <w:t xml:space="preserve"> practice</w:t>
      </w:r>
      <w:r>
        <w:t xml:space="preserve">s </w:t>
      </w:r>
      <w:r w:rsidRPr="009A49AA">
        <w:t>(</w:t>
      </w:r>
      <w:proofErr w:type="spellStart"/>
      <w:r w:rsidRPr="009A49AA">
        <w:t>Jancovich</w:t>
      </w:r>
      <w:proofErr w:type="spellEnd"/>
      <w:r w:rsidRPr="009A49AA">
        <w:t>, 2011, 2017</w:t>
      </w:r>
      <w:r>
        <w:t>; Jensen, 2013</w:t>
      </w:r>
      <w:r w:rsidRPr="009A49AA">
        <w:t>).</w:t>
      </w:r>
      <w:r>
        <w:t xml:space="preserve"> </w:t>
      </w:r>
      <w:r w:rsidR="00637F7A" w:rsidRPr="00637F7A">
        <w:t>Of these approaches, Bourdieu’s study of the exclusions that characterise art gallery publics has proved the most theoretically consequential, framing understanding</w:t>
      </w:r>
      <w:r w:rsidR="00796B3E">
        <w:t>s</w:t>
      </w:r>
      <w:r w:rsidR="00637F7A" w:rsidRPr="00637F7A">
        <w:t xml:space="preserve"> of how galleries reinforce class-based distinctions in wider publics, discipline taste, and unevenly distribute cultural capital (Bourdieu &amp; </w:t>
      </w:r>
      <w:proofErr w:type="spellStart"/>
      <w:r w:rsidR="00637F7A" w:rsidRPr="00637F7A">
        <w:t>Darbel</w:t>
      </w:r>
      <w:proofErr w:type="spellEnd"/>
      <w:r w:rsidR="00637F7A" w:rsidRPr="00637F7A">
        <w:t xml:space="preserve">, 1997; Grenfell and Hardy, 2007: 65-107; Lehnert, 2018). </w:t>
      </w:r>
      <w:r w:rsidR="009D53B9" w:rsidRPr="009D53B9">
        <w:t xml:space="preserve">Studies of gallery architecture and its relationship to public-formation usefully turn this analysis towards the production of art spaces (MacLeod, 2013: 176-186; Patterson, 2020). </w:t>
      </w:r>
      <w:r w:rsidR="00CE4A7F" w:rsidRPr="00CE4A7F">
        <w:t>Taken together, these studies tend to use publicness as a standard against which art audiences, policies, institutional practices</w:t>
      </w:r>
      <w:r w:rsidR="009D53B9">
        <w:t>, and spaces</w:t>
      </w:r>
      <w:r w:rsidR="00637F7A">
        <w:t xml:space="preserve"> </w:t>
      </w:r>
      <w:r w:rsidR="00CE4A7F" w:rsidRPr="00CE4A7F">
        <w:t xml:space="preserve">can be measured. </w:t>
      </w:r>
      <w:r w:rsidR="009D53B9">
        <w:t xml:space="preserve">However, </w:t>
      </w:r>
      <w:r w:rsidR="009D53B9" w:rsidRPr="009D53B9">
        <w:t xml:space="preserve">amidst all this countervailing </w:t>
      </w:r>
      <w:r w:rsidR="006D19B8">
        <w:t xml:space="preserve">sociological </w:t>
      </w:r>
      <w:r w:rsidR="009D53B9" w:rsidRPr="009D53B9">
        <w:t xml:space="preserve">evidence, </w:t>
      </w:r>
      <w:r w:rsidR="001630C2">
        <w:t xml:space="preserve">state-funded art </w:t>
      </w:r>
      <w:r w:rsidR="005B39F7">
        <w:t>galleries continue to perform publicness</w:t>
      </w:r>
      <w:r w:rsidR="009D53B9" w:rsidRPr="009D53B9">
        <w:t>.</w:t>
      </w:r>
      <w:r w:rsidR="001630C2">
        <w:t xml:space="preserve"> H</w:t>
      </w:r>
      <w:r w:rsidR="006D19B8">
        <w:t xml:space="preserve">ow art galleries make </w:t>
      </w:r>
      <w:r w:rsidR="001630C2">
        <w:t xml:space="preserve">credible </w:t>
      </w:r>
      <w:r w:rsidR="006D19B8">
        <w:t xml:space="preserve">their claims of publicness </w:t>
      </w:r>
      <w:proofErr w:type="gramStart"/>
      <w:r w:rsidR="006D19B8">
        <w:t>has</w:t>
      </w:r>
      <w:proofErr w:type="gramEnd"/>
      <w:r w:rsidR="006D19B8">
        <w:t xml:space="preserve"> been studied less comprehensively than the general critique of such claims. This is </w:t>
      </w:r>
      <w:r w:rsidR="001630C2">
        <w:t>my concern in this paper, and it hinges on</w:t>
      </w:r>
      <w:r w:rsidR="006D19B8">
        <w:t xml:space="preserve"> taking a different approach to publicness</w:t>
      </w:r>
      <w:r w:rsidR="006D19B8" w:rsidRPr="006D19B8">
        <w:t>—</w:t>
      </w:r>
      <w:r w:rsidR="001630C2">
        <w:t xml:space="preserve">publicness as a </w:t>
      </w:r>
      <w:r w:rsidR="001630C2" w:rsidRPr="001630C2">
        <w:t>phenomenological achievement</w:t>
      </w:r>
      <w:r w:rsidR="001630C2">
        <w:t>.</w:t>
      </w:r>
    </w:p>
    <w:p w14:paraId="2466D306" w14:textId="038D80B0" w:rsidR="00BB55FD" w:rsidRPr="00357B70" w:rsidRDefault="00BB55FD" w:rsidP="00357B70">
      <w:pPr>
        <w:pStyle w:val="Heading3"/>
      </w:pPr>
      <w:r>
        <w:lastRenderedPageBreak/>
        <w:t xml:space="preserve">Art Gallery </w:t>
      </w:r>
      <w:r w:rsidRPr="00BB55FD">
        <w:t>Privateness</w:t>
      </w:r>
    </w:p>
    <w:p w14:paraId="728C06DE" w14:textId="45F9B089" w:rsidR="000D7035" w:rsidRDefault="000D7035" w:rsidP="00357B70">
      <w:r>
        <w:t>Br</w:t>
      </w:r>
      <w:r w:rsidR="00B47C97">
        <w:t xml:space="preserve">oadly speaking, the </w:t>
      </w:r>
      <w:r>
        <w:t xml:space="preserve">private is defined by its </w:t>
      </w:r>
      <w:r w:rsidRPr="000D7035">
        <w:t>‘conventional opposition to the ‘public</w:t>
      </w:r>
      <w:r>
        <w:t>,</w:t>
      </w:r>
      <w:r w:rsidRPr="000D7035">
        <w:t>’’</w:t>
      </w:r>
      <w:r>
        <w:t xml:space="preserve"> and by its association with </w:t>
      </w:r>
      <w:r w:rsidRPr="000D7035">
        <w:t>‘a bourgeois view of life</w:t>
      </w:r>
      <w:r>
        <w:t>’ which values ‘</w:t>
      </w:r>
      <w:r w:rsidRPr="000D7035">
        <w:t>seclus</w:t>
      </w:r>
      <w:r w:rsidR="00B47C97">
        <w:t>ion and protection from others</w:t>
      </w:r>
      <w:r w:rsidRPr="000D7035">
        <w:t xml:space="preserve">’ </w:t>
      </w:r>
      <w:r>
        <w:rPr>
          <w:noProof/>
        </w:rPr>
        <w:t>(Williams, 1983</w:t>
      </w:r>
      <w:r w:rsidR="00B01A1E">
        <w:rPr>
          <w:noProof/>
        </w:rPr>
        <w:t>: 242-</w:t>
      </w:r>
      <w:r>
        <w:rPr>
          <w:noProof/>
        </w:rPr>
        <w:t>3)</w:t>
      </w:r>
      <w:r>
        <w:t xml:space="preserve">. This seclusion is often experienced as intimacy, and ‘privateness’ runs on a parallel track to the ‘personal’ </w:t>
      </w:r>
      <w:r>
        <w:rPr>
          <w:noProof/>
        </w:rPr>
        <w:t>(Williams, 1983</w:t>
      </w:r>
      <w:r w:rsidR="00B01A1E">
        <w:rPr>
          <w:noProof/>
        </w:rPr>
        <w:t>:</w:t>
      </w:r>
      <w:r>
        <w:rPr>
          <w:noProof/>
        </w:rPr>
        <w:t xml:space="preserve"> 243)</w:t>
      </w:r>
      <w:r>
        <w:t xml:space="preserve">. </w:t>
      </w:r>
      <w:r w:rsidR="00972D8C">
        <w:t>As an umbrella term, therefore, privateness covers everything from</w:t>
      </w:r>
      <w:r w:rsidR="00972D8C" w:rsidRPr="00972D8C">
        <w:t xml:space="preserve"> the spaces of the self, such as the mind, the body</w:t>
      </w:r>
      <w:r w:rsidR="00C56290">
        <w:t>,</w:t>
      </w:r>
      <w:r w:rsidR="00972D8C" w:rsidRPr="00972D8C">
        <w:t xml:space="preserve"> and the home </w:t>
      </w:r>
      <w:r w:rsidR="00D82963">
        <w:rPr>
          <w:noProof/>
        </w:rPr>
        <w:t>(Madanipour, 2003)</w:t>
      </w:r>
      <w:r w:rsidR="00D82963">
        <w:t xml:space="preserve">, to private wealth and the private sector. It follows that experiences are most readily conceived of as private when they are intimate, personal, and exclusionary. A convincing display of privateness therefore requires </w:t>
      </w:r>
      <w:r w:rsidR="00D82963" w:rsidRPr="00D82963">
        <w:t xml:space="preserve">the deliberate and conspicuous display of social exclusivity, </w:t>
      </w:r>
      <w:r w:rsidR="00B47C97">
        <w:t>and a ‘protection</w:t>
      </w:r>
      <w:r w:rsidR="00D82963" w:rsidRPr="00D82963">
        <w:t>’ from the generalised public.</w:t>
      </w:r>
    </w:p>
    <w:p w14:paraId="639C2D2B" w14:textId="749836A7" w:rsidR="00BB55FD" w:rsidRPr="00BB55FD" w:rsidRDefault="00BB55FD" w:rsidP="00357B70">
      <w:r>
        <w:t>Privateness takes multiple forms in the art gallery.</w:t>
      </w:r>
      <w:r w:rsidRPr="00BB55FD">
        <w:t xml:space="preserve"> Firstly, following Bourdieu, the art gallery throughout history can be understood as the reserve of privileged classes and thus an instrument in the p</w:t>
      </w:r>
      <w:r w:rsidR="006A29DA">
        <w:t>rotection of bourgeois private</w:t>
      </w:r>
      <w:r w:rsidRPr="00BB55FD">
        <w:t xml:space="preserve"> interests</w:t>
      </w:r>
      <w:r w:rsidR="00674C72">
        <w:t xml:space="preserve"> </w:t>
      </w:r>
      <w:r w:rsidR="00674C72">
        <w:rPr>
          <w:noProof/>
        </w:rPr>
        <w:t>(Bourdieu &amp; Darbel, 1997)</w:t>
      </w:r>
      <w:r w:rsidRPr="00BB55FD">
        <w:t xml:space="preserve">. Secondly, </w:t>
      </w:r>
      <w:r w:rsidR="002D36E7">
        <w:t xml:space="preserve">private or exclusive events often form part of an art gallery’s </w:t>
      </w:r>
      <w:r w:rsidR="002D36E7" w:rsidRPr="002D36E7">
        <w:t xml:space="preserve">social or commercial programme. These are often motivated by private income generation, such as the private hire of gallery spaces for weddings. </w:t>
      </w:r>
      <w:r w:rsidR="00796B3E">
        <w:t xml:space="preserve">Private patronage is a further </w:t>
      </w:r>
      <w:r w:rsidR="00A924BB">
        <w:t>form of privateness. S</w:t>
      </w:r>
      <w:r w:rsidRPr="00BB55FD">
        <w:t>tate-funded, non-commercial galleries benefit from the sponsorship or patronage of private individuals, corporations, royal, elite, or state actors, ‘gifts’ which are rewarded with ‘wall plaques and special events’ (Alexander, 2014; McClellan, 2008</w:t>
      </w:r>
      <w:r w:rsidR="00B01A1E">
        <w:t>:</w:t>
      </w:r>
      <w:r w:rsidRPr="00BB55FD">
        <w:t xml:space="preserve"> 2).</w:t>
      </w:r>
      <w:r w:rsidR="005616CE">
        <w:rPr>
          <w:rStyle w:val="FootnoteReference"/>
        </w:rPr>
        <w:footnoteReference w:id="1"/>
      </w:r>
      <w:r w:rsidRPr="00BB55FD">
        <w:t xml:space="preserve"> </w:t>
      </w:r>
      <w:r w:rsidR="00674C72" w:rsidRPr="00674C72">
        <w:t xml:space="preserve">This continues the long tradition of private patronage </w:t>
      </w:r>
      <w:r w:rsidR="00674C72">
        <w:t>that</w:t>
      </w:r>
      <w:r w:rsidR="00674C72" w:rsidRPr="00674C72">
        <w:t xml:space="preserve"> has</w:t>
      </w:r>
      <w:r w:rsidR="00674C72">
        <w:t xml:space="preserve"> economically structured cultural production</w:t>
      </w:r>
      <w:r w:rsidR="00674C72" w:rsidRPr="00674C72">
        <w:t xml:space="preserve">, and has long produced tensions in the social life that surrounds art, artists, and cultural organisations (Balfe, 1993; Baxandall, 1988; Chambers, 1970; Cooper, 1996; </w:t>
      </w:r>
      <w:proofErr w:type="spellStart"/>
      <w:r w:rsidR="00674C72" w:rsidRPr="00674C72">
        <w:t>DeNora</w:t>
      </w:r>
      <w:proofErr w:type="spellEnd"/>
      <w:r w:rsidR="00674C72" w:rsidRPr="00674C72">
        <w:t xml:space="preserve">, 1997; Garber, 2008). </w:t>
      </w:r>
      <w:r w:rsidRPr="00BB55FD">
        <w:t>This relates to the ‘market rationalism’ built into state funding of the arts which incentivises financial ‘resilience’ through the soliciting of private income and the adoption</w:t>
      </w:r>
      <w:r w:rsidR="00C56290">
        <w:t xml:space="preserve"> of</w:t>
      </w:r>
      <w:r w:rsidRPr="00BB55FD">
        <w:t xml:space="preserve"> business rationales (Greer, 2021; Gupta &amp; Gupta, 2019), often resulting in high-value, high-visibility, high-controversy sponsorship (Evans, 2015; </w:t>
      </w:r>
      <w:proofErr w:type="spellStart"/>
      <w:r w:rsidRPr="00BB55FD">
        <w:t>Kirchberg</w:t>
      </w:r>
      <w:proofErr w:type="spellEnd"/>
      <w:r w:rsidRPr="00BB55FD">
        <w:t xml:space="preserve">, 2003; Stefani &amp; </w:t>
      </w:r>
      <w:proofErr w:type="spellStart"/>
      <w:r w:rsidRPr="00BB55FD">
        <w:t>Garrard</w:t>
      </w:r>
      <w:proofErr w:type="spellEnd"/>
      <w:r w:rsidRPr="00BB55FD">
        <w:t xml:space="preserve">, 2019). </w:t>
      </w:r>
    </w:p>
    <w:p w14:paraId="797DC4E7" w14:textId="0E758BFF" w:rsidR="00BB55FD" w:rsidRPr="00BB55FD" w:rsidRDefault="00BB55FD" w:rsidP="00357B70">
      <w:r w:rsidRPr="00BB55FD">
        <w:t xml:space="preserve">All </w:t>
      </w:r>
      <w:r w:rsidR="0049665C">
        <w:t>these</w:t>
      </w:r>
      <w:r w:rsidR="0049665C" w:rsidRPr="00BB55FD">
        <w:t xml:space="preserve"> </w:t>
      </w:r>
      <w:r w:rsidRPr="00BB55FD">
        <w:t xml:space="preserve">forms of ‘privateness’ are brought together in the hosting of invite-only wine receptions, private tours and exclusive dinners for private patrons or potential patrons. The operating assumption behind such events is that private patronage flows from a uniquely close personal association with a cultural organisation. This is the ‘social identity perspective’ of arts patronage, in which private ‘gifts’ are couched within personalised relationships with the cultural organisation and contribute to the donors’ sense of self (Swanson &amp; Davis, 2006). ‘Invite-only’ events are therefore spaces in which the relational nature of this transaction plays out. These social situations require organisational displays in </w:t>
      </w:r>
      <w:r w:rsidRPr="00BB55FD">
        <w:lastRenderedPageBreak/>
        <w:t xml:space="preserve">which attendees’ experience is marked by </w:t>
      </w:r>
      <w:r w:rsidR="00A924BB">
        <w:t>privateness</w:t>
      </w:r>
      <w:r w:rsidR="00674C72">
        <w:t xml:space="preserve"> and </w:t>
      </w:r>
      <w:r w:rsidRPr="00BB55FD">
        <w:t xml:space="preserve">an elevated and elevating association with the gallery. </w:t>
      </w:r>
    </w:p>
    <w:p w14:paraId="6342A8E6" w14:textId="17A89625" w:rsidR="00C07F74" w:rsidRDefault="006A29DA" w:rsidP="00C07F74">
      <w:r>
        <w:t>It is this which make such ‘VIP’ events a</w:t>
      </w:r>
      <w:r w:rsidR="00BB55FD" w:rsidRPr="00BB55FD">
        <w:t xml:space="preserve"> useful case study for my purposes here. </w:t>
      </w:r>
      <w:r>
        <w:t>T</w:t>
      </w:r>
      <w:r w:rsidR="00BB55FD" w:rsidRPr="00BB55FD">
        <w:t xml:space="preserve">hese private </w:t>
      </w:r>
      <w:r>
        <w:t xml:space="preserve">‘VIP’ </w:t>
      </w:r>
      <w:r w:rsidR="00BB55FD" w:rsidRPr="00BB55FD">
        <w:t>contexts are made meaningful by their deliberate and conspicuous social exclusivity, and their ‘protection’ from the generalised public</w:t>
      </w:r>
      <w:r w:rsidRPr="006A29DA">
        <w:t>—</w:t>
      </w:r>
      <w:r>
        <w:t>a public that is elsewhere understood as the prope</w:t>
      </w:r>
      <w:r w:rsidR="00A924BB">
        <w:t>r beneficiaries of the gallery</w:t>
      </w:r>
      <w:r>
        <w:t>’</w:t>
      </w:r>
      <w:r w:rsidR="00A924BB">
        <w:t>s</w:t>
      </w:r>
      <w:r>
        <w:t xml:space="preserve"> work</w:t>
      </w:r>
      <w:r w:rsidR="00BB55FD" w:rsidRPr="00BB55FD">
        <w:t xml:space="preserve">. </w:t>
      </w:r>
      <w:r w:rsidR="00796B3E">
        <w:t>I</w:t>
      </w:r>
      <w:r w:rsidR="00A60234">
        <w:t>f we borrow from economics to understand art galleries and their</w:t>
      </w:r>
      <w:r w:rsidR="00796B3E">
        <w:t xml:space="preserve"> </w:t>
      </w:r>
      <w:r w:rsidR="00A60234">
        <w:t>programmes</w:t>
      </w:r>
      <w:r w:rsidR="00796B3E">
        <w:t xml:space="preserve"> as a ‘public good’</w:t>
      </w:r>
      <w:r w:rsidR="00796B3E" w:rsidRPr="00796B3E">
        <w:t>—</w:t>
      </w:r>
      <w:r w:rsidR="00796B3E">
        <w:t>that is, a ‘good in which the act of consumption by one individual does not reduce the possibility of consumption by others’ (</w:t>
      </w:r>
      <w:proofErr w:type="spellStart"/>
      <w:r w:rsidR="00796B3E">
        <w:t>Hesmondhalgh</w:t>
      </w:r>
      <w:proofErr w:type="spellEnd"/>
      <w:r w:rsidR="00796B3E">
        <w:t>, 2013: 26)</w:t>
      </w:r>
      <w:r w:rsidR="00796B3E" w:rsidRPr="00796B3E">
        <w:t>—</w:t>
      </w:r>
      <w:r w:rsidR="00796B3E">
        <w:t>then the scarcity which marks patrons</w:t>
      </w:r>
      <w:r w:rsidR="00A60234">
        <w:t>’ experiences as uniquely valuable must be produced by other means. D</w:t>
      </w:r>
      <w:r w:rsidR="00BB55FD" w:rsidRPr="00BB55FD">
        <w:t xml:space="preserve">ifferences </w:t>
      </w:r>
      <w:r w:rsidR="00A60234">
        <w:t xml:space="preserve">must be ‘cultivated’ </w:t>
      </w:r>
      <w:r w:rsidR="00BB55FD" w:rsidRPr="00BB55FD">
        <w:t xml:space="preserve">in people’s experiences of the same organisation (Lamont &amp; Fournier, 1992). How is this </w:t>
      </w:r>
      <w:r w:rsidR="008065B9">
        <w:t>achieved</w:t>
      </w:r>
      <w:r w:rsidR="008065B9" w:rsidRPr="00BB55FD">
        <w:t xml:space="preserve"> </w:t>
      </w:r>
      <w:r w:rsidR="00BB55FD" w:rsidRPr="00BB55FD">
        <w:t xml:space="preserve">in on-the-ground, interactional contexts when the </w:t>
      </w:r>
      <w:r w:rsidR="008065B9">
        <w:t>imperatives of publicness and privateness collide?</w:t>
      </w:r>
    </w:p>
    <w:p w14:paraId="60DAAB5F" w14:textId="5E64FCCA" w:rsidR="00BB55FD" w:rsidRDefault="00BB55FD" w:rsidP="00C07F74">
      <w:pPr>
        <w:pStyle w:val="Heading3"/>
      </w:pPr>
      <w:r>
        <w:t>Organisational Performance</w:t>
      </w:r>
    </w:p>
    <w:p w14:paraId="4E34C014" w14:textId="5F1A8AC0" w:rsidR="003D3438" w:rsidRDefault="00DF14F9" w:rsidP="00357B70">
      <w:r>
        <w:t>Asking</w:t>
      </w:r>
      <w:r w:rsidR="0019032D" w:rsidRPr="0019032D">
        <w:t xml:space="preserve"> how</w:t>
      </w:r>
      <w:r w:rsidR="006A29DA">
        <w:t xml:space="preserve"> art galleries balance the conflicting demands of privateness and publicness</w:t>
      </w:r>
      <w:r>
        <w:t xml:space="preserve"> on-the-ground exposes a gap in the existing literature. Most studies of privateness and/or publicness as they relate to the art gallery treat the terms as essentially issues of economics and governance. This overlooks the fact that privateness and publicness are additionally experiential categories, guides of interaction, and </w:t>
      </w:r>
      <w:r w:rsidR="005B2468">
        <w:t xml:space="preserve">codes by which social settings are made meaningful. Approaching them in this way allows us to explore how </w:t>
      </w:r>
      <w:r w:rsidR="003D3438">
        <w:t>privateness and publicness are encountered, how privatisation is made palatable, and claims of publicness</w:t>
      </w:r>
      <w:r w:rsidR="003D3438" w:rsidRPr="003D3438">
        <w:t xml:space="preserve"> credible.</w:t>
      </w:r>
    </w:p>
    <w:p w14:paraId="55DAFB0A" w14:textId="7C0D10DD" w:rsidR="009260E5" w:rsidRDefault="003D3438" w:rsidP="00357B70">
      <w:r>
        <w:t xml:space="preserve">In order to do so, I suggest that privateness and publicness are </w:t>
      </w:r>
      <w:r w:rsidRPr="003D3438">
        <w:rPr>
          <w:i/>
        </w:rPr>
        <w:t>performable</w:t>
      </w:r>
      <w:r w:rsidR="0034097F">
        <w:rPr>
          <w:i/>
        </w:rPr>
        <w:t xml:space="preserve"> </w:t>
      </w:r>
      <w:r w:rsidR="00A924BB">
        <w:t>by organisations</w:t>
      </w:r>
      <w:r w:rsidR="0034097F">
        <w:t xml:space="preserve">. </w:t>
      </w:r>
      <w:r w:rsidR="0034097F" w:rsidRPr="0034097F">
        <w:t>I am drawing on a cultural pragmatics und</w:t>
      </w:r>
      <w:r w:rsidR="009260E5">
        <w:t>erstanding of ‘performance’ as ‘</w:t>
      </w:r>
      <w:r w:rsidR="0034097F" w:rsidRPr="0034097F">
        <w:t>the social process by which actors, individually or in concert, display for others the me</w:t>
      </w:r>
      <w:r w:rsidR="009260E5">
        <w:t>aning of their social situation’</w:t>
      </w:r>
      <w:r w:rsidR="0034097F" w:rsidRPr="0034097F">
        <w:t xml:space="preserve"> (Alexander, 2004</w:t>
      </w:r>
      <w:r w:rsidR="00B01A1E">
        <w:t>:</w:t>
      </w:r>
      <w:r w:rsidR="0034097F" w:rsidRPr="0034097F">
        <w:t xml:space="preserve"> 529).</w:t>
      </w:r>
      <w:r w:rsidR="0034097F">
        <w:t xml:space="preserve"> In this case, th</w:t>
      </w:r>
      <w:r w:rsidR="0006021B">
        <w:t>e staff of an art gallery wield the means of symbolic production</w:t>
      </w:r>
      <w:r w:rsidR="00DB788C">
        <w:t xml:space="preserve">, </w:t>
      </w:r>
      <w:r w:rsidR="009948DC">
        <w:t xml:space="preserve">and collectively display the meaning of social situations </w:t>
      </w:r>
      <w:r w:rsidR="0006021B">
        <w:rPr>
          <w:noProof/>
        </w:rPr>
        <w:t>(Alexander, 2004)</w:t>
      </w:r>
      <w:r w:rsidR="0006021B">
        <w:t xml:space="preserve">. </w:t>
      </w:r>
      <w:r w:rsidR="0075184C">
        <w:t xml:space="preserve">This process of displaying the meaning of situations requires </w:t>
      </w:r>
      <w:r w:rsidR="009260E5">
        <w:t>careful planning</w:t>
      </w:r>
      <w:r w:rsidR="0075184C">
        <w:t xml:space="preserve"> and </w:t>
      </w:r>
      <w:r w:rsidR="00C56290">
        <w:t xml:space="preserve">a </w:t>
      </w:r>
      <w:r w:rsidR="009260E5" w:rsidRPr="009260E5">
        <w:t>great deal of representational work goes into this performance (McLean &amp; O'Neill, 2009)</w:t>
      </w:r>
      <w:r w:rsidR="009260E5">
        <w:t>. R</w:t>
      </w:r>
      <w:r w:rsidR="0075184C">
        <w:t>elational,</w:t>
      </w:r>
      <w:r w:rsidR="009260E5">
        <w:t xml:space="preserve"> spatial and aesthetic strategies are designed which symbolically link the situation to widely understood categories, such as the apparent openness and inclusivity which colour situations public, or the social exclusivity and intimacy which colour situations private. Such strategies and practices amount to an </w:t>
      </w:r>
      <w:r w:rsidR="009260E5" w:rsidRPr="009260E5">
        <w:rPr>
          <w:i/>
        </w:rPr>
        <w:t>organisational performance</w:t>
      </w:r>
      <w:r w:rsidR="009260E5">
        <w:t>.</w:t>
      </w:r>
      <w:r w:rsidR="00C46AC6">
        <w:rPr>
          <w:rStyle w:val="FootnoteReference"/>
        </w:rPr>
        <w:footnoteReference w:id="2"/>
      </w:r>
      <w:r w:rsidR="009260E5">
        <w:t xml:space="preserve"> </w:t>
      </w:r>
    </w:p>
    <w:p w14:paraId="343C8B86" w14:textId="4AC86CCD" w:rsidR="00C07F74" w:rsidRDefault="009260E5" w:rsidP="00265DCE">
      <w:r>
        <w:t xml:space="preserve">Organisational performances are modified </w:t>
      </w:r>
      <w:r w:rsidR="00646923">
        <w:t xml:space="preserve">in support of the different outcomes required of different social situations. This makes it important to recognise not only what an organisation does as part of </w:t>
      </w:r>
      <w:r w:rsidR="008A5159">
        <w:t>a</w:t>
      </w:r>
      <w:r w:rsidR="00646923">
        <w:t xml:space="preserve"> performance, </w:t>
      </w:r>
      <w:r w:rsidR="008A5159">
        <w:t>but also</w:t>
      </w:r>
      <w:r w:rsidR="00646923">
        <w:t xml:space="preserve"> who it has </w:t>
      </w:r>
      <w:r w:rsidR="00560CAF">
        <w:t>recruited as the target aud</w:t>
      </w:r>
      <w:r w:rsidR="00FF1E87">
        <w:t>ience</w:t>
      </w:r>
      <w:r w:rsidR="00560CAF">
        <w:t xml:space="preserve">. This requires attention to how an </w:t>
      </w:r>
      <w:r w:rsidR="00560CAF">
        <w:lastRenderedPageBreak/>
        <w:t xml:space="preserve">organisation, like an art gallery, </w:t>
      </w:r>
      <w:r w:rsidR="00A949F7">
        <w:t>creates groupings</w:t>
      </w:r>
      <w:r w:rsidR="008A5159">
        <w:t xml:space="preserve"> and cultivates differences</w:t>
      </w:r>
      <w:r w:rsidR="00A949F7">
        <w:t xml:space="preserve"> among the individuals that make up its constituents</w:t>
      </w:r>
      <w:r w:rsidR="008A5159">
        <w:t xml:space="preserve"> </w:t>
      </w:r>
      <w:r w:rsidR="008A5159">
        <w:rPr>
          <w:noProof/>
        </w:rPr>
        <w:t>(Lamont &amp; Fournier, 1992)</w:t>
      </w:r>
      <w:r w:rsidR="00A949F7">
        <w:t xml:space="preserve">. Organisational performance, as an analytical framework, must therefore be refined to </w:t>
      </w:r>
      <w:r w:rsidR="008A5159">
        <w:t xml:space="preserve">account for the </w:t>
      </w:r>
      <w:r w:rsidR="008A5159" w:rsidRPr="008A5159">
        <w:rPr>
          <w:i/>
        </w:rPr>
        <w:t>group</w:t>
      </w:r>
      <w:r w:rsidR="008A5159">
        <w:t xml:space="preserve"> as the primary unit of observation.    This focus on the group can be found in </w:t>
      </w:r>
      <w:proofErr w:type="spellStart"/>
      <w:r w:rsidR="008A5159">
        <w:t>mesosociology</w:t>
      </w:r>
      <w:proofErr w:type="spellEnd"/>
      <w:r w:rsidR="008A5159">
        <w:t xml:space="preserve">, particularly that of Gary Fine </w:t>
      </w:r>
      <w:r w:rsidR="008A5159" w:rsidRPr="008A5159">
        <w:t xml:space="preserve">(Fine, 2010, 2012, 2019; Goldfarb, 2006; </w:t>
      </w:r>
      <w:proofErr w:type="spellStart"/>
      <w:r w:rsidR="008A5159" w:rsidRPr="008A5159">
        <w:t>Maines</w:t>
      </w:r>
      <w:proofErr w:type="spellEnd"/>
      <w:r w:rsidR="008A5159" w:rsidRPr="008A5159">
        <w:t xml:space="preserve">, 1982; Smelser, 1997; Wynn, 2016). </w:t>
      </w:r>
      <w:r w:rsidR="008A5159">
        <w:t>This approach isolates the shared sets of meanings and interactional codes</w:t>
      </w:r>
      <w:r w:rsidR="00613643" w:rsidRPr="00613643">
        <w:t>—</w:t>
      </w:r>
      <w:r w:rsidR="00613643">
        <w:t>or ‘</w:t>
      </w:r>
      <w:proofErr w:type="spellStart"/>
      <w:r w:rsidR="00613643">
        <w:t>ideocultures</w:t>
      </w:r>
      <w:proofErr w:type="spellEnd"/>
      <w:r w:rsidR="00613643">
        <w:t xml:space="preserve">’ </w:t>
      </w:r>
      <w:r w:rsidR="00613643">
        <w:rPr>
          <w:noProof/>
        </w:rPr>
        <w:t>(Fine &amp; Fang, 2019)</w:t>
      </w:r>
      <w:r w:rsidR="00613643" w:rsidRPr="00613643">
        <w:t xml:space="preserve"> —</w:t>
      </w:r>
      <w:r w:rsidR="008A5159">
        <w:t xml:space="preserve">that characterise group social action as a unit of sociological analysis. </w:t>
      </w:r>
      <w:r w:rsidR="00FF1E87">
        <w:t>Organisation</w:t>
      </w:r>
      <w:r w:rsidR="00A924BB">
        <w:t>al</w:t>
      </w:r>
      <w:r w:rsidR="00FF1E87">
        <w:t xml:space="preserve"> performances therefore hinge on their success in </w:t>
      </w:r>
      <w:r w:rsidR="00C07F74">
        <w:t>installing sets of meanings into groups of people</w:t>
      </w:r>
      <w:r w:rsidR="00FF1E87">
        <w:t xml:space="preserve">. </w:t>
      </w:r>
    </w:p>
    <w:p w14:paraId="011D0494" w14:textId="7A1DA376" w:rsidR="00265DCE" w:rsidRPr="00265DCE" w:rsidRDefault="00FF1E87" w:rsidP="00265DCE">
      <w:r>
        <w:t xml:space="preserve">Fine offers three scaffolds of group interaction </w:t>
      </w:r>
      <w:r w:rsidR="00DB788C">
        <w:t xml:space="preserve">that </w:t>
      </w:r>
      <w:r>
        <w:t xml:space="preserve">can be taken as the key variables of organisational performances: </w:t>
      </w:r>
      <w:r w:rsidRPr="00FF1E87">
        <w:rPr>
          <w:i/>
        </w:rPr>
        <w:t>arenas</w:t>
      </w:r>
      <w:r w:rsidRPr="00FF1E87">
        <w:t>,</w:t>
      </w:r>
      <w:r w:rsidRPr="00FF1E87">
        <w:rPr>
          <w:i/>
        </w:rPr>
        <w:t xml:space="preserve"> relations</w:t>
      </w:r>
      <w:r w:rsidRPr="00FF1E87">
        <w:t>, and</w:t>
      </w:r>
      <w:r w:rsidRPr="00FF1E87">
        <w:rPr>
          <w:i/>
        </w:rPr>
        <w:t xml:space="preserve"> histories</w:t>
      </w:r>
      <w:r>
        <w:t xml:space="preserve"> </w:t>
      </w:r>
      <w:r w:rsidRPr="00FF1E87">
        <w:t>(Fine, 2012</w:t>
      </w:r>
      <w:r w:rsidR="00B01A1E">
        <w:t>: 165-</w:t>
      </w:r>
      <w:r w:rsidRPr="00FF1E87">
        <w:t>9).</w:t>
      </w:r>
      <w:r w:rsidR="0006021B">
        <w:rPr>
          <w:rStyle w:val="FootnoteReference"/>
        </w:rPr>
        <w:footnoteReference w:id="3"/>
      </w:r>
      <w:r>
        <w:t xml:space="preserve"> </w:t>
      </w:r>
      <w:r w:rsidR="00265DCE" w:rsidRPr="00265DCE">
        <w:t xml:space="preserve">Firstly, the setting or space in which the group </w:t>
      </w:r>
      <w:r w:rsidR="00DB788C">
        <w:t>comes together</w:t>
      </w:r>
      <w:r w:rsidR="00265DCE" w:rsidRPr="00265DCE">
        <w:t xml:space="preserve">, or the </w:t>
      </w:r>
      <w:r w:rsidR="00265DCE" w:rsidRPr="00265DCE">
        <w:rPr>
          <w:i/>
        </w:rPr>
        <w:t>arena</w:t>
      </w:r>
      <w:r w:rsidR="00265DCE" w:rsidRPr="00265DCE">
        <w:t>, sets material limits on the group and furnishes it with a set of ‘opportunities and understandings’ (Fine, 2012</w:t>
      </w:r>
      <w:r w:rsidR="00B01A1E">
        <w:t>:</w:t>
      </w:r>
      <w:r w:rsidR="00265DCE" w:rsidRPr="00265DCE">
        <w:t xml:space="preserve"> 165). The ‘behaviours, thoughts, and emotions’ that circulate within the group are informed by this shared space and its material and symbolic properties (Fine, 2012</w:t>
      </w:r>
      <w:r w:rsidR="00B01A1E">
        <w:t>:</w:t>
      </w:r>
      <w:r w:rsidR="00265DCE" w:rsidRPr="00265DCE">
        <w:t xml:space="preserve"> 165). Secondly, the character of relationships between members of the group, or the </w:t>
      </w:r>
      <w:r w:rsidR="00265DCE" w:rsidRPr="00265DCE">
        <w:rPr>
          <w:i/>
        </w:rPr>
        <w:t>relations</w:t>
      </w:r>
      <w:r w:rsidR="00265DCE" w:rsidRPr="00265DCE">
        <w:t>, establishes the ‘interactional map’ or ‘social cartography’ within the group of participants (Fine, 201</w:t>
      </w:r>
      <w:r w:rsidR="001E7E65">
        <w:t>2</w:t>
      </w:r>
      <w:r w:rsidR="00B01A1E">
        <w:t>: 167-</w:t>
      </w:r>
      <w:r w:rsidR="00265DCE" w:rsidRPr="00265DCE">
        <w:t xml:space="preserve">8). This could mean weak or strong inter-group ties, formal or informal interactions, or established or fleeting relations. Finally, a set of common reference points, or </w:t>
      </w:r>
      <w:r w:rsidR="00265DCE" w:rsidRPr="00265DCE">
        <w:rPr>
          <w:i/>
        </w:rPr>
        <w:t>shared histories</w:t>
      </w:r>
      <w:r w:rsidR="00265DCE" w:rsidRPr="00265DCE">
        <w:t xml:space="preserve">, are distributed among participants, allowing it to be conceived of as a meaningful, if temporary, </w:t>
      </w:r>
      <w:proofErr w:type="spellStart"/>
      <w:r w:rsidR="00265DCE" w:rsidRPr="00265DCE">
        <w:t>microcommunity</w:t>
      </w:r>
      <w:proofErr w:type="spellEnd"/>
      <w:r w:rsidR="00265DCE" w:rsidRPr="00265DCE">
        <w:t xml:space="preserve"> (Fine, 2012</w:t>
      </w:r>
      <w:r w:rsidR="00B01A1E">
        <w:t>:</w:t>
      </w:r>
      <w:r w:rsidR="00265DCE" w:rsidRPr="00265DCE">
        <w:t xml:space="preserve"> 169). This common past can either be directly related to previously shared group experiences (</w:t>
      </w:r>
      <w:proofErr w:type="gramStart"/>
      <w:r w:rsidR="00265DCE" w:rsidRPr="00265DCE">
        <w:t>e.g.</w:t>
      </w:r>
      <w:proofErr w:type="gramEnd"/>
      <w:r w:rsidR="00265DCE" w:rsidRPr="00265DCE">
        <w:t xml:space="preserve"> a class reunion), or can be a shared relationship to a wider history which has pulled them together at this event (e.g. attendees of a gig). </w:t>
      </w:r>
      <w:r w:rsidR="00C07F74">
        <w:t xml:space="preserve">All three of </w:t>
      </w:r>
      <w:r w:rsidR="00C07F74" w:rsidRPr="00C07F74">
        <w:rPr>
          <w:i/>
        </w:rPr>
        <w:t>arenas</w:t>
      </w:r>
      <w:r w:rsidR="00C07F74" w:rsidRPr="00C07F74">
        <w:t>,</w:t>
      </w:r>
      <w:r w:rsidR="00C07F74" w:rsidRPr="00C07F74">
        <w:rPr>
          <w:i/>
        </w:rPr>
        <w:t xml:space="preserve"> relations</w:t>
      </w:r>
      <w:r w:rsidR="00C07F74" w:rsidRPr="00C07F74">
        <w:t>, and</w:t>
      </w:r>
      <w:r w:rsidR="00C07F74" w:rsidRPr="00C07F74">
        <w:rPr>
          <w:i/>
        </w:rPr>
        <w:t xml:space="preserve"> histories</w:t>
      </w:r>
      <w:r w:rsidR="00C07F74">
        <w:rPr>
          <w:i/>
        </w:rPr>
        <w:t xml:space="preserve"> </w:t>
      </w:r>
      <w:r w:rsidR="00C07F74">
        <w:t>are concentrated in the ‘occasions’ when groups of people come together</w:t>
      </w:r>
      <w:r w:rsidR="0006021B">
        <w:t xml:space="preserve"> </w:t>
      </w:r>
      <w:r w:rsidR="0006021B">
        <w:rPr>
          <w:noProof/>
        </w:rPr>
        <w:t>(Wynn, 2016)</w:t>
      </w:r>
      <w:r w:rsidR="00C07F74">
        <w:t>, and it follows that an occasion like a private view offers a useful framing devi</w:t>
      </w:r>
      <w:r w:rsidR="00C56290">
        <w:t>c</w:t>
      </w:r>
      <w:r w:rsidR="00C07F74">
        <w:t>e for a study of group-oriented organisational performances.</w:t>
      </w:r>
    </w:p>
    <w:p w14:paraId="1B445285" w14:textId="03D522B1" w:rsidR="00613643" w:rsidRPr="00265DCE" w:rsidRDefault="00265DCE" w:rsidP="00357B70">
      <w:r>
        <w:t xml:space="preserve">This offers a rubric for studying how organisations furnish different social contexts with different, even conflicting, sets of meanings. </w:t>
      </w:r>
      <w:r w:rsidR="00BE78EC">
        <w:t>Organisational performances are multi</w:t>
      </w:r>
      <w:r w:rsidR="00891BC6">
        <w:t>-</w:t>
      </w:r>
      <w:r w:rsidR="00BE78EC">
        <w:t xml:space="preserve">vocal, and analysis must be attentive to the subtle inflections in performance that shift their meaningful and experiential parameters. In the case of this paper, these shifts respond to the different symbolic demands of privateness and publicness, and the perceived relationship between them. </w:t>
      </w:r>
      <w:r>
        <w:rPr>
          <w:i/>
        </w:rPr>
        <w:t xml:space="preserve"> </w:t>
      </w:r>
    </w:p>
    <w:p w14:paraId="09C48C8E" w14:textId="77777777" w:rsidR="00BE78EC" w:rsidRPr="00BE78EC" w:rsidRDefault="00BE78EC" w:rsidP="00A924BB">
      <w:pPr>
        <w:pStyle w:val="Heading2"/>
      </w:pPr>
      <w:r w:rsidRPr="00BE78EC">
        <w:t>Data and methods</w:t>
      </w:r>
    </w:p>
    <w:p w14:paraId="0DD17E1B" w14:textId="68D5C8EC" w:rsidR="00212BE7" w:rsidRDefault="00807517" w:rsidP="00BE78EC">
      <w:r>
        <w:t>My interest in</w:t>
      </w:r>
      <w:r w:rsidR="00715162">
        <w:t xml:space="preserve"> privateness and publicness emer</w:t>
      </w:r>
      <w:r w:rsidR="00901DE4">
        <w:t>ged over the course of a</w:t>
      </w:r>
      <w:r w:rsidR="00901DE4" w:rsidRPr="00901DE4">
        <w:t xml:space="preserve"> fourteen-month </w:t>
      </w:r>
      <w:r w:rsidR="00901DE4">
        <w:t>ethnography of an</w:t>
      </w:r>
      <w:r w:rsidR="00901DE4" w:rsidRPr="00901DE4">
        <w:t xml:space="preserve"> art gallery</w:t>
      </w:r>
      <w:r w:rsidR="00901DE4">
        <w:t xml:space="preserve"> in the northwest of England. </w:t>
      </w:r>
      <w:r w:rsidR="00E364E3">
        <w:t>A</w:t>
      </w:r>
      <w:r w:rsidR="006B6361">
        <w:t>s I observed offices and exhibitions</w:t>
      </w:r>
      <w:r w:rsidR="00901DE4">
        <w:t xml:space="preserve"> </w:t>
      </w:r>
      <w:r w:rsidR="00E364E3">
        <w:t xml:space="preserve">it became clear </w:t>
      </w:r>
      <w:r w:rsidR="00E364E3">
        <w:lastRenderedPageBreak/>
        <w:t xml:space="preserve">that an </w:t>
      </w:r>
      <w:r w:rsidR="00901DE4">
        <w:t xml:space="preserve">everyday </w:t>
      </w:r>
      <w:r w:rsidR="00E364E3">
        <w:t>part</w:t>
      </w:r>
      <w:r w:rsidR="00901DE4">
        <w:t xml:space="preserve"> of this ‘public’ institution was the construction or pursuit of private interests</w:t>
      </w:r>
      <w:r w:rsidR="006B6361">
        <w:t xml:space="preserve">, </w:t>
      </w:r>
      <w:r w:rsidR="00E364E3">
        <w:t xml:space="preserve">and that these two categories were inseparable in </w:t>
      </w:r>
      <w:r w:rsidR="00E364E3" w:rsidRPr="00E364E3">
        <w:t>professional practice</w:t>
      </w:r>
      <w:r w:rsidR="00E364E3">
        <w:t xml:space="preserve"> </w:t>
      </w:r>
      <w:r w:rsidR="00B64883">
        <w:t>in a way that did not disrupt</w:t>
      </w:r>
      <w:r w:rsidR="00E364E3">
        <w:t xml:space="preserve"> their symbolic opposition in both personal and organisational value systems. </w:t>
      </w:r>
      <w:r w:rsidR="00DC0FBD">
        <w:t>Cultural s</w:t>
      </w:r>
      <w:r>
        <w:t>ociologists of art, and specifically of galleries, often turn to ethnography in order to</w:t>
      </w:r>
      <w:r w:rsidR="006B6361">
        <w:t xml:space="preserve"> develop detailed accounts of the complex practices, </w:t>
      </w:r>
      <w:r w:rsidR="00212BE7">
        <w:t xml:space="preserve">values, </w:t>
      </w:r>
      <w:r w:rsidR="006B6361">
        <w:t xml:space="preserve">codes, and cultures circulated in </w:t>
      </w:r>
      <w:r w:rsidR="0049665C">
        <w:t xml:space="preserve">the backstage of </w:t>
      </w:r>
      <w:r w:rsidR="006B6361">
        <w:t>art galleries</w:t>
      </w:r>
      <w:r>
        <w:t xml:space="preserve"> </w:t>
      </w:r>
      <w:r w:rsidR="006B6361">
        <w:t xml:space="preserve">by artists, art workers, and audiences </w:t>
      </w:r>
      <w:r w:rsidR="006B6361" w:rsidRPr="006B6361">
        <w:t>(Bunzl, 2014; Thornton, 2008; Wohl, 2021: 72-101).</w:t>
      </w:r>
      <w:r w:rsidR="00E364E3">
        <w:t xml:space="preserve"> The </w:t>
      </w:r>
      <w:r w:rsidR="00DD7FEC">
        <w:t>anomalies</w:t>
      </w:r>
      <w:r w:rsidR="00E364E3">
        <w:t xml:space="preserve"> of the art world, such as this muddiness betwe</w:t>
      </w:r>
      <w:r w:rsidR="005C061B">
        <w:t>en publicness and privateness,</w:t>
      </w:r>
      <w:r w:rsidR="00E364E3">
        <w:t xml:space="preserve"> the apparently random distribution of </w:t>
      </w:r>
      <w:r w:rsidR="005C061B">
        <w:t xml:space="preserve">artistic </w:t>
      </w:r>
      <w:r w:rsidR="00E364E3">
        <w:t>success (Wohl, 2021),</w:t>
      </w:r>
      <w:r w:rsidR="005C061B">
        <w:t xml:space="preserve"> </w:t>
      </w:r>
      <w:r w:rsidR="00E364E3">
        <w:t xml:space="preserve">are made </w:t>
      </w:r>
      <w:r w:rsidR="00212BE7">
        <w:t xml:space="preserve">intelligible </w:t>
      </w:r>
      <w:r w:rsidR="0049665C">
        <w:t>through the ‘deep-hanging’ of the ethnographer of</w:t>
      </w:r>
      <w:r w:rsidR="00212BE7">
        <w:t xml:space="preserve"> art worlds</w:t>
      </w:r>
      <w:r w:rsidR="0049665C">
        <w:t xml:space="preserve"> (Bunzl, 2014: 8)</w:t>
      </w:r>
      <w:r w:rsidR="00212BE7">
        <w:t>. For the purposes of my study, therefore, an ethnographic method</w:t>
      </w:r>
      <w:r w:rsidR="00212BE7" w:rsidRPr="00212BE7">
        <w:t>—</w:t>
      </w:r>
      <w:r w:rsidR="00212BE7">
        <w:t>in which I incorporated interviews and visual methods</w:t>
      </w:r>
      <w:r w:rsidR="00212BE7" w:rsidRPr="00212BE7">
        <w:t>—</w:t>
      </w:r>
      <w:r w:rsidR="00212BE7">
        <w:t>allowed me to locate and analyse the question of organisational performance</w:t>
      </w:r>
      <w:r w:rsidR="0049665C">
        <w:t xml:space="preserve"> through close observation of the working practices of</w:t>
      </w:r>
      <w:r w:rsidR="00B64883">
        <w:t xml:space="preserve"> the</w:t>
      </w:r>
      <w:r w:rsidR="0049665C">
        <w:t xml:space="preserve"> staff, spaces, and social lives in which publicness and privateness are the daily business. </w:t>
      </w:r>
    </w:p>
    <w:p w14:paraId="6CAD544D" w14:textId="4CBE9C43" w:rsidR="005616CE" w:rsidRDefault="005616CE" w:rsidP="00BE78EC">
      <w:r>
        <w:t xml:space="preserve">It is important to note </w:t>
      </w:r>
      <w:r w:rsidRPr="005616CE">
        <w:t xml:space="preserve">the location of my </w:t>
      </w:r>
      <w:proofErr w:type="spellStart"/>
      <w:r w:rsidRPr="005616CE">
        <w:t>fieldsite</w:t>
      </w:r>
      <w:proofErr w:type="spellEnd"/>
      <w:r w:rsidRPr="005616CE">
        <w:t xml:space="preserve"> within the broader UK art world. The gallery is not located in a commercial centre of the art world and is n</w:t>
      </w:r>
      <w:r w:rsidR="006B7A95">
        <w:t>ot regularly in receipt of high-</w:t>
      </w:r>
      <w:r w:rsidRPr="005616CE">
        <w:t>capital</w:t>
      </w:r>
      <w:r w:rsidR="006B7A95">
        <w:t xml:space="preserve"> one-off</w:t>
      </w:r>
      <w:r w:rsidRPr="005616CE">
        <w:t xml:space="preserve"> donations or philanthropy. London is the commercial centre of the UK art world, individual giving to the arts and cultural sector is centralised in the capital, and London’s cultural sector relies to a much higher degree on private income</w:t>
      </w:r>
      <w:r w:rsidR="00965E88">
        <w:t xml:space="preserve"> than elsewhere</w:t>
      </w:r>
      <w:r w:rsidRPr="005616CE">
        <w:t xml:space="preserve"> (MTM &amp; Arts Council England, 2019).</w:t>
      </w:r>
      <w:r>
        <w:t xml:space="preserve"> As such, the gallery </w:t>
      </w:r>
      <w:r w:rsidR="006B7A95">
        <w:t xml:space="preserve">preferred to invest time and resources in generating the </w:t>
      </w:r>
      <w:r w:rsidR="00965E88">
        <w:t>instruments</w:t>
      </w:r>
      <w:r w:rsidR="006B7A95">
        <w:t xml:space="preserve"> from which low</w:t>
      </w:r>
      <w:r w:rsidR="00965E88">
        <w:t xml:space="preserve">-investment, </w:t>
      </w:r>
      <w:r w:rsidR="006B7A95">
        <w:t xml:space="preserve">high-frequency donations might </w:t>
      </w:r>
      <w:proofErr w:type="gramStart"/>
      <w:r w:rsidR="006B7A95">
        <w:t>follow:</w:t>
      </w:r>
      <w:proofErr w:type="gramEnd"/>
      <w:r w:rsidR="006B7A95">
        <w:t xml:space="preserve"> membership schemes or </w:t>
      </w:r>
      <w:r w:rsidR="007B4DB2">
        <w:t xml:space="preserve">online </w:t>
      </w:r>
      <w:r w:rsidR="006B7A95">
        <w:t>auctions. The</w:t>
      </w:r>
      <w:r w:rsidR="00965E88">
        <w:t xml:space="preserve"> price points forecasted a </w:t>
      </w:r>
      <w:r w:rsidR="006B7A95">
        <w:t>middle-class</w:t>
      </w:r>
      <w:r w:rsidR="006B7A95" w:rsidRPr="006B7A95">
        <w:t xml:space="preserve"> </w:t>
      </w:r>
      <w:proofErr w:type="gramStart"/>
      <w:r w:rsidR="006B7A95" w:rsidRPr="006B7A95">
        <w:t>clientele</w:t>
      </w:r>
      <w:r w:rsidR="00965E88">
        <w:t>, but</w:t>
      </w:r>
      <w:proofErr w:type="gramEnd"/>
      <w:r w:rsidR="00965E88">
        <w:t xml:space="preserve"> were significantly lower than analogous costs in London organisations</w:t>
      </w:r>
      <w:r w:rsidR="008C071D">
        <w:t xml:space="preserve"> (membership £35/year; patron</w:t>
      </w:r>
      <w:r w:rsidR="00965E88">
        <w:t xml:space="preserve">age </w:t>
      </w:r>
      <w:r w:rsidR="008C071D">
        <w:t xml:space="preserve">£300/year; </w:t>
      </w:r>
      <w:r w:rsidR="00965E88">
        <w:t xml:space="preserve">auction prices £100-£1k+). </w:t>
      </w:r>
      <w:r w:rsidR="00965E88" w:rsidRPr="00965E88">
        <w:t xml:space="preserve">Much like the art market generally </w:t>
      </w:r>
      <w:r w:rsidR="00965E88" w:rsidRPr="00965E88">
        <w:fldChar w:fldCharType="begin"/>
      </w:r>
      <w:r w:rsidR="00965E88" w:rsidRPr="00965E88">
        <w:instrText xml:space="preserve"> ADDIN EN.CITE &lt;EndNote&gt;&lt;Cite&gt;&lt;Author&gt;Buchholz&lt;/Author&gt;&lt;Year&gt;2020&lt;/Year&gt;&lt;RecNum&gt;68&lt;/RecNum&gt;&lt;DisplayText&gt;(Buchholz et al., 2020)&lt;/DisplayText&gt;&lt;record&gt;&lt;rec-number&gt;68&lt;/rec-number&gt;&lt;foreign-keys&gt;&lt;key app="EN" db-id="zarrtdrpp5z2drea05hv0e220drepapwwat9" timestamp="1639053700"&gt;68&lt;/key&gt;&lt;/foreign-keys&gt;&lt;ref-type name="Journal Article"&gt;17&lt;/ref-type&gt;&lt;contributors&gt;&lt;authors&gt;&lt;author&gt;Buchholz, Larissa&lt;/author&gt;&lt;author&gt;Fine, Gary Alan&lt;/author&gt;&lt;author&gt;Wohl, Hannah&lt;/author&gt;&lt;/authors&gt;&lt;/contributors&gt;&lt;titles&gt;&lt;title&gt;Art markets in crisis: how personal bonds and market subcultures mediate the effects of COVID-19&lt;/title&gt;&lt;secondary-title&gt;American Journal of Cultural Sociology&lt;/secondary-title&gt;&lt;/titles&gt;&lt;periodical&gt;&lt;full-title&gt;American Journal of Cultural Sociology&lt;/full-title&gt;&lt;/periodical&gt;&lt;pages&gt;462-476&lt;/pages&gt;&lt;volume&gt;8&lt;/volume&gt;&lt;number&gt;3&lt;/number&gt;&lt;dates&gt;&lt;year&gt;2020&lt;/year&gt;&lt;pub-dates&gt;&lt;date&gt;2020/12/01&lt;/date&gt;&lt;/pub-dates&gt;&lt;/dates&gt;&lt;isbn&gt;2049-7121&lt;/isbn&gt;&lt;urls&gt;&lt;related-urls&gt;&lt;url&gt;https://doi.org/10.1057/s41290-020-00119-6&lt;/url&gt;&lt;/related-urls&gt;&lt;/urls&gt;&lt;electronic-resource-num&gt;10.1057/s41290-020-00119-6&lt;/electronic-resource-num&gt;&lt;/record&gt;&lt;/Cite&gt;&lt;/EndNote&gt;</w:instrText>
      </w:r>
      <w:r w:rsidR="00965E88" w:rsidRPr="00965E88">
        <w:fldChar w:fldCharType="separate"/>
      </w:r>
      <w:r w:rsidR="00965E88" w:rsidRPr="00965E88">
        <w:t>(Buchholz et al., 2020)</w:t>
      </w:r>
      <w:r w:rsidR="00965E88" w:rsidRPr="00965E88">
        <w:fldChar w:fldCharType="end"/>
      </w:r>
      <w:r w:rsidR="00965E88" w:rsidRPr="00965E88">
        <w:t xml:space="preserve">, or historical, individualised forms of patronage </w:t>
      </w:r>
      <w:r w:rsidR="00965E88" w:rsidRPr="00965E88">
        <w:fldChar w:fldCharType="begin"/>
      </w:r>
      <w:r w:rsidR="00965E88" w:rsidRPr="00965E88">
        <w:instrText xml:space="preserve"> ADDIN EN.CITE &lt;EndNote&gt;&lt;Cite&gt;&lt;Author&gt;Baxandall&lt;/Author&gt;&lt;Year&gt;1988&lt;/Year&gt;&lt;RecNum&gt;88&lt;/RecNum&gt;&lt;DisplayText&gt;(Baxandall, 1988)&lt;/DisplayText&gt;&lt;record&gt;&lt;rec-number&gt;88&lt;/rec-number&gt;&lt;foreign-keys&gt;&lt;key app="EN" db-id="zarrtdrpp5z2drea05hv0e220drepapwwat9" timestamp="1642083960"&gt;88&lt;/key&gt;&lt;/foreign-keys&gt;&lt;ref-type name="Book"&gt;6&lt;/ref-type&gt;&lt;contributors&gt;&lt;authors&gt;&lt;author&gt;Baxandall, Michael&lt;/author&gt;&lt;/authors&gt;&lt;/contributors&gt;&lt;titles&gt;&lt;title&gt;Painting and Experience in Fifteenth-Century Italy: A Primer in the Social History of Pictorial Style&lt;/title&gt;&lt;/titles&gt;&lt;dates&gt;&lt;year&gt;1988&lt;/year&gt;&lt;/dates&gt;&lt;pub-location&gt;Oxford&lt;/pub-location&gt;&lt;publisher&gt;Oxford University Press&lt;/publisher&gt;&lt;urls&gt;&lt;/urls&gt;&lt;/record&gt;&lt;/Cite&gt;&lt;/EndNote&gt;</w:instrText>
      </w:r>
      <w:r w:rsidR="00965E88" w:rsidRPr="00965E88">
        <w:fldChar w:fldCharType="separate"/>
      </w:r>
      <w:r w:rsidR="00965E88" w:rsidRPr="00965E88">
        <w:t>(Baxandall, 1988)</w:t>
      </w:r>
      <w:r w:rsidR="00965E88" w:rsidRPr="00965E88">
        <w:fldChar w:fldCharType="end"/>
      </w:r>
      <w:r w:rsidR="00965E88" w:rsidRPr="00965E88">
        <w:t xml:space="preserve">, </w:t>
      </w:r>
      <w:r w:rsidR="00965E88">
        <w:t>t</w:t>
      </w:r>
      <w:r w:rsidR="0046390D">
        <w:t>he</w:t>
      </w:r>
      <w:r w:rsidR="00965E88">
        <w:t>s</w:t>
      </w:r>
      <w:r w:rsidR="0046390D">
        <w:t>e</w:t>
      </w:r>
      <w:r w:rsidR="00965E88">
        <w:t xml:space="preserve"> </w:t>
      </w:r>
      <w:r w:rsidR="00965E88" w:rsidRPr="00965E88">
        <w:t xml:space="preserve">contemporary </w:t>
      </w:r>
      <w:r w:rsidR="00965E88">
        <w:t>form</w:t>
      </w:r>
      <w:r w:rsidR="002A4BC8">
        <w:t>s</w:t>
      </w:r>
      <w:r w:rsidR="00965E88">
        <w:t xml:space="preserve"> of </w:t>
      </w:r>
      <w:r w:rsidR="00965E88" w:rsidRPr="00965E88">
        <w:t xml:space="preserve">cultural </w:t>
      </w:r>
      <w:r w:rsidR="0046390D">
        <w:t>patronage are</w:t>
      </w:r>
      <w:r w:rsidR="00965E88" w:rsidRPr="00965E88">
        <w:t xml:space="preserve"> relational, with varying degrees of reciprocity.</w:t>
      </w:r>
      <w:r w:rsidR="00965E88">
        <w:t xml:space="preserve"> </w:t>
      </w:r>
      <w:r w:rsidR="0046390D">
        <w:t xml:space="preserve">Organising and hosting these social settings </w:t>
      </w:r>
      <w:r w:rsidR="00B539D9">
        <w:t xml:space="preserve">was a central part of the fundraising staff’s job </w:t>
      </w:r>
      <w:r w:rsidR="00B64883">
        <w:t>roles.</w:t>
      </w:r>
    </w:p>
    <w:p w14:paraId="5450D4BD" w14:textId="13E883EF" w:rsidR="00BE78EC" w:rsidRPr="00BE78EC" w:rsidRDefault="00BE78EC" w:rsidP="00BE78EC">
      <w:r>
        <w:t>In the following analysis,</w:t>
      </w:r>
      <w:r w:rsidRPr="00BE78EC">
        <w:t xml:space="preserve"> I </w:t>
      </w:r>
      <w:r w:rsidR="005C061B">
        <w:t>focus on one</w:t>
      </w:r>
      <w:r w:rsidR="00B539D9">
        <w:t xml:space="preserve"> of these setting. The private view was a</w:t>
      </w:r>
      <w:r w:rsidR="005C061B">
        <w:t xml:space="preserve"> highly curated organisational performance </w:t>
      </w:r>
      <w:r w:rsidR="00DA789F">
        <w:t>that</w:t>
      </w:r>
      <w:r w:rsidR="005C061B">
        <w:t xml:space="preserve"> evidenced the performance </w:t>
      </w:r>
      <w:r w:rsidR="00B539D9">
        <w:t xml:space="preserve">of </w:t>
      </w:r>
      <w:r w:rsidR="002A4BC8">
        <w:t xml:space="preserve">both </w:t>
      </w:r>
      <w:r w:rsidR="00B539D9">
        <w:t>privateness and publicness</w:t>
      </w:r>
      <w:r w:rsidR="005C061B">
        <w:t xml:space="preserve">. This event took place in </w:t>
      </w:r>
      <w:r w:rsidR="005C061B" w:rsidRPr="005C061B">
        <w:t>October 2017</w:t>
      </w:r>
      <w:r w:rsidR="005C061B">
        <w:t xml:space="preserve">, about halfway through my ethnography of the host gallery. </w:t>
      </w:r>
      <w:r w:rsidR="00A924BB">
        <w:t>Private views</w:t>
      </w:r>
      <w:r w:rsidRPr="00BE78EC">
        <w:t xml:space="preserve"> are the celebratory events which open visual art exhibitions, the parallel of ‘Opening Nights’ in theatres, ‘Premieres’ of films, or ‘Album Releases’ in music. As such, they are occasions in which art organisations engage in dense representational work.</w:t>
      </w:r>
      <w:r w:rsidR="005C061B">
        <w:t xml:space="preserve"> As Bunzl reports, art gallery staff invest a great deal of energy into producing an event that has the buzz of ‘a real </w:t>
      </w:r>
      <w:r w:rsidR="005C061B" w:rsidRPr="00CD1706">
        <w:rPr>
          <w:i/>
        </w:rPr>
        <w:t>happening</w:t>
      </w:r>
      <w:r w:rsidR="005C061B" w:rsidRPr="002A4BC8">
        <w:t xml:space="preserve">’ </w:t>
      </w:r>
      <w:r w:rsidR="005C061B">
        <w:t xml:space="preserve">[italics in original] </w:t>
      </w:r>
      <w:r w:rsidR="00DA789F">
        <w:t xml:space="preserve">in order to capture the imagination of audiences, the column inches of critics, and the capital of patrons </w:t>
      </w:r>
      <w:r w:rsidR="005C061B">
        <w:t>(Bunzl, 2014: 24).</w:t>
      </w:r>
      <w:r w:rsidRPr="00BE78EC">
        <w:t xml:space="preserve"> </w:t>
      </w:r>
    </w:p>
    <w:p w14:paraId="3BFE367E" w14:textId="47B0A5B5" w:rsidR="00BE78EC" w:rsidRPr="00BE78EC" w:rsidRDefault="00BE78EC" w:rsidP="00BE78EC">
      <w:r w:rsidRPr="00BE78EC">
        <w:lastRenderedPageBreak/>
        <w:t xml:space="preserve">The private view </w:t>
      </w:r>
      <w:r w:rsidR="00DA789F">
        <w:t xml:space="preserve">of my study </w:t>
      </w:r>
      <w:r w:rsidRPr="00BE78EC">
        <w:t>had two main facets</w:t>
      </w:r>
      <w:r w:rsidR="00DA789F">
        <w:t xml:space="preserve">, </w:t>
      </w:r>
      <w:r w:rsidRPr="00BE78EC">
        <w:t>condens</w:t>
      </w:r>
      <w:r w:rsidR="00DA789F">
        <w:t>ing</w:t>
      </w:r>
      <w:r w:rsidRPr="00BE78EC">
        <w:t xml:space="preserve"> the multiple agendas operating in the art gallery into one time and place. The first was a private drinks reception followed by a tour of the gallery hosted by the Artistic Director. This was an invite-only event aimed at identified ‘friends’ of the organisation, and </w:t>
      </w:r>
      <w:r w:rsidR="00B02BEC">
        <w:t>the guestlist</w:t>
      </w:r>
      <w:r w:rsidRPr="00BE78EC">
        <w:t xml:space="preserve"> included philanthropists, existing donors to the gallery, academics, and board members. This event was motivated by an upcoming </w:t>
      </w:r>
      <w:r w:rsidR="009F4FDC">
        <w:t xml:space="preserve">online </w:t>
      </w:r>
      <w:r w:rsidRPr="00BE78EC">
        <w:t>fundraising auction. The second facet of the opening night was a</w:t>
      </w:r>
      <w:r w:rsidR="00C56290">
        <w:t>n openly</w:t>
      </w:r>
      <w:r w:rsidRPr="00BE78EC">
        <w:t>, or ‘</w:t>
      </w:r>
      <w:proofErr w:type="spellStart"/>
      <w:r w:rsidRPr="00BE78EC">
        <w:t>public</w:t>
      </w:r>
      <w:r w:rsidR="009948DC">
        <w:t>al</w:t>
      </w:r>
      <w:r w:rsidRPr="00BE78EC">
        <w:t>ly</w:t>
      </w:r>
      <w:proofErr w:type="spellEnd"/>
      <w:r w:rsidRPr="00BE78EC">
        <w:t xml:space="preserve">,’ accessible reception. This part of the private view was attended by a broader, generalised public, predominantly made up of the cultural workers and audiences that comprise a city’s </w:t>
      </w:r>
      <w:r w:rsidR="00B02BEC">
        <w:t>‘arts scene.’</w:t>
      </w:r>
      <w:r w:rsidRPr="00BE78EC">
        <w:t xml:space="preserve"> </w:t>
      </w:r>
      <w:r w:rsidR="00547B44">
        <w:t xml:space="preserve">This facet of the private view was designed in the image of publicness that disciplines contemporary Arts Council England funded organisations. </w:t>
      </w:r>
      <w:r w:rsidRPr="00BE78EC">
        <w:t>As such, in the analysis that follows I am in</w:t>
      </w:r>
      <w:r w:rsidR="00B02BEC">
        <w:t>terested in the nesting of a private</w:t>
      </w:r>
      <w:r w:rsidRPr="00BE78EC">
        <w:t xml:space="preserve"> context within </w:t>
      </w:r>
      <w:r w:rsidR="00B02BEC">
        <w:t>another, larger, and allegedly public</w:t>
      </w:r>
      <w:r w:rsidRPr="00BE78EC">
        <w:t xml:space="preserve"> context. </w:t>
      </w:r>
    </w:p>
    <w:p w14:paraId="4B0F0ED3" w14:textId="4D4507AC" w:rsidR="00DA789F" w:rsidRDefault="00DA789F" w:rsidP="00BE78EC">
      <w:r>
        <w:t xml:space="preserve">As a result of my ongoing </w:t>
      </w:r>
      <w:proofErr w:type="gramStart"/>
      <w:r>
        <w:t>ethnography</w:t>
      </w:r>
      <w:proofErr w:type="gramEnd"/>
      <w:r w:rsidR="00547B44">
        <w:t xml:space="preserve"> I had a long-standing research relationship with members of staff, particularly those in programming, marketing</w:t>
      </w:r>
      <w:r w:rsidR="00C56290">
        <w:t>,</w:t>
      </w:r>
      <w:r w:rsidR="00547B44">
        <w:t xml:space="preserve"> and development</w:t>
      </w:r>
      <w:r>
        <w:t xml:space="preserve"> who </w:t>
      </w:r>
      <w:r w:rsidR="00547B44">
        <w:t>were present at the private view</w:t>
      </w:r>
      <w:r>
        <w:t xml:space="preserve">. </w:t>
      </w:r>
      <w:r w:rsidR="00547B44">
        <w:t xml:space="preserve">I benefitted from their habit of talking me through their work and </w:t>
      </w:r>
      <w:r>
        <w:t xml:space="preserve">their </w:t>
      </w:r>
      <w:r w:rsidR="00547B44">
        <w:t xml:space="preserve">experience of the event. The following analysis is based on fieldnotes written up after the event, in addition to interviews with members of the </w:t>
      </w:r>
      <w:r w:rsidR="00547B44" w:rsidRPr="00547B44">
        <w:t>programming, marketing and development</w:t>
      </w:r>
      <w:r w:rsidR="00547B44">
        <w:t xml:space="preserve"> teams, observations and </w:t>
      </w:r>
      <w:r w:rsidR="00B02BEC">
        <w:t>minutes</w:t>
      </w:r>
      <w:r w:rsidR="00547B44">
        <w:t xml:space="preserve"> from relevant meetings</w:t>
      </w:r>
      <w:r w:rsidR="00B02BEC">
        <w:t>,</w:t>
      </w:r>
      <w:r w:rsidR="00547B44">
        <w:t xml:space="preserve"> and email communications. </w:t>
      </w:r>
      <w:r w:rsidR="00B101C6" w:rsidRPr="00B101C6">
        <w:t>The data I will draw on predominantly relate to the invite-only aspect of the exhibition opening</w:t>
      </w:r>
      <w:r w:rsidR="00B101C6">
        <w:t xml:space="preserve">, as this is where I was </w:t>
      </w:r>
      <w:r w:rsidR="00BE78EC" w:rsidRPr="00BE78EC">
        <w:t>mainly based. I joined the public-facing event later, allowing me to offer some reflections on this event as well. The fact that I was ‘recording’ the event was signalled through signs displayed throughout the arts centre</w:t>
      </w:r>
      <w:r>
        <w:t xml:space="preserve">, and I </w:t>
      </w:r>
      <w:r w:rsidR="00BE78EC" w:rsidRPr="00BE78EC">
        <w:t>changed into ‘less casual’ clothes</w:t>
      </w:r>
      <w:r>
        <w:t xml:space="preserve"> in order to match the atmosphere of the event</w:t>
      </w:r>
      <w:r w:rsidR="00BE78EC" w:rsidRPr="00BE78EC">
        <w:t xml:space="preserve">. </w:t>
      </w:r>
    </w:p>
    <w:p w14:paraId="227D65D4" w14:textId="6C442806" w:rsidR="00BE78EC" w:rsidRPr="00BE78EC" w:rsidRDefault="00DA789F" w:rsidP="00BE78EC">
      <w:r>
        <w:t>Despite my less-than-casual clothes, t</w:t>
      </w:r>
      <w:r w:rsidR="00BE78EC" w:rsidRPr="00BE78EC">
        <w:t>he private tour of the exhibition that followed the drinks reception was the only aspect of the life of the art centre that was made off-limits to me as a researcher during the 14 months that I was collecting data. This highlights that our position as researc</w:t>
      </w:r>
      <w:r w:rsidR="00B02BEC">
        <w:t xml:space="preserve">hers, especially when studying privilege, </w:t>
      </w:r>
      <w:r w:rsidR="00BE78EC" w:rsidRPr="00BE78EC">
        <w:t xml:space="preserve">is often bound by the customary ways in which advantaged groups claim privacy, and in which privacy is itself a hallmark of an elevated social position. Gatekeepers at the organisation clearly felt that my presence as a researcher would undermine their intended organisational performance. </w:t>
      </w:r>
    </w:p>
    <w:p w14:paraId="5667D5CE" w14:textId="6F8E72B3" w:rsidR="009F700C" w:rsidRDefault="00B101C6" w:rsidP="00BE78EC">
      <w:r>
        <w:t xml:space="preserve">Data were coded in </w:t>
      </w:r>
      <w:proofErr w:type="spellStart"/>
      <w:r>
        <w:t>nVivo</w:t>
      </w:r>
      <w:proofErr w:type="spellEnd"/>
      <w:r w:rsidR="00BE78EC" w:rsidRPr="00BE78EC">
        <w:t xml:space="preserve">, </w:t>
      </w:r>
      <w:r>
        <w:t>through</w:t>
      </w:r>
      <w:r w:rsidR="00BE78EC" w:rsidRPr="00BE78EC">
        <w:t xml:space="preserve"> which the se</w:t>
      </w:r>
      <w:r w:rsidR="00B02BEC">
        <w:t>paration and stratification of privateness from publicness</w:t>
      </w:r>
      <w:r w:rsidR="00BE78EC" w:rsidRPr="00BE78EC">
        <w:t xml:space="preserve"> emerged as a key theme. This was then read back into the relevant policy context, largely in reference to Art Council England’s strategic framework ‘Great Art and Culture for Everyone,’ in order to understand further the pressures under which the art gallery was operating (Arts Council England, 2013).</w:t>
      </w:r>
      <w:r>
        <w:t xml:space="preserve"> </w:t>
      </w:r>
      <w:r w:rsidR="00CF40EF">
        <w:t xml:space="preserve">Issues of space management, social interactions between staff and attendees, and institutional history recurred throughout my analysis, leading me to locate Fine’s </w:t>
      </w:r>
      <w:r w:rsidR="00CF40EF" w:rsidRPr="00CF40EF">
        <w:rPr>
          <w:i/>
        </w:rPr>
        <w:t>arenas</w:t>
      </w:r>
      <w:r w:rsidR="00CF40EF" w:rsidRPr="00CF40EF">
        <w:t>,</w:t>
      </w:r>
      <w:r w:rsidR="00CF40EF" w:rsidRPr="00CF40EF">
        <w:rPr>
          <w:i/>
        </w:rPr>
        <w:t xml:space="preserve"> relations</w:t>
      </w:r>
      <w:r w:rsidR="00CF40EF" w:rsidRPr="00CF40EF">
        <w:t xml:space="preserve">, </w:t>
      </w:r>
      <w:r w:rsidR="00CF40EF" w:rsidRPr="00CF40EF">
        <w:lastRenderedPageBreak/>
        <w:t>and</w:t>
      </w:r>
      <w:r w:rsidR="00CF40EF" w:rsidRPr="00CF40EF">
        <w:rPr>
          <w:i/>
        </w:rPr>
        <w:t xml:space="preserve"> histories</w:t>
      </w:r>
      <w:r w:rsidR="00CF40EF" w:rsidRPr="00CF40EF">
        <w:t xml:space="preserve"> </w:t>
      </w:r>
      <w:r w:rsidR="00CF40EF">
        <w:t xml:space="preserve">as guiding principles for my study of this organisational performance of privateness and publicness. </w:t>
      </w:r>
    </w:p>
    <w:p w14:paraId="3FB838A1" w14:textId="7EEF8DC5" w:rsidR="00BE78EC" w:rsidRPr="00BE78EC" w:rsidRDefault="009F700C" w:rsidP="009F700C">
      <w:pPr>
        <w:pStyle w:val="Heading2"/>
      </w:pPr>
      <w:r>
        <w:t>Analysis</w:t>
      </w:r>
    </w:p>
    <w:p w14:paraId="4A6F6F87" w14:textId="5B3B15FC" w:rsidR="009F700C" w:rsidRPr="009F700C" w:rsidRDefault="009F700C" w:rsidP="009F700C">
      <w:r w:rsidRPr="009F700C">
        <w:t>An art exhibition’s private view</w:t>
      </w:r>
      <w:r w:rsidR="00EA2062">
        <w:t xml:space="preserve"> is a stage for an organisational performance. The event</w:t>
      </w:r>
      <w:r w:rsidRPr="009F700C">
        <w:t xml:space="preserve"> follows many months of planning, multiple forms of labour, and an intense period of installation within the gallery spaces. </w:t>
      </w:r>
      <w:r w:rsidR="00EA2062">
        <w:t>Its</w:t>
      </w:r>
      <w:r w:rsidRPr="009F700C">
        <w:t xml:space="preserve"> planning requires a different set of skills to the exhibition planning, and while curatorial input is needed, communications or marketing, events or programming, and development or fundraising teams are implicated. These are the teams whose everyday work deals less with the creation of the material and symbolic content of the exhibition, and more with the creation of the identity of the organisation. </w:t>
      </w:r>
    </w:p>
    <w:p w14:paraId="3A1CE0D5" w14:textId="42B8255E" w:rsidR="00B04853" w:rsidRDefault="00EA2062" w:rsidP="009F700C">
      <w:r>
        <w:t>D</w:t>
      </w:r>
      <w:r w:rsidR="00B04853">
        <w:t xml:space="preserve">uring fieldwork, private views were a regular topic </w:t>
      </w:r>
      <w:r w:rsidR="00B35C90">
        <w:t>in staff meetings</w:t>
      </w:r>
      <w:r w:rsidR="00B04853">
        <w:t xml:space="preserve"> and were </w:t>
      </w:r>
      <w:r w:rsidR="009F700C" w:rsidRPr="00EA2062">
        <w:t xml:space="preserve">a part of discussions from the earliest days of </w:t>
      </w:r>
      <w:r w:rsidR="0006021B">
        <w:t xml:space="preserve">the </w:t>
      </w:r>
      <w:r w:rsidR="009F700C" w:rsidRPr="00EA2062">
        <w:t xml:space="preserve">exhibition planning process. Staff members, who attended other organisations’ </w:t>
      </w:r>
      <w:r w:rsidR="0006021B">
        <w:t>private views</w:t>
      </w:r>
      <w:r w:rsidR="009F700C" w:rsidRPr="00EA2062">
        <w:t xml:space="preserve"> in a blurred social and professional capacity, reflected on the strategies they witnessed there</w:t>
      </w:r>
      <w:r w:rsidR="00B04853">
        <w:t xml:space="preserve"> and how they reflected different organisational performances. For example, a nearby gallery was reported to have supplied free cocktails sponsored by a local restaurant and to have established a ‘party atmo</w:t>
      </w:r>
      <w:r w:rsidR="00B35C90">
        <w:t>sphere</w:t>
      </w:r>
      <w:r w:rsidR="00B04853">
        <w:t>’</w:t>
      </w:r>
      <w:r w:rsidR="00B35C90">
        <w:t xml:space="preserve"> as befitted their on-trend and cutting-edge programme.</w:t>
      </w:r>
      <w:r w:rsidR="00B04853">
        <w:t xml:space="preserve"> When private views broke with convention, such as taking place in an afternoon rather than evening, this prompted considerable discussion</w:t>
      </w:r>
      <w:r w:rsidR="00B04853" w:rsidRPr="00B04853">
        <w:t>—</w:t>
      </w:r>
      <w:r w:rsidR="00B04853">
        <w:t>however, the risks o</w:t>
      </w:r>
      <w:r w:rsidR="006526D3">
        <w:t>f breaking these conventions were</w:t>
      </w:r>
      <w:r w:rsidR="00B04853">
        <w:t xml:space="preserve"> mitigated when credentialed galleries had done so first. </w:t>
      </w:r>
      <w:r w:rsidR="00C56290">
        <w:t>C</w:t>
      </w:r>
      <w:r w:rsidR="00B04853" w:rsidRPr="00B04853">
        <w:t>ontingenc</w:t>
      </w:r>
      <w:r w:rsidR="00764996">
        <w:t>y plans were arranged for elements beyond the gallery’s control</w:t>
      </w:r>
      <w:r w:rsidR="00B04853" w:rsidRPr="00B04853">
        <w:t xml:space="preserve">, such as the </w:t>
      </w:r>
      <w:r w:rsidR="00764996">
        <w:t xml:space="preserve">changeable British </w:t>
      </w:r>
      <w:r w:rsidR="00B04853" w:rsidRPr="00B04853">
        <w:t>weather</w:t>
      </w:r>
      <w:r w:rsidR="00B04853">
        <w:t xml:space="preserve">. In other words, </w:t>
      </w:r>
      <w:proofErr w:type="gramStart"/>
      <w:r w:rsidR="00B04853">
        <w:t xml:space="preserve">the </w:t>
      </w:r>
      <w:r w:rsidR="006526D3">
        <w:t>all</w:t>
      </w:r>
      <w:proofErr w:type="gramEnd"/>
      <w:r w:rsidR="006526D3">
        <w:t xml:space="preserve"> facets of the private view were carefully chosen in reference to analogous galleries’ practices, and in order to signify this galleries’ symbolic location in the field.</w:t>
      </w:r>
    </w:p>
    <w:p w14:paraId="4A986930" w14:textId="2BDF8F80" w:rsidR="00B04853" w:rsidRDefault="006526D3" w:rsidP="009F700C">
      <w:r>
        <w:t xml:space="preserve">In such discussions, staff members agreed that their gallery’s private views were set apart from others </w:t>
      </w:r>
      <w:r w:rsidR="00706A90">
        <w:t xml:space="preserve">in one </w:t>
      </w:r>
      <w:proofErr w:type="gramStart"/>
      <w:r w:rsidR="00706A90">
        <w:t>key way</w:t>
      </w:r>
      <w:proofErr w:type="gramEnd"/>
      <w:r w:rsidR="00706A90">
        <w:t>: they were</w:t>
      </w:r>
      <w:r>
        <w:t xml:space="preserve"> ‘not exclusive.’ </w:t>
      </w:r>
      <w:r w:rsidR="00D165F4">
        <w:t>I</w:t>
      </w:r>
      <w:r w:rsidR="00D165F4" w:rsidRPr="00D165F4">
        <w:t>ts ‘public’ or ‘civic’ role</w:t>
      </w:r>
      <w:r>
        <w:t xml:space="preserve"> </w:t>
      </w:r>
      <w:r w:rsidR="00D165F4">
        <w:t xml:space="preserve">was a </w:t>
      </w:r>
      <w:r>
        <w:t xml:space="preserve">core theme of the </w:t>
      </w:r>
      <w:proofErr w:type="gramStart"/>
      <w:r>
        <w:t>organisations</w:t>
      </w:r>
      <w:r w:rsidR="00A37536">
        <w:t>’</w:t>
      </w:r>
      <w:proofErr w:type="gramEnd"/>
      <w:r>
        <w:t xml:space="preserve"> identify and performan</w:t>
      </w:r>
      <w:r w:rsidR="00AF241F">
        <w:t>ce</w:t>
      </w:r>
      <w:r w:rsidR="00D165F4">
        <w:t>, often eclipsing, or being seen as productive of, its artistic role</w:t>
      </w:r>
      <w:r w:rsidR="00AF241F">
        <w:t xml:space="preserve">. </w:t>
      </w:r>
      <w:r w:rsidR="00AF241F" w:rsidRPr="00AF241F">
        <w:t xml:space="preserve">This ‘civic’ role was both the unique selling point that differentiated the gallery from the relatively densely populated field of galleries in the city, </w:t>
      </w:r>
      <w:r w:rsidR="00C56290">
        <w:t>and</w:t>
      </w:r>
      <w:r w:rsidR="00AF241F" w:rsidRPr="00AF241F">
        <w:t xml:space="preserve"> a moral code through which many staff members articulated their work life. </w:t>
      </w:r>
      <w:r w:rsidR="0093757C">
        <w:t>Indeed, the gall</w:t>
      </w:r>
      <w:r w:rsidR="002A4BC8">
        <w:t>ery’s</w:t>
      </w:r>
      <w:r w:rsidR="0093757C">
        <w:t xml:space="preserve"> ‘civic’ role was so integral to its symbolic and operational system that it allowed staff to achieve a degree of consensus uncommon in art galleries (Bunzl, 2014). Where art gallery staff can find themselves trapped between personal aesthetic preferences and organisational pressures, the moral goal of publicne</w:t>
      </w:r>
      <w:r w:rsidR="00AB6F02">
        <w:t>ss was so personally (or performatively) held that it replaced these machinations: what was good was what served the interests of the</w:t>
      </w:r>
      <w:r w:rsidR="00822261">
        <w:t>ir public</w:t>
      </w:r>
      <w:r w:rsidR="00AB6F02">
        <w:t>.</w:t>
      </w:r>
      <w:r w:rsidR="00822261">
        <w:t xml:space="preserve"> This operated as a less ambiguous goal than does aesthetic excellence, not least because it has more readily been </w:t>
      </w:r>
      <w:r w:rsidR="00D165F4">
        <w:t>reduced to objective markers of success (</w:t>
      </w:r>
      <w:proofErr w:type="gramStart"/>
      <w:r w:rsidR="00D165F4">
        <w:t>e.g.</w:t>
      </w:r>
      <w:proofErr w:type="gramEnd"/>
      <w:r w:rsidR="00D165F4">
        <w:t xml:space="preserve"> audience statistics). P</w:t>
      </w:r>
      <w:r w:rsidR="00AF241F">
        <w:t xml:space="preserve">ublicness was </w:t>
      </w:r>
      <w:r w:rsidR="00D165F4">
        <w:t xml:space="preserve">therefore </w:t>
      </w:r>
      <w:r w:rsidR="00A37536">
        <w:t xml:space="preserve">at </w:t>
      </w:r>
      <w:r>
        <w:t>the centre of a great deal of</w:t>
      </w:r>
      <w:r w:rsidR="004A5A37">
        <w:t xml:space="preserve"> the gallery’s ‘reputational discourse,’</w:t>
      </w:r>
      <w:r>
        <w:t xml:space="preserve"> </w:t>
      </w:r>
      <w:r>
        <w:lastRenderedPageBreak/>
        <w:t>marketing literature and funding bids</w:t>
      </w:r>
      <w:r w:rsidR="004A5A37">
        <w:t xml:space="preserve"> </w:t>
      </w:r>
      <w:r w:rsidR="004A5A37">
        <w:rPr>
          <w:noProof/>
        </w:rPr>
        <w:t>(Mason, 2004</w:t>
      </w:r>
      <w:r w:rsidR="00B01A1E">
        <w:rPr>
          <w:noProof/>
        </w:rPr>
        <w:t>: 56</w:t>
      </w:r>
      <w:r w:rsidR="004A5A37">
        <w:rPr>
          <w:noProof/>
        </w:rPr>
        <w:t>)</w:t>
      </w:r>
      <w:r w:rsidR="00822261">
        <w:t>, and</w:t>
      </w:r>
      <w:r w:rsidR="00A37536">
        <w:t xml:space="preserve"> </w:t>
      </w:r>
      <w:r w:rsidR="00822261">
        <w:t>p</w:t>
      </w:r>
      <w:r w:rsidR="00A37536">
        <w:t xml:space="preserve">rivate views offered a chance to drive home this narrative. </w:t>
      </w:r>
    </w:p>
    <w:p w14:paraId="6898127D" w14:textId="4EB22A08" w:rsidR="00706A90" w:rsidRDefault="00A37536" w:rsidP="009F700C">
      <w:r>
        <w:t xml:space="preserve">At the same time as staff members were busy aligning the organisations’ performance to the virtue of publicness, other staff members were busy ‘diversifying’ the galleries’ income streams by turning to </w:t>
      </w:r>
      <w:r w:rsidRPr="00A37536">
        <w:t>the private sector or private individuals.</w:t>
      </w:r>
      <w:r>
        <w:t xml:space="preserve"> </w:t>
      </w:r>
      <w:r w:rsidR="004F1A95" w:rsidRPr="004F1A95">
        <w:t>They explained this work through reference to specific fundraising instruments devised by their core funder (Arts Council England) that rewarded the generation of new private investment (</w:t>
      </w:r>
      <w:proofErr w:type="gramStart"/>
      <w:r w:rsidR="004F1A95" w:rsidRPr="004F1A95">
        <w:t>e.g.</w:t>
      </w:r>
      <w:proofErr w:type="gramEnd"/>
      <w:r w:rsidR="004F1A95" w:rsidRPr="004F1A95">
        <w:t xml:space="preserve"> the Catalyst scheme).</w:t>
      </w:r>
      <w:r w:rsidR="004F1A95">
        <w:t xml:space="preserve"> In interviews, these staff members expressed themselves as personally, as well as professionally, motivated by the task of increasing funding for the arts. They spoke openly about the ethical and political questions attached to arts fu</w:t>
      </w:r>
      <w:r w:rsidR="00706A90">
        <w:t>nding, including state funding</w:t>
      </w:r>
      <w:r w:rsidR="00822261">
        <w:t>,</w:t>
      </w:r>
      <w:r w:rsidR="00706A90">
        <w:t xml:space="preserve"> </w:t>
      </w:r>
      <w:r w:rsidR="00822261">
        <w:t>with a manager summarising:</w:t>
      </w:r>
      <w:r w:rsidR="004F1A95">
        <w:t xml:space="preserve"> ‘what you do with the money is more important than where it came from.’ </w:t>
      </w:r>
      <w:r w:rsidR="00822261">
        <w:t>This shows again how</w:t>
      </w:r>
      <w:r w:rsidR="00AB6F02">
        <w:t xml:space="preserve"> the commitment to publicness </w:t>
      </w:r>
      <w:r w:rsidR="00764996">
        <w:t>functioned as</w:t>
      </w:r>
      <w:r w:rsidR="00AB6F02">
        <w:t xml:space="preserve"> a justification in the pursuit of privateness</w:t>
      </w:r>
      <w:r w:rsidR="00822261">
        <w:t>, resulting in on-the-ground conflict</w:t>
      </w:r>
      <w:r w:rsidR="00764996">
        <w:t>s</w:t>
      </w:r>
      <w:r w:rsidR="00822261">
        <w:t xml:space="preserve"> between the two </w:t>
      </w:r>
      <w:r w:rsidR="00764996">
        <w:t xml:space="preserve">oppositional </w:t>
      </w:r>
      <w:r w:rsidR="00822261">
        <w:t xml:space="preserve">categories in performance settings like the private view. </w:t>
      </w:r>
    </w:p>
    <w:p w14:paraId="101A6F4B" w14:textId="250C0883" w:rsidR="00A37536" w:rsidRDefault="00AF241F" w:rsidP="009F700C">
      <w:r>
        <w:t>D</w:t>
      </w:r>
      <w:r w:rsidR="004F1A95">
        <w:t>uring the time of my research</w:t>
      </w:r>
      <w:r w:rsidR="00C56290">
        <w:t>,</w:t>
      </w:r>
      <w:r w:rsidR="004F1A95">
        <w:t xml:space="preserve"> the gallery trialled several new fundraising schemes. These included a </w:t>
      </w:r>
      <w:r w:rsidR="004F1A95" w:rsidRPr="004F1A95">
        <w:t xml:space="preserve">membership scheme with a sliding scale of benefits and </w:t>
      </w:r>
      <w:r w:rsidR="004F1A95">
        <w:t>costs from £35 to £300 per year, as well as a</w:t>
      </w:r>
      <w:r w:rsidR="00C56290">
        <w:t>n</w:t>
      </w:r>
      <w:r w:rsidR="004F1A95">
        <w:t xml:space="preserve"> </w:t>
      </w:r>
      <w:r w:rsidR="007B4DB2">
        <w:t xml:space="preserve">online </w:t>
      </w:r>
      <w:r w:rsidR="004F1A95" w:rsidRPr="004F1A95">
        <w:t>fundraising auction, selling 54 artworks donated by emerging and established artists who had previously exhibited in the art gallery.</w:t>
      </w:r>
      <w:r>
        <w:t xml:space="preserve"> </w:t>
      </w:r>
      <w:r w:rsidR="0046390D" w:rsidRPr="0046390D">
        <w:t xml:space="preserve">Although an auction has a clearly transactional element, layered onto this auction </w:t>
      </w:r>
      <w:r w:rsidR="002B4E3F">
        <w:t>were</w:t>
      </w:r>
      <w:r w:rsidR="0046390D" w:rsidRPr="0046390D">
        <w:t xml:space="preserve"> the meanings and gratifications of private patronage, and, more broadly, served to </w:t>
      </w:r>
      <w:proofErr w:type="spellStart"/>
      <w:r w:rsidR="0046390D" w:rsidRPr="0046390D">
        <w:t>marketise</w:t>
      </w:r>
      <w:proofErr w:type="spellEnd"/>
      <w:r w:rsidR="0046390D" w:rsidRPr="0046390D">
        <w:t xml:space="preserve"> notions of ongoing reciprocity and mutual indebtedness </w:t>
      </w:r>
      <w:r w:rsidR="0046390D" w:rsidRPr="0046390D">
        <w:fldChar w:fldCharType="begin"/>
      </w:r>
      <w:r w:rsidR="0046390D" w:rsidRPr="0046390D">
        <w:instrText xml:space="preserve"> ADDIN EN.CITE &lt;EndNote&gt;&lt;Cite&gt;&lt;Author&gt;Mauss&lt;/Author&gt;&lt;Year&gt;2001&lt;/Year&gt;&lt;RecNum&gt;123&lt;/RecNum&gt;&lt;DisplayText&gt;(Mauss, 2001)&lt;/DisplayText&gt;&lt;record&gt;&lt;rec-number&gt;123&lt;/rec-number&gt;&lt;foreign-keys&gt;&lt;key app="EN" db-id="zarrtdrpp5z2drea05hv0e220drepapwwat9" timestamp="1642687482"&gt;123&lt;/key&gt;&lt;/foreign-keys&gt;&lt;ref-type name="Book"&gt;6&lt;/ref-type&gt;&lt;contributors&gt;&lt;authors&gt;&lt;author&gt;Mauss, Marcel&lt;/author&gt;&lt;/authors&gt;&lt;/contributors&gt;&lt;titles&gt;&lt;title&gt;The Gift: The Form and Reason for Exchange in Archaic Societies&lt;/title&gt;&lt;/titles&gt;&lt;dates&gt;&lt;year&gt;2001&lt;/year&gt;&lt;/dates&gt;&lt;pub-location&gt;Abingdon&lt;/pub-location&gt;&lt;publisher&gt;Routlledge&lt;/publisher&gt;&lt;urls&gt;&lt;/urls&gt;&lt;/record&gt;&lt;/Cite&gt;&lt;/EndNote&gt;</w:instrText>
      </w:r>
      <w:r w:rsidR="0046390D" w:rsidRPr="0046390D">
        <w:fldChar w:fldCharType="separate"/>
      </w:r>
      <w:r w:rsidR="0046390D" w:rsidRPr="0046390D">
        <w:t>(</w:t>
      </w:r>
      <w:proofErr w:type="spellStart"/>
      <w:r w:rsidR="0046390D" w:rsidRPr="0046390D">
        <w:t>Mauss</w:t>
      </w:r>
      <w:proofErr w:type="spellEnd"/>
      <w:r w:rsidR="0046390D" w:rsidRPr="0046390D">
        <w:t>, 2001)</w:t>
      </w:r>
      <w:r w:rsidR="0046390D" w:rsidRPr="0046390D">
        <w:fldChar w:fldCharType="end"/>
      </w:r>
      <w:r w:rsidR="0046390D" w:rsidRPr="0046390D">
        <w:t>. Not only was this an opportunity to invest in art—it would have been possible to buy work from any of the artists featured another way—this was also an opportunity to invest in the general cause of art and to signal support for and association with the art gallery.</w:t>
      </w:r>
      <w:r w:rsidR="0046390D">
        <w:t xml:space="preserve"> </w:t>
      </w:r>
      <w:r>
        <w:t xml:space="preserve">In addition to these fundraising schemes, I was told that more customisable </w:t>
      </w:r>
      <w:r w:rsidRPr="00AF241F">
        <w:t xml:space="preserve">‘tactics’ </w:t>
      </w:r>
      <w:r>
        <w:t xml:space="preserve">were also used </w:t>
      </w:r>
      <w:r w:rsidRPr="00AF241F">
        <w:t>to ‘lure’ potential private income, including offering ‘logos on the wall, drinks receptions in the gallery, or private tours.’</w:t>
      </w:r>
    </w:p>
    <w:p w14:paraId="6211A94F" w14:textId="20F678B2" w:rsidR="009F700C" w:rsidRDefault="009F700C" w:rsidP="009F700C">
      <w:r w:rsidRPr="00EA2062">
        <w:t>These ‘tactics’ came to bear on the design of the private view</w:t>
      </w:r>
      <w:r w:rsidR="00AF241F">
        <w:t>. T</w:t>
      </w:r>
      <w:r w:rsidRPr="00EA2062">
        <w:t xml:space="preserve">he decision </w:t>
      </w:r>
      <w:r w:rsidR="00AF241F">
        <w:t xml:space="preserve">was taken </w:t>
      </w:r>
      <w:r w:rsidRPr="00EA2062">
        <w:t xml:space="preserve">to host an exclusive event in addition to the </w:t>
      </w:r>
      <w:r w:rsidR="00AF241F">
        <w:t>standard</w:t>
      </w:r>
      <w:r w:rsidR="00B35C90">
        <w:t>,</w:t>
      </w:r>
      <w:r w:rsidR="00AF241F">
        <w:t xml:space="preserve"> </w:t>
      </w:r>
      <w:proofErr w:type="spellStart"/>
      <w:r w:rsidRPr="00EA2062">
        <w:t>public</w:t>
      </w:r>
      <w:r w:rsidR="009948DC">
        <w:t>al</w:t>
      </w:r>
      <w:r w:rsidRPr="00EA2062">
        <w:t>ly</w:t>
      </w:r>
      <w:proofErr w:type="spellEnd"/>
      <w:r w:rsidRPr="00EA2062">
        <w:t xml:space="preserve"> </w:t>
      </w:r>
      <w:r w:rsidR="00706A90" w:rsidRPr="00EA2062">
        <w:t>accessible</w:t>
      </w:r>
      <w:r w:rsidRPr="00EA2062">
        <w:t xml:space="preserve"> </w:t>
      </w:r>
      <w:r w:rsidR="00706A90">
        <w:t xml:space="preserve">and </w:t>
      </w:r>
      <w:r w:rsidRPr="00EA2062">
        <w:t xml:space="preserve">larger event. Invites were sent to individuals, or ‘friends of [the gallery],’ to whom the staff wished to make relatively direct appeals in the service of </w:t>
      </w:r>
      <w:r w:rsidR="00AF241F">
        <w:t>an upcoming</w:t>
      </w:r>
      <w:r w:rsidR="009F4FDC">
        <w:t xml:space="preserve"> online</w:t>
      </w:r>
      <w:r w:rsidR="00AF241F">
        <w:t xml:space="preserve"> fundraising</w:t>
      </w:r>
      <w:r w:rsidRPr="00EA2062">
        <w:t xml:space="preserve"> auction. This invite-only event was the operationalisation of the ‘social identity’ model of arts funding, aiming to engender in attendees a sense of identity or association with the art gallery that might endear them to the auction or other ways to financially support the organisation (Swanson &amp; Davis, 2006). In order to achieve this, the art gallery sought to create a distinguished and distinguishing atmosphere at this invite-only event—in a word</w:t>
      </w:r>
      <w:r w:rsidR="00E16CCC">
        <w:t>, they sought an atmosphere of privateness.</w:t>
      </w:r>
      <w:r w:rsidR="00AF241F">
        <w:t xml:space="preserve"> This event started earlier than, but merged into, a freely accessible event where guests could see the exhibition and socialise in and around the gallery. This ‘public-facing’</w:t>
      </w:r>
      <w:r w:rsidR="00A02988">
        <w:t xml:space="preserve"> event fit into the sector wide performance of arts’ publicness. </w:t>
      </w:r>
    </w:p>
    <w:p w14:paraId="549DFBB6" w14:textId="7FC37CD1" w:rsidR="00AF241F" w:rsidRPr="00EA2062" w:rsidRDefault="00A02988" w:rsidP="009F700C">
      <w:r>
        <w:lastRenderedPageBreak/>
        <w:t xml:space="preserve">The gallery therefore had to administer two separate and apparently conflicting performances during the same private view. The invite-only event had to furnish the group of attendees with the trappings of privateness, </w:t>
      </w:r>
      <w:proofErr w:type="gramStart"/>
      <w:r>
        <w:t>i.e.</w:t>
      </w:r>
      <w:proofErr w:type="gramEnd"/>
      <w:r>
        <w:t xml:space="preserve"> a personal and exclusive experience, with a view to engender a feeling of personal attachment justifying financial investment. The public-facing event had to furnish the group of attendees with the trappings of publicness, </w:t>
      </w:r>
      <w:proofErr w:type="gramStart"/>
      <w:r>
        <w:t>i.e.</w:t>
      </w:r>
      <w:proofErr w:type="gramEnd"/>
      <w:r>
        <w:t xml:space="preserve"> an experience of social inclusivity and collectively, with a view to supporting an organisation narrative of its civic function. In what follows, </w:t>
      </w:r>
      <w:r w:rsidR="00B35C90">
        <w:t xml:space="preserve">this will be shown to have been achieved through the manipulation of </w:t>
      </w:r>
      <w:r w:rsidR="00B35C90" w:rsidRPr="00B35C90">
        <w:rPr>
          <w:i/>
        </w:rPr>
        <w:t>arenas</w:t>
      </w:r>
      <w:r w:rsidR="00B35C90" w:rsidRPr="00B35C90">
        <w:t>,</w:t>
      </w:r>
      <w:r w:rsidR="00B35C90" w:rsidRPr="00B35C90">
        <w:rPr>
          <w:i/>
        </w:rPr>
        <w:t xml:space="preserve"> relations</w:t>
      </w:r>
      <w:r w:rsidR="00B35C90" w:rsidRPr="00B35C90">
        <w:t>, and</w:t>
      </w:r>
      <w:r w:rsidR="00B35C90" w:rsidRPr="00B35C90">
        <w:rPr>
          <w:i/>
        </w:rPr>
        <w:t xml:space="preserve"> histories</w:t>
      </w:r>
      <w:r w:rsidR="00B35C90">
        <w:rPr>
          <w:i/>
        </w:rPr>
        <w:t>.</w:t>
      </w:r>
    </w:p>
    <w:p w14:paraId="020A31A8" w14:textId="77777777" w:rsidR="00B35C90" w:rsidRPr="00B35C90" w:rsidRDefault="00B35C90" w:rsidP="00E16CCC">
      <w:pPr>
        <w:pStyle w:val="Heading3"/>
      </w:pPr>
      <w:r w:rsidRPr="00B35C90">
        <w:t>Arenas</w:t>
      </w:r>
    </w:p>
    <w:p w14:paraId="5C1FADA8" w14:textId="05B30362" w:rsidR="00B35C90" w:rsidRPr="00706A90" w:rsidRDefault="00B35C90" w:rsidP="00B35C90">
      <w:r w:rsidRPr="00706A90">
        <w:t>The art gallery of my study had at its disposal several settings within its building. Each of these settings were designed and employed by staff towards specific ends. The symbolic focal point of the building was the gallery itself. The gallery, however, took up a relatively small footprint within the building. As is typical of contemporary art galleries, the building also featured a casual café frequented by both gallerygoers and non-gallerygoers, a series of specialised shops, conference rooms available for private hire, and a performance space used for musical, dance, and other events. In addition, the building had a space branded as the ‘Bistro.’ This was a relatively ‘upmarket’ space, offering the ‘freshest and finest’ meals available at a higher price point than the café, a bar serving soft and alcoholic drinks, and a mixture of dining table and lounge seating. The Bistro was available for hire for special and formal events, such as weddings, providing an income stream.</w:t>
      </w:r>
      <w:r w:rsidR="00706A90">
        <w:rPr>
          <w:rStyle w:val="FootnoteReference"/>
        </w:rPr>
        <w:footnoteReference w:id="4"/>
      </w:r>
      <w:r w:rsidRPr="00706A90">
        <w:t xml:space="preserve"> As such, the space was frequently reproduced in the art gallery’s marketing material with a view to characterise it as a chic, elegant, and aspirational place.</w:t>
      </w:r>
    </w:p>
    <w:p w14:paraId="4655E5A4" w14:textId="487CDE26" w:rsidR="00B35C90" w:rsidRPr="00706A90" w:rsidRDefault="00E16CCC" w:rsidP="00B35C90">
      <w:r>
        <w:t>It wa</w:t>
      </w:r>
      <w:r w:rsidR="00B35C90" w:rsidRPr="00706A90">
        <w:t>s incumbent on the gallery’s staff to select locations within its building that best serve the organisational performances required by specific events, the spaces most likely to bring about the desired behaviours, thoughts, and emotions in participants. The Bistro was identified as the appropriate location in which to host the invite-only drinks reception of the opening night. This was a strategic ‘tactic’ employed by gallery staff, intended to furnish the invite-only group with an arena that matched their elevated social position</w:t>
      </w:r>
      <w:r>
        <w:t>, their private seclusion from the general public,</w:t>
      </w:r>
      <w:r w:rsidR="00B35C90" w:rsidRPr="00706A90">
        <w:t xml:space="preserve"> and to engender the desired sense of emotional and cultural attachment to the organisation. The Bistro recommended itself to this pursuit in three ways.</w:t>
      </w:r>
    </w:p>
    <w:p w14:paraId="6857ACBA" w14:textId="2EC85D5C" w:rsidR="00B35C90" w:rsidRPr="00706A90" w:rsidRDefault="00B35C90" w:rsidP="00B35C90">
      <w:r w:rsidRPr="00706A90">
        <w:t>The first asset of the B</w:t>
      </w:r>
      <w:r w:rsidR="00E16CCC">
        <w:t>istro was spatial. The Bistro was</w:t>
      </w:r>
      <w:r w:rsidRPr="00706A90">
        <w:t xml:space="preserve"> physically elevated and distinct from other settings within the art gallery. As such, </w:t>
      </w:r>
      <w:proofErr w:type="gramStart"/>
      <w:r w:rsidRPr="00706A90">
        <w:t>invited-guests</w:t>
      </w:r>
      <w:proofErr w:type="gramEnd"/>
      <w:r w:rsidRPr="00706A90">
        <w:t xml:space="preserve"> made their way through the rest of the building and its activity, ascending the stairs that led them out of the </w:t>
      </w:r>
      <w:proofErr w:type="spellStart"/>
      <w:r w:rsidRPr="00706A90">
        <w:t>public</w:t>
      </w:r>
      <w:r w:rsidR="009948DC">
        <w:t>al</w:t>
      </w:r>
      <w:r w:rsidRPr="00706A90">
        <w:t>ly</w:t>
      </w:r>
      <w:proofErr w:type="spellEnd"/>
      <w:r w:rsidRPr="00706A90">
        <w:t xml:space="preserve"> accessible spaces and into a space to which their invite granted them entry. This was not signposted</w:t>
      </w:r>
      <w:r w:rsidR="00764996">
        <w:t>.</w:t>
      </w:r>
      <w:r w:rsidRPr="00706A90">
        <w:t xml:space="preserve"> </w:t>
      </w:r>
      <w:proofErr w:type="gramStart"/>
      <w:r w:rsidR="00764996">
        <w:t>I</w:t>
      </w:r>
      <w:r w:rsidRPr="00706A90">
        <w:t>nstead</w:t>
      </w:r>
      <w:proofErr w:type="gramEnd"/>
      <w:r w:rsidRPr="00706A90">
        <w:t xml:space="preserve"> guests either engaged members of staff or relied on previous experiences within the gallery to locate the drinks reception. In </w:t>
      </w:r>
      <w:r w:rsidRPr="00706A90">
        <w:lastRenderedPageBreak/>
        <w:t>the act of following this route, and the confidence with which they did so, guests claimed and signified their membership of the gallery’s group of ‘friends.’ This process—the leaving behind of the public space—w</w:t>
      </w:r>
      <w:r w:rsidR="00E16CCC">
        <w:t>as a journey into privateness.</w:t>
      </w:r>
      <w:r w:rsidRPr="00706A90">
        <w:t xml:space="preserve"> </w:t>
      </w:r>
    </w:p>
    <w:p w14:paraId="068A47D8" w14:textId="247B17BE" w:rsidR="00B35C90" w:rsidRPr="00706A90" w:rsidRDefault="00B35C90" w:rsidP="00B35C90">
      <w:r w:rsidRPr="00706A90">
        <w:t>The second asset of the Bistro was aesthetic. The dark wood and leather interior of the space, the high ceilings, and large works of art on the walls spoke to a modish and sophisticated aesthetics. The design language here, and in contrast to elsewhere in the building, carried with it a parallel etiquette and atmosphere of relative formality while being sufficiently inviting to encourage congenial sociability. This is an aesthetic and ambiance comfortable with the socia</w:t>
      </w:r>
      <w:r w:rsidR="00E16CCC">
        <w:t>lly elevated, elevating and private</w:t>
      </w:r>
      <w:r w:rsidRPr="00706A90">
        <w:t xml:space="preserve"> (</w:t>
      </w:r>
      <w:proofErr w:type="gramStart"/>
      <w:r w:rsidRPr="00706A90">
        <w:t>i.e.</w:t>
      </w:r>
      <w:proofErr w:type="gramEnd"/>
      <w:r w:rsidRPr="00706A90">
        <w:t xml:space="preserve"> bourgeois) position of arts and cultural spaces, a symbolic space in which the group were invited to ‘belong.’ The bistro also provided an aesthetic umbrella under which specific sets of meanings could circulate—the close associative link between cultural organisations and privileged or elevated social groups, their leisure pursuits, and their patronage, for example—sets of meanings that are wilfully distanced from other areas of t</w:t>
      </w:r>
      <w:r w:rsidR="00E16CCC">
        <w:t>he art gallery such as the café.</w:t>
      </w:r>
    </w:p>
    <w:p w14:paraId="01F2EF02" w14:textId="728B7C89" w:rsidR="00B35C90" w:rsidRPr="00706A90" w:rsidRDefault="00B35C90" w:rsidP="00B35C90">
      <w:r w:rsidRPr="00706A90">
        <w:t xml:space="preserve">The final asset of the Bistro was material. The room had only one entrance at which the gallery’s Artistic Director and CEO were stationed, ensuring guests, who typically arrived in pairs or small groups, were immediately greeted, often by name. This </w:t>
      </w:r>
      <w:r w:rsidR="00E16CCC">
        <w:t xml:space="preserve">personal welcome </w:t>
      </w:r>
      <w:r w:rsidRPr="00706A90">
        <w:t>established a sense of privacy and intimacy</w:t>
      </w:r>
      <w:r w:rsidR="00E16CCC">
        <w:t xml:space="preserve">. A </w:t>
      </w:r>
      <w:r w:rsidRPr="00706A90">
        <w:t xml:space="preserve">large bar occupied the centre of the room, providing a visual focal point and evoking rituals of pleasure. Complimentary drinks were laid out on the bar in champagne flutes, served by a member of the gallery’s catering team wearing smarter clothes than was typical for this team. Low tables provided surfaces for guests to congregate </w:t>
      </w:r>
      <w:proofErr w:type="gramStart"/>
      <w:r w:rsidRPr="00706A90">
        <w:t>around</w:t>
      </w:r>
      <w:proofErr w:type="gramEnd"/>
      <w:r w:rsidRPr="00706A90">
        <w:t xml:space="preserve"> and onto which </w:t>
      </w:r>
      <w:r w:rsidR="00BB09C7">
        <w:t xml:space="preserve">catalogues for the upcoming online </w:t>
      </w:r>
      <w:r w:rsidR="00BB7D2A">
        <w:t xml:space="preserve">auction </w:t>
      </w:r>
      <w:r w:rsidRPr="00706A90">
        <w:t>were placed, but the sofas and seating were largely overlooked in favour of standing in small groups. The relatively spacious layout of the room also allowed individuals to mingle at ease, to greet acquaintances, to move in and out of bubbles of conversation, and for staff to circulate. This lent the event a dynamism as people flowed through the space, without requiring a high degree of commitment to interact with strangers. Taken together, these material factors backed up the</w:t>
      </w:r>
      <w:r w:rsidR="00E16CCC">
        <w:t xml:space="preserve"> organisational performance of privateness,</w:t>
      </w:r>
      <w:r w:rsidRPr="00706A90">
        <w:t xml:space="preserve"> both as a simp</w:t>
      </w:r>
      <w:r w:rsidR="00E16CCC">
        <w:t>le description (</w:t>
      </w:r>
      <w:proofErr w:type="gramStart"/>
      <w:r w:rsidR="00E16CCC">
        <w:t>i.e.</w:t>
      </w:r>
      <w:proofErr w:type="gramEnd"/>
      <w:r w:rsidR="00E16CCC">
        <w:t xml:space="preserve"> protected from the generalised public</w:t>
      </w:r>
      <w:r w:rsidRPr="00706A90">
        <w:t>) and as a social script, or interaction order, with attached behaviours and interpersonal conventions.</w:t>
      </w:r>
    </w:p>
    <w:p w14:paraId="6060C71F" w14:textId="239E54D2" w:rsidR="009204A6" w:rsidRPr="00706A90" w:rsidRDefault="00E16CCC" w:rsidP="00B35C90">
      <w:r>
        <w:t>In comparison, the public-facing</w:t>
      </w:r>
      <w:r w:rsidR="00B35C90" w:rsidRPr="00706A90">
        <w:t xml:space="preserve"> even</w:t>
      </w:r>
      <w:r w:rsidR="005B05DE" w:rsidRPr="00706A90">
        <w:t>t was hosted in the café. This wa</w:t>
      </w:r>
      <w:r w:rsidR="00B35C90" w:rsidRPr="00706A90">
        <w:t xml:space="preserve">s typically the most populated area within the gallery, a space busy with casual social interactions. Unlike </w:t>
      </w:r>
      <w:r w:rsidR="005B05DE" w:rsidRPr="00706A90">
        <w:t>the Bistro, the aesthetic here was wilfully welcoming. It was</w:t>
      </w:r>
      <w:r w:rsidR="00B35C90" w:rsidRPr="00706A90">
        <w:t xml:space="preserve"> a</w:t>
      </w:r>
      <w:r w:rsidR="00E75FFA" w:rsidRPr="00706A90">
        <w:t>iry</w:t>
      </w:r>
      <w:r w:rsidR="00B35C90" w:rsidRPr="00706A90">
        <w:t xml:space="preserve"> and spacious</w:t>
      </w:r>
      <w:r w:rsidR="00E75FFA" w:rsidRPr="00706A90">
        <w:t>, with an artfully dishevelled ‘kids’ corner.</w:t>
      </w:r>
      <w:r w:rsidR="00B35C90" w:rsidRPr="00706A90">
        <w:t>’</w:t>
      </w:r>
      <w:r w:rsidR="00E75FFA" w:rsidRPr="00706A90">
        <w:t xml:space="preserve"> Unlike the dark interior design of the Bistro, the café</w:t>
      </w:r>
      <w:r w:rsidR="005B05DE" w:rsidRPr="00706A90">
        <w:t xml:space="preserve"> wa</w:t>
      </w:r>
      <w:r w:rsidR="00E75FFA" w:rsidRPr="00706A90">
        <w:t>s</w:t>
      </w:r>
      <w:r w:rsidR="005B05DE" w:rsidRPr="00706A90">
        <w:t xml:space="preserve"> white and bright. </w:t>
      </w:r>
      <w:r w:rsidR="00FC0955">
        <w:t>This is an aesthetic familiar from many contemporary coffee shops, which equally capitalise on a notional publicness</w:t>
      </w:r>
      <w:r w:rsidR="00D07D87">
        <w:t xml:space="preserve"> (Bookman, 2013; Felton, 2018)</w:t>
      </w:r>
      <w:r w:rsidR="00FC0955">
        <w:t xml:space="preserve">. </w:t>
      </w:r>
      <w:r w:rsidR="00D07D87">
        <w:t>This offered an aesthetic symmetry with</w:t>
      </w:r>
      <w:r w:rsidR="00E75FFA" w:rsidRPr="00706A90">
        <w:t xml:space="preserve"> the white walls of the adjo</w:t>
      </w:r>
      <w:r w:rsidR="005B05DE" w:rsidRPr="00706A90">
        <w:t>ining gallery,</w:t>
      </w:r>
      <w:r w:rsidR="00D07D87">
        <w:t xml:space="preserve"> and</w:t>
      </w:r>
      <w:r w:rsidR="005B05DE" w:rsidRPr="00706A90">
        <w:t xml:space="preserve"> it also distanced</w:t>
      </w:r>
      <w:r w:rsidR="00E75FFA" w:rsidRPr="00706A90">
        <w:t xml:space="preserve"> it from the formal and dark design languag</w:t>
      </w:r>
      <w:r w:rsidR="005B05DE" w:rsidRPr="00706A90">
        <w:t xml:space="preserve">e of the Bistro. </w:t>
      </w:r>
      <w:r w:rsidR="00BB09C7">
        <w:t>I</w:t>
      </w:r>
      <w:r w:rsidR="005B05DE" w:rsidRPr="00706A90">
        <w:t xml:space="preserve">t </w:t>
      </w:r>
      <w:r w:rsidR="005B05DE" w:rsidRPr="00706A90">
        <w:lastRenderedPageBreak/>
        <w:t>wa</w:t>
      </w:r>
      <w:r w:rsidR="00E75FFA" w:rsidRPr="00706A90">
        <w:t xml:space="preserve">s large with high ceilings, which amplified that hubbub </w:t>
      </w:r>
      <w:r>
        <w:t>of conversations at the public-facing</w:t>
      </w:r>
      <w:r w:rsidR="00E75FFA" w:rsidRPr="00706A90">
        <w:t xml:space="preserve"> event and allowed people to flow freely through the different pockets of conversation (often greeting acquaintances as they did so). Wine was available, although donations were suggested, and speeches were greeted with emphatic applause. </w:t>
      </w:r>
      <w:r w:rsidR="009204A6" w:rsidRPr="00706A90">
        <w:t>In aesthetics, space</w:t>
      </w:r>
      <w:r w:rsidR="002B4E3F">
        <w:t>,</w:t>
      </w:r>
      <w:r w:rsidR="009204A6" w:rsidRPr="00706A90">
        <w:t xml:space="preserve"> and symbolism the café provided a light and ‘open’ atmosphere, which complimented an organisational performance aligned to the apparent openness and hospitableness of publicness (</w:t>
      </w:r>
      <w:r w:rsidR="00BB09C7">
        <w:t xml:space="preserve">this ‘openness’ is a design language common to contemporary gallery </w:t>
      </w:r>
      <w:r w:rsidR="00C7272E">
        <w:t>architecture</w:t>
      </w:r>
      <w:r w:rsidR="00BB09C7">
        <w:t xml:space="preserve"> (Smart, 2020</w:t>
      </w:r>
      <w:r w:rsidR="009204A6" w:rsidRPr="00706A90">
        <w:t>)</w:t>
      </w:r>
      <w:r w:rsidR="00C7272E">
        <w:t>)</w:t>
      </w:r>
      <w:r w:rsidR="009204A6" w:rsidRPr="00706A90">
        <w:t xml:space="preserve">. </w:t>
      </w:r>
    </w:p>
    <w:p w14:paraId="7CE3B5BD" w14:textId="0C28C7F8" w:rsidR="00B66E58" w:rsidRPr="00706A90" w:rsidRDefault="009204A6" w:rsidP="00B35C90">
      <w:r w:rsidRPr="00706A90">
        <w:t>The café is also the par</w:t>
      </w:r>
      <w:r w:rsidR="00E16CCC">
        <w:t>t of the gallery that interfaced</w:t>
      </w:r>
      <w:r w:rsidRPr="00706A90">
        <w:t xml:space="preserve"> most with the surrounding city</w:t>
      </w:r>
      <w:r w:rsidR="005B05DE" w:rsidRPr="00706A90">
        <w:t xml:space="preserve"> in ways that often </w:t>
      </w:r>
      <w:r w:rsidR="00E16CCC">
        <w:t>had</w:t>
      </w:r>
      <w:r w:rsidR="005B05DE" w:rsidRPr="00706A90">
        <w:t xml:space="preserve"> little to do with the artistic programme</w:t>
      </w:r>
      <w:r w:rsidRPr="00706A90">
        <w:t xml:space="preserve">. </w:t>
      </w:r>
      <w:r w:rsidR="005B05DE" w:rsidRPr="00706A90">
        <w:t xml:space="preserve">In the everyday life of the gallery, the café is where people came to rest during a day’s shopping, or which they used as a shortcut, or where they came </w:t>
      </w:r>
      <w:r w:rsidR="00B66E58" w:rsidRPr="00706A90">
        <w:t xml:space="preserve">just </w:t>
      </w:r>
      <w:r w:rsidR="005B05DE" w:rsidRPr="00706A90">
        <w:t>to</w:t>
      </w:r>
      <w:r w:rsidR="00B66E58" w:rsidRPr="00706A90">
        <w:t xml:space="preserve"> </w:t>
      </w:r>
      <w:r w:rsidR="005B05DE" w:rsidRPr="00706A90">
        <w:t>spend time, with no intention of consuming either art o</w:t>
      </w:r>
      <w:r w:rsidR="002B4E3F">
        <w:t>r</w:t>
      </w:r>
      <w:r w:rsidR="005B05DE" w:rsidRPr="00706A90">
        <w:t xml:space="preserve"> coffee.</w:t>
      </w:r>
      <w:r w:rsidR="005521EF" w:rsidRPr="00706A90">
        <w:t xml:space="preserve"> In this respect, the café was perhaps more consequential for the ‘civic’ branding of the gallery than the art it displayed.</w:t>
      </w:r>
      <w:r w:rsidR="005B05DE" w:rsidRPr="00706A90">
        <w:t xml:space="preserve"> For those who did want to engage with the </w:t>
      </w:r>
      <w:r w:rsidR="005521EF" w:rsidRPr="00706A90">
        <w:t>art</w:t>
      </w:r>
      <w:r w:rsidR="005B05DE" w:rsidRPr="00706A90">
        <w:t xml:space="preserve">, they must first go through the café. This was key to the selection of the café as the arena for the public-facing private view. It suggested a continuity between the art that occasioned the private view and the diverse social life that routinely animated the space. What’s more, it provided a setting in which the casual social interactions in the café could spill over into the gallery, again suggesting a continuity which supported an organisational performance of publicness. </w:t>
      </w:r>
    </w:p>
    <w:p w14:paraId="0D31CDAE" w14:textId="77777777" w:rsidR="00B66E58" w:rsidRPr="00706A90" w:rsidRDefault="00B66E58" w:rsidP="00E16CCC">
      <w:pPr>
        <w:pStyle w:val="Heading3"/>
      </w:pPr>
      <w:r w:rsidRPr="00706A90">
        <w:t>Relations</w:t>
      </w:r>
    </w:p>
    <w:p w14:paraId="4AAC3A84" w14:textId="138C3A1B" w:rsidR="00B66E58" w:rsidRPr="00706A90" w:rsidRDefault="00B66E58" w:rsidP="00B66E58">
      <w:r w:rsidRPr="00706A90">
        <w:t>Back in the Bistro, social practices of staff working the even</w:t>
      </w:r>
      <w:r w:rsidR="00E16CCC">
        <w:t xml:space="preserve">t consolidated its </w:t>
      </w:r>
      <w:r w:rsidRPr="00706A90">
        <w:t>privateness. In order to both achieve and signal the occasion’s ‘protection’ from the generalised public, and as already noted, high-ranking staff were located at the events’ entrance. This had two effects. Firstly, it acted as a form of light policing. This same effect could have been achieved with varying levels of conspicuousness: from the use of bouncers and a ‘your name</w:t>
      </w:r>
      <w:r w:rsidR="002B4E3F">
        <w:t>’</w:t>
      </w:r>
      <w:r w:rsidRPr="00706A90">
        <w:t xml:space="preserve">s not down, you’re not coming in’ mentality, to a more delicate and subtle approach. The latter option was chosen, </w:t>
      </w:r>
      <w:r w:rsidR="00C7272E">
        <w:t>which nonetheless</w:t>
      </w:r>
      <w:r w:rsidRPr="00706A90">
        <w:t xml:space="preserve"> allowed </w:t>
      </w:r>
      <w:proofErr w:type="gramStart"/>
      <w:r w:rsidRPr="00706A90">
        <w:t>invited-guests</w:t>
      </w:r>
      <w:proofErr w:type="gramEnd"/>
      <w:r w:rsidRPr="00706A90">
        <w:t xml:space="preserve"> to be assured of their own legitimacy as guests, and likewise the legitimacy of other guests. It also afforded a degree of flexibility, as the staff could spontaneously admit people (such as myself) or turn them away. This marked attendees as members of an ‘in group’—a core tenant of private events, and notably different to the unrestricted</w:t>
      </w:r>
      <w:r w:rsidR="00E16CCC">
        <w:t xml:space="preserve"> welcome offered at the public-facing</w:t>
      </w:r>
      <w:r w:rsidRPr="00706A90">
        <w:t xml:space="preserve"> event.</w:t>
      </w:r>
    </w:p>
    <w:p w14:paraId="4C4DBD88" w14:textId="7C489F63" w:rsidR="00B66E58" w:rsidRPr="00706A90" w:rsidRDefault="00B66E58" w:rsidP="00B66E58">
      <w:r w:rsidRPr="00706A90">
        <w:t>Members of staff from the development and programming team also attend</w:t>
      </w:r>
      <w:r w:rsidR="00764996">
        <w:t>ed</w:t>
      </w:r>
      <w:r w:rsidRPr="00706A90">
        <w:t xml:space="preserve"> the private event. These staff members circulated throughout the gathering to a higher degree than the Artistic Director and CEO. They held sustained, interpersonal interactions with individuals or small groups of attendees with whom they often had little preceding social connections. In these interactions, staff members performed deference, and did not </w:t>
      </w:r>
      <w:proofErr w:type="gramStart"/>
      <w:r w:rsidRPr="00706A90">
        <w:t>enter into</w:t>
      </w:r>
      <w:proofErr w:type="gramEnd"/>
      <w:r w:rsidRPr="00706A90">
        <w:t xml:space="preserve"> conversations on an equal social footing. They would wait for an opening, or a visual cue, signifying that attendees’ attention had been caught by the auction catalogues </w:t>
      </w:r>
      <w:r w:rsidR="00764996">
        <w:t>that</w:t>
      </w:r>
      <w:r w:rsidR="00764996" w:rsidRPr="00706A90">
        <w:t xml:space="preserve"> </w:t>
      </w:r>
      <w:r w:rsidRPr="00706A90">
        <w:t xml:space="preserve">were distributed around the Bistro. Taking up this cue, staff members would politely </w:t>
      </w:r>
      <w:r w:rsidRPr="00706A90">
        <w:lastRenderedPageBreak/>
        <w:t xml:space="preserve">insert themselves into proximity with the </w:t>
      </w:r>
      <w:proofErr w:type="gramStart"/>
      <w:r w:rsidRPr="00706A90">
        <w:t>attendee, and</w:t>
      </w:r>
      <w:proofErr w:type="gramEnd"/>
      <w:r w:rsidRPr="00706A90">
        <w:t xml:space="preserve"> provide information about the </w:t>
      </w:r>
      <w:r w:rsidR="00BB7D2A">
        <w:t xml:space="preserve">upcoming online </w:t>
      </w:r>
      <w:r w:rsidRPr="00706A90">
        <w:t>auction including the connections between the art works on sale and the art gallery. Once this interaction had come to a natural conclusion</w:t>
      </w:r>
      <w:r w:rsidR="002B4E3F">
        <w:t>,</w:t>
      </w:r>
      <w:r w:rsidRPr="00706A90">
        <w:t xml:space="preserve"> staff members politely retreated. As such, their labour at this event can be seen as a supplement to the auction catalogues themselves</w:t>
      </w:r>
      <w:r w:rsidR="00BB7D2A">
        <w:t xml:space="preserve">, </w:t>
      </w:r>
      <w:r w:rsidR="00104268">
        <w:t xml:space="preserve">explicitly framing the investment as a civic good </w:t>
      </w:r>
      <w:r w:rsidR="00C7272E">
        <w:t>couched in a relation of</w:t>
      </w:r>
      <w:r w:rsidR="00104268">
        <w:t xml:space="preserve"> ‘friendship,’ while implicitly offering a way to signal support for the </w:t>
      </w:r>
      <w:proofErr w:type="gramStart"/>
      <w:r w:rsidR="00104268">
        <w:t>arts, and</w:t>
      </w:r>
      <w:proofErr w:type="gramEnd"/>
      <w:r w:rsidR="00104268">
        <w:t xml:space="preserve"> feel connected to the art gallery as cultural organisation of note</w:t>
      </w:r>
      <w:r w:rsidRPr="00706A90">
        <w:t>. The</w:t>
      </w:r>
      <w:r w:rsidR="00104268">
        <w:t>se interactions</w:t>
      </w:r>
      <w:r w:rsidRPr="00706A90">
        <w:t xml:space="preserve">—characterised by deference and bounded by instrumentality—were one of the most conspicuous ways in which the gathered group of attendees </w:t>
      </w:r>
      <w:r w:rsidR="002B4E3F">
        <w:t>was</w:t>
      </w:r>
      <w:r w:rsidR="002B4E3F" w:rsidRPr="00706A90">
        <w:t xml:space="preserve"> </w:t>
      </w:r>
      <w:r w:rsidRPr="00706A90">
        <w:t xml:space="preserve">linked to the agenda of the art gallery to generate private income.   </w:t>
      </w:r>
    </w:p>
    <w:p w14:paraId="4BFEC64F" w14:textId="6DD90587" w:rsidR="003238B1" w:rsidRPr="00706A90" w:rsidRDefault="00EB76AF" w:rsidP="00B66E58">
      <w:r w:rsidRPr="00706A90">
        <w:t>Following</w:t>
      </w:r>
      <w:r w:rsidR="00B66E58" w:rsidRPr="00706A90">
        <w:t xml:space="preserve"> the</w:t>
      </w:r>
      <w:r w:rsidR="005B2FBA" w:rsidRPr="00706A90">
        <w:t xml:space="preserve"> wine reception, a</w:t>
      </w:r>
      <w:r w:rsidR="00B66E58" w:rsidRPr="00706A90">
        <w:t xml:space="preserve"> private tour offe</w:t>
      </w:r>
      <w:r w:rsidR="005B2FBA" w:rsidRPr="00706A90">
        <w:t xml:space="preserve">red to invite-only attendees </w:t>
      </w:r>
      <w:r w:rsidR="00B66E58" w:rsidRPr="00706A90">
        <w:t>made them the first audience group to experienc</w:t>
      </w:r>
      <w:r w:rsidRPr="00706A90">
        <w:t xml:space="preserve">e the exhibition. As </w:t>
      </w:r>
      <w:r w:rsidR="00B66E58" w:rsidRPr="00706A90">
        <w:t>members of this group emerged from the gallery</w:t>
      </w:r>
      <w:r w:rsidR="005B2FBA" w:rsidRPr="00706A90">
        <w:t>,</w:t>
      </w:r>
      <w:r w:rsidR="00B66E58" w:rsidRPr="00706A90">
        <w:t xml:space="preserve"> </w:t>
      </w:r>
      <w:r w:rsidRPr="00706A90">
        <w:t>they</w:t>
      </w:r>
      <w:r w:rsidR="00B66E58" w:rsidRPr="00706A90">
        <w:t xml:space="preserve"> merged with the generalised public at the rest of the opening night</w:t>
      </w:r>
      <w:r w:rsidRPr="00706A90">
        <w:t xml:space="preserve">, </w:t>
      </w:r>
      <w:r w:rsidR="005B2FBA" w:rsidRPr="00706A90">
        <w:t xml:space="preserve">smoothly </w:t>
      </w:r>
      <w:r w:rsidRPr="00706A90">
        <w:t>becoming part of this larger group</w:t>
      </w:r>
      <w:r w:rsidR="00B66E58" w:rsidRPr="00706A90">
        <w:t xml:space="preserve">. </w:t>
      </w:r>
      <w:r w:rsidRPr="00706A90">
        <w:t xml:space="preserve">This evidenced the social </w:t>
      </w:r>
      <w:r w:rsidR="005B2FBA" w:rsidRPr="00706A90">
        <w:t>pecking order</w:t>
      </w:r>
      <w:r w:rsidRPr="00706A90">
        <w:t xml:space="preserve"> that the gallery </w:t>
      </w:r>
      <w:r w:rsidR="005B2FBA" w:rsidRPr="00706A90">
        <w:t>had</w:t>
      </w:r>
      <w:r w:rsidRPr="00706A90">
        <w:t xml:space="preserve"> set up in the event. </w:t>
      </w:r>
      <w:r w:rsidR="00B66E58" w:rsidRPr="00706A90">
        <w:t>Membership of the invite-only group was a sufficient condition of entry to the wider public; membership of the wider public was an insufficient cond</w:t>
      </w:r>
      <w:r w:rsidR="00BB44EE">
        <w:t>ition of entry to the group of private</w:t>
      </w:r>
      <w:r w:rsidR="00B66E58" w:rsidRPr="00706A90">
        <w:t xml:space="preserve"> guests. As such, the invite-only event did not only cultivate differences between sections of the gallery’s guests, </w:t>
      </w:r>
      <w:proofErr w:type="gramStart"/>
      <w:r w:rsidR="00B66E58" w:rsidRPr="00706A90">
        <w:t>it</w:t>
      </w:r>
      <w:proofErr w:type="gramEnd"/>
      <w:r w:rsidR="00B66E58" w:rsidRPr="00706A90">
        <w:t xml:space="preserve"> stratified and ordered these differentiated groups, nesting an ‘insider’ or private group within the larger and generalised public. </w:t>
      </w:r>
    </w:p>
    <w:p w14:paraId="737F1179" w14:textId="6653BB49" w:rsidR="00E438FF" w:rsidRPr="00706A90" w:rsidRDefault="001338F8" w:rsidP="00B66E58">
      <w:r w:rsidRPr="00706A90">
        <w:t xml:space="preserve">This </w:t>
      </w:r>
      <w:r w:rsidR="003238B1" w:rsidRPr="00706A90">
        <w:t>illuminates something further: i</w:t>
      </w:r>
      <w:r w:rsidRPr="00706A90">
        <w:t xml:space="preserve">t was not a mistake or aberration for </w:t>
      </w:r>
      <w:r w:rsidR="003238B1" w:rsidRPr="00706A90">
        <w:t>privateness to overlap with publicness. Instead, this overlap allowed private guests to appreciate and indeed experience the gallery performing its civic function, a function</w:t>
      </w:r>
      <w:r w:rsidR="00C7272E">
        <w:t xml:space="preserve"> that</w:t>
      </w:r>
      <w:r w:rsidR="003238B1" w:rsidRPr="00706A90">
        <w:t xml:space="preserve"> was a central part of the marketing team’s call-to-action. However, the timing of the event was such that public guests were less likely to be aware that a separate, invite-only event was being staged. Through allowing these two social groupings to collide, in a carefully managed fashion, the g</w:t>
      </w:r>
      <w:r w:rsidR="00BB44EE">
        <w:t xml:space="preserve">allery was able to display the </w:t>
      </w:r>
      <w:r w:rsidR="00C7272E">
        <w:t>civic</w:t>
      </w:r>
      <w:r w:rsidR="00C7272E" w:rsidRPr="00706A90">
        <w:t xml:space="preserve"> </w:t>
      </w:r>
      <w:r w:rsidR="003238B1" w:rsidRPr="00706A90">
        <w:t xml:space="preserve">value of private patronage without risking the performance of publicness </w:t>
      </w:r>
      <w:r w:rsidR="00BB44EE">
        <w:t>with its</w:t>
      </w:r>
      <w:r w:rsidR="003238B1" w:rsidRPr="00706A90">
        <w:t xml:space="preserve"> dependence on equality of access. This demonstrates that it is not simply that the art gallery staff sought to keep publicness and privateness mutually uncontaminated. Instead, their goal was to control </w:t>
      </w:r>
      <w:r w:rsidR="00E438FF" w:rsidRPr="00706A90">
        <w:t xml:space="preserve">how the two experiential categories </w:t>
      </w:r>
      <w:r w:rsidR="00E438FF" w:rsidRPr="00706A90">
        <w:rPr>
          <w:i/>
        </w:rPr>
        <w:t>related</w:t>
      </w:r>
      <w:r w:rsidR="00E438FF" w:rsidRPr="00706A90">
        <w:t xml:space="preserve"> to one another in time and place. </w:t>
      </w:r>
      <w:r w:rsidR="003238B1" w:rsidRPr="00706A90">
        <w:t xml:space="preserve"> </w:t>
      </w:r>
    </w:p>
    <w:p w14:paraId="71DB63BA" w14:textId="3544C007" w:rsidR="00CA7961" w:rsidRDefault="005B2FBA">
      <w:r w:rsidRPr="00706A90">
        <w:t xml:space="preserve">Meanwhile, different relations between guests and staff of the organisation were taking place in the public-facing private view. </w:t>
      </w:r>
      <w:r w:rsidR="00B66E58" w:rsidRPr="00706A90">
        <w:t xml:space="preserve">Other than the catering team, staff </w:t>
      </w:r>
      <w:r w:rsidRPr="00706A90">
        <w:t>there</w:t>
      </w:r>
      <w:r w:rsidR="00B66E58" w:rsidRPr="00706A90">
        <w:t xml:space="preserve"> mingled with guests in a blended social and professional capacity</w:t>
      </w:r>
      <w:r w:rsidR="001338F8" w:rsidRPr="00706A90">
        <w:t>, greeting one another by name and forming porous clusters of chatter</w:t>
      </w:r>
      <w:r w:rsidR="00B66E58" w:rsidRPr="00706A90">
        <w:t>. This is typical of the arts, where social and professional networks overlap</w:t>
      </w:r>
      <w:r w:rsidRPr="00706A90">
        <w:t xml:space="preserve"> </w:t>
      </w:r>
      <w:r w:rsidRPr="00706A90">
        <w:rPr>
          <w:noProof/>
        </w:rPr>
        <w:t>(Gill &amp; Pratt, 2008)</w:t>
      </w:r>
      <w:r w:rsidR="00B66E58" w:rsidRPr="00706A90">
        <w:t xml:space="preserve">. </w:t>
      </w:r>
      <w:r w:rsidR="001338F8" w:rsidRPr="00706A90">
        <w:t>S</w:t>
      </w:r>
      <w:r w:rsidR="00B66E58" w:rsidRPr="00706A90">
        <w:t xml:space="preserve">taff-guest relations </w:t>
      </w:r>
      <w:r w:rsidR="001338F8" w:rsidRPr="00706A90">
        <w:t>therefore</w:t>
      </w:r>
      <w:r w:rsidR="00B66E58" w:rsidRPr="00706A90">
        <w:t xml:space="preserve"> shed their formality along with their more conspicuous instrumentality. </w:t>
      </w:r>
      <w:r w:rsidR="001338F8" w:rsidRPr="00706A90">
        <w:t xml:space="preserve">This more horizontal ‘social cartography’ </w:t>
      </w:r>
      <w:r w:rsidR="001338F8" w:rsidRPr="00706A90">
        <w:rPr>
          <w:noProof/>
        </w:rPr>
        <w:t>(Fine, 2012</w:t>
      </w:r>
      <w:r w:rsidR="00B01A1E">
        <w:rPr>
          <w:noProof/>
        </w:rPr>
        <w:t>:</w:t>
      </w:r>
      <w:r w:rsidR="001338F8" w:rsidRPr="00706A90">
        <w:rPr>
          <w:noProof/>
        </w:rPr>
        <w:t xml:space="preserve"> 167)</w:t>
      </w:r>
      <w:r w:rsidR="001338F8" w:rsidRPr="00706A90">
        <w:t xml:space="preserve"> marked the event with the</w:t>
      </w:r>
      <w:r w:rsidR="00C7272E">
        <w:t xml:space="preserve"> apparent</w:t>
      </w:r>
      <w:r w:rsidR="001338F8" w:rsidRPr="00706A90">
        <w:t xml:space="preserve"> inclusiveness characteristic of publics. </w:t>
      </w:r>
    </w:p>
    <w:p w14:paraId="49CF3582" w14:textId="3544F35E" w:rsidR="00DD7FEC" w:rsidRDefault="00D165F4">
      <w:r>
        <w:lastRenderedPageBreak/>
        <w:t>This relative freedom from o</w:t>
      </w:r>
      <w:r w:rsidR="00BC7252">
        <w:t>rganisational control</w:t>
      </w:r>
      <w:r>
        <w:t xml:space="preserve"> also opened the door for dissensus to arise that had not been apparent in eithe</w:t>
      </w:r>
      <w:r w:rsidR="002B4E3F">
        <w:t xml:space="preserve">r the invite-only private view </w:t>
      </w:r>
      <w:r>
        <w:t xml:space="preserve">or in many staff meetings. Here, staff began to express </w:t>
      </w:r>
      <w:r w:rsidR="00C60B84">
        <w:t xml:space="preserve">and discuss </w:t>
      </w:r>
      <w:r>
        <w:t xml:space="preserve">personal assessments of the </w:t>
      </w:r>
      <w:r w:rsidR="00C60B84">
        <w:t>exhibition that were not uniformly positive. Engaging in these evaluative interactions is characteristic of the ‘public sphere’ (see above). However, these discussions were contained, constrained, and easily curtailed when the necessity arose</w:t>
      </w:r>
      <w:r w:rsidR="00CA7961">
        <w:t xml:space="preserve">. The evaluative function of the public-sphere, with its inherent risk of negative judgement, ran counter to the objective of this event: to </w:t>
      </w:r>
      <w:r w:rsidR="00CA7961" w:rsidRPr="00CD1706">
        <w:rPr>
          <w:i/>
        </w:rPr>
        <w:t>appear</w:t>
      </w:r>
      <w:r w:rsidR="00CA7961">
        <w:t xml:space="preserve"> public in part through a lack of friction or social dissensus. Staff knew this keenly</w:t>
      </w:r>
      <w:r w:rsidR="00A00FA3">
        <w:t xml:space="preserve">, and critical interactions were engaged in only when to do so would be unlikely to cause them professional harm. </w:t>
      </w:r>
    </w:p>
    <w:p w14:paraId="4D097C73" w14:textId="4AD7B11F" w:rsidR="00E438FF" w:rsidRPr="00CD1706" w:rsidRDefault="00BC7252" w:rsidP="00B66E58">
      <w:r>
        <w:t xml:space="preserve">Indeed, the event was a </w:t>
      </w:r>
      <w:r w:rsidRPr="00BC7252">
        <w:t>sanitised social space in which the tensions of life and lives beyond the gallery walls were hidden.</w:t>
      </w:r>
      <w:r>
        <w:t xml:space="preserve"> This social cohesion was in part achieved by the relative homogeneity of guests</w:t>
      </w:r>
      <w:r w:rsidRPr="00BC7252">
        <w:t>—</w:t>
      </w:r>
      <w:r>
        <w:t xml:space="preserve">a social group that could have been predicted by much sociology of art. Despite the </w:t>
      </w:r>
      <w:r w:rsidRPr="00BC7252">
        <w:t xml:space="preserve">apparent openness or inclusivity that characterised staff-guest </w:t>
      </w:r>
      <w:r w:rsidRPr="00BC7252">
        <w:rPr>
          <w:i/>
        </w:rPr>
        <w:t>relations,</w:t>
      </w:r>
      <w:r w:rsidRPr="00BC7252">
        <w:t xml:space="preserve"> as well </w:t>
      </w:r>
      <w:r w:rsidR="002B4E3F">
        <w:t xml:space="preserve">the </w:t>
      </w:r>
      <w:r w:rsidRPr="00BC7252">
        <w:t xml:space="preserve">meaningful heavy-lifting done by the choice of the café as the </w:t>
      </w:r>
      <w:r w:rsidRPr="00BC7252">
        <w:rPr>
          <w:i/>
        </w:rPr>
        <w:t>arena,</w:t>
      </w:r>
      <w:r>
        <w:rPr>
          <w:i/>
        </w:rPr>
        <w:t xml:space="preserve"> </w:t>
      </w:r>
      <w:r>
        <w:t xml:space="preserve">the event was </w:t>
      </w:r>
      <w:r w:rsidRPr="00BC7252">
        <w:t>populated predominately by the city’s art scene, including artists and professionals</w:t>
      </w:r>
      <w:r>
        <w:t xml:space="preserve">. </w:t>
      </w:r>
      <w:r w:rsidRPr="00BC7252">
        <w:t>The filtering role performed by the Artistic Director and CEO at the invite-only event was here performed by the social field itself. As such, to the extent that the event characterised the organisation as embedded in the social, cultural life of its city, it contributed to a performance of publicness. However, the event also emphasises how performances of publicness may rest on deeply entrenched social exclusions—it is far easier to perform publicness than to achieve it in a field as historically as riddled with classed and related biases as the arts.</w:t>
      </w:r>
    </w:p>
    <w:p w14:paraId="32B31AA3" w14:textId="77777777" w:rsidR="00BB44EE" w:rsidRPr="00BB44EE" w:rsidRDefault="00BB44EE" w:rsidP="00BB44EE">
      <w:pPr>
        <w:pStyle w:val="Heading3"/>
      </w:pPr>
      <w:r w:rsidRPr="00BB44EE">
        <w:t>Histories</w:t>
      </w:r>
    </w:p>
    <w:p w14:paraId="71FBFB14" w14:textId="28134D36" w:rsidR="00BB44EE" w:rsidRDefault="00BB44EE" w:rsidP="00BB44EE">
      <w:r w:rsidRPr="00BB44EE">
        <w:t xml:space="preserve">The </w:t>
      </w:r>
      <w:r w:rsidRPr="00BB44EE">
        <w:rPr>
          <w:i/>
        </w:rPr>
        <w:t>arenas</w:t>
      </w:r>
      <w:r w:rsidRPr="00BB44EE">
        <w:t xml:space="preserve"> and the </w:t>
      </w:r>
      <w:r w:rsidRPr="00BB44EE">
        <w:rPr>
          <w:i/>
        </w:rPr>
        <w:t>relations</w:t>
      </w:r>
      <w:r>
        <w:t xml:space="preserve"> reflected the different priorities of the organisational performances</w:t>
      </w:r>
      <w:r w:rsidRPr="00BB44EE">
        <w:t xml:space="preserve">. </w:t>
      </w:r>
      <w:r>
        <w:t>The</w:t>
      </w:r>
      <w:r w:rsidR="00DB5ABA">
        <w:t xml:space="preserve">ir salience, however, was drawn from long </w:t>
      </w:r>
      <w:r>
        <w:t>historical traditions of</w:t>
      </w:r>
      <w:r w:rsidRPr="00BB44EE">
        <w:t xml:space="preserve"> art organisations and their social lives</w:t>
      </w:r>
      <w:r>
        <w:t xml:space="preserve">. These </w:t>
      </w:r>
      <w:r w:rsidRPr="00732DBE">
        <w:rPr>
          <w:i/>
        </w:rPr>
        <w:t>histories</w:t>
      </w:r>
      <w:r>
        <w:t xml:space="preserve"> provided the symbolic backdrop to the performances, influencing the parameters of meaning within which they were experienced. </w:t>
      </w:r>
    </w:p>
    <w:p w14:paraId="6E8AC48A" w14:textId="3508907C" w:rsidR="00BB44EE" w:rsidRPr="00BB44EE" w:rsidRDefault="00732DBE" w:rsidP="00732DBE">
      <w:r>
        <w:t xml:space="preserve">The invite-only event spoke to two related histories. The first was </w:t>
      </w:r>
      <w:r w:rsidRPr="00732DBE">
        <w:t>narrowly related to the art gallery itself</w:t>
      </w:r>
      <w:r>
        <w:t xml:space="preserve">. </w:t>
      </w:r>
      <w:r w:rsidR="00BB44EE" w:rsidRPr="00BB44EE">
        <w:t xml:space="preserve">The exhibition being opened was part of a larger celebration of the history of the art gallery, and the artworks for sale in the </w:t>
      </w:r>
      <w:r w:rsidR="00C7272E">
        <w:t xml:space="preserve">upcoming online </w:t>
      </w:r>
      <w:r w:rsidR="00BB44EE" w:rsidRPr="00BB44EE">
        <w:t>auction were made particularly meaningful (over and above their other values as art) because their artists had a historical connection to the art gallery. As the main strategic fundraising instrument at the event, the auction offered a way to become personally implicated in and associated with the history of the art gallery. The artworks, if purchased, were a way to make this association and attachment tangible and displayable (a form of multi-layered cultural capital). The degree to which the auction was an organising principle of the event highlights the strategic attempt on behalf of art gallery staff to encourage in members of this group a close personal identification with the history and future of the art gallery</w:t>
      </w:r>
      <w:r>
        <w:t>.</w:t>
      </w:r>
    </w:p>
    <w:p w14:paraId="0A5EA6B0" w14:textId="663495A3" w:rsidR="00DA5D70" w:rsidRDefault="00BB44EE" w:rsidP="00BB44EE">
      <w:r w:rsidRPr="00A15846">
        <w:lastRenderedPageBreak/>
        <w:t xml:space="preserve">More </w:t>
      </w:r>
      <w:r w:rsidRPr="00BB44EE">
        <w:t xml:space="preserve">broadly, however, the </w:t>
      </w:r>
      <w:r w:rsidR="00A15846">
        <w:t xml:space="preserve">invite-only </w:t>
      </w:r>
      <w:r w:rsidRPr="00BB44EE">
        <w:t xml:space="preserve">event </w:t>
      </w:r>
      <w:r w:rsidR="00A15846">
        <w:t xml:space="preserve">was situated </w:t>
      </w:r>
      <w:r w:rsidRPr="00BB44EE">
        <w:t xml:space="preserve">within the long history of cultural organisations generally as a site of social and cultural prestige. </w:t>
      </w:r>
      <w:r w:rsidR="00A15846">
        <w:t xml:space="preserve">It </w:t>
      </w:r>
      <w:r w:rsidR="00945E8D">
        <w:t>formed part of a continuum of private patronage that might have had its historical high-</w:t>
      </w:r>
      <w:proofErr w:type="gramStart"/>
      <w:r w:rsidR="00945E8D">
        <w:t>tide-mark</w:t>
      </w:r>
      <w:proofErr w:type="gramEnd"/>
      <w:r w:rsidR="00945E8D">
        <w:t xml:space="preserve"> in Renaissance Italy, but which has always figured into the structuring of art, culture and its connection to power. Although this history was not front-and-centre of the event, it provided a way of making sense </w:t>
      </w:r>
      <w:r w:rsidR="00DA5D70">
        <w:t>of</w:t>
      </w:r>
      <w:r w:rsidR="00945E8D">
        <w:t xml:space="preserve"> the invitation to invest private wealth and personal identity in being a patron of the arts. The auction offered a way to turn this personal identification into a private </w:t>
      </w:r>
      <w:proofErr w:type="gramStart"/>
      <w:r w:rsidR="00945E8D">
        <w:t>asset, but</w:t>
      </w:r>
      <w:proofErr w:type="gramEnd"/>
      <w:r w:rsidR="00945E8D">
        <w:t xml:space="preserve"> do so through the moral code of charity rather than that of wealth accumulation. This is the historical context i</w:t>
      </w:r>
      <w:r w:rsidR="00DA5D70">
        <w:t>n which the invite-only event sa</w:t>
      </w:r>
      <w:r w:rsidR="00945E8D">
        <w:t>t, a context of</w:t>
      </w:r>
      <w:r w:rsidR="00862E08">
        <w:t xml:space="preserve"> securing and maintaining</w:t>
      </w:r>
      <w:r w:rsidR="00945E8D">
        <w:t xml:space="preserve"> </w:t>
      </w:r>
      <w:r w:rsidR="00862E08">
        <w:t xml:space="preserve">private </w:t>
      </w:r>
      <w:r w:rsidR="00862E08" w:rsidRPr="00862E08">
        <w:t>bourgeois</w:t>
      </w:r>
      <w:r w:rsidR="00862E08">
        <w:t xml:space="preserve"> interests and cultural capital. Crucially, however, the event was designed to </w:t>
      </w:r>
      <w:r w:rsidR="001F1E8D">
        <w:t>reanimate this history as a form of contemporary</w:t>
      </w:r>
      <w:r w:rsidR="00DA5D70">
        <w:t xml:space="preserve">, cultured, and civilised </w:t>
      </w:r>
      <w:r w:rsidR="001F1E8D">
        <w:t>benevolence</w:t>
      </w:r>
      <w:r w:rsidR="00DA5D70">
        <w:t xml:space="preserve"> </w:t>
      </w:r>
      <w:r w:rsidR="00DA5D70">
        <w:rPr>
          <w:noProof/>
        </w:rPr>
        <w:t>(McCormick, 2015)</w:t>
      </w:r>
      <w:r w:rsidR="001F1E8D">
        <w:t xml:space="preserve">. </w:t>
      </w:r>
      <w:r w:rsidR="00DA5D70">
        <w:t>The Bistro, the social practice of staff, the conspicuous displaying of the gallery’s publicness</w:t>
      </w:r>
      <w:r w:rsidR="00DA5D70" w:rsidRPr="00DA5D70">
        <w:t>—</w:t>
      </w:r>
      <w:r w:rsidR="00DA5D70">
        <w:t>all of these were devices</w:t>
      </w:r>
      <w:r w:rsidR="002B4E3F">
        <w:t xml:space="preserve"> to</w:t>
      </w:r>
      <w:r w:rsidR="00DA5D70">
        <w:t xml:space="preserve"> perform, to the select group of invitees, a palatable, even commendable, form of privateness.  </w:t>
      </w:r>
    </w:p>
    <w:p w14:paraId="20CE0C4A" w14:textId="4FB2CFFF" w:rsidR="005E6ED9" w:rsidRDefault="00DA5D70" w:rsidP="005E6ED9">
      <w:r>
        <w:t xml:space="preserve">This was a stark difference to the historical </w:t>
      </w:r>
      <w:r w:rsidR="009576F9">
        <w:t>saliences of the public-facing event.</w:t>
      </w:r>
      <w:r>
        <w:t xml:space="preserve"> </w:t>
      </w:r>
      <w:r w:rsidR="004A5A37">
        <w:t>There</w:t>
      </w:r>
      <w:r w:rsidR="00BB44EE" w:rsidRPr="00BB44EE">
        <w:t>, the art ga</w:t>
      </w:r>
      <w:r w:rsidR="004A5A37">
        <w:t xml:space="preserve">llery sought </w:t>
      </w:r>
      <w:r w:rsidR="002B4E3F">
        <w:t xml:space="preserve">to </w:t>
      </w:r>
      <w:r w:rsidR="004A5A37">
        <w:t xml:space="preserve">perform itself as within the tradition of art galleries as </w:t>
      </w:r>
      <w:r w:rsidR="004A5A37" w:rsidRPr="004A5A37">
        <w:t>‘for the people’</w:t>
      </w:r>
      <w:r w:rsidR="004A5A37">
        <w:t xml:space="preserve"> </w:t>
      </w:r>
      <w:r w:rsidR="004A5A37">
        <w:rPr>
          <w:noProof/>
        </w:rPr>
        <w:t>(Mason, 2004</w:t>
      </w:r>
      <w:r w:rsidR="00B01A1E">
        <w:rPr>
          <w:noProof/>
        </w:rPr>
        <w:t>:</w:t>
      </w:r>
      <w:r w:rsidR="004A5A37">
        <w:rPr>
          <w:noProof/>
        </w:rPr>
        <w:t xml:space="preserve"> 56)</w:t>
      </w:r>
      <w:r w:rsidR="004A5A37">
        <w:t>. This tradition places val</w:t>
      </w:r>
      <w:r w:rsidR="004A4189">
        <w:t>ue on the civic role of art, a value which has been the justifying principle of art galleries from the 18</w:t>
      </w:r>
      <w:r w:rsidR="004A4189" w:rsidRPr="004A4189">
        <w:rPr>
          <w:vertAlign w:val="superscript"/>
        </w:rPr>
        <w:t>th</w:t>
      </w:r>
      <w:r w:rsidR="004A4189">
        <w:t xml:space="preserve"> century vanguard of national museums </w:t>
      </w:r>
      <w:r w:rsidR="004A4189">
        <w:rPr>
          <w:noProof/>
        </w:rPr>
        <w:t>(Duncan, 2004)</w:t>
      </w:r>
      <w:r w:rsidR="004A4189">
        <w:t>, through the post-war ‘arts centre movement’</w:t>
      </w:r>
      <w:r w:rsidR="00C76954">
        <w:t xml:space="preserve"> </w:t>
      </w:r>
      <w:r w:rsidR="00C76954">
        <w:rPr>
          <w:noProof/>
        </w:rPr>
        <w:t>(Hutchinson &amp; Forrester, 1987)</w:t>
      </w:r>
      <w:r w:rsidR="00C76954">
        <w:t>,</w:t>
      </w:r>
      <w:r w:rsidR="004A4189">
        <w:t xml:space="preserve"> to the contemporary policy and professional emphasis on participation</w:t>
      </w:r>
      <w:r w:rsidR="00C76954">
        <w:t xml:space="preserve"> </w:t>
      </w:r>
      <w:r w:rsidR="00C76954">
        <w:rPr>
          <w:noProof/>
        </w:rPr>
        <w:t>(Jancovich, 2011, 2017)</w:t>
      </w:r>
      <w:r w:rsidR="004A4189">
        <w:t xml:space="preserve">. </w:t>
      </w:r>
      <w:r w:rsidR="00C76954">
        <w:t xml:space="preserve">In this tradition, art galleries are evaluated by their success in being </w:t>
      </w:r>
      <w:r w:rsidR="00C76954" w:rsidRPr="00C76954">
        <w:t xml:space="preserve">sites </w:t>
      </w:r>
      <w:r w:rsidR="00C76954">
        <w:t xml:space="preserve">of the ‘public sphere’ </w:t>
      </w:r>
      <w:r w:rsidR="00C76954">
        <w:rPr>
          <w:noProof/>
        </w:rPr>
        <w:t>(Habermas, 2005)</w:t>
      </w:r>
      <w:r w:rsidR="00C76954" w:rsidRPr="00C76954">
        <w:t>—</w:t>
      </w:r>
      <w:r w:rsidR="00C76954">
        <w:t>t</w:t>
      </w:r>
      <w:r w:rsidR="00C76954" w:rsidRPr="00C76954">
        <w:t>he communal, open co</w:t>
      </w:r>
      <w:r w:rsidR="00C76954">
        <w:t>ntestation of ideas and culture.</w:t>
      </w:r>
      <w:r w:rsidR="00DB5ABA">
        <w:t xml:space="preserve"> </w:t>
      </w:r>
      <w:r w:rsidR="00DB5ABA" w:rsidRPr="00DB5ABA">
        <w:t>The aesthetic, spatial, and social ‘tactics’ put in place—the use of the café, the overflow into the gallery, the dissolving of differences between staff and guests—wer</w:t>
      </w:r>
      <w:r w:rsidR="00DB5ABA">
        <w:t>e designed to make credible a performance of publicness, and to display the meaning of the gallery as</w:t>
      </w:r>
      <w:r w:rsidR="00DB5ABA" w:rsidRPr="00DB5ABA">
        <w:t xml:space="preserve"> a site of social particip</w:t>
      </w:r>
      <w:r w:rsidR="00DB5ABA">
        <w:t>ation</w:t>
      </w:r>
      <w:r w:rsidR="00DB5ABA" w:rsidRPr="00DB5ABA">
        <w:t xml:space="preserve"> and a collective asset.</w:t>
      </w:r>
      <w:r w:rsidR="005E6ED9">
        <w:t xml:space="preserve"> The success or failure of the public-facing event therefore hinged on the </w:t>
      </w:r>
      <w:r w:rsidR="00F870B0">
        <w:t xml:space="preserve">performative </w:t>
      </w:r>
      <w:r w:rsidR="005E6ED9">
        <w:t>othering of its symbolic other: privateness.</w:t>
      </w:r>
      <w:r w:rsidR="00DB5ABA" w:rsidRPr="00DB5ABA">
        <w:t xml:space="preserve"> </w:t>
      </w:r>
      <w:r w:rsidR="00C76954">
        <w:t xml:space="preserve"> </w:t>
      </w:r>
    </w:p>
    <w:p w14:paraId="76312134" w14:textId="04CD8B40" w:rsidR="00216232" w:rsidRDefault="005E6ED9" w:rsidP="00BE522E">
      <w:pPr>
        <w:pStyle w:val="Heading2"/>
      </w:pPr>
      <w:r>
        <w:t>C</w:t>
      </w:r>
      <w:r w:rsidR="00BE522E">
        <w:t>onclusio</w:t>
      </w:r>
      <w:r w:rsidR="00840055">
        <w:t>n</w:t>
      </w:r>
    </w:p>
    <w:p w14:paraId="377FAA62" w14:textId="0021F58A" w:rsidR="00517C83" w:rsidRDefault="00517C83" w:rsidP="00BE522E">
      <w:r w:rsidRPr="00517C83">
        <w:t>The empirical work of this paper has shown the art gallery in the act of a multi-vocal organisational performance: a private view. The art gallery performed itself differently according to the desired outcome</w:t>
      </w:r>
      <w:r w:rsidR="00FC0955">
        <w:t>s</w:t>
      </w:r>
      <w:r w:rsidRPr="00517C83">
        <w:t xml:space="preserve"> of soci</w:t>
      </w:r>
      <w:r w:rsidR="002B4E3F">
        <w:t>al contexts. Different venues w</w:t>
      </w:r>
      <w:r w:rsidRPr="00517C83">
        <w:t>ere chosen, different forms of sociality were enacted</w:t>
      </w:r>
      <w:r>
        <w:t xml:space="preserve">, </w:t>
      </w:r>
      <w:r w:rsidR="00FC0955">
        <w:t xml:space="preserve">and </w:t>
      </w:r>
      <w:r>
        <w:t xml:space="preserve">different sets of meanings </w:t>
      </w:r>
      <w:r w:rsidR="00FC0955">
        <w:t>and histories signalled</w:t>
      </w:r>
      <w:r w:rsidRPr="00517C83">
        <w:t xml:space="preserve">. To </w:t>
      </w:r>
      <w:r w:rsidR="00FC0955">
        <w:t>detail</w:t>
      </w:r>
      <w:r w:rsidRPr="00517C83">
        <w:t xml:space="preserve"> this, I have developed an approach to studying organisations that recognises that the ‘reputational discourse’ of organisations is realised through social, spatial and aesthetic strategies in ways that align to the cultural pragmatics understanding of ‘performance’ (Alexander, 2004; Mason, 2004: 56), and that depend on a process of cultivating differences amongst groups (</w:t>
      </w:r>
      <w:r w:rsidR="00D569BA">
        <w:t xml:space="preserve">Fine, </w:t>
      </w:r>
      <w:r w:rsidR="001E7E65">
        <w:t>2012</w:t>
      </w:r>
      <w:r w:rsidR="00D569BA">
        <w:t xml:space="preserve">; </w:t>
      </w:r>
      <w:r w:rsidRPr="00517C83">
        <w:t xml:space="preserve">Lamont &amp; Fournier, 1992). </w:t>
      </w:r>
      <w:r w:rsidR="00FC0955">
        <w:t xml:space="preserve">The term ‘organisational performance’ captures this approach.  </w:t>
      </w:r>
    </w:p>
    <w:p w14:paraId="060E103F" w14:textId="06CBD15C" w:rsidR="00517C83" w:rsidRPr="00517C83" w:rsidRDefault="00517C83" w:rsidP="00517C83">
      <w:r>
        <w:lastRenderedPageBreak/>
        <w:t xml:space="preserve">The theoretical work of this paper has been to take a </w:t>
      </w:r>
      <w:r w:rsidRPr="00517C83">
        <w:t xml:space="preserve">cultural approach to analysing the profound privatisation of the public, and </w:t>
      </w:r>
      <w:r>
        <w:t xml:space="preserve">one </w:t>
      </w:r>
      <w:r w:rsidR="00FC0955">
        <w:t xml:space="preserve">of </w:t>
      </w:r>
      <w:r w:rsidRPr="00517C83">
        <w:t xml:space="preserve">the many ways in which it manifests, offering a way of seeing how the structural clash between the private and the public is turned into organisational performance categories. </w:t>
      </w:r>
      <w:r>
        <w:t xml:space="preserve"> </w:t>
      </w:r>
      <w:r w:rsidR="00BE522E" w:rsidRPr="00BE522E">
        <w:t>Private experiences hinge on the principle of exclusivity; public experiences on the principle of inclusivity.</w:t>
      </w:r>
      <w:r w:rsidR="009E55A6">
        <w:t xml:space="preserve"> T</w:t>
      </w:r>
      <w:r w:rsidR="00BE522E" w:rsidRPr="00BE522E">
        <w:t>hese simple and oppositional cultural codes are challenged in social contexts where privateness and publicness are coexistent and deeply entangled economic and political realities, from public services (Blewitt, 2014; Jones, 2018), to public space more broadly (</w:t>
      </w:r>
      <w:proofErr w:type="spellStart"/>
      <w:r w:rsidR="00BE522E" w:rsidRPr="00BE522E">
        <w:t>Akkar</w:t>
      </w:r>
      <w:proofErr w:type="spellEnd"/>
      <w:r w:rsidR="00BE522E" w:rsidRPr="00BE522E">
        <w:t xml:space="preserve">, 2005; Smith &amp; Low, 2006). </w:t>
      </w:r>
      <w:r w:rsidR="009E55A6">
        <w:t xml:space="preserve">The art gallery is just one example of this. </w:t>
      </w:r>
      <w:r w:rsidR="00B0251C">
        <w:t>Countless researchers have</w:t>
      </w:r>
      <w:r w:rsidR="0019398C">
        <w:t xml:space="preserve"> already made clear the </w:t>
      </w:r>
      <w:r w:rsidR="00B0251C">
        <w:t>social costs of entangling public and private interests, from the ‘corrupting’ effect of the UK’s</w:t>
      </w:r>
      <w:r w:rsidR="00B0251C" w:rsidRPr="00B0251C">
        <w:t xml:space="preserve"> </w:t>
      </w:r>
      <w:r w:rsidR="00385143">
        <w:t>private-public partnerships</w:t>
      </w:r>
      <w:r w:rsidR="00B0251C">
        <w:t xml:space="preserve"> </w:t>
      </w:r>
      <w:r w:rsidR="00B0251C">
        <w:rPr>
          <w:noProof/>
        </w:rPr>
        <w:t>(Mair &amp; Jones, 2015)</w:t>
      </w:r>
      <w:r w:rsidR="00B0251C">
        <w:t>,</w:t>
      </w:r>
      <w:r w:rsidR="0019398C">
        <w:t xml:space="preserve"> </w:t>
      </w:r>
      <w:r w:rsidR="00B0251C">
        <w:t>to the</w:t>
      </w:r>
      <w:r w:rsidR="00385143">
        <w:t xml:space="preserve"> eroding of the principle of universal healthcare by the</w:t>
      </w:r>
      <w:r w:rsidR="001440A2">
        <w:t xml:space="preserve"> ‘mixed economy’</w:t>
      </w:r>
      <w:r w:rsidR="00385143">
        <w:t xml:space="preserve"> </w:t>
      </w:r>
      <w:r w:rsidR="00385143">
        <w:rPr>
          <w:noProof/>
        </w:rPr>
        <w:t>(Pollock, 2005)</w:t>
      </w:r>
      <w:r w:rsidR="00385143">
        <w:t xml:space="preserve">. </w:t>
      </w:r>
      <w:r>
        <w:t xml:space="preserve">The value of taking a cultural approach is to add to this analysis a critique of how organisations </w:t>
      </w:r>
      <w:r w:rsidRPr="00517C83">
        <w:t>may camouflage the extent and effects of</w:t>
      </w:r>
      <w:r>
        <w:t xml:space="preserve"> the private interests vested within </w:t>
      </w:r>
      <w:proofErr w:type="gramStart"/>
      <w:r>
        <w:t>them</w:t>
      </w:r>
      <w:r w:rsidRPr="00517C83">
        <w:t>, and</w:t>
      </w:r>
      <w:proofErr w:type="gramEnd"/>
      <w:r w:rsidRPr="00517C83">
        <w:t xml:space="preserve"> </w:t>
      </w:r>
      <w:r>
        <w:t>use performance strategies to paper</w:t>
      </w:r>
      <w:r w:rsidRPr="00517C83">
        <w:t xml:space="preserve"> over the social exclusions that characterise </w:t>
      </w:r>
      <w:r>
        <w:t>their</w:t>
      </w:r>
      <w:r w:rsidRPr="00517C83">
        <w:t xml:space="preserve"> ‘publics.’</w:t>
      </w:r>
    </w:p>
    <w:p w14:paraId="19CF29BF" w14:textId="5CD50346" w:rsidR="00BE522E" w:rsidRDefault="00517C83" w:rsidP="00CD1706">
      <w:pPr>
        <w:rPr>
          <w:rFonts w:eastAsiaTheme="majorEastAsia" w:cstheme="majorBidi"/>
          <w:b/>
          <w:sz w:val="26"/>
          <w:szCs w:val="26"/>
        </w:rPr>
      </w:pPr>
      <w:r>
        <w:t>Finally, I have argued that p</w:t>
      </w:r>
      <w:r w:rsidR="00492A70">
        <w:t xml:space="preserve">erformances of privateness and publicness are in a dynamic tension with one another. Through the case study of this paper, I have shown that </w:t>
      </w:r>
      <w:r w:rsidR="00492A70" w:rsidRPr="00492A70">
        <w:t xml:space="preserve">in the art gallery there is no publicness without privateness, and no privateness without publicness in </w:t>
      </w:r>
      <w:r w:rsidR="00492A70" w:rsidRPr="00492A70">
        <w:rPr>
          <w:i/>
        </w:rPr>
        <w:t>both</w:t>
      </w:r>
      <w:r w:rsidR="00492A70" w:rsidRPr="00492A70">
        <w:t xml:space="preserve"> a structural and experiential sense.</w:t>
      </w:r>
      <w:r w:rsidR="00492A70">
        <w:t xml:space="preserve"> </w:t>
      </w:r>
      <w:r w:rsidR="00492A70" w:rsidRPr="00492A70">
        <w:t xml:space="preserve">The </w:t>
      </w:r>
      <w:r w:rsidR="00492A70">
        <w:t xml:space="preserve">gallery’s </w:t>
      </w:r>
      <w:r w:rsidR="00492A70" w:rsidRPr="00492A70">
        <w:t>performance of publ</w:t>
      </w:r>
      <w:r w:rsidR="00E569AC">
        <w:t>icness depended on the conspicuous</w:t>
      </w:r>
      <w:r w:rsidR="00492A70" w:rsidRPr="00492A70">
        <w:t xml:space="preserve"> othering of privateness; the performance of privateness made public good a justifying motif. </w:t>
      </w:r>
      <w:r w:rsidR="00492A70">
        <w:t>This</w:t>
      </w:r>
      <w:r>
        <w:t xml:space="preserve"> performative</w:t>
      </w:r>
      <w:r w:rsidR="00492A70">
        <w:t xml:space="preserve"> balancing act, I suggest, is a </w:t>
      </w:r>
      <w:r>
        <w:t xml:space="preserve">central part of the </w:t>
      </w:r>
      <w:r w:rsidR="00FC0955">
        <w:t>day-to-day</w:t>
      </w:r>
      <w:r>
        <w:t xml:space="preserve"> work of organisations </w:t>
      </w:r>
      <w:r w:rsidR="00D569BA">
        <w:t xml:space="preserve">operating with </w:t>
      </w:r>
      <w:r w:rsidR="00FC0955">
        <w:t>dual public and private accountabilities.</w:t>
      </w:r>
      <w:r w:rsidR="00CA02D0">
        <w:t xml:space="preserve"> Control over the ways in which the two categories appear to relate to one another in on-the-ground interactional contexts</w:t>
      </w:r>
      <w:r w:rsidR="00492A70">
        <w:t xml:space="preserve"> is a</w:t>
      </w:r>
      <w:r w:rsidR="00CF531A">
        <w:t>n integral</w:t>
      </w:r>
      <w:r w:rsidR="00492A70">
        <w:t xml:space="preserve"> </w:t>
      </w:r>
      <w:r w:rsidR="00E569AC">
        <w:t xml:space="preserve">weapon in </w:t>
      </w:r>
      <w:r w:rsidR="00FC0955">
        <w:t xml:space="preserve">these </w:t>
      </w:r>
      <w:r w:rsidR="00E569AC">
        <w:t>organisations’ symbolic arsenal</w:t>
      </w:r>
      <w:r w:rsidR="000A40F1">
        <w:t xml:space="preserve">, in the cultural sector and beyond. </w:t>
      </w:r>
      <w:r w:rsidR="00BE522E">
        <w:br w:type="page"/>
      </w:r>
    </w:p>
    <w:p w14:paraId="65CDF0E4" w14:textId="19335D1D" w:rsidR="00DE41E5" w:rsidRDefault="00560CAF" w:rsidP="00560CAF">
      <w:pPr>
        <w:pStyle w:val="Heading2"/>
      </w:pPr>
      <w:r>
        <w:lastRenderedPageBreak/>
        <w:t>References</w:t>
      </w:r>
    </w:p>
    <w:p w14:paraId="1E5C2A00" w14:textId="0D9AF5CF" w:rsidR="00A924BB" w:rsidRPr="00A924BB" w:rsidRDefault="00464147" w:rsidP="00A924BB">
      <w:pPr>
        <w:pStyle w:val="EndNoteBibliography"/>
        <w:spacing w:after="0"/>
        <w:ind w:left="720" w:hanging="720"/>
      </w:pPr>
      <w:r>
        <w:t>Akkar M</w:t>
      </w:r>
      <w:r w:rsidR="00202D5C">
        <w:t xml:space="preserve"> (2005)</w:t>
      </w:r>
      <w:r w:rsidR="00A924BB" w:rsidRPr="00A924BB">
        <w:t xml:space="preserve"> The </w:t>
      </w:r>
      <w:r w:rsidR="00202D5C">
        <w:t>Changing 'Publicness' o</w:t>
      </w:r>
      <w:r w:rsidR="00202D5C" w:rsidRPr="00A924BB">
        <w:t>f Contempora</w:t>
      </w:r>
      <w:r w:rsidR="00202D5C">
        <w:t>ry Public Spaces: A Case Study of t</w:t>
      </w:r>
      <w:r w:rsidR="00202D5C" w:rsidRPr="00A924BB">
        <w:t xml:space="preserve">he </w:t>
      </w:r>
      <w:r w:rsidR="00A924BB" w:rsidRPr="00A924BB">
        <w:t>Grey's Monument Area</w:t>
      </w:r>
      <w:r w:rsidR="00202D5C" w:rsidRPr="00A924BB">
        <w:t xml:space="preserve">, </w:t>
      </w:r>
      <w:r w:rsidR="00A924BB" w:rsidRPr="00A924BB">
        <w:t xml:space="preserve">Newcastle </w:t>
      </w:r>
      <w:r w:rsidR="00202D5C" w:rsidRPr="00A924BB">
        <w:t xml:space="preserve">Upon </w:t>
      </w:r>
      <w:r w:rsidR="00A924BB" w:rsidRPr="00A924BB">
        <w:t xml:space="preserve">Tyne. </w:t>
      </w:r>
      <w:r w:rsidR="00A924BB" w:rsidRPr="00A924BB">
        <w:rPr>
          <w:i/>
        </w:rPr>
        <w:t xml:space="preserve">Urban Design International </w:t>
      </w:r>
      <w:r w:rsidR="00A924BB" w:rsidRPr="00202D5C">
        <w:t>10(</w:t>
      </w:r>
      <w:r w:rsidR="00202D5C">
        <w:t>2):</w:t>
      </w:r>
      <w:r w:rsidR="00A924BB" w:rsidRPr="00A924BB">
        <w:t xml:space="preserve"> 95-114. </w:t>
      </w:r>
    </w:p>
    <w:p w14:paraId="69F272EA" w14:textId="51E0DF92" w:rsidR="00A924BB" w:rsidRPr="00A924BB" w:rsidRDefault="00202D5C" w:rsidP="00A924BB">
      <w:pPr>
        <w:pStyle w:val="EndNoteBibliography"/>
        <w:spacing w:after="0"/>
        <w:ind w:left="720" w:hanging="720"/>
      </w:pPr>
      <w:r>
        <w:t>Alexander JC (2004)</w:t>
      </w:r>
      <w:r w:rsidR="00A924BB" w:rsidRPr="00A924BB">
        <w:t xml:space="preserve"> Cultural Pragmatics: Social Performance between Ritual and Strategy. </w:t>
      </w:r>
      <w:r w:rsidR="00A924BB" w:rsidRPr="00A924BB">
        <w:rPr>
          <w:i/>
        </w:rPr>
        <w:t xml:space="preserve">Sociological Theory </w:t>
      </w:r>
      <w:r>
        <w:t>22(4):</w:t>
      </w:r>
      <w:r w:rsidR="00A924BB" w:rsidRPr="00A924BB">
        <w:t xml:space="preserve"> 527-573. </w:t>
      </w:r>
    </w:p>
    <w:p w14:paraId="7DECB776" w14:textId="2AE5282C" w:rsidR="00A924BB" w:rsidRDefault="00202D5C" w:rsidP="00A924BB">
      <w:pPr>
        <w:pStyle w:val="EndNoteBibliography"/>
        <w:spacing w:after="0"/>
        <w:ind w:left="720" w:hanging="720"/>
      </w:pPr>
      <w:r>
        <w:t>Alexander VD (2014)</w:t>
      </w:r>
      <w:r w:rsidR="00A924BB" w:rsidRPr="00A924BB">
        <w:t xml:space="preserve"> Art and the Twenty-First Century Gift: Corporate Philanthropy and Government Funding in the Cultural Sector. </w:t>
      </w:r>
      <w:r w:rsidR="00A924BB" w:rsidRPr="00A924BB">
        <w:rPr>
          <w:i/>
        </w:rPr>
        <w:t xml:space="preserve">Anthropological Forum </w:t>
      </w:r>
      <w:r w:rsidR="00A924BB" w:rsidRPr="00202D5C">
        <w:t>24(4</w:t>
      </w:r>
      <w:r>
        <w:t>):</w:t>
      </w:r>
      <w:r w:rsidR="00A924BB" w:rsidRPr="00A924BB">
        <w:t xml:space="preserve"> 364-380. </w:t>
      </w:r>
    </w:p>
    <w:p w14:paraId="39CBEA10" w14:textId="3DE65BB2" w:rsidR="00E61A93" w:rsidRPr="00A924BB" w:rsidRDefault="00E61A93" w:rsidP="00E61A93">
      <w:pPr>
        <w:pStyle w:val="EndNoteBibliography"/>
        <w:spacing w:after="0"/>
        <w:ind w:left="720" w:hanging="720"/>
      </w:pPr>
      <w:r>
        <w:t>Arts Council England</w:t>
      </w:r>
      <w:r w:rsidR="00202D5C">
        <w:t xml:space="preserve"> (2013)</w:t>
      </w:r>
      <w:r w:rsidR="00A924BB" w:rsidRPr="00E61A93">
        <w:t xml:space="preserve"> </w:t>
      </w:r>
      <w:r w:rsidR="00A924BB" w:rsidRPr="00E61A93">
        <w:rPr>
          <w:i/>
        </w:rPr>
        <w:t>Great Art and Culture for Everyone: 10 Year Strategic Framework (2nd Edition)</w:t>
      </w:r>
      <w:r w:rsidR="00A924BB" w:rsidRPr="00E61A93">
        <w:t>. London: Arts Council England</w:t>
      </w:r>
      <w:r w:rsidRPr="00E61A93">
        <w:t>.</w:t>
      </w:r>
    </w:p>
    <w:p w14:paraId="2EAA0057" w14:textId="4C56DCBD" w:rsidR="00A924BB" w:rsidRPr="00A924BB" w:rsidRDefault="00202D5C" w:rsidP="00A924BB">
      <w:pPr>
        <w:pStyle w:val="EndNoteBibliography"/>
        <w:spacing w:after="0"/>
        <w:ind w:left="720" w:hanging="720"/>
      </w:pPr>
      <w:r>
        <w:t>Balfe J (1993)</w:t>
      </w:r>
      <w:r w:rsidR="00A924BB" w:rsidRPr="00A924BB">
        <w:t xml:space="preserve"> </w:t>
      </w:r>
      <w:r w:rsidR="00A924BB" w:rsidRPr="00A924BB">
        <w:rPr>
          <w:i/>
        </w:rPr>
        <w:t>Paying the Piper: Causes and Consequences of Art Patronage</w:t>
      </w:r>
      <w:r w:rsidR="00A924BB" w:rsidRPr="00A924BB">
        <w:t xml:space="preserve">. </w:t>
      </w:r>
      <w:r>
        <w:t xml:space="preserve">Champaign: </w:t>
      </w:r>
      <w:r w:rsidR="00A924BB" w:rsidRPr="00A924BB">
        <w:t xml:space="preserve">University of Illinois Press. </w:t>
      </w:r>
    </w:p>
    <w:p w14:paraId="27145276" w14:textId="3EA6EF87" w:rsidR="00A924BB" w:rsidRPr="00A924BB" w:rsidRDefault="00202D5C" w:rsidP="00A924BB">
      <w:pPr>
        <w:pStyle w:val="EndNoteBibliography"/>
        <w:spacing w:after="0"/>
        <w:ind w:left="720" w:hanging="720"/>
      </w:pPr>
      <w:r>
        <w:t>Baxandall M (1988)</w:t>
      </w:r>
      <w:r w:rsidR="00A924BB" w:rsidRPr="00A924BB">
        <w:t xml:space="preserve"> </w:t>
      </w:r>
      <w:r w:rsidR="00A924BB" w:rsidRPr="00A924BB">
        <w:rPr>
          <w:i/>
        </w:rPr>
        <w:t>Painting and Experience in Fifteenth-Century Italy: A Primer in the Social History of Pictorial Style</w:t>
      </w:r>
      <w:r w:rsidR="00A924BB" w:rsidRPr="00A924BB">
        <w:t xml:space="preserve">. </w:t>
      </w:r>
      <w:r>
        <w:t xml:space="preserve">Oxford: </w:t>
      </w:r>
      <w:r w:rsidR="00A924BB" w:rsidRPr="00A924BB">
        <w:t xml:space="preserve">Oxford University Press. </w:t>
      </w:r>
    </w:p>
    <w:p w14:paraId="4850EAC4" w14:textId="77777777" w:rsidR="00D07D87" w:rsidRDefault="00202D5C" w:rsidP="00A924BB">
      <w:pPr>
        <w:pStyle w:val="EndNoteBibliography"/>
        <w:spacing w:after="0"/>
        <w:ind w:left="720" w:hanging="720"/>
      </w:pPr>
      <w:r>
        <w:t>Blewitt J (2014)</w:t>
      </w:r>
      <w:r w:rsidR="00A924BB" w:rsidRPr="00A924BB">
        <w:t xml:space="preserve"> Public Libraries, Citizens and the Democracy. </w:t>
      </w:r>
      <w:r w:rsidR="00A924BB" w:rsidRPr="00A924BB">
        <w:rPr>
          <w:i/>
        </w:rPr>
        <w:t xml:space="preserve">Power and Education </w:t>
      </w:r>
      <w:r>
        <w:t xml:space="preserve">6(1): </w:t>
      </w:r>
      <w:r w:rsidR="00A924BB" w:rsidRPr="00A924BB">
        <w:t>84-98.</w:t>
      </w:r>
    </w:p>
    <w:p w14:paraId="3054AE4C" w14:textId="1DDB3D25" w:rsidR="00A924BB" w:rsidRPr="00A924BB" w:rsidRDefault="00D07D87" w:rsidP="00A924BB">
      <w:pPr>
        <w:pStyle w:val="EndNoteBibliography"/>
        <w:spacing w:after="0"/>
        <w:ind w:left="720" w:hanging="720"/>
      </w:pPr>
      <w:r>
        <w:rPr>
          <w:lang w:val="en-GB"/>
        </w:rPr>
        <w:t>Bookman S (2014)</w:t>
      </w:r>
      <w:r w:rsidR="00367D5A" w:rsidRPr="00D07D87">
        <w:rPr>
          <w:lang w:val="en-GB"/>
        </w:rPr>
        <w:t xml:space="preserve"> Brands and Urban Life:</w:t>
      </w:r>
      <w:r>
        <w:rPr>
          <w:lang w:val="en-GB"/>
        </w:rPr>
        <w:t xml:space="preserve"> </w:t>
      </w:r>
      <w:r w:rsidR="00367D5A" w:rsidRPr="00D07D87">
        <w:rPr>
          <w:lang w:val="en-GB"/>
        </w:rPr>
        <w:t>Special</w:t>
      </w:r>
      <w:r w:rsidR="002B4E3F">
        <w:rPr>
          <w:lang w:val="en-GB"/>
        </w:rPr>
        <w:t>i</w:t>
      </w:r>
      <w:r w:rsidR="00367D5A" w:rsidRPr="00D07D87">
        <w:rPr>
          <w:lang w:val="en-GB"/>
        </w:rPr>
        <w:t xml:space="preserve">ty Coffee, Consumers, and the Co-creation of Urban Café Sociality. </w:t>
      </w:r>
      <w:r w:rsidR="00367D5A" w:rsidRPr="00D07D87">
        <w:rPr>
          <w:i/>
          <w:lang w:val="en-GB"/>
        </w:rPr>
        <w:t xml:space="preserve">Space and Culture </w:t>
      </w:r>
      <w:r w:rsidR="00367D5A" w:rsidRPr="00CD1706">
        <w:rPr>
          <w:lang w:val="en-GB"/>
        </w:rPr>
        <w:t>17</w:t>
      </w:r>
      <w:r w:rsidR="00367D5A" w:rsidRPr="00D07D87">
        <w:rPr>
          <w:lang w:val="en-GB"/>
        </w:rPr>
        <w:t>(1)</w:t>
      </w:r>
      <w:r>
        <w:rPr>
          <w:lang w:val="en-GB"/>
        </w:rPr>
        <w:t>:</w:t>
      </w:r>
      <w:r w:rsidR="00367D5A" w:rsidRPr="00D07D87">
        <w:rPr>
          <w:lang w:val="en-GB"/>
        </w:rPr>
        <w:t xml:space="preserve"> 85-99.</w:t>
      </w:r>
      <w:r w:rsidR="00A924BB" w:rsidRPr="00A924BB">
        <w:t xml:space="preserve"> </w:t>
      </w:r>
    </w:p>
    <w:p w14:paraId="170F0DD0" w14:textId="3E8FADB4" w:rsidR="00D07D87" w:rsidRDefault="00202D5C">
      <w:pPr>
        <w:pStyle w:val="EndNoteBibliography"/>
        <w:spacing w:after="0"/>
        <w:ind w:left="720" w:hanging="720"/>
      </w:pPr>
      <w:r>
        <w:t>Bourdieu P &amp; Darbel A (1997)</w:t>
      </w:r>
      <w:r w:rsidR="00A924BB" w:rsidRPr="00A924BB">
        <w:t xml:space="preserve"> </w:t>
      </w:r>
      <w:r w:rsidR="00A924BB" w:rsidRPr="00A924BB">
        <w:rPr>
          <w:i/>
        </w:rPr>
        <w:t xml:space="preserve">The </w:t>
      </w:r>
      <w:r>
        <w:rPr>
          <w:i/>
        </w:rPr>
        <w:t>Love o</w:t>
      </w:r>
      <w:r w:rsidRPr="00A924BB">
        <w:rPr>
          <w:i/>
        </w:rPr>
        <w:t xml:space="preserve">f Art : </w:t>
      </w:r>
      <w:r w:rsidR="00A924BB" w:rsidRPr="00A924BB">
        <w:rPr>
          <w:i/>
        </w:rPr>
        <w:t xml:space="preserve">European </w:t>
      </w:r>
      <w:r>
        <w:rPr>
          <w:i/>
        </w:rPr>
        <w:t>Art Museums and t</w:t>
      </w:r>
      <w:r w:rsidRPr="00A924BB">
        <w:rPr>
          <w:i/>
        </w:rPr>
        <w:t>heir Public</w:t>
      </w:r>
      <w:r w:rsidR="00A924BB" w:rsidRPr="00A924BB">
        <w:t xml:space="preserve">. </w:t>
      </w:r>
      <w:r>
        <w:t xml:space="preserve">Cambridge: </w:t>
      </w:r>
      <w:r w:rsidR="00A924BB" w:rsidRPr="00A924BB">
        <w:t xml:space="preserve">Polity Press. </w:t>
      </w:r>
    </w:p>
    <w:p w14:paraId="5425737C" w14:textId="572E34ED" w:rsidR="00965E88" w:rsidRDefault="001E7E65" w:rsidP="00A924BB">
      <w:pPr>
        <w:pStyle w:val="EndNoteBibliography"/>
        <w:spacing w:after="0"/>
        <w:ind w:left="720" w:hanging="720"/>
      </w:pPr>
      <w:r>
        <w:rPr>
          <w:lang w:val="en-GB"/>
        </w:rPr>
        <w:t>Buchholz L, Fine GA &amp; Wohl H</w:t>
      </w:r>
      <w:r w:rsidR="00764996">
        <w:rPr>
          <w:lang w:val="en-GB"/>
        </w:rPr>
        <w:t xml:space="preserve"> (2020). Art Markets in Crisis: How Personal Bonds and Market Subcultures Mediate the E</w:t>
      </w:r>
      <w:r w:rsidR="00965E88" w:rsidRPr="00965E88">
        <w:rPr>
          <w:lang w:val="en-GB"/>
        </w:rPr>
        <w:t xml:space="preserve">ffects of COVID-19. </w:t>
      </w:r>
      <w:r w:rsidR="00965E88" w:rsidRPr="00965E88">
        <w:rPr>
          <w:i/>
          <w:lang w:val="en-GB"/>
        </w:rPr>
        <w:t xml:space="preserve">American Journal of Cultural Sociology </w:t>
      </w:r>
      <w:r w:rsidR="00965E88" w:rsidRPr="00CD1706">
        <w:rPr>
          <w:lang w:val="en-GB"/>
        </w:rPr>
        <w:t>8</w:t>
      </w:r>
      <w:r w:rsidR="00965E88" w:rsidRPr="00D07D87">
        <w:rPr>
          <w:lang w:val="en-GB"/>
        </w:rPr>
        <w:t>(3)</w:t>
      </w:r>
      <w:r w:rsidR="00D07D87">
        <w:rPr>
          <w:lang w:val="en-GB"/>
        </w:rPr>
        <w:t>:</w:t>
      </w:r>
      <w:r w:rsidR="00965E88" w:rsidRPr="00965E88">
        <w:rPr>
          <w:lang w:val="en-GB"/>
        </w:rPr>
        <w:t xml:space="preserve"> 462-476</w:t>
      </w:r>
      <w:r w:rsidR="00764996">
        <w:rPr>
          <w:lang w:val="en-GB"/>
        </w:rPr>
        <w:t>.</w:t>
      </w:r>
    </w:p>
    <w:p w14:paraId="62AA04F6" w14:textId="75ABFE51" w:rsidR="00901DE4" w:rsidRPr="00A924BB" w:rsidRDefault="00901DE4" w:rsidP="00A924BB">
      <w:pPr>
        <w:pStyle w:val="EndNoteBibliography"/>
        <w:spacing w:after="0"/>
        <w:ind w:left="720" w:hanging="720"/>
      </w:pPr>
      <w:r>
        <w:t xml:space="preserve">Bunzl M (2014) </w:t>
      </w:r>
      <w:r w:rsidRPr="00CD1706">
        <w:rPr>
          <w:i/>
        </w:rPr>
        <w:t>In Search of a Lost Avant-Garde: An Anthropologist Investigates the Contemporary Art Museum</w:t>
      </w:r>
      <w:r>
        <w:t xml:space="preserve">. Chicago: University of Chicago Press. </w:t>
      </w:r>
    </w:p>
    <w:p w14:paraId="49717B19" w14:textId="7E7CD81C" w:rsidR="00A924BB" w:rsidRPr="00A924BB" w:rsidRDefault="00202D5C" w:rsidP="00A924BB">
      <w:pPr>
        <w:pStyle w:val="EndNoteBibliography"/>
        <w:spacing w:after="0"/>
        <w:ind w:left="720" w:hanging="720"/>
      </w:pPr>
      <w:r>
        <w:t>Carrasco A &amp; Gunter HM (2019)</w:t>
      </w:r>
      <w:r w:rsidR="00A924BB" w:rsidRPr="00A924BB">
        <w:t xml:space="preserve"> The “</w:t>
      </w:r>
      <w:r>
        <w:t>Private” in t</w:t>
      </w:r>
      <w:r w:rsidRPr="00A924BB">
        <w:t>he Privati</w:t>
      </w:r>
      <w:r>
        <w:t>sation of Schools: The Case o</w:t>
      </w:r>
      <w:r w:rsidRPr="00A924BB">
        <w:t xml:space="preserve">f </w:t>
      </w:r>
      <w:r w:rsidR="00A924BB" w:rsidRPr="00A924BB">
        <w:t>Chile</w:t>
      </w:r>
      <w:r w:rsidRPr="00A924BB">
        <w:t xml:space="preserve">. </w:t>
      </w:r>
      <w:r w:rsidR="00A924BB" w:rsidRPr="00A924BB">
        <w:rPr>
          <w:i/>
        </w:rPr>
        <w:t xml:space="preserve">Educational Review </w:t>
      </w:r>
      <w:r w:rsidR="00A924BB" w:rsidRPr="00202D5C">
        <w:t>71(1</w:t>
      </w:r>
      <w:r>
        <w:t>):</w:t>
      </w:r>
      <w:r w:rsidR="00A924BB" w:rsidRPr="00A924BB">
        <w:t xml:space="preserve"> 67-80. </w:t>
      </w:r>
    </w:p>
    <w:p w14:paraId="4A0C999C" w14:textId="2F8A40E9" w:rsidR="00A924BB" w:rsidRPr="00A924BB" w:rsidRDefault="00202D5C" w:rsidP="00A924BB">
      <w:pPr>
        <w:pStyle w:val="EndNoteBibliography"/>
        <w:spacing w:after="0"/>
        <w:ind w:left="720" w:hanging="720"/>
      </w:pPr>
      <w:r>
        <w:t>Chambers D (1970)</w:t>
      </w:r>
      <w:r w:rsidR="00A924BB" w:rsidRPr="00A924BB">
        <w:t xml:space="preserve"> </w:t>
      </w:r>
      <w:r w:rsidR="00A924BB" w:rsidRPr="00A924BB">
        <w:rPr>
          <w:i/>
        </w:rPr>
        <w:t>Patrons and Artists in the Italian Renaissance</w:t>
      </w:r>
      <w:r w:rsidR="00A924BB" w:rsidRPr="00A924BB">
        <w:t xml:space="preserve">. </w:t>
      </w:r>
      <w:r>
        <w:t xml:space="preserve">Cham: </w:t>
      </w:r>
      <w:r w:rsidR="00A924BB" w:rsidRPr="00A924BB">
        <w:t xml:space="preserve">Palgrave Macmillan. </w:t>
      </w:r>
    </w:p>
    <w:p w14:paraId="6DC79CE4" w14:textId="72EB6E0B" w:rsidR="00A924BB" w:rsidRPr="00A924BB" w:rsidRDefault="00202D5C" w:rsidP="00A924BB">
      <w:pPr>
        <w:pStyle w:val="EndNoteBibliography"/>
        <w:spacing w:after="0"/>
        <w:ind w:left="720" w:hanging="720"/>
      </w:pPr>
      <w:r>
        <w:t>Coombes A (2012)</w:t>
      </w:r>
      <w:r w:rsidR="00A924BB" w:rsidRPr="00A924BB">
        <w:t xml:space="preserve"> Muse</w:t>
      </w:r>
      <w:r w:rsidR="002B4E3F">
        <w:t>u</w:t>
      </w:r>
      <w:r w:rsidR="00A924BB" w:rsidRPr="00A924BB">
        <w:t>ms and the Formation of National and Cultural Identities. In</w:t>
      </w:r>
      <w:r w:rsidR="001E7E65">
        <w:t>:</w:t>
      </w:r>
      <w:r w:rsidR="00A924BB" w:rsidRPr="00A924BB">
        <w:t xml:space="preserve"> Carbonell </w:t>
      </w:r>
      <w:r w:rsidR="005C00E5">
        <w:t>B (eds)</w:t>
      </w:r>
      <w:r w:rsidR="00A924BB" w:rsidRPr="00A924BB">
        <w:t xml:space="preserve"> </w:t>
      </w:r>
      <w:r w:rsidR="00A924BB" w:rsidRPr="00A924BB">
        <w:rPr>
          <w:i/>
        </w:rPr>
        <w:t>Museum Studies: An Anthology of Contexts</w:t>
      </w:r>
      <w:r w:rsidR="005C00E5">
        <w:t xml:space="preserve">. Hoboken: </w:t>
      </w:r>
      <w:r w:rsidR="00A924BB" w:rsidRPr="00A924BB">
        <w:t xml:space="preserve">Wiley-Blackwell. </w:t>
      </w:r>
    </w:p>
    <w:p w14:paraId="7A6AF3D0" w14:textId="58C66849" w:rsidR="00A924BB" w:rsidRPr="00A924BB" w:rsidRDefault="00783DE2" w:rsidP="00A924BB">
      <w:pPr>
        <w:pStyle w:val="EndNoteBibliography"/>
        <w:spacing w:after="0"/>
        <w:ind w:left="720" w:hanging="720"/>
      </w:pPr>
      <w:r>
        <w:t>Cooper T (1996)</w:t>
      </w:r>
      <w:r w:rsidR="00A924BB" w:rsidRPr="00A924BB">
        <w:t xml:space="preserve"> Mecenatismo or Clientelismo? The Character of Renaissance Patronage. In</w:t>
      </w:r>
      <w:r w:rsidR="001E7E65">
        <w:t>:</w:t>
      </w:r>
      <w:r w:rsidR="00A924BB" w:rsidRPr="00A924BB">
        <w:t xml:space="preserve"> Wilkins </w:t>
      </w:r>
      <w:r>
        <w:t xml:space="preserve">DG and </w:t>
      </w:r>
      <w:r w:rsidR="00A924BB" w:rsidRPr="00A924BB">
        <w:t>Wilkins</w:t>
      </w:r>
      <w:r>
        <w:t xml:space="preserve"> RL (eds)</w:t>
      </w:r>
      <w:r w:rsidR="00A924BB" w:rsidRPr="00A924BB">
        <w:t xml:space="preserve"> </w:t>
      </w:r>
      <w:r w:rsidR="00A924BB" w:rsidRPr="00A924BB">
        <w:rPr>
          <w:i/>
        </w:rPr>
        <w:t xml:space="preserve">The </w:t>
      </w:r>
      <w:r>
        <w:rPr>
          <w:i/>
        </w:rPr>
        <w:t>Search For a Patron in The Middle Ages and t</w:t>
      </w:r>
      <w:r w:rsidRPr="00A924BB">
        <w:rPr>
          <w:i/>
        </w:rPr>
        <w:t xml:space="preserve">he Renaissance. </w:t>
      </w:r>
      <w:r w:rsidRPr="00783DE2">
        <w:rPr>
          <w:lang w:val="en-GB"/>
        </w:rPr>
        <w:t>Lewiston:</w:t>
      </w:r>
      <w:r w:rsidRPr="00783DE2">
        <w:rPr>
          <w:i/>
          <w:lang w:val="en-GB"/>
        </w:rPr>
        <w:t xml:space="preserve"> </w:t>
      </w:r>
      <w:r w:rsidR="00C02A80">
        <w:t xml:space="preserve">Edwin Mellen, pp. </w:t>
      </w:r>
      <w:r w:rsidR="00C02A80">
        <w:rPr>
          <w:lang w:val="en-GB"/>
        </w:rPr>
        <w:t>19-</w:t>
      </w:r>
      <w:r w:rsidR="00C02A80" w:rsidRPr="00C02A80">
        <w:rPr>
          <w:lang w:val="en-GB"/>
        </w:rPr>
        <w:t>32</w:t>
      </w:r>
      <w:r w:rsidR="00C02A80">
        <w:rPr>
          <w:lang w:val="en-GB"/>
        </w:rPr>
        <w:t>.</w:t>
      </w:r>
    </w:p>
    <w:p w14:paraId="7C95CD12" w14:textId="4CE97F20" w:rsidR="00A924BB" w:rsidRPr="00A924BB" w:rsidRDefault="00783DE2" w:rsidP="00A924BB">
      <w:pPr>
        <w:pStyle w:val="EndNoteBibliography"/>
        <w:spacing w:after="0"/>
        <w:ind w:left="720" w:hanging="720"/>
      </w:pPr>
      <w:r>
        <w:t>De Magalhães C</w:t>
      </w:r>
      <w:r w:rsidR="00A924BB" w:rsidRPr="00A924BB">
        <w:t xml:space="preserve"> (2010). Public Space and the Contracting-out of Publicness: A Framework for Analysis. </w:t>
      </w:r>
      <w:r w:rsidR="00A924BB" w:rsidRPr="00A924BB">
        <w:rPr>
          <w:i/>
        </w:rPr>
        <w:t xml:space="preserve">Journal of Urban Design </w:t>
      </w:r>
      <w:r w:rsidR="00A924BB" w:rsidRPr="00783DE2">
        <w:t>15(4)</w:t>
      </w:r>
      <w:r w:rsidR="001E7E65">
        <w:t>:</w:t>
      </w:r>
      <w:r w:rsidR="00A924BB" w:rsidRPr="00A924BB">
        <w:t xml:space="preserve"> 559-574. </w:t>
      </w:r>
    </w:p>
    <w:p w14:paraId="209091BC" w14:textId="4E883707" w:rsidR="00A924BB" w:rsidRPr="00A924BB" w:rsidRDefault="007C1CCF" w:rsidP="00A924BB">
      <w:pPr>
        <w:pStyle w:val="EndNoteBibliography"/>
        <w:spacing w:after="0"/>
        <w:ind w:left="720" w:hanging="720"/>
      </w:pPr>
      <w:r>
        <w:t>DeNora T (1997)</w:t>
      </w:r>
      <w:r w:rsidR="00A924BB" w:rsidRPr="00A924BB">
        <w:t xml:space="preserve"> </w:t>
      </w:r>
      <w:r w:rsidR="00A924BB" w:rsidRPr="00A924BB">
        <w:rPr>
          <w:i/>
        </w:rPr>
        <w:t>Beethoven and the Construction of Genius: Musical Politics in Vienna, 1792-1803</w:t>
      </w:r>
      <w:r w:rsidR="00A924BB" w:rsidRPr="00A924BB">
        <w:t xml:space="preserve">. </w:t>
      </w:r>
      <w:r>
        <w:t xml:space="preserve">Berkeley: </w:t>
      </w:r>
      <w:r w:rsidR="00A924BB" w:rsidRPr="00A924BB">
        <w:t xml:space="preserve">University of California Press. </w:t>
      </w:r>
    </w:p>
    <w:p w14:paraId="314FC5B7" w14:textId="2E0633B1" w:rsidR="00A924BB" w:rsidRPr="00A924BB" w:rsidRDefault="007C1CCF" w:rsidP="00A924BB">
      <w:pPr>
        <w:pStyle w:val="EndNoteBibliography"/>
        <w:spacing w:after="0"/>
        <w:ind w:left="720" w:hanging="720"/>
      </w:pPr>
      <w:r>
        <w:t>Duncan C (1995)</w:t>
      </w:r>
      <w:r w:rsidR="00A924BB" w:rsidRPr="00A924BB">
        <w:t xml:space="preserve"> </w:t>
      </w:r>
      <w:r w:rsidR="00A924BB" w:rsidRPr="00A924BB">
        <w:rPr>
          <w:i/>
        </w:rPr>
        <w:t>Civilizing Rituals: Inside Public Art Museums</w:t>
      </w:r>
      <w:r w:rsidR="00A924BB" w:rsidRPr="00A924BB">
        <w:t xml:space="preserve">. </w:t>
      </w:r>
      <w:r>
        <w:t xml:space="preserve">Abingdon: </w:t>
      </w:r>
      <w:r w:rsidR="00A924BB" w:rsidRPr="00A924BB">
        <w:t xml:space="preserve">Routledge. </w:t>
      </w:r>
    </w:p>
    <w:p w14:paraId="4EFDB1FE" w14:textId="34BED474" w:rsidR="00A924BB" w:rsidRPr="00A924BB" w:rsidRDefault="007C1CCF" w:rsidP="00A924BB">
      <w:pPr>
        <w:pStyle w:val="EndNoteBibliography"/>
        <w:spacing w:after="0"/>
        <w:ind w:left="720" w:hanging="720"/>
      </w:pPr>
      <w:r>
        <w:t>Duncan C (2004)</w:t>
      </w:r>
      <w:r w:rsidR="00A924BB" w:rsidRPr="00A924BB">
        <w:t xml:space="preserve"> From the Princely Gallery to the Public Art Museum: The Louvre Museum and the </w:t>
      </w:r>
      <w:r>
        <w:t>National Gallery, London. In</w:t>
      </w:r>
      <w:r w:rsidR="001E7E65">
        <w:t>:</w:t>
      </w:r>
      <w:r>
        <w:t xml:space="preserve"> </w:t>
      </w:r>
      <w:r w:rsidR="00A924BB" w:rsidRPr="00A924BB">
        <w:t>Preziosi</w:t>
      </w:r>
      <w:r>
        <w:t xml:space="preserve"> D and </w:t>
      </w:r>
      <w:r w:rsidR="00A924BB" w:rsidRPr="00A924BB">
        <w:t>Farago</w:t>
      </w:r>
      <w:r>
        <w:t xml:space="preserve"> C</w:t>
      </w:r>
      <w:r w:rsidR="00A924BB" w:rsidRPr="00A924BB">
        <w:t xml:space="preserve"> (</w:t>
      </w:r>
      <w:r>
        <w:t>eds)</w:t>
      </w:r>
      <w:r w:rsidR="00A924BB" w:rsidRPr="00A924BB">
        <w:t xml:space="preserve"> </w:t>
      </w:r>
      <w:r w:rsidR="00A924BB" w:rsidRPr="00A924BB">
        <w:rPr>
          <w:i/>
        </w:rPr>
        <w:t>Grasping the World: The Idea of the Museum</w:t>
      </w:r>
      <w:r w:rsidR="00A924BB" w:rsidRPr="00A924BB">
        <w:t xml:space="preserve">. </w:t>
      </w:r>
      <w:r>
        <w:t xml:space="preserve">Abingdon: </w:t>
      </w:r>
      <w:r w:rsidR="00C02A80">
        <w:t>Routledge, pp. 250</w:t>
      </w:r>
      <w:r w:rsidR="00C02A80">
        <w:rPr>
          <w:lang w:val="en-GB"/>
        </w:rPr>
        <w:t>-277.</w:t>
      </w:r>
    </w:p>
    <w:p w14:paraId="69F5930B" w14:textId="4F9AECB8" w:rsidR="00A924BB" w:rsidRPr="00A924BB" w:rsidRDefault="007C1CCF" w:rsidP="00A924BB">
      <w:pPr>
        <w:pStyle w:val="EndNoteBibliography"/>
        <w:spacing w:after="0"/>
        <w:ind w:left="720" w:hanging="720"/>
      </w:pPr>
      <w:r>
        <w:t>Duncan C (2013)</w:t>
      </w:r>
      <w:r w:rsidR="00A924BB" w:rsidRPr="00A924BB">
        <w:t xml:space="preserve"> Ritual in</w:t>
      </w:r>
      <w:r w:rsidR="00C02A80">
        <w:t xml:space="preserve"> the E</w:t>
      </w:r>
      <w:r>
        <w:t>arly Louvre Museum. In</w:t>
      </w:r>
      <w:r w:rsidR="001E7E65">
        <w:t>:</w:t>
      </w:r>
      <w:r>
        <w:t xml:space="preserve"> </w:t>
      </w:r>
      <w:r w:rsidR="00A924BB" w:rsidRPr="00A924BB">
        <w:t xml:space="preserve">Tsang </w:t>
      </w:r>
      <w:r>
        <w:t xml:space="preserve">R and </w:t>
      </w:r>
      <w:r w:rsidR="00A924BB" w:rsidRPr="00A924BB">
        <w:t xml:space="preserve">Taylor Woods </w:t>
      </w:r>
      <w:r>
        <w:t>E (eds</w:t>
      </w:r>
      <w:r w:rsidR="00A924BB" w:rsidRPr="00A924BB">
        <w:t xml:space="preserve">), </w:t>
      </w:r>
      <w:r w:rsidR="00A924BB" w:rsidRPr="00A924BB">
        <w:rPr>
          <w:i/>
        </w:rPr>
        <w:t>The Cultural Politics of Nationalism a</w:t>
      </w:r>
      <w:r>
        <w:rPr>
          <w:i/>
        </w:rPr>
        <w:t>nd Nation-Building: Ritual and Performance in the Forging of N</w:t>
      </w:r>
      <w:r w:rsidR="00A924BB" w:rsidRPr="00A924BB">
        <w:rPr>
          <w:i/>
        </w:rPr>
        <w:t>ations</w:t>
      </w:r>
      <w:r w:rsidR="00A924BB" w:rsidRPr="00A924BB">
        <w:t xml:space="preserve">. </w:t>
      </w:r>
      <w:r>
        <w:t xml:space="preserve">Abingdon: </w:t>
      </w:r>
      <w:r w:rsidR="00C02A80">
        <w:t>Routledge, pp. 87-103.</w:t>
      </w:r>
      <w:r w:rsidR="00A924BB" w:rsidRPr="00A924BB">
        <w:t xml:space="preserve"> </w:t>
      </w:r>
    </w:p>
    <w:p w14:paraId="487780EB" w14:textId="558437CF" w:rsidR="00A924BB" w:rsidRDefault="007C1CCF" w:rsidP="00A924BB">
      <w:pPr>
        <w:pStyle w:val="EndNoteBibliography"/>
        <w:spacing w:after="0"/>
        <w:ind w:left="720" w:hanging="720"/>
      </w:pPr>
      <w:r>
        <w:t>Evans M (2015)</w:t>
      </w:r>
      <w:r w:rsidR="00A924BB" w:rsidRPr="00A924BB">
        <w:t xml:space="preserve"> </w:t>
      </w:r>
      <w:r w:rsidR="00A924BB" w:rsidRPr="00A924BB">
        <w:rPr>
          <w:i/>
        </w:rPr>
        <w:t>Artwash: Big Oil and the Arts</w:t>
      </w:r>
      <w:r w:rsidR="00A924BB" w:rsidRPr="00A924BB">
        <w:t xml:space="preserve">. </w:t>
      </w:r>
      <w:r>
        <w:t xml:space="preserve">London: </w:t>
      </w:r>
      <w:r w:rsidR="00A924BB" w:rsidRPr="00A924BB">
        <w:t xml:space="preserve">Pluto Press. </w:t>
      </w:r>
    </w:p>
    <w:p w14:paraId="4C5DD5FE" w14:textId="42CB77E7" w:rsidR="00D07D87" w:rsidRPr="00A924BB" w:rsidRDefault="00D07D87" w:rsidP="00A924BB">
      <w:pPr>
        <w:pStyle w:val="EndNoteBibliography"/>
        <w:spacing w:after="0"/>
        <w:ind w:left="720" w:hanging="720"/>
      </w:pPr>
      <w:r>
        <w:rPr>
          <w:lang w:val="en-GB"/>
        </w:rPr>
        <w:t>Felton E (2018)</w:t>
      </w:r>
      <w:r w:rsidRPr="00D07D87">
        <w:rPr>
          <w:lang w:val="en-GB"/>
        </w:rPr>
        <w:t xml:space="preserve"> </w:t>
      </w:r>
      <w:r w:rsidRPr="00CD1706">
        <w:rPr>
          <w:i/>
          <w:lang w:val="en-GB"/>
        </w:rPr>
        <w:t>Filtered: Coffee, the Café  and the 21st-Century City</w:t>
      </w:r>
      <w:r>
        <w:rPr>
          <w:lang w:val="en-GB"/>
        </w:rPr>
        <w:t xml:space="preserve">. Abingdon: </w:t>
      </w:r>
      <w:r w:rsidRPr="00D07D87">
        <w:rPr>
          <w:lang w:val="en-GB"/>
        </w:rPr>
        <w:t>Routledge.</w:t>
      </w:r>
    </w:p>
    <w:p w14:paraId="548315C8" w14:textId="5721067E" w:rsidR="00A924BB" w:rsidRPr="00A924BB" w:rsidRDefault="007C1CCF" w:rsidP="00A924BB">
      <w:pPr>
        <w:pStyle w:val="EndNoteBibliography"/>
        <w:spacing w:after="0"/>
        <w:ind w:left="720" w:hanging="720"/>
      </w:pPr>
      <w:r>
        <w:t>Fine GA (2010)</w:t>
      </w:r>
      <w:r w:rsidR="00A924BB" w:rsidRPr="00A924BB">
        <w:t xml:space="preserve"> The Sociology of the Local: Action and its Publics. </w:t>
      </w:r>
      <w:r w:rsidR="00A924BB" w:rsidRPr="00A924BB">
        <w:rPr>
          <w:i/>
        </w:rPr>
        <w:t xml:space="preserve">Sociological Theory </w:t>
      </w:r>
      <w:r>
        <w:t xml:space="preserve">28(4): </w:t>
      </w:r>
      <w:r w:rsidR="00A924BB" w:rsidRPr="00A924BB">
        <w:t xml:space="preserve">355-376. </w:t>
      </w:r>
    </w:p>
    <w:p w14:paraId="40100F9C" w14:textId="41BF6BDD" w:rsidR="00A924BB" w:rsidRPr="00A924BB" w:rsidRDefault="007C1CCF" w:rsidP="00A924BB">
      <w:pPr>
        <w:pStyle w:val="EndNoteBibliography"/>
        <w:spacing w:after="0"/>
        <w:ind w:left="720" w:hanging="720"/>
      </w:pPr>
      <w:r>
        <w:t>Fine GA (2012)</w:t>
      </w:r>
      <w:r w:rsidR="00A924BB" w:rsidRPr="00A924BB">
        <w:t xml:space="preserve"> </w:t>
      </w:r>
      <w:r>
        <w:rPr>
          <w:i/>
        </w:rPr>
        <w:t>Tiny publics: A T</w:t>
      </w:r>
      <w:r w:rsidR="00A924BB" w:rsidRPr="00A924BB">
        <w:rPr>
          <w:i/>
        </w:rPr>
        <w:t>heo</w:t>
      </w:r>
      <w:r>
        <w:rPr>
          <w:i/>
        </w:rPr>
        <w:t>ry of Group Action and Culture</w:t>
      </w:r>
      <w:r w:rsidR="00A924BB" w:rsidRPr="00A924BB">
        <w:t xml:space="preserve">. </w:t>
      </w:r>
      <w:r>
        <w:t xml:space="preserve">New York: </w:t>
      </w:r>
      <w:r w:rsidR="00A924BB" w:rsidRPr="00A924BB">
        <w:t xml:space="preserve">Russell Sage Foundation. </w:t>
      </w:r>
    </w:p>
    <w:p w14:paraId="2273FD5D" w14:textId="1CBA590D" w:rsidR="00A924BB" w:rsidRPr="00A924BB" w:rsidRDefault="007C1CCF" w:rsidP="00A924BB">
      <w:pPr>
        <w:pStyle w:val="EndNoteBibliography"/>
        <w:spacing w:after="0"/>
        <w:ind w:left="720" w:hanging="720"/>
      </w:pPr>
      <w:r>
        <w:t>Fine GA</w:t>
      </w:r>
      <w:r w:rsidR="00A924BB" w:rsidRPr="00A924BB">
        <w:t xml:space="preserve"> (2</w:t>
      </w:r>
      <w:r>
        <w:t>019)</w:t>
      </w:r>
      <w:r w:rsidR="00A924BB" w:rsidRPr="00A924BB">
        <w:t xml:space="preserve"> The Meso-World: Tiny Publics and Political Action. </w:t>
      </w:r>
      <w:r w:rsidR="00A924BB" w:rsidRPr="00A924BB">
        <w:rPr>
          <w:i/>
        </w:rPr>
        <w:t xml:space="preserve">Qualitative Sociology Review </w:t>
      </w:r>
      <w:r w:rsidR="00A924BB" w:rsidRPr="005C00E5">
        <w:t>15</w:t>
      </w:r>
      <w:r w:rsidR="005C00E5" w:rsidRPr="005C00E5">
        <w:t>(2</w:t>
      </w:r>
      <w:r w:rsidR="005C00E5">
        <w:t>):</w:t>
      </w:r>
      <w:r w:rsidR="00A924BB" w:rsidRPr="00A924BB">
        <w:t xml:space="preserve"> 10-24. </w:t>
      </w:r>
    </w:p>
    <w:p w14:paraId="5BC201A3" w14:textId="4823E465" w:rsidR="00A924BB" w:rsidRPr="00A924BB" w:rsidRDefault="005C00E5" w:rsidP="00A924BB">
      <w:pPr>
        <w:pStyle w:val="EndNoteBibliography"/>
        <w:spacing w:after="0"/>
        <w:ind w:left="720" w:hanging="720"/>
      </w:pPr>
      <w:r>
        <w:rPr>
          <w:lang w:val="en-GB"/>
        </w:rPr>
        <w:t>Fine GA &amp; Fang J (2019) Idioculture. In</w:t>
      </w:r>
      <w:r w:rsidR="001E7E65">
        <w:rPr>
          <w:lang w:val="en-GB"/>
        </w:rPr>
        <w:t>:</w:t>
      </w:r>
      <w:r>
        <w:rPr>
          <w:lang w:val="en-GB"/>
        </w:rPr>
        <w:t xml:space="preserve"> Atkinson P, </w:t>
      </w:r>
      <w:r w:rsidRPr="005C00E5">
        <w:rPr>
          <w:lang w:val="en-GB"/>
        </w:rPr>
        <w:t>Delamont</w:t>
      </w:r>
      <w:r>
        <w:rPr>
          <w:lang w:val="en-GB"/>
        </w:rPr>
        <w:t xml:space="preserve"> S, </w:t>
      </w:r>
      <w:r w:rsidRPr="005C00E5">
        <w:rPr>
          <w:lang w:val="en-GB"/>
        </w:rPr>
        <w:t>Cernat</w:t>
      </w:r>
      <w:r>
        <w:rPr>
          <w:lang w:val="en-GB"/>
        </w:rPr>
        <w:t xml:space="preserve"> A,</w:t>
      </w:r>
      <w:r w:rsidRPr="005C00E5">
        <w:rPr>
          <w:lang w:val="en-GB"/>
        </w:rPr>
        <w:t xml:space="preserve"> Sakshaug</w:t>
      </w:r>
      <w:r>
        <w:rPr>
          <w:lang w:val="en-GB"/>
        </w:rPr>
        <w:t xml:space="preserve"> JW and</w:t>
      </w:r>
      <w:r w:rsidRPr="005C00E5">
        <w:rPr>
          <w:lang w:val="en-GB"/>
        </w:rPr>
        <w:t xml:space="preserve"> Williams</w:t>
      </w:r>
      <w:r w:rsidR="00FD6457">
        <w:rPr>
          <w:lang w:val="en-GB"/>
        </w:rPr>
        <w:t xml:space="preserve"> RA (eds)</w:t>
      </w:r>
      <w:r>
        <w:rPr>
          <w:lang w:val="en-GB"/>
        </w:rPr>
        <w:t xml:space="preserve"> </w:t>
      </w:r>
      <w:r w:rsidRPr="005C00E5">
        <w:rPr>
          <w:i/>
          <w:iCs/>
          <w:lang w:val="en-GB"/>
        </w:rPr>
        <w:t>SAGE Research Methods Foundations.</w:t>
      </w:r>
      <w:r w:rsidR="00FD6457">
        <w:t xml:space="preserve"> Newcastle: Sage.</w:t>
      </w:r>
    </w:p>
    <w:p w14:paraId="078683FE" w14:textId="6799DEEA" w:rsidR="00A924BB" w:rsidRPr="00A924BB" w:rsidRDefault="00FD6457" w:rsidP="00A924BB">
      <w:pPr>
        <w:pStyle w:val="EndNoteBibliography"/>
        <w:spacing w:after="0"/>
        <w:ind w:left="720" w:hanging="720"/>
      </w:pPr>
      <w:r>
        <w:t>Garber M (2008)</w:t>
      </w:r>
      <w:r w:rsidR="00A924BB" w:rsidRPr="00A924BB">
        <w:t xml:space="preserve"> </w:t>
      </w:r>
      <w:r w:rsidR="00A924BB" w:rsidRPr="00A924BB">
        <w:rPr>
          <w:i/>
        </w:rPr>
        <w:t>Patronizing the Arts</w:t>
      </w:r>
      <w:r w:rsidR="00A924BB" w:rsidRPr="00A924BB">
        <w:t xml:space="preserve">. </w:t>
      </w:r>
      <w:r>
        <w:t xml:space="preserve">Princeton: </w:t>
      </w:r>
      <w:r w:rsidR="00A924BB" w:rsidRPr="00A924BB">
        <w:t xml:space="preserve">Princeton University Press. </w:t>
      </w:r>
    </w:p>
    <w:p w14:paraId="777F0582" w14:textId="424E34F5" w:rsidR="00A924BB" w:rsidRPr="00A924BB" w:rsidRDefault="00A924BB" w:rsidP="00A924BB">
      <w:pPr>
        <w:pStyle w:val="EndNoteBibliography"/>
        <w:spacing w:after="0"/>
        <w:ind w:left="720" w:hanging="720"/>
      </w:pPr>
      <w:r w:rsidRPr="00A924BB">
        <w:lastRenderedPageBreak/>
        <w:t>Gill</w:t>
      </w:r>
      <w:r w:rsidR="005C00E5">
        <w:t xml:space="preserve"> R</w:t>
      </w:r>
      <w:r w:rsidR="00FD6457">
        <w:t xml:space="preserve"> </w:t>
      </w:r>
      <w:r w:rsidR="005C00E5">
        <w:t xml:space="preserve">&amp; Pratt A (2008) In the Social Factory? </w:t>
      </w:r>
      <w:r w:rsidRPr="00A924BB">
        <w:t xml:space="preserve">Immaterial Labour, Precariousness and Cultural Work. </w:t>
      </w:r>
      <w:r w:rsidRPr="00A924BB">
        <w:rPr>
          <w:i/>
        </w:rPr>
        <w:t xml:space="preserve">Theory, Culture &amp; Society </w:t>
      </w:r>
      <w:r w:rsidR="005C00E5">
        <w:t xml:space="preserve">25(7-8): </w:t>
      </w:r>
      <w:r w:rsidRPr="00A924BB">
        <w:t xml:space="preserve">1-30. </w:t>
      </w:r>
    </w:p>
    <w:p w14:paraId="197E8D68" w14:textId="4E1FF529" w:rsidR="00A924BB" w:rsidRPr="00A924BB" w:rsidRDefault="005C00E5" w:rsidP="00A924BB">
      <w:pPr>
        <w:pStyle w:val="EndNoteBibliography"/>
        <w:spacing w:after="0"/>
        <w:ind w:left="720" w:hanging="720"/>
      </w:pPr>
      <w:r>
        <w:t>Goffman</w:t>
      </w:r>
      <w:r w:rsidR="00A924BB" w:rsidRPr="00A924BB">
        <w:t xml:space="preserve"> E</w:t>
      </w:r>
      <w:r>
        <w:t xml:space="preserve"> (1983)</w:t>
      </w:r>
      <w:r w:rsidR="00A924BB" w:rsidRPr="00A924BB">
        <w:t xml:space="preserve"> The Interaction Order. </w:t>
      </w:r>
      <w:r w:rsidR="00A924BB" w:rsidRPr="00A924BB">
        <w:rPr>
          <w:i/>
        </w:rPr>
        <w:t xml:space="preserve">American Sociological Review </w:t>
      </w:r>
      <w:r>
        <w:t xml:space="preserve">48: </w:t>
      </w:r>
      <w:r w:rsidR="00A924BB" w:rsidRPr="00A924BB">
        <w:t xml:space="preserve">1-17. </w:t>
      </w:r>
    </w:p>
    <w:p w14:paraId="786A14DC" w14:textId="01C2C850" w:rsidR="00A924BB" w:rsidRPr="00A924BB" w:rsidRDefault="005C00E5" w:rsidP="00A924BB">
      <w:pPr>
        <w:pStyle w:val="EndNoteBibliography"/>
        <w:spacing w:after="0"/>
        <w:ind w:left="720" w:hanging="720"/>
      </w:pPr>
      <w:r>
        <w:t>Goldfarb JC (2006)</w:t>
      </w:r>
      <w:r w:rsidR="00A924BB" w:rsidRPr="00A924BB">
        <w:t xml:space="preserve"> </w:t>
      </w:r>
      <w:r w:rsidR="00A924BB" w:rsidRPr="00A924BB">
        <w:rPr>
          <w:i/>
        </w:rPr>
        <w:t xml:space="preserve">The </w:t>
      </w:r>
      <w:r>
        <w:rPr>
          <w:i/>
        </w:rPr>
        <w:t>Politics of Small Things the Power of the Powerless i</w:t>
      </w:r>
      <w:r w:rsidRPr="00A924BB">
        <w:rPr>
          <w:i/>
        </w:rPr>
        <w:t>n Dark Times</w:t>
      </w:r>
      <w:r w:rsidR="00A924BB" w:rsidRPr="00A924BB">
        <w:t xml:space="preserve">. </w:t>
      </w:r>
      <w:r>
        <w:t xml:space="preserve">Chicago: University of Chicago Press. </w:t>
      </w:r>
    </w:p>
    <w:p w14:paraId="0CFC95AE" w14:textId="091CE0F7" w:rsidR="00A924BB" w:rsidRPr="00A924BB" w:rsidRDefault="00A924BB" w:rsidP="00A924BB">
      <w:pPr>
        <w:pStyle w:val="EndNoteBibliography"/>
        <w:spacing w:after="0"/>
        <w:ind w:left="720" w:hanging="720"/>
      </w:pPr>
      <w:r w:rsidRPr="00A924BB">
        <w:t>Greer</w:t>
      </w:r>
      <w:r w:rsidR="005C00E5">
        <w:t xml:space="preserve"> S (2021)</w:t>
      </w:r>
      <w:r w:rsidRPr="00A924BB">
        <w:t xml:space="preserve"> Funding </w:t>
      </w:r>
      <w:r w:rsidR="005C00E5">
        <w:t>Resilience: Market Rationalism and t</w:t>
      </w:r>
      <w:r w:rsidR="005C00E5" w:rsidRPr="00A924BB">
        <w:t xml:space="preserve">he </w:t>
      </w:r>
      <w:r w:rsidRPr="00A924BB">
        <w:t xml:space="preserve">UK’s </w:t>
      </w:r>
      <w:r w:rsidR="005C00E5">
        <w:t>“Mixed Economy” for t</w:t>
      </w:r>
      <w:r w:rsidR="005C00E5" w:rsidRPr="00A924BB">
        <w:t>he Arts</w:t>
      </w:r>
      <w:r w:rsidRPr="00A924BB">
        <w:t xml:space="preserve">. </w:t>
      </w:r>
      <w:r w:rsidRPr="00A924BB">
        <w:rPr>
          <w:i/>
        </w:rPr>
        <w:t xml:space="preserve">Cultural Trends </w:t>
      </w:r>
      <w:r w:rsidR="005C00E5">
        <w:t xml:space="preserve">30(3): </w:t>
      </w:r>
      <w:r w:rsidRPr="00A924BB">
        <w:t xml:space="preserve">222-240. </w:t>
      </w:r>
    </w:p>
    <w:p w14:paraId="1E0E46B3" w14:textId="4EC05444" w:rsidR="00145CA3" w:rsidRDefault="00367D5A" w:rsidP="00A924BB">
      <w:pPr>
        <w:pStyle w:val="EndNoteBibliography"/>
        <w:spacing w:after="0"/>
        <w:ind w:left="720" w:hanging="720"/>
      </w:pPr>
      <w:r>
        <w:t>Grenfell M &amp; Hardy C</w:t>
      </w:r>
      <w:r w:rsidR="00145CA3">
        <w:t xml:space="preserve"> (2007) </w:t>
      </w:r>
      <w:r w:rsidR="00145CA3">
        <w:rPr>
          <w:i/>
        </w:rPr>
        <w:t xml:space="preserve">Art Rules: Pierre Bourdieu and the Visual Arts. </w:t>
      </w:r>
      <w:r w:rsidR="00145CA3">
        <w:t>New York: Berg.</w:t>
      </w:r>
    </w:p>
    <w:p w14:paraId="60FABC1A" w14:textId="6490B21F" w:rsidR="00A924BB" w:rsidRPr="00A924BB" w:rsidRDefault="005C00E5" w:rsidP="00A924BB">
      <w:pPr>
        <w:pStyle w:val="EndNoteBibliography"/>
        <w:spacing w:after="0"/>
        <w:ind w:left="720" w:hanging="720"/>
      </w:pPr>
      <w:r>
        <w:t>Gupta S &amp; Gupta AY (2019) “Resilience” as a Policy K</w:t>
      </w:r>
      <w:r w:rsidR="00A924BB" w:rsidRPr="00A924BB">
        <w:t xml:space="preserve">eyword: Arts </w:t>
      </w:r>
      <w:r>
        <w:t>Council England and A</w:t>
      </w:r>
      <w:r w:rsidR="00A924BB" w:rsidRPr="00A924BB">
        <w:t xml:space="preserve">usterity. </w:t>
      </w:r>
      <w:r w:rsidR="00A924BB" w:rsidRPr="00A924BB">
        <w:rPr>
          <w:i/>
        </w:rPr>
        <w:t xml:space="preserve">Policy Studies </w:t>
      </w:r>
      <w:r w:rsidR="00A924BB" w:rsidRPr="005C00E5">
        <w:t>43(</w:t>
      </w:r>
      <w:r>
        <w:t>2):</w:t>
      </w:r>
      <w:r w:rsidR="00A924BB" w:rsidRPr="00A924BB">
        <w:t xml:space="preserve"> 279-295. </w:t>
      </w:r>
    </w:p>
    <w:p w14:paraId="7455C87D" w14:textId="1509AADA" w:rsidR="00A924BB" w:rsidRPr="00A924BB" w:rsidRDefault="005C00E5" w:rsidP="00A924BB">
      <w:pPr>
        <w:pStyle w:val="EndNoteBibliography"/>
        <w:spacing w:after="0"/>
        <w:ind w:left="720" w:hanging="720"/>
      </w:pPr>
      <w:r>
        <w:t>Habermas J</w:t>
      </w:r>
      <w:r w:rsidR="00A924BB" w:rsidRPr="00A924BB">
        <w:t xml:space="preserve"> (2005) </w:t>
      </w:r>
      <w:r w:rsidR="00A924BB" w:rsidRPr="00A924BB">
        <w:rPr>
          <w:i/>
        </w:rPr>
        <w:t>The Structural Transformation of the Public Sphere</w:t>
      </w:r>
      <w:r w:rsidR="00A924BB" w:rsidRPr="00A924BB">
        <w:t xml:space="preserve">. </w:t>
      </w:r>
      <w:r>
        <w:t xml:space="preserve">London: </w:t>
      </w:r>
      <w:r w:rsidR="00A924BB" w:rsidRPr="00A924BB">
        <w:t xml:space="preserve">Polity Press. </w:t>
      </w:r>
    </w:p>
    <w:p w14:paraId="0C6452C2" w14:textId="6C8483A7" w:rsidR="00A924BB" w:rsidRDefault="005C00E5" w:rsidP="00A924BB">
      <w:pPr>
        <w:pStyle w:val="EndNoteBibliography"/>
        <w:spacing w:after="0"/>
        <w:ind w:left="720" w:hanging="720"/>
      </w:pPr>
      <w:r>
        <w:t xml:space="preserve">Habermas J, Lennox S &amp; Lennox, F (1974) </w:t>
      </w:r>
      <w:r w:rsidR="00A924BB" w:rsidRPr="00A924BB">
        <w:t>The Public S</w:t>
      </w:r>
      <w:r>
        <w:t>phere: An Encyclopedia Article</w:t>
      </w:r>
      <w:r w:rsidR="00A924BB" w:rsidRPr="00A924BB">
        <w:t xml:space="preserve">. </w:t>
      </w:r>
      <w:r w:rsidR="00A924BB" w:rsidRPr="00A924BB">
        <w:rPr>
          <w:i/>
        </w:rPr>
        <w:t>New German Critique</w:t>
      </w:r>
      <w:r>
        <w:rPr>
          <w:i/>
        </w:rPr>
        <w:t xml:space="preserve"> </w:t>
      </w:r>
      <w:r>
        <w:t>3:</w:t>
      </w:r>
      <w:r w:rsidR="00A924BB" w:rsidRPr="00A924BB">
        <w:t xml:space="preserve"> 49-55. </w:t>
      </w:r>
    </w:p>
    <w:p w14:paraId="32BB83DF" w14:textId="08C50B95" w:rsidR="00FD454B" w:rsidRPr="00A924BB" w:rsidRDefault="00FD454B" w:rsidP="00A924BB">
      <w:pPr>
        <w:pStyle w:val="EndNoteBibliography"/>
        <w:spacing w:after="0"/>
        <w:ind w:left="720" w:hanging="720"/>
      </w:pPr>
      <w:r>
        <w:t xml:space="preserve">Harris L (2022) Looking Beyond Interaction: Exploring Meaning Making Through the Windows of an Art Gallery. </w:t>
      </w:r>
      <w:r>
        <w:rPr>
          <w:i/>
        </w:rPr>
        <w:t xml:space="preserve">American Journal of Cultural Sociology </w:t>
      </w:r>
      <w:r>
        <w:t>10: 316-336.</w:t>
      </w:r>
    </w:p>
    <w:p w14:paraId="21DECFF4" w14:textId="3F5320E6" w:rsidR="00A924BB" w:rsidRPr="00A924BB" w:rsidRDefault="005C00E5" w:rsidP="00A924BB">
      <w:pPr>
        <w:pStyle w:val="EndNoteBibliography"/>
        <w:spacing w:after="0"/>
        <w:ind w:left="720" w:hanging="720"/>
      </w:pPr>
      <w:r>
        <w:t>Hutchinson R &amp; Forrester S (1987)</w:t>
      </w:r>
      <w:r w:rsidR="00A924BB" w:rsidRPr="00A924BB">
        <w:t xml:space="preserve"> </w:t>
      </w:r>
      <w:r w:rsidR="00A924BB" w:rsidRPr="00A924BB">
        <w:rPr>
          <w:i/>
        </w:rPr>
        <w:t>Arts Centres in the United Kingdom</w:t>
      </w:r>
      <w:r>
        <w:t xml:space="preserve">. London: </w:t>
      </w:r>
      <w:r w:rsidRPr="005C00E5">
        <w:rPr>
          <w:lang w:val="en-GB"/>
        </w:rPr>
        <w:t>Policy Studies Institute</w:t>
      </w:r>
      <w:r>
        <w:rPr>
          <w:lang w:val="en-GB"/>
        </w:rPr>
        <w:t>.</w:t>
      </w:r>
    </w:p>
    <w:p w14:paraId="55FD529C" w14:textId="65A9379F" w:rsidR="00A924BB" w:rsidRPr="00A924BB" w:rsidRDefault="00A924BB" w:rsidP="00A924BB">
      <w:pPr>
        <w:pStyle w:val="EndNoteBibliography"/>
        <w:spacing w:after="0"/>
        <w:ind w:left="720" w:hanging="720"/>
      </w:pPr>
      <w:r w:rsidRPr="00A924BB">
        <w:t>Jancovich</w:t>
      </w:r>
      <w:r w:rsidR="005C00E5">
        <w:t xml:space="preserve"> L (2011)</w:t>
      </w:r>
      <w:r w:rsidRPr="00A924BB">
        <w:t xml:space="preserve"> Great </w:t>
      </w:r>
      <w:r w:rsidR="005C00E5">
        <w:t>Art f</w:t>
      </w:r>
      <w:r w:rsidR="005C00E5" w:rsidRPr="00A924BB">
        <w:t xml:space="preserve">or Everyone? </w:t>
      </w:r>
      <w:r w:rsidRPr="00A924BB">
        <w:t xml:space="preserve">Engagement </w:t>
      </w:r>
      <w:r w:rsidR="005C00E5">
        <w:t>and Participation Policy in t</w:t>
      </w:r>
      <w:r w:rsidR="005C00E5" w:rsidRPr="00A924BB">
        <w:t>he Arts</w:t>
      </w:r>
      <w:r w:rsidRPr="00A924BB">
        <w:t xml:space="preserve">. </w:t>
      </w:r>
      <w:r w:rsidRPr="00A924BB">
        <w:rPr>
          <w:i/>
        </w:rPr>
        <w:t xml:space="preserve">Cultural Trends </w:t>
      </w:r>
      <w:r w:rsidRPr="005C00E5">
        <w:t>20(3-4</w:t>
      </w:r>
      <w:r w:rsidR="005C00E5">
        <w:t>):</w:t>
      </w:r>
      <w:r w:rsidRPr="00A924BB">
        <w:t xml:space="preserve"> 271-279. </w:t>
      </w:r>
    </w:p>
    <w:p w14:paraId="23876873" w14:textId="32A00450" w:rsidR="00A924BB" w:rsidRPr="00A924BB" w:rsidRDefault="005C00E5" w:rsidP="00A924BB">
      <w:pPr>
        <w:pStyle w:val="EndNoteBibliography"/>
        <w:spacing w:after="0"/>
        <w:ind w:left="720" w:hanging="720"/>
      </w:pPr>
      <w:r>
        <w:t>Jancovich L (2017)</w:t>
      </w:r>
      <w:r w:rsidR="00A924BB" w:rsidRPr="00A924BB">
        <w:t xml:space="preserve"> The </w:t>
      </w:r>
      <w:r w:rsidR="00367D5A">
        <w:t>P</w:t>
      </w:r>
      <w:r w:rsidR="00A924BB" w:rsidRPr="00A924BB">
        <w:t xml:space="preserve">articipation </w:t>
      </w:r>
      <w:r w:rsidR="00367D5A">
        <w:t>M</w:t>
      </w:r>
      <w:r w:rsidR="00A924BB" w:rsidRPr="00A924BB">
        <w:t xml:space="preserve">yth. </w:t>
      </w:r>
      <w:r w:rsidR="00A924BB" w:rsidRPr="00A924BB">
        <w:rPr>
          <w:i/>
        </w:rPr>
        <w:t xml:space="preserve">International Journal of Cultural Policy </w:t>
      </w:r>
      <w:r>
        <w:t>23(1):</w:t>
      </w:r>
      <w:r w:rsidR="00A924BB" w:rsidRPr="00A924BB">
        <w:t xml:space="preserve"> 107-121. </w:t>
      </w:r>
    </w:p>
    <w:p w14:paraId="4E987656" w14:textId="2ED7EEF4" w:rsidR="00A924BB" w:rsidRPr="00A924BB" w:rsidRDefault="00A924BB" w:rsidP="00A924BB">
      <w:pPr>
        <w:pStyle w:val="EndNoteBibliography"/>
        <w:spacing w:after="0"/>
        <w:ind w:left="720" w:hanging="720"/>
      </w:pPr>
      <w:r w:rsidRPr="00A924BB">
        <w:t>Jensen</w:t>
      </w:r>
      <w:r w:rsidR="005C00E5">
        <w:t xml:space="preserve"> EA (2013)</w:t>
      </w:r>
      <w:r w:rsidRPr="00A924BB">
        <w:t xml:space="preserve"> Reconsidering The Love of Art: Evaluating the Potential of Art Museum Outreach. </w:t>
      </w:r>
      <w:r w:rsidRPr="00A924BB">
        <w:rPr>
          <w:i/>
        </w:rPr>
        <w:t xml:space="preserve">Visitor Studies </w:t>
      </w:r>
      <w:r w:rsidRPr="005145C3">
        <w:t>16</w:t>
      </w:r>
      <w:r w:rsidR="005145C3">
        <w:t xml:space="preserve">(2): </w:t>
      </w:r>
      <w:r w:rsidRPr="00A924BB">
        <w:t xml:space="preserve">144-159. </w:t>
      </w:r>
    </w:p>
    <w:p w14:paraId="372E206F" w14:textId="020ECBE7" w:rsidR="00A924BB" w:rsidRPr="00A924BB" w:rsidRDefault="005145C3" w:rsidP="00A924BB">
      <w:pPr>
        <w:pStyle w:val="EndNoteBibliography"/>
        <w:spacing w:after="0"/>
        <w:ind w:left="720" w:hanging="720"/>
      </w:pPr>
      <w:r>
        <w:t>Jones P (2018)</w:t>
      </w:r>
      <w:r w:rsidR="00A924BB" w:rsidRPr="00A924BB">
        <w:t xml:space="preserve"> </w:t>
      </w:r>
      <w:r w:rsidR="00C02A80" w:rsidRPr="00C02A80">
        <w:rPr>
          <w:iCs/>
          <w:lang w:val="en-GB"/>
        </w:rPr>
        <w:t xml:space="preserve">Private Finance Initiative </w:t>
      </w:r>
      <w:r w:rsidR="00C02A80">
        <w:rPr>
          <w:iCs/>
          <w:lang w:val="en-GB"/>
        </w:rPr>
        <w:t>Hospital Architecture: Towards a</w:t>
      </w:r>
      <w:r w:rsidR="00C02A80" w:rsidRPr="00C02A80">
        <w:rPr>
          <w:iCs/>
          <w:lang w:val="en-GB"/>
        </w:rPr>
        <w:t xml:space="preserve"> Political Economy </w:t>
      </w:r>
      <w:r w:rsidR="00C02A80">
        <w:rPr>
          <w:iCs/>
          <w:lang w:val="en-GB"/>
        </w:rPr>
        <w:t>of the</w:t>
      </w:r>
      <w:r w:rsidR="00C02A80" w:rsidRPr="00C02A80">
        <w:rPr>
          <w:iCs/>
          <w:lang w:val="en-GB"/>
        </w:rPr>
        <w:t xml:space="preserve"> Royal Liverpool University Hospital.</w:t>
      </w:r>
      <w:r w:rsidR="00C02A80" w:rsidRPr="00C02A80">
        <w:rPr>
          <w:lang w:val="en-GB"/>
        </w:rPr>
        <w:t> </w:t>
      </w:r>
      <w:r w:rsidR="00C02A80" w:rsidRPr="00C02A80">
        <w:rPr>
          <w:i/>
          <w:lang w:val="en-GB"/>
        </w:rPr>
        <w:t>Sociology of Health and Illness</w:t>
      </w:r>
      <w:r w:rsidR="00C02A80">
        <w:rPr>
          <w:lang w:val="en-GB"/>
        </w:rPr>
        <w:t xml:space="preserve"> 2: 327-</w:t>
      </w:r>
      <w:r w:rsidR="00C02A80" w:rsidRPr="00C02A80">
        <w:rPr>
          <w:lang w:val="en-GB"/>
        </w:rPr>
        <w:t>339.</w:t>
      </w:r>
    </w:p>
    <w:p w14:paraId="0A288A31" w14:textId="54488F5B" w:rsidR="00A924BB" w:rsidRPr="00A924BB" w:rsidRDefault="005145C3" w:rsidP="00A924BB">
      <w:pPr>
        <w:pStyle w:val="EndNoteBibliography"/>
        <w:spacing w:after="0"/>
        <w:ind w:left="720" w:hanging="720"/>
      </w:pPr>
      <w:r>
        <w:t>Kaplan FES</w:t>
      </w:r>
      <w:r w:rsidR="00A924BB" w:rsidRPr="00A924BB">
        <w:t xml:space="preserve"> (2006). Making and Remaking National Identities. In</w:t>
      </w:r>
      <w:r w:rsidR="00367D5A">
        <w:t>:</w:t>
      </w:r>
      <w:r>
        <w:t xml:space="preserve"> Macdonald S (eds)</w:t>
      </w:r>
      <w:r w:rsidR="00A924BB" w:rsidRPr="00A924BB">
        <w:t xml:space="preserve"> </w:t>
      </w:r>
      <w:r w:rsidR="00A924BB" w:rsidRPr="00A924BB">
        <w:rPr>
          <w:i/>
        </w:rPr>
        <w:t>A Companion to Museum Studies</w:t>
      </w:r>
      <w:r>
        <w:rPr>
          <w:i/>
        </w:rPr>
        <w:t xml:space="preserve">. </w:t>
      </w:r>
      <w:r>
        <w:t>Hoboken: Wiley-Blackwell, pp. 152-169</w:t>
      </w:r>
      <w:r w:rsidR="00A924BB" w:rsidRPr="00A924BB">
        <w:t xml:space="preserve">. </w:t>
      </w:r>
    </w:p>
    <w:p w14:paraId="4B94CD7D" w14:textId="0DB82346" w:rsidR="00A924BB" w:rsidRPr="00A924BB" w:rsidRDefault="00A924BB" w:rsidP="00A924BB">
      <w:pPr>
        <w:pStyle w:val="EndNoteBibliography"/>
        <w:spacing w:after="0"/>
        <w:ind w:left="720" w:hanging="720"/>
      </w:pPr>
      <w:r w:rsidRPr="00A924BB">
        <w:t>K</w:t>
      </w:r>
      <w:r w:rsidR="00C02A80">
        <w:t>irchberg V (2003) Corporate Arts S</w:t>
      </w:r>
      <w:r w:rsidRPr="00A924BB">
        <w:t>ponsorship. In</w:t>
      </w:r>
      <w:r w:rsidR="00367D5A">
        <w:t>:</w:t>
      </w:r>
      <w:r w:rsidRPr="00A924BB">
        <w:t xml:space="preserve"> Towse</w:t>
      </w:r>
      <w:r w:rsidR="00C86A4C">
        <w:t xml:space="preserve"> R (eds) </w:t>
      </w:r>
      <w:r w:rsidRPr="00A924BB">
        <w:rPr>
          <w:i/>
        </w:rPr>
        <w:t>A Handbook of Cultural Economics</w:t>
      </w:r>
      <w:r w:rsidR="00C86A4C">
        <w:t>. Cheltenham: Edward Elgar Publishing, pp. 143-151.</w:t>
      </w:r>
    </w:p>
    <w:p w14:paraId="13B15DC2" w14:textId="3754F77F" w:rsidR="00A924BB" w:rsidRDefault="00C86A4C" w:rsidP="00A924BB">
      <w:pPr>
        <w:pStyle w:val="EndNoteBibliography"/>
        <w:spacing w:after="0"/>
        <w:ind w:left="720" w:hanging="720"/>
      </w:pPr>
      <w:r>
        <w:t>Lamont M &amp; Fournier M (1992)</w:t>
      </w:r>
      <w:r w:rsidR="00A924BB" w:rsidRPr="00A924BB">
        <w:t xml:space="preserve"> </w:t>
      </w:r>
      <w:r w:rsidR="00A924BB" w:rsidRPr="00A924BB">
        <w:rPr>
          <w:i/>
        </w:rPr>
        <w:t>Cultivating Difference: Symbolic Boundaries and the Making of Inequality</w:t>
      </w:r>
      <w:r w:rsidR="00A924BB" w:rsidRPr="00A924BB">
        <w:t xml:space="preserve">. </w:t>
      </w:r>
      <w:r>
        <w:t xml:space="preserve">Chicago: </w:t>
      </w:r>
      <w:r w:rsidR="00A924BB" w:rsidRPr="00A924BB">
        <w:t xml:space="preserve">University of Chicago Press. </w:t>
      </w:r>
    </w:p>
    <w:p w14:paraId="51A7951C" w14:textId="631E5E21" w:rsidR="00145CA3" w:rsidRPr="00A924BB" w:rsidRDefault="00145CA3" w:rsidP="00A924BB">
      <w:pPr>
        <w:pStyle w:val="EndNoteBibliography"/>
        <w:spacing w:after="0"/>
        <w:ind w:left="720" w:hanging="720"/>
      </w:pPr>
      <w:r>
        <w:t xml:space="preserve">Lehnert M (2018) </w:t>
      </w:r>
      <w:r w:rsidR="00B464D4">
        <w:t xml:space="preserve">Taste Making and the Museum. In: Quinn M, Beech D, Lehnert M, Tulloch C &amp; Wilson S (eds) </w:t>
      </w:r>
      <w:r w:rsidR="00B464D4" w:rsidRPr="00CD1706">
        <w:rPr>
          <w:i/>
        </w:rPr>
        <w:t>The Persistence of Taste: Art, Museums and Everyday Life After Bourdieu</w:t>
      </w:r>
      <w:r w:rsidR="00B464D4">
        <w:rPr>
          <w:i/>
        </w:rPr>
        <w:t xml:space="preserve">. </w:t>
      </w:r>
      <w:r w:rsidR="00B464D4">
        <w:t>Abingdon: Routledge.</w:t>
      </w:r>
      <w:r w:rsidR="00B464D4">
        <w:rPr>
          <w:i/>
        </w:rPr>
        <w:t xml:space="preserve"> </w:t>
      </w:r>
      <w:r w:rsidR="00B464D4">
        <w:t xml:space="preserve"> </w:t>
      </w:r>
    </w:p>
    <w:p w14:paraId="7B698B90" w14:textId="7B66DB07" w:rsidR="00A924BB" w:rsidRPr="00A924BB" w:rsidRDefault="00C86A4C" w:rsidP="00A924BB">
      <w:pPr>
        <w:pStyle w:val="EndNoteBibliography"/>
        <w:spacing w:after="0"/>
        <w:ind w:left="720" w:hanging="720"/>
      </w:pPr>
      <w:r>
        <w:t>Loughran K (2014)</w:t>
      </w:r>
      <w:r w:rsidR="00A924BB" w:rsidRPr="00A924BB">
        <w:t xml:space="preserve"> Parks for Profit: The High Line, Growth Machines, and the Uneven Development of Urban Public Spaces. </w:t>
      </w:r>
      <w:r w:rsidR="00A924BB" w:rsidRPr="00A924BB">
        <w:rPr>
          <w:i/>
        </w:rPr>
        <w:t xml:space="preserve">City &amp; Community </w:t>
      </w:r>
      <w:r w:rsidR="00A924BB" w:rsidRPr="00C86A4C">
        <w:t>13(</w:t>
      </w:r>
      <w:r>
        <w:t>1):</w:t>
      </w:r>
      <w:r w:rsidR="00A924BB" w:rsidRPr="00A924BB">
        <w:t xml:space="preserve"> 49-68. </w:t>
      </w:r>
    </w:p>
    <w:p w14:paraId="5B792571" w14:textId="0CB11A70" w:rsidR="00A924BB" w:rsidRPr="00A924BB" w:rsidRDefault="00C86A4C" w:rsidP="00A924BB">
      <w:pPr>
        <w:pStyle w:val="EndNoteBibliography"/>
        <w:spacing w:after="0"/>
        <w:ind w:left="720" w:hanging="720"/>
      </w:pPr>
      <w:r>
        <w:t>Macdonald S (2012)</w:t>
      </w:r>
      <w:r w:rsidR="00A924BB" w:rsidRPr="00A924BB">
        <w:t xml:space="preserve"> Muse</w:t>
      </w:r>
      <w:r w:rsidR="00CE4A7F">
        <w:t>u</w:t>
      </w:r>
      <w:r w:rsidR="00A924BB" w:rsidRPr="00A924BB">
        <w:t>ms, National, Postnational, and Transcultural Identities. In</w:t>
      </w:r>
      <w:r w:rsidR="00B464D4">
        <w:t>:</w:t>
      </w:r>
      <w:r w:rsidR="00A924BB" w:rsidRPr="00A924BB">
        <w:t xml:space="preserve"> Carbonell </w:t>
      </w:r>
      <w:r>
        <w:t xml:space="preserve">B </w:t>
      </w:r>
      <w:r w:rsidR="00A924BB" w:rsidRPr="00A924BB">
        <w:t>(</w:t>
      </w:r>
      <w:r>
        <w:t>eds)</w:t>
      </w:r>
      <w:r w:rsidR="00A924BB" w:rsidRPr="00A924BB">
        <w:t xml:space="preserve"> </w:t>
      </w:r>
      <w:r w:rsidR="00A924BB" w:rsidRPr="00A924BB">
        <w:rPr>
          <w:i/>
        </w:rPr>
        <w:t>Museum Studies: An Anthology of Contexts</w:t>
      </w:r>
      <w:r w:rsidR="00A924BB" w:rsidRPr="00A924BB">
        <w:t xml:space="preserve">. </w:t>
      </w:r>
      <w:r>
        <w:t xml:space="preserve">Hoboken: Wiley-Blackwell, pp. </w:t>
      </w:r>
      <w:r w:rsidRPr="00C86A4C">
        <w:rPr>
          <w:lang w:val="en-GB"/>
        </w:rPr>
        <w:t>273-230</w:t>
      </w:r>
      <w:r>
        <w:rPr>
          <w:lang w:val="en-GB"/>
        </w:rPr>
        <w:t>.</w:t>
      </w:r>
    </w:p>
    <w:p w14:paraId="421943B8" w14:textId="014FF30A" w:rsidR="00A924BB" w:rsidRDefault="00C86A4C" w:rsidP="00A924BB">
      <w:pPr>
        <w:pStyle w:val="EndNoteBibliography"/>
        <w:spacing w:after="0"/>
        <w:ind w:left="720" w:hanging="720"/>
      </w:pPr>
      <w:r>
        <w:t>Madanipour A</w:t>
      </w:r>
      <w:r w:rsidR="00A924BB" w:rsidRPr="00A924BB">
        <w:t xml:space="preserve"> (2003) </w:t>
      </w:r>
      <w:r w:rsidR="00A924BB" w:rsidRPr="00A924BB">
        <w:rPr>
          <w:i/>
        </w:rPr>
        <w:t>Public and Private Spaces of the City</w:t>
      </w:r>
      <w:r w:rsidR="00A924BB" w:rsidRPr="00A924BB">
        <w:t xml:space="preserve">. </w:t>
      </w:r>
      <w:r>
        <w:t xml:space="preserve">Abingdon: </w:t>
      </w:r>
      <w:r w:rsidR="00A924BB" w:rsidRPr="00A924BB">
        <w:t xml:space="preserve">Routledge. </w:t>
      </w:r>
    </w:p>
    <w:p w14:paraId="533F9651" w14:textId="0F48FB5F" w:rsidR="00CE4A7F" w:rsidRPr="00A924BB" w:rsidRDefault="00CE4A7F" w:rsidP="00A924BB">
      <w:pPr>
        <w:pStyle w:val="EndNoteBibliography"/>
        <w:spacing w:after="0"/>
        <w:ind w:left="720" w:hanging="720"/>
      </w:pPr>
      <w:r>
        <w:t xml:space="preserve">MacLeod S (2013) </w:t>
      </w:r>
      <w:r w:rsidRPr="00CD1706">
        <w:rPr>
          <w:i/>
        </w:rPr>
        <w:t>Museum Architecture: A New Biography.</w:t>
      </w:r>
      <w:r w:rsidRPr="00CE4A7F">
        <w:t xml:space="preserve"> </w:t>
      </w:r>
      <w:r>
        <w:t>Abingdon: Routledge.</w:t>
      </w:r>
    </w:p>
    <w:p w14:paraId="24B61E77" w14:textId="67148D0E" w:rsidR="00A924BB" w:rsidRPr="00A924BB" w:rsidRDefault="00A924BB" w:rsidP="00A924BB">
      <w:pPr>
        <w:pStyle w:val="EndNoteBibliography"/>
        <w:spacing w:after="0"/>
        <w:ind w:left="720" w:hanging="720"/>
      </w:pPr>
      <w:r w:rsidRPr="00A924BB">
        <w:t>Maines</w:t>
      </w:r>
      <w:r w:rsidR="00C86A4C">
        <w:t xml:space="preserve"> DR</w:t>
      </w:r>
      <w:r w:rsidRPr="00A924BB">
        <w:t>. (1982) In Search of Mesostructure:</w:t>
      </w:r>
      <w:r w:rsidR="00C86A4C">
        <w:t xml:space="preserve"> </w:t>
      </w:r>
      <w:r w:rsidRPr="00A924BB">
        <w:t xml:space="preserve">Studies in the Negotiated Order. </w:t>
      </w:r>
      <w:r w:rsidRPr="00A924BB">
        <w:rPr>
          <w:i/>
        </w:rPr>
        <w:t>Urban Life</w:t>
      </w:r>
      <w:r w:rsidR="00C86A4C">
        <w:rPr>
          <w:i/>
        </w:rPr>
        <w:t xml:space="preserve"> </w:t>
      </w:r>
      <w:r w:rsidR="00C86A4C">
        <w:t>1(3):</w:t>
      </w:r>
      <w:r w:rsidRPr="00A924BB">
        <w:t xml:space="preserve"> 267-279. </w:t>
      </w:r>
    </w:p>
    <w:p w14:paraId="24E7E056" w14:textId="1A744A59" w:rsidR="00A924BB" w:rsidRPr="00A924BB" w:rsidRDefault="00C86A4C" w:rsidP="00A924BB">
      <w:pPr>
        <w:pStyle w:val="EndNoteBibliography"/>
        <w:spacing w:after="0"/>
        <w:ind w:left="720" w:hanging="720"/>
      </w:pPr>
      <w:r>
        <w:t>Mair M &amp; Jones P (2015)</w:t>
      </w:r>
      <w:r w:rsidR="00A924BB" w:rsidRPr="00A924BB">
        <w:t xml:space="preserve"> Politics, Government and Corruption: The Case of the Private Finance Initiative. In</w:t>
      </w:r>
      <w:r w:rsidR="00BB09C7">
        <w:t>:</w:t>
      </w:r>
      <w:r w:rsidR="00A924BB" w:rsidRPr="00A924BB">
        <w:t xml:space="preserve"> White</w:t>
      </w:r>
      <w:r>
        <w:t xml:space="preserve"> D (eds)</w:t>
      </w:r>
      <w:r w:rsidR="00A924BB" w:rsidRPr="00A924BB">
        <w:t xml:space="preserve"> </w:t>
      </w:r>
      <w:r w:rsidR="00A924BB" w:rsidRPr="00A924BB">
        <w:rPr>
          <w:i/>
        </w:rPr>
        <w:t>How Corrupt is Britain?</w:t>
      </w:r>
      <w:r w:rsidR="00A924BB" w:rsidRPr="00A924BB">
        <w:t>.</w:t>
      </w:r>
      <w:r>
        <w:t xml:space="preserve"> London: Pluto Press, pp. </w:t>
      </w:r>
      <w:r w:rsidRPr="00C86A4C">
        <w:rPr>
          <w:lang w:val="en-GB"/>
        </w:rPr>
        <w:t>124-134</w:t>
      </w:r>
      <w:r>
        <w:rPr>
          <w:lang w:val="en-GB"/>
        </w:rPr>
        <w:t>.</w:t>
      </w:r>
    </w:p>
    <w:p w14:paraId="1158704B" w14:textId="1F858CA3" w:rsidR="00A924BB" w:rsidRPr="00A924BB" w:rsidRDefault="00C86A4C" w:rsidP="00A924BB">
      <w:pPr>
        <w:pStyle w:val="EndNoteBibliography"/>
        <w:spacing w:after="0"/>
        <w:ind w:left="720" w:hanging="720"/>
      </w:pPr>
      <w:r>
        <w:t>Manza J &amp; Brooks C (2012)</w:t>
      </w:r>
      <w:r w:rsidR="00A924BB" w:rsidRPr="00A924BB">
        <w:t xml:space="preserve"> How Sociology Lost Public Opinion:</w:t>
      </w:r>
      <w:r>
        <w:t xml:space="preserve"> </w:t>
      </w:r>
      <w:r w:rsidR="00A924BB" w:rsidRPr="00A924BB">
        <w:t xml:space="preserve">A Genealogy of a Missing Concept in the Study of the Political. </w:t>
      </w:r>
      <w:r w:rsidR="00A924BB" w:rsidRPr="00A924BB">
        <w:rPr>
          <w:i/>
        </w:rPr>
        <w:t xml:space="preserve">Sociological Theory </w:t>
      </w:r>
      <w:r w:rsidR="00A924BB" w:rsidRPr="00C86A4C">
        <w:t>30</w:t>
      </w:r>
      <w:r>
        <w:t>(2):</w:t>
      </w:r>
      <w:r w:rsidR="00A924BB" w:rsidRPr="00A924BB">
        <w:t xml:space="preserve"> 89-113. </w:t>
      </w:r>
    </w:p>
    <w:p w14:paraId="4F297258" w14:textId="77777777" w:rsidR="00DC0FBD" w:rsidRDefault="00C86A4C" w:rsidP="00A924BB">
      <w:pPr>
        <w:pStyle w:val="EndNoteBibliography"/>
        <w:spacing w:after="0"/>
        <w:ind w:left="720" w:hanging="720"/>
      </w:pPr>
      <w:r>
        <w:t>Mason R (2004)</w:t>
      </w:r>
      <w:r w:rsidR="00A924BB" w:rsidRPr="00A924BB">
        <w:t xml:space="preserve"> Conflict and Complement: An Exploration of the Discourses Informing the Concept of the Socially Inclusive Museum in Contemporary Britain. </w:t>
      </w:r>
      <w:r w:rsidR="00A924BB" w:rsidRPr="00A924BB">
        <w:rPr>
          <w:i/>
        </w:rPr>
        <w:t xml:space="preserve">International Journal of Heritage Studies </w:t>
      </w:r>
      <w:r w:rsidR="00A924BB" w:rsidRPr="00C86A4C">
        <w:t>10(</w:t>
      </w:r>
      <w:r>
        <w:t>1): 49-73.</w:t>
      </w:r>
    </w:p>
    <w:p w14:paraId="7CC5FE33" w14:textId="52F02CA5" w:rsidR="00A924BB" w:rsidRPr="00A924BB" w:rsidRDefault="00DC0FBD" w:rsidP="00CD1706">
      <w:pPr>
        <w:pStyle w:val="EndNoteBibliography"/>
        <w:ind w:left="720" w:hanging="720"/>
        <w:contextualSpacing/>
      </w:pPr>
      <w:r>
        <w:t>Mauss M (2001)</w:t>
      </w:r>
      <w:r w:rsidRPr="00DC0FBD">
        <w:t xml:space="preserve"> </w:t>
      </w:r>
      <w:r w:rsidRPr="00DC0FBD">
        <w:rPr>
          <w:i/>
        </w:rPr>
        <w:t>The Gift: The Form and Reason for Exchange in Archaic Societies</w:t>
      </w:r>
      <w:r w:rsidRPr="00DC0FBD">
        <w:t xml:space="preserve">. </w:t>
      </w:r>
      <w:r>
        <w:t xml:space="preserve">Abingdon: </w:t>
      </w:r>
      <w:r w:rsidRPr="00DC0FBD">
        <w:t xml:space="preserve">Routledge. </w:t>
      </w:r>
      <w:r w:rsidR="00C86A4C">
        <w:t xml:space="preserve"> </w:t>
      </w:r>
    </w:p>
    <w:p w14:paraId="2759E0ED" w14:textId="68498FB1" w:rsidR="00A924BB" w:rsidRPr="00A924BB" w:rsidRDefault="00C86A4C" w:rsidP="00CD1706">
      <w:pPr>
        <w:pStyle w:val="EndNoteBibliography"/>
        <w:spacing w:after="0"/>
        <w:ind w:left="720" w:hanging="720"/>
        <w:contextualSpacing/>
      </w:pPr>
      <w:r>
        <w:t>McClellan A (1999)</w:t>
      </w:r>
      <w:r w:rsidR="00A924BB" w:rsidRPr="00A924BB">
        <w:t xml:space="preserve"> </w:t>
      </w:r>
      <w:r w:rsidR="00A924BB" w:rsidRPr="00A924BB">
        <w:rPr>
          <w:i/>
        </w:rPr>
        <w:t>Inventing the Louvre: Art, Politics, and the Origins of the Modern Museum in Eighteenth-Century Paris</w:t>
      </w:r>
      <w:r w:rsidR="00A924BB" w:rsidRPr="00A924BB">
        <w:t xml:space="preserve">. </w:t>
      </w:r>
      <w:r>
        <w:t xml:space="preserve">Berkeley: </w:t>
      </w:r>
      <w:r w:rsidR="00A924BB" w:rsidRPr="00A924BB">
        <w:t xml:space="preserve">University of California Press. </w:t>
      </w:r>
    </w:p>
    <w:p w14:paraId="254761E8" w14:textId="67CA01BC" w:rsidR="00A924BB" w:rsidRPr="00A924BB" w:rsidRDefault="00C86A4C" w:rsidP="00CD1706">
      <w:pPr>
        <w:pStyle w:val="EndNoteBibliography"/>
        <w:spacing w:after="0"/>
        <w:ind w:left="720" w:hanging="720"/>
        <w:contextualSpacing/>
      </w:pPr>
      <w:r>
        <w:t>McClellan A (2008)</w:t>
      </w:r>
      <w:r w:rsidR="00A924BB" w:rsidRPr="00A924BB">
        <w:t xml:space="preserve"> </w:t>
      </w:r>
      <w:r w:rsidR="00A924BB" w:rsidRPr="00A924BB">
        <w:rPr>
          <w:i/>
        </w:rPr>
        <w:t>Art and Its Publics: Museum Studies at the Millennium</w:t>
      </w:r>
      <w:r w:rsidR="00A924BB" w:rsidRPr="00A924BB">
        <w:t xml:space="preserve">. </w:t>
      </w:r>
      <w:r>
        <w:t xml:space="preserve">Oxford: </w:t>
      </w:r>
      <w:r w:rsidR="00A924BB" w:rsidRPr="00A924BB">
        <w:t xml:space="preserve">Blackwell. </w:t>
      </w:r>
    </w:p>
    <w:p w14:paraId="61521EC3" w14:textId="384F2E20" w:rsidR="00A924BB" w:rsidRPr="00A924BB" w:rsidRDefault="00C86A4C" w:rsidP="00CD1706">
      <w:pPr>
        <w:pStyle w:val="EndNoteBibliography"/>
        <w:spacing w:after="0"/>
        <w:ind w:left="720" w:hanging="720"/>
        <w:contextualSpacing/>
      </w:pPr>
      <w:r>
        <w:t>McCormick L</w:t>
      </w:r>
      <w:r w:rsidR="00A924BB" w:rsidRPr="00A924BB">
        <w:t xml:space="preserve"> (2015). </w:t>
      </w:r>
      <w:r w:rsidR="00A924BB" w:rsidRPr="00A924BB">
        <w:rPr>
          <w:i/>
        </w:rPr>
        <w:t>Performing Civility: International Competitions in Classical Music</w:t>
      </w:r>
      <w:r w:rsidR="00A924BB" w:rsidRPr="00A924BB">
        <w:t xml:space="preserve">. </w:t>
      </w:r>
      <w:r>
        <w:t xml:space="preserve">Cambridge: </w:t>
      </w:r>
      <w:r w:rsidR="00A924BB" w:rsidRPr="00A924BB">
        <w:t xml:space="preserve">Cambridge University Press. </w:t>
      </w:r>
    </w:p>
    <w:p w14:paraId="19E22529" w14:textId="7A4A114C" w:rsidR="00A924BB" w:rsidRPr="00A924BB" w:rsidRDefault="00C86A4C" w:rsidP="00A924BB">
      <w:pPr>
        <w:pStyle w:val="EndNoteBibliography"/>
        <w:spacing w:after="0"/>
        <w:ind w:left="720" w:hanging="720"/>
      </w:pPr>
      <w:r>
        <w:lastRenderedPageBreak/>
        <w:t xml:space="preserve">McLean F &amp; O'Neill M </w:t>
      </w:r>
      <w:r w:rsidR="00A924BB" w:rsidRPr="00A924BB">
        <w:t>(2009)</w:t>
      </w:r>
      <w:r w:rsidR="00367D5A">
        <w:t xml:space="preserve"> “</w:t>
      </w:r>
      <w:r w:rsidR="00A924BB" w:rsidRPr="00A924BB">
        <w:t xml:space="preserve">The </w:t>
      </w:r>
      <w:r w:rsidR="00367D5A">
        <w:t>S</w:t>
      </w:r>
      <w:r w:rsidR="00A924BB" w:rsidRPr="00A924BB">
        <w:t xml:space="preserve">ocial </w:t>
      </w:r>
      <w:r w:rsidR="00367D5A">
        <w:t>M</w:t>
      </w:r>
      <w:r w:rsidR="00A924BB" w:rsidRPr="00A924BB">
        <w:t>useum</w:t>
      </w:r>
      <w:r w:rsidR="00367D5A">
        <w:t>”</w:t>
      </w:r>
      <w:r w:rsidR="00A924BB" w:rsidRPr="00A924BB">
        <w:t xml:space="preserve"> and its </w:t>
      </w:r>
      <w:r w:rsidR="00367D5A">
        <w:t>I</w:t>
      </w:r>
      <w:r w:rsidR="00A924BB" w:rsidRPr="00A924BB">
        <w:t>mplicatio</w:t>
      </w:r>
      <w:r>
        <w:t xml:space="preserve">ns for </w:t>
      </w:r>
      <w:r w:rsidR="00367D5A">
        <w:t>M</w:t>
      </w:r>
      <w:r>
        <w:t>arketing. In</w:t>
      </w:r>
      <w:r w:rsidR="00367D5A">
        <w:t>:</w:t>
      </w:r>
      <w:r>
        <w:t xml:space="preserve"> </w:t>
      </w:r>
      <w:r w:rsidR="00A924BB" w:rsidRPr="00A924BB">
        <w:t>Hede</w:t>
      </w:r>
      <w:r>
        <w:t xml:space="preserve"> AM &amp; </w:t>
      </w:r>
      <w:r w:rsidR="00A924BB" w:rsidRPr="00A924BB">
        <w:t>Rentschler</w:t>
      </w:r>
      <w:r>
        <w:t xml:space="preserve"> R</w:t>
      </w:r>
      <w:r w:rsidR="00A924BB" w:rsidRPr="00A924BB">
        <w:t xml:space="preserve"> (</w:t>
      </w:r>
      <w:r>
        <w:t>eds)</w:t>
      </w:r>
      <w:r w:rsidR="00A924BB" w:rsidRPr="00A924BB">
        <w:t xml:space="preserve"> </w:t>
      </w:r>
      <w:r w:rsidR="00A924BB" w:rsidRPr="00A924BB">
        <w:rPr>
          <w:i/>
        </w:rPr>
        <w:t>Museum Marketing</w:t>
      </w:r>
      <w:r>
        <w:t xml:space="preserve">. Amsterdam: Elsevier, pp. </w:t>
      </w:r>
      <w:r>
        <w:rPr>
          <w:lang w:val="en-GB"/>
        </w:rPr>
        <w:t>215-221.</w:t>
      </w:r>
      <w:r w:rsidR="00A924BB" w:rsidRPr="00A924BB">
        <w:t xml:space="preserve"> </w:t>
      </w:r>
    </w:p>
    <w:p w14:paraId="661E06B6" w14:textId="36DC8340" w:rsidR="00A924BB" w:rsidRDefault="00C86A4C" w:rsidP="00A924BB">
      <w:pPr>
        <w:pStyle w:val="EndNoteBibliography"/>
        <w:spacing w:after="0"/>
        <w:ind w:left="720" w:hanging="720"/>
      </w:pPr>
      <w:r>
        <w:t>Mukerji C (2017)</w:t>
      </w:r>
      <w:r w:rsidR="00A924BB" w:rsidRPr="00A924BB">
        <w:t xml:space="preserve"> Artisans and the Construction of the French State: The Political Role of the Louvre’s Workshops. In</w:t>
      </w:r>
      <w:r w:rsidR="00367D5A">
        <w:t>:</w:t>
      </w:r>
      <w:r w:rsidR="00A924BB" w:rsidRPr="00A924BB">
        <w:t xml:space="preserve"> Geneviève</w:t>
      </w:r>
      <w:r>
        <w:t xml:space="preserve"> Z (eds)</w:t>
      </w:r>
      <w:r w:rsidR="00A924BB" w:rsidRPr="00A924BB">
        <w:t xml:space="preserve"> </w:t>
      </w:r>
      <w:r w:rsidR="00A924BB" w:rsidRPr="00A924BB">
        <w:rPr>
          <w:i/>
        </w:rPr>
        <w:t>National Matters: Materiality, Culture, and Nationalism</w:t>
      </w:r>
      <w:r>
        <w:t xml:space="preserve">. Redwood City: Stanford University Press, pp. </w:t>
      </w:r>
      <w:r w:rsidRPr="00C86A4C">
        <w:rPr>
          <w:lang w:val="en-GB"/>
        </w:rPr>
        <w:t>21-36</w:t>
      </w:r>
      <w:r>
        <w:rPr>
          <w:lang w:val="en-GB"/>
        </w:rPr>
        <w:t>.</w:t>
      </w:r>
      <w:r w:rsidR="00A924BB" w:rsidRPr="00A924BB">
        <w:t xml:space="preserve"> </w:t>
      </w:r>
    </w:p>
    <w:p w14:paraId="3F4B8F84" w14:textId="03D3E7EF" w:rsidR="00CE4A7F" w:rsidRPr="00CD1706" w:rsidRDefault="00CE4A7F" w:rsidP="00CD1706">
      <w:pPr>
        <w:pStyle w:val="EndNoteBibliography"/>
        <w:ind w:left="720" w:hanging="720"/>
        <w:contextualSpacing/>
        <w:rPr>
          <w:lang w:val="en-GB"/>
        </w:rPr>
      </w:pPr>
      <w:r>
        <w:t>Patterson M (2020) Building Citizens by Building Museums. In</w:t>
      </w:r>
      <w:r w:rsidR="00367D5A">
        <w:t>:</w:t>
      </w:r>
      <w:r>
        <w:t xml:space="preserve"> Lindsay G (eds) </w:t>
      </w:r>
      <w:r w:rsidRPr="00CD1706">
        <w:rPr>
          <w:i/>
          <w:lang w:val="en-GB"/>
        </w:rPr>
        <w:t>Contemporary Museum Architecture and Design Theory and Practice of Place</w:t>
      </w:r>
      <w:r>
        <w:rPr>
          <w:i/>
          <w:lang w:val="en-GB"/>
        </w:rPr>
        <w:t xml:space="preserve">. </w:t>
      </w:r>
      <w:r>
        <w:rPr>
          <w:lang w:val="en-GB"/>
        </w:rPr>
        <w:t xml:space="preserve">Abingdon: Routledge, pp. </w:t>
      </w:r>
      <w:r w:rsidR="00367D5A">
        <w:rPr>
          <w:lang w:val="en-GB"/>
        </w:rPr>
        <w:t>155-177</w:t>
      </w:r>
      <w:r>
        <w:rPr>
          <w:lang w:val="en-GB"/>
        </w:rPr>
        <w:t>.</w:t>
      </w:r>
    </w:p>
    <w:p w14:paraId="42565F89" w14:textId="1ECB0475" w:rsidR="00A924BB" w:rsidRPr="00A924BB" w:rsidRDefault="00C86A4C" w:rsidP="00A924BB">
      <w:pPr>
        <w:pStyle w:val="EndNoteBibliography"/>
        <w:spacing w:after="0"/>
        <w:ind w:left="720" w:hanging="720"/>
        <w:contextualSpacing/>
      </w:pPr>
      <w:r>
        <w:t>Pollock A (2005)</w:t>
      </w:r>
      <w:r w:rsidR="00A924BB" w:rsidRPr="00A924BB">
        <w:t xml:space="preserve"> </w:t>
      </w:r>
      <w:r>
        <w:rPr>
          <w:i/>
        </w:rPr>
        <w:t>NHS plc: The Privatisation of our H</w:t>
      </w:r>
      <w:r w:rsidR="00A924BB" w:rsidRPr="00A924BB">
        <w:rPr>
          <w:i/>
        </w:rPr>
        <w:t>ealthcare</w:t>
      </w:r>
      <w:r w:rsidR="00A924BB" w:rsidRPr="00A924BB">
        <w:t xml:space="preserve">. </w:t>
      </w:r>
      <w:r>
        <w:t xml:space="preserve">London: </w:t>
      </w:r>
      <w:r w:rsidR="00A924BB" w:rsidRPr="00A924BB">
        <w:t xml:space="preserve">Verso. </w:t>
      </w:r>
    </w:p>
    <w:p w14:paraId="6223A021" w14:textId="1BB0CCF9" w:rsidR="00A924BB" w:rsidRDefault="00C86A4C" w:rsidP="00A924BB">
      <w:pPr>
        <w:pStyle w:val="EndNoteBibliography"/>
        <w:spacing w:after="0"/>
        <w:ind w:left="720" w:hanging="720"/>
      </w:pPr>
      <w:r>
        <w:t>Prior N (2002)</w:t>
      </w:r>
      <w:r w:rsidR="00A924BB" w:rsidRPr="00A924BB">
        <w:t xml:space="preserve"> </w:t>
      </w:r>
      <w:r>
        <w:rPr>
          <w:i/>
        </w:rPr>
        <w:t>Museums and Modernity: Art G</w:t>
      </w:r>
      <w:r w:rsidR="00A924BB" w:rsidRPr="00A924BB">
        <w:rPr>
          <w:i/>
        </w:rPr>
        <w:t xml:space="preserve">alleries </w:t>
      </w:r>
      <w:r>
        <w:rPr>
          <w:i/>
        </w:rPr>
        <w:t>and the Making of Modern Culture</w:t>
      </w:r>
      <w:r w:rsidR="00A924BB" w:rsidRPr="00A924BB">
        <w:t xml:space="preserve">. </w:t>
      </w:r>
      <w:r>
        <w:t>London: Bloomsbury</w:t>
      </w:r>
      <w:r w:rsidR="00A924BB" w:rsidRPr="00A924BB">
        <w:t xml:space="preserve">. </w:t>
      </w:r>
    </w:p>
    <w:p w14:paraId="68B43283" w14:textId="2A9E2958" w:rsidR="00BB09C7" w:rsidRPr="00A924BB" w:rsidRDefault="00BB09C7" w:rsidP="00A924BB">
      <w:pPr>
        <w:pStyle w:val="EndNoteBibliography"/>
        <w:spacing w:after="0"/>
        <w:ind w:left="720" w:hanging="720"/>
      </w:pPr>
      <w:r>
        <w:rPr>
          <w:lang w:val="en-GB"/>
        </w:rPr>
        <w:t>Smart W</w:t>
      </w:r>
      <w:r w:rsidRPr="00BB09C7">
        <w:rPr>
          <w:lang w:val="en-GB"/>
        </w:rPr>
        <w:t xml:space="preserve"> </w:t>
      </w:r>
      <w:r>
        <w:rPr>
          <w:lang w:val="en-GB"/>
        </w:rPr>
        <w:t>(2020)</w:t>
      </w:r>
      <w:r w:rsidR="00367D5A">
        <w:rPr>
          <w:lang w:val="en-GB"/>
        </w:rPr>
        <w:t xml:space="preserve"> The Open and Integrated M</w:t>
      </w:r>
      <w:r w:rsidRPr="00BB09C7">
        <w:rPr>
          <w:lang w:val="en-GB"/>
        </w:rPr>
        <w:t>useum. In</w:t>
      </w:r>
      <w:r>
        <w:rPr>
          <w:lang w:val="en-GB"/>
        </w:rPr>
        <w:t>:</w:t>
      </w:r>
      <w:r w:rsidRPr="00BB09C7">
        <w:rPr>
          <w:lang w:val="en-GB"/>
        </w:rPr>
        <w:t> G. Lindsay</w:t>
      </w:r>
      <w:r w:rsidRPr="00BB09C7">
        <w:rPr>
          <w:i/>
          <w:iCs/>
          <w:lang w:val="en-GB"/>
        </w:rPr>
        <w:t xml:space="preserve"> </w:t>
      </w:r>
      <w:r>
        <w:rPr>
          <w:iCs/>
          <w:lang w:val="en-GB"/>
        </w:rPr>
        <w:t xml:space="preserve">(eds) </w:t>
      </w:r>
      <w:r w:rsidRPr="00BB09C7">
        <w:rPr>
          <w:i/>
          <w:iCs/>
          <w:lang w:val="en-GB"/>
        </w:rPr>
        <w:t>Contemporary Museum Architecture and Design: Theory and Practice of Place</w:t>
      </w:r>
      <w:r w:rsidRPr="00BB09C7">
        <w:rPr>
          <w:lang w:val="en-GB"/>
        </w:rPr>
        <w:t>. Abingdon: Routledge</w:t>
      </w:r>
      <w:r w:rsidR="007D4B15">
        <w:rPr>
          <w:lang w:val="en-GB"/>
        </w:rPr>
        <w:t xml:space="preserve">, pp. </w:t>
      </w:r>
      <w:r w:rsidR="007D4B15" w:rsidRPr="007D4B15">
        <w:rPr>
          <w:lang w:val="en-GB"/>
        </w:rPr>
        <w:t>137–154</w:t>
      </w:r>
      <w:r w:rsidR="007D4B15">
        <w:rPr>
          <w:lang w:val="en-GB"/>
        </w:rPr>
        <w:t>.</w:t>
      </w:r>
    </w:p>
    <w:p w14:paraId="54B4DDF2" w14:textId="6F9C19F2" w:rsidR="00A924BB" w:rsidRPr="00A924BB" w:rsidRDefault="00C86A4C" w:rsidP="00A924BB">
      <w:pPr>
        <w:pStyle w:val="EndNoteBibliography"/>
        <w:spacing w:after="0"/>
        <w:ind w:left="720" w:hanging="720"/>
      </w:pPr>
      <w:r>
        <w:t>Smelser N</w:t>
      </w:r>
      <w:r w:rsidR="00A924BB" w:rsidRPr="00A924BB">
        <w:t xml:space="preserve"> (1997). </w:t>
      </w:r>
      <w:r w:rsidR="00A924BB" w:rsidRPr="00A924BB">
        <w:rPr>
          <w:i/>
        </w:rPr>
        <w:t>Problematics of Sociology</w:t>
      </w:r>
      <w:r w:rsidR="00CA47A1">
        <w:t xml:space="preserve">. Berkeley: </w:t>
      </w:r>
      <w:r w:rsidR="00A924BB" w:rsidRPr="00A924BB">
        <w:t xml:space="preserve">University of California Press. </w:t>
      </w:r>
    </w:p>
    <w:p w14:paraId="14A3BAD1" w14:textId="6258DD3A" w:rsidR="00A924BB" w:rsidRPr="00A924BB" w:rsidRDefault="00CA47A1" w:rsidP="00A924BB">
      <w:pPr>
        <w:pStyle w:val="EndNoteBibliography"/>
        <w:spacing w:after="0"/>
        <w:ind w:left="720" w:hanging="720"/>
      </w:pPr>
      <w:r>
        <w:t>Smith A (2018</w:t>
      </w:r>
      <w:r w:rsidR="00367D5A">
        <w:t>)</w:t>
      </w:r>
      <w:r w:rsidR="00A924BB" w:rsidRPr="00A924BB">
        <w:t xml:space="preserve"> Paying for </w:t>
      </w:r>
      <w:r w:rsidR="00367D5A">
        <w:t>P</w:t>
      </w:r>
      <w:r w:rsidR="00A924BB" w:rsidRPr="00A924BB">
        <w:t xml:space="preserve">arks. Ticketed </w:t>
      </w:r>
      <w:r w:rsidRPr="00A924BB">
        <w:t xml:space="preserve">Events </w:t>
      </w:r>
      <w:r>
        <w:t>and the Commercialisation o</w:t>
      </w:r>
      <w:r w:rsidRPr="00A924BB">
        <w:t>f Public Space</w:t>
      </w:r>
      <w:r w:rsidR="00A924BB" w:rsidRPr="00A924BB">
        <w:t xml:space="preserve">. </w:t>
      </w:r>
      <w:r w:rsidR="00A924BB" w:rsidRPr="00A924BB">
        <w:rPr>
          <w:i/>
        </w:rPr>
        <w:t xml:space="preserve">Leisure Studies </w:t>
      </w:r>
      <w:r w:rsidR="00A924BB" w:rsidRPr="00CA47A1">
        <w:t>37</w:t>
      </w:r>
      <w:r>
        <w:t xml:space="preserve">(5): </w:t>
      </w:r>
      <w:r w:rsidR="00A924BB" w:rsidRPr="00A924BB">
        <w:t xml:space="preserve">533-546. </w:t>
      </w:r>
    </w:p>
    <w:p w14:paraId="5E8BD285" w14:textId="062BDE7A" w:rsidR="00A924BB" w:rsidRPr="00A924BB" w:rsidRDefault="00CA47A1" w:rsidP="00A924BB">
      <w:pPr>
        <w:pStyle w:val="EndNoteBibliography"/>
        <w:spacing w:after="0"/>
        <w:ind w:left="720" w:hanging="720"/>
      </w:pPr>
      <w:r>
        <w:t xml:space="preserve">Smith N </w:t>
      </w:r>
      <w:r w:rsidR="00A924BB" w:rsidRPr="00A924BB">
        <w:t>&amp; Low</w:t>
      </w:r>
      <w:r>
        <w:t xml:space="preserve"> S</w:t>
      </w:r>
      <w:r w:rsidR="00A924BB" w:rsidRPr="00A924BB">
        <w:t xml:space="preserve"> (2006) </w:t>
      </w:r>
      <w:r w:rsidR="00A924BB" w:rsidRPr="00A924BB">
        <w:rPr>
          <w:i/>
        </w:rPr>
        <w:t>The Politics of Public Space</w:t>
      </w:r>
      <w:r w:rsidR="00A924BB" w:rsidRPr="00A924BB">
        <w:t xml:space="preserve">. </w:t>
      </w:r>
      <w:r>
        <w:t xml:space="preserve">Abingdon: </w:t>
      </w:r>
      <w:r w:rsidR="00A924BB" w:rsidRPr="00A924BB">
        <w:t xml:space="preserve">Routledge. </w:t>
      </w:r>
    </w:p>
    <w:p w14:paraId="3C7A9C18" w14:textId="50CB3792" w:rsidR="00A924BB" w:rsidRPr="00A924BB" w:rsidRDefault="00CA47A1" w:rsidP="00A924BB">
      <w:pPr>
        <w:pStyle w:val="EndNoteBibliography"/>
        <w:spacing w:after="0"/>
        <w:ind w:left="720" w:hanging="720"/>
      </w:pPr>
      <w:r>
        <w:t>Stefani P &amp; Garrard C (2019)</w:t>
      </w:r>
      <w:r w:rsidR="00A924BB" w:rsidRPr="00A924BB">
        <w:t xml:space="preserve"> Fuel Sponsorship and</w:t>
      </w:r>
      <w:r>
        <w:t xml:space="preserve"> the Contested Museum: Agency, A</w:t>
      </w:r>
      <w:r w:rsidR="00A924BB" w:rsidRPr="00A924BB">
        <w:t>ccountability a</w:t>
      </w:r>
      <w:r>
        <w:t>nd Arts A</w:t>
      </w:r>
      <w:r w:rsidR="00A924BB" w:rsidRPr="00A924BB">
        <w:t>ctivism. In</w:t>
      </w:r>
      <w:r w:rsidR="00367D5A">
        <w:t>:</w:t>
      </w:r>
      <w:r w:rsidR="00A924BB" w:rsidRPr="00A924BB">
        <w:t xml:space="preserve"> Janes</w:t>
      </w:r>
      <w:r>
        <w:t xml:space="preserve"> R</w:t>
      </w:r>
      <w:r w:rsidR="00A924BB" w:rsidRPr="00A924BB">
        <w:t xml:space="preserve"> &amp; Sandell </w:t>
      </w:r>
      <w:r>
        <w:t xml:space="preserve">R (eds) </w:t>
      </w:r>
      <w:r w:rsidR="00A924BB" w:rsidRPr="00A924BB">
        <w:rPr>
          <w:i/>
        </w:rPr>
        <w:t>Museum Activism</w:t>
      </w:r>
      <w:r w:rsidR="00A924BB" w:rsidRPr="00A924BB">
        <w:t xml:space="preserve">. </w:t>
      </w:r>
      <w:r>
        <w:t>Abingdon: Routledge, pp. 69-79.</w:t>
      </w:r>
      <w:r w:rsidR="00A924BB" w:rsidRPr="00A924BB">
        <w:t xml:space="preserve"> </w:t>
      </w:r>
    </w:p>
    <w:p w14:paraId="45DCEC9B" w14:textId="48F25214" w:rsidR="00A924BB" w:rsidRPr="00A924BB" w:rsidRDefault="00CA47A1" w:rsidP="00A924BB">
      <w:pPr>
        <w:pStyle w:val="EndNoteBibliography"/>
        <w:spacing w:after="0"/>
        <w:ind w:left="720" w:hanging="720"/>
      </w:pPr>
      <w:r>
        <w:t>Swanson SR &amp; Davis JC</w:t>
      </w:r>
      <w:r w:rsidR="00A924BB" w:rsidRPr="00A924BB">
        <w:t xml:space="preserve"> (2006). Arts Patronage: A Social Identity Perspective. </w:t>
      </w:r>
      <w:r w:rsidR="00A924BB" w:rsidRPr="00A924BB">
        <w:rPr>
          <w:i/>
        </w:rPr>
        <w:t xml:space="preserve">Journal of Marketing Theory and Practice </w:t>
      </w:r>
      <w:r w:rsidR="00A924BB" w:rsidRPr="00CA47A1">
        <w:t>14(2</w:t>
      </w:r>
      <w:r>
        <w:t>):</w:t>
      </w:r>
      <w:r w:rsidR="00A924BB" w:rsidRPr="00A924BB">
        <w:t xml:space="preserve"> 125-138. </w:t>
      </w:r>
    </w:p>
    <w:p w14:paraId="54A03B93" w14:textId="4801B4E9" w:rsidR="00901DE4" w:rsidRDefault="00367D5A" w:rsidP="00A924BB">
      <w:pPr>
        <w:pStyle w:val="EndNoteBibliography"/>
        <w:spacing w:after="0"/>
        <w:ind w:left="720" w:hanging="720"/>
      </w:pPr>
      <w:r>
        <w:t>Thornton S (2008)</w:t>
      </w:r>
      <w:r w:rsidR="00901DE4">
        <w:t xml:space="preserve"> </w:t>
      </w:r>
      <w:r w:rsidR="00901DE4">
        <w:rPr>
          <w:i/>
        </w:rPr>
        <w:t xml:space="preserve">Seven Days in the Art World. </w:t>
      </w:r>
      <w:r w:rsidR="00901DE4">
        <w:t>London: Granta.</w:t>
      </w:r>
    </w:p>
    <w:p w14:paraId="025E5C86" w14:textId="6E504665" w:rsidR="00A924BB" w:rsidRPr="00A924BB" w:rsidRDefault="00CA47A1" w:rsidP="00A924BB">
      <w:pPr>
        <w:pStyle w:val="EndNoteBibliography"/>
        <w:spacing w:after="0"/>
        <w:ind w:left="720" w:hanging="720"/>
      </w:pPr>
      <w:r>
        <w:t>Whitehead C</w:t>
      </w:r>
      <w:r w:rsidR="00A924BB" w:rsidRPr="00A924BB">
        <w:t xml:space="preserve"> (2005) </w:t>
      </w:r>
      <w:r w:rsidR="00A924BB" w:rsidRPr="00A924BB">
        <w:rPr>
          <w:i/>
        </w:rPr>
        <w:t>The Public Art Museum in Nineteenth Century Britain: The Development of the National Gallery</w:t>
      </w:r>
      <w:r w:rsidR="00A924BB" w:rsidRPr="00A924BB">
        <w:t xml:space="preserve">. </w:t>
      </w:r>
      <w:r>
        <w:t xml:space="preserve">Abingdon: </w:t>
      </w:r>
      <w:r w:rsidR="00367D5A">
        <w:t>Routledge</w:t>
      </w:r>
      <w:r w:rsidR="00A924BB" w:rsidRPr="00A924BB">
        <w:t xml:space="preserve">. </w:t>
      </w:r>
    </w:p>
    <w:p w14:paraId="7B9FABDE" w14:textId="18A993BE" w:rsidR="00A924BB" w:rsidRDefault="00CA47A1" w:rsidP="00A924BB">
      <w:pPr>
        <w:pStyle w:val="EndNoteBibliography"/>
        <w:spacing w:after="0"/>
        <w:ind w:left="720" w:hanging="720"/>
      </w:pPr>
      <w:r>
        <w:t>Williams R</w:t>
      </w:r>
      <w:r w:rsidR="00A924BB" w:rsidRPr="00A924BB">
        <w:t xml:space="preserve"> (1983) </w:t>
      </w:r>
      <w:r w:rsidR="00A924BB" w:rsidRPr="00A924BB">
        <w:rPr>
          <w:i/>
        </w:rPr>
        <w:t>Keywords</w:t>
      </w:r>
      <w:r w:rsidR="00A924BB" w:rsidRPr="00A924BB">
        <w:t xml:space="preserve">. </w:t>
      </w:r>
      <w:r>
        <w:t xml:space="preserve">Oxford: </w:t>
      </w:r>
      <w:r w:rsidR="00A924BB" w:rsidRPr="00A924BB">
        <w:t xml:space="preserve">Oxford University Press. </w:t>
      </w:r>
    </w:p>
    <w:p w14:paraId="4CC4BD49" w14:textId="5C3B799E" w:rsidR="00807517" w:rsidRPr="00A924BB" w:rsidRDefault="00807517" w:rsidP="00A924BB">
      <w:pPr>
        <w:pStyle w:val="EndNoteBibliography"/>
        <w:spacing w:after="0"/>
        <w:ind w:left="720" w:hanging="720"/>
      </w:pPr>
      <w:r>
        <w:t xml:space="preserve">Wohl H (2021) </w:t>
      </w:r>
      <w:r>
        <w:rPr>
          <w:i/>
        </w:rPr>
        <w:t xml:space="preserve">Bound by Creativity: How Contemporary Art is Created and Judged. </w:t>
      </w:r>
      <w:r>
        <w:t>Chicago: University of Chicago Press.</w:t>
      </w:r>
    </w:p>
    <w:p w14:paraId="5604E322" w14:textId="334479CC" w:rsidR="00A924BB" w:rsidRPr="00A924BB" w:rsidRDefault="00CA47A1" w:rsidP="00A924BB">
      <w:pPr>
        <w:pStyle w:val="EndNoteBibliography"/>
        <w:ind w:left="720" w:hanging="720"/>
      </w:pPr>
      <w:r>
        <w:t>Wynn JR (2016)</w:t>
      </w:r>
      <w:r w:rsidR="00A924BB" w:rsidRPr="00A924BB">
        <w:t xml:space="preserve"> On the Sociology of Occasions. </w:t>
      </w:r>
      <w:r w:rsidR="00A924BB" w:rsidRPr="00A924BB">
        <w:rPr>
          <w:i/>
        </w:rPr>
        <w:t xml:space="preserve">Sociological Theory </w:t>
      </w:r>
      <w:r w:rsidR="00A924BB" w:rsidRPr="00CA47A1">
        <w:t>34(3</w:t>
      </w:r>
      <w:r>
        <w:t>):</w:t>
      </w:r>
      <w:r w:rsidR="00A924BB" w:rsidRPr="00A924BB">
        <w:t xml:space="preserve"> 276-286. </w:t>
      </w:r>
    </w:p>
    <w:p w14:paraId="70A2F524" w14:textId="79DE096C" w:rsidR="00756E59" w:rsidRPr="00756E59" w:rsidRDefault="00756E59" w:rsidP="00357B70"/>
    <w:sectPr w:rsidR="00756E59" w:rsidRPr="00756E5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0458" w14:textId="77777777" w:rsidR="00285124" w:rsidRDefault="00285124" w:rsidP="00357B70">
      <w:pPr>
        <w:spacing w:after="0" w:line="240" w:lineRule="auto"/>
      </w:pPr>
      <w:r>
        <w:separator/>
      </w:r>
    </w:p>
  </w:endnote>
  <w:endnote w:type="continuationSeparator" w:id="0">
    <w:p w14:paraId="150D4606" w14:textId="77777777" w:rsidR="00285124" w:rsidRDefault="00285124" w:rsidP="0035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33317"/>
      <w:docPartObj>
        <w:docPartGallery w:val="Page Numbers (Bottom of Page)"/>
        <w:docPartUnique/>
      </w:docPartObj>
    </w:sdtPr>
    <w:sdtEndPr>
      <w:rPr>
        <w:noProof/>
      </w:rPr>
    </w:sdtEndPr>
    <w:sdtContent>
      <w:p w14:paraId="092E1F67" w14:textId="1722E632" w:rsidR="00D165F4" w:rsidRDefault="00D165F4">
        <w:pPr>
          <w:pStyle w:val="Footer"/>
          <w:jc w:val="center"/>
        </w:pPr>
        <w:r>
          <w:fldChar w:fldCharType="begin"/>
        </w:r>
        <w:r>
          <w:instrText xml:space="preserve"> PAGE   \* MERGEFORMAT </w:instrText>
        </w:r>
        <w:r>
          <w:fldChar w:fldCharType="separate"/>
        </w:r>
        <w:r w:rsidR="00101DC7">
          <w:rPr>
            <w:noProof/>
          </w:rPr>
          <w:t>9</w:t>
        </w:r>
        <w:r>
          <w:rPr>
            <w:noProof/>
          </w:rPr>
          <w:fldChar w:fldCharType="end"/>
        </w:r>
      </w:p>
    </w:sdtContent>
  </w:sdt>
  <w:p w14:paraId="4F32C382" w14:textId="77777777" w:rsidR="00D165F4" w:rsidRDefault="00D16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4324" w14:textId="77777777" w:rsidR="00285124" w:rsidRDefault="00285124" w:rsidP="00357B70">
      <w:pPr>
        <w:spacing w:after="0" w:line="240" w:lineRule="auto"/>
      </w:pPr>
      <w:r>
        <w:separator/>
      </w:r>
    </w:p>
  </w:footnote>
  <w:footnote w:type="continuationSeparator" w:id="0">
    <w:p w14:paraId="10ABBB10" w14:textId="77777777" w:rsidR="00285124" w:rsidRDefault="00285124" w:rsidP="00357B70">
      <w:pPr>
        <w:spacing w:after="0" w:line="240" w:lineRule="auto"/>
      </w:pPr>
      <w:r>
        <w:continuationSeparator/>
      </w:r>
    </w:p>
  </w:footnote>
  <w:footnote w:id="1">
    <w:p w14:paraId="4C2FF9C9" w14:textId="02F0A703" w:rsidR="005616CE" w:rsidRDefault="005616CE">
      <w:pPr>
        <w:pStyle w:val="FootnoteText"/>
      </w:pPr>
      <w:r>
        <w:rPr>
          <w:rStyle w:val="FootnoteReference"/>
        </w:rPr>
        <w:footnoteRef/>
      </w:r>
      <w:r>
        <w:t xml:space="preserve"> </w:t>
      </w:r>
      <w:r w:rsidRPr="005616CE">
        <w:t>In England</w:t>
      </w:r>
      <w:r w:rsidR="002B4E3F">
        <w:t>,</w:t>
      </w:r>
      <w:r w:rsidRPr="005616CE">
        <w:t xml:space="preserve"> private arts patronage is concentrated in London (MTM &amp; Arts Council England, 2019),</w:t>
      </w:r>
      <w:r>
        <w:t xml:space="preserve"> a point to which I return in ‘Data and Methods’ below. </w:t>
      </w:r>
    </w:p>
  </w:footnote>
  <w:footnote w:id="2">
    <w:p w14:paraId="08999541" w14:textId="4EA48D26" w:rsidR="00D165F4" w:rsidRDefault="00D165F4">
      <w:pPr>
        <w:pStyle w:val="FootnoteText"/>
      </w:pPr>
      <w:r>
        <w:rPr>
          <w:rStyle w:val="FootnoteReference"/>
        </w:rPr>
        <w:footnoteRef/>
      </w:r>
      <w:r>
        <w:t xml:space="preserve"> ‘Organisational performance’ is already a concept in business used to measure a business’s success in achieving its goals. This is not the use to which I put the term.</w:t>
      </w:r>
    </w:p>
  </w:footnote>
  <w:footnote w:id="3">
    <w:p w14:paraId="2A306000" w14:textId="5F4D55D7" w:rsidR="00D165F4" w:rsidRDefault="00D165F4">
      <w:pPr>
        <w:pStyle w:val="FootnoteText"/>
      </w:pPr>
      <w:r>
        <w:rPr>
          <w:rStyle w:val="FootnoteReference"/>
        </w:rPr>
        <w:footnoteRef/>
      </w:r>
      <w:r>
        <w:t xml:space="preserve"> In this</w:t>
      </w:r>
      <w:r w:rsidR="00764996">
        <w:t>,</w:t>
      </w:r>
      <w:r>
        <w:t xml:space="preserve"> I depart from Alexander’s elements of cultural performance, while keeping the same spirit </w:t>
      </w:r>
      <w:r>
        <w:rPr>
          <w:noProof/>
        </w:rPr>
        <w:t xml:space="preserve">Alexander, J. C. (2004). Cultural Pragmatics: Social Performance between Ritual and Strategy. </w:t>
      </w:r>
      <w:r w:rsidRPr="0006021B">
        <w:rPr>
          <w:i/>
          <w:noProof/>
        </w:rPr>
        <w:t>Sociological Theory</w:t>
      </w:r>
      <w:r>
        <w:rPr>
          <w:noProof/>
        </w:rPr>
        <w:t>,</w:t>
      </w:r>
      <w:r w:rsidRPr="0006021B">
        <w:rPr>
          <w:i/>
          <w:noProof/>
        </w:rPr>
        <w:t xml:space="preserve"> 22</w:t>
      </w:r>
      <w:r>
        <w:rPr>
          <w:noProof/>
        </w:rPr>
        <w:t xml:space="preserve">(4), 527-573. https://doi.org/10.1111/j.0735-2751.2004.00233.x </w:t>
      </w:r>
      <w:r>
        <w:t xml:space="preserve">  </w:t>
      </w:r>
    </w:p>
  </w:footnote>
  <w:footnote w:id="4">
    <w:p w14:paraId="7DE20F80" w14:textId="0D09AA30" w:rsidR="00D165F4" w:rsidRDefault="00D165F4">
      <w:pPr>
        <w:pStyle w:val="FootnoteText"/>
      </w:pPr>
      <w:r>
        <w:rPr>
          <w:rStyle w:val="FootnoteReference"/>
        </w:rPr>
        <w:footnoteRef/>
      </w:r>
      <w:r>
        <w:t xml:space="preserve"> The </w:t>
      </w:r>
      <w:r w:rsidRPr="00706A90">
        <w:t xml:space="preserve">café, Bistro and other commercial </w:t>
      </w:r>
      <w:r>
        <w:t>activities</w:t>
      </w:r>
      <w:r w:rsidRPr="00706A90">
        <w:t xml:space="preserve"> of the gallery were run </w:t>
      </w:r>
      <w:r>
        <w:t>as</w:t>
      </w:r>
      <w:r w:rsidRPr="00706A90">
        <w:t xml:space="preserve"> a private limited company</w:t>
      </w:r>
      <w:r>
        <w:t xml:space="preserve"> that functioned in parallel to the charitable arm of the organisation, a typical business model of art galleries.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rrtdrpp5z2drea05hv0e220drepapwwat9&quot;&gt;My EndNote Library&lt;record-ids&gt;&lt;item&gt;1&lt;/item&gt;&lt;item&gt;6&lt;/item&gt;&lt;item&gt;14&lt;/item&gt;&lt;item&gt;16&lt;/item&gt;&lt;item&gt;25&lt;/item&gt;&lt;item&gt;26&lt;/item&gt;&lt;item&gt;30&lt;/item&gt;&lt;item&gt;31&lt;/item&gt;&lt;item&gt;36&lt;/item&gt;&lt;item&gt;39&lt;/item&gt;&lt;item&gt;40&lt;/item&gt;&lt;item&gt;41&lt;/item&gt;&lt;item&gt;42&lt;/item&gt;&lt;item&gt;43&lt;/item&gt;&lt;item&gt;45&lt;/item&gt;&lt;item&gt;46&lt;/item&gt;&lt;item&gt;63&lt;/item&gt;&lt;item&gt;64&lt;/item&gt;&lt;item&gt;65&lt;/item&gt;&lt;item&gt;67&lt;/item&gt;&lt;item&gt;71&lt;/item&gt;&lt;item&gt;73&lt;/item&gt;&lt;item&gt;78&lt;/item&gt;&lt;item&gt;79&lt;/item&gt;&lt;item&gt;81&lt;/item&gt;&lt;item&gt;82&lt;/item&gt;&lt;item&gt;83&lt;/item&gt;&lt;item&gt;86&lt;/item&gt;&lt;item&gt;87&lt;/item&gt;&lt;item&gt;88&lt;/item&gt;&lt;item&gt;89&lt;/item&gt;&lt;item&gt;95&lt;/item&gt;&lt;item&gt;97&lt;/item&gt;&lt;item&gt;115&lt;/item&gt;&lt;item&gt;126&lt;/item&gt;&lt;item&gt;127&lt;/item&gt;&lt;item&gt;128&lt;/item&gt;&lt;item&gt;149&lt;/item&gt;&lt;item&gt;212&lt;/item&gt;&lt;item&gt;213&lt;/item&gt;&lt;item&gt;214&lt;/item&gt;&lt;item&gt;215&lt;/item&gt;&lt;item&gt;216&lt;/item&gt;&lt;item&gt;218&lt;/item&gt;&lt;item&gt;219&lt;/item&gt;&lt;item&gt;221&lt;/item&gt;&lt;item&gt;222&lt;/item&gt;&lt;item&gt;223&lt;/item&gt;&lt;item&gt;224&lt;/item&gt;&lt;item&gt;225&lt;/item&gt;&lt;item&gt;227&lt;/item&gt;&lt;item&gt;228&lt;/item&gt;&lt;item&gt;229&lt;/item&gt;&lt;item&gt;230&lt;/item&gt;&lt;item&gt;232&lt;/item&gt;&lt;item&gt;233&lt;/item&gt;&lt;item&gt;249&lt;/item&gt;&lt;item&gt;250&lt;/item&gt;&lt;item&gt;251&lt;/item&gt;&lt;item&gt;252&lt;/item&gt;&lt;item&gt;253&lt;/item&gt;&lt;/record-ids&gt;&lt;/item&gt;&lt;/Libraries&gt;"/>
  </w:docVars>
  <w:rsids>
    <w:rsidRoot w:val="00756E59"/>
    <w:rsid w:val="00003B19"/>
    <w:rsid w:val="000128D9"/>
    <w:rsid w:val="00054BC1"/>
    <w:rsid w:val="0006021B"/>
    <w:rsid w:val="0007207C"/>
    <w:rsid w:val="000865BC"/>
    <w:rsid w:val="000A40F1"/>
    <w:rsid w:val="000A5188"/>
    <w:rsid w:val="000B0E79"/>
    <w:rsid w:val="000D7035"/>
    <w:rsid w:val="000F1603"/>
    <w:rsid w:val="00101DC7"/>
    <w:rsid w:val="00104268"/>
    <w:rsid w:val="001124A0"/>
    <w:rsid w:val="001175EB"/>
    <w:rsid w:val="00125AFA"/>
    <w:rsid w:val="00131350"/>
    <w:rsid w:val="001338F8"/>
    <w:rsid w:val="001440A2"/>
    <w:rsid w:val="00145CA3"/>
    <w:rsid w:val="001630C2"/>
    <w:rsid w:val="00164924"/>
    <w:rsid w:val="00171C20"/>
    <w:rsid w:val="0019032D"/>
    <w:rsid w:val="0019398C"/>
    <w:rsid w:val="001C4A12"/>
    <w:rsid w:val="001D5F11"/>
    <w:rsid w:val="001E7E65"/>
    <w:rsid w:val="001F1E8D"/>
    <w:rsid w:val="00202D5C"/>
    <w:rsid w:val="00212BE7"/>
    <w:rsid w:val="00216232"/>
    <w:rsid w:val="00256364"/>
    <w:rsid w:val="00265DCE"/>
    <w:rsid w:val="0027229C"/>
    <w:rsid w:val="00285124"/>
    <w:rsid w:val="002A4BC8"/>
    <w:rsid w:val="002A5D41"/>
    <w:rsid w:val="002B4E3F"/>
    <w:rsid w:val="002D36E7"/>
    <w:rsid w:val="002E55D6"/>
    <w:rsid w:val="002E577B"/>
    <w:rsid w:val="002F41A2"/>
    <w:rsid w:val="003201C1"/>
    <w:rsid w:val="003238B1"/>
    <w:rsid w:val="00327CED"/>
    <w:rsid w:val="003335D4"/>
    <w:rsid w:val="0034097F"/>
    <w:rsid w:val="00357B70"/>
    <w:rsid w:val="00367D5A"/>
    <w:rsid w:val="00382DBC"/>
    <w:rsid w:val="00385143"/>
    <w:rsid w:val="00391B89"/>
    <w:rsid w:val="003D3438"/>
    <w:rsid w:val="00442AF4"/>
    <w:rsid w:val="0046390D"/>
    <w:rsid w:val="00464147"/>
    <w:rsid w:val="00492A70"/>
    <w:rsid w:val="0049665C"/>
    <w:rsid w:val="004A4189"/>
    <w:rsid w:val="004A5A37"/>
    <w:rsid w:val="004F1A95"/>
    <w:rsid w:val="004F4B21"/>
    <w:rsid w:val="005070AC"/>
    <w:rsid w:val="005145C3"/>
    <w:rsid w:val="00517C83"/>
    <w:rsid w:val="00547B44"/>
    <w:rsid w:val="005521EF"/>
    <w:rsid w:val="00560CAF"/>
    <w:rsid w:val="005616CE"/>
    <w:rsid w:val="00567A5E"/>
    <w:rsid w:val="00590FCF"/>
    <w:rsid w:val="005B05DE"/>
    <w:rsid w:val="005B2468"/>
    <w:rsid w:val="005B2FBA"/>
    <w:rsid w:val="005B3224"/>
    <w:rsid w:val="005B39F7"/>
    <w:rsid w:val="005C00E5"/>
    <w:rsid w:val="005C061B"/>
    <w:rsid w:val="005E6ED9"/>
    <w:rsid w:val="0060656D"/>
    <w:rsid w:val="00613643"/>
    <w:rsid w:val="00637F7A"/>
    <w:rsid w:val="00646923"/>
    <w:rsid w:val="006526D3"/>
    <w:rsid w:val="00674C72"/>
    <w:rsid w:val="006A29DA"/>
    <w:rsid w:val="006B6361"/>
    <w:rsid w:val="006B7A95"/>
    <w:rsid w:val="006D19B8"/>
    <w:rsid w:val="006D7A38"/>
    <w:rsid w:val="006E47D2"/>
    <w:rsid w:val="00706A90"/>
    <w:rsid w:val="00715162"/>
    <w:rsid w:val="00732DBE"/>
    <w:rsid w:val="007469A4"/>
    <w:rsid w:val="0075184C"/>
    <w:rsid w:val="00756E59"/>
    <w:rsid w:val="00764996"/>
    <w:rsid w:val="007712AA"/>
    <w:rsid w:val="00774B14"/>
    <w:rsid w:val="00783DE2"/>
    <w:rsid w:val="00796B3E"/>
    <w:rsid w:val="007B4DB2"/>
    <w:rsid w:val="007C1CCF"/>
    <w:rsid w:val="007D4B15"/>
    <w:rsid w:val="007F0D98"/>
    <w:rsid w:val="008065B9"/>
    <w:rsid w:val="00807517"/>
    <w:rsid w:val="00822261"/>
    <w:rsid w:val="00840055"/>
    <w:rsid w:val="00843166"/>
    <w:rsid w:val="00862E08"/>
    <w:rsid w:val="00891BC6"/>
    <w:rsid w:val="008A5159"/>
    <w:rsid w:val="008C071D"/>
    <w:rsid w:val="008C178B"/>
    <w:rsid w:val="008E394C"/>
    <w:rsid w:val="00901DE4"/>
    <w:rsid w:val="00910F0B"/>
    <w:rsid w:val="009204A6"/>
    <w:rsid w:val="009240F6"/>
    <w:rsid w:val="009260E5"/>
    <w:rsid w:val="0093334F"/>
    <w:rsid w:val="0093757C"/>
    <w:rsid w:val="00945E8D"/>
    <w:rsid w:val="009576F9"/>
    <w:rsid w:val="00965E88"/>
    <w:rsid w:val="00972D8C"/>
    <w:rsid w:val="00980547"/>
    <w:rsid w:val="009835B3"/>
    <w:rsid w:val="009948DC"/>
    <w:rsid w:val="009A49AA"/>
    <w:rsid w:val="009D53B9"/>
    <w:rsid w:val="009E55A6"/>
    <w:rsid w:val="009F4FDC"/>
    <w:rsid w:val="009F700C"/>
    <w:rsid w:val="00A00FA3"/>
    <w:rsid w:val="00A02988"/>
    <w:rsid w:val="00A12FCD"/>
    <w:rsid w:val="00A15846"/>
    <w:rsid w:val="00A37536"/>
    <w:rsid w:val="00A60234"/>
    <w:rsid w:val="00A726B2"/>
    <w:rsid w:val="00A77E88"/>
    <w:rsid w:val="00A800FD"/>
    <w:rsid w:val="00A91096"/>
    <w:rsid w:val="00A924BB"/>
    <w:rsid w:val="00A949F7"/>
    <w:rsid w:val="00AB6F02"/>
    <w:rsid w:val="00AC7613"/>
    <w:rsid w:val="00AF241F"/>
    <w:rsid w:val="00B0132E"/>
    <w:rsid w:val="00B01A1E"/>
    <w:rsid w:val="00B0251C"/>
    <w:rsid w:val="00B02BEC"/>
    <w:rsid w:val="00B04853"/>
    <w:rsid w:val="00B101C6"/>
    <w:rsid w:val="00B35C90"/>
    <w:rsid w:val="00B464D4"/>
    <w:rsid w:val="00B47C97"/>
    <w:rsid w:val="00B539D9"/>
    <w:rsid w:val="00B64883"/>
    <w:rsid w:val="00B66E58"/>
    <w:rsid w:val="00B74664"/>
    <w:rsid w:val="00B82225"/>
    <w:rsid w:val="00BB09C7"/>
    <w:rsid w:val="00BB44EE"/>
    <w:rsid w:val="00BB55FD"/>
    <w:rsid w:val="00BB7D2A"/>
    <w:rsid w:val="00BC6096"/>
    <w:rsid w:val="00BC7252"/>
    <w:rsid w:val="00BE522E"/>
    <w:rsid w:val="00BE78EC"/>
    <w:rsid w:val="00C02A80"/>
    <w:rsid w:val="00C07F74"/>
    <w:rsid w:val="00C46919"/>
    <w:rsid w:val="00C46AC6"/>
    <w:rsid w:val="00C56290"/>
    <w:rsid w:val="00C60B84"/>
    <w:rsid w:val="00C63419"/>
    <w:rsid w:val="00C7272E"/>
    <w:rsid w:val="00C76954"/>
    <w:rsid w:val="00C86A4C"/>
    <w:rsid w:val="00CA02D0"/>
    <w:rsid w:val="00CA47A1"/>
    <w:rsid w:val="00CA7961"/>
    <w:rsid w:val="00CC58B5"/>
    <w:rsid w:val="00CD1706"/>
    <w:rsid w:val="00CE3EA7"/>
    <w:rsid w:val="00CE4A7F"/>
    <w:rsid w:val="00CF40EF"/>
    <w:rsid w:val="00CF461B"/>
    <w:rsid w:val="00CF531A"/>
    <w:rsid w:val="00D07D87"/>
    <w:rsid w:val="00D165F4"/>
    <w:rsid w:val="00D47B59"/>
    <w:rsid w:val="00D569BA"/>
    <w:rsid w:val="00D64EFE"/>
    <w:rsid w:val="00D82963"/>
    <w:rsid w:val="00D85D52"/>
    <w:rsid w:val="00D90276"/>
    <w:rsid w:val="00DA5D70"/>
    <w:rsid w:val="00DA789F"/>
    <w:rsid w:val="00DB5ABA"/>
    <w:rsid w:val="00DB788C"/>
    <w:rsid w:val="00DC0FBD"/>
    <w:rsid w:val="00DD7FEC"/>
    <w:rsid w:val="00DE41E5"/>
    <w:rsid w:val="00DE4D71"/>
    <w:rsid w:val="00DF14F9"/>
    <w:rsid w:val="00DF3D6D"/>
    <w:rsid w:val="00DF7BB4"/>
    <w:rsid w:val="00E1250F"/>
    <w:rsid w:val="00E1273F"/>
    <w:rsid w:val="00E16CCC"/>
    <w:rsid w:val="00E364E3"/>
    <w:rsid w:val="00E438FF"/>
    <w:rsid w:val="00E46CD7"/>
    <w:rsid w:val="00E569AC"/>
    <w:rsid w:val="00E61A93"/>
    <w:rsid w:val="00E64BD3"/>
    <w:rsid w:val="00E663F8"/>
    <w:rsid w:val="00E74139"/>
    <w:rsid w:val="00E75FFA"/>
    <w:rsid w:val="00EA2062"/>
    <w:rsid w:val="00EB76AF"/>
    <w:rsid w:val="00EF5DBC"/>
    <w:rsid w:val="00F01DFE"/>
    <w:rsid w:val="00F02C76"/>
    <w:rsid w:val="00F07D65"/>
    <w:rsid w:val="00F35569"/>
    <w:rsid w:val="00F4136E"/>
    <w:rsid w:val="00F551F0"/>
    <w:rsid w:val="00F643F8"/>
    <w:rsid w:val="00F67F54"/>
    <w:rsid w:val="00F83B28"/>
    <w:rsid w:val="00F870B0"/>
    <w:rsid w:val="00F87395"/>
    <w:rsid w:val="00FC0955"/>
    <w:rsid w:val="00FD454B"/>
    <w:rsid w:val="00FD6457"/>
    <w:rsid w:val="00FF1E87"/>
    <w:rsid w:val="00FF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0A709"/>
  <w15:chartTrackingRefBased/>
  <w15:docId w15:val="{67DF6E72-D6D7-4C05-BE51-354BBC9F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0C"/>
    <w:pPr>
      <w:spacing w:line="360" w:lineRule="auto"/>
    </w:pPr>
    <w:rPr>
      <w:rFonts w:ascii="Times New Roman" w:hAnsi="Times New Roman"/>
    </w:rPr>
  </w:style>
  <w:style w:type="paragraph" w:styleId="Heading1">
    <w:name w:val="heading 1"/>
    <w:basedOn w:val="Normal"/>
    <w:next w:val="Normal"/>
    <w:link w:val="Heading1Char"/>
    <w:uiPriority w:val="9"/>
    <w:qFormat/>
    <w:rsid w:val="00BB55FD"/>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56E59"/>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B55F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F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756E59"/>
    <w:rPr>
      <w:rFonts w:ascii="Times New Roman" w:eastAsiaTheme="majorEastAsia" w:hAnsi="Times New Roman" w:cstheme="majorBidi"/>
      <w:b/>
      <w:sz w:val="26"/>
      <w:szCs w:val="26"/>
    </w:rPr>
  </w:style>
  <w:style w:type="character" w:styleId="CommentReference">
    <w:name w:val="annotation reference"/>
    <w:basedOn w:val="DefaultParagraphFont"/>
    <w:uiPriority w:val="99"/>
    <w:semiHidden/>
    <w:unhideWhenUsed/>
    <w:rsid w:val="00756E59"/>
    <w:rPr>
      <w:sz w:val="16"/>
      <w:szCs w:val="16"/>
    </w:rPr>
  </w:style>
  <w:style w:type="paragraph" w:styleId="CommentText">
    <w:name w:val="annotation text"/>
    <w:basedOn w:val="Normal"/>
    <w:link w:val="CommentTextChar"/>
    <w:uiPriority w:val="99"/>
    <w:semiHidden/>
    <w:unhideWhenUsed/>
    <w:rsid w:val="00756E59"/>
    <w:pPr>
      <w:spacing w:line="240" w:lineRule="auto"/>
    </w:pPr>
    <w:rPr>
      <w:sz w:val="20"/>
      <w:szCs w:val="20"/>
    </w:rPr>
  </w:style>
  <w:style w:type="character" w:customStyle="1" w:styleId="CommentTextChar">
    <w:name w:val="Comment Text Char"/>
    <w:basedOn w:val="DefaultParagraphFont"/>
    <w:link w:val="CommentText"/>
    <w:uiPriority w:val="99"/>
    <w:semiHidden/>
    <w:rsid w:val="00756E59"/>
    <w:rPr>
      <w:sz w:val="20"/>
      <w:szCs w:val="20"/>
    </w:rPr>
  </w:style>
  <w:style w:type="paragraph" w:styleId="BalloonText">
    <w:name w:val="Balloon Text"/>
    <w:basedOn w:val="Normal"/>
    <w:link w:val="BalloonTextChar"/>
    <w:uiPriority w:val="99"/>
    <w:semiHidden/>
    <w:unhideWhenUsed/>
    <w:rsid w:val="0075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59"/>
    <w:rPr>
      <w:rFonts w:ascii="Segoe UI" w:hAnsi="Segoe UI" w:cs="Segoe UI"/>
      <w:sz w:val="18"/>
      <w:szCs w:val="18"/>
    </w:rPr>
  </w:style>
  <w:style w:type="paragraph" w:customStyle="1" w:styleId="EndNoteBibliographyTitle">
    <w:name w:val="EndNote Bibliography Title"/>
    <w:basedOn w:val="Normal"/>
    <w:link w:val="EndNoteBibliographyTitleChar"/>
    <w:rsid w:val="00DE41E5"/>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DE41E5"/>
    <w:rPr>
      <w:rFonts w:ascii="Times New Roman" w:hAnsi="Times New Roman" w:cs="Times New Roman"/>
      <w:noProof/>
      <w:lang w:val="en-US"/>
    </w:rPr>
  </w:style>
  <w:style w:type="paragraph" w:customStyle="1" w:styleId="EndNoteBibliography">
    <w:name w:val="EndNote Bibliography"/>
    <w:basedOn w:val="Normal"/>
    <w:link w:val="EndNoteBibliographyChar"/>
    <w:rsid w:val="00DE41E5"/>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DE41E5"/>
    <w:rPr>
      <w:rFonts w:ascii="Times New Roman" w:hAnsi="Times New Roman" w:cs="Times New Roman"/>
      <w:noProof/>
      <w:lang w:val="en-US"/>
    </w:rPr>
  </w:style>
  <w:style w:type="character" w:styleId="Hyperlink">
    <w:name w:val="Hyperlink"/>
    <w:basedOn w:val="DefaultParagraphFont"/>
    <w:uiPriority w:val="99"/>
    <w:unhideWhenUsed/>
    <w:rsid w:val="00DE41E5"/>
    <w:rPr>
      <w:color w:val="0563C1" w:themeColor="hyperlink"/>
      <w:u w:val="single"/>
    </w:rPr>
  </w:style>
  <w:style w:type="character" w:customStyle="1" w:styleId="Heading3Char">
    <w:name w:val="Heading 3 Char"/>
    <w:basedOn w:val="DefaultParagraphFont"/>
    <w:link w:val="Heading3"/>
    <w:uiPriority w:val="9"/>
    <w:rsid w:val="00BB55FD"/>
    <w:rPr>
      <w:rFonts w:ascii="Times New Roman" w:eastAsiaTheme="majorEastAsia" w:hAnsi="Times New Roman" w:cstheme="majorBidi"/>
      <w:b/>
      <w:szCs w:val="24"/>
    </w:rPr>
  </w:style>
  <w:style w:type="paragraph" w:styleId="Header">
    <w:name w:val="header"/>
    <w:basedOn w:val="Normal"/>
    <w:link w:val="HeaderChar"/>
    <w:uiPriority w:val="99"/>
    <w:unhideWhenUsed/>
    <w:rsid w:val="00357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70"/>
    <w:rPr>
      <w:rFonts w:ascii="Times New Roman" w:hAnsi="Times New Roman"/>
    </w:rPr>
  </w:style>
  <w:style w:type="paragraph" w:styleId="Footer">
    <w:name w:val="footer"/>
    <w:basedOn w:val="Normal"/>
    <w:link w:val="FooterChar"/>
    <w:uiPriority w:val="99"/>
    <w:unhideWhenUsed/>
    <w:rsid w:val="00357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70"/>
    <w:rPr>
      <w:rFonts w:ascii="Times New Roman" w:hAnsi="Times New Roman"/>
    </w:rPr>
  </w:style>
  <w:style w:type="paragraph" w:styleId="FootnoteText">
    <w:name w:val="footnote text"/>
    <w:basedOn w:val="Normal"/>
    <w:link w:val="FootnoteTextChar"/>
    <w:uiPriority w:val="99"/>
    <w:semiHidden/>
    <w:unhideWhenUsed/>
    <w:rsid w:val="000602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21B"/>
    <w:rPr>
      <w:rFonts w:ascii="Times New Roman" w:hAnsi="Times New Roman"/>
      <w:sz w:val="20"/>
      <w:szCs w:val="20"/>
    </w:rPr>
  </w:style>
  <w:style w:type="character" w:styleId="FootnoteReference">
    <w:name w:val="footnote reference"/>
    <w:basedOn w:val="DefaultParagraphFont"/>
    <w:uiPriority w:val="99"/>
    <w:semiHidden/>
    <w:unhideWhenUsed/>
    <w:rsid w:val="00060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3298">
      <w:bodyDiv w:val="1"/>
      <w:marLeft w:val="0"/>
      <w:marRight w:val="0"/>
      <w:marTop w:val="0"/>
      <w:marBottom w:val="0"/>
      <w:divBdr>
        <w:top w:val="none" w:sz="0" w:space="0" w:color="auto"/>
        <w:left w:val="none" w:sz="0" w:space="0" w:color="auto"/>
        <w:bottom w:val="none" w:sz="0" w:space="0" w:color="auto"/>
        <w:right w:val="none" w:sz="0" w:space="0" w:color="auto"/>
      </w:divBdr>
    </w:div>
    <w:div w:id="531650118">
      <w:bodyDiv w:val="1"/>
      <w:marLeft w:val="0"/>
      <w:marRight w:val="0"/>
      <w:marTop w:val="0"/>
      <w:marBottom w:val="0"/>
      <w:divBdr>
        <w:top w:val="none" w:sz="0" w:space="0" w:color="auto"/>
        <w:left w:val="none" w:sz="0" w:space="0" w:color="auto"/>
        <w:bottom w:val="none" w:sz="0" w:space="0" w:color="auto"/>
        <w:right w:val="none" w:sz="0" w:space="0" w:color="auto"/>
      </w:divBdr>
    </w:div>
    <w:div w:id="574972676">
      <w:bodyDiv w:val="1"/>
      <w:marLeft w:val="0"/>
      <w:marRight w:val="0"/>
      <w:marTop w:val="0"/>
      <w:marBottom w:val="0"/>
      <w:divBdr>
        <w:top w:val="none" w:sz="0" w:space="0" w:color="auto"/>
        <w:left w:val="none" w:sz="0" w:space="0" w:color="auto"/>
        <w:bottom w:val="none" w:sz="0" w:space="0" w:color="auto"/>
        <w:right w:val="none" w:sz="0" w:space="0" w:color="auto"/>
      </w:divBdr>
    </w:div>
    <w:div w:id="636568428">
      <w:bodyDiv w:val="1"/>
      <w:marLeft w:val="0"/>
      <w:marRight w:val="0"/>
      <w:marTop w:val="0"/>
      <w:marBottom w:val="0"/>
      <w:divBdr>
        <w:top w:val="none" w:sz="0" w:space="0" w:color="auto"/>
        <w:left w:val="none" w:sz="0" w:space="0" w:color="auto"/>
        <w:bottom w:val="none" w:sz="0" w:space="0" w:color="auto"/>
        <w:right w:val="none" w:sz="0" w:space="0" w:color="auto"/>
      </w:divBdr>
    </w:div>
    <w:div w:id="785005603">
      <w:bodyDiv w:val="1"/>
      <w:marLeft w:val="0"/>
      <w:marRight w:val="0"/>
      <w:marTop w:val="0"/>
      <w:marBottom w:val="0"/>
      <w:divBdr>
        <w:top w:val="none" w:sz="0" w:space="0" w:color="auto"/>
        <w:left w:val="none" w:sz="0" w:space="0" w:color="auto"/>
        <w:bottom w:val="none" w:sz="0" w:space="0" w:color="auto"/>
        <w:right w:val="none" w:sz="0" w:space="0" w:color="auto"/>
      </w:divBdr>
    </w:div>
    <w:div w:id="895363128">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050610496">
      <w:bodyDiv w:val="1"/>
      <w:marLeft w:val="0"/>
      <w:marRight w:val="0"/>
      <w:marTop w:val="0"/>
      <w:marBottom w:val="0"/>
      <w:divBdr>
        <w:top w:val="none" w:sz="0" w:space="0" w:color="auto"/>
        <w:left w:val="none" w:sz="0" w:space="0" w:color="auto"/>
        <w:bottom w:val="none" w:sz="0" w:space="0" w:color="auto"/>
        <w:right w:val="none" w:sz="0" w:space="0" w:color="auto"/>
      </w:divBdr>
    </w:div>
    <w:div w:id="1096094202">
      <w:bodyDiv w:val="1"/>
      <w:marLeft w:val="0"/>
      <w:marRight w:val="0"/>
      <w:marTop w:val="0"/>
      <w:marBottom w:val="0"/>
      <w:divBdr>
        <w:top w:val="none" w:sz="0" w:space="0" w:color="auto"/>
        <w:left w:val="none" w:sz="0" w:space="0" w:color="auto"/>
        <w:bottom w:val="none" w:sz="0" w:space="0" w:color="auto"/>
        <w:right w:val="none" w:sz="0" w:space="0" w:color="auto"/>
      </w:divBdr>
    </w:div>
    <w:div w:id="1119254081">
      <w:bodyDiv w:val="1"/>
      <w:marLeft w:val="0"/>
      <w:marRight w:val="0"/>
      <w:marTop w:val="0"/>
      <w:marBottom w:val="0"/>
      <w:divBdr>
        <w:top w:val="none" w:sz="0" w:space="0" w:color="auto"/>
        <w:left w:val="none" w:sz="0" w:space="0" w:color="auto"/>
        <w:bottom w:val="none" w:sz="0" w:space="0" w:color="auto"/>
        <w:right w:val="none" w:sz="0" w:space="0" w:color="auto"/>
      </w:divBdr>
    </w:div>
    <w:div w:id="1263876101">
      <w:bodyDiv w:val="1"/>
      <w:marLeft w:val="0"/>
      <w:marRight w:val="0"/>
      <w:marTop w:val="0"/>
      <w:marBottom w:val="0"/>
      <w:divBdr>
        <w:top w:val="none" w:sz="0" w:space="0" w:color="auto"/>
        <w:left w:val="none" w:sz="0" w:space="0" w:color="auto"/>
        <w:bottom w:val="none" w:sz="0" w:space="0" w:color="auto"/>
        <w:right w:val="none" w:sz="0" w:space="0" w:color="auto"/>
      </w:divBdr>
    </w:div>
    <w:div w:id="15532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D49E-C878-48FE-B41E-4DA8536D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9779</Words>
  <Characters>55742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Laura</dc:creator>
  <cp:keywords/>
  <dc:description/>
  <cp:lastModifiedBy>Laura Harris</cp:lastModifiedBy>
  <cp:revision>2</cp:revision>
  <dcterms:created xsi:type="dcterms:W3CDTF">2022-11-28T10:30:00Z</dcterms:created>
  <dcterms:modified xsi:type="dcterms:W3CDTF">2022-11-28T10:30:00Z</dcterms:modified>
</cp:coreProperties>
</file>