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8034" w14:textId="24600F39" w:rsidR="009815FE" w:rsidRPr="00837CAA" w:rsidRDefault="004C327F" w:rsidP="004C327F">
      <w:pPr>
        <w:spacing w:line="480" w:lineRule="auto"/>
        <w:jc w:val="center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837CAA">
        <w:rPr>
          <w:rFonts w:asciiTheme="majorHAnsi" w:hAnsiTheme="majorHAnsi"/>
          <w:b/>
          <w:sz w:val="22"/>
          <w:szCs w:val="22"/>
        </w:rPr>
        <w:t>Manuscript</w:t>
      </w:r>
    </w:p>
    <w:p w14:paraId="3B7F1277" w14:textId="77777777" w:rsidR="00007896" w:rsidRPr="00837CAA" w:rsidRDefault="00007896" w:rsidP="00007896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14214853" w14:textId="0856534B" w:rsidR="004C327F" w:rsidRPr="00837CAA" w:rsidRDefault="00007896" w:rsidP="00007896">
      <w:pPr>
        <w:spacing w:line="480" w:lineRule="auto"/>
        <w:rPr>
          <w:rFonts w:asciiTheme="majorHAnsi" w:hAnsiTheme="majorHAnsi"/>
          <w:sz w:val="22"/>
          <w:szCs w:val="22"/>
        </w:rPr>
      </w:pPr>
      <w:r w:rsidRPr="00837CAA">
        <w:rPr>
          <w:rFonts w:asciiTheme="majorHAnsi" w:hAnsiTheme="majorHAnsi"/>
          <w:b/>
          <w:sz w:val="22"/>
          <w:szCs w:val="22"/>
        </w:rPr>
        <w:t xml:space="preserve">Keywords: </w:t>
      </w:r>
      <w:r w:rsidR="003E5258" w:rsidRPr="00837CAA">
        <w:rPr>
          <w:rFonts w:asciiTheme="majorHAnsi" w:hAnsiTheme="majorHAnsi"/>
          <w:sz w:val="22"/>
          <w:szCs w:val="22"/>
        </w:rPr>
        <w:t>m</w:t>
      </w:r>
      <w:r w:rsidRPr="00837CAA">
        <w:rPr>
          <w:rFonts w:asciiTheme="majorHAnsi" w:hAnsiTheme="majorHAnsi"/>
          <w:sz w:val="22"/>
          <w:szCs w:val="22"/>
        </w:rPr>
        <w:t>aternal vaccination</w:t>
      </w:r>
      <w:r w:rsidR="00AD62C8">
        <w:rPr>
          <w:rFonts w:asciiTheme="majorHAnsi" w:hAnsiTheme="majorHAnsi"/>
          <w:sz w:val="22"/>
          <w:szCs w:val="22"/>
        </w:rPr>
        <w:t>;</w:t>
      </w:r>
      <w:r w:rsidRPr="00837CAA">
        <w:rPr>
          <w:rFonts w:asciiTheme="majorHAnsi" w:hAnsiTheme="majorHAnsi"/>
          <w:sz w:val="22"/>
          <w:szCs w:val="22"/>
        </w:rPr>
        <w:t xml:space="preserve"> immuni</w:t>
      </w:r>
      <w:r w:rsidR="003E5258" w:rsidRPr="00837CAA">
        <w:rPr>
          <w:rFonts w:asciiTheme="majorHAnsi" w:hAnsiTheme="majorHAnsi"/>
          <w:sz w:val="22"/>
          <w:szCs w:val="22"/>
        </w:rPr>
        <w:t>s</w:t>
      </w:r>
      <w:r w:rsidRPr="00837CAA">
        <w:rPr>
          <w:rFonts w:asciiTheme="majorHAnsi" w:hAnsiTheme="majorHAnsi"/>
          <w:sz w:val="22"/>
          <w:szCs w:val="22"/>
        </w:rPr>
        <w:t>ation</w:t>
      </w:r>
      <w:r w:rsidR="00AD62C8">
        <w:rPr>
          <w:rFonts w:asciiTheme="majorHAnsi" w:hAnsiTheme="majorHAnsi"/>
          <w:sz w:val="22"/>
          <w:szCs w:val="22"/>
        </w:rPr>
        <w:t>;</w:t>
      </w:r>
      <w:r w:rsidRPr="00837CAA">
        <w:rPr>
          <w:rFonts w:asciiTheme="majorHAnsi" w:hAnsiTheme="majorHAnsi"/>
          <w:sz w:val="22"/>
          <w:szCs w:val="22"/>
        </w:rPr>
        <w:t xml:space="preserve"> </w:t>
      </w:r>
      <w:r w:rsidR="003E5258" w:rsidRPr="00837CAA">
        <w:rPr>
          <w:rFonts w:asciiTheme="majorHAnsi" w:hAnsiTheme="majorHAnsi"/>
          <w:sz w:val="22"/>
          <w:szCs w:val="22"/>
        </w:rPr>
        <w:t>pertussis</w:t>
      </w:r>
      <w:r w:rsidR="00AD62C8">
        <w:rPr>
          <w:rFonts w:asciiTheme="majorHAnsi" w:hAnsiTheme="majorHAnsi"/>
          <w:sz w:val="22"/>
          <w:szCs w:val="22"/>
        </w:rPr>
        <w:t>;</w:t>
      </w:r>
      <w:r w:rsidRPr="00837CAA">
        <w:rPr>
          <w:rFonts w:asciiTheme="majorHAnsi" w:hAnsiTheme="majorHAnsi"/>
          <w:sz w:val="22"/>
          <w:szCs w:val="22"/>
        </w:rPr>
        <w:t xml:space="preserve"> </w:t>
      </w:r>
      <w:r w:rsidR="003E5258" w:rsidRPr="00837CAA">
        <w:rPr>
          <w:rFonts w:asciiTheme="majorHAnsi" w:hAnsiTheme="majorHAnsi"/>
          <w:sz w:val="22"/>
          <w:szCs w:val="22"/>
        </w:rPr>
        <w:t>i</w:t>
      </w:r>
      <w:r w:rsidRPr="00837CAA">
        <w:rPr>
          <w:rFonts w:asciiTheme="majorHAnsi" w:hAnsiTheme="majorHAnsi"/>
          <w:sz w:val="22"/>
          <w:szCs w:val="22"/>
        </w:rPr>
        <w:t>mmune</w:t>
      </w:r>
      <w:r w:rsidR="00AD62C8">
        <w:rPr>
          <w:rFonts w:asciiTheme="majorHAnsi" w:hAnsiTheme="majorHAnsi"/>
          <w:sz w:val="22"/>
          <w:szCs w:val="22"/>
        </w:rPr>
        <w:t>;</w:t>
      </w:r>
      <w:r w:rsidRPr="00837CAA">
        <w:rPr>
          <w:rFonts w:asciiTheme="majorHAnsi" w:hAnsiTheme="majorHAnsi"/>
          <w:sz w:val="22"/>
          <w:szCs w:val="22"/>
        </w:rPr>
        <w:t xml:space="preserve"> </w:t>
      </w:r>
      <w:r w:rsidR="003E5258" w:rsidRPr="00837CAA">
        <w:rPr>
          <w:rFonts w:asciiTheme="majorHAnsi" w:hAnsiTheme="majorHAnsi"/>
          <w:sz w:val="22"/>
          <w:szCs w:val="22"/>
        </w:rPr>
        <w:t>r</w:t>
      </w:r>
      <w:r w:rsidRPr="00837CAA">
        <w:rPr>
          <w:rFonts w:asciiTheme="majorHAnsi" w:hAnsiTheme="majorHAnsi"/>
          <w:sz w:val="22"/>
          <w:szCs w:val="22"/>
        </w:rPr>
        <w:t>esponse</w:t>
      </w:r>
      <w:r w:rsidR="00AD62C8">
        <w:rPr>
          <w:rFonts w:asciiTheme="majorHAnsi" w:hAnsiTheme="majorHAnsi"/>
          <w:sz w:val="22"/>
          <w:szCs w:val="22"/>
        </w:rPr>
        <w:t>;</w:t>
      </w:r>
      <w:r w:rsidRPr="00837CAA">
        <w:rPr>
          <w:rFonts w:asciiTheme="majorHAnsi" w:hAnsiTheme="majorHAnsi"/>
          <w:sz w:val="22"/>
          <w:szCs w:val="22"/>
        </w:rPr>
        <w:t xml:space="preserve"> </w:t>
      </w:r>
      <w:r w:rsidR="003E5258" w:rsidRPr="00837CAA">
        <w:rPr>
          <w:rFonts w:asciiTheme="majorHAnsi" w:hAnsiTheme="majorHAnsi"/>
          <w:sz w:val="22"/>
          <w:szCs w:val="22"/>
        </w:rPr>
        <w:t>p</w:t>
      </w:r>
      <w:r w:rsidRPr="00837CAA">
        <w:rPr>
          <w:rFonts w:asciiTheme="majorHAnsi" w:hAnsiTheme="majorHAnsi"/>
          <w:sz w:val="22"/>
          <w:szCs w:val="22"/>
        </w:rPr>
        <w:t>regnancy</w:t>
      </w:r>
      <w:r w:rsidR="00AD62C8">
        <w:rPr>
          <w:rFonts w:asciiTheme="majorHAnsi" w:hAnsiTheme="majorHAnsi"/>
          <w:sz w:val="22"/>
          <w:szCs w:val="22"/>
        </w:rPr>
        <w:t>;</w:t>
      </w:r>
      <w:r w:rsidRPr="00837CAA">
        <w:rPr>
          <w:rFonts w:asciiTheme="majorHAnsi" w:hAnsiTheme="majorHAnsi"/>
          <w:sz w:val="22"/>
          <w:szCs w:val="22"/>
        </w:rPr>
        <w:t xml:space="preserve"> </w:t>
      </w:r>
      <w:r w:rsidR="003E5258" w:rsidRPr="00837CAA">
        <w:rPr>
          <w:rFonts w:asciiTheme="majorHAnsi" w:hAnsiTheme="majorHAnsi"/>
          <w:sz w:val="22"/>
          <w:szCs w:val="22"/>
        </w:rPr>
        <w:t>v</w:t>
      </w:r>
      <w:r w:rsidRPr="00837CAA">
        <w:rPr>
          <w:rFonts w:asciiTheme="majorHAnsi" w:hAnsiTheme="majorHAnsi"/>
          <w:sz w:val="22"/>
          <w:szCs w:val="22"/>
        </w:rPr>
        <w:t>accine</w:t>
      </w:r>
      <w:r w:rsidR="00AD62C8">
        <w:rPr>
          <w:rFonts w:asciiTheme="majorHAnsi" w:hAnsiTheme="majorHAnsi"/>
          <w:sz w:val="22"/>
          <w:szCs w:val="22"/>
        </w:rPr>
        <w:t>;</w:t>
      </w:r>
      <w:r w:rsidR="003E5258" w:rsidRPr="00837CAA">
        <w:rPr>
          <w:rFonts w:asciiTheme="majorHAnsi" w:hAnsiTheme="majorHAnsi"/>
          <w:sz w:val="22"/>
          <w:szCs w:val="22"/>
        </w:rPr>
        <w:t xml:space="preserve"> blunting</w:t>
      </w:r>
      <w:r w:rsidR="00AD62C8">
        <w:rPr>
          <w:rFonts w:asciiTheme="majorHAnsi" w:hAnsiTheme="majorHAnsi"/>
          <w:sz w:val="22"/>
          <w:szCs w:val="22"/>
        </w:rPr>
        <w:t>;</w:t>
      </w:r>
      <w:r w:rsidR="003E5258" w:rsidRPr="00837CAA">
        <w:rPr>
          <w:rFonts w:asciiTheme="majorHAnsi" w:hAnsiTheme="majorHAnsi"/>
          <w:sz w:val="22"/>
          <w:szCs w:val="22"/>
        </w:rPr>
        <w:t xml:space="preserve"> children</w:t>
      </w:r>
      <w:r w:rsidR="00AD62C8">
        <w:rPr>
          <w:rFonts w:asciiTheme="majorHAnsi" w:hAnsiTheme="majorHAnsi"/>
          <w:sz w:val="22"/>
          <w:szCs w:val="22"/>
        </w:rPr>
        <w:t>;</w:t>
      </w:r>
      <w:r w:rsidR="003E5258" w:rsidRPr="00837CAA">
        <w:rPr>
          <w:rFonts w:asciiTheme="majorHAnsi" w:hAnsiTheme="majorHAnsi"/>
          <w:sz w:val="22"/>
          <w:szCs w:val="22"/>
        </w:rPr>
        <w:t xml:space="preserve"> booster</w:t>
      </w:r>
      <w:r w:rsidR="00923604">
        <w:rPr>
          <w:rFonts w:asciiTheme="majorHAnsi" w:hAnsiTheme="majorHAnsi"/>
          <w:sz w:val="22"/>
          <w:szCs w:val="22"/>
        </w:rPr>
        <w:t>.</w:t>
      </w:r>
    </w:p>
    <w:p w14:paraId="1C2FEB96" w14:textId="699E81A8" w:rsidR="00007896" w:rsidRDefault="00007896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00E10764" w14:textId="77777777" w:rsidR="00837CAA" w:rsidRPr="00837CAA" w:rsidRDefault="00837CAA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7EB6E54A" w14:textId="29288FCC" w:rsidR="00AC0A50" w:rsidRPr="00837CAA" w:rsidRDefault="00AC0A50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 w:rsidRPr="00837CAA">
        <w:rPr>
          <w:rFonts w:asciiTheme="majorHAnsi" w:hAnsiTheme="majorHAnsi"/>
          <w:b/>
          <w:sz w:val="22"/>
          <w:szCs w:val="22"/>
        </w:rPr>
        <w:t>Introduction</w:t>
      </w:r>
    </w:p>
    <w:p w14:paraId="49873A39" w14:textId="77777777" w:rsidR="00AC0A50" w:rsidRPr="00837CAA" w:rsidRDefault="00AC0A50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1E7D94CC" w14:textId="2EB25C5C" w:rsidR="0003369E" w:rsidRDefault="00904C08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 w:rsidRPr="00837CAA">
        <w:rPr>
          <w:rFonts w:asciiTheme="majorHAnsi" w:hAnsiTheme="majorHAnsi"/>
          <w:sz w:val="22"/>
          <w:szCs w:val="22"/>
        </w:rPr>
        <w:t>Pertussis (</w:t>
      </w:r>
      <w:r w:rsidR="00DD6370" w:rsidRPr="00837CAA">
        <w:rPr>
          <w:rFonts w:asciiTheme="majorHAnsi" w:hAnsiTheme="majorHAnsi"/>
          <w:sz w:val="22"/>
          <w:szCs w:val="22"/>
        </w:rPr>
        <w:t>whooping cough</w:t>
      </w:r>
      <w:r w:rsidR="00E239FE" w:rsidRPr="00E239FE">
        <w:rPr>
          <w:rFonts w:asciiTheme="majorHAnsi" w:hAnsiTheme="majorHAnsi"/>
          <w:sz w:val="22"/>
          <w:szCs w:val="22"/>
        </w:rPr>
        <w:t>) is a vaccine-preventable</w:t>
      </w:r>
      <w:r w:rsidRPr="00E239FE">
        <w:rPr>
          <w:rFonts w:asciiTheme="majorHAnsi" w:hAnsiTheme="majorHAnsi"/>
          <w:sz w:val="22"/>
          <w:szCs w:val="22"/>
        </w:rPr>
        <w:t xml:space="preserve"> acute bacterial respiratory infection</w:t>
      </w:r>
      <w:r w:rsidR="00DD6370" w:rsidRPr="00E239FE">
        <w:rPr>
          <w:rFonts w:asciiTheme="majorHAnsi" w:hAnsiTheme="majorHAnsi"/>
          <w:sz w:val="22"/>
          <w:szCs w:val="22"/>
        </w:rPr>
        <w:t xml:space="preserve"> </w:t>
      </w:r>
      <w:r w:rsidRPr="00E239FE">
        <w:rPr>
          <w:rFonts w:asciiTheme="majorHAnsi" w:hAnsiTheme="majorHAnsi"/>
          <w:sz w:val="22"/>
          <w:szCs w:val="22"/>
        </w:rPr>
        <w:t>caused</w:t>
      </w:r>
      <w:r w:rsidR="007C1143">
        <w:rPr>
          <w:rFonts w:asciiTheme="majorHAnsi" w:hAnsiTheme="majorHAnsi"/>
          <w:sz w:val="22"/>
          <w:szCs w:val="22"/>
        </w:rPr>
        <w:t xml:space="preserve"> mainly</w:t>
      </w:r>
      <w:r w:rsidRPr="00E239FE">
        <w:rPr>
          <w:rFonts w:asciiTheme="majorHAnsi" w:hAnsiTheme="majorHAnsi"/>
          <w:sz w:val="22"/>
          <w:szCs w:val="22"/>
        </w:rPr>
        <w:t xml:space="preserve"> by the organism </w:t>
      </w:r>
      <w:r w:rsidRPr="00E239FE">
        <w:rPr>
          <w:rFonts w:asciiTheme="majorHAnsi" w:hAnsiTheme="majorHAnsi"/>
          <w:i/>
          <w:sz w:val="22"/>
          <w:szCs w:val="22"/>
        </w:rPr>
        <w:t>Bordetella pertussis</w:t>
      </w:r>
      <w:r w:rsidRPr="00E239FE">
        <w:rPr>
          <w:rFonts w:asciiTheme="majorHAnsi" w:hAnsiTheme="majorHAnsi"/>
          <w:sz w:val="22"/>
          <w:szCs w:val="22"/>
          <w:vertAlign w:val="superscript"/>
        </w:rPr>
        <w:t>1</w:t>
      </w:r>
      <w:r w:rsidRPr="00E239FE">
        <w:rPr>
          <w:rFonts w:asciiTheme="majorHAnsi" w:hAnsiTheme="majorHAnsi"/>
          <w:sz w:val="22"/>
          <w:szCs w:val="22"/>
        </w:rPr>
        <w:t>.</w:t>
      </w:r>
      <w:r w:rsidR="0065428E" w:rsidRPr="00E239FE">
        <w:rPr>
          <w:rFonts w:asciiTheme="majorHAnsi" w:hAnsiTheme="majorHAnsi"/>
          <w:sz w:val="22"/>
          <w:szCs w:val="22"/>
        </w:rPr>
        <w:t xml:space="preserve"> </w:t>
      </w:r>
      <w:r w:rsidRPr="00E239FE">
        <w:rPr>
          <w:rFonts w:asciiTheme="majorHAnsi" w:hAnsiTheme="majorHAnsi"/>
          <w:sz w:val="22"/>
          <w:szCs w:val="22"/>
        </w:rPr>
        <w:t>It is characterised by a protracted coughing illness that can result in severe complications, including death, particularly in young infants</w:t>
      </w:r>
      <w:r w:rsidRPr="00E239FE">
        <w:rPr>
          <w:rFonts w:asciiTheme="majorHAnsi" w:hAnsiTheme="majorHAnsi"/>
          <w:sz w:val="22"/>
          <w:szCs w:val="22"/>
          <w:vertAlign w:val="superscript"/>
        </w:rPr>
        <w:t>1</w:t>
      </w:r>
      <w:r w:rsidRPr="00E239FE">
        <w:rPr>
          <w:rFonts w:asciiTheme="majorHAnsi" w:hAnsiTheme="majorHAnsi"/>
          <w:sz w:val="22"/>
          <w:szCs w:val="22"/>
        </w:rPr>
        <w:t xml:space="preserve">. </w:t>
      </w:r>
    </w:p>
    <w:p w14:paraId="2B61B6DB" w14:textId="77777777" w:rsidR="0003369E" w:rsidRDefault="0003369E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73577A06" w14:textId="0F61712F" w:rsidR="00A24C62" w:rsidRPr="00814286" w:rsidRDefault="006F6182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 resurgence</w:t>
      </w:r>
      <w:r w:rsidR="00453D6F" w:rsidRPr="00E239FE">
        <w:rPr>
          <w:rFonts w:asciiTheme="majorHAnsi" w:hAnsiTheme="majorHAnsi"/>
          <w:sz w:val="22"/>
          <w:szCs w:val="22"/>
        </w:rPr>
        <w:t xml:space="preserve"> </w:t>
      </w:r>
      <w:r w:rsidR="00453D6F">
        <w:rPr>
          <w:rFonts w:asciiTheme="majorHAnsi" w:hAnsiTheme="majorHAnsi"/>
          <w:sz w:val="22"/>
          <w:szCs w:val="22"/>
        </w:rPr>
        <w:t>of p</w:t>
      </w:r>
      <w:r w:rsidR="00440169" w:rsidRPr="00E239FE">
        <w:rPr>
          <w:rFonts w:asciiTheme="majorHAnsi" w:hAnsiTheme="majorHAnsi"/>
          <w:sz w:val="22"/>
          <w:szCs w:val="22"/>
        </w:rPr>
        <w:t>ertussis</w:t>
      </w:r>
      <w:r>
        <w:rPr>
          <w:rFonts w:asciiTheme="majorHAnsi" w:hAnsiTheme="majorHAnsi"/>
          <w:sz w:val="22"/>
          <w:szCs w:val="22"/>
        </w:rPr>
        <w:t xml:space="preserve"> infections</w:t>
      </w:r>
      <w:r w:rsidR="001A75FD">
        <w:rPr>
          <w:rFonts w:asciiTheme="majorHAnsi" w:hAnsiTheme="majorHAnsi"/>
          <w:sz w:val="22"/>
          <w:szCs w:val="22"/>
        </w:rPr>
        <w:t>,</w:t>
      </w:r>
      <w:r w:rsidR="00440169" w:rsidRPr="00E239FE">
        <w:rPr>
          <w:rFonts w:asciiTheme="majorHAnsi" w:hAnsiTheme="majorHAnsi"/>
          <w:sz w:val="22"/>
          <w:szCs w:val="22"/>
        </w:rPr>
        <w:t xml:space="preserve"> </w:t>
      </w:r>
      <w:r w:rsidR="00E239FE" w:rsidRPr="00E239FE">
        <w:rPr>
          <w:rFonts w:asciiTheme="majorHAnsi" w:hAnsiTheme="majorHAnsi"/>
          <w:sz w:val="22"/>
          <w:szCs w:val="22"/>
        </w:rPr>
        <w:t xml:space="preserve">including pertussis-related </w:t>
      </w:r>
      <w:r w:rsidR="00E239FE">
        <w:rPr>
          <w:rFonts w:asciiTheme="majorHAnsi" w:hAnsiTheme="majorHAnsi"/>
          <w:sz w:val="22"/>
          <w:szCs w:val="22"/>
        </w:rPr>
        <w:t xml:space="preserve">infant </w:t>
      </w:r>
      <w:r w:rsidR="00E239FE" w:rsidRPr="00E239FE">
        <w:rPr>
          <w:rFonts w:asciiTheme="majorHAnsi" w:hAnsiTheme="majorHAnsi"/>
          <w:sz w:val="22"/>
          <w:szCs w:val="22"/>
        </w:rPr>
        <w:t>deaths</w:t>
      </w:r>
      <w:r w:rsidR="001A75FD">
        <w:rPr>
          <w:rFonts w:asciiTheme="majorHAnsi" w:hAnsiTheme="majorHAnsi"/>
          <w:sz w:val="22"/>
          <w:szCs w:val="22"/>
        </w:rPr>
        <w:t>,</w:t>
      </w:r>
      <w:r w:rsidR="00E239FE" w:rsidRPr="00E239FE">
        <w:rPr>
          <w:rFonts w:asciiTheme="majorHAnsi" w:hAnsiTheme="majorHAnsi"/>
          <w:sz w:val="22"/>
          <w:szCs w:val="22"/>
        </w:rPr>
        <w:t xml:space="preserve"> ha</w:t>
      </w:r>
      <w:r>
        <w:rPr>
          <w:rFonts w:asciiTheme="majorHAnsi" w:hAnsiTheme="majorHAnsi"/>
          <w:sz w:val="22"/>
          <w:szCs w:val="22"/>
        </w:rPr>
        <w:t>s</w:t>
      </w:r>
      <w:r w:rsidR="00E239FE" w:rsidRPr="00E239FE">
        <w:rPr>
          <w:rFonts w:asciiTheme="majorHAnsi" w:hAnsiTheme="majorHAnsi"/>
          <w:sz w:val="22"/>
          <w:szCs w:val="22"/>
        </w:rPr>
        <w:t xml:space="preserve"> been</w:t>
      </w:r>
      <w:r w:rsidR="00440169" w:rsidRPr="00E239FE">
        <w:rPr>
          <w:rFonts w:asciiTheme="majorHAnsi" w:hAnsiTheme="majorHAnsi"/>
          <w:sz w:val="22"/>
          <w:szCs w:val="22"/>
        </w:rPr>
        <w:t xml:space="preserve"> reported from </w:t>
      </w:r>
      <w:r w:rsidR="00B87DF5" w:rsidRPr="00E239FE">
        <w:rPr>
          <w:rFonts w:asciiTheme="majorHAnsi" w:hAnsiTheme="majorHAnsi"/>
          <w:sz w:val="22"/>
          <w:szCs w:val="22"/>
        </w:rPr>
        <w:t>several</w:t>
      </w:r>
      <w:r w:rsidR="00440169" w:rsidRPr="00E239FE">
        <w:rPr>
          <w:rFonts w:asciiTheme="majorHAnsi" w:hAnsiTheme="majorHAnsi"/>
          <w:sz w:val="22"/>
          <w:szCs w:val="22"/>
        </w:rPr>
        <w:t xml:space="preserve"> countries</w:t>
      </w:r>
      <w:r w:rsidR="00E239FE">
        <w:rPr>
          <w:rFonts w:asciiTheme="majorHAnsi" w:hAnsiTheme="majorHAnsi"/>
          <w:sz w:val="22"/>
          <w:szCs w:val="22"/>
          <w:vertAlign w:val="superscript"/>
        </w:rPr>
        <w:t>2</w:t>
      </w:r>
      <w:r w:rsidR="000400C6">
        <w:rPr>
          <w:rFonts w:asciiTheme="majorHAnsi" w:hAnsiTheme="majorHAnsi"/>
          <w:sz w:val="22"/>
          <w:szCs w:val="22"/>
        </w:rPr>
        <w:t xml:space="preserve">, </w:t>
      </w:r>
      <w:r w:rsidR="00EB1099">
        <w:rPr>
          <w:rFonts w:asciiTheme="majorHAnsi" w:hAnsiTheme="majorHAnsi"/>
          <w:sz w:val="22"/>
          <w:szCs w:val="22"/>
        </w:rPr>
        <w:t xml:space="preserve">including </w:t>
      </w:r>
      <w:r w:rsidR="008A0D44">
        <w:rPr>
          <w:rFonts w:asciiTheme="majorHAnsi" w:hAnsiTheme="majorHAnsi"/>
          <w:sz w:val="22"/>
          <w:szCs w:val="22"/>
        </w:rPr>
        <w:t xml:space="preserve">those </w:t>
      </w:r>
      <w:r w:rsidR="00EB1099">
        <w:rPr>
          <w:rFonts w:asciiTheme="majorHAnsi" w:hAnsiTheme="majorHAnsi"/>
          <w:sz w:val="22"/>
          <w:szCs w:val="22"/>
        </w:rPr>
        <w:t xml:space="preserve">with longstanding childhood vaccination programmes </w:t>
      </w:r>
      <w:r w:rsidR="008A0D44">
        <w:rPr>
          <w:rFonts w:asciiTheme="majorHAnsi" w:hAnsiTheme="majorHAnsi"/>
          <w:sz w:val="22"/>
          <w:szCs w:val="22"/>
        </w:rPr>
        <w:t>that</w:t>
      </w:r>
      <w:r w:rsidR="000400C6" w:rsidRPr="000400C6">
        <w:rPr>
          <w:rFonts w:asciiTheme="majorHAnsi" w:hAnsiTheme="majorHAnsi"/>
          <w:sz w:val="22"/>
          <w:szCs w:val="22"/>
        </w:rPr>
        <w:t xml:space="preserve"> had replaced whole cell pertussis (</w:t>
      </w:r>
      <w:proofErr w:type="spellStart"/>
      <w:r w:rsidR="000400C6" w:rsidRPr="000400C6">
        <w:rPr>
          <w:rFonts w:asciiTheme="majorHAnsi" w:hAnsiTheme="majorHAnsi"/>
          <w:sz w:val="22"/>
          <w:szCs w:val="22"/>
        </w:rPr>
        <w:t>wP</w:t>
      </w:r>
      <w:proofErr w:type="spellEnd"/>
      <w:r w:rsidR="000400C6" w:rsidRPr="000400C6">
        <w:rPr>
          <w:rFonts w:asciiTheme="majorHAnsi" w:hAnsiTheme="majorHAnsi"/>
          <w:sz w:val="22"/>
          <w:szCs w:val="22"/>
        </w:rPr>
        <w:t>) with acellular pertussis (</w:t>
      </w:r>
      <w:proofErr w:type="spellStart"/>
      <w:r w:rsidR="000400C6" w:rsidRPr="000400C6">
        <w:rPr>
          <w:rFonts w:asciiTheme="majorHAnsi" w:hAnsiTheme="majorHAnsi"/>
          <w:sz w:val="22"/>
          <w:szCs w:val="22"/>
        </w:rPr>
        <w:t>aP</w:t>
      </w:r>
      <w:proofErr w:type="spellEnd"/>
      <w:r w:rsidR="000400C6" w:rsidRPr="000400C6">
        <w:rPr>
          <w:rFonts w:asciiTheme="majorHAnsi" w:hAnsiTheme="majorHAnsi"/>
          <w:sz w:val="22"/>
          <w:szCs w:val="22"/>
        </w:rPr>
        <w:t>) vaccines</w:t>
      </w:r>
      <w:r w:rsidR="0039220A">
        <w:rPr>
          <w:rFonts w:asciiTheme="majorHAnsi" w:hAnsiTheme="majorHAnsi"/>
          <w:sz w:val="22"/>
          <w:szCs w:val="22"/>
          <w:vertAlign w:val="superscript"/>
        </w:rPr>
        <w:t>3</w:t>
      </w:r>
      <w:r w:rsidR="00453D6F" w:rsidRPr="000400C6">
        <w:rPr>
          <w:rFonts w:asciiTheme="majorHAnsi" w:hAnsiTheme="majorHAnsi"/>
          <w:sz w:val="22"/>
          <w:szCs w:val="22"/>
        </w:rPr>
        <w:t>.</w:t>
      </w:r>
      <w:r w:rsidR="00E239FE" w:rsidRPr="00E239FE">
        <w:rPr>
          <w:rFonts w:asciiTheme="majorHAnsi" w:hAnsiTheme="majorHAnsi"/>
          <w:sz w:val="22"/>
          <w:szCs w:val="22"/>
        </w:rPr>
        <w:t xml:space="preserve"> </w:t>
      </w:r>
      <w:r w:rsidR="00453D6F">
        <w:rPr>
          <w:rFonts w:asciiTheme="majorHAnsi" w:hAnsiTheme="majorHAnsi"/>
          <w:sz w:val="22"/>
          <w:szCs w:val="22"/>
        </w:rPr>
        <w:t>In</w:t>
      </w:r>
      <w:r w:rsidR="00316A48" w:rsidRPr="00E239FE">
        <w:rPr>
          <w:rFonts w:asciiTheme="majorHAnsi" w:hAnsiTheme="majorHAnsi"/>
          <w:sz w:val="22"/>
          <w:szCs w:val="22"/>
        </w:rPr>
        <w:t xml:space="preserve"> the UK</w:t>
      </w:r>
      <w:r w:rsidR="00A60121">
        <w:rPr>
          <w:rFonts w:asciiTheme="majorHAnsi" w:hAnsiTheme="majorHAnsi"/>
          <w:sz w:val="22"/>
          <w:szCs w:val="22"/>
        </w:rPr>
        <w:t>,</w:t>
      </w:r>
      <w:r w:rsidR="00A24C62" w:rsidRPr="00E239FE">
        <w:rPr>
          <w:rFonts w:asciiTheme="majorHAnsi" w:hAnsiTheme="majorHAnsi" w:hint="eastAsia"/>
          <w:sz w:val="22"/>
          <w:szCs w:val="22"/>
        </w:rPr>
        <w:t xml:space="preserve"> a national out</w:t>
      </w:r>
      <w:r w:rsidR="00316A48" w:rsidRPr="00E239FE">
        <w:rPr>
          <w:rFonts w:asciiTheme="majorHAnsi" w:hAnsiTheme="majorHAnsi" w:hint="eastAsia"/>
          <w:sz w:val="22"/>
          <w:szCs w:val="22"/>
        </w:rPr>
        <w:t>break of pertussis was declared</w:t>
      </w:r>
      <w:r w:rsidR="009A385F">
        <w:rPr>
          <w:rFonts w:asciiTheme="majorHAnsi" w:hAnsiTheme="majorHAnsi"/>
          <w:sz w:val="22"/>
          <w:szCs w:val="22"/>
          <w:lang w:val="en-US"/>
        </w:rPr>
        <w:t xml:space="preserve"> in 2012</w:t>
      </w:r>
      <w:r w:rsidR="00453D6F">
        <w:rPr>
          <w:rFonts w:asciiTheme="majorHAnsi" w:hAnsiTheme="majorHAnsi"/>
          <w:sz w:val="22"/>
          <w:szCs w:val="22"/>
          <w:vertAlign w:val="superscript"/>
        </w:rPr>
        <w:t xml:space="preserve"> </w:t>
      </w:r>
      <w:r w:rsidR="00453D6F">
        <w:rPr>
          <w:rFonts w:asciiTheme="majorHAnsi" w:hAnsiTheme="majorHAnsi"/>
          <w:sz w:val="22"/>
          <w:szCs w:val="22"/>
        </w:rPr>
        <w:t>and i</w:t>
      </w:r>
      <w:r w:rsidR="00E239FE">
        <w:rPr>
          <w:rFonts w:asciiTheme="majorHAnsi" w:hAnsiTheme="majorHAnsi"/>
          <w:sz w:val="22"/>
          <w:szCs w:val="22"/>
        </w:rPr>
        <w:t xml:space="preserve">n response </w:t>
      </w:r>
      <w:r w:rsidR="00E239FE" w:rsidRPr="00E239FE">
        <w:rPr>
          <w:rFonts w:asciiTheme="majorHAnsi" w:hAnsiTheme="majorHAnsi"/>
          <w:sz w:val="22"/>
          <w:szCs w:val="22"/>
        </w:rPr>
        <w:t>a temporary</w:t>
      </w:r>
      <w:r w:rsidR="00567CD6">
        <w:rPr>
          <w:rFonts w:asciiTheme="majorHAnsi" w:hAnsiTheme="majorHAnsi"/>
          <w:sz w:val="22"/>
          <w:szCs w:val="22"/>
        </w:rPr>
        <w:t xml:space="preserve"> </w:t>
      </w:r>
      <w:r w:rsidR="00E239FE" w:rsidRPr="00E239FE">
        <w:rPr>
          <w:rFonts w:asciiTheme="majorHAnsi" w:hAnsiTheme="majorHAnsi"/>
          <w:sz w:val="22"/>
          <w:szCs w:val="22"/>
        </w:rPr>
        <w:t>immunisation programme for preg</w:t>
      </w:r>
      <w:r w:rsidR="00E239FE">
        <w:rPr>
          <w:rFonts w:asciiTheme="majorHAnsi" w:hAnsiTheme="majorHAnsi"/>
          <w:sz w:val="22"/>
          <w:szCs w:val="22"/>
        </w:rPr>
        <w:t>nant women</w:t>
      </w:r>
      <w:r w:rsidR="0003369E">
        <w:rPr>
          <w:rFonts w:asciiTheme="majorHAnsi" w:hAnsiTheme="majorHAnsi"/>
          <w:sz w:val="22"/>
          <w:szCs w:val="22"/>
        </w:rPr>
        <w:t xml:space="preserve"> was introduced</w:t>
      </w:r>
      <w:r w:rsidR="00D92641">
        <w:rPr>
          <w:rFonts w:asciiTheme="majorHAnsi" w:hAnsiTheme="majorHAnsi"/>
          <w:sz w:val="22"/>
          <w:szCs w:val="22"/>
          <w:vertAlign w:val="superscript"/>
        </w:rPr>
        <w:t>4</w:t>
      </w:r>
      <w:r w:rsidR="00301A7D">
        <w:rPr>
          <w:rFonts w:asciiTheme="majorHAnsi" w:hAnsiTheme="majorHAnsi"/>
          <w:sz w:val="22"/>
          <w:szCs w:val="22"/>
          <w:vertAlign w:val="superscript"/>
        </w:rPr>
        <w:t>,5</w:t>
      </w:r>
      <w:r w:rsidR="009A385F">
        <w:rPr>
          <w:rFonts w:asciiTheme="majorHAnsi" w:hAnsiTheme="majorHAnsi"/>
          <w:sz w:val="22"/>
          <w:szCs w:val="22"/>
        </w:rPr>
        <w:t xml:space="preserve">. </w:t>
      </w:r>
      <w:r w:rsidR="005A41DD">
        <w:rPr>
          <w:rFonts w:asciiTheme="majorHAnsi" w:hAnsiTheme="majorHAnsi"/>
          <w:sz w:val="22"/>
          <w:szCs w:val="22"/>
        </w:rPr>
        <w:t>A low-dose</w:t>
      </w:r>
      <w:r w:rsidR="001557AE">
        <w:rPr>
          <w:rFonts w:asciiTheme="majorHAnsi" w:hAnsiTheme="majorHAnsi"/>
          <w:sz w:val="22"/>
          <w:szCs w:val="22"/>
        </w:rPr>
        <w:t xml:space="preserve"> </w:t>
      </w:r>
      <w:r w:rsidR="005A41DD">
        <w:rPr>
          <w:rFonts w:asciiTheme="majorHAnsi" w:hAnsiTheme="majorHAnsi"/>
          <w:sz w:val="22"/>
          <w:szCs w:val="22"/>
        </w:rPr>
        <w:t>diphtheria</w:t>
      </w:r>
      <w:r w:rsidR="001557AE">
        <w:rPr>
          <w:rFonts w:asciiTheme="majorHAnsi" w:hAnsiTheme="majorHAnsi"/>
          <w:sz w:val="22"/>
          <w:szCs w:val="22"/>
        </w:rPr>
        <w:t>-</w:t>
      </w:r>
      <w:r w:rsidR="005A41DD">
        <w:rPr>
          <w:rFonts w:asciiTheme="majorHAnsi" w:hAnsiTheme="majorHAnsi"/>
          <w:sz w:val="22"/>
          <w:szCs w:val="22"/>
        </w:rPr>
        <w:t>tetanus</w:t>
      </w:r>
      <w:r w:rsidR="005A41DD" w:rsidRPr="005A41DD">
        <w:rPr>
          <w:rFonts w:asciiTheme="majorHAnsi" w:hAnsiTheme="majorHAnsi"/>
          <w:sz w:val="22"/>
          <w:szCs w:val="22"/>
        </w:rPr>
        <w:t>-acellular</w:t>
      </w:r>
      <w:r w:rsidR="001557AE">
        <w:rPr>
          <w:rFonts w:asciiTheme="majorHAnsi" w:hAnsiTheme="majorHAnsi"/>
          <w:sz w:val="22"/>
          <w:szCs w:val="22"/>
        </w:rPr>
        <w:t xml:space="preserve"> </w:t>
      </w:r>
      <w:r w:rsidR="005A41DD" w:rsidRPr="005A41DD">
        <w:rPr>
          <w:rFonts w:asciiTheme="majorHAnsi" w:hAnsiTheme="majorHAnsi"/>
          <w:sz w:val="22"/>
          <w:szCs w:val="22"/>
        </w:rPr>
        <w:t>pertussis</w:t>
      </w:r>
      <w:r w:rsidR="001557AE">
        <w:rPr>
          <w:rFonts w:asciiTheme="majorHAnsi" w:hAnsiTheme="majorHAnsi"/>
          <w:sz w:val="22"/>
          <w:szCs w:val="22"/>
        </w:rPr>
        <w:t>-</w:t>
      </w:r>
      <w:r w:rsidR="005A41DD" w:rsidRPr="005A41DD">
        <w:rPr>
          <w:rFonts w:asciiTheme="majorHAnsi" w:hAnsiTheme="majorHAnsi"/>
          <w:sz w:val="22"/>
          <w:szCs w:val="22"/>
        </w:rPr>
        <w:t>inactivate</w:t>
      </w:r>
      <w:r w:rsidR="005A41DD">
        <w:rPr>
          <w:rFonts w:asciiTheme="majorHAnsi" w:hAnsiTheme="majorHAnsi"/>
          <w:sz w:val="22"/>
          <w:szCs w:val="22"/>
        </w:rPr>
        <w:t>d polio combination vaccine (</w:t>
      </w:r>
      <w:proofErr w:type="spellStart"/>
      <w:r w:rsidR="005A41DD">
        <w:rPr>
          <w:rFonts w:asciiTheme="majorHAnsi" w:hAnsiTheme="majorHAnsi"/>
          <w:sz w:val="22"/>
          <w:szCs w:val="22"/>
        </w:rPr>
        <w:t>dT</w:t>
      </w:r>
      <w:r w:rsidR="005A41DD" w:rsidRPr="005A41DD">
        <w:rPr>
          <w:rFonts w:asciiTheme="majorHAnsi" w:hAnsiTheme="majorHAnsi"/>
          <w:sz w:val="22"/>
          <w:szCs w:val="22"/>
        </w:rPr>
        <w:t>aP</w:t>
      </w:r>
      <w:proofErr w:type="spellEnd"/>
      <w:r w:rsidR="005A41DD" w:rsidRPr="005A41DD">
        <w:rPr>
          <w:rFonts w:asciiTheme="majorHAnsi" w:hAnsiTheme="majorHAnsi"/>
          <w:sz w:val="22"/>
          <w:szCs w:val="22"/>
        </w:rPr>
        <w:t>-IPV)</w:t>
      </w:r>
      <w:r w:rsidR="005A41DD">
        <w:rPr>
          <w:rFonts w:asciiTheme="majorHAnsi" w:hAnsiTheme="majorHAnsi"/>
          <w:sz w:val="22"/>
          <w:szCs w:val="22"/>
        </w:rPr>
        <w:t xml:space="preserve"> </w:t>
      </w:r>
      <w:r w:rsidR="009A385F">
        <w:rPr>
          <w:rFonts w:asciiTheme="majorHAnsi" w:hAnsiTheme="majorHAnsi"/>
          <w:sz w:val="22"/>
          <w:szCs w:val="22"/>
        </w:rPr>
        <w:t>w</w:t>
      </w:r>
      <w:r w:rsidR="00453D6F">
        <w:rPr>
          <w:rFonts w:asciiTheme="majorHAnsi" w:hAnsiTheme="majorHAnsi"/>
          <w:sz w:val="22"/>
          <w:szCs w:val="22"/>
        </w:rPr>
        <w:t>as</w:t>
      </w:r>
      <w:r w:rsidR="00E239FE" w:rsidRPr="00E239FE">
        <w:rPr>
          <w:rFonts w:asciiTheme="majorHAnsi" w:hAnsiTheme="majorHAnsi"/>
          <w:sz w:val="22"/>
          <w:szCs w:val="22"/>
        </w:rPr>
        <w:t xml:space="preserve"> recommended</w:t>
      </w:r>
      <w:r w:rsidR="00453D6F">
        <w:rPr>
          <w:rFonts w:asciiTheme="majorHAnsi" w:hAnsiTheme="majorHAnsi"/>
          <w:sz w:val="22"/>
          <w:szCs w:val="22"/>
        </w:rPr>
        <w:t>. Initially this was</w:t>
      </w:r>
      <w:r w:rsidR="009A385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given as</w:t>
      </w:r>
      <w:r w:rsidR="00453D6F">
        <w:rPr>
          <w:rFonts w:asciiTheme="majorHAnsi" w:hAnsiTheme="majorHAnsi"/>
          <w:sz w:val="22"/>
          <w:szCs w:val="22"/>
        </w:rPr>
        <w:t xml:space="preserve">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EA079B" w:rsidRPr="00B87DF5">
        <w:rPr>
          <w:rFonts w:asciiTheme="majorHAnsi" w:hAnsiTheme="majorHAnsi"/>
          <w:sz w:val="22"/>
          <w:szCs w:val="22"/>
        </w:rPr>
        <w:t>®</w:t>
      </w:r>
      <w:r w:rsidR="00700AFE">
        <w:rPr>
          <w:rFonts w:asciiTheme="majorHAnsi" w:hAnsiTheme="majorHAnsi"/>
          <w:sz w:val="22"/>
          <w:szCs w:val="22"/>
        </w:rPr>
        <w:t>,</w:t>
      </w:r>
      <w:r w:rsidR="00E239FE" w:rsidRPr="00E239FE">
        <w:rPr>
          <w:rFonts w:asciiTheme="majorHAnsi" w:hAnsiTheme="majorHAnsi"/>
          <w:sz w:val="22"/>
          <w:szCs w:val="22"/>
        </w:rPr>
        <w:t xml:space="preserve"> a</w:t>
      </w:r>
      <w:r w:rsidR="005A41DD">
        <w:rPr>
          <w:rFonts w:asciiTheme="majorHAnsi" w:hAnsiTheme="majorHAnsi"/>
          <w:sz w:val="22"/>
          <w:szCs w:val="22"/>
        </w:rPr>
        <w:t xml:space="preserve">nd </w:t>
      </w:r>
      <w:r w:rsidR="00453D6F">
        <w:rPr>
          <w:rFonts w:asciiTheme="majorHAnsi" w:hAnsiTheme="majorHAnsi"/>
          <w:sz w:val="22"/>
          <w:szCs w:val="22"/>
        </w:rPr>
        <w:t xml:space="preserve">subsequently as </w:t>
      </w:r>
      <w:r w:rsidR="00EA079B">
        <w:rPr>
          <w:rFonts w:asciiTheme="majorHAnsi" w:hAnsiTheme="majorHAnsi"/>
          <w:sz w:val="22"/>
          <w:szCs w:val="22"/>
        </w:rPr>
        <w:t>BOOSTRIX</w:t>
      </w:r>
      <w:r w:rsidR="00B87DF5">
        <w:rPr>
          <w:rFonts w:asciiTheme="majorHAnsi" w:hAnsiTheme="majorHAnsi"/>
          <w:sz w:val="22"/>
          <w:szCs w:val="22"/>
        </w:rPr>
        <w:t>-IPV</w:t>
      </w:r>
      <w:r w:rsidR="00EA079B">
        <w:rPr>
          <w:rFonts w:asciiTheme="majorHAnsi" w:hAnsiTheme="majorHAnsi"/>
          <w:sz w:val="22"/>
          <w:szCs w:val="22"/>
        </w:rPr>
        <w:t>®</w:t>
      </w:r>
      <w:r w:rsidR="005A41DD">
        <w:rPr>
          <w:rFonts w:asciiTheme="majorHAnsi" w:hAnsiTheme="majorHAnsi"/>
          <w:sz w:val="22"/>
          <w:szCs w:val="22"/>
        </w:rPr>
        <w:t xml:space="preserve"> </w:t>
      </w:r>
      <w:r w:rsidR="00453D6F">
        <w:rPr>
          <w:rFonts w:asciiTheme="majorHAnsi" w:hAnsiTheme="majorHAnsi"/>
          <w:sz w:val="22"/>
          <w:szCs w:val="22"/>
        </w:rPr>
        <w:t>from</w:t>
      </w:r>
      <w:r w:rsidR="00A26AF8">
        <w:rPr>
          <w:rFonts w:asciiTheme="majorHAnsi" w:hAnsiTheme="majorHAnsi"/>
          <w:sz w:val="22"/>
          <w:szCs w:val="22"/>
        </w:rPr>
        <w:t xml:space="preserve"> </w:t>
      </w:r>
      <w:r w:rsidR="005A41DD">
        <w:rPr>
          <w:rFonts w:asciiTheme="majorHAnsi" w:hAnsiTheme="majorHAnsi"/>
          <w:sz w:val="22"/>
          <w:szCs w:val="22"/>
        </w:rPr>
        <w:t>2014</w:t>
      </w:r>
      <w:r w:rsidR="0039220A">
        <w:rPr>
          <w:rFonts w:asciiTheme="majorHAnsi" w:hAnsiTheme="majorHAnsi"/>
          <w:sz w:val="22"/>
          <w:szCs w:val="22"/>
          <w:vertAlign w:val="superscript"/>
        </w:rPr>
        <w:t>5</w:t>
      </w:r>
      <w:r w:rsidR="00814286">
        <w:rPr>
          <w:rFonts w:asciiTheme="majorHAnsi" w:hAnsiTheme="majorHAnsi"/>
          <w:sz w:val="22"/>
          <w:szCs w:val="22"/>
        </w:rPr>
        <w:t xml:space="preserve">. </w:t>
      </w:r>
      <w:r w:rsidR="007E2E96">
        <w:rPr>
          <w:rFonts w:asciiTheme="majorHAnsi" w:hAnsiTheme="majorHAnsi"/>
          <w:sz w:val="22"/>
          <w:szCs w:val="22"/>
        </w:rPr>
        <w:t xml:space="preserve"> </w:t>
      </w:r>
      <w:r w:rsidR="00814286">
        <w:rPr>
          <w:rFonts w:asciiTheme="majorHAnsi" w:hAnsiTheme="majorHAnsi"/>
          <w:sz w:val="22"/>
          <w:szCs w:val="22"/>
        </w:rPr>
        <w:t>H</w:t>
      </w:r>
      <w:r w:rsidR="00814286" w:rsidRPr="00E239FE">
        <w:rPr>
          <w:rFonts w:asciiTheme="majorHAnsi" w:hAnsiTheme="majorHAnsi"/>
          <w:sz w:val="22"/>
          <w:szCs w:val="22"/>
        </w:rPr>
        <w:t xml:space="preserve">igh vaccine effectiveness </w:t>
      </w:r>
      <w:r w:rsidR="00397ECE">
        <w:rPr>
          <w:rFonts w:asciiTheme="majorHAnsi" w:hAnsiTheme="majorHAnsi"/>
          <w:sz w:val="22"/>
          <w:szCs w:val="22"/>
        </w:rPr>
        <w:t xml:space="preserve">has been </w:t>
      </w:r>
      <w:r w:rsidR="00814286" w:rsidRPr="00E239FE">
        <w:rPr>
          <w:rFonts w:asciiTheme="majorHAnsi" w:hAnsiTheme="majorHAnsi"/>
          <w:sz w:val="22"/>
          <w:szCs w:val="22"/>
        </w:rPr>
        <w:t>observed for both vaccines</w:t>
      </w:r>
      <w:r w:rsidR="00700AFE">
        <w:rPr>
          <w:rFonts w:asciiTheme="majorHAnsi" w:hAnsiTheme="majorHAnsi"/>
          <w:sz w:val="22"/>
          <w:szCs w:val="22"/>
          <w:vertAlign w:val="superscript"/>
        </w:rPr>
        <w:t>2</w:t>
      </w:r>
      <w:r w:rsidR="001C66BB">
        <w:rPr>
          <w:rFonts w:asciiTheme="majorHAnsi" w:hAnsiTheme="majorHAnsi"/>
          <w:sz w:val="22"/>
          <w:szCs w:val="22"/>
          <w:vertAlign w:val="superscript"/>
        </w:rPr>
        <w:t>,</w:t>
      </w:r>
      <w:r w:rsidR="0039220A">
        <w:rPr>
          <w:rFonts w:asciiTheme="majorHAnsi" w:hAnsiTheme="majorHAnsi"/>
          <w:sz w:val="22"/>
          <w:szCs w:val="22"/>
          <w:vertAlign w:val="superscript"/>
        </w:rPr>
        <w:t>6</w:t>
      </w:r>
      <w:r w:rsidR="0003369E" w:rsidRPr="00700AFE">
        <w:rPr>
          <w:rFonts w:asciiTheme="majorHAnsi" w:hAnsiTheme="majorHAnsi"/>
          <w:sz w:val="22"/>
          <w:szCs w:val="22"/>
        </w:rPr>
        <w:t>.</w:t>
      </w:r>
      <w:r w:rsidR="0003369E">
        <w:rPr>
          <w:rFonts w:asciiTheme="majorHAnsi" w:hAnsiTheme="majorHAnsi"/>
          <w:sz w:val="22"/>
          <w:szCs w:val="22"/>
          <w:vertAlign w:val="superscript"/>
        </w:rPr>
        <w:t xml:space="preserve"> </w:t>
      </w:r>
      <w:r w:rsidR="0003369E">
        <w:rPr>
          <w:rFonts w:asciiTheme="majorHAnsi" w:hAnsiTheme="majorHAnsi"/>
          <w:sz w:val="22"/>
          <w:szCs w:val="22"/>
        </w:rPr>
        <w:t>I</w:t>
      </w:r>
      <w:r w:rsidR="00A24C62" w:rsidRPr="00E239FE">
        <w:rPr>
          <w:rFonts w:asciiTheme="majorHAnsi" w:hAnsiTheme="majorHAnsi"/>
          <w:sz w:val="22"/>
          <w:szCs w:val="22"/>
        </w:rPr>
        <w:t xml:space="preserve">n 2019, </w:t>
      </w:r>
      <w:r w:rsidR="0003369E">
        <w:rPr>
          <w:rFonts w:asciiTheme="majorHAnsi" w:hAnsiTheme="majorHAnsi"/>
          <w:sz w:val="22"/>
          <w:szCs w:val="22"/>
        </w:rPr>
        <w:t>the Joint Committee on Vaccination and Immunisation (</w:t>
      </w:r>
      <w:r w:rsidR="00A24C62" w:rsidRPr="00E239FE">
        <w:rPr>
          <w:rFonts w:asciiTheme="majorHAnsi" w:hAnsiTheme="majorHAnsi"/>
          <w:sz w:val="22"/>
          <w:szCs w:val="22"/>
        </w:rPr>
        <w:t>JCVI</w:t>
      </w:r>
      <w:r w:rsidR="0003369E">
        <w:rPr>
          <w:rFonts w:asciiTheme="majorHAnsi" w:hAnsiTheme="majorHAnsi"/>
          <w:sz w:val="22"/>
          <w:szCs w:val="22"/>
        </w:rPr>
        <w:t>)</w:t>
      </w:r>
      <w:r w:rsidR="00A24C62" w:rsidRPr="00E239FE">
        <w:rPr>
          <w:rFonts w:asciiTheme="majorHAnsi" w:hAnsiTheme="majorHAnsi"/>
          <w:sz w:val="22"/>
          <w:szCs w:val="22"/>
        </w:rPr>
        <w:t xml:space="preserve"> recommended </w:t>
      </w:r>
      <w:r w:rsidR="00453D6F">
        <w:rPr>
          <w:rFonts w:asciiTheme="majorHAnsi" w:hAnsiTheme="majorHAnsi"/>
          <w:sz w:val="22"/>
          <w:szCs w:val="22"/>
        </w:rPr>
        <w:t>that</w:t>
      </w:r>
      <w:r w:rsidR="00453D6F" w:rsidRPr="00E239FE">
        <w:rPr>
          <w:rFonts w:asciiTheme="majorHAnsi" w:hAnsiTheme="majorHAnsi"/>
          <w:sz w:val="22"/>
          <w:szCs w:val="22"/>
        </w:rPr>
        <w:t xml:space="preserve"> </w:t>
      </w:r>
      <w:r w:rsidR="00A24C62" w:rsidRPr="00E239FE">
        <w:rPr>
          <w:rFonts w:asciiTheme="majorHAnsi" w:hAnsiTheme="majorHAnsi"/>
          <w:sz w:val="22"/>
          <w:szCs w:val="22"/>
        </w:rPr>
        <w:t xml:space="preserve">the antenatal pertussis vaccination programme </w:t>
      </w:r>
      <w:r w:rsidR="00453D6F">
        <w:rPr>
          <w:rFonts w:asciiTheme="majorHAnsi" w:hAnsiTheme="majorHAnsi"/>
          <w:sz w:val="22"/>
          <w:szCs w:val="22"/>
        </w:rPr>
        <w:t>become</w:t>
      </w:r>
      <w:r w:rsidR="00A24C62" w:rsidRPr="00E239FE">
        <w:rPr>
          <w:rFonts w:asciiTheme="majorHAnsi" w:hAnsiTheme="majorHAnsi"/>
          <w:sz w:val="22"/>
          <w:szCs w:val="22"/>
        </w:rPr>
        <w:t xml:space="preserve"> routine</w:t>
      </w:r>
      <w:r w:rsidR="0039220A">
        <w:rPr>
          <w:rFonts w:asciiTheme="majorHAnsi" w:hAnsiTheme="majorHAnsi"/>
          <w:sz w:val="22"/>
          <w:szCs w:val="22"/>
          <w:vertAlign w:val="superscript"/>
        </w:rPr>
        <w:t>4</w:t>
      </w:r>
      <w:r w:rsidR="0003369E">
        <w:rPr>
          <w:rFonts w:asciiTheme="majorHAnsi" w:hAnsiTheme="majorHAnsi"/>
          <w:sz w:val="22"/>
          <w:szCs w:val="22"/>
        </w:rPr>
        <w:t>.</w:t>
      </w:r>
    </w:p>
    <w:p w14:paraId="26A76D35" w14:textId="16800E78" w:rsidR="0065428E" w:rsidRPr="00E239FE" w:rsidRDefault="0065428E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4866B4CD" w14:textId="7607570F" w:rsidR="00901444" w:rsidRDefault="00913220" w:rsidP="00901444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It is assumed that t</w:t>
      </w:r>
      <w:r w:rsidR="0003369E">
        <w:rPr>
          <w:rFonts w:asciiTheme="majorHAnsi" w:hAnsiTheme="majorHAnsi"/>
          <w:sz w:val="22"/>
          <w:szCs w:val="22"/>
        </w:rPr>
        <w:t xml:space="preserve">he effectiveness </w:t>
      </w:r>
      <w:r w:rsidR="005F7014">
        <w:rPr>
          <w:rFonts w:asciiTheme="majorHAnsi" w:hAnsiTheme="majorHAnsi"/>
          <w:sz w:val="22"/>
          <w:szCs w:val="22"/>
        </w:rPr>
        <w:t>of</w:t>
      </w:r>
      <w:r w:rsidR="0003369E">
        <w:rPr>
          <w:rFonts w:asciiTheme="majorHAnsi" w:hAnsiTheme="majorHAnsi"/>
          <w:sz w:val="22"/>
          <w:szCs w:val="22"/>
        </w:rPr>
        <w:t xml:space="preserve"> the antenatal pertussis</w:t>
      </w:r>
      <w:r>
        <w:rPr>
          <w:rFonts w:asciiTheme="majorHAnsi" w:hAnsiTheme="majorHAnsi"/>
          <w:sz w:val="22"/>
          <w:szCs w:val="22"/>
        </w:rPr>
        <w:t xml:space="preserve"> vaccination programme </w:t>
      </w:r>
      <w:r w:rsidR="005F7014">
        <w:rPr>
          <w:rFonts w:asciiTheme="majorHAnsi" w:hAnsiTheme="majorHAnsi"/>
          <w:sz w:val="22"/>
          <w:szCs w:val="22"/>
        </w:rPr>
        <w:t xml:space="preserve">in preventing infant disease </w:t>
      </w:r>
      <w:r>
        <w:rPr>
          <w:rFonts w:asciiTheme="majorHAnsi" w:hAnsiTheme="majorHAnsi"/>
          <w:sz w:val="22"/>
          <w:szCs w:val="22"/>
        </w:rPr>
        <w:t xml:space="preserve">is </w:t>
      </w:r>
      <w:r w:rsidR="005F7014">
        <w:rPr>
          <w:rFonts w:asciiTheme="majorHAnsi" w:hAnsiTheme="majorHAnsi"/>
          <w:sz w:val="22"/>
          <w:szCs w:val="22"/>
        </w:rPr>
        <w:t xml:space="preserve">largely </w:t>
      </w:r>
      <w:r>
        <w:rPr>
          <w:rFonts w:asciiTheme="majorHAnsi" w:hAnsiTheme="majorHAnsi"/>
          <w:sz w:val="22"/>
          <w:szCs w:val="22"/>
        </w:rPr>
        <w:t xml:space="preserve">due to </w:t>
      </w:r>
      <w:r w:rsidR="00AC0A50" w:rsidRPr="00E239FE">
        <w:rPr>
          <w:rFonts w:asciiTheme="majorHAnsi" w:hAnsiTheme="majorHAnsi"/>
          <w:sz w:val="22"/>
          <w:szCs w:val="22"/>
        </w:rPr>
        <w:t xml:space="preserve">the increased levels of </w:t>
      </w:r>
      <w:proofErr w:type="spellStart"/>
      <w:r w:rsidR="002B6479">
        <w:rPr>
          <w:rFonts w:asciiTheme="majorHAnsi" w:hAnsiTheme="majorHAnsi"/>
          <w:sz w:val="22"/>
          <w:szCs w:val="22"/>
        </w:rPr>
        <w:t>transplacentally</w:t>
      </w:r>
      <w:proofErr w:type="spellEnd"/>
      <w:r w:rsidR="002B6479">
        <w:rPr>
          <w:rFonts w:asciiTheme="majorHAnsi" w:hAnsiTheme="majorHAnsi"/>
          <w:sz w:val="22"/>
          <w:szCs w:val="22"/>
        </w:rPr>
        <w:t xml:space="preserve"> derived</w:t>
      </w:r>
      <w:r w:rsidR="00AC0A50" w:rsidRPr="00E239FE">
        <w:rPr>
          <w:rFonts w:asciiTheme="majorHAnsi" w:hAnsiTheme="majorHAnsi"/>
          <w:sz w:val="22"/>
          <w:szCs w:val="22"/>
        </w:rPr>
        <w:t xml:space="preserve"> </w:t>
      </w:r>
      <w:r w:rsidR="00AC0A50" w:rsidRPr="00E239FE">
        <w:rPr>
          <w:rFonts w:asciiTheme="majorHAnsi" w:hAnsiTheme="majorHAnsi"/>
          <w:sz w:val="22"/>
          <w:szCs w:val="22"/>
        </w:rPr>
        <w:lastRenderedPageBreak/>
        <w:t>pertussis</w:t>
      </w:r>
      <w:r w:rsidR="002046D2">
        <w:rPr>
          <w:rFonts w:asciiTheme="majorHAnsi" w:hAnsiTheme="majorHAnsi"/>
          <w:sz w:val="22"/>
          <w:szCs w:val="22"/>
        </w:rPr>
        <w:t xml:space="preserve"> antigen</w:t>
      </w:r>
      <w:r w:rsidR="00AC0A50" w:rsidRPr="00E239FE">
        <w:rPr>
          <w:rFonts w:asciiTheme="majorHAnsi" w:hAnsiTheme="majorHAnsi"/>
          <w:sz w:val="22"/>
          <w:szCs w:val="22"/>
        </w:rPr>
        <w:t xml:space="preserve">-specific </w:t>
      </w:r>
      <w:r>
        <w:rPr>
          <w:rFonts w:asciiTheme="majorHAnsi" w:hAnsiTheme="majorHAnsi"/>
          <w:sz w:val="22"/>
          <w:szCs w:val="22"/>
        </w:rPr>
        <w:t xml:space="preserve">maternal </w:t>
      </w:r>
      <w:r w:rsidR="005A2F25">
        <w:rPr>
          <w:rFonts w:asciiTheme="majorHAnsi" w:hAnsiTheme="majorHAnsi"/>
          <w:sz w:val="22"/>
          <w:szCs w:val="22"/>
        </w:rPr>
        <w:t>immunoglobulin G (</w:t>
      </w:r>
      <w:r w:rsidR="008E7B91">
        <w:rPr>
          <w:rFonts w:asciiTheme="majorHAnsi" w:hAnsiTheme="majorHAnsi"/>
          <w:sz w:val="22"/>
          <w:szCs w:val="22"/>
        </w:rPr>
        <w:t>IgG</w:t>
      </w:r>
      <w:r w:rsidR="005A2F25">
        <w:rPr>
          <w:rFonts w:asciiTheme="majorHAnsi" w:hAnsiTheme="majorHAnsi"/>
          <w:sz w:val="22"/>
          <w:szCs w:val="22"/>
        </w:rPr>
        <w:t>)</w:t>
      </w:r>
      <w:r w:rsidR="008E7B91">
        <w:rPr>
          <w:rFonts w:asciiTheme="majorHAnsi" w:hAnsiTheme="majorHAnsi"/>
          <w:sz w:val="22"/>
          <w:szCs w:val="22"/>
        </w:rPr>
        <w:t xml:space="preserve"> </w:t>
      </w:r>
      <w:r w:rsidR="00AC0A50" w:rsidRPr="00E239FE">
        <w:rPr>
          <w:rFonts w:asciiTheme="majorHAnsi" w:hAnsiTheme="majorHAnsi"/>
          <w:sz w:val="22"/>
          <w:szCs w:val="22"/>
        </w:rPr>
        <w:t xml:space="preserve">antibodies present in infants born to vaccinated </w:t>
      </w:r>
      <w:r>
        <w:rPr>
          <w:rFonts w:asciiTheme="majorHAnsi" w:hAnsiTheme="majorHAnsi"/>
          <w:sz w:val="22"/>
          <w:szCs w:val="22"/>
        </w:rPr>
        <w:t>women</w:t>
      </w:r>
      <w:r w:rsidR="005F7014">
        <w:rPr>
          <w:rFonts w:asciiTheme="majorHAnsi" w:hAnsiTheme="majorHAnsi"/>
          <w:sz w:val="22"/>
          <w:szCs w:val="22"/>
        </w:rPr>
        <w:t>.</w:t>
      </w:r>
      <w:r w:rsidR="007E2E96">
        <w:rPr>
          <w:rFonts w:asciiTheme="majorHAnsi" w:hAnsiTheme="majorHAnsi"/>
          <w:sz w:val="22"/>
          <w:szCs w:val="22"/>
        </w:rPr>
        <w:t xml:space="preserve"> </w:t>
      </w:r>
      <w:r w:rsidR="003F14CB">
        <w:rPr>
          <w:rFonts w:asciiTheme="majorHAnsi" w:hAnsiTheme="majorHAnsi"/>
          <w:sz w:val="22"/>
          <w:szCs w:val="22"/>
        </w:rPr>
        <w:t>O</w:t>
      </w:r>
      <w:r>
        <w:rPr>
          <w:rFonts w:asciiTheme="majorHAnsi" w:hAnsiTheme="majorHAnsi"/>
          <w:sz w:val="22"/>
          <w:szCs w:val="22"/>
        </w:rPr>
        <w:t xml:space="preserve">ne of the key questions </w:t>
      </w:r>
      <w:r w:rsidR="003F14CB">
        <w:rPr>
          <w:rFonts w:asciiTheme="majorHAnsi" w:hAnsiTheme="majorHAnsi"/>
          <w:sz w:val="22"/>
          <w:szCs w:val="22"/>
        </w:rPr>
        <w:t xml:space="preserve">regarding maternal vaccination </w:t>
      </w:r>
      <w:r w:rsidR="008B160D">
        <w:rPr>
          <w:rFonts w:asciiTheme="majorHAnsi" w:hAnsiTheme="majorHAnsi"/>
          <w:sz w:val="22"/>
          <w:szCs w:val="22"/>
        </w:rPr>
        <w:t>however</w:t>
      </w:r>
      <w:r w:rsidR="008A0D44">
        <w:rPr>
          <w:rFonts w:asciiTheme="majorHAnsi" w:hAnsiTheme="majorHAnsi"/>
          <w:sz w:val="22"/>
          <w:szCs w:val="22"/>
        </w:rPr>
        <w:t>,</w:t>
      </w:r>
      <w:r w:rsidR="006F618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is the </w:t>
      </w:r>
      <w:r w:rsidR="003F14CB">
        <w:rPr>
          <w:rFonts w:asciiTheme="majorHAnsi" w:hAnsiTheme="majorHAnsi"/>
          <w:sz w:val="22"/>
          <w:szCs w:val="22"/>
        </w:rPr>
        <w:t xml:space="preserve">clinical significance </w:t>
      </w:r>
      <w:r>
        <w:rPr>
          <w:rFonts w:asciiTheme="majorHAnsi" w:hAnsiTheme="majorHAnsi"/>
          <w:sz w:val="22"/>
          <w:szCs w:val="22"/>
        </w:rPr>
        <w:t xml:space="preserve">of </w:t>
      </w:r>
      <w:r w:rsidR="003F14CB">
        <w:rPr>
          <w:rFonts w:asciiTheme="majorHAnsi" w:hAnsiTheme="majorHAnsi"/>
          <w:sz w:val="22"/>
          <w:szCs w:val="22"/>
        </w:rPr>
        <w:t xml:space="preserve">the </w:t>
      </w:r>
      <w:r>
        <w:rPr>
          <w:rFonts w:asciiTheme="majorHAnsi" w:hAnsiTheme="majorHAnsi"/>
          <w:sz w:val="22"/>
          <w:szCs w:val="22"/>
        </w:rPr>
        <w:t xml:space="preserve">interference </w:t>
      </w:r>
      <w:r w:rsidR="003F14CB">
        <w:rPr>
          <w:rFonts w:asciiTheme="majorHAnsi" w:hAnsiTheme="majorHAnsi"/>
          <w:sz w:val="22"/>
          <w:szCs w:val="22"/>
        </w:rPr>
        <w:t xml:space="preserve">of </w:t>
      </w:r>
      <w:r>
        <w:rPr>
          <w:rFonts w:asciiTheme="majorHAnsi" w:hAnsiTheme="majorHAnsi"/>
          <w:sz w:val="22"/>
          <w:szCs w:val="22"/>
        </w:rPr>
        <w:t>maternally derived antibodies on the infant</w:t>
      </w:r>
      <w:r w:rsidR="001A75FD">
        <w:rPr>
          <w:rFonts w:asciiTheme="majorHAnsi" w:hAnsiTheme="majorHAnsi"/>
          <w:sz w:val="22"/>
          <w:szCs w:val="22"/>
        </w:rPr>
        <w:t>’</w:t>
      </w:r>
      <w:r>
        <w:rPr>
          <w:rFonts w:asciiTheme="majorHAnsi" w:hAnsiTheme="majorHAnsi"/>
          <w:sz w:val="22"/>
          <w:szCs w:val="22"/>
        </w:rPr>
        <w:t xml:space="preserve">s own immune response to </w:t>
      </w:r>
      <w:r w:rsidR="008A0D44">
        <w:rPr>
          <w:rFonts w:asciiTheme="majorHAnsi" w:hAnsiTheme="majorHAnsi"/>
          <w:sz w:val="22"/>
          <w:szCs w:val="22"/>
        </w:rPr>
        <w:t>vaccination</w:t>
      </w:r>
      <w:r w:rsidR="00AC0A50" w:rsidRPr="00E239FE">
        <w:rPr>
          <w:rFonts w:asciiTheme="majorHAnsi" w:hAnsiTheme="majorHAnsi"/>
          <w:sz w:val="22"/>
          <w:szCs w:val="22"/>
        </w:rPr>
        <w:t>, a phenomenon known as blunting</w:t>
      </w:r>
      <w:r w:rsidR="003B6DDA">
        <w:rPr>
          <w:rFonts w:asciiTheme="majorHAnsi" w:hAnsiTheme="majorHAnsi"/>
          <w:sz w:val="22"/>
          <w:szCs w:val="22"/>
          <w:vertAlign w:val="superscript"/>
        </w:rPr>
        <w:t>5</w:t>
      </w:r>
      <w:r w:rsidR="00AC0A50" w:rsidRPr="00E239FE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>Blunting</w:t>
      </w:r>
      <w:r w:rsidR="00AC0A50" w:rsidRPr="00E239FE">
        <w:rPr>
          <w:rFonts w:asciiTheme="majorHAnsi" w:hAnsiTheme="majorHAnsi"/>
          <w:sz w:val="22"/>
          <w:szCs w:val="22"/>
        </w:rPr>
        <w:t xml:space="preserve"> has been </w:t>
      </w:r>
      <w:r w:rsidR="003F14CB">
        <w:rPr>
          <w:rFonts w:asciiTheme="majorHAnsi" w:hAnsiTheme="majorHAnsi"/>
          <w:sz w:val="22"/>
          <w:szCs w:val="22"/>
        </w:rPr>
        <w:t>widely observed</w:t>
      </w:r>
      <w:r w:rsidR="00273D69">
        <w:rPr>
          <w:rFonts w:asciiTheme="majorHAnsi" w:hAnsiTheme="majorHAnsi"/>
          <w:sz w:val="22"/>
          <w:szCs w:val="22"/>
          <w:vertAlign w:val="superscript"/>
        </w:rPr>
        <w:t>5</w:t>
      </w:r>
      <w:r w:rsidR="00B506D7">
        <w:rPr>
          <w:rFonts w:asciiTheme="majorHAnsi" w:hAnsiTheme="majorHAnsi"/>
          <w:sz w:val="22"/>
          <w:szCs w:val="22"/>
          <w:vertAlign w:val="superscript"/>
        </w:rPr>
        <w:t>,</w:t>
      </w:r>
      <w:r w:rsidR="004409E8">
        <w:rPr>
          <w:rFonts w:asciiTheme="majorHAnsi" w:hAnsiTheme="majorHAnsi"/>
          <w:sz w:val="22"/>
          <w:szCs w:val="22"/>
          <w:vertAlign w:val="superscript"/>
        </w:rPr>
        <w:t>7</w:t>
      </w:r>
      <w:r w:rsidR="00B506D7">
        <w:rPr>
          <w:rFonts w:asciiTheme="majorHAnsi" w:hAnsiTheme="majorHAnsi"/>
          <w:sz w:val="22"/>
          <w:szCs w:val="22"/>
          <w:vertAlign w:val="superscript"/>
        </w:rPr>
        <w:t>-1</w:t>
      </w:r>
      <w:r w:rsidR="004409E8">
        <w:rPr>
          <w:rFonts w:asciiTheme="majorHAnsi" w:hAnsiTheme="majorHAnsi"/>
          <w:sz w:val="22"/>
          <w:szCs w:val="22"/>
          <w:vertAlign w:val="superscript"/>
        </w:rPr>
        <w:t>1</w:t>
      </w:r>
      <w:r w:rsidR="005D0F3E">
        <w:rPr>
          <w:rFonts w:asciiTheme="majorHAnsi" w:hAnsiTheme="majorHAnsi"/>
          <w:sz w:val="22"/>
          <w:szCs w:val="22"/>
        </w:rPr>
        <w:t>.</w:t>
      </w:r>
      <w:r w:rsidR="00AC0A50" w:rsidRPr="00E239FE">
        <w:rPr>
          <w:rFonts w:asciiTheme="majorHAnsi" w:hAnsiTheme="majorHAnsi"/>
          <w:sz w:val="22"/>
          <w:szCs w:val="22"/>
        </w:rPr>
        <w:t xml:space="preserve"> </w:t>
      </w:r>
      <w:r w:rsidR="00243B3D">
        <w:rPr>
          <w:rFonts w:asciiTheme="majorHAnsi" w:hAnsiTheme="majorHAnsi"/>
          <w:sz w:val="22"/>
          <w:szCs w:val="22"/>
        </w:rPr>
        <w:t>I</w:t>
      </w:r>
      <w:r w:rsidR="003F14CB">
        <w:rPr>
          <w:rFonts w:asciiTheme="majorHAnsi" w:hAnsiTheme="majorHAnsi"/>
          <w:sz w:val="22"/>
          <w:szCs w:val="22"/>
        </w:rPr>
        <w:t xml:space="preserve">n a </w:t>
      </w:r>
      <w:r w:rsidR="00BD6B4A">
        <w:rPr>
          <w:rFonts w:asciiTheme="majorHAnsi" w:hAnsiTheme="majorHAnsi"/>
          <w:sz w:val="22"/>
          <w:szCs w:val="22"/>
        </w:rPr>
        <w:t xml:space="preserve">preceding </w:t>
      </w:r>
      <w:r w:rsidR="001758B0">
        <w:rPr>
          <w:rFonts w:asciiTheme="majorHAnsi" w:hAnsiTheme="majorHAnsi"/>
          <w:sz w:val="22"/>
          <w:szCs w:val="22"/>
        </w:rPr>
        <w:t xml:space="preserve">study </w:t>
      </w:r>
      <w:r w:rsidR="00BD6B4A">
        <w:rPr>
          <w:rFonts w:asciiTheme="majorHAnsi" w:hAnsiTheme="majorHAnsi"/>
          <w:sz w:val="22"/>
          <w:szCs w:val="22"/>
        </w:rPr>
        <w:t>to this,</w:t>
      </w:r>
      <w:r w:rsidR="001758B0">
        <w:rPr>
          <w:rFonts w:asciiTheme="majorHAnsi" w:hAnsiTheme="majorHAnsi"/>
          <w:sz w:val="22"/>
          <w:szCs w:val="22"/>
        </w:rPr>
        <w:t xml:space="preserve"> </w:t>
      </w:r>
      <w:r w:rsidR="00243B3D">
        <w:rPr>
          <w:rFonts w:asciiTheme="majorHAnsi" w:hAnsiTheme="majorHAnsi"/>
          <w:sz w:val="22"/>
          <w:szCs w:val="22"/>
        </w:rPr>
        <w:t xml:space="preserve">known as </w:t>
      </w:r>
      <w:r w:rsidR="00243B3D" w:rsidRPr="00BC312D">
        <w:rPr>
          <w:rFonts w:asciiTheme="majorHAnsi" w:hAnsiTheme="majorHAnsi"/>
          <w:i/>
          <w:iCs/>
          <w:sz w:val="22"/>
          <w:szCs w:val="22"/>
        </w:rPr>
        <w:t xml:space="preserve">immunising Mums Against Pertussis </w:t>
      </w:r>
      <w:r w:rsidR="00243B3D">
        <w:rPr>
          <w:rFonts w:asciiTheme="majorHAnsi" w:hAnsiTheme="majorHAnsi"/>
          <w:i/>
          <w:iCs/>
          <w:sz w:val="22"/>
          <w:szCs w:val="22"/>
        </w:rPr>
        <w:t>2</w:t>
      </w:r>
      <w:r w:rsidR="00FE4F26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FE4F26" w:rsidRPr="007B21CB">
        <w:rPr>
          <w:rFonts w:asciiTheme="majorHAnsi" w:hAnsiTheme="majorHAnsi"/>
          <w:iCs/>
          <w:sz w:val="22"/>
          <w:szCs w:val="22"/>
        </w:rPr>
        <w:t>(iMAP2</w:t>
      </w:r>
      <w:r w:rsidR="00243B3D" w:rsidRPr="007B21CB">
        <w:rPr>
          <w:rFonts w:asciiTheme="majorHAnsi" w:hAnsiTheme="majorHAnsi"/>
          <w:iCs/>
          <w:sz w:val="22"/>
          <w:szCs w:val="22"/>
        </w:rPr>
        <w:t>)</w:t>
      </w:r>
      <w:r w:rsidR="00243B3D">
        <w:rPr>
          <w:rFonts w:asciiTheme="majorHAnsi" w:hAnsiTheme="majorHAnsi"/>
          <w:sz w:val="22"/>
          <w:szCs w:val="22"/>
        </w:rPr>
        <w:t xml:space="preserve">, </w:t>
      </w:r>
      <w:r w:rsidR="001758B0">
        <w:rPr>
          <w:rFonts w:asciiTheme="majorHAnsi" w:hAnsiTheme="majorHAnsi"/>
          <w:sz w:val="22"/>
          <w:szCs w:val="22"/>
        </w:rPr>
        <w:t xml:space="preserve">which </w:t>
      </w:r>
      <w:r w:rsidR="00AC0A50" w:rsidRPr="00E239FE">
        <w:rPr>
          <w:rFonts w:asciiTheme="majorHAnsi" w:hAnsiTheme="majorHAnsi"/>
          <w:sz w:val="22"/>
          <w:szCs w:val="22"/>
        </w:rPr>
        <w:t xml:space="preserve">compared </w:t>
      </w:r>
      <w:r w:rsidR="00901444">
        <w:rPr>
          <w:rFonts w:asciiTheme="majorHAnsi" w:hAnsiTheme="majorHAnsi"/>
          <w:sz w:val="22"/>
          <w:szCs w:val="22"/>
        </w:rPr>
        <w:t xml:space="preserve">the </w:t>
      </w:r>
      <w:r w:rsidR="002046D2">
        <w:rPr>
          <w:rFonts w:asciiTheme="majorHAnsi" w:hAnsiTheme="majorHAnsi"/>
          <w:sz w:val="22"/>
          <w:szCs w:val="22"/>
        </w:rPr>
        <w:t>IgG</w:t>
      </w:r>
      <w:r w:rsidR="002046D2" w:rsidRPr="00BD6B4A">
        <w:rPr>
          <w:rFonts w:asciiTheme="majorHAnsi" w:hAnsiTheme="majorHAnsi"/>
          <w:sz w:val="22"/>
          <w:szCs w:val="22"/>
        </w:rPr>
        <w:t xml:space="preserve"> </w:t>
      </w:r>
      <w:r w:rsidR="00901444" w:rsidRPr="00BD6B4A">
        <w:rPr>
          <w:rFonts w:asciiTheme="majorHAnsi" w:hAnsiTheme="majorHAnsi"/>
          <w:sz w:val="22"/>
          <w:szCs w:val="22"/>
        </w:rPr>
        <w:t>response</w:t>
      </w:r>
      <w:r w:rsidR="002046D2">
        <w:rPr>
          <w:rFonts w:asciiTheme="majorHAnsi" w:hAnsiTheme="majorHAnsi"/>
          <w:sz w:val="22"/>
          <w:szCs w:val="22"/>
        </w:rPr>
        <w:t xml:space="preserve"> to pertussis antigens </w:t>
      </w:r>
      <w:r w:rsidR="00901444" w:rsidRPr="00BD6B4A">
        <w:rPr>
          <w:rFonts w:asciiTheme="majorHAnsi" w:hAnsiTheme="majorHAnsi"/>
          <w:sz w:val="22"/>
          <w:szCs w:val="22"/>
        </w:rPr>
        <w:t>following primary immuni</w:t>
      </w:r>
      <w:r w:rsidR="00901444">
        <w:rPr>
          <w:rFonts w:asciiTheme="majorHAnsi" w:hAnsiTheme="majorHAnsi"/>
          <w:sz w:val="22"/>
          <w:szCs w:val="22"/>
        </w:rPr>
        <w:t>s</w:t>
      </w:r>
      <w:r w:rsidR="00901444" w:rsidRPr="00BD6B4A">
        <w:rPr>
          <w:rFonts w:asciiTheme="majorHAnsi" w:hAnsiTheme="majorHAnsi"/>
          <w:sz w:val="22"/>
          <w:szCs w:val="22"/>
        </w:rPr>
        <w:t xml:space="preserve">ation in infants </w:t>
      </w:r>
      <w:r w:rsidR="00901444">
        <w:rPr>
          <w:rFonts w:asciiTheme="majorHAnsi" w:hAnsiTheme="majorHAnsi"/>
          <w:sz w:val="22"/>
          <w:szCs w:val="22"/>
        </w:rPr>
        <w:t>born to</w:t>
      </w:r>
      <w:r w:rsidR="00901444" w:rsidRPr="00BD6B4A">
        <w:rPr>
          <w:rFonts w:asciiTheme="majorHAnsi" w:hAnsiTheme="majorHAnsi"/>
          <w:sz w:val="22"/>
          <w:szCs w:val="22"/>
        </w:rPr>
        <w:t xml:space="preserve"> mothers </w:t>
      </w:r>
      <w:r w:rsidR="005D0F3E">
        <w:rPr>
          <w:rFonts w:asciiTheme="majorHAnsi" w:hAnsiTheme="majorHAnsi"/>
          <w:sz w:val="22"/>
          <w:szCs w:val="22"/>
        </w:rPr>
        <w:t>who received pertussis-containing vaccines (</w:t>
      </w:r>
      <w:r w:rsidR="007E0ABF">
        <w:rPr>
          <w:rFonts w:asciiTheme="majorHAnsi" w:hAnsiTheme="majorHAnsi"/>
          <w:sz w:val="22"/>
          <w:szCs w:val="22"/>
        </w:rPr>
        <w:t>BOOSTRIX</w:t>
      </w:r>
      <w:r w:rsidR="007E0ABF" w:rsidRPr="00B87DF5">
        <w:rPr>
          <w:rFonts w:asciiTheme="majorHAnsi" w:hAnsiTheme="majorHAnsi"/>
          <w:sz w:val="22"/>
          <w:szCs w:val="22"/>
        </w:rPr>
        <w:t>-IPV®</w:t>
      </w:r>
      <w:r w:rsidR="007E0ABF" w:rsidRPr="00E239FE">
        <w:rPr>
          <w:rFonts w:asciiTheme="majorHAnsi" w:hAnsiTheme="majorHAnsi"/>
          <w:sz w:val="22"/>
          <w:szCs w:val="22"/>
        </w:rPr>
        <w:t xml:space="preserve"> </w:t>
      </w:r>
      <w:r w:rsidR="00901444" w:rsidRPr="00BD6B4A">
        <w:rPr>
          <w:rFonts w:asciiTheme="majorHAnsi" w:hAnsiTheme="majorHAnsi"/>
          <w:sz w:val="22"/>
          <w:szCs w:val="22"/>
        </w:rPr>
        <w:t xml:space="preserve">or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7E0ABF" w:rsidRPr="00B87DF5">
        <w:rPr>
          <w:rFonts w:asciiTheme="majorHAnsi" w:hAnsiTheme="majorHAnsi"/>
          <w:sz w:val="22"/>
          <w:szCs w:val="22"/>
        </w:rPr>
        <w:t>®</w:t>
      </w:r>
      <w:r w:rsidR="005D0F3E">
        <w:rPr>
          <w:rFonts w:asciiTheme="majorHAnsi" w:hAnsiTheme="majorHAnsi"/>
          <w:sz w:val="22"/>
          <w:szCs w:val="22"/>
        </w:rPr>
        <w:t>)</w:t>
      </w:r>
      <w:r w:rsidR="008A0D44">
        <w:rPr>
          <w:rFonts w:asciiTheme="majorHAnsi" w:hAnsiTheme="majorHAnsi"/>
          <w:sz w:val="22"/>
          <w:szCs w:val="22"/>
        </w:rPr>
        <w:t>,</w:t>
      </w:r>
      <w:r w:rsidR="00901444" w:rsidRPr="00BD6B4A">
        <w:rPr>
          <w:rFonts w:asciiTheme="majorHAnsi" w:hAnsiTheme="majorHAnsi"/>
          <w:sz w:val="22"/>
          <w:szCs w:val="22"/>
        </w:rPr>
        <w:t xml:space="preserve"> </w:t>
      </w:r>
      <w:r w:rsidR="00901444">
        <w:rPr>
          <w:rFonts w:asciiTheme="majorHAnsi" w:hAnsiTheme="majorHAnsi"/>
          <w:sz w:val="22"/>
          <w:szCs w:val="22"/>
        </w:rPr>
        <w:t xml:space="preserve">or no pertussis-containing vaccine </w:t>
      </w:r>
      <w:r w:rsidR="00901444" w:rsidRPr="00BD6B4A">
        <w:rPr>
          <w:rFonts w:asciiTheme="majorHAnsi" w:hAnsiTheme="majorHAnsi"/>
          <w:sz w:val="22"/>
          <w:szCs w:val="22"/>
        </w:rPr>
        <w:t>in pregnancy</w:t>
      </w:r>
      <w:r w:rsidR="001C7509">
        <w:rPr>
          <w:rFonts w:asciiTheme="majorHAnsi" w:hAnsiTheme="majorHAnsi"/>
          <w:sz w:val="22"/>
          <w:szCs w:val="22"/>
          <w:vertAlign w:val="superscript"/>
        </w:rPr>
        <w:t>12</w:t>
      </w:r>
      <w:r w:rsidR="002046D2">
        <w:rPr>
          <w:rFonts w:asciiTheme="majorHAnsi" w:hAnsiTheme="majorHAnsi"/>
          <w:sz w:val="22"/>
          <w:szCs w:val="22"/>
        </w:rPr>
        <w:t>.</w:t>
      </w:r>
      <w:r w:rsidR="00901444">
        <w:rPr>
          <w:rFonts w:asciiTheme="majorHAnsi" w:hAnsiTheme="majorHAnsi"/>
          <w:sz w:val="22"/>
          <w:szCs w:val="22"/>
        </w:rPr>
        <w:t xml:space="preserve"> </w:t>
      </w:r>
      <w:r w:rsidR="002046D2">
        <w:rPr>
          <w:rFonts w:asciiTheme="majorHAnsi" w:hAnsiTheme="majorHAnsi"/>
          <w:sz w:val="22"/>
          <w:szCs w:val="22"/>
        </w:rPr>
        <w:t>C</w:t>
      </w:r>
      <w:r w:rsidR="005D0F3E">
        <w:rPr>
          <w:rFonts w:asciiTheme="majorHAnsi" w:hAnsiTheme="majorHAnsi"/>
          <w:sz w:val="22"/>
          <w:szCs w:val="22"/>
        </w:rPr>
        <w:t xml:space="preserve">hildren born to vaccinated women </w:t>
      </w:r>
      <w:r w:rsidR="008A0D44">
        <w:rPr>
          <w:rFonts w:asciiTheme="majorHAnsi" w:hAnsiTheme="majorHAnsi"/>
          <w:sz w:val="22"/>
          <w:szCs w:val="22"/>
        </w:rPr>
        <w:t xml:space="preserve">had a </w:t>
      </w:r>
      <w:r w:rsidR="00CC4348">
        <w:rPr>
          <w:rFonts w:asciiTheme="majorHAnsi" w:hAnsiTheme="majorHAnsi"/>
          <w:sz w:val="22"/>
          <w:szCs w:val="22"/>
        </w:rPr>
        <w:t>lower IgG</w:t>
      </w:r>
      <w:r w:rsidR="005D0F3E">
        <w:rPr>
          <w:rFonts w:asciiTheme="majorHAnsi" w:hAnsiTheme="majorHAnsi"/>
          <w:sz w:val="22"/>
          <w:szCs w:val="22"/>
        </w:rPr>
        <w:t xml:space="preserve"> </w:t>
      </w:r>
      <w:r w:rsidR="005A2F25">
        <w:rPr>
          <w:rFonts w:asciiTheme="majorHAnsi" w:hAnsiTheme="majorHAnsi"/>
          <w:sz w:val="22"/>
          <w:szCs w:val="22"/>
        </w:rPr>
        <w:t>geometric mean concentration (</w:t>
      </w:r>
      <w:r w:rsidR="005D0F3E">
        <w:rPr>
          <w:rFonts w:asciiTheme="majorHAnsi" w:hAnsiTheme="majorHAnsi"/>
          <w:sz w:val="22"/>
          <w:szCs w:val="22"/>
        </w:rPr>
        <w:t>GMC</w:t>
      </w:r>
      <w:r w:rsidR="005A2F25">
        <w:rPr>
          <w:rFonts w:asciiTheme="majorHAnsi" w:hAnsiTheme="majorHAnsi"/>
          <w:sz w:val="22"/>
          <w:szCs w:val="22"/>
        </w:rPr>
        <w:t>)</w:t>
      </w:r>
      <w:r w:rsidR="005D0F3E">
        <w:rPr>
          <w:rFonts w:asciiTheme="majorHAnsi" w:hAnsiTheme="majorHAnsi"/>
          <w:sz w:val="22"/>
          <w:szCs w:val="22"/>
        </w:rPr>
        <w:t xml:space="preserve"> against </w:t>
      </w:r>
      <w:r w:rsidR="005A2F25">
        <w:rPr>
          <w:rFonts w:asciiTheme="majorHAnsi" w:hAnsiTheme="majorHAnsi"/>
          <w:sz w:val="22"/>
          <w:szCs w:val="22"/>
        </w:rPr>
        <w:t>pertussis toxoid (</w:t>
      </w:r>
      <w:r w:rsidR="005D0F3E">
        <w:rPr>
          <w:rFonts w:asciiTheme="majorHAnsi" w:hAnsiTheme="majorHAnsi"/>
          <w:sz w:val="22"/>
          <w:szCs w:val="22"/>
        </w:rPr>
        <w:t>PT</w:t>
      </w:r>
      <w:r w:rsidR="005A2F25">
        <w:rPr>
          <w:rFonts w:asciiTheme="majorHAnsi" w:hAnsiTheme="majorHAnsi"/>
          <w:sz w:val="22"/>
          <w:szCs w:val="22"/>
        </w:rPr>
        <w:t>)</w:t>
      </w:r>
      <w:r w:rsidR="006B244D">
        <w:rPr>
          <w:rFonts w:asciiTheme="majorHAnsi" w:hAnsiTheme="majorHAnsi"/>
          <w:sz w:val="22"/>
          <w:szCs w:val="22"/>
        </w:rPr>
        <w:t xml:space="preserve"> </w:t>
      </w:r>
      <w:r w:rsidR="00AD3918">
        <w:rPr>
          <w:rFonts w:asciiTheme="majorHAnsi" w:hAnsiTheme="majorHAnsi"/>
          <w:sz w:val="22"/>
          <w:szCs w:val="22"/>
        </w:rPr>
        <w:t xml:space="preserve">at 5 months of age, </w:t>
      </w:r>
      <w:r w:rsidR="006B244D">
        <w:rPr>
          <w:rFonts w:asciiTheme="majorHAnsi" w:hAnsiTheme="majorHAnsi"/>
          <w:sz w:val="22"/>
          <w:szCs w:val="22"/>
        </w:rPr>
        <w:t xml:space="preserve">compared to </w:t>
      </w:r>
      <w:r w:rsidR="00AD3918">
        <w:rPr>
          <w:rFonts w:asciiTheme="majorHAnsi" w:hAnsiTheme="majorHAnsi"/>
          <w:sz w:val="22"/>
          <w:szCs w:val="22"/>
        </w:rPr>
        <w:t xml:space="preserve">infants </w:t>
      </w:r>
      <w:r w:rsidR="006B244D">
        <w:rPr>
          <w:rFonts w:asciiTheme="majorHAnsi" w:hAnsiTheme="majorHAnsi"/>
          <w:sz w:val="22"/>
          <w:szCs w:val="22"/>
        </w:rPr>
        <w:t>of unvaccinated women</w:t>
      </w:r>
      <w:r w:rsidR="006B244D">
        <w:rPr>
          <w:rFonts w:asciiTheme="majorHAnsi" w:hAnsiTheme="majorHAnsi"/>
          <w:sz w:val="22"/>
          <w:szCs w:val="22"/>
          <w:vertAlign w:val="superscript"/>
        </w:rPr>
        <w:t>1</w:t>
      </w:r>
      <w:r w:rsidR="00C069AD">
        <w:rPr>
          <w:rFonts w:asciiTheme="majorHAnsi" w:hAnsiTheme="majorHAnsi"/>
          <w:sz w:val="22"/>
          <w:szCs w:val="22"/>
          <w:vertAlign w:val="superscript"/>
        </w:rPr>
        <w:t>2</w:t>
      </w:r>
      <w:r w:rsidR="00DD5464">
        <w:rPr>
          <w:rFonts w:asciiTheme="majorHAnsi" w:hAnsiTheme="majorHAnsi"/>
          <w:sz w:val="22"/>
          <w:szCs w:val="22"/>
        </w:rPr>
        <w:t>,</w:t>
      </w:r>
      <w:r w:rsidR="00243B3D">
        <w:rPr>
          <w:rFonts w:asciiTheme="majorHAnsi" w:hAnsiTheme="majorHAnsi"/>
          <w:sz w:val="22"/>
          <w:szCs w:val="22"/>
        </w:rPr>
        <w:t xml:space="preserve"> </w:t>
      </w:r>
      <w:r w:rsidR="008A0D44">
        <w:rPr>
          <w:rFonts w:asciiTheme="majorHAnsi" w:hAnsiTheme="majorHAnsi"/>
          <w:sz w:val="22"/>
          <w:szCs w:val="22"/>
        </w:rPr>
        <w:t xml:space="preserve">although </w:t>
      </w:r>
      <w:r w:rsidR="00243B3D">
        <w:rPr>
          <w:rFonts w:asciiTheme="majorHAnsi" w:hAnsiTheme="majorHAnsi"/>
          <w:sz w:val="22"/>
          <w:szCs w:val="22"/>
        </w:rPr>
        <w:t>this</w:t>
      </w:r>
      <w:r w:rsidR="008A0D44">
        <w:rPr>
          <w:rFonts w:asciiTheme="majorHAnsi" w:hAnsiTheme="majorHAnsi"/>
          <w:sz w:val="22"/>
          <w:szCs w:val="22"/>
        </w:rPr>
        <w:t xml:space="preserve"> difference</w:t>
      </w:r>
      <w:r w:rsidR="00AD3918">
        <w:rPr>
          <w:rFonts w:asciiTheme="majorHAnsi" w:hAnsiTheme="majorHAnsi"/>
          <w:sz w:val="22"/>
          <w:szCs w:val="22"/>
        </w:rPr>
        <w:t xml:space="preserve"> </w:t>
      </w:r>
      <w:r w:rsidR="00DD5464">
        <w:rPr>
          <w:rFonts w:asciiTheme="majorHAnsi" w:hAnsiTheme="majorHAnsi"/>
          <w:sz w:val="22"/>
          <w:szCs w:val="22"/>
        </w:rPr>
        <w:t xml:space="preserve">was not </w:t>
      </w:r>
      <w:r w:rsidR="00AD3918">
        <w:rPr>
          <w:rFonts w:asciiTheme="majorHAnsi" w:hAnsiTheme="majorHAnsi"/>
          <w:sz w:val="22"/>
          <w:szCs w:val="22"/>
        </w:rPr>
        <w:t xml:space="preserve">observed </w:t>
      </w:r>
      <w:proofErr w:type="gramStart"/>
      <w:r w:rsidR="00AD3918">
        <w:rPr>
          <w:rFonts w:asciiTheme="majorHAnsi" w:hAnsiTheme="majorHAnsi"/>
          <w:sz w:val="22"/>
          <w:szCs w:val="22"/>
        </w:rPr>
        <w:t xml:space="preserve">at </w:t>
      </w:r>
      <w:r w:rsidR="005D0F3E">
        <w:rPr>
          <w:rFonts w:asciiTheme="majorHAnsi" w:hAnsiTheme="majorHAnsi"/>
          <w:sz w:val="22"/>
          <w:szCs w:val="22"/>
        </w:rPr>
        <w:t xml:space="preserve"> 13</w:t>
      </w:r>
      <w:proofErr w:type="gramEnd"/>
      <w:r w:rsidR="005D0F3E">
        <w:rPr>
          <w:rFonts w:asciiTheme="majorHAnsi" w:hAnsiTheme="majorHAnsi"/>
          <w:sz w:val="22"/>
          <w:szCs w:val="22"/>
        </w:rPr>
        <w:t xml:space="preserve"> months of age</w:t>
      </w:r>
      <w:bookmarkStart w:id="1" w:name="_Hlk89328330"/>
      <w:r w:rsidR="00243B3D" w:rsidRPr="001C7509">
        <w:rPr>
          <w:rFonts w:asciiTheme="majorHAnsi" w:hAnsiTheme="majorHAnsi"/>
          <w:sz w:val="22"/>
          <w:szCs w:val="22"/>
          <w:vertAlign w:val="superscript"/>
        </w:rPr>
        <w:t>1</w:t>
      </w:r>
      <w:r w:rsidR="00273D69" w:rsidRPr="001C7509">
        <w:rPr>
          <w:rFonts w:asciiTheme="majorHAnsi" w:hAnsiTheme="majorHAnsi"/>
          <w:sz w:val="22"/>
          <w:szCs w:val="22"/>
          <w:vertAlign w:val="superscript"/>
        </w:rPr>
        <w:t>2</w:t>
      </w:r>
      <w:bookmarkEnd w:id="1"/>
      <w:r w:rsidR="005D0F3E">
        <w:rPr>
          <w:rFonts w:asciiTheme="majorHAnsi" w:hAnsiTheme="majorHAnsi"/>
          <w:sz w:val="22"/>
          <w:szCs w:val="22"/>
        </w:rPr>
        <w:t>.</w:t>
      </w:r>
    </w:p>
    <w:p w14:paraId="12A1EEF9" w14:textId="77777777" w:rsidR="00DD5464" w:rsidRPr="006537B8" w:rsidRDefault="00DD5464" w:rsidP="00901444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5CAF6049" w14:textId="1C1877FD" w:rsidR="0097532B" w:rsidRDefault="00301A7D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 w:rsidRPr="00301A7D">
        <w:rPr>
          <w:rFonts w:asciiTheme="majorHAnsi" w:hAnsiTheme="majorHAnsi"/>
          <w:sz w:val="22"/>
          <w:szCs w:val="22"/>
        </w:rPr>
        <w:t>When compared to infants born to unvaccinated women, blunting was observed for anti-PT IgG responses, although this effect was not sustained at the end of the first year of life.</w:t>
      </w:r>
    </w:p>
    <w:p w14:paraId="51B01D7F" w14:textId="6A71DF9A" w:rsidR="00FA2317" w:rsidRDefault="0097532B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longer-term effects of blunting</w:t>
      </w:r>
      <w:r w:rsidRPr="0097532B">
        <w:rPr>
          <w:rFonts w:asciiTheme="majorHAnsi" w:hAnsiTheme="majorHAnsi"/>
          <w:sz w:val="22"/>
          <w:szCs w:val="22"/>
        </w:rPr>
        <w:t xml:space="preserve"> have not been </w:t>
      </w:r>
      <w:r w:rsidR="006F6182">
        <w:rPr>
          <w:rFonts w:asciiTheme="majorHAnsi" w:hAnsiTheme="majorHAnsi"/>
          <w:sz w:val="22"/>
          <w:szCs w:val="22"/>
        </w:rPr>
        <w:t>assessed</w:t>
      </w:r>
      <w:r w:rsidR="006F6182" w:rsidRPr="0097532B">
        <w:rPr>
          <w:rFonts w:asciiTheme="majorHAnsi" w:hAnsiTheme="majorHAnsi"/>
          <w:sz w:val="22"/>
          <w:szCs w:val="22"/>
        </w:rPr>
        <w:t xml:space="preserve"> </w:t>
      </w:r>
      <w:r w:rsidRPr="0097532B">
        <w:rPr>
          <w:rFonts w:asciiTheme="majorHAnsi" w:hAnsiTheme="majorHAnsi"/>
          <w:sz w:val="22"/>
          <w:szCs w:val="22"/>
        </w:rPr>
        <w:t>in the UK</w:t>
      </w:r>
      <w:r w:rsidR="00AD3918">
        <w:rPr>
          <w:rFonts w:asciiTheme="majorHAnsi" w:hAnsiTheme="majorHAnsi"/>
          <w:sz w:val="22"/>
          <w:szCs w:val="22"/>
        </w:rPr>
        <w:t>,</w:t>
      </w:r>
      <w:r w:rsidRPr="0097532B">
        <w:rPr>
          <w:rFonts w:asciiTheme="majorHAnsi" w:hAnsiTheme="majorHAnsi"/>
          <w:sz w:val="22"/>
          <w:szCs w:val="22"/>
        </w:rPr>
        <w:t xml:space="preserve"> where the first </w:t>
      </w:r>
      <w:r>
        <w:rPr>
          <w:rFonts w:asciiTheme="majorHAnsi" w:hAnsiTheme="majorHAnsi"/>
          <w:sz w:val="22"/>
          <w:szCs w:val="22"/>
        </w:rPr>
        <w:t xml:space="preserve">pertussis-containing </w:t>
      </w:r>
      <w:r w:rsidRPr="0097532B">
        <w:rPr>
          <w:rFonts w:asciiTheme="majorHAnsi" w:hAnsiTheme="majorHAnsi"/>
          <w:sz w:val="22"/>
          <w:szCs w:val="22"/>
        </w:rPr>
        <w:t xml:space="preserve">booster vaccination </w:t>
      </w:r>
      <w:r w:rsidR="002E2972">
        <w:rPr>
          <w:rFonts w:asciiTheme="majorHAnsi" w:hAnsiTheme="majorHAnsi"/>
          <w:sz w:val="22"/>
          <w:szCs w:val="22"/>
        </w:rPr>
        <w:t xml:space="preserve">after completing the primary immunisation (at sixteen weeks old) </w:t>
      </w:r>
      <w:r w:rsidRPr="0097532B">
        <w:rPr>
          <w:rFonts w:asciiTheme="majorHAnsi" w:hAnsiTheme="majorHAnsi"/>
          <w:sz w:val="22"/>
          <w:szCs w:val="22"/>
        </w:rPr>
        <w:t xml:space="preserve">is given </w:t>
      </w:r>
      <w:r>
        <w:rPr>
          <w:rFonts w:asciiTheme="majorHAnsi" w:hAnsiTheme="majorHAnsi"/>
          <w:sz w:val="22"/>
          <w:szCs w:val="22"/>
        </w:rPr>
        <w:t xml:space="preserve">at </w:t>
      </w:r>
      <w:r w:rsidRPr="0097532B">
        <w:rPr>
          <w:rFonts w:asciiTheme="majorHAnsi" w:hAnsiTheme="majorHAnsi"/>
          <w:sz w:val="22"/>
          <w:szCs w:val="22"/>
        </w:rPr>
        <w:t>pre-school</w:t>
      </w:r>
      <w:r>
        <w:rPr>
          <w:rFonts w:asciiTheme="majorHAnsi" w:hAnsiTheme="majorHAnsi"/>
          <w:sz w:val="22"/>
          <w:szCs w:val="22"/>
        </w:rPr>
        <w:t xml:space="preserve"> age</w:t>
      </w:r>
      <w:r w:rsidR="001A75FD">
        <w:rPr>
          <w:rFonts w:asciiTheme="majorHAnsi" w:hAnsiTheme="majorHAnsi"/>
          <w:sz w:val="22"/>
          <w:szCs w:val="22"/>
        </w:rPr>
        <w:t xml:space="preserve"> (</w:t>
      </w:r>
      <w:r w:rsidR="00E645B2">
        <w:rPr>
          <w:rFonts w:asciiTheme="majorHAnsi" w:hAnsiTheme="majorHAnsi"/>
          <w:sz w:val="22"/>
          <w:szCs w:val="22"/>
        </w:rPr>
        <w:t xml:space="preserve">aged at least </w:t>
      </w:r>
      <w:r w:rsidR="001A75FD">
        <w:rPr>
          <w:rFonts w:asciiTheme="majorHAnsi" w:hAnsiTheme="majorHAnsi"/>
          <w:sz w:val="22"/>
          <w:szCs w:val="22"/>
        </w:rPr>
        <w:t>3 years and 4 months)</w:t>
      </w:r>
      <w:r w:rsidRPr="0097532B">
        <w:rPr>
          <w:rFonts w:asciiTheme="majorHAnsi" w:hAnsiTheme="majorHAnsi"/>
          <w:sz w:val="22"/>
          <w:szCs w:val="22"/>
        </w:rPr>
        <w:t xml:space="preserve">. </w:t>
      </w:r>
    </w:p>
    <w:p w14:paraId="7E63BC9F" w14:textId="77777777" w:rsidR="00FA2317" w:rsidRDefault="00FA2317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6F8D7689" w14:textId="75B33D3C" w:rsidR="00DB0621" w:rsidRDefault="00AC0A50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 w:rsidRPr="00E239FE">
        <w:rPr>
          <w:rFonts w:asciiTheme="majorHAnsi" w:hAnsiTheme="majorHAnsi"/>
          <w:sz w:val="22"/>
          <w:szCs w:val="22"/>
        </w:rPr>
        <w:t xml:space="preserve">The primary objective of this </w:t>
      </w:r>
      <w:r w:rsidR="001758B0">
        <w:rPr>
          <w:rFonts w:asciiTheme="majorHAnsi" w:hAnsiTheme="majorHAnsi"/>
          <w:sz w:val="22"/>
          <w:szCs w:val="22"/>
        </w:rPr>
        <w:t>study</w:t>
      </w:r>
      <w:r w:rsidR="00BC312D">
        <w:rPr>
          <w:rFonts w:asciiTheme="majorHAnsi" w:hAnsiTheme="majorHAnsi"/>
          <w:sz w:val="22"/>
          <w:szCs w:val="22"/>
        </w:rPr>
        <w:t xml:space="preserve">, known as </w:t>
      </w:r>
      <w:r w:rsidR="00BC312D" w:rsidRPr="00BC312D">
        <w:rPr>
          <w:rFonts w:asciiTheme="majorHAnsi" w:hAnsiTheme="majorHAnsi"/>
          <w:i/>
          <w:iCs/>
          <w:sz w:val="22"/>
          <w:szCs w:val="22"/>
        </w:rPr>
        <w:t>immunising Mums Against Pertussis 3</w:t>
      </w:r>
      <w:r w:rsidR="001C7509">
        <w:rPr>
          <w:rFonts w:asciiTheme="majorHAnsi" w:hAnsiTheme="majorHAnsi"/>
          <w:i/>
          <w:iCs/>
          <w:sz w:val="22"/>
          <w:szCs w:val="22"/>
        </w:rPr>
        <w:t xml:space="preserve"> </w:t>
      </w:r>
      <w:r w:rsidR="001C7509" w:rsidRPr="007B21CB">
        <w:rPr>
          <w:rFonts w:asciiTheme="majorHAnsi" w:hAnsiTheme="majorHAnsi"/>
          <w:iCs/>
          <w:sz w:val="22"/>
          <w:szCs w:val="22"/>
        </w:rPr>
        <w:t>(iMAP3</w:t>
      </w:r>
      <w:r w:rsidR="00BC312D" w:rsidRPr="001C7509">
        <w:rPr>
          <w:rFonts w:asciiTheme="majorHAnsi" w:hAnsiTheme="majorHAnsi"/>
          <w:sz w:val="22"/>
          <w:szCs w:val="22"/>
        </w:rPr>
        <w:t>)</w:t>
      </w:r>
      <w:r w:rsidR="00D82D4B">
        <w:rPr>
          <w:rFonts w:asciiTheme="majorHAnsi" w:hAnsiTheme="majorHAnsi"/>
          <w:sz w:val="22"/>
          <w:szCs w:val="22"/>
        </w:rPr>
        <w:t>,</w:t>
      </w:r>
      <w:r w:rsidRPr="00E239FE">
        <w:rPr>
          <w:rFonts w:asciiTheme="majorHAnsi" w:hAnsiTheme="majorHAnsi"/>
          <w:sz w:val="22"/>
          <w:szCs w:val="22"/>
        </w:rPr>
        <w:t xml:space="preserve"> was to </w:t>
      </w:r>
      <w:r w:rsidR="00DB0621">
        <w:rPr>
          <w:rFonts w:asciiTheme="majorHAnsi" w:hAnsiTheme="majorHAnsi"/>
          <w:sz w:val="22"/>
          <w:szCs w:val="22"/>
        </w:rPr>
        <w:t xml:space="preserve">assess </w:t>
      </w:r>
      <w:r w:rsidR="009A1F9B">
        <w:rPr>
          <w:rFonts w:asciiTheme="majorHAnsi" w:hAnsiTheme="majorHAnsi"/>
          <w:sz w:val="22"/>
          <w:szCs w:val="22"/>
        </w:rPr>
        <w:t xml:space="preserve">the </w:t>
      </w:r>
      <w:r w:rsidR="00DB0621">
        <w:rPr>
          <w:rFonts w:asciiTheme="majorHAnsi" w:hAnsiTheme="majorHAnsi"/>
          <w:sz w:val="22"/>
          <w:szCs w:val="22"/>
        </w:rPr>
        <w:t xml:space="preserve">antibody </w:t>
      </w:r>
      <w:r w:rsidR="009A1F9B">
        <w:rPr>
          <w:rFonts w:asciiTheme="majorHAnsi" w:hAnsiTheme="majorHAnsi"/>
          <w:sz w:val="22"/>
          <w:szCs w:val="22"/>
        </w:rPr>
        <w:t>persistence</w:t>
      </w:r>
      <w:r w:rsidR="00DB0621">
        <w:rPr>
          <w:rFonts w:asciiTheme="majorHAnsi" w:hAnsiTheme="majorHAnsi"/>
          <w:sz w:val="22"/>
          <w:szCs w:val="22"/>
        </w:rPr>
        <w:t xml:space="preserve"> </w:t>
      </w:r>
      <w:r w:rsidR="009A1F9B">
        <w:rPr>
          <w:rFonts w:asciiTheme="majorHAnsi" w:hAnsiTheme="majorHAnsi"/>
          <w:sz w:val="22"/>
          <w:szCs w:val="22"/>
        </w:rPr>
        <w:t xml:space="preserve">post-primary immunisation </w:t>
      </w:r>
      <w:r w:rsidR="007E0ABF">
        <w:rPr>
          <w:rFonts w:asciiTheme="majorHAnsi" w:hAnsiTheme="majorHAnsi"/>
          <w:sz w:val="22"/>
          <w:szCs w:val="22"/>
        </w:rPr>
        <w:t>against</w:t>
      </w:r>
      <w:r w:rsidR="002B6479" w:rsidRPr="002B6479">
        <w:rPr>
          <w:rFonts w:asciiTheme="majorHAnsi" w:hAnsiTheme="majorHAnsi"/>
          <w:sz w:val="22"/>
          <w:szCs w:val="22"/>
        </w:rPr>
        <w:t xml:space="preserve"> PT at preschool age</w:t>
      </w:r>
      <w:r w:rsidR="008A0D44">
        <w:rPr>
          <w:rFonts w:asciiTheme="majorHAnsi" w:hAnsiTheme="majorHAnsi"/>
          <w:sz w:val="22"/>
          <w:szCs w:val="22"/>
        </w:rPr>
        <w:t>,</w:t>
      </w:r>
      <w:r w:rsidR="002B6479" w:rsidRPr="002B6479">
        <w:rPr>
          <w:rFonts w:asciiTheme="majorHAnsi" w:hAnsiTheme="majorHAnsi"/>
          <w:sz w:val="22"/>
          <w:szCs w:val="22"/>
        </w:rPr>
        <w:t xml:space="preserve"> before receipt of </w:t>
      </w:r>
      <w:r w:rsidR="009A1F9B">
        <w:rPr>
          <w:rFonts w:asciiTheme="majorHAnsi" w:hAnsiTheme="majorHAnsi"/>
          <w:sz w:val="22"/>
          <w:szCs w:val="22"/>
        </w:rPr>
        <w:t xml:space="preserve">the </w:t>
      </w:r>
      <w:r w:rsidR="002B6479" w:rsidRPr="002B6479">
        <w:rPr>
          <w:rFonts w:asciiTheme="majorHAnsi" w:hAnsiTheme="majorHAnsi"/>
          <w:sz w:val="22"/>
          <w:szCs w:val="22"/>
        </w:rPr>
        <w:t>preschool booster</w:t>
      </w:r>
      <w:r w:rsidR="009A1F9B">
        <w:rPr>
          <w:rFonts w:asciiTheme="majorHAnsi" w:hAnsiTheme="majorHAnsi"/>
          <w:sz w:val="22"/>
          <w:szCs w:val="22"/>
        </w:rPr>
        <w:t xml:space="preserve"> vaccination</w:t>
      </w:r>
      <w:r w:rsidR="002B6479" w:rsidRPr="002B6479">
        <w:rPr>
          <w:rFonts w:asciiTheme="majorHAnsi" w:hAnsiTheme="majorHAnsi"/>
          <w:sz w:val="22"/>
          <w:szCs w:val="22"/>
        </w:rPr>
        <w:t xml:space="preserve">, in children born to </w:t>
      </w:r>
      <w:r w:rsidR="009A1F9B">
        <w:rPr>
          <w:rFonts w:asciiTheme="majorHAnsi" w:hAnsiTheme="majorHAnsi"/>
          <w:sz w:val="22"/>
          <w:szCs w:val="22"/>
        </w:rPr>
        <w:t>women who were randomis</w:t>
      </w:r>
      <w:r w:rsidR="009A1F9B" w:rsidRPr="00E239FE">
        <w:rPr>
          <w:rFonts w:asciiTheme="majorHAnsi" w:hAnsiTheme="majorHAnsi"/>
          <w:sz w:val="22"/>
          <w:szCs w:val="22"/>
        </w:rPr>
        <w:t xml:space="preserve">ed in pregnancy to receive </w:t>
      </w:r>
      <w:bookmarkStart w:id="2" w:name="_Hlk112688038"/>
      <w:r w:rsidR="009A1F9B" w:rsidRPr="00E239FE">
        <w:rPr>
          <w:rFonts w:asciiTheme="majorHAnsi" w:hAnsiTheme="majorHAnsi"/>
          <w:sz w:val="22"/>
          <w:szCs w:val="22"/>
        </w:rPr>
        <w:t>one of two pertussis-containing vaccines</w:t>
      </w:r>
      <w:bookmarkEnd w:id="2"/>
      <w:r w:rsidR="009A1F9B" w:rsidRPr="00E239FE">
        <w:rPr>
          <w:rFonts w:asciiTheme="majorHAnsi" w:hAnsiTheme="majorHAnsi"/>
          <w:sz w:val="22"/>
          <w:szCs w:val="22"/>
        </w:rPr>
        <w:t xml:space="preserve"> </w:t>
      </w:r>
      <w:r w:rsidR="009A1F9B">
        <w:rPr>
          <w:rFonts w:asciiTheme="majorHAnsi" w:hAnsiTheme="majorHAnsi"/>
          <w:sz w:val="22"/>
          <w:szCs w:val="22"/>
        </w:rPr>
        <w:t>(</w:t>
      </w:r>
      <w:r w:rsidR="007E0ABF">
        <w:rPr>
          <w:rFonts w:asciiTheme="majorHAnsi" w:hAnsiTheme="majorHAnsi"/>
          <w:sz w:val="22"/>
          <w:szCs w:val="22"/>
        </w:rPr>
        <w:t>BOOSTRIX</w:t>
      </w:r>
      <w:r w:rsidR="00B87DF5">
        <w:rPr>
          <w:rFonts w:asciiTheme="majorHAnsi" w:hAnsiTheme="majorHAnsi"/>
          <w:sz w:val="22"/>
          <w:szCs w:val="22"/>
        </w:rPr>
        <w:t>-IPV</w:t>
      </w:r>
      <w:r w:rsidR="00EA079B">
        <w:rPr>
          <w:rFonts w:asciiTheme="majorHAnsi" w:hAnsiTheme="majorHAnsi"/>
          <w:sz w:val="22"/>
          <w:szCs w:val="22"/>
        </w:rPr>
        <w:t>®</w:t>
      </w:r>
      <w:r w:rsidR="009A1F9B" w:rsidRPr="00E239FE">
        <w:rPr>
          <w:rFonts w:asciiTheme="majorHAnsi" w:hAnsiTheme="majorHAnsi"/>
          <w:sz w:val="22"/>
          <w:szCs w:val="22"/>
        </w:rPr>
        <w:t xml:space="preserve"> </w:t>
      </w:r>
      <w:r w:rsidR="009A1F9B">
        <w:rPr>
          <w:rFonts w:asciiTheme="majorHAnsi" w:hAnsiTheme="majorHAnsi"/>
          <w:sz w:val="22"/>
          <w:szCs w:val="22"/>
        </w:rPr>
        <w:t xml:space="preserve">or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EA079B">
        <w:rPr>
          <w:rFonts w:asciiTheme="majorHAnsi" w:hAnsiTheme="majorHAnsi"/>
          <w:sz w:val="22"/>
          <w:szCs w:val="22"/>
        </w:rPr>
        <w:t>®</w:t>
      </w:r>
      <w:r w:rsidR="009A1F9B">
        <w:rPr>
          <w:rFonts w:asciiTheme="majorHAnsi" w:hAnsiTheme="majorHAnsi"/>
          <w:sz w:val="22"/>
          <w:szCs w:val="22"/>
        </w:rPr>
        <w:t xml:space="preserve">), </w:t>
      </w:r>
      <w:r w:rsidR="009A1F9B" w:rsidRPr="00E239FE">
        <w:rPr>
          <w:rFonts w:asciiTheme="majorHAnsi" w:hAnsiTheme="majorHAnsi"/>
          <w:sz w:val="22"/>
          <w:szCs w:val="22"/>
        </w:rPr>
        <w:t xml:space="preserve">and to compare these responses to those </w:t>
      </w:r>
      <w:r w:rsidR="006F6182">
        <w:rPr>
          <w:rFonts w:asciiTheme="majorHAnsi" w:hAnsiTheme="majorHAnsi"/>
          <w:sz w:val="22"/>
          <w:szCs w:val="22"/>
        </w:rPr>
        <w:t>of</w:t>
      </w:r>
      <w:r w:rsidR="006F6182" w:rsidRPr="00E239FE">
        <w:rPr>
          <w:rFonts w:asciiTheme="majorHAnsi" w:hAnsiTheme="majorHAnsi"/>
          <w:sz w:val="22"/>
          <w:szCs w:val="22"/>
        </w:rPr>
        <w:t xml:space="preserve"> </w:t>
      </w:r>
      <w:r w:rsidR="009A1F9B">
        <w:rPr>
          <w:rFonts w:asciiTheme="majorHAnsi" w:hAnsiTheme="majorHAnsi"/>
          <w:sz w:val="22"/>
          <w:szCs w:val="22"/>
        </w:rPr>
        <w:t>children</w:t>
      </w:r>
      <w:r w:rsidR="009A1F9B" w:rsidRPr="00E239FE">
        <w:rPr>
          <w:rFonts w:asciiTheme="majorHAnsi" w:hAnsiTheme="majorHAnsi"/>
          <w:sz w:val="22"/>
          <w:szCs w:val="22"/>
        </w:rPr>
        <w:t xml:space="preserve"> born to unvaccinated women.</w:t>
      </w:r>
      <w:r w:rsidR="009A1F9B">
        <w:rPr>
          <w:rFonts w:asciiTheme="majorHAnsi" w:hAnsiTheme="majorHAnsi"/>
          <w:sz w:val="22"/>
          <w:szCs w:val="22"/>
        </w:rPr>
        <w:t xml:space="preserve"> Antibody concentrations </w:t>
      </w:r>
      <w:r w:rsidR="0097532B">
        <w:rPr>
          <w:rFonts w:asciiTheme="majorHAnsi" w:hAnsiTheme="majorHAnsi"/>
          <w:sz w:val="22"/>
          <w:szCs w:val="22"/>
        </w:rPr>
        <w:t xml:space="preserve">against </w:t>
      </w:r>
      <w:r w:rsidR="001C7509">
        <w:rPr>
          <w:rFonts w:asciiTheme="majorHAnsi" w:hAnsiTheme="majorHAnsi"/>
          <w:sz w:val="22"/>
          <w:szCs w:val="22"/>
        </w:rPr>
        <w:t xml:space="preserve">diphtheria, tetanus and </w:t>
      </w:r>
      <w:r w:rsidR="0097532B">
        <w:rPr>
          <w:rFonts w:asciiTheme="majorHAnsi" w:hAnsiTheme="majorHAnsi"/>
          <w:sz w:val="22"/>
          <w:szCs w:val="22"/>
        </w:rPr>
        <w:t xml:space="preserve">other </w:t>
      </w:r>
      <w:r w:rsidR="001C7509">
        <w:rPr>
          <w:rFonts w:asciiTheme="majorHAnsi" w:hAnsiTheme="majorHAnsi"/>
          <w:sz w:val="22"/>
          <w:szCs w:val="22"/>
        </w:rPr>
        <w:t xml:space="preserve">pertussis-specific </w:t>
      </w:r>
      <w:r w:rsidR="0097532B">
        <w:rPr>
          <w:rFonts w:asciiTheme="majorHAnsi" w:hAnsiTheme="majorHAnsi"/>
          <w:sz w:val="22"/>
          <w:szCs w:val="22"/>
        </w:rPr>
        <w:t xml:space="preserve">antigens </w:t>
      </w:r>
      <w:r w:rsidR="009A1F9B">
        <w:rPr>
          <w:rFonts w:asciiTheme="majorHAnsi" w:hAnsiTheme="majorHAnsi"/>
          <w:sz w:val="22"/>
          <w:szCs w:val="22"/>
        </w:rPr>
        <w:t>before and after receipt of the preschool booster vaccination</w:t>
      </w:r>
      <w:r w:rsidR="0097532B">
        <w:rPr>
          <w:rFonts w:asciiTheme="majorHAnsi" w:hAnsiTheme="majorHAnsi"/>
          <w:sz w:val="22"/>
          <w:szCs w:val="22"/>
        </w:rPr>
        <w:t xml:space="preserve"> were also assessed and compared.</w:t>
      </w:r>
    </w:p>
    <w:p w14:paraId="27CAF5F6" w14:textId="3ED2B26F" w:rsidR="007261BE" w:rsidRDefault="007261BE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34141947" w14:textId="77777777" w:rsidR="00837CAA" w:rsidRDefault="00837CAA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7B0CDF7E" w14:textId="03DD2DD5" w:rsidR="007261BE" w:rsidRPr="003C0435" w:rsidRDefault="007261BE" w:rsidP="001557AE">
      <w:pPr>
        <w:spacing w:line="480" w:lineRule="auto"/>
        <w:rPr>
          <w:rFonts w:asciiTheme="majorHAnsi" w:hAnsiTheme="majorHAnsi"/>
          <w:b/>
        </w:rPr>
      </w:pPr>
      <w:r w:rsidRPr="003C0435">
        <w:rPr>
          <w:rFonts w:asciiTheme="majorHAnsi" w:hAnsiTheme="majorHAnsi"/>
          <w:b/>
        </w:rPr>
        <w:t>Methods</w:t>
      </w:r>
    </w:p>
    <w:p w14:paraId="62363892" w14:textId="77777777" w:rsidR="007261BE" w:rsidRDefault="007261BE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021CE709" w14:textId="77777777" w:rsidR="0057198B" w:rsidRPr="003C0435" w:rsidRDefault="0057198B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 w:rsidRPr="003C0435">
        <w:rPr>
          <w:rFonts w:asciiTheme="majorHAnsi" w:hAnsiTheme="majorHAnsi"/>
          <w:b/>
          <w:sz w:val="22"/>
          <w:szCs w:val="22"/>
        </w:rPr>
        <w:t>Study design</w:t>
      </w:r>
    </w:p>
    <w:p w14:paraId="33A3CB7A" w14:textId="2AD7E3AD" w:rsidR="00C02BFF" w:rsidRPr="001F0A0D" w:rsidRDefault="0057198B" w:rsidP="00822634">
      <w:pPr>
        <w:spacing w:line="480" w:lineRule="auto"/>
        <w:rPr>
          <w:rFonts w:asciiTheme="majorHAnsi" w:hAnsiTheme="majorHAnsi"/>
          <w:sz w:val="22"/>
          <w:szCs w:val="22"/>
        </w:rPr>
      </w:pPr>
      <w:r w:rsidRPr="0057198B">
        <w:rPr>
          <w:rFonts w:asciiTheme="majorHAnsi" w:hAnsiTheme="majorHAnsi"/>
          <w:sz w:val="22"/>
          <w:szCs w:val="22"/>
        </w:rPr>
        <w:t xml:space="preserve">In this </w:t>
      </w:r>
      <w:r w:rsidR="00B225C7">
        <w:rPr>
          <w:rFonts w:asciiTheme="majorHAnsi" w:hAnsiTheme="majorHAnsi"/>
          <w:sz w:val="22"/>
          <w:szCs w:val="22"/>
        </w:rPr>
        <w:t xml:space="preserve">observational, multi-centre, open label </w:t>
      </w:r>
      <w:r w:rsidRPr="0057198B">
        <w:rPr>
          <w:rFonts w:asciiTheme="majorHAnsi" w:hAnsiTheme="majorHAnsi"/>
          <w:sz w:val="22"/>
          <w:szCs w:val="22"/>
        </w:rPr>
        <w:t>phase IV</w:t>
      </w:r>
      <w:r w:rsidR="00B225C7">
        <w:rPr>
          <w:rFonts w:asciiTheme="majorHAnsi" w:hAnsiTheme="majorHAnsi"/>
          <w:sz w:val="22"/>
          <w:szCs w:val="22"/>
        </w:rPr>
        <w:t xml:space="preserve"> extension study</w:t>
      </w:r>
      <w:r w:rsidRPr="0057198B">
        <w:rPr>
          <w:rFonts w:asciiTheme="majorHAnsi" w:hAnsiTheme="majorHAnsi"/>
          <w:sz w:val="22"/>
          <w:szCs w:val="22"/>
        </w:rPr>
        <w:t xml:space="preserve">, </w:t>
      </w:r>
      <w:r w:rsidR="00B225C7">
        <w:rPr>
          <w:rFonts w:asciiTheme="majorHAnsi" w:hAnsiTheme="majorHAnsi"/>
          <w:sz w:val="22"/>
          <w:szCs w:val="22"/>
        </w:rPr>
        <w:t xml:space="preserve">children </w:t>
      </w:r>
      <w:r w:rsidR="001C7509">
        <w:rPr>
          <w:rFonts w:asciiTheme="majorHAnsi" w:hAnsiTheme="majorHAnsi"/>
          <w:sz w:val="22"/>
          <w:szCs w:val="22"/>
        </w:rPr>
        <w:t xml:space="preserve">born to vaccinated and unvaccinated women </w:t>
      </w:r>
      <w:r w:rsidR="00C65975">
        <w:rPr>
          <w:rFonts w:asciiTheme="majorHAnsi" w:hAnsiTheme="majorHAnsi"/>
          <w:sz w:val="22"/>
          <w:szCs w:val="22"/>
        </w:rPr>
        <w:t xml:space="preserve">who had </w:t>
      </w:r>
      <w:r w:rsidR="00AD3918">
        <w:rPr>
          <w:rFonts w:asciiTheme="majorHAnsi" w:hAnsiTheme="majorHAnsi"/>
          <w:sz w:val="22"/>
          <w:szCs w:val="22"/>
        </w:rPr>
        <w:t xml:space="preserve">taken part </w:t>
      </w:r>
      <w:r w:rsidR="00FA2317">
        <w:rPr>
          <w:rFonts w:asciiTheme="majorHAnsi" w:hAnsiTheme="majorHAnsi"/>
          <w:sz w:val="22"/>
          <w:szCs w:val="22"/>
        </w:rPr>
        <w:t xml:space="preserve">in the iMAP2 study </w:t>
      </w:r>
      <w:r w:rsidR="00B225C7">
        <w:rPr>
          <w:rFonts w:asciiTheme="majorHAnsi" w:hAnsiTheme="majorHAnsi"/>
          <w:sz w:val="22"/>
          <w:szCs w:val="22"/>
        </w:rPr>
        <w:t xml:space="preserve">were </w:t>
      </w:r>
      <w:r w:rsidR="008A0D44">
        <w:rPr>
          <w:rFonts w:asciiTheme="majorHAnsi" w:hAnsiTheme="majorHAnsi"/>
          <w:sz w:val="22"/>
          <w:szCs w:val="22"/>
        </w:rPr>
        <w:t>invited to participate</w:t>
      </w:r>
      <w:r w:rsidR="00B225C7">
        <w:rPr>
          <w:rFonts w:asciiTheme="majorHAnsi" w:hAnsiTheme="majorHAnsi"/>
          <w:sz w:val="22"/>
          <w:szCs w:val="22"/>
        </w:rPr>
        <w:t xml:space="preserve">. </w:t>
      </w:r>
      <w:r w:rsidR="008A0D44">
        <w:rPr>
          <w:rFonts w:asciiTheme="majorHAnsi" w:hAnsiTheme="majorHAnsi"/>
          <w:sz w:val="22"/>
          <w:szCs w:val="22"/>
        </w:rPr>
        <w:t>A</w:t>
      </w:r>
      <w:r w:rsidR="00FA2317">
        <w:rPr>
          <w:rFonts w:asciiTheme="majorHAnsi" w:hAnsiTheme="majorHAnsi"/>
          <w:sz w:val="22"/>
          <w:szCs w:val="22"/>
        </w:rPr>
        <w:t>nother</w:t>
      </w:r>
      <w:r w:rsidR="00B225C7">
        <w:rPr>
          <w:rFonts w:asciiTheme="majorHAnsi" w:hAnsiTheme="majorHAnsi"/>
          <w:sz w:val="22"/>
          <w:szCs w:val="22"/>
        </w:rPr>
        <w:t xml:space="preserve"> group of children</w:t>
      </w:r>
      <w:r w:rsidR="00134225">
        <w:rPr>
          <w:rFonts w:asciiTheme="majorHAnsi" w:hAnsiTheme="majorHAnsi"/>
          <w:sz w:val="22"/>
          <w:szCs w:val="22"/>
        </w:rPr>
        <w:t xml:space="preserve"> </w:t>
      </w:r>
      <w:r w:rsidR="00FA2317">
        <w:rPr>
          <w:rFonts w:asciiTheme="majorHAnsi" w:hAnsiTheme="majorHAnsi"/>
          <w:sz w:val="22"/>
          <w:szCs w:val="22"/>
        </w:rPr>
        <w:t xml:space="preserve">who were </w:t>
      </w:r>
      <w:r w:rsidR="00134225">
        <w:rPr>
          <w:rFonts w:asciiTheme="majorHAnsi" w:hAnsiTheme="majorHAnsi"/>
          <w:sz w:val="22"/>
          <w:szCs w:val="22"/>
        </w:rPr>
        <w:t xml:space="preserve">in </w:t>
      </w:r>
      <w:r w:rsidR="00FA2317">
        <w:rPr>
          <w:rFonts w:asciiTheme="majorHAnsi" w:hAnsiTheme="majorHAnsi"/>
          <w:sz w:val="22"/>
          <w:szCs w:val="22"/>
        </w:rPr>
        <w:t xml:space="preserve">a </w:t>
      </w:r>
      <w:r w:rsidR="00134225">
        <w:rPr>
          <w:rFonts w:asciiTheme="majorHAnsi" w:hAnsiTheme="majorHAnsi"/>
          <w:sz w:val="22"/>
          <w:szCs w:val="22"/>
        </w:rPr>
        <w:t>similar age group</w:t>
      </w:r>
      <w:r w:rsidR="00FA2317">
        <w:rPr>
          <w:rFonts w:asciiTheme="majorHAnsi" w:hAnsiTheme="majorHAnsi"/>
          <w:sz w:val="22"/>
          <w:szCs w:val="22"/>
        </w:rPr>
        <w:t xml:space="preserve"> and whose mothers had </w:t>
      </w:r>
      <w:r w:rsidR="00B225C7">
        <w:rPr>
          <w:rFonts w:asciiTheme="majorHAnsi" w:hAnsiTheme="majorHAnsi"/>
          <w:sz w:val="22"/>
          <w:szCs w:val="22"/>
        </w:rPr>
        <w:t>not receive</w:t>
      </w:r>
      <w:r w:rsidR="00FA2317">
        <w:rPr>
          <w:rFonts w:asciiTheme="majorHAnsi" w:hAnsiTheme="majorHAnsi"/>
          <w:sz w:val="22"/>
          <w:szCs w:val="22"/>
        </w:rPr>
        <w:t>d</w:t>
      </w:r>
      <w:r w:rsidR="00B225C7">
        <w:rPr>
          <w:rFonts w:asciiTheme="majorHAnsi" w:hAnsiTheme="majorHAnsi"/>
          <w:sz w:val="22"/>
          <w:szCs w:val="22"/>
        </w:rPr>
        <w:t xml:space="preserve"> a </w:t>
      </w:r>
      <w:r w:rsidRPr="0057198B">
        <w:rPr>
          <w:rFonts w:asciiTheme="majorHAnsi" w:hAnsiTheme="majorHAnsi"/>
          <w:sz w:val="22"/>
          <w:szCs w:val="22"/>
        </w:rPr>
        <w:t xml:space="preserve">pertussis-containing vaccine in pregnancy were </w:t>
      </w:r>
      <w:r w:rsidR="002625D7">
        <w:rPr>
          <w:rFonts w:asciiTheme="majorHAnsi" w:hAnsiTheme="majorHAnsi"/>
          <w:sz w:val="22"/>
          <w:szCs w:val="22"/>
        </w:rPr>
        <w:t xml:space="preserve">also </w:t>
      </w:r>
      <w:r w:rsidR="00641E8B">
        <w:rPr>
          <w:rFonts w:asciiTheme="majorHAnsi" w:hAnsiTheme="majorHAnsi"/>
          <w:sz w:val="22"/>
          <w:szCs w:val="22"/>
        </w:rPr>
        <w:t>approached</w:t>
      </w:r>
      <w:r w:rsidRPr="0057198B">
        <w:rPr>
          <w:rFonts w:asciiTheme="majorHAnsi" w:hAnsiTheme="majorHAnsi"/>
          <w:sz w:val="22"/>
          <w:szCs w:val="22"/>
        </w:rPr>
        <w:t xml:space="preserve">. </w:t>
      </w:r>
      <w:r w:rsidR="00FA2317">
        <w:rPr>
          <w:rFonts w:asciiTheme="majorHAnsi" w:hAnsiTheme="majorHAnsi"/>
          <w:sz w:val="22"/>
          <w:szCs w:val="22"/>
        </w:rPr>
        <w:t xml:space="preserve">These children had been </w:t>
      </w:r>
      <w:r w:rsidR="00C02BFF">
        <w:rPr>
          <w:rFonts w:asciiTheme="majorHAnsi" w:hAnsiTheme="majorHAnsi"/>
          <w:sz w:val="22"/>
          <w:szCs w:val="22"/>
        </w:rPr>
        <w:t xml:space="preserve">in another study </w:t>
      </w:r>
      <w:r w:rsidR="008E7B91">
        <w:rPr>
          <w:rFonts w:asciiTheme="majorHAnsi" w:hAnsiTheme="majorHAnsi"/>
          <w:sz w:val="22"/>
          <w:szCs w:val="22"/>
        </w:rPr>
        <w:t>(</w:t>
      </w:r>
      <w:r w:rsidR="00775C70">
        <w:rPr>
          <w:rFonts w:asciiTheme="majorHAnsi" w:hAnsiTheme="majorHAnsi"/>
          <w:sz w:val="22"/>
          <w:szCs w:val="22"/>
        </w:rPr>
        <w:t>Infanrix study</w:t>
      </w:r>
      <w:r w:rsidR="008E7B91">
        <w:rPr>
          <w:rFonts w:asciiTheme="majorHAnsi" w:hAnsiTheme="majorHAnsi"/>
          <w:sz w:val="22"/>
          <w:szCs w:val="22"/>
        </w:rPr>
        <w:t>,</w:t>
      </w:r>
      <w:r w:rsidR="00775C70">
        <w:rPr>
          <w:rFonts w:asciiTheme="majorHAnsi" w:hAnsiTheme="majorHAnsi"/>
          <w:sz w:val="22"/>
          <w:szCs w:val="22"/>
        </w:rPr>
        <w:t xml:space="preserve"> </w:t>
      </w:r>
      <w:r w:rsidR="00B05C2B" w:rsidRPr="0038738B">
        <w:rPr>
          <w:rFonts w:asciiTheme="majorHAnsi" w:hAnsiTheme="majorHAnsi" w:cstheme="majorHAnsi"/>
          <w:sz w:val="22"/>
          <w:szCs w:val="22"/>
          <w:lang w:val="en-US"/>
        </w:rPr>
        <w:t>ClinicalTrials.gov</w:t>
      </w:r>
      <w:r w:rsidR="00B05C2B">
        <w:rPr>
          <w:rFonts w:asciiTheme="majorHAnsi" w:hAnsiTheme="majorHAnsi" w:cstheme="majorHAnsi"/>
          <w:sz w:val="22"/>
          <w:szCs w:val="22"/>
          <w:lang w:val="en-US"/>
        </w:rPr>
        <w:t xml:space="preserve"> registration number </w:t>
      </w:r>
      <w:r w:rsidR="00C02BFF">
        <w:rPr>
          <w:rFonts w:asciiTheme="majorHAnsi" w:hAnsiTheme="majorHAnsi"/>
          <w:sz w:val="22"/>
          <w:szCs w:val="22"/>
        </w:rPr>
        <w:t>NCT01896596)</w:t>
      </w:r>
      <w:r w:rsidR="00C02BFF" w:rsidRPr="0057198B">
        <w:rPr>
          <w:rFonts w:asciiTheme="majorHAnsi" w:hAnsiTheme="majorHAnsi"/>
          <w:sz w:val="22"/>
          <w:szCs w:val="22"/>
        </w:rPr>
        <w:t xml:space="preserve"> </w:t>
      </w:r>
      <w:r w:rsidR="00C02BFF">
        <w:rPr>
          <w:rFonts w:asciiTheme="majorHAnsi" w:hAnsiTheme="majorHAnsi"/>
          <w:sz w:val="22"/>
          <w:szCs w:val="22"/>
        </w:rPr>
        <w:t xml:space="preserve">conducted in parallel with the </w:t>
      </w:r>
      <w:r w:rsidR="00D82D4B">
        <w:rPr>
          <w:rFonts w:asciiTheme="majorHAnsi" w:hAnsiTheme="majorHAnsi"/>
          <w:sz w:val="22"/>
          <w:szCs w:val="22"/>
        </w:rPr>
        <w:t>iMAP2</w:t>
      </w:r>
      <w:r w:rsidR="00C02BFF">
        <w:rPr>
          <w:rFonts w:asciiTheme="majorHAnsi" w:hAnsiTheme="majorHAnsi"/>
          <w:sz w:val="22"/>
          <w:szCs w:val="22"/>
        </w:rPr>
        <w:t xml:space="preserve"> study</w:t>
      </w:r>
      <w:r w:rsidR="00E645B2">
        <w:rPr>
          <w:rFonts w:asciiTheme="majorHAnsi" w:hAnsiTheme="majorHAnsi"/>
          <w:sz w:val="22"/>
          <w:szCs w:val="22"/>
        </w:rPr>
        <w:t xml:space="preserve">, </w:t>
      </w:r>
      <w:r w:rsidR="00C65975">
        <w:rPr>
          <w:rFonts w:asciiTheme="majorHAnsi" w:hAnsiTheme="majorHAnsi"/>
          <w:sz w:val="22"/>
          <w:szCs w:val="22"/>
        </w:rPr>
        <w:t xml:space="preserve">and </w:t>
      </w:r>
      <w:r w:rsidR="008A0D44">
        <w:rPr>
          <w:rFonts w:asciiTheme="majorHAnsi" w:hAnsiTheme="majorHAnsi"/>
          <w:sz w:val="22"/>
          <w:szCs w:val="22"/>
        </w:rPr>
        <w:t xml:space="preserve">using </w:t>
      </w:r>
      <w:r w:rsidR="00823553">
        <w:rPr>
          <w:rFonts w:asciiTheme="majorHAnsi" w:hAnsiTheme="majorHAnsi"/>
          <w:sz w:val="22"/>
          <w:szCs w:val="22"/>
        </w:rPr>
        <w:t xml:space="preserve">the same methodology </w:t>
      </w:r>
      <w:r w:rsidR="00C02BFF">
        <w:rPr>
          <w:rFonts w:asciiTheme="majorHAnsi" w:hAnsiTheme="majorHAnsi"/>
          <w:sz w:val="22"/>
          <w:szCs w:val="22"/>
        </w:rPr>
        <w:t>(blood sampling time-points</w:t>
      </w:r>
      <w:r w:rsidR="003B0351">
        <w:rPr>
          <w:rFonts w:asciiTheme="majorHAnsi" w:hAnsiTheme="majorHAnsi"/>
          <w:sz w:val="22"/>
          <w:szCs w:val="22"/>
        </w:rPr>
        <w:t>, age group</w:t>
      </w:r>
      <w:r w:rsidR="00C02BFF">
        <w:rPr>
          <w:rFonts w:asciiTheme="majorHAnsi" w:hAnsiTheme="majorHAnsi"/>
          <w:sz w:val="22"/>
          <w:szCs w:val="22"/>
        </w:rPr>
        <w:t xml:space="preserve">, </w:t>
      </w:r>
      <w:r w:rsidR="007F5A0F">
        <w:rPr>
          <w:rFonts w:asciiTheme="majorHAnsi" w:hAnsiTheme="majorHAnsi"/>
          <w:sz w:val="22"/>
          <w:szCs w:val="22"/>
        </w:rPr>
        <w:t>laboratory,</w:t>
      </w:r>
      <w:r w:rsidR="00C02BFF">
        <w:rPr>
          <w:rFonts w:asciiTheme="majorHAnsi" w:hAnsiTheme="majorHAnsi"/>
          <w:sz w:val="22"/>
          <w:szCs w:val="22"/>
        </w:rPr>
        <w:t xml:space="preserve"> and assays</w:t>
      </w:r>
      <w:r w:rsidR="00823553">
        <w:rPr>
          <w:rFonts w:asciiTheme="majorHAnsi" w:hAnsiTheme="majorHAnsi"/>
          <w:sz w:val="22"/>
          <w:szCs w:val="22"/>
        </w:rPr>
        <w:t xml:space="preserve">). </w:t>
      </w:r>
      <w:r w:rsidR="00C65975">
        <w:rPr>
          <w:rFonts w:asciiTheme="majorHAnsi" w:hAnsiTheme="majorHAnsi"/>
          <w:sz w:val="22"/>
          <w:szCs w:val="22"/>
        </w:rPr>
        <w:t>C</w:t>
      </w:r>
      <w:r w:rsidR="00C02BFF">
        <w:rPr>
          <w:rFonts w:asciiTheme="majorHAnsi" w:hAnsiTheme="majorHAnsi"/>
          <w:sz w:val="22"/>
          <w:szCs w:val="22"/>
        </w:rPr>
        <w:t xml:space="preserve">hildren in </w:t>
      </w:r>
      <w:r w:rsidR="00823553">
        <w:rPr>
          <w:rFonts w:asciiTheme="majorHAnsi" w:hAnsiTheme="majorHAnsi"/>
          <w:sz w:val="22"/>
          <w:szCs w:val="22"/>
        </w:rPr>
        <w:t>th</w:t>
      </w:r>
      <w:r w:rsidR="00775C70">
        <w:rPr>
          <w:rFonts w:asciiTheme="majorHAnsi" w:hAnsiTheme="majorHAnsi"/>
          <w:sz w:val="22"/>
          <w:szCs w:val="22"/>
        </w:rPr>
        <w:t xml:space="preserve">e Infanrix </w:t>
      </w:r>
      <w:r w:rsidR="00C02BFF">
        <w:rPr>
          <w:rFonts w:asciiTheme="majorHAnsi" w:hAnsiTheme="majorHAnsi"/>
          <w:sz w:val="22"/>
          <w:szCs w:val="22"/>
        </w:rPr>
        <w:t xml:space="preserve">study </w:t>
      </w:r>
      <w:r w:rsidR="00823553">
        <w:rPr>
          <w:rFonts w:asciiTheme="majorHAnsi" w:hAnsiTheme="majorHAnsi"/>
          <w:sz w:val="22"/>
          <w:szCs w:val="22"/>
        </w:rPr>
        <w:t xml:space="preserve">had received primary </w:t>
      </w:r>
      <w:r w:rsidR="001F38E4">
        <w:rPr>
          <w:rFonts w:asciiTheme="majorHAnsi" w:hAnsiTheme="majorHAnsi"/>
          <w:sz w:val="22"/>
          <w:szCs w:val="22"/>
        </w:rPr>
        <w:t>immunisation</w:t>
      </w:r>
      <w:r w:rsidR="00823553">
        <w:rPr>
          <w:rFonts w:asciiTheme="majorHAnsi" w:hAnsiTheme="majorHAnsi"/>
          <w:sz w:val="22"/>
          <w:szCs w:val="22"/>
        </w:rPr>
        <w:t xml:space="preserve"> with</w:t>
      </w:r>
      <w:r w:rsidR="00C02BFF">
        <w:rPr>
          <w:rFonts w:asciiTheme="majorHAnsi" w:hAnsiTheme="majorHAnsi"/>
          <w:sz w:val="22"/>
          <w:szCs w:val="22"/>
        </w:rPr>
        <w:t xml:space="preserve"> </w:t>
      </w:r>
      <w:r w:rsidR="001557AE">
        <w:rPr>
          <w:rFonts w:asciiTheme="majorHAnsi" w:hAnsiTheme="majorHAnsi"/>
          <w:sz w:val="22"/>
          <w:szCs w:val="22"/>
        </w:rPr>
        <w:t>a 6-in-1 vaccine (</w:t>
      </w:r>
      <w:proofErr w:type="spellStart"/>
      <w:r w:rsidR="00567CD6">
        <w:rPr>
          <w:rFonts w:asciiTheme="majorHAnsi" w:hAnsiTheme="majorHAnsi"/>
          <w:sz w:val="22"/>
          <w:szCs w:val="22"/>
        </w:rPr>
        <w:t>Infanrix</w:t>
      </w:r>
      <w:proofErr w:type="spellEnd"/>
      <w:r w:rsidR="0039298A">
        <w:rPr>
          <w:rFonts w:asciiTheme="majorHAnsi" w:hAnsiTheme="majorHAnsi"/>
          <w:sz w:val="22"/>
          <w:szCs w:val="22"/>
        </w:rPr>
        <w:t>®-</w:t>
      </w:r>
      <w:proofErr w:type="spellStart"/>
      <w:r w:rsidR="0039298A">
        <w:rPr>
          <w:rFonts w:asciiTheme="majorHAnsi" w:hAnsiTheme="majorHAnsi"/>
          <w:sz w:val="22"/>
          <w:szCs w:val="22"/>
        </w:rPr>
        <w:t>h</w:t>
      </w:r>
      <w:r w:rsidR="00567CD6">
        <w:rPr>
          <w:rFonts w:asciiTheme="majorHAnsi" w:hAnsiTheme="majorHAnsi"/>
          <w:sz w:val="22"/>
          <w:szCs w:val="22"/>
        </w:rPr>
        <w:t>exa</w:t>
      </w:r>
      <w:proofErr w:type="spellEnd"/>
      <w:r w:rsidR="0039298A">
        <w:rPr>
          <w:rFonts w:asciiTheme="majorHAnsi" w:hAnsiTheme="majorHAnsi"/>
          <w:sz w:val="22"/>
          <w:szCs w:val="22"/>
        </w:rPr>
        <w:t xml:space="preserve">; </w:t>
      </w:r>
      <w:r w:rsidR="00AB5AF2">
        <w:rPr>
          <w:rFonts w:asciiTheme="majorHAnsi" w:hAnsiTheme="majorHAnsi"/>
          <w:sz w:val="22"/>
          <w:szCs w:val="22"/>
        </w:rPr>
        <w:t xml:space="preserve">diphtheria toxoid [DT]: </w:t>
      </w:r>
      <w:r w:rsidR="00AB5AF2" w:rsidRPr="00AB5AF2">
        <w:rPr>
          <w:rFonts w:asciiTheme="majorHAnsi" w:hAnsiTheme="majorHAnsi"/>
          <w:sz w:val="22"/>
          <w:szCs w:val="22"/>
        </w:rPr>
        <w:t>≥</w:t>
      </w:r>
      <w:r w:rsidR="00AB5AF2">
        <w:rPr>
          <w:rFonts w:asciiTheme="majorHAnsi" w:hAnsiTheme="majorHAnsi"/>
          <w:sz w:val="22"/>
          <w:szCs w:val="22"/>
        </w:rPr>
        <w:t xml:space="preserve">30 IU; tetanus toxoid [TT]: </w:t>
      </w:r>
      <w:r w:rsidR="00AB5AF2" w:rsidRPr="00AB5AF2">
        <w:rPr>
          <w:rFonts w:asciiTheme="majorHAnsi" w:hAnsiTheme="majorHAnsi"/>
          <w:sz w:val="22"/>
          <w:szCs w:val="22"/>
        </w:rPr>
        <w:t>≥</w:t>
      </w:r>
      <w:r w:rsidR="00AB5AF2">
        <w:rPr>
          <w:rFonts w:asciiTheme="majorHAnsi" w:hAnsiTheme="majorHAnsi"/>
          <w:sz w:val="22"/>
          <w:szCs w:val="22"/>
        </w:rPr>
        <w:t>40 IU; PT: 2</w:t>
      </w:r>
      <w:r w:rsidR="00EB481F">
        <w:rPr>
          <w:rFonts w:asciiTheme="majorHAnsi" w:hAnsiTheme="majorHAnsi"/>
          <w:sz w:val="22"/>
          <w:szCs w:val="22"/>
        </w:rPr>
        <w:t>5</w:t>
      </w:r>
      <w:r w:rsidR="00AB5AF2">
        <w:rPr>
          <w:rFonts w:asciiTheme="majorHAnsi" w:hAnsiTheme="majorHAnsi"/>
          <w:sz w:val="22"/>
          <w:szCs w:val="22"/>
        </w:rPr>
        <w:t xml:space="preserve"> </w:t>
      </w:r>
      <w:r w:rsidR="00AB5AF2" w:rsidRPr="005A41DD">
        <w:rPr>
          <w:rFonts w:asciiTheme="majorHAnsi" w:hAnsiTheme="majorHAnsi"/>
          <w:sz w:val="22"/>
          <w:szCs w:val="22"/>
        </w:rPr>
        <w:t xml:space="preserve">µg; filamentous hemagglutinin [FHA]: </w:t>
      </w:r>
      <w:r w:rsidR="00AB5AF2">
        <w:rPr>
          <w:rFonts w:asciiTheme="majorHAnsi" w:hAnsiTheme="majorHAnsi"/>
          <w:sz w:val="22"/>
          <w:szCs w:val="22"/>
        </w:rPr>
        <w:t>2</w:t>
      </w:r>
      <w:r w:rsidR="00EB481F">
        <w:rPr>
          <w:rFonts w:asciiTheme="majorHAnsi" w:hAnsiTheme="majorHAnsi"/>
          <w:sz w:val="22"/>
          <w:szCs w:val="22"/>
        </w:rPr>
        <w:t>5</w:t>
      </w:r>
      <w:r w:rsidR="00AB5AF2" w:rsidRPr="005A41DD">
        <w:rPr>
          <w:rFonts w:asciiTheme="majorHAnsi" w:hAnsiTheme="majorHAnsi"/>
          <w:sz w:val="22"/>
          <w:szCs w:val="22"/>
        </w:rPr>
        <w:t xml:space="preserve"> µg; pertactin [PRN]: </w:t>
      </w:r>
      <w:r w:rsidR="00EB481F">
        <w:rPr>
          <w:rFonts w:asciiTheme="majorHAnsi" w:hAnsiTheme="majorHAnsi"/>
          <w:sz w:val="22"/>
          <w:szCs w:val="22"/>
        </w:rPr>
        <w:t>8</w:t>
      </w:r>
      <w:r w:rsidR="00AB5AF2" w:rsidRPr="005A41DD">
        <w:rPr>
          <w:rFonts w:asciiTheme="majorHAnsi" w:hAnsiTheme="majorHAnsi"/>
          <w:sz w:val="22"/>
          <w:szCs w:val="22"/>
        </w:rPr>
        <w:t xml:space="preserve"> µg; </w:t>
      </w:r>
      <w:r w:rsidR="00822634">
        <w:rPr>
          <w:rFonts w:asciiTheme="majorHAnsi" w:hAnsiTheme="majorHAnsi"/>
          <w:sz w:val="22"/>
          <w:szCs w:val="22"/>
        </w:rPr>
        <w:t xml:space="preserve">no </w:t>
      </w:r>
      <w:r w:rsidR="00AB5AF2" w:rsidRPr="005A41DD">
        <w:rPr>
          <w:rFonts w:asciiTheme="majorHAnsi" w:hAnsiTheme="majorHAnsi"/>
          <w:sz w:val="22"/>
          <w:szCs w:val="22"/>
        </w:rPr>
        <w:t>fimbriae types 2 and 3 [FIM]</w:t>
      </w:r>
      <w:r w:rsidR="00AB5AF2">
        <w:rPr>
          <w:rFonts w:asciiTheme="majorHAnsi" w:hAnsiTheme="majorHAnsi"/>
          <w:sz w:val="22"/>
          <w:szCs w:val="22"/>
        </w:rPr>
        <w:t xml:space="preserve">; </w:t>
      </w:r>
      <w:r w:rsidR="00FE5CC6">
        <w:rPr>
          <w:rFonts w:asciiTheme="majorHAnsi" w:hAnsiTheme="majorHAnsi"/>
          <w:sz w:val="22"/>
          <w:szCs w:val="22"/>
        </w:rPr>
        <w:t>IPV</w:t>
      </w:r>
      <w:r w:rsidR="00EB481F">
        <w:rPr>
          <w:rFonts w:asciiTheme="majorHAnsi" w:hAnsiTheme="majorHAnsi"/>
          <w:sz w:val="22"/>
          <w:szCs w:val="22"/>
        </w:rPr>
        <w:t xml:space="preserve"> type 1</w:t>
      </w:r>
      <w:r w:rsidR="002E7F28">
        <w:rPr>
          <w:rFonts w:asciiTheme="majorHAnsi" w:hAnsiTheme="majorHAnsi"/>
          <w:sz w:val="22"/>
          <w:szCs w:val="22"/>
        </w:rPr>
        <w:t xml:space="preserve">: </w:t>
      </w:r>
      <w:r w:rsidR="00822634" w:rsidRPr="00822634">
        <w:rPr>
          <w:rFonts w:asciiTheme="majorHAnsi" w:hAnsiTheme="majorHAnsi"/>
          <w:sz w:val="22"/>
          <w:szCs w:val="22"/>
        </w:rPr>
        <w:t xml:space="preserve">40 D-antigen units </w:t>
      </w:r>
      <w:r w:rsidR="00EB481F">
        <w:rPr>
          <w:rFonts w:asciiTheme="majorHAnsi" w:hAnsiTheme="majorHAnsi"/>
          <w:sz w:val="22"/>
          <w:szCs w:val="22"/>
        </w:rPr>
        <w:t xml:space="preserve">[DAU]; </w:t>
      </w:r>
      <w:r w:rsidR="00FE5CC6">
        <w:rPr>
          <w:rFonts w:asciiTheme="majorHAnsi" w:hAnsiTheme="majorHAnsi"/>
          <w:sz w:val="22"/>
          <w:szCs w:val="22"/>
        </w:rPr>
        <w:t>IPV</w:t>
      </w:r>
      <w:r w:rsidR="00822634" w:rsidRPr="00822634">
        <w:rPr>
          <w:rFonts w:asciiTheme="majorHAnsi" w:hAnsiTheme="majorHAnsi"/>
          <w:sz w:val="22"/>
          <w:szCs w:val="22"/>
        </w:rPr>
        <w:t xml:space="preserve"> type </w:t>
      </w:r>
      <w:r w:rsidR="00EB481F">
        <w:rPr>
          <w:rFonts w:asciiTheme="majorHAnsi" w:hAnsiTheme="majorHAnsi"/>
          <w:sz w:val="22"/>
          <w:szCs w:val="22"/>
        </w:rPr>
        <w:t>2:</w:t>
      </w:r>
      <w:r w:rsidR="002E7F28">
        <w:rPr>
          <w:rFonts w:asciiTheme="majorHAnsi" w:hAnsiTheme="majorHAnsi"/>
          <w:sz w:val="22"/>
          <w:szCs w:val="22"/>
        </w:rPr>
        <w:t xml:space="preserve"> </w:t>
      </w:r>
      <w:r w:rsidR="00822634" w:rsidRPr="00822634">
        <w:rPr>
          <w:rFonts w:asciiTheme="majorHAnsi" w:hAnsiTheme="majorHAnsi"/>
          <w:sz w:val="22"/>
          <w:szCs w:val="22"/>
        </w:rPr>
        <w:t>8 D</w:t>
      </w:r>
      <w:r w:rsidR="00EB481F">
        <w:rPr>
          <w:rFonts w:asciiTheme="majorHAnsi" w:hAnsiTheme="majorHAnsi"/>
          <w:sz w:val="22"/>
          <w:szCs w:val="22"/>
        </w:rPr>
        <w:t>AU;</w:t>
      </w:r>
      <w:r w:rsidR="002E7F28">
        <w:rPr>
          <w:rFonts w:asciiTheme="majorHAnsi" w:hAnsiTheme="majorHAnsi"/>
          <w:sz w:val="22"/>
          <w:szCs w:val="22"/>
        </w:rPr>
        <w:t xml:space="preserve"> </w:t>
      </w:r>
      <w:r w:rsidR="00FE5CC6">
        <w:rPr>
          <w:rFonts w:asciiTheme="majorHAnsi" w:hAnsiTheme="majorHAnsi"/>
          <w:sz w:val="22"/>
          <w:szCs w:val="22"/>
        </w:rPr>
        <w:t>IPV</w:t>
      </w:r>
      <w:r w:rsidR="00822634" w:rsidRPr="00822634">
        <w:rPr>
          <w:rFonts w:asciiTheme="majorHAnsi" w:hAnsiTheme="majorHAnsi"/>
          <w:sz w:val="22"/>
          <w:szCs w:val="22"/>
        </w:rPr>
        <w:t xml:space="preserve"> type </w:t>
      </w:r>
      <w:r w:rsidR="00EB481F">
        <w:rPr>
          <w:rFonts w:asciiTheme="majorHAnsi" w:hAnsiTheme="majorHAnsi"/>
          <w:sz w:val="22"/>
          <w:szCs w:val="22"/>
        </w:rPr>
        <w:t>3:</w:t>
      </w:r>
      <w:r w:rsidR="002E7F28">
        <w:rPr>
          <w:rFonts w:asciiTheme="majorHAnsi" w:hAnsiTheme="majorHAnsi"/>
          <w:sz w:val="22"/>
          <w:szCs w:val="22"/>
        </w:rPr>
        <w:t xml:space="preserve"> </w:t>
      </w:r>
      <w:r w:rsidR="00822634" w:rsidRPr="00822634">
        <w:rPr>
          <w:rFonts w:asciiTheme="majorHAnsi" w:hAnsiTheme="majorHAnsi"/>
          <w:sz w:val="22"/>
          <w:szCs w:val="22"/>
        </w:rPr>
        <w:t xml:space="preserve">32 </w:t>
      </w:r>
      <w:r w:rsidR="00EB481F">
        <w:rPr>
          <w:rFonts w:asciiTheme="majorHAnsi" w:hAnsiTheme="majorHAnsi"/>
          <w:sz w:val="22"/>
          <w:szCs w:val="22"/>
        </w:rPr>
        <w:t>DAU</w:t>
      </w:r>
      <w:r w:rsidR="002E7F28">
        <w:rPr>
          <w:rFonts w:asciiTheme="majorHAnsi" w:hAnsiTheme="majorHAnsi"/>
          <w:sz w:val="22"/>
          <w:szCs w:val="22"/>
        </w:rPr>
        <w:t xml:space="preserve">; </w:t>
      </w:r>
      <w:r w:rsidR="00C65975" w:rsidRPr="00CC4348">
        <w:rPr>
          <w:rFonts w:asciiTheme="majorHAnsi" w:hAnsiTheme="majorHAnsi"/>
          <w:i/>
          <w:iCs/>
          <w:sz w:val="22"/>
          <w:szCs w:val="22"/>
        </w:rPr>
        <w:t>H</w:t>
      </w:r>
      <w:r w:rsidR="0039298A" w:rsidRPr="00CC4348">
        <w:rPr>
          <w:rFonts w:asciiTheme="majorHAnsi" w:hAnsiTheme="majorHAnsi"/>
          <w:i/>
          <w:iCs/>
          <w:sz w:val="22"/>
          <w:szCs w:val="22"/>
        </w:rPr>
        <w:t xml:space="preserve">aemophilus </w:t>
      </w:r>
      <w:r w:rsidR="00C65975" w:rsidRPr="00CC4348">
        <w:rPr>
          <w:rFonts w:asciiTheme="majorHAnsi" w:hAnsiTheme="majorHAnsi"/>
          <w:i/>
          <w:iCs/>
          <w:sz w:val="22"/>
          <w:szCs w:val="22"/>
        </w:rPr>
        <w:t>influenzae</w:t>
      </w:r>
      <w:r w:rsidR="00C65975">
        <w:rPr>
          <w:rFonts w:asciiTheme="majorHAnsi" w:hAnsiTheme="majorHAnsi"/>
          <w:sz w:val="22"/>
          <w:szCs w:val="22"/>
        </w:rPr>
        <w:t xml:space="preserve"> </w:t>
      </w:r>
      <w:r w:rsidR="0039298A">
        <w:rPr>
          <w:rFonts w:asciiTheme="majorHAnsi" w:hAnsiTheme="majorHAnsi"/>
          <w:sz w:val="22"/>
          <w:szCs w:val="22"/>
        </w:rPr>
        <w:t>type b</w:t>
      </w:r>
      <w:r w:rsidR="00EB481F">
        <w:rPr>
          <w:rFonts w:asciiTheme="majorHAnsi" w:hAnsiTheme="majorHAnsi"/>
          <w:sz w:val="22"/>
          <w:szCs w:val="22"/>
        </w:rPr>
        <w:t xml:space="preserve"> [Hib]</w:t>
      </w:r>
      <w:r w:rsidR="002E7F28">
        <w:rPr>
          <w:rFonts w:asciiTheme="majorHAnsi" w:hAnsiTheme="majorHAnsi"/>
          <w:sz w:val="22"/>
          <w:szCs w:val="22"/>
        </w:rPr>
        <w:t>:</w:t>
      </w:r>
      <w:r w:rsidR="0039298A">
        <w:rPr>
          <w:rFonts w:asciiTheme="majorHAnsi" w:hAnsiTheme="majorHAnsi"/>
          <w:sz w:val="22"/>
          <w:szCs w:val="22"/>
        </w:rPr>
        <w:t xml:space="preserve"> </w:t>
      </w:r>
      <w:r w:rsidR="002E7F28">
        <w:rPr>
          <w:rFonts w:asciiTheme="majorHAnsi" w:hAnsiTheme="majorHAnsi"/>
          <w:sz w:val="22"/>
          <w:szCs w:val="22"/>
        </w:rPr>
        <w:t xml:space="preserve">10 </w:t>
      </w:r>
      <w:r w:rsidR="002E7F28" w:rsidRPr="005A41DD">
        <w:rPr>
          <w:rFonts w:asciiTheme="majorHAnsi" w:hAnsiTheme="majorHAnsi"/>
          <w:sz w:val="22"/>
          <w:szCs w:val="22"/>
        </w:rPr>
        <w:t>µg</w:t>
      </w:r>
      <w:r w:rsidR="002E7F28">
        <w:rPr>
          <w:rFonts w:asciiTheme="majorHAnsi" w:hAnsiTheme="majorHAnsi"/>
          <w:sz w:val="22"/>
          <w:szCs w:val="22"/>
        </w:rPr>
        <w:t xml:space="preserve">; </w:t>
      </w:r>
      <w:r w:rsidR="002E7F28" w:rsidRPr="002E7F28">
        <w:rPr>
          <w:rFonts w:asciiTheme="majorHAnsi" w:hAnsiTheme="majorHAnsi"/>
          <w:sz w:val="22"/>
          <w:szCs w:val="22"/>
        </w:rPr>
        <w:t xml:space="preserve">recombinant hepatitis B surface antigen </w:t>
      </w:r>
      <w:r w:rsidR="002E7F28">
        <w:rPr>
          <w:rFonts w:asciiTheme="majorHAnsi" w:hAnsiTheme="majorHAnsi"/>
          <w:sz w:val="22"/>
          <w:szCs w:val="22"/>
        </w:rPr>
        <w:t>[</w:t>
      </w:r>
      <w:r w:rsidR="002E7F28" w:rsidRPr="002E7F28">
        <w:rPr>
          <w:rFonts w:asciiTheme="majorHAnsi" w:hAnsiTheme="majorHAnsi"/>
          <w:sz w:val="22"/>
          <w:szCs w:val="22"/>
        </w:rPr>
        <w:t>HBsAg</w:t>
      </w:r>
      <w:r w:rsidR="002E7F28">
        <w:rPr>
          <w:rFonts w:asciiTheme="majorHAnsi" w:hAnsiTheme="majorHAnsi"/>
          <w:sz w:val="22"/>
          <w:szCs w:val="22"/>
        </w:rPr>
        <w:t>]:</w:t>
      </w:r>
      <w:r w:rsidR="002E7F28" w:rsidRPr="002E7F28">
        <w:rPr>
          <w:rFonts w:asciiTheme="majorHAnsi" w:hAnsiTheme="majorHAnsi"/>
          <w:sz w:val="22"/>
          <w:szCs w:val="22"/>
        </w:rPr>
        <w:t xml:space="preserve"> </w:t>
      </w:r>
      <w:r w:rsidR="002E7F28">
        <w:rPr>
          <w:rFonts w:asciiTheme="majorHAnsi" w:hAnsiTheme="majorHAnsi"/>
          <w:sz w:val="22"/>
          <w:szCs w:val="22"/>
        </w:rPr>
        <w:t xml:space="preserve">10 </w:t>
      </w:r>
      <w:r w:rsidR="002E7F28" w:rsidRPr="005A41DD">
        <w:rPr>
          <w:rFonts w:asciiTheme="majorHAnsi" w:hAnsiTheme="majorHAnsi"/>
          <w:sz w:val="22"/>
          <w:szCs w:val="22"/>
        </w:rPr>
        <w:t>µg</w:t>
      </w:r>
      <w:r w:rsidR="0039298A">
        <w:rPr>
          <w:rFonts w:asciiTheme="majorHAnsi" w:hAnsiTheme="majorHAnsi"/>
          <w:sz w:val="22"/>
          <w:szCs w:val="22"/>
        </w:rPr>
        <w:t xml:space="preserve">; GlaxoSmithKline) </w:t>
      </w:r>
      <w:r w:rsidR="00823553">
        <w:rPr>
          <w:rFonts w:asciiTheme="majorHAnsi" w:hAnsiTheme="majorHAnsi"/>
          <w:sz w:val="22"/>
          <w:szCs w:val="22"/>
        </w:rPr>
        <w:t>as compared with</w:t>
      </w:r>
      <w:r w:rsidR="001557AE">
        <w:rPr>
          <w:rFonts w:asciiTheme="majorHAnsi" w:hAnsiTheme="majorHAnsi"/>
          <w:sz w:val="22"/>
          <w:szCs w:val="22"/>
        </w:rPr>
        <w:t xml:space="preserve"> </w:t>
      </w:r>
      <w:r w:rsidR="00C65975">
        <w:rPr>
          <w:rFonts w:asciiTheme="majorHAnsi" w:hAnsiTheme="majorHAnsi"/>
          <w:sz w:val="22"/>
          <w:szCs w:val="22"/>
        </w:rPr>
        <w:t xml:space="preserve">children in iMAP2 who had received </w:t>
      </w:r>
      <w:r w:rsidR="001557AE">
        <w:rPr>
          <w:rFonts w:asciiTheme="majorHAnsi" w:hAnsiTheme="majorHAnsi"/>
          <w:sz w:val="22"/>
          <w:szCs w:val="22"/>
        </w:rPr>
        <w:t xml:space="preserve">a 5-in-1 vaccine </w:t>
      </w:r>
      <w:r w:rsidR="00567CD6">
        <w:rPr>
          <w:rFonts w:asciiTheme="majorHAnsi" w:hAnsiTheme="majorHAnsi"/>
          <w:sz w:val="22"/>
          <w:szCs w:val="22"/>
        </w:rPr>
        <w:t>(</w:t>
      </w:r>
      <w:r w:rsidR="0039298A">
        <w:rPr>
          <w:rFonts w:asciiTheme="majorHAnsi" w:hAnsiTheme="majorHAnsi"/>
          <w:sz w:val="22"/>
          <w:szCs w:val="22"/>
        </w:rPr>
        <w:t xml:space="preserve">PEDIACEL®; </w:t>
      </w:r>
      <w:r w:rsidR="00822634">
        <w:rPr>
          <w:rFonts w:asciiTheme="majorHAnsi" w:hAnsiTheme="majorHAnsi"/>
          <w:sz w:val="22"/>
          <w:szCs w:val="22"/>
        </w:rPr>
        <w:t xml:space="preserve">DT: </w:t>
      </w:r>
      <w:r w:rsidR="00822634" w:rsidRPr="00AB5AF2">
        <w:rPr>
          <w:rFonts w:asciiTheme="majorHAnsi" w:hAnsiTheme="majorHAnsi"/>
          <w:sz w:val="22"/>
          <w:szCs w:val="22"/>
        </w:rPr>
        <w:t>≥</w:t>
      </w:r>
      <w:r w:rsidR="00822634">
        <w:rPr>
          <w:rFonts w:asciiTheme="majorHAnsi" w:hAnsiTheme="majorHAnsi"/>
          <w:sz w:val="22"/>
          <w:szCs w:val="22"/>
        </w:rPr>
        <w:t xml:space="preserve">30 IU; TT: </w:t>
      </w:r>
      <w:r w:rsidR="00822634" w:rsidRPr="00AB5AF2">
        <w:rPr>
          <w:rFonts w:asciiTheme="majorHAnsi" w:hAnsiTheme="majorHAnsi"/>
          <w:sz w:val="22"/>
          <w:szCs w:val="22"/>
        </w:rPr>
        <w:t>≥</w:t>
      </w:r>
      <w:r w:rsidR="00822634">
        <w:rPr>
          <w:rFonts w:asciiTheme="majorHAnsi" w:hAnsiTheme="majorHAnsi"/>
          <w:sz w:val="22"/>
          <w:szCs w:val="22"/>
        </w:rPr>
        <w:t xml:space="preserve">40 IU; PT: 20 </w:t>
      </w:r>
      <w:r w:rsidR="00822634" w:rsidRPr="005A41DD">
        <w:rPr>
          <w:rFonts w:asciiTheme="majorHAnsi" w:hAnsiTheme="majorHAnsi"/>
          <w:sz w:val="22"/>
          <w:szCs w:val="22"/>
        </w:rPr>
        <w:t xml:space="preserve">µg; FHA: </w:t>
      </w:r>
      <w:r w:rsidR="00822634">
        <w:rPr>
          <w:rFonts w:asciiTheme="majorHAnsi" w:hAnsiTheme="majorHAnsi"/>
          <w:sz w:val="22"/>
          <w:szCs w:val="22"/>
        </w:rPr>
        <w:t>20</w:t>
      </w:r>
      <w:r w:rsidR="00822634" w:rsidRPr="005A41DD">
        <w:rPr>
          <w:rFonts w:asciiTheme="majorHAnsi" w:hAnsiTheme="majorHAnsi"/>
          <w:sz w:val="22"/>
          <w:szCs w:val="22"/>
        </w:rPr>
        <w:t xml:space="preserve"> µg; PRN: 3 µg; FIM: 5 µg</w:t>
      </w:r>
      <w:r w:rsidR="00822634">
        <w:rPr>
          <w:rFonts w:asciiTheme="majorHAnsi" w:hAnsiTheme="majorHAnsi"/>
          <w:sz w:val="22"/>
          <w:szCs w:val="22"/>
        </w:rPr>
        <w:t>;</w:t>
      </w:r>
      <w:r w:rsidR="0039298A">
        <w:rPr>
          <w:rFonts w:asciiTheme="majorHAnsi" w:hAnsiTheme="majorHAnsi"/>
          <w:sz w:val="22"/>
          <w:szCs w:val="22"/>
        </w:rPr>
        <w:t xml:space="preserve"> </w:t>
      </w:r>
      <w:r w:rsidR="00FE5CC6">
        <w:rPr>
          <w:rFonts w:asciiTheme="majorHAnsi" w:hAnsiTheme="majorHAnsi"/>
          <w:sz w:val="22"/>
          <w:szCs w:val="22"/>
        </w:rPr>
        <w:t xml:space="preserve">IPV type 1: </w:t>
      </w:r>
      <w:r w:rsidR="00FE5CC6" w:rsidRPr="00822634">
        <w:rPr>
          <w:rFonts w:asciiTheme="majorHAnsi" w:hAnsiTheme="majorHAnsi"/>
          <w:sz w:val="22"/>
          <w:szCs w:val="22"/>
        </w:rPr>
        <w:t xml:space="preserve">40 </w:t>
      </w:r>
      <w:r w:rsidR="00FE5CC6">
        <w:rPr>
          <w:rFonts w:asciiTheme="majorHAnsi" w:hAnsiTheme="majorHAnsi"/>
          <w:sz w:val="22"/>
          <w:szCs w:val="22"/>
        </w:rPr>
        <w:t>DAU; IPV</w:t>
      </w:r>
      <w:r w:rsidR="00FE5CC6" w:rsidRPr="00822634">
        <w:rPr>
          <w:rFonts w:asciiTheme="majorHAnsi" w:hAnsiTheme="majorHAnsi"/>
          <w:sz w:val="22"/>
          <w:szCs w:val="22"/>
        </w:rPr>
        <w:t xml:space="preserve"> type </w:t>
      </w:r>
      <w:r w:rsidR="00FE5CC6">
        <w:rPr>
          <w:rFonts w:asciiTheme="majorHAnsi" w:hAnsiTheme="majorHAnsi"/>
          <w:sz w:val="22"/>
          <w:szCs w:val="22"/>
        </w:rPr>
        <w:t xml:space="preserve">2: </w:t>
      </w:r>
      <w:r w:rsidR="00FE5CC6" w:rsidRPr="00822634">
        <w:rPr>
          <w:rFonts w:asciiTheme="majorHAnsi" w:hAnsiTheme="majorHAnsi"/>
          <w:sz w:val="22"/>
          <w:szCs w:val="22"/>
        </w:rPr>
        <w:t>8 D</w:t>
      </w:r>
      <w:r w:rsidR="00FE5CC6">
        <w:rPr>
          <w:rFonts w:asciiTheme="majorHAnsi" w:hAnsiTheme="majorHAnsi"/>
          <w:sz w:val="22"/>
          <w:szCs w:val="22"/>
        </w:rPr>
        <w:t>AU; IPV</w:t>
      </w:r>
      <w:r w:rsidR="00FE5CC6" w:rsidRPr="00822634">
        <w:rPr>
          <w:rFonts w:asciiTheme="majorHAnsi" w:hAnsiTheme="majorHAnsi"/>
          <w:sz w:val="22"/>
          <w:szCs w:val="22"/>
        </w:rPr>
        <w:t xml:space="preserve"> type </w:t>
      </w:r>
      <w:r w:rsidR="00FE5CC6">
        <w:rPr>
          <w:rFonts w:asciiTheme="majorHAnsi" w:hAnsiTheme="majorHAnsi"/>
          <w:sz w:val="22"/>
          <w:szCs w:val="22"/>
        </w:rPr>
        <w:t xml:space="preserve">3: </w:t>
      </w:r>
      <w:r w:rsidR="00FE5CC6" w:rsidRPr="00822634">
        <w:rPr>
          <w:rFonts w:asciiTheme="majorHAnsi" w:hAnsiTheme="majorHAnsi"/>
          <w:sz w:val="22"/>
          <w:szCs w:val="22"/>
        </w:rPr>
        <w:t xml:space="preserve">32 </w:t>
      </w:r>
      <w:r w:rsidR="00FE5CC6">
        <w:rPr>
          <w:rFonts w:asciiTheme="majorHAnsi" w:hAnsiTheme="majorHAnsi"/>
          <w:sz w:val="22"/>
          <w:szCs w:val="22"/>
        </w:rPr>
        <w:t xml:space="preserve">DAU; Hib: 10 </w:t>
      </w:r>
      <w:r w:rsidR="00FE5CC6" w:rsidRPr="005A41DD">
        <w:rPr>
          <w:rFonts w:asciiTheme="majorHAnsi" w:hAnsiTheme="majorHAnsi"/>
          <w:sz w:val="22"/>
          <w:szCs w:val="22"/>
        </w:rPr>
        <w:t>µg</w:t>
      </w:r>
      <w:r w:rsidR="0039298A">
        <w:rPr>
          <w:rFonts w:asciiTheme="majorHAnsi" w:hAnsiTheme="majorHAnsi"/>
          <w:sz w:val="22"/>
          <w:szCs w:val="22"/>
        </w:rPr>
        <w:t xml:space="preserve">; </w:t>
      </w:r>
      <w:r w:rsidR="00567CD6">
        <w:rPr>
          <w:rFonts w:asciiTheme="majorHAnsi" w:hAnsiTheme="majorHAnsi"/>
          <w:sz w:val="22"/>
          <w:szCs w:val="22"/>
        </w:rPr>
        <w:t>Sanofi</w:t>
      </w:r>
      <w:r w:rsidR="0039298A">
        <w:rPr>
          <w:rFonts w:asciiTheme="majorHAnsi" w:hAnsiTheme="majorHAnsi"/>
          <w:sz w:val="22"/>
          <w:szCs w:val="22"/>
        </w:rPr>
        <w:t xml:space="preserve"> </w:t>
      </w:r>
      <w:r w:rsidR="00567CD6">
        <w:rPr>
          <w:rFonts w:asciiTheme="majorHAnsi" w:hAnsiTheme="majorHAnsi"/>
          <w:sz w:val="22"/>
          <w:szCs w:val="22"/>
        </w:rPr>
        <w:t>Pasteur</w:t>
      </w:r>
      <w:r w:rsidR="001557AE">
        <w:rPr>
          <w:rFonts w:asciiTheme="majorHAnsi" w:hAnsiTheme="majorHAnsi"/>
          <w:sz w:val="22"/>
          <w:szCs w:val="22"/>
        </w:rPr>
        <w:t>).</w:t>
      </w:r>
      <w:r w:rsidR="001557AE" w:rsidRPr="001F0A0D">
        <w:rPr>
          <w:rFonts w:asciiTheme="majorHAnsi" w:hAnsiTheme="majorHAnsi"/>
          <w:sz w:val="22"/>
          <w:szCs w:val="22"/>
        </w:rPr>
        <w:t xml:space="preserve"> </w:t>
      </w:r>
    </w:p>
    <w:p w14:paraId="5FCEEEF6" w14:textId="77777777" w:rsidR="0057198B" w:rsidRPr="0057198B" w:rsidRDefault="0057198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33553D10" w14:textId="4756B0AA" w:rsidR="004E0187" w:rsidRPr="004E0187" w:rsidRDefault="00C92F55" w:rsidP="001557AE">
      <w:pPr>
        <w:spacing w:line="480" w:lineRule="auto"/>
        <w:rPr>
          <w:rFonts w:asciiTheme="majorHAnsi" w:hAnsiTheme="majorHAnsi"/>
          <w:sz w:val="22"/>
          <w:szCs w:val="22"/>
          <w:vertAlign w:val="superscript"/>
        </w:rPr>
      </w:pPr>
      <w:r>
        <w:rPr>
          <w:rFonts w:asciiTheme="majorHAnsi" w:hAnsiTheme="majorHAnsi"/>
          <w:sz w:val="22"/>
          <w:szCs w:val="22"/>
        </w:rPr>
        <w:t xml:space="preserve">Children at pre-school age </w:t>
      </w:r>
      <w:r w:rsidR="00823553">
        <w:rPr>
          <w:rFonts w:asciiTheme="majorHAnsi" w:hAnsiTheme="majorHAnsi"/>
          <w:sz w:val="22"/>
          <w:szCs w:val="22"/>
        </w:rPr>
        <w:t xml:space="preserve">and </w:t>
      </w:r>
      <w:r>
        <w:rPr>
          <w:rFonts w:asciiTheme="majorHAnsi" w:hAnsiTheme="majorHAnsi"/>
          <w:sz w:val="22"/>
          <w:szCs w:val="22"/>
        </w:rPr>
        <w:t>due for their preschool booster (aged at least 3 years and 4 months)</w:t>
      </w:r>
      <w:r>
        <w:rPr>
          <w:rFonts w:asciiTheme="majorHAnsi" w:hAnsiTheme="majorHAnsi"/>
          <w:sz w:val="22"/>
          <w:szCs w:val="22"/>
          <w:vertAlign w:val="superscript"/>
        </w:rPr>
        <w:t xml:space="preserve"> </w:t>
      </w:r>
      <w:r w:rsidR="00134225">
        <w:rPr>
          <w:rFonts w:asciiTheme="majorHAnsi" w:hAnsiTheme="majorHAnsi"/>
          <w:sz w:val="22"/>
          <w:szCs w:val="22"/>
        </w:rPr>
        <w:t>were eligible to participate.</w:t>
      </w:r>
      <w:r w:rsidR="0057198B" w:rsidRPr="0057198B">
        <w:rPr>
          <w:rFonts w:asciiTheme="majorHAnsi" w:hAnsiTheme="majorHAnsi"/>
          <w:sz w:val="22"/>
          <w:szCs w:val="22"/>
        </w:rPr>
        <w:t xml:space="preserve"> Exclusion criteria includ</w:t>
      </w:r>
      <w:r w:rsidR="004E0187">
        <w:rPr>
          <w:rFonts w:asciiTheme="majorHAnsi" w:hAnsiTheme="majorHAnsi"/>
          <w:sz w:val="22"/>
          <w:szCs w:val="22"/>
        </w:rPr>
        <w:t xml:space="preserve">ed </w:t>
      </w:r>
      <w:r w:rsidR="004E0187" w:rsidRPr="004E0187">
        <w:rPr>
          <w:rFonts w:asciiTheme="majorHAnsi" w:hAnsiTheme="majorHAnsi"/>
          <w:sz w:val="22"/>
          <w:szCs w:val="22"/>
        </w:rPr>
        <w:t>any of the contraindications to vaccination specified in</w:t>
      </w:r>
      <w:r w:rsidR="004E0187">
        <w:rPr>
          <w:rFonts w:asciiTheme="majorHAnsi" w:hAnsiTheme="majorHAnsi"/>
          <w:sz w:val="22"/>
          <w:szCs w:val="22"/>
        </w:rPr>
        <w:t xml:space="preserve"> The Green Book on </w:t>
      </w:r>
      <w:r w:rsidR="004E0187" w:rsidRPr="004E0187">
        <w:rPr>
          <w:rFonts w:asciiTheme="majorHAnsi" w:hAnsiTheme="majorHAnsi"/>
          <w:sz w:val="22"/>
          <w:szCs w:val="22"/>
        </w:rPr>
        <w:t>Immunisation</w:t>
      </w:r>
      <w:r w:rsidR="00823553">
        <w:rPr>
          <w:rFonts w:asciiTheme="majorHAnsi" w:hAnsiTheme="majorHAnsi"/>
          <w:sz w:val="22"/>
          <w:szCs w:val="22"/>
        </w:rPr>
        <w:t xml:space="preserve"> or </w:t>
      </w:r>
      <w:r w:rsidR="004E0187">
        <w:rPr>
          <w:rFonts w:asciiTheme="majorHAnsi" w:hAnsiTheme="majorHAnsi"/>
          <w:sz w:val="22"/>
          <w:szCs w:val="22"/>
        </w:rPr>
        <w:t>receipt of</w:t>
      </w:r>
      <w:r w:rsidR="004E0187" w:rsidRPr="004E0187">
        <w:rPr>
          <w:rFonts w:asciiTheme="majorHAnsi" w:hAnsiTheme="majorHAnsi"/>
          <w:sz w:val="22"/>
          <w:szCs w:val="22"/>
        </w:rPr>
        <w:t xml:space="preserve"> </w:t>
      </w:r>
      <w:r w:rsidR="00CB341B">
        <w:rPr>
          <w:rFonts w:asciiTheme="majorHAnsi" w:hAnsiTheme="majorHAnsi"/>
          <w:sz w:val="22"/>
          <w:szCs w:val="22"/>
        </w:rPr>
        <w:t xml:space="preserve">an </w:t>
      </w:r>
      <w:r w:rsidR="004E0187" w:rsidRPr="004E0187">
        <w:rPr>
          <w:rFonts w:asciiTheme="majorHAnsi" w:hAnsiTheme="majorHAnsi"/>
          <w:sz w:val="22"/>
          <w:szCs w:val="22"/>
        </w:rPr>
        <w:t>additional pertussis containi</w:t>
      </w:r>
      <w:r w:rsidR="004E0187">
        <w:rPr>
          <w:rFonts w:asciiTheme="majorHAnsi" w:hAnsiTheme="majorHAnsi"/>
          <w:sz w:val="22"/>
          <w:szCs w:val="22"/>
        </w:rPr>
        <w:t>ng vaccine after the routine 16-</w:t>
      </w:r>
      <w:r w:rsidR="004E0187" w:rsidRPr="004E0187">
        <w:rPr>
          <w:rFonts w:asciiTheme="majorHAnsi" w:hAnsiTheme="majorHAnsi"/>
          <w:sz w:val="22"/>
          <w:szCs w:val="22"/>
        </w:rPr>
        <w:t xml:space="preserve">week </w:t>
      </w:r>
      <w:r w:rsidR="004E0187">
        <w:rPr>
          <w:rFonts w:asciiTheme="majorHAnsi" w:hAnsiTheme="majorHAnsi"/>
          <w:sz w:val="22"/>
          <w:szCs w:val="22"/>
        </w:rPr>
        <w:t>primary immunisation</w:t>
      </w:r>
      <w:r w:rsidR="00DC0499">
        <w:rPr>
          <w:rFonts w:asciiTheme="majorHAnsi" w:hAnsiTheme="majorHAnsi"/>
          <w:sz w:val="22"/>
          <w:szCs w:val="22"/>
          <w:vertAlign w:val="superscript"/>
        </w:rPr>
        <w:t>13</w:t>
      </w:r>
      <w:r w:rsidR="004E0187">
        <w:rPr>
          <w:rFonts w:asciiTheme="majorHAnsi" w:hAnsiTheme="majorHAnsi"/>
          <w:sz w:val="22"/>
          <w:szCs w:val="22"/>
        </w:rPr>
        <w:t>.</w:t>
      </w:r>
    </w:p>
    <w:p w14:paraId="70E4403F" w14:textId="77777777" w:rsidR="0057198B" w:rsidRPr="0057198B" w:rsidRDefault="0057198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459272E1" w14:textId="349E6956" w:rsidR="0057198B" w:rsidRDefault="0057198B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 w:rsidRPr="0057198B">
        <w:rPr>
          <w:rFonts w:asciiTheme="majorHAnsi" w:hAnsiTheme="majorHAnsi"/>
          <w:sz w:val="22"/>
          <w:szCs w:val="22"/>
        </w:rPr>
        <w:lastRenderedPageBreak/>
        <w:t xml:space="preserve">Following written, </w:t>
      </w:r>
      <w:r w:rsidR="00DE5DE6">
        <w:rPr>
          <w:rFonts w:asciiTheme="majorHAnsi" w:hAnsiTheme="majorHAnsi"/>
          <w:sz w:val="22"/>
          <w:szCs w:val="22"/>
        </w:rPr>
        <w:t xml:space="preserve">parental </w:t>
      </w:r>
      <w:r w:rsidRPr="0057198B">
        <w:rPr>
          <w:rFonts w:asciiTheme="majorHAnsi" w:hAnsiTheme="majorHAnsi"/>
          <w:sz w:val="22"/>
          <w:szCs w:val="22"/>
        </w:rPr>
        <w:t xml:space="preserve">informed consent, </w:t>
      </w:r>
      <w:r w:rsidR="00DE5DE6">
        <w:rPr>
          <w:rFonts w:asciiTheme="majorHAnsi" w:hAnsiTheme="majorHAnsi"/>
          <w:sz w:val="22"/>
          <w:szCs w:val="22"/>
        </w:rPr>
        <w:t xml:space="preserve">a venous blood sample </w:t>
      </w:r>
      <w:r w:rsidR="00F90EF5">
        <w:rPr>
          <w:rFonts w:asciiTheme="majorHAnsi" w:hAnsiTheme="majorHAnsi"/>
          <w:sz w:val="22"/>
          <w:szCs w:val="22"/>
        </w:rPr>
        <w:t>w</w:t>
      </w:r>
      <w:r w:rsidR="00700AFE">
        <w:rPr>
          <w:rFonts w:asciiTheme="majorHAnsi" w:hAnsiTheme="majorHAnsi"/>
          <w:sz w:val="22"/>
          <w:szCs w:val="22"/>
        </w:rPr>
        <w:t>as</w:t>
      </w:r>
      <w:r w:rsidR="00DE5DE6">
        <w:rPr>
          <w:rFonts w:asciiTheme="majorHAnsi" w:hAnsiTheme="majorHAnsi"/>
          <w:sz w:val="22"/>
          <w:szCs w:val="22"/>
        </w:rPr>
        <w:t xml:space="preserve"> collected </w:t>
      </w:r>
      <w:r w:rsidR="00EE7548">
        <w:rPr>
          <w:rFonts w:asciiTheme="majorHAnsi" w:hAnsiTheme="majorHAnsi"/>
          <w:sz w:val="22"/>
          <w:szCs w:val="22"/>
        </w:rPr>
        <w:t xml:space="preserve">at </w:t>
      </w:r>
      <w:r w:rsidR="006F76EA">
        <w:rPr>
          <w:rFonts w:asciiTheme="majorHAnsi" w:hAnsiTheme="majorHAnsi"/>
          <w:sz w:val="22"/>
          <w:szCs w:val="22"/>
        </w:rPr>
        <w:t xml:space="preserve">the first </w:t>
      </w:r>
      <w:r w:rsidR="00EE7548">
        <w:rPr>
          <w:rFonts w:asciiTheme="majorHAnsi" w:hAnsiTheme="majorHAnsi"/>
          <w:sz w:val="22"/>
          <w:szCs w:val="22"/>
        </w:rPr>
        <w:t xml:space="preserve">visit </w:t>
      </w:r>
      <w:r w:rsidR="00DE5DE6">
        <w:rPr>
          <w:rFonts w:asciiTheme="majorHAnsi" w:hAnsiTheme="majorHAnsi"/>
          <w:sz w:val="22"/>
          <w:szCs w:val="22"/>
        </w:rPr>
        <w:t xml:space="preserve">from the recruited </w:t>
      </w:r>
      <w:r w:rsidR="004E0187">
        <w:rPr>
          <w:rFonts w:asciiTheme="majorHAnsi" w:hAnsiTheme="majorHAnsi"/>
          <w:sz w:val="22"/>
          <w:szCs w:val="22"/>
        </w:rPr>
        <w:t>child</w:t>
      </w:r>
      <w:r w:rsidR="003162B8">
        <w:rPr>
          <w:rFonts w:asciiTheme="majorHAnsi" w:hAnsiTheme="majorHAnsi"/>
          <w:sz w:val="22"/>
          <w:szCs w:val="22"/>
        </w:rPr>
        <w:t xml:space="preserve"> prior to the receipt</w:t>
      </w:r>
      <w:r w:rsidR="00DE5DE6">
        <w:rPr>
          <w:rFonts w:asciiTheme="majorHAnsi" w:hAnsiTheme="majorHAnsi"/>
          <w:sz w:val="22"/>
          <w:szCs w:val="22"/>
        </w:rPr>
        <w:t xml:space="preserve"> of the preschool booster </w:t>
      </w:r>
      <w:r w:rsidR="00865C74">
        <w:rPr>
          <w:rFonts w:asciiTheme="majorHAnsi" w:hAnsiTheme="majorHAnsi"/>
          <w:sz w:val="22"/>
          <w:szCs w:val="22"/>
        </w:rPr>
        <w:t>with REPEVAX</w:t>
      </w:r>
      <w:r w:rsidR="00EA079B">
        <w:rPr>
          <w:rFonts w:asciiTheme="majorHAnsi" w:hAnsiTheme="majorHAnsi"/>
          <w:sz w:val="22"/>
          <w:szCs w:val="22"/>
        </w:rPr>
        <w:t>®</w:t>
      </w:r>
      <w:r w:rsidR="004612CD">
        <w:rPr>
          <w:rFonts w:asciiTheme="majorHAnsi" w:hAnsiTheme="majorHAnsi"/>
          <w:sz w:val="22"/>
          <w:szCs w:val="22"/>
        </w:rPr>
        <w:t xml:space="preserve"> </w:t>
      </w:r>
      <w:r w:rsidR="004612CD" w:rsidRPr="004612CD">
        <w:rPr>
          <w:rFonts w:asciiTheme="majorHAnsi" w:hAnsiTheme="majorHAnsi"/>
          <w:sz w:val="22"/>
          <w:szCs w:val="22"/>
        </w:rPr>
        <w:t>(dTaP</w:t>
      </w:r>
      <w:r w:rsidR="004612CD" w:rsidRPr="00C46C21">
        <w:rPr>
          <w:rFonts w:asciiTheme="majorHAnsi" w:hAnsiTheme="majorHAnsi"/>
          <w:sz w:val="22"/>
          <w:szCs w:val="22"/>
          <w:vertAlign w:val="subscript"/>
        </w:rPr>
        <w:t>5</w:t>
      </w:r>
      <w:r w:rsidR="004612CD" w:rsidRPr="004612CD">
        <w:rPr>
          <w:rFonts w:asciiTheme="majorHAnsi" w:hAnsiTheme="majorHAnsi"/>
          <w:sz w:val="22"/>
          <w:szCs w:val="22"/>
        </w:rPr>
        <w:t>-IPV; PT: 2.5 µg; FHA: 5 µg; PRN: 3 µg; FIM: 5 µg; Sanofi Pasteur</w:t>
      </w:r>
      <w:r w:rsidR="00DE5DE6">
        <w:rPr>
          <w:rFonts w:asciiTheme="majorHAnsi" w:hAnsiTheme="majorHAnsi"/>
          <w:sz w:val="22"/>
          <w:szCs w:val="22"/>
        </w:rPr>
        <w:t>) in accordance with the r</w:t>
      </w:r>
      <w:r w:rsidR="00F97AB3">
        <w:rPr>
          <w:rFonts w:asciiTheme="majorHAnsi" w:hAnsiTheme="majorHAnsi"/>
          <w:sz w:val="22"/>
          <w:szCs w:val="22"/>
        </w:rPr>
        <w:t>outine UK immunisation schedule</w:t>
      </w:r>
      <w:r w:rsidR="006F76EA">
        <w:rPr>
          <w:rFonts w:asciiTheme="majorHAnsi" w:hAnsiTheme="majorHAnsi"/>
          <w:sz w:val="22"/>
          <w:szCs w:val="22"/>
        </w:rPr>
        <w:t xml:space="preserve">. </w:t>
      </w:r>
      <w:r w:rsidR="00EE7548">
        <w:rPr>
          <w:rFonts w:asciiTheme="majorHAnsi" w:hAnsiTheme="majorHAnsi"/>
          <w:sz w:val="22"/>
          <w:szCs w:val="22"/>
        </w:rPr>
        <w:t xml:space="preserve">A further venous blood sample was collected at </w:t>
      </w:r>
      <w:r w:rsidR="006F76EA">
        <w:rPr>
          <w:rFonts w:asciiTheme="majorHAnsi" w:hAnsiTheme="majorHAnsi"/>
          <w:sz w:val="22"/>
          <w:szCs w:val="22"/>
        </w:rPr>
        <w:t>a second visit</w:t>
      </w:r>
      <w:r w:rsidR="00EE7548">
        <w:rPr>
          <w:rFonts w:asciiTheme="majorHAnsi" w:hAnsiTheme="majorHAnsi"/>
          <w:sz w:val="22"/>
          <w:szCs w:val="22"/>
        </w:rPr>
        <w:t xml:space="preserve">, around 1 month (range </w:t>
      </w:r>
      <w:r w:rsidR="004C2D86">
        <w:rPr>
          <w:rFonts w:asciiTheme="majorHAnsi" w:hAnsiTheme="majorHAnsi"/>
          <w:sz w:val="22"/>
          <w:szCs w:val="22"/>
        </w:rPr>
        <w:t>28</w:t>
      </w:r>
      <w:r w:rsidR="00EE7548">
        <w:rPr>
          <w:rFonts w:asciiTheme="majorHAnsi" w:hAnsiTheme="majorHAnsi"/>
          <w:sz w:val="22"/>
          <w:szCs w:val="22"/>
        </w:rPr>
        <w:t xml:space="preserve"> to </w:t>
      </w:r>
      <w:r w:rsidR="004C2D86">
        <w:rPr>
          <w:rFonts w:asciiTheme="majorHAnsi" w:hAnsiTheme="majorHAnsi"/>
          <w:sz w:val="22"/>
          <w:szCs w:val="22"/>
        </w:rPr>
        <w:t>3</w:t>
      </w:r>
      <w:r w:rsidR="00EE7548">
        <w:rPr>
          <w:rFonts w:asciiTheme="majorHAnsi" w:hAnsiTheme="majorHAnsi"/>
          <w:sz w:val="22"/>
          <w:szCs w:val="22"/>
        </w:rPr>
        <w:t xml:space="preserve">5 </w:t>
      </w:r>
      <w:r w:rsidR="004C2D86">
        <w:rPr>
          <w:rFonts w:asciiTheme="majorHAnsi" w:hAnsiTheme="majorHAnsi"/>
          <w:sz w:val="22"/>
          <w:szCs w:val="22"/>
        </w:rPr>
        <w:t>days</w:t>
      </w:r>
      <w:r w:rsidR="00EE7548">
        <w:rPr>
          <w:rFonts w:asciiTheme="majorHAnsi" w:hAnsiTheme="majorHAnsi"/>
          <w:sz w:val="22"/>
          <w:szCs w:val="22"/>
        </w:rPr>
        <w:t xml:space="preserve">) </w:t>
      </w:r>
      <w:r w:rsidR="00CB341B">
        <w:rPr>
          <w:rFonts w:asciiTheme="majorHAnsi" w:hAnsiTheme="majorHAnsi"/>
          <w:sz w:val="22"/>
          <w:szCs w:val="22"/>
        </w:rPr>
        <w:t>later</w:t>
      </w:r>
      <w:r w:rsidR="00EE7548">
        <w:rPr>
          <w:rFonts w:asciiTheme="majorHAnsi" w:hAnsiTheme="majorHAnsi"/>
          <w:sz w:val="22"/>
          <w:szCs w:val="22"/>
        </w:rPr>
        <w:t>.</w:t>
      </w:r>
    </w:p>
    <w:p w14:paraId="61FC1D3D" w14:textId="77777777" w:rsidR="003162B8" w:rsidRDefault="003162B8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2C29F8F8" w14:textId="43A82DC3" w:rsidR="0057198B" w:rsidRDefault="0057198B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 w:rsidRPr="0057198B">
        <w:rPr>
          <w:rFonts w:asciiTheme="majorHAnsi" w:hAnsiTheme="majorHAnsi"/>
          <w:sz w:val="22"/>
          <w:szCs w:val="22"/>
        </w:rPr>
        <w:t xml:space="preserve">The study </w:t>
      </w:r>
      <w:r w:rsidR="00960106">
        <w:rPr>
          <w:rFonts w:asciiTheme="majorHAnsi" w:hAnsiTheme="majorHAnsi"/>
          <w:sz w:val="22"/>
          <w:szCs w:val="22"/>
        </w:rPr>
        <w:t>was</w:t>
      </w:r>
      <w:r w:rsidR="001F38E4">
        <w:rPr>
          <w:rFonts w:asciiTheme="majorHAnsi" w:hAnsiTheme="majorHAnsi"/>
          <w:sz w:val="22"/>
          <w:szCs w:val="22"/>
        </w:rPr>
        <w:t xml:space="preserve"> </w:t>
      </w:r>
      <w:r w:rsidRPr="0057198B">
        <w:rPr>
          <w:rFonts w:asciiTheme="majorHAnsi" w:hAnsiTheme="majorHAnsi"/>
          <w:sz w:val="22"/>
          <w:szCs w:val="22"/>
        </w:rPr>
        <w:t xml:space="preserve">approved by the NHS Health Research Authority and </w:t>
      </w:r>
      <w:r w:rsidR="004E0187">
        <w:rPr>
          <w:rFonts w:asciiTheme="majorHAnsi" w:hAnsiTheme="majorHAnsi"/>
          <w:sz w:val="22"/>
          <w:szCs w:val="22"/>
        </w:rPr>
        <w:t>the London Brent</w:t>
      </w:r>
      <w:r w:rsidRPr="0057198B">
        <w:rPr>
          <w:rFonts w:asciiTheme="majorHAnsi" w:hAnsiTheme="majorHAnsi"/>
          <w:sz w:val="22"/>
          <w:szCs w:val="22"/>
        </w:rPr>
        <w:t xml:space="preserve"> Research Ethics </w:t>
      </w:r>
      <w:r w:rsidRPr="008046E2">
        <w:rPr>
          <w:rFonts w:asciiTheme="majorHAnsi" w:hAnsiTheme="majorHAnsi"/>
          <w:sz w:val="22"/>
          <w:szCs w:val="22"/>
        </w:rPr>
        <w:t>Committee (</w:t>
      </w:r>
      <w:r w:rsidR="004E0187" w:rsidRPr="008046E2">
        <w:rPr>
          <w:rFonts w:asciiTheme="majorHAnsi" w:hAnsiTheme="majorHAnsi" w:cs="Tahoma"/>
          <w:sz w:val="22"/>
          <w:szCs w:val="22"/>
        </w:rPr>
        <w:t>18/NW/0095</w:t>
      </w:r>
      <w:r w:rsidRPr="008046E2">
        <w:rPr>
          <w:rFonts w:asciiTheme="majorHAnsi" w:hAnsiTheme="majorHAnsi"/>
          <w:sz w:val="22"/>
          <w:szCs w:val="22"/>
        </w:rPr>
        <w:t>).</w:t>
      </w:r>
      <w:r w:rsidRPr="0057198B">
        <w:rPr>
          <w:rFonts w:asciiTheme="majorHAnsi" w:hAnsiTheme="majorHAnsi"/>
          <w:sz w:val="22"/>
          <w:szCs w:val="22"/>
        </w:rPr>
        <w:t xml:space="preserve"> </w:t>
      </w:r>
      <w:r w:rsidR="00062B7B">
        <w:rPr>
          <w:rFonts w:asciiTheme="majorHAnsi" w:hAnsiTheme="majorHAnsi"/>
          <w:sz w:val="22"/>
          <w:szCs w:val="22"/>
        </w:rPr>
        <w:t>Children were r</w:t>
      </w:r>
      <w:r w:rsidR="001F38E4">
        <w:rPr>
          <w:rFonts w:asciiTheme="majorHAnsi" w:hAnsiTheme="majorHAnsi"/>
          <w:sz w:val="22"/>
          <w:szCs w:val="22"/>
        </w:rPr>
        <w:t>ecruit</w:t>
      </w:r>
      <w:r w:rsidR="007F5A0F">
        <w:rPr>
          <w:rFonts w:asciiTheme="majorHAnsi" w:hAnsiTheme="majorHAnsi"/>
          <w:sz w:val="22"/>
          <w:szCs w:val="22"/>
        </w:rPr>
        <w:t>ed</w:t>
      </w:r>
      <w:r w:rsidR="001F38E4">
        <w:rPr>
          <w:rFonts w:asciiTheme="majorHAnsi" w:hAnsiTheme="majorHAnsi"/>
          <w:sz w:val="22"/>
          <w:szCs w:val="22"/>
        </w:rPr>
        <w:t xml:space="preserve"> </w:t>
      </w:r>
      <w:r w:rsidR="00062B7B">
        <w:rPr>
          <w:rFonts w:asciiTheme="majorHAnsi" w:hAnsiTheme="majorHAnsi"/>
          <w:sz w:val="22"/>
          <w:szCs w:val="22"/>
        </w:rPr>
        <w:t xml:space="preserve">from </w:t>
      </w:r>
      <w:r w:rsidR="001F38E4">
        <w:rPr>
          <w:rFonts w:asciiTheme="majorHAnsi" w:hAnsiTheme="majorHAnsi"/>
          <w:sz w:val="22"/>
          <w:szCs w:val="22"/>
        </w:rPr>
        <w:t>3 sites in England; St George’s University of London, University of Oxford and Gloucestershire Hospitals NHS Foundation Trust.</w:t>
      </w:r>
    </w:p>
    <w:p w14:paraId="01572565" w14:textId="77777777" w:rsidR="00F97AB3" w:rsidRPr="0057198B" w:rsidRDefault="00F97AB3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614107A0" w14:textId="77777777" w:rsidR="0057198B" w:rsidRPr="003C0435" w:rsidRDefault="0057198B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 w:rsidRPr="003C0435">
        <w:rPr>
          <w:rFonts w:asciiTheme="majorHAnsi" w:hAnsiTheme="majorHAnsi"/>
          <w:b/>
          <w:sz w:val="22"/>
          <w:szCs w:val="22"/>
        </w:rPr>
        <w:t>Outcomes</w:t>
      </w:r>
    </w:p>
    <w:p w14:paraId="12FC80BB" w14:textId="07C5EDA3" w:rsidR="00BF57EC" w:rsidRDefault="00F90EF5" w:rsidP="001557AE">
      <w:pPr>
        <w:spacing w:line="480" w:lineRule="auto"/>
        <w:rPr>
          <w:rFonts w:cs="Arial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The primary outcome was </w:t>
      </w:r>
      <w:r w:rsidR="00BC312D">
        <w:rPr>
          <w:rFonts w:asciiTheme="majorHAnsi" w:hAnsiTheme="majorHAnsi"/>
          <w:sz w:val="22"/>
          <w:szCs w:val="22"/>
        </w:rPr>
        <w:t xml:space="preserve">the </w:t>
      </w:r>
      <w:r>
        <w:rPr>
          <w:rFonts w:asciiTheme="majorHAnsi" w:hAnsiTheme="majorHAnsi"/>
          <w:sz w:val="22"/>
          <w:szCs w:val="22"/>
        </w:rPr>
        <w:t>fold-</w:t>
      </w:r>
      <w:r w:rsidR="0057198B" w:rsidRPr="0057198B">
        <w:rPr>
          <w:rFonts w:asciiTheme="majorHAnsi" w:hAnsiTheme="majorHAnsi"/>
          <w:sz w:val="22"/>
          <w:szCs w:val="22"/>
        </w:rPr>
        <w:t>difference</w:t>
      </w:r>
      <w:r w:rsidR="00BC312D">
        <w:rPr>
          <w:rFonts w:asciiTheme="majorHAnsi" w:hAnsiTheme="majorHAnsi"/>
          <w:sz w:val="22"/>
          <w:szCs w:val="22"/>
        </w:rPr>
        <w:t>s</w:t>
      </w:r>
      <w:r w:rsidR="0057198B" w:rsidRPr="0057198B">
        <w:rPr>
          <w:rFonts w:asciiTheme="majorHAnsi" w:hAnsiTheme="majorHAnsi"/>
          <w:sz w:val="22"/>
          <w:szCs w:val="22"/>
        </w:rPr>
        <w:t xml:space="preserve"> in anti-</w:t>
      </w:r>
      <w:r>
        <w:rPr>
          <w:rFonts w:asciiTheme="majorHAnsi" w:hAnsiTheme="majorHAnsi"/>
          <w:sz w:val="22"/>
          <w:szCs w:val="22"/>
        </w:rPr>
        <w:t>PT</w:t>
      </w:r>
      <w:r w:rsidR="0057198B" w:rsidRPr="0057198B">
        <w:rPr>
          <w:rFonts w:asciiTheme="majorHAnsi" w:hAnsiTheme="majorHAnsi"/>
          <w:sz w:val="22"/>
          <w:szCs w:val="22"/>
        </w:rPr>
        <w:t xml:space="preserve"> immunoglobulin G (IgG) GMC</w:t>
      </w:r>
      <w:r w:rsidR="00BC312D">
        <w:rPr>
          <w:rFonts w:asciiTheme="majorHAnsi" w:hAnsiTheme="majorHAnsi"/>
          <w:sz w:val="22"/>
          <w:szCs w:val="22"/>
        </w:rPr>
        <w:t>s</w:t>
      </w:r>
      <w:r w:rsidR="0057198B" w:rsidRPr="0057198B">
        <w:rPr>
          <w:rFonts w:asciiTheme="majorHAnsi" w:hAnsiTheme="majorHAnsi"/>
          <w:sz w:val="22"/>
          <w:szCs w:val="22"/>
        </w:rPr>
        <w:t xml:space="preserve"> in </w:t>
      </w:r>
      <w:r>
        <w:rPr>
          <w:rFonts w:asciiTheme="majorHAnsi" w:hAnsiTheme="majorHAnsi"/>
          <w:sz w:val="22"/>
          <w:szCs w:val="22"/>
        </w:rPr>
        <w:t xml:space="preserve">children </w:t>
      </w:r>
      <w:r w:rsidRPr="002B6479">
        <w:rPr>
          <w:rFonts w:asciiTheme="majorHAnsi" w:hAnsiTheme="majorHAnsi"/>
          <w:sz w:val="22"/>
          <w:szCs w:val="22"/>
        </w:rPr>
        <w:t xml:space="preserve">at preschool age before receipt of </w:t>
      </w:r>
      <w:r>
        <w:rPr>
          <w:rFonts w:asciiTheme="majorHAnsi" w:hAnsiTheme="majorHAnsi"/>
          <w:sz w:val="22"/>
          <w:szCs w:val="22"/>
        </w:rPr>
        <w:t xml:space="preserve">the </w:t>
      </w:r>
      <w:r w:rsidRPr="002B6479">
        <w:rPr>
          <w:rFonts w:asciiTheme="majorHAnsi" w:hAnsiTheme="majorHAnsi"/>
          <w:sz w:val="22"/>
          <w:szCs w:val="22"/>
        </w:rPr>
        <w:t>preschool booster</w:t>
      </w:r>
      <w:r>
        <w:rPr>
          <w:rFonts w:asciiTheme="majorHAnsi" w:hAnsiTheme="majorHAnsi"/>
          <w:sz w:val="22"/>
          <w:szCs w:val="22"/>
        </w:rPr>
        <w:t>, between those</w:t>
      </w:r>
      <w:r w:rsidRPr="002B6479">
        <w:rPr>
          <w:rFonts w:asciiTheme="majorHAnsi" w:hAnsiTheme="majorHAnsi"/>
          <w:sz w:val="22"/>
          <w:szCs w:val="22"/>
        </w:rPr>
        <w:t xml:space="preserve"> born to </w:t>
      </w:r>
      <w:r>
        <w:rPr>
          <w:rFonts w:asciiTheme="majorHAnsi" w:hAnsiTheme="majorHAnsi"/>
          <w:sz w:val="22"/>
          <w:szCs w:val="22"/>
        </w:rPr>
        <w:t xml:space="preserve">women who </w:t>
      </w:r>
      <w:r w:rsidRPr="00E239FE">
        <w:rPr>
          <w:rFonts w:asciiTheme="majorHAnsi" w:hAnsiTheme="majorHAnsi"/>
          <w:sz w:val="22"/>
          <w:szCs w:val="22"/>
        </w:rPr>
        <w:t>receive</w:t>
      </w:r>
      <w:r>
        <w:rPr>
          <w:rFonts w:asciiTheme="majorHAnsi" w:hAnsiTheme="majorHAnsi"/>
          <w:sz w:val="22"/>
          <w:szCs w:val="22"/>
        </w:rPr>
        <w:t>d</w:t>
      </w:r>
      <w:r w:rsidRPr="00E239FE">
        <w:rPr>
          <w:rFonts w:asciiTheme="majorHAnsi" w:hAnsiTheme="majorHAnsi"/>
          <w:sz w:val="22"/>
          <w:szCs w:val="22"/>
        </w:rPr>
        <w:t xml:space="preserve"> one of </w:t>
      </w:r>
      <w:r>
        <w:rPr>
          <w:rFonts w:asciiTheme="majorHAnsi" w:hAnsiTheme="majorHAnsi"/>
          <w:sz w:val="22"/>
          <w:szCs w:val="22"/>
        </w:rPr>
        <w:t xml:space="preserve">the </w:t>
      </w:r>
      <w:r w:rsidRPr="00E239FE">
        <w:rPr>
          <w:rFonts w:asciiTheme="majorHAnsi" w:hAnsiTheme="majorHAnsi"/>
          <w:sz w:val="22"/>
          <w:szCs w:val="22"/>
        </w:rPr>
        <w:t xml:space="preserve">two pertussis-containing </w:t>
      </w:r>
      <w:r>
        <w:rPr>
          <w:rFonts w:asciiTheme="majorHAnsi" w:hAnsiTheme="majorHAnsi"/>
          <w:sz w:val="22"/>
          <w:szCs w:val="22"/>
        </w:rPr>
        <w:t xml:space="preserve">antenatal </w:t>
      </w:r>
      <w:r w:rsidRPr="00E239FE">
        <w:rPr>
          <w:rFonts w:asciiTheme="majorHAnsi" w:hAnsiTheme="majorHAnsi"/>
          <w:sz w:val="22"/>
          <w:szCs w:val="22"/>
        </w:rPr>
        <w:t>vaccines</w:t>
      </w:r>
      <w:r w:rsidR="009836E6">
        <w:rPr>
          <w:rFonts w:asciiTheme="majorHAnsi" w:hAnsiTheme="majorHAnsi"/>
          <w:sz w:val="22"/>
          <w:szCs w:val="22"/>
        </w:rPr>
        <w:t>, REPEVAX</w:t>
      </w:r>
      <w:r w:rsidR="00DC0499" w:rsidRPr="00B87DF5">
        <w:rPr>
          <w:rFonts w:asciiTheme="majorHAnsi" w:hAnsiTheme="majorHAnsi"/>
          <w:sz w:val="22"/>
          <w:szCs w:val="22"/>
        </w:rPr>
        <w:t>®</w:t>
      </w:r>
      <w:r w:rsidR="00DC0499">
        <w:rPr>
          <w:rFonts w:asciiTheme="majorHAnsi" w:hAnsiTheme="majorHAnsi"/>
          <w:sz w:val="22"/>
          <w:szCs w:val="22"/>
        </w:rPr>
        <w:t xml:space="preserve"> or</w:t>
      </w:r>
      <w:r w:rsidR="009836E6" w:rsidRPr="009836E6">
        <w:rPr>
          <w:rFonts w:asciiTheme="majorHAnsi" w:hAnsiTheme="majorHAnsi"/>
          <w:sz w:val="22"/>
          <w:szCs w:val="22"/>
        </w:rPr>
        <w:t xml:space="preserve"> </w:t>
      </w:r>
      <w:r w:rsidR="009836E6">
        <w:rPr>
          <w:rFonts w:asciiTheme="majorHAnsi" w:hAnsiTheme="majorHAnsi"/>
          <w:sz w:val="22"/>
          <w:szCs w:val="22"/>
        </w:rPr>
        <w:t>BOOSTRIX-IPV® (dTaP</w:t>
      </w:r>
      <w:r w:rsidR="009836E6" w:rsidRPr="003F6D31">
        <w:rPr>
          <w:rFonts w:asciiTheme="majorHAnsi" w:hAnsiTheme="majorHAnsi"/>
          <w:sz w:val="22"/>
          <w:szCs w:val="22"/>
          <w:vertAlign w:val="subscript"/>
        </w:rPr>
        <w:t>3</w:t>
      </w:r>
      <w:r w:rsidR="009836E6">
        <w:rPr>
          <w:rFonts w:asciiTheme="majorHAnsi" w:hAnsiTheme="majorHAnsi"/>
          <w:sz w:val="22"/>
          <w:szCs w:val="22"/>
        </w:rPr>
        <w:t xml:space="preserve">-IPV; </w:t>
      </w:r>
      <w:r w:rsidR="009836E6" w:rsidRPr="005A41DD">
        <w:rPr>
          <w:rFonts w:asciiTheme="majorHAnsi" w:hAnsiTheme="majorHAnsi"/>
          <w:sz w:val="22"/>
          <w:szCs w:val="22"/>
        </w:rPr>
        <w:t>PT: 8 µg; FHA: 8 µg; PRN: 2.5 µg</w:t>
      </w:r>
      <w:r w:rsidR="009836E6">
        <w:rPr>
          <w:rFonts w:asciiTheme="majorHAnsi" w:hAnsiTheme="majorHAnsi"/>
          <w:sz w:val="22"/>
          <w:szCs w:val="22"/>
        </w:rPr>
        <w:t xml:space="preserve">; Glaxo Smith Kline), </w:t>
      </w:r>
      <w:r>
        <w:rPr>
          <w:rFonts w:asciiTheme="majorHAnsi" w:hAnsiTheme="majorHAnsi"/>
          <w:sz w:val="22"/>
          <w:szCs w:val="22"/>
        </w:rPr>
        <w:t xml:space="preserve">to those born to women who did not. </w:t>
      </w:r>
      <w:r w:rsidR="00BF57EC">
        <w:rPr>
          <w:rFonts w:asciiTheme="majorHAnsi" w:hAnsiTheme="majorHAnsi"/>
          <w:sz w:val="22"/>
          <w:szCs w:val="22"/>
        </w:rPr>
        <w:t>Secondary outcomes included the fold-difference</w:t>
      </w:r>
      <w:r w:rsidR="00BC312D">
        <w:rPr>
          <w:rFonts w:asciiTheme="majorHAnsi" w:hAnsiTheme="majorHAnsi"/>
          <w:sz w:val="22"/>
          <w:szCs w:val="22"/>
        </w:rPr>
        <w:t>s</w:t>
      </w:r>
      <w:r w:rsidR="00BF57EC">
        <w:rPr>
          <w:rFonts w:asciiTheme="majorHAnsi" w:hAnsiTheme="majorHAnsi"/>
          <w:sz w:val="22"/>
          <w:szCs w:val="22"/>
        </w:rPr>
        <w:t xml:space="preserve"> in anti-PT IgG GMC in </w:t>
      </w:r>
      <w:r w:rsidR="00F97AB3">
        <w:rPr>
          <w:rFonts w:asciiTheme="majorHAnsi" w:hAnsiTheme="majorHAnsi"/>
          <w:sz w:val="22"/>
          <w:szCs w:val="22"/>
        </w:rPr>
        <w:t xml:space="preserve">the </w:t>
      </w:r>
      <w:r w:rsidR="00BF57EC">
        <w:rPr>
          <w:rFonts w:asciiTheme="majorHAnsi" w:hAnsiTheme="majorHAnsi"/>
          <w:sz w:val="22"/>
          <w:szCs w:val="22"/>
        </w:rPr>
        <w:t xml:space="preserve">children 1 month after the receipt of the preschool booster, and the fold-differences in anti-FHA, anti-FIM, anti-PRN, </w:t>
      </w:r>
      <w:r w:rsidR="00BC312D">
        <w:rPr>
          <w:rFonts w:asciiTheme="majorHAnsi" w:hAnsiTheme="majorHAnsi"/>
          <w:sz w:val="22"/>
          <w:szCs w:val="22"/>
        </w:rPr>
        <w:t xml:space="preserve">anti-diphtheria toxoid (anti-DT) and </w:t>
      </w:r>
      <w:r w:rsidR="00BF57EC">
        <w:rPr>
          <w:rFonts w:asciiTheme="majorHAnsi" w:hAnsiTheme="majorHAnsi"/>
          <w:sz w:val="22"/>
          <w:szCs w:val="22"/>
        </w:rPr>
        <w:t xml:space="preserve">anti-tetanus toxoid </w:t>
      </w:r>
      <w:r w:rsidR="00BC312D">
        <w:rPr>
          <w:rFonts w:asciiTheme="majorHAnsi" w:hAnsiTheme="majorHAnsi"/>
          <w:sz w:val="22"/>
          <w:szCs w:val="22"/>
        </w:rPr>
        <w:t>(anti-TT)</w:t>
      </w:r>
      <w:r w:rsidR="00BF57EC">
        <w:rPr>
          <w:rFonts w:asciiTheme="majorHAnsi" w:hAnsiTheme="majorHAnsi"/>
          <w:sz w:val="22"/>
          <w:szCs w:val="22"/>
        </w:rPr>
        <w:t xml:space="preserve"> IgG GMCs in </w:t>
      </w:r>
      <w:r w:rsidR="00F97AB3">
        <w:rPr>
          <w:rFonts w:asciiTheme="majorHAnsi" w:hAnsiTheme="majorHAnsi"/>
          <w:sz w:val="22"/>
          <w:szCs w:val="22"/>
        </w:rPr>
        <w:t xml:space="preserve">the </w:t>
      </w:r>
      <w:r w:rsidR="00BF57EC">
        <w:rPr>
          <w:rFonts w:asciiTheme="majorHAnsi" w:hAnsiTheme="majorHAnsi"/>
          <w:sz w:val="22"/>
          <w:szCs w:val="22"/>
        </w:rPr>
        <w:t xml:space="preserve">children prior to and 1 month after the receipt of the preschool booster. </w:t>
      </w:r>
    </w:p>
    <w:p w14:paraId="3E57819F" w14:textId="77777777" w:rsidR="0057198B" w:rsidRPr="0057198B" w:rsidRDefault="0057198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3E1488BA" w14:textId="264950A7" w:rsidR="0057198B" w:rsidRPr="00F97AB3" w:rsidRDefault="0057198B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 w:rsidRPr="00F97AB3">
        <w:rPr>
          <w:rFonts w:asciiTheme="majorHAnsi" w:hAnsiTheme="majorHAnsi"/>
          <w:b/>
          <w:sz w:val="22"/>
          <w:szCs w:val="22"/>
        </w:rPr>
        <w:t xml:space="preserve">Laboratory </w:t>
      </w:r>
    </w:p>
    <w:p w14:paraId="34CE2ADA" w14:textId="5F7532B4" w:rsidR="0057198B" w:rsidRPr="0057198B" w:rsidRDefault="00052127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Blood samples were shipped on the same day of collection (or the next working day and stored in a temperature-monitored refrigerator </w:t>
      </w:r>
      <w:r w:rsidR="00E044CD">
        <w:rPr>
          <w:rFonts w:asciiTheme="majorHAnsi" w:hAnsiTheme="majorHAnsi"/>
          <w:sz w:val="22"/>
          <w:szCs w:val="22"/>
        </w:rPr>
        <w:t>between 2</w:t>
      </w:r>
      <w:r w:rsidR="00E044CD" w:rsidRPr="00052127">
        <w:rPr>
          <w:rFonts w:asciiTheme="majorHAnsi" w:hAnsiTheme="majorHAnsi"/>
          <w:sz w:val="22"/>
          <w:szCs w:val="22"/>
          <w:vertAlign w:val="superscript"/>
        </w:rPr>
        <w:t>o</w:t>
      </w:r>
      <w:r w:rsidR="00E044CD">
        <w:rPr>
          <w:rFonts w:asciiTheme="majorHAnsi" w:hAnsiTheme="majorHAnsi"/>
          <w:sz w:val="22"/>
          <w:szCs w:val="22"/>
        </w:rPr>
        <w:t>C to 8</w:t>
      </w:r>
      <w:r w:rsidR="00E044CD" w:rsidRPr="00052127">
        <w:rPr>
          <w:rFonts w:asciiTheme="majorHAnsi" w:hAnsiTheme="majorHAnsi"/>
          <w:sz w:val="22"/>
          <w:szCs w:val="22"/>
          <w:vertAlign w:val="superscript"/>
        </w:rPr>
        <w:t>o</w:t>
      </w:r>
      <w:r w:rsidR="00E044CD">
        <w:rPr>
          <w:rFonts w:asciiTheme="majorHAnsi" w:hAnsiTheme="majorHAnsi"/>
          <w:sz w:val="22"/>
          <w:szCs w:val="22"/>
        </w:rPr>
        <w:t xml:space="preserve">C </w:t>
      </w:r>
      <w:r>
        <w:rPr>
          <w:rFonts w:asciiTheme="majorHAnsi" w:hAnsiTheme="majorHAnsi"/>
          <w:sz w:val="22"/>
          <w:szCs w:val="22"/>
        </w:rPr>
        <w:t xml:space="preserve">until time of shipment) to </w:t>
      </w:r>
      <w:r w:rsidR="00F710F4">
        <w:rPr>
          <w:rFonts w:asciiTheme="majorHAnsi" w:hAnsiTheme="majorHAnsi"/>
          <w:sz w:val="22"/>
          <w:szCs w:val="22"/>
        </w:rPr>
        <w:t xml:space="preserve">the Immunoassay Group (IAG) Laboratory at </w:t>
      </w:r>
      <w:r>
        <w:rPr>
          <w:rFonts w:asciiTheme="majorHAnsi" w:hAnsiTheme="majorHAnsi"/>
          <w:sz w:val="22"/>
          <w:szCs w:val="22"/>
        </w:rPr>
        <w:t>P</w:t>
      </w:r>
      <w:r w:rsidR="00F710F4">
        <w:rPr>
          <w:rFonts w:asciiTheme="majorHAnsi" w:hAnsiTheme="majorHAnsi"/>
          <w:sz w:val="22"/>
          <w:szCs w:val="22"/>
        </w:rPr>
        <w:t xml:space="preserve">ublic Heath England (PHE) via </w:t>
      </w:r>
      <w:r>
        <w:rPr>
          <w:rFonts w:asciiTheme="majorHAnsi" w:hAnsiTheme="majorHAnsi"/>
          <w:sz w:val="22"/>
          <w:szCs w:val="22"/>
        </w:rPr>
        <w:t xml:space="preserve">tracked </w:t>
      </w:r>
      <w:r w:rsidRPr="00052127">
        <w:rPr>
          <w:rFonts w:asciiTheme="majorHAnsi" w:hAnsiTheme="majorHAnsi"/>
          <w:sz w:val="22"/>
          <w:szCs w:val="22"/>
        </w:rPr>
        <w:t>n</w:t>
      </w:r>
      <w:r w:rsidR="00F710F4">
        <w:rPr>
          <w:rFonts w:asciiTheme="majorHAnsi" w:hAnsiTheme="majorHAnsi"/>
          <w:sz w:val="22"/>
          <w:szCs w:val="22"/>
        </w:rPr>
        <w:t>ext-</w:t>
      </w:r>
      <w:r w:rsidRPr="00052127">
        <w:rPr>
          <w:rFonts w:asciiTheme="majorHAnsi" w:hAnsiTheme="majorHAnsi"/>
          <w:sz w:val="22"/>
          <w:szCs w:val="22"/>
        </w:rPr>
        <w:lastRenderedPageBreak/>
        <w:t>day delivery service</w:t>
      </w:r>
      <w:r>
        <w:rPr>
          <w:rFonts w:asciiTheme="majorHAnsi" w:hAnsiTheme="majorHAnsi"/>
          <w:sz w:val="22"/>
          <w:szCs w:val="22"/>
        </w:rPr>
        <w:t xml:space="preserve">, where the serum were separated, </w:t>
      </w:r>
      <w:r w:rsidR="00F710F4">
        <w:rPr>
          <w:rFonts w:asciiTheme="majorHAnsi" w:hAnsiTheme="majorHAnsi"/>
          <w:sz w:val="22"/>
          <w:szCs w:val="22"/>
        </w:rPr>
        <w:t>ali</w:t>
      </w:r>
      <w:r w:rsidR="00E044CD">
        <w:rPr>
          <w:rFonts w:asciiTheme="majorHAnsi" w:hAnsiTheme="majorHAnsi"/>
          <w:sz w:val="22"/>
          <w:szCs w:val="22"/>
        </w:rPr>
        <w:t>quoted and frozen at less than -</w:t>
      </w:r>
      <w:r w:rsidR="00F710F4">
        <w:rPr>
          <w:rFonts w:asciiTheme="majorHAnsi" w:hAnsiTheme="majorHAnsi"/>
          <w:sz w:val="22"/>
          <w:szCs w:val="22"/>
        </w:rPr>
        <w:t>6</w:t>
      </w:r>
      <w:r w:rsidRPr="00052127">
        <w:rPr>
          <w:rFonts w:asciiTheme="majorHAnsi" w:hAnsiTheme="majorHAnsi"/>
          <w:sz w:val="22"/>
          <w:szCs w:val="22"/>
        </w:rPr>
        <w:t>0</w:t>
      </w:r>
      <w:r w:rsidRPr="00052127">
        <w:rPr>
          <w:rFonts w:asciiTheme="majorHAnsi" w:hAnsiTheme="majorHAnsi"/>
          <w:sz w:val="22"/>
          <w:szCs w:val="22"/>
          <w:vertAlign w:val="superscript"/>
        </w:rPr>
        <w:t>o</w:t>
      </w:r>
      <w:r w:rsidR="00F710F4">
        <w:rPr>
          <w:rFonts w:asciiTheme="majorHAnsi" w:hAnsiTheme="majorHAnsi"/>
          <w:sz w:val="22"/>
          <w:szCs w:val="22"/>
        </w:rPr>
        <w:t>C</w:t>
      </w:r>
      <w:r w:rsidR="00E044CD">
        <w:rPr>
          <w:rFonts w:asciiTheme="majorHAnsi" w:hAnsiTheme="majorHAnsi"/>
          <w:sz w:val="22"/>
          <w:szCs w:val="22"/>
        </w:rPr>
        <w:t>,</w:t>
      </w:r>
      <w:r w:rsidR="00F710F4">
        <w:rPr>
          <w:rFonts w:asciiTheme="majorHAnsi" w:hAnsiTheme="majorHAnsi"/>
          <w:sz w:val="22"/>
          <w:szCs w:val="22"/>
        </w:rPr>
        <w:t xml:space="preserve"> before being tested </w:t>
      </w:r>
      <w:r w:rsidR="009A2738">
        <w:rPr>
          <w:rFonts w:asciiTheme="majorHAnsi" w:hAnsiTheme="majorHAnsi"/>
          <w:sz w:val="22"/>
          <w:szCs w:val="22"/>
        </w:rPr>
        <w:t>for the IgG</w:t>
      </w:r>
      <w:r w:rsidR="00F710F4">
        <w:rPr>
          <w:rFonts w:asciiTheme="majorHAnsi" w:hAnsiTheme="majorHAnsi"/>
          <w:sz w:val="22"/>
          <w:szCs w:val="22"/>
        </w:rPr>
        <w:t xml:space="preserve"> antibodies</w:t>
      </w:r>
      <w:r w:rsidR="009A2738">
        <w:rPr>
          <w:rFonts w:asciiTheme="majorHAnsi" w:hAnsiTheme="majorHAnsi"/>
          <w:sz w:val="22"/>
          <w:szCs w:val="22"/>
        </w:rPr>
        <w:t xml:space="preserve"> against</w:t>
      </w:r>
      <w:r w:rsidR="0057198B" w:rsidRPr="0057198B">
        <w:rPr>
          <w:rFonts w:asciiTheme="majorHAnsi" w:hAnsiTheme="majorHAnsi"/>
          <w:sz w:val="22"/>
          <w:szCs w:val="22"/>
        </w:rPr>
        <w:t xml:space="preserve"> PT, FHA, </w:t>
      </w:r>
      <w:r w:rsidR="00F97AB3">
        <w:rPr>
          <w:rFonts w:asciiTheme="majorHAnsi" w:hAnsiTheme="majorHAnsi"/>
          <w:sz w:val="22"/>
          <w:szCs w:val="22"/>
        </w:rPr>
        <w:t xml:space="preserve">FIM, PRN, </w:t>
      </w:r>
      <w:r w:rsidR="00BC312D">
        <w:rPr>
          <w:rFonts w:asciiTheme="majorHAnsi" w:hAnsiTheme="majorHAnsi"/>
          <w:sz w:val="22"/>
          <w:szCs w:val="22"/>
        </w:rPr>
        <w:t>DT and TT</w:t>
      </w:r>
      <w:r w:rsidR="009A2738">
        <w:rPr>
          <w:rFonts w:asciiTheme="majorHAnsi" w:hAnsiTheme="majorHAnsi"/>
          <w:sz w:val="22"/>
          <w:szCs w:val="22"/>
        </w:rPr>
        <w:t xml:space="preserve">, </w:t>
      </w:r>
      <w:r w:rsidR="0057198B" w:rsidRPr="0057198B">
        <w:rPr>
          <w:rFonts w:asciiTheme="majorHAnsi" w:hAnsiTheme="majorHAnsi"/>
          <w:sz w:val="22"/>
          <w:szCs w:val="22"/>
        </w:rPr>
        <w:t>using enzyme-linke</w:t>
      </w:r>
      <w:r w:rsidR="00F97AB3">
        <w:rPr>
          <w:rFonts w:asciiTheme="majorHAnsi" w:hAnsiTheme="majorHAnsi"/>
          <w:sz w:val="22"/>
          <w:szCs w:val="22"/>
        </w:rPr>
        <w:t>d</w:t>
      </w:r>
      <w:r w:rsidR="00F710F4">
        <w:rPr>
          <w:rFonts w:asciiTheme="majorHAnsi" w:hAnsiTheme="majorHAnsi"/>
          <w:sz w:val="22"/>
          <w:szCs w:val="22"/>
        </w:rPr>
        <w:t xml:space="preserve"> immunosorbent assays (ELISAs)</w:t>
      </w:r>
      <w:r>
        <w:rPr>
          <w:rFonts w:asciiTheme="majorHAnsi" w:hAnsiTheme="majorHAnsi"/>
          <w:sz w:val="22"/>
          <w:szCs w:val="22"/>
        </w:rPr>
        <w:t xml:space="preserve">. </w:t>
      </w:r>
      <w:r w:rsidR="00CB341B">
        <w:rPr>
          <w:rFonts w:asciiTheme="majorHAnsi" w:hAnsiTheme="majorHAnsi"/>
          <w:sz w:val="22"/>
          <w:szCs w:val="22"/>
        </w:rPr>
        <w:t xml:space="preserve">Further details are provided in the </w:t>
      </w:r>
      <w:r w:rsidR="00170EF5">
        <w:rPr>
          <w:rFonts w:asciiTheme="majorHAnsi" w:hAnsiTheme="majorHAnsi"/>
          <w:sz w:val="22"/>
          <w:szCs w:val="22"/>
        </w:rPr>
        <w:t>Supplementary Paragraph</w:t>
      </w:r>
      <w:r w:rsidR="00CB341B">
        <w:rPr>
          <w:rFonts w:asciiTheme="majorHAnsi" w:hAnsiTheme="majorHAnsi"/>
          <w:sz w:val="22"/>
          <w:szCs w:val="22"/>
        </w:rPr>
        <w:t xml:space="preserve">. </w:t>
      </w:r>
    </w:p>
    <w:p w14:paraId="644EBA85" w14:textId="77777777" w:rsidR="0057198B" w:rsidRPr="0057198B" w:rsidRDefault="0057198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3B566B8A" w14:textId="77777777" w:rsidR="0057198B" w:rsidRPr="001B6C64" w:rsidRDefault="0057198B" w:rsidP="001557AE">
      <w:pPr>
        <w:spacing w:line="480" w:lineRule="auto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1B6C64">
        <w:rPr>
          <w:rFonts w:asciiTheme="majorHAnsi" w:hAnsiTheme="majorHAnsi"/>
          <w:b/>
          <w:color w:val="000000" w:themeColor="text1"/>
          <w:sz w:val="22"/>
          <w:szCs w:val="22"/>
        </w:rPr>
        <w:t>Statistical methods</w:t>
      </w:r>
    </w:p>
    <w:p w14:paraId="09872DD1" w14:textId="6867EE6F" w:rsidR="003B0351" w:rsidRDefault="00CB341B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The s</w:t>
      </w:r>
      <w:r w:rsidR="0057198B" w:rsidRPr="0057198B">
        <w:rPr>
          <w:rFonts w:asciiTheme="majorHAnsi" w:hAnsiTheme="majorHAnsi"/>
          <w:sz w:val="22"/>
          <w:szCs w:val="22"/>
        </w:rPr>
        <w:t xml:space="preserve">ample size calculation was based on </w:t>
      </w:r>
      <w:r w:rsidR="00A55FE4">
        <w:rPr>
          <w:rFonts w:asciiTheme="majorHAnsi" w:hAnsiTheme="majorHAnsi"/>
          <w:sz w:val="22"/>
          <w:szCs w:val="22"/>
        </w:rPr>
        <w:t xml:space="preserve">an estimation that </w:t>
      </w:r>
      <w:r w:rsidR="00A55FE4" w:rsidRPr="00A55FE4">
        <w:rPr>
          <w:rFonts w:asciiTheme="majorHAnsi" w:hAnsiTheme="majorHAnsi"/>
          <w:sz w:val="22"/>
          <w:szCs w:val="22"/>
        </w:rPr>
        <w:t xml:space="preserve">approximately 50% of the </w:t>
      </w:r>
      <w:r w:rsidR="00382622">
        <w:rPr>
          <w:rFonts w:asciiTheme="majorHAnsi" w:hAnsiTheme="majorHAnsi"/>
          <w:sz w:val="22"/>
          <w:szCs w:val="22"/>
        </w:rPr>
        <w:t xml:space="preserve">children </w:t>
      </w:r>
      <w:r w:rsidR="00DF45F1">
        <w:rPr>
          <w:rFonts w:asciiTheme="majorHAnsi" w:hAnsiTheme="majorHAnsi"/>
          <w:sz w:val="22"/>
          <w:szCs w:val="22"/>
        </w:rPr>
        <w:t xml:space="preserve">who </w:t>
      </w:r>
      <w:r w:rsidR="00382622">
        <w:rPr>
          <w:rFonts w:asciiTheme="majorHAnsi" w:hAnsiTheme="majorHAnsi"/>
          <w:sz w:val="22"/>
          <w:szCs w:val="22"/>
        </w:rPr>
        <w:t xml:space="preserve">participated in the </w:t>
      </w:r>
      <w:r w:rsidR="00D82D4B">
        <w:rPr>
          <w:rFonts w:asciiTheme="majorHAnsi" w:hAnsiTheme="majorHAnsi"/>
          <w:sz w:val="22"/>
          <w:szCs w:val="22"/>
        </w:rPr>
        <w:t>iMAP2</w:t>
      </w:r>
      <w:r w:rsidR="00382622">
        <w:rPr>
          <w:rFonts w:asciiTheme="majorHAnsi" w:hAnsiTheme="majorHAnsi"/>
          <w:sz w:val="22"/>
          <w:szCs w:val="22"/>
        </w:rPr>
        <w:t xml:space="preserve"> study w</w:t>
      </w:r>
      <w:r w:rsidR="00DF45F1">
        <w:rPr>
          <w:rFonts w:asciiTheme="majorHAnsi" w:hAnsiTheme="majorHAnsi"/>
          <w:sz w:val="22"/>
          <w:szCs w:val="22"/>
        </w:rPr>
        <w:t>ould</w:t>
      </w:r>
      <w:r w:rsidR="00382622">
        <w:rPr>
          <w:rFonts w:asciiTheme="majorHAnsi" w:hAnsiTheme="majorHAnsi"/>
          <w:sz w:val="22"/>
          <w:szCs w:val="22"/>
        </w:rPr>
        <w:t xml:space="preserve"> be recruited </w:t>
      </w:r>
      <w:r w:rsidR="00A55FE4" w:rsidRPr="00A55FE4">
        <w:rPr>
          <w:rFonts w:asciiTheme="majorHAnsi" w:hAnsiTheme="majorHAnsi"/>
          <w:sz w:val="22"/>
          <w:szCs w:val="22"/>
        </w:rPr>
        <w:t xml:space="preserve">to this </w:t>
      </w:r>
      <w:r w:rsidR="00382622">
        <w:rPr>
          <w:rFonts w:asciiTheme="majorHAnsi" w:hAnsiTheme="majorHAnsi"/>
          <w:sz w:val="22"/>
          <w:szCs w:val="22"/>
        </w:rPr>
        <w:t>study</w:t>
      </w:r>
      <w:r w:rsidR="00DF45F1">
        <w:rPr>
          <w:rFonts w:asciiTheme="majorHAnsi" w:hAnsiTheme="majorHAnsi"/>
          <w:sz w:val="22"/>
          <w:szCs w:val="22"/>
        </w:rPr>
        <w:t xml:space="preserve"> (i.e. 70</w:t>
      </w:r>
      <w:r w:rsidR="00A55FE4" w:rsidRPr="00A55FE4">
        <w:rPr>
          <w:rFonts w:asciiTheme="majorHAnsi" w:hAnsiTheme="majorHAnsi"/>
          <w:sz w:val="22"/>
          <w:szCs w:val="22"/>
        </w:rPr>
        <w:t xml:space="preserve"> children</w:t>
      </w:r>
      <w:r w:rsidR="00DF45F1">
        <w:rPr>
          <w:rFonts w:asciiTheme="majorHAnsi" w:hAnsiTheme="majorHAnsi"/>
          <w:sz w:val="22"/>
          <w:szCs w:val="22"/>
        </w:rPr>
        <w:t xml:space="preserve">, </w:t>
      </w:r>
      <w:r w:rsidR="00A55FE4" w:rsidRPr="00A55FE4">
        <w:rPr>
          <w:rFonts w:asciiTheme="majorHAnsi" w:hAnsiTheme="majorHAnsi"/>
          <w:sz w:val="22"/>
          <w:szCs w:val="22"/>
        </w:rPr>
        <w:t xml:space="preserve">approximately 35 </w:t>
      </w:r>
      <w:r w:rsidR="006E6013">
        <w:rPr>
          <w:rFonts w:asciiTheme="majorHAnsi" w:hAnsiTheme="majorHAnsi"/>
          <w:sz w:val="22"/>
          <w:szCs w:val="22"/>
        </w:rPr>
        <w:t>children</w:t>
      </w:r>
      <w:r w:rsidR="00A55FE4" w:rsidRPr="00A55FE4">
        <w:rPr>
          <w:rFonts w:asciiTheme="majorHAnsi" w:hAnsiTheme="majorHAnsi"/>
          <w:sz w:val="22"/>
          <w:szCs w:val="22"/>
        </w:rPr>
        <w:t xml:space="preserve"> </w:t>
      </w:r>
      <w:r w:rsidR="00382622">
        <w:rPr>
          <w:rFonts w:asciiTheme="majorHAnsi" w:hAnsiTheme="majorHAnsi"/>
          <w:sz w:val="22"/>
          <w:szCs w:val="22"/>
        </w:rPr>
        <w:t>whose</w:t>
      </w:r>
      <w:r w:rsidR="00A55FE4" w:rsidRPr="00A55FE4">
        <w:rPr>
          <w:rFonts w:asciiTheme="majorHAnsi" w:hAnsiTheme="majorHAnsi"/>
          <w:sz w:val="22"/>
          <w:szCs w:val="22"/>
        </w:rPr>
        <w:t xml:space="preserve"> mothers </w:t>
      </w:r>
      <w:r w:rsidR="00382622">
        <w:rPr>
          <w:rFonts w:asciiTheme="majorHAnsi" w:hAnsiTheme="majorHAnsi"/>
          <w:sz w:val="22"/>
          <w:szCs w:val="22"/>
        </w:rPr>
        <w:t xml:space="preserve">received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EA079B">
        <w:rPr>
          <w:rFonts w:asciiTheme="majorHAnsi" w:hAnsiTheme="majorHAnsi"/>
          <w:sz w:val="22"/>
          <w:szCs w:val="22"/>
        </w:rPr>
        <w:t>®</w:t>
      </w:r>
      <w:r w:rsidR="00382622">
        <w:rPr>
          <w:rFonts w:asciiTheme="majorHAnsi" w:hAnsiTheme="majorHAnsi"/>
          <w:sz w:val="22"/>
          <w:szCs w:val="22"/>
        </w:rPr>
        <w:t xml:space="preserve"> </w:t>
      </w:r>
      <w:r w:rsidR="00DF45F1">
        <w:rPr>
          <w:rFonts w:asciiTheme="majorHAnsi" w:hAnsiTheme="majorHAnsi"/>
          <w:sz w:val="22"/>
          <w:szCs w:val="22"/>
        </w:rPr>
        <w:t xml:space="preserve">and 35 whose mothers had received </w:t>
      </w:r>
      <w:r w:rsidR="00EA079B">
        <w:rPr>
          <w:rFonts w:asciiTheme="majorHAnsi" w:hAnsiTheme="majorHAnsi"/>
          <w:sz w:val="22"/>
          <w:szCs w:val="22"/>
        </w:rPr>
        <w:t>BOOSTRIX</w:t>
      </w:r>
      <w:r w:rsidR="00C122CA">
        <w:rPr>
          <w:rFonts w:asciiTheme="majorHAnsi" w:hAnsiTheme="majorHAnsi"/>
          <w:sz w:val="22"/>
          <w:szCs w:val="22"/>
        </w:rPr>
        <w:t>-IPV</w:t>
      </w:r>
      <w:r w:rsidR="00EA079B">
        <w:rPr>
          <w:rFonts w:asciiTheme="majorHAnsi" w:hAnsiTheme="majorHAnsi"/>
          <w:sz w:val="22"/>
          <w:szCs w:val="22"/>
        </w:rPr>
        <w:t>®</w:t>
      </w:r>
      <w:r w:rsidR="00DF45F1">
        <w:rPr>
          <w:rFonts w:asciiTheme="majorHAnsi" w:hAnsiTheme="majorHAnsi"/>
          <w:sz w:val="22"/>
          <w:szCs w:val="22"/>
        </w:rPr>
        <w:t xml:space="preserve">). </w:t>
      </w:r>
      <w:r w:rsidR="00B5254C">
        <w:rPr>
          <w:rFonts w:asciiTheme="majorHAnsi" w:hAnsiTheme="majorHAnsi"/>
          <w:sz w:val="22"/>
          <w:szCs w:val="22"/>
        </w:rPr>
        <w:t>The addition</w:t>
      </w:r>
      <w:r w:rsidR="00DF45F1">
        <w:rPr>
          <w:rFonts w:asciiTheme="majorHAnsi" w:hAnsiTheme="majorHAnsi"/>
          <w:sz w:val="22"/>
          <w:szCs w:val="22"/>
        </w:rPr>
        <w:t xml:space="preserve"> of </w:t>
      </w:r>
      <w:r w:rsidR="00B5254C">
        <w:rPr>
          <w:rFonts w:asciiTheme="majorHAnsi" w:hAnsiTheme="majorHAnsi"/>
          <w:sz w:val="22"/>
          <w:szCs w:val="22"/>
        </w:rPr>
        <w:t xml:space="preserve">a further </w:t>
      </w:r>
      <w:r w:rsidR="00A55FE4" w:rsidRPr="00A55FE4">
        <w:rPr>
          <w:rFonts w:asciiTheme="majorHAnsi" w:hAnsiTheme="majorHAnsi"/>
          <w:sz w:val="22"/>
          <w:szCs w:val="22"/>
        </w:rPr>
        <w:t xml:space="preserve">15 </w:t>
      </w:r>
      <w:r w:rsidR="006E6013">
        <w:rPr>
          <w:rFonts w:asciiTheme="majorHAnsi" w:hAnsiTheme="majorHAnsi"/>
          <w:sz w:val="22"/>
          <w:szCs w:val="22"/>
        </w:rPr>
        <w:t>children</w:t>
      </w:r>
      <w:r w:rsidR="00382622">
        <w:rPr>
          <w:rFonts w:asciiTheme="majorHAnsi" w:hAnsiTheme="majorHAnsi"/>
          <w:sz w:val="22"/>
          <w:szCs w:val="22"/>
        </w:rPr>
        <w:t xml:space="preserve"> whose mothers </w:t>
      </w:r>
      <w:r w:rsidR="00B5254C">
        <w:rPr>
          <w:rFonts w:asciiTheme="majorHAnsi" w:hAnsiTheme="majorHAnsi"/>
          <w:sz w:val="22"/>
          <w:szCs w:val="22"/>
        </w:rPr>
        <w:t xml:space="preserve">had </w:t>
      </w:r>
      <w:r w:rsidR="00382622">
        <w:rPr>
          <w:rFonts w:asciiTheme="majorHAnsi" w:hAnsiTheme="majorHAnsi"/>
          <w:sz w:val="22"/>
          <w:szCs w:val="22"/>
        </w:rPr>
        <w:t xml:space="preserve">not receive </w:t>
      </w:r>
      <w:r w:rsidR="00B5254C">
        <w:rPr>
          <w:rFonts w:asciiTheme="majorHAnsi" w:hAnsiTheme="majorHAnsi"/>
          <w:sz w:val="22"/>
          <w:szCs w:val="22"/>
        </w:rPr>
        <w:t xml:space="preserve">an </w:t>
      </w:r>
      <w:r w:rsidR="00382622">
        <w:rPr>
          <w:rFonts w:asciiTheme="majorHAnsi" w:hAnsiTheme="majorHAnsi"/>
          <w:sz w:val="22"/>
          <w:szCs w:val="22"/>
        </w:rPr>
        <w:t>antenata</w:t>
      </w:r>
      <w:r w:rsidR="009D4D32">
        <w:rPr>
          <w:rFonts w:asciiTheme="majorHAnsi" w:hAnsiTheme="majorHAnsi"/>
          <w:sz w:val="22"/>
          <w:szCs w:val="22"/>
        </w:rPr>
        <w:t>l pertussis-containing vaccine</w:t>
      </w:r>
      <w:r w:rsidR="00B5254C">
        <w:rPr>
          <w:rFonts w:asciiTheme="majorHAnsi" w:hAnsiTheme="majorHAnsi"/>
          <w:sz w:val="22"/>
          <w:szCs w:val="22"/>
        </w:rPr>
        <w:t xml:space="preserve"> would</w:t>
      </w:r>
      <w:r w:rsidR="00EE7548">
        <w:rPr>
          <w:rFonts w:asciiTheme="majorHAnsi" w:hAnsiTheme="majorHAnsi"/>
          <w:sz w:val="22"/>
          <w:szCs w:val="22"/>
        </w:rPr>
        <w:t xml:space="preserve"> </w:t>
      </w:r>
      <w:r w:rsidR="00A55FE4" w:rsidRPr="00A55FE4">
        <w:rPr>
          <w:rFonts w:asciiTheme="majorHAnsi" w:hAnsiTheme="majorHAnsi"/>
          <w:sz w:val="22"/>
          <w:szCs w:val="22"/>
        </w:rPr>
        <w:t>provi</w:t>
      </w:r>
      <w:r w:rsidR="00382622">
        <w:rPr>
          <w:rFonts w:asciiTheme="majorHAnsi" w:hAnsiTheme="majorHAnsi"/>
          <w:sz w:val="22"/>
          <w:szCs w:val="22"/>
        </w:rPr>
        <w:t xml:space="preserve">de 80% power to detect a </w:t>
      </w:r>
      <w:r w:rsidR="00F96A3E">
        <w:rPr>
          <w:rFonts w:asciiTheme="majorHAnsi" w:hAnsiTheme="majorHAnsi"/>
          <w:sz w:val="22"/>
          <w:szCs w:val="22"/>
        </w:rPr>
        <w:t xml:space="preserve">two-fold </w:t>
      </w:r>
      <w:r w:rsidR="00A55FE4" w:rsidRPr="00A55FE4">
        <w:rPr>
          <w:rFonts w:asciiTheme="majorHAnsi" w:hAnsiTheme="majorHAnsi"/>
          <w:sz w:val="22"/>
          <w:szCs w:val="22"/>
        </w:rPr>
        <w:t>diff</w:t>
      </w:r>
      <w:r w:rsidR="00382622">
        <w:rPr>
          <w:rFonts w:asciiTheme="majorHAnsi" w:hAnsiTheme="majorHAnsi"/>
          <w:sz w:val="22"/>
          <w:szCs w:val="22"/>
        </w:rPr>
        <w:t xml:space="preserve">erence in </w:t>
      </w:r>
      <w:r w:rsidR="00B5254C">
        <w:rPr>
          <w:rFonts w:asciiTheme="majorHAnsi" w:hAnsiTheme="majorHAnsi"/>
          <w:sz w:val="22"/>
          <w:szCs w:val="22"/>
        </w:rPr>
        <w:t xml:space="preserve">anti-PT </w:t>
      </w:r>
      <w:r w:rsidR="00382622">
        <w:rPr>
          <w:rFonts w:asciiTheme="majorHAnsi" w:hAnsiTheme="majorHAnsi"/>
          <w:sz w:val="22"/>
          <w:szCs w:val="22"/>
        </w:rPr>
        <w:t xml:space="preserve">IgG antibodies </w:t>
      </w:r>
      <w:r w:rsidR="00A55FE4" w:rsidRPr="00A55FE4">
        <w:rPr>
          <w:rFonts w:asciiTheme="majorHAnsi" w:hAnsiTheme="majorHAnsi"/>
          <w:sz w:val="22"/>
          <w:szCs w:val="22"/>
        </w:rPr>
        <w:t xml:space="preserve">between </w:t>
      </w:r>
      <w:r w:rsidR="00677FE6">
        <w:rPr>
          <w:rFonts w:asciiTheme="majorHAnsi" w:hAnsiTheme="majorHAnsi"/>
          <w:sz w:val="22"/>
          <w:szCs w:val="22"/>
        </w:rPr>
        <w:t>the</w:t>
      </w:r>
      <w:r w:rsidR="009D4D32">
        <w:rPr>
          <w:rFonts w:asciiTheme="majorHAnsi" w:hAnsiTheme="majorHAnsi"/>
          <w:sz w:val="22"/>
          <w:szCs w:val="22"/>
        </w:rPr>
        <w:t xml:space="preserve"> groups, </w:t>
      </w:r>
      <w:r w:rsidR="00FA5552">
        <w:rPr>
          <w:rFonts w:asciiTheme="majorHAnsi" w:hAnsiTheme="majorHAnsi"/>
          <w:sz w:val="22"/>
          <w:szCs w:val="22"/>
        </w:rPr>
        <w:t xml:space="preserve">based on </w:t>
      </w:r>
      <w:r w:rsidR="00B5254C">
        <w:rPr>
          <w:rFonts w:asciiTheme="majorHAnsi" w:hAnsiTheme="majorHAnsi"/>
          <w:sz w:val="22"/>
          <w:szCs w:val="22"/>
        </w:rPr>
        <w:t xml:space="preserve">a </w:t>
      </w:r>
      <w:r w:rsidR="00FA5552">
        <w:rPr>
          <w:rFonts w:asciiTheme="majorHAnsi" w:hAnsiTheme="majorHAnsi"/>
          <w:sz w:val="22"/>
          <w:szCs w:val="22"/>
        </w:rPr>
        <w:t xml:space="preserve">standard deviation </w:t>
      </w:r>
      <w:r w:rsidR="009D4D32">
        <w:rPr>
          <w:rFonts w:asciiTheme="majorHAnsi" w:hAnsiTheme="majorHAnsi"/>
          <w:sz w:val="22"/>
          <w:szCs w:val="22"/>
        </w:rPr>
        <w:t xml:space="preserve">(SD) </w:t>
      </w:r>
      <w:r w:rsidR="00FA5552">
        <w:rPr>
          <w:rFonts w:asciiTheme="majorHAnsi" w:hAnsiTheme="majorHAnsi"/>
          <w:sz w:val="22"/>
          <w:szCs w:val="22"/>
        </w:rPr>
        <w:t xml:space="preserve">of 0.28 </w:t>
      </w:r>
      <w:r w:rsidR="008D2CFD">
        <w:rPr>
          <w:rFonts w:asciiTheme="majorHAnsi" w:hAnsiTheme="majorHAnsi"/>
          <w:sz w:val="22"/>
          <w:szCs w:val="22"/>
        </w:rPr>
        <w:t>IU/ml anti-</w:t>
      </w:r>
      <w:r w:rsidR="00FA5552">
        <w:rPr>
          <w:rFonts w:asciiTheme="majorHAnsi" w:hAnsiTheme="majorHAnsi"/>
          <w:sz w:val="22"/>
          <w:szCs w:val="22"/>
        </w:rPr>
        <w:t xml:space="preserve">PT </w:t>
      </w:r>
      <w:r w:rsidR="008D2CFD">
        <w:rPr>
          <w:rFonts w:asciiTheme="majorHAnsi" w:hAnsiTheme="majorHAnsi"/>
          <w:sz w:val="22"/>
          <w:szCs w:val="22"/>
        </w:rPr>
        <w:t xml:space="preserve">IgG GMC </w:t>
      </w:r>
      <w:r w:rsidR="00B5254C">
        <w:rPr>
          <w:rFonts w:asciiTheme="majorHAnsi" w:hAnsiTheme="majorHAnsi"/>
          <w:sz w:val="22"/>
          <w:szCs w:val="22"/>
        </w:rPr>
        <w:t xml:space="preserve">reported </w:t>
      </w:r>
      <w:r w:rsidR="009D4D32">
        <w:rPr>
          <w:rFonts w:asciiTheme="majorHAnsi" w:hAnsiTheme="majorHAnsi"/>
          <w:sz w:val="22"/>
          <w:szCs w:val="22"/>
        </w:rPr>
        <w:t>post-primary immunisations</w:t>
      </w:r>
      <w:r w:rsidR="00FA5552">
        <w:rPr>
          <w:rFonts w:asciiTheme="majorHAnsi" w:hAnsiTheme="majorHAnsi"/>
          <w:sz w:val="22"/>
          <w:szCs w:val="22"/>
        </w:rPr>
        <w:t xml:space="preserve"> </w:t>
      </w:r>
      <w:r w:rsidR="00B5254C">
        <w:rPr>
          <w:rFonts w:asciiTheme="majorHAnsi" w:hAnsiTheme="majorHAnsi"/>
          <w:sz w:val="22"/>
          <w:szCs w:val="22"/>
        </w:rPr>
        <w:t xml:space="preserve">in </w:t>
      </w:r>
      <w:r w:rsidR="008D2CFD">
        <w:rPr>
          <w:rFonts w:asciiTheme="majorHAnsi" w:hAnsiTheme="majorHAnsi"/>
          <w:sz w:val="22"/>
          <w:szCs w:val="22"/>
        </w:rPr>
        <w:t>a previous study</w:t>
      </w:r>
      <w:r w:rsidR="008D2CFD" w:rsidRPr="0057198B">
        <w:rPr>
          <w:rFonts w:asciiTheme="majorHAnsi" w:hAnsiTheme="majorHAnsi"/>
          <w:sz w:val="22"/>
          <w:szCs w:val="22"/>
        </w:rPr>
        <w:t xml:space="preserve"> </w:t>
      </w:r>
      <w:r w:rsidR="009D4D32">
        <w:rPr>
          <w:rFonts w:asciiTheme="majorHAnsi" w:hAnsiTheme="majorHAnsi"/>
          <w:sz w:val="22"/>
          <w:szCs w:val="22"/>
        </w:rPr>
        <w:t>that</w:t>
      </w:r>
      <w:r w:rsidR="008D2CFD">
        <w:rPr>
          <w:rFonts w:asciiTheme="majorHAnsi" w:hAnsiTheme="majorHAnsi"/>
          <w:sz w:val="22"/>
          <w:szCs w:val="22"/>
        </w:rPr>
        <w:t xml:space="preserve"> </w:t>
      </w:r>
      <w:r w:rsidR="009D4D32">
        <w:rPr>
          <w:rFonts w:asciiTheme="majorHAnsi" w:hAnsiTheme="majorHAnsi"/>
          <w:sz w:val="22"/>
          <w:szCs w:val="22"/>
        </w:rPr>
        <w:t>utilised</w:t>
      </w:r>
      <w:r w:rsidR="008D2CFD" w:rsidRPr="0057198B">
        <w:rPr>
          <w:rFonts w:asciiTheme="majorHAnsi" w:hAnsiTheme="majorHAnsi"/>
          <w:sz w:val="22"/>
          <w:szCs w:val="22"/>
        </w:rPr>
        <w:t xml:space="preserve"> the s</w:t>
      </w:r>
      <w:r w:rsidR="008D2CFD">
        <w:rPr>
          <w:rFonts w:asciiTheme="majorHAnsi" w:hAnsiTheme="majorHAnsi"/>
          <w:sz w:val="22"/>
          <w:szCs w:val="22"/>
        </w:rPr>
        <w:t xml:space="preserve">ame validated </w:t>
      </w:r>
      <w:r w:rsidR="008D2CFD" w:rsidRPr="003B0351">
        <w:rPr>
          <w:rFonts w:asciiTheme="majorHAnsi" w:hAnsiTheme="majorHAnsi"/>
          <w:sz w:val="22"/>
          <w:szCs w:val="22"/>
        </w:rPr>
        <w:t>ELISA</w:t>
      </w:r>
      <w:r w:rsidR="008D2CFD" w:rsidRPr="003B0351">
        <w:rPr>
          <w:rFonts w:asciiTheme="majorHAnsi" w:hAnsiTheme="majorHAnsi"/>
          <w:sz w:val="22"/>
          <w:szCs w:val="22"/>
          <w:vertAlign w:val="superscript"/>
        </w:rPr>
        <w:t>1</w:t>
      </w:r>
      <w:r w:rsidR="003B6DDA">
        <w:rPr>
          <w:rFonts w:asciiTheme="majorHAnsi" w:hAnsiTheme="majorHAnsi"/>
          <w:sz w:val="22"/>
          <w:szCs w:val="22"/>
          <w:vertAlign w:val="superscript"/>
        </w:rPr>
        <w:t>4</w:t>
      </w:r>
      <w:r w:rsidR="008D2CFD" w:rsidRPr="003B0351">
        <w:rPr>
          <w:rFonts w:asciiTheme="majorHAnsi" w:hAnsiTheme="majorHAnsi"/>
          <w:sz w:val="22"/>
          <w:szCs w:val="22"/>
        </w:rPr>
        <w:t>.</w:t>
      </w:r>
      <w:r w:rsidR="009D4D32" w:rsidRPr="003B0351">
        <w:rPr>
          <w:rFonts w:asciiTheme="majorHAnsi" w:hAnsiTheme="majorHAnsi"/>
          <w:sz w:val="22"/>
          <w:szCs w:val="22"/>
        </w:rPr>
        <w:t xml:space="preserve"> </w:t>
      </w:r>
    </w:p>
    <w:p w14:paraId="316E25FB" w14:textId="77777777" w:rsidR="003B0351" w:rsidRDefault="003B0351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4C24F20E" w14:textId="24616159" w:rsidR="00CA68EE" w:rsidRDefault="00890FE9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 w:rsidRPr="0057198B">
        <w:rPr>
          <w:rFonts w:asciiTheme="majorHAnsi" w:hAnsiTheme="majorHAnsi"/>
          <w:sz w:val="22"/>
          <w:szCs w:val="22"/>
        </w:rPr>
        <w:t xml:space="preserve">Missing data </w:t>
      </w:r>
      <w:r w:rsidR="00972F0C">
        <w:rPr>
          <w:rFonts w:asciiTheme="majorHAnsi" w:hAnsiTheme="majorHAnsi"/>
          <w:sz w:val="22"/>
          <w:szCs w:val="22"/>
        </w:rPr>
        <w:t>w</w:t>
      </w:r>
      <w:r w:rsidR="002625D7">
        <w:rPr>
          <w:rFonts w:asciiTheme="majorHAnsi" w:hAnsiTheme="majorHAnsi"/>
          <w:sz w:val="22"/>
          <w:szCs w:val="22"/>
        </w:rPr>
        <w:t>ere</w:t>
      </w:r>
      <w:r w:rsidR="00972F0C">
        <w:rPr>
          <w:rFonts w:asciiTheme="majorHAnsi" w:hAnsiTheme="majorHAnsi"/>
          <w:sz w:val="22"/>
          <w:szCs w:val="22"/>
        </w:rPr>
        <w:t xml:space="preserve"> assumed to be missing at random and </w:t>
      </w:r>
      <w:r w:rsidRPr="0057198B">
        <w:rPr>
          <w:rFonts w:asciiTheme="majorHAnsi" w:hAnsiTheme="majorHAnsi"/>
          <w:sz w:val="22"/>
          <w:szCs w:val="22"/>
        </w:rPr>
        <w:t>excluded from analys</w:t>
      </w:r>
      <w:r w:rsidR="006E6013">
        <w:rPr>
          <w:rFonts w:asciiTheme="majorHAnsi" w:hAnsiTheme="majorHAnsi"/>
          <w:sz w:val="22"/>
          <w:szCs w:val="22"/>
        </w:rPr>
        <w:t>i</w:t>
      </w:r>
      <w:r w:rsidRPr="0057198B">
        <w:rPr>
          <w:rFonts w:asciiTheme="majorHAnsi" w:hAnsiTheme="majorHAnsi"/>
          <w:sz w:val="22"/>
          <w:szCs w:val="22"/>
        </w:rPr>
        <w:t>s</w:t>
      </w:r>
      <w:r w:rsidR="006E6013">
        <w:rPr>
          <w:rFonts w:asciiTheme="majorHAnsi" w:hAnsiTheme="majorHAnsi"/>
          <w:sz w:val="22"/>
          <w:szCs w:val="22"/>
        </w:rPr>
        <w:t>. A</w:t>
      </w:r>
      <w:r w:rsidRPr="0057198B">
        <w:rPr>
          <w:rFonts w:asciiTheme="majorHAnsi" w:hAnsiTheme="majorHAnsi"/>
          <w:sz w:val="22"/>
          <w:szCs w:val="22"/>
        </w:rPr>
        <w:t>nalys</w:t>
      </w:r>
      <w:r w:rsidR="006E6013">
        <w:rPr>
          <w:rFonts w:asciiTheme="majorHAnsi" w:hAnsiTheme="majorHAnsi"/>
          <w:sz w:val="22"/>
          <w:szCs w:val="22"/>
        </w:rPr>
        <w:t>e</w:t>
      </w:r>
      <w:r w:rsidRPr="0057198B">
        <w:rPr>
          <w:rFonts w:asciiTheme="majorHAnsi" w:hAnsiTheme="majorHAnsi"/>
          <w:sz w:val="22"/>
          <w:szCs w:val="22"/>
        </w:rPr>
        <w:t>s were per</w:t>
      </w:r>
      <w:r>
        <w:rPr>
          <w:rFonts w:asciiTheme="majorHAnsi" w:hAnsiTheme="majorHAnsi"/>
          <w:sz w:val="22"/>
          <w:szCs w:val="22"/>
        </w:rPr>
        <w:t xml:space="preserve">formed using Stata version 13. </w:t>
      </w:r>
      <w:r w:rsidR="003B0351">
        <w:rPr>
          <w:rFonts w:asciiTheme="majorHAnsi" w:hAnsiTheme="majorHAnsi"/>
          <w:sz w:val="22"/>
          <w:szCs w:val="22"/>
        </w:rPr>
        <w:t>Baseline data</w:t>
      </w:r>
      <w:r w:rsidR="00EE7548">
        <w:rPr>
          <w:rFonts w:asciiTheme="majorHAnsi" w:hAnsiTheme="majorHAnsi"/>
          <w:sz w:val="22"/>
          <w:szCs w:val="22"/>
        </w:rPr>
        <w:t xml:space="preserve"> including</w:t>
      </w:r>
      <w:r w:rsidR="003B0351">
        <w:rPr>
          <w:rFonts w:asciiTheme="majorHAnsi" w:hAnsiTheme="majorHAnsi"/>
          <w:sz w:val="22"/>
          <w:szCs w:val="22"/>
        </w:rPr>
        <w:t xml:space="preserve"> </w:t>
      </w:r>
      <w:r w:rsidR="00156CFA">
        <w:rPr>
          <w:rFonts w:asciiTheme="majorHAnsi" w:hAnsiTheme="majorHAnsi"/>
          <w:sz w:val="22"/>
          <w:szCs w:val="22"/>
        </w:rPr>
        <w:t>gender</w:t>
      </w:r>
      <w:r w:rsidR="00FA0A64">
        <w:rPr>
          <w:rFonts w:asciiTheme="majorHAnsi" w:hAnsiTheme="majorHAnsi"/>
          <w:sz w:val="22"/>
          <w:szCs w:val="22"/>
        </w:rPr>
        <w:t xml:space="preserve">, </w:t>
      </w:r>
      <w:r w:rsidR="00156CFA">
        <w:rPr>
          <w:rFonts w:asciiTheme="majorHAnsi" w:hAnsiTheme="majorHAnsi"/>
          <w:sz w:val="22"/>
          <w:szCs w:val="22"/>
        </w:rPr>
        <w:t>age</w:t>
      </w:r>
      <w:r w:rsidR="00156CFA" w:rsidRPr="003B0351">
        <w:rPr>
          <w:rFonts w:asciiTheme="majorHAnsi" w:hAnsiTheme="majorHAnsi"/>
          <w:sz w:val="22"/>
          <w:szCs w:val="22"/>
        </w:rPr>
        <w:t xml:space="preserve"> </w:t>
      </w:r>
      <w:r w:rsidR="00156CFA">
        <w:rPr>
          <w:rFonts w:asciiTheme="majorHAnsi" w:hAnsiTheme="majorHAnsi"/>
          <w:sz w:val="22"/>
          <w:szCs w:val="22"/>
        </w:rPr>
        <w:t xml:space="preserve">in months, </w:t>
      </w:r>
      <w:r w:rsidR="00FA0A64">
        <w:rPr>
          <w:rFonts w:asciiTheme="majorHAnsi" w:hAnsiTheme="majorHAnsi"/>
          <w:sz w:val="22"/>
          <w:szCs w:val="22"/>
        </w:rPr>
        <w:t xml:space="preserve">duration </w:t>
      </w:r>
      <w:r w:rsidR="00156CFA">
        <w:rPr>
          <w:rFonts w:asciiTheme="majorHAnsi" w:hAnsiTheme="majorHAnsi"/>
          <w:sz w:val="22"/>
          <w:szCs w:val="22"/>
        </w:rPr>
        <w:t xml:space="preserve">in months </w:t>
      </w:r>
      <w:r w:rsidR="00FA0A64">
        <w:rPr>
          <w:rFonts w:asciiTheme="majorHAnsi" w:hAnsiTheme="majorHAnsi"/>
          <w:sz w:val="22"/>
          <w:szCs w:val="22"/>
        </w:rPr>
        <w:t xml:space="preserve">since the </w:t>
      </w:r>
      <w:r w:rsidR="006E6013">
        <w:rPr>
          <w:rFonts w:asciiTheme="majorHAnsi" w:hAnsiTheme="majorHAnsi"/>
          <w:sz w:val="22"/>
          <w:szCs w:val="22"/>
        </w:rPr>
        <w:t>children</w:t>
      </w:r>
      <w:r w:rsidR="00FA0A64">
        <w:rPr>
          <w:rFonts w:asciiTheme="majorHAnsi" w:hAnsiTheme="majorHAnsi"/>
          <w:sz w:val="22"/>
          <w:szCs w:val="22"/>
        </w:rPr>
        <w:t>’s last</w:t>
      </w:r>
      <w:r w:rsidR="00C02BFF" w:rsidRPr="003B0351">
        <w:rPr>
          <w:rFonts w:asciiTheme="majorHAnsi" w:hAnsiTheme="majorHAnsi"/>
          <w:sz w:val="22"/>
          <w:szCs w:val="22"/>
        </w:rPr>
        <w:t xml:space="preserve"> </w:t>
      </w:r>
      <w:r w:rsidR="003B0351">
        <w:rPr>
          <w:rFonts w:asciiTheme="majorHAnsi" w:hAnsiTheme="majorHAnsi"/>
          <w:sz w:val="22"/>
          <w:szCs w:val="22"/>
        </w:rPr>
        <w:t>pertussis-containing vaccine</w:t>
      </w:r>
      <w:r w:rsidR="00C02BFF" w:rsidRPr="003B0351">
        <w:rPr>
          <w:rFonts w:asciiTheme="majorHAnsi" w:hAnsiTheme="majorHAnsi"/>
          <w:sz w:val="22"/>
          <w:szCs w:val="22"/>
        </w:rPr>
        <w:t xml:space="preserve"> </w:t>
      </w:r>
      <w:r w:rsidR="00FA0A64">
        <w:rPr>
          <w:rFonts w:asciiTheme="majorHAnsi" w:hAnsiTheme="majorHAnsi"/>
          <w:sz w:val="22"/>
          <w:szCs w:val="22"/>
        </w:rPr>
        <w:t xml:space="preserve">and duration </w:t>
      </w:r>
      <w:r w:rsidR="00156CFA">
        <w:rPr>
          <w:rFonts w:asciiTheme="majorHAnsi" w:hAnsiTheme="majorHAnsi"/>
          <w:sz w:val="22"/>
          <w:szCs w:val="22"/>
        </w:rPr>
        <w:t xml:space="preserve">in days </w:t>
      </w:r>
      <w:r w:rsidR="00FA0A64">
        <w:rPr>
          <w:rFonts w:asciiTheme="majorHAnsi" w:hAnsiTheme="majorHAnsi"/>
          <w:sz w:val="22"/>
          <w:szCs w:val="22"/>
        </w:rPr>
        <w:t>between preschool booster and post-vaccination blood sampling were</w:t>
      </w:r>
      <w:r w:rsidR="00C02BFF" w:rsidRPr="003B0351">
        <w:rPr>
          <w:rFonts w:asciiTheme="majorHAnsi" w:hAnsiTheme="majorHAnsi"/>
          <w:sz w:val="22"/>
          <w:szCs w:val="22"/>
        </w:rPr>
        <w:t xml:space="preserve"> presented</w:t>
      </w:r>
      <w:r w:rsidR="00156CFA">
        <w:rPr>
          <w:rFonts w:asciiTheme="majorHAnsi" w:hAnsiTheme="majorHAnsi"/>
          <w:sz w:val="22"/>
          <w:szCs w:val="22"/>
        </w:rPr>
        <w:t xml:space="preserve"> and summarised</w:t>
      </w:r>
      <w:r w:rsidR="00C02BFF" w:rsidRPr="003B0351">
        <w:rPr>
          <w:rFonts w:asciiTheme="majorHAnsi" w:hAnsiTheme="majorHAnsi"/>
          <w:sz w:val="22"/>
          <w:szCs w:val="22"/>
        </w:rPr>
        <w:t xml:space="preserve"> categorically</w:t>
      </w:r>
      <w:r w:rsidR="00EE7548">
        <w:rPr>
          <w:rFonts w:asciiTheme="majorHAnsi" w:hAnsiTheme="majorHAnsi"/>
          <w:sz w:val="22"/>
          <w:szCs w:val="22"/>
        </w:rPr>
        <w:t xml:space="preserve"> </w:t>
      </w:r>
      <w:r w:rsidR="00EE7548" w:rsidRPr="003B0351">
        <w:rPr>
          <w:rFonts w:asciiTheme="majorHAnsi" w:hAnsiTheme="majorHAnsi"/>
          <w:sz w:val="22"/>
          <w:szCs w:val="22"/>
        </w:rPr>
        <w:t xml:space="preserve">according to </w:t>
      </w:r>
      <w:r w:rsidR="00EE7548">
        <w:rPr>
          <w:rFonts w:asciiTheme="majorHAnsi" w:hAnsiTheme="majorHAnsi"/>
          <w:sz w:val="22"/>
          <w:szCs w:val="22"/>
        </w:rPr>
        <w:t>the three different groups (</w:t>
      </w:r>
      <w:r w:rsidR="006F76EA">
        <w:rPr>
          <w:rFonts w:asciiTheme="majorHAnsi" w:hAnsiTheme="majorHAnsi"/>
          <w:sz w:val="22"/>
          <w:szCs w:val="22"/>
        </w:rPr>
        <w:t xml:space="preserve">born to </w:t>
      </w:r>
      <w:r w:rsidR="00EE7548">
        <w:rPr>
          <w:rFonts w:asciiTheme="majorHAnsi" w:hAnsiTheme="majorHAnsi"/>
          <w:sz w:val="22"/>
          <w:szCs w:val="22"/>
        </w:rPr>
        <w:t xml:space="preserve">mothers </w:t>
      </w:r>
      <w:r w:rsidR="006F76EA">
        <w:rPr>
          <w:rFonts w:asciiTheme="majorHAnsi" w:hAnsiTheme="majorHAnsi"/>
          <w:sz w:val="22"/>
          <w:szCs w:val="22"/>
        </w:rPr>
        <w:t xml:space="preserve">who </w:t>
      </w:r>
      <w:r w:rsidR="00EE7548">
        <w:rPr>
          <w:rFonts w:asciiTheme="majorHAnsi" w:hAnsiTheme="majorHAnsi"/>
          <w:sz w:val="22"/>
          <w:szCs w:val="22"/>
        </w:rPr>
        <w:t xml:space="preserve">received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EE7548">
        <w:rPr>
          <w:rFonts w:asciiTheme="majorHAnsi" w:hAnsiTheme="majorHAnsi"/>
          <w:sz w:val="22"/>
          <w:szCs w:val="22"/>
        </w:rPr>
        <w:t xml:space="preserve">®, BOOSTRIX-IPV® </w:t>
      </w:r>
      <w:r w:rsidR="006F76EA">
        <w:rPr>
          <w:rFonts w:asciiTheme="majorHAnsi" w:hAnsiTheme="majorHAnsi"/>
          <w:sz w:val="22"/>
          <w:szCs w:val="22"/>
        </w:rPr>
        <w:t>and no</w:t>
      </w:r>
      <w:r w:rsidR="00EE7548">
        <w:rPr>
          <w:rFonts w:asciiTheme="majorHAnsi" w:hAnsiTheme="majorHAnsi"/>
          <w:sz w:val="22"/>
          <w:szCs w:val="22"/>
        </w:rPr>
        <w:t xml:space="preserve"> pertussis-containing vaccine in pregnancy) using Fisher’s exact test for gender and Kruskal Wallis test for other variables.</w:t>
      </w:r>
    </w:p>
    <w:p w14:paraId="03943722" w14:textId="1F3B213D" w:rsidR="00177828" w:rsidRDefault="00CA68EE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 the primary endpoint analysis, a</w:t>
      </w:r>
      <w:r w:rsidR="00C02BFF" w:rsidRPr="003B0351">
        <w:rPr>
          <w:rFonts w:asciiTheme="majorHAnsi" w:hAnsiTheme="majorHAnsi"/>
          <w:sz w:val="22"/>
          <w:szCs w:val="22"/>
        </w:rPr>
        <w:t xml:space="preserve">ntibody concentrations </w:t>
      </w:r>
      <w:r>
        <w:rPr>
          <w:rFonts w:asciiTheme="majorHAnsi" w:hAnsiTheme="majorHAnsi"/>
          <w:sz w:val="22"/>
          <w:szCs w:val="22"/>
        </w:rPr>
        <w:t>were</w:t>
      </w:r>
      <w:r w:rsidR="00C02BFF" w:rsidRPr="003B0351">
        <w:rPr>
          <w:rFonts w:asciiTheme="majorHAnsi" w:hAnsiTheme="majorHAnsi"/>
          <w:sz w:val="22"/>
          <w:szCs w:val="22"/>
        </w:rPr>
        <w:t xml:space="preserve"> log-transformed and compared between the three groups by normal errors regression and by calculating geometric means </w:t>
      </w:r>
      <w:r>
        <w:rPr>
          <w:rFonts w:asciiTheme="majorHAnsi" w:hAnsiTheme="majorHAnsi"/>
          <w:sz w:val="22"/>
          <w:szCs w:val="22"/>
        </w:rPr>
        <w:t xml:space="preserve">and </w:t>
      </w:r>
      <w:r w:rsidR="009673EC">
        <w:rPr>
          <w:rFonts w:asciiTheme="majorHAnsi" w:hAnsiTheme="majorHAnsi"/>
          <w:sz w:val="22"/>
          <w:szCs w:val="22"/>
        </w:rPr>
        <w:t>geometric mean ratio</w:t>
      </w:r>
      <w:r w:rsidR="002625D7">
        <w:rPr>
          <w:rFonts w:asciiTheme="majorHAnsi" w:hAnsiTheme="majorHAnsi"/>
          <w:sz w:val="22"/>
          <w:szCs w:val="22"/>
        </w:rPr>
        <w:t>s</w:t>
      </w:r>
      <w:r w:rsidR="009673EC">
        <w:rPr>
          <w:rFonts w:asciiTheme="majorHAnsi" w:hAnsiTheme="majorHAnsi"/>
          <w:sz w:val="22"/>
          <w:szCs w:val="22"/>
        </w:rPr>
        <w:t xml:space="preserve"> (GMR) </w:t>
      </w:r>
      <w:r w:rsidR="00C02BFF" w:rsidRPr="003B0351">
        <w:rPr>
          <w:rFonts w:asciiTheme="majorHAnsi" w:hAnsiTheme="majorHAnsi"/>
          <w:sz w:val="22"/>
          <w:szCs w:val="22"/>
        </w:rPr>
        <w:t xml:space="preserve">with 95% CIs. All three groups </w:t>
      </w:r>
      <w:r>
        <w:rPr>
          <w:rFonts w:asciiTheme="majorHAnsi" w:hAnsiTheme="majorHAnsi"/>
          <w:sz w:val="22"/>
          <w:szCs w:val="22"/>
        </w:rPr>
        <w:t>were</w:t>
      </w:r>
      <w:r w:rsidR="00C02BFF" w:rsidRPr="003B0351">
        <w:rPr>
          <w:rFonts w:asciiTheme="majorHAnsi" w:hAnsiTheme="majorHAnsi"/>
          <w:sz w:val="22"/>
          <w:szCs w:val="22"/>
        </w:rPr>
        <w:t xml:space="preserve"> compared with one another in pairwise comparisons as well as combining the two </w:t>
      </w:r>
      <w:r w:rsidR="00C02BFF" w:rsidRPr="003B0351">
        <w:rPr>
          <w:rFonts w:asciiTheme="majorHAnsi" w:hAnsiTheme="majorHAnsi"/>
          <w:sz w:val="22"/>
          <w:szCs w:val="22"/>
        </w:rPr>
        <w:lastRenderedPageBreak/>
        <w:t xml:space="preserve">vaccinated groups together to compare with the unvaccinated group. Adjustment </w:t>
      </w:r>
      <w:r w:rsidR="00C02BFF" w:rsidRPr="00CA68EE">
        <w:rPr>
          <w:rFonts w:asciiTheme="majorHAnsi" w:hAnsiTheme="majorHAnsi"/>
          <w:sz w:val="22"/>
          <w:szCs w:val="22"/>
        </w:rPr>
        <w:t xml:space="preserve">for </w:t>
      </w:r>
      <w:r w:rsidR="00177828">
        <w:rPr>
          <w:rFonts w:asciiTheme="majorHAnsi" w:hAnsiTheme="majorHAnsi"/>
          <w:sz w:val="22"/>
          <w:szCs w:val="22"/>
        </w:rPr>
        <w:t>sex and interval</w:t>
      </w:r>
      <w:r w:rsidRPr="00CA68EE">
        <w:rPr>
          <w:rFonts w:asciiTheme="majorHAnsi" w:hAnsiTheme="majorHAnsi"/>
          <w:sz w:val="22"/>
          <w:szCs w:val="22"/>
        </w:rPr>
        <w:t xml:space="preserve"> </w:t>
      </w:r>
      <w:r w:rsidR="00C02BFF" w:rsidRPr="00CA68EE">
        <w:rPr>
          <w:rFonts w:asciiTheme="majorHAnsi" w:hAnsiTheme="majorHAnsi"/>
          <w:sz w:val="22"/>
          <w:szCs w:val="22"/>
        </w:rPr>
        <w:t xml:space="preserve">since </w:t>
      </w:r>
      <w:r w:rsidRPr="00CA68EE">
        <w:rPr>
          <w:rFonts w:asciiTheme="majorHAnsi" w:hAnsiTheme="majorHAnsi"/>
          <w:sz w:val="22"/>
          <w:szCs w:val="22"/>
        </w:rPr>
        <w:t>the</w:t>
      </w:r>
      <w:r>
        <w:rPr>
          <w:rFonts w:asciiTheme="majorHAnsi" w:hAnsiTheme="majorHAnsi"/>
          <w:sz w:val="22"/>
          <w:szCs w:val="22"/>
        </w:rPr>
        <w:t xml:space="preserve"> last pertussis-containing </w:t>
      </w:r>
      <w:r w:rsidR="00177828">
        <w:rPr>
          <w:rFonts w:asciiTheme="majorHAnsi" w:hAnsiTheme="majorHAnsi"/>
          <w:sz w:val="22"/>
          <w:szCs w:val="22"/>
        </w:rPr>
        <w:t>and non-pertussis</w:t>
      </w:r>
      <w:r w:rsidR="00DF227B">
        <w:rPr>
          <w:rFonts w:asciiTheme="majorHAnsi" w:hAnsiTheme="majorHAnsi"/>
          <w:sz w:val="22"/>
          <w:szCs w:val="22"/>
        </w:rPr>
        <w:t>-</w:t>
      </w:r>
      <w:r w:rsidR="00177828">
        <w:rPr>
          <w:rFonts w:asciiTheme="majorHAnsi" w:hAnsiTheme="majorHAnsi"/>
          <w:sz w:val="22"/>
          <w:szCs w:val="22"/>
        </w:rPr>
        <w:t xml:space="preserve">containing </w:t>
      </w:r>
      <w:r>
        <w:rPr>
          <w:rFonts w:asciiTheme="majorHAnsi" w:hAnsiTheme="majorHAnsi"/>
          <w:sz w:val="22"/>
          <w:szCs w:val="22"/>
        </w:rPr>
        <w:t>vaccination were performed</w:t>
      </w:r>
      <w:r w:rsidR="00177828">
        <w:rPr>
          <w:rFonts w:asciiTheme="majorHAnsi" w:hAnsiTheme="majorHAnsi"/>
          <w:sz w:val="22"/>
          <w:szCs w:val="22"/>
        </w:rPr>
        <w:t xml:space="preserve"> where data </w:t>
      </w:r>
      <w:r w:rsidR="002625D7">
        <w:rPr>
          <w:rFonts w:asciiTheme="majorHAnsi" w:hAnsiTheme="majorHAnsi"/>
          <w:sz w:val="22"/>
          <w:szCs w:val="22"/>
        </w:rPr>
        <w:t>w</w:t>
      </w:r>
      <w:r w:rsidR="00724CA0">
        <w:rPr>
          <w:rFonts w:asciiTheme="majorHAnsi" w:hAnsiTheme="majorHAnsi"/>
          <w:sz w:val="22"/>
          <w:szCs w:val="22"/>
        </w:rPr>
        <w:t>ere</w:t>
      </w:r>
      <w:r w:rsidR="00177828">
        <w:rPr>
          <w:rFonts w:asciiTheme="majorHAnsi" w:hAnsiTheme="majorHAnsi"/>
          <w:sz w:val="22"/>
          <w:szCs w:val="22"/>
        </w:rPr>
        <w:t xml:space="preserve"> skewed</w:t>
      </w:r>
      <w:r w:rsidR="00C02BFF" w:rsidRPr="003B0351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>Kruskal-Wallis test w</w:t>
      </w:r>
      <w:r w:rsidR="00724CA0">
        <w:rPr>
          <w:rFonts w:asciiTheme="majorHAnsi" w:hAnsiTheme="majorHAnsi"/>
          <w:sz w:val="22"/>
          <w:szCs w:val="22"/>
        </w:rPr>
        <w:t>as</w:t>
      </w:r>
      <w:r>
        <w:rPr>
          <w:rFonts w:asciiTheme="majorHAnsi" w:hAnsiTheme="majorHAnsi"/>
          <w:sz w:val="22"/>
          <w:szCs w:val="22"/>
        </w:rPr>
        <w:t xml:space="preserve"> </w:t>
      </w:r>
      <w:r w:rsidR="00177828">
        <w:rPr>
          <w:rFonts w:asciiTheme="majorHAnsi" w:hAnsiTheme="majorHAnsi"/>
          <w:sz w:val="22"/>
          <w:szCs w:val="22"/>
        </w:rPr>
        <w:t xml:space="preserve">also </w:t>
      </w:r>
      <w:r>
        <w:rPr>
          <w:rFonts w:asciiTheme="majorHAnsi" w:hAnsiTheme="majorHAnsi"/>
          <w:sz w:val="22"/>
          <w:szCs w:val="22"/>
        </w:rPr>
        <w:t xml:space="preserve">used to compare </w:t>
      </w:r>
      <w:r w:rsidR="00DF227B">
        <w:rPr>
          <w:rFonts w:asciiTheme="majorHAnsi" w:hAnsiTheme="majorHAnsi"/>
          <w:sz w:val="22"/>
          <w:szCs w:val="22"/>
        </w:rPr>
        <w:t xml:space="preserve">the </w:t>
      </w:r>
      <w:r>
        <w:rPr>
          <w:rFonts w:asciiTheme="majorHAnsi" w:hAnsiTheme="majorHAnsi"/>
          <w:sz w:val="22"/>
          <w:szCs w:val="22"/>
        </w:rPr>
        <w:t xml:space="preserve">groups where data </w:t>
      </w:r>
      <w:r w:rsidR="00724CA0">
        <w:rPr>
          <w:rFonts w:asciiTheme="majorHAnsi" w:hAnsiTheme="majorHAnsi"/>
          <w:sz w:val="22"/>
          <w:szCs w:val="22"/>
        </w:rPr>
        <w:t>were</w:t>
      </w:r>
      <w:r>
        <w:rPr>
          <w:rFonts w:asciiTheme="majorHAnsi" w:hAnsiTheme="majorHAnsi"/>
          <w:sz w:val="22"/>
          <w:szCs w:val="22"/>
        </w:rPr>
        <w:t xml:space="preserve"> skewed (on a log-scale).</w:t>
      </w:r>
      <w:r w:rsidR="00554607">
        <w:rPr>
          <w:rFonts w:asciiTheme="majorHAnsi" w:hAnsiTheme="majorHAnsi"/>
          <w:sz w:val="22"/>
          <w:szCs w:val="22"/>
        </w:rPr>
        <w:t xml:space="preserve"> Antibody concentration</w:t>
      </w:r>
      <w:r w:rsidR="00554607" w:rsidRPr="003B0351">
        <w:rPr>
          <w:rFonts w:asciiTheme="majorHAnsi" w:hAnsiTheme="majorHAnsi"/>
          <w:sz w:val="22"/>
          <w:szCs w:val="22"/>
        </w:rPr>
        <w:t xml:space="preserve"> </w:t>
      </w:r>
      <w:r w:rsidR="00554607">
        <w:rPr>
          <w:rFonts w:asciiTheme="majorHAnsi" w:hAnsiTheme="majorHAnsi"/>
          <w:sz w:val="22"/>
          <w:szCs w:val="22"/>
        </w:rPr>
        <w:t>analyses for the secondary endpoints were</w:t>
      </w:r>
      <w:r w:rsidR="00C02BFF" w:rsidRPr="003B0351">
        <w:rPr>
          <w:rFonts w:asciiTheme="majorHAnsi" w:hAnsiTheme="majorHAnsi"/>
          <w:sz w:val="22"/>
          <w:szCs w:val="22"/>
        </w:rPr>
        <w:t xml:space="preserve"> assessed in the </w:t>
      </w:r>
      <w:r w:rsidR="00554607">
        <w:rPr>
          <w:rFonts w:asciiTheme="majorHAnsi" w:hAnsiTheme="majorHAnsi"/>
          <w:sz w:val="22"/>
          <w:szCs w:val="22"/>
        </w:rPr>
        <w:t>same way as for the primary end</w:t>
      </w:r>
      <w:r w:rsidR="00C02BFF" w:rsidRPr="003B0351">
        <w:rPr>
          <w:rFonts w:asciiTheme="majorHAnsi" w:hAnsiTheme="majorHAnsi"/>
          <w:sz w:val="22"/>
          <w:szCs w:val="22"/>
        </w:rPr>
        <w:t xml:space="preserve">point. </w:t>
      </w:r>
      <w:r w:rsidR="00554607">
        <w:rPr>
          <w:rFonts w:asciiTheme="majorHAnsi" w:hAnsiTheme="majorHAnsi"/>
          <w:sz w:val="22"/>
          <w:szCs w:val="22"/>
        </w:rPr>
        <w:t xml:space="preserve">Comparisons </w:t>
      </w:r>
      <w:r w:rsidR="00280A79">
        <w:rPr>
          <w:rFonts w:asciiTheme="majorHAnsi" w:hAnsiTheme="majorHAnsi"/>
          <w:sz w:val="22"/>
          <w:szCs w:val="22"/>
        </w:rPr>
        <w:t>of</w:t>
      </w:r>
      <w:r w:rsidR="00280A79" w:rsidRPr="003B0351">
        <w:rPr>
          <w:rFonts w:asciiTheme="majorHAnsi" w:hAnsiTheme="majorHAnsi"/>
          <w:sz w:val="22"/>
          <w:szCs w:val="22"/>
        </w:rPr>
        <w:t xml:space="preserve"> </w:t>
      </w:r>
      <w:r w:rsidR="00DD13F3" w:rsidRPr="003B0351">
        <w:rPr>
          <w:rFonts w:asciiTheme="majorHAnsi" w:hAnsiTheme="majorHAnsi"/>
          <w:sz w:val="22"/>
          <w:szCs w:val="22"/>
        </w:rPr>
        <w:t>proportions above</w:t>
      </w:r>
      <w:r w:rsidR="00C02BFF" w:rsidRPr="003B0351">
        <w:rPr>
          <w:rFonts w:asciiTheme="majorHAnsi" w:hAnsiTheme="majorHAnsi"/>
          <w:sz w:val="22"/>
          <w:szCs w:val="22"/>
        </w:rPr>
        <w:t xml:space="preserve"> </w:t>
      </w:r>
      <w:r w:rsidR="00DD13F3" w:rsidRPr="00DD13F3">
        <w:rPr>
          <w:rFonts w:asciiTheme="majorHAnsi" w:hAnsiTheme="majorHAnsi"/>
          <w:sz w:val="22"/>
          <w:szCs w:val="22"/>
        </w:rPr>
        <w:t xml:space="preserve">the established serocorrelates of protection </w:t>
      </w:r>
      <w:r w:rsidR="00C02BFF" w:rsidRPr="003B0351">
        <w:rPr>
          <w:rFonts w:asciiTheme="majorHAnsi" w:hAnsiTheme="majorHAnsi"/>
          <w:sz w:val="22"/>
          <w:szCs w:val="22"/>
        </w:rPr>
        <w:t xml:space="preserve">thresholds </w:t>
      </w:r>
      <w:r w:rsidR="00DD13F3">
        <w:rPr>
          <w:rFonts w:asciiTheme="majorHAnsi" w:hAnsiTheme="majorHAnsi"/>
          <w:sz w:val="22"/>
          <w:szCs w:val="22"/>
        </w:rPr>
        <w:t>for anti-DT and anti-TT (0.1 IU/ml</w:t>
      </w:r>
      <w:r w:rsidR="00C069AD">
        <w:rPr>
          <w:rFonts w:asciiTheme="majorHAnsi" w:hAnsiTheme="majorHAnsi"/>
          <w:sz w:val="22"/>
          <w:szCs w:val="22"/>
        </w:rPr>
        <w:t xml:space="preserve"> for both</w:t>
      </w:r>
      <w:r w:rsidR="00DD13F3">
        <w:rPr>
          <w:rFonts w:asciiTheme="majorHAnsi" w:hAnsiTheme="majorHAnsi"/>
          <w:sz w:val="22"/>
          <w:szCs w:val="22"/>
        </w:rPr>
        <w:t xml:space="preserve">) </w:t>
      </w:r>
      <w:r w:rsidR="00554607">
        <w:rPr>
          <w:rFonts w:asciiTheme="majorHAnsi" w:hAnsiTheme="majorHAnsi"/>
          <w:sz w:val="22"/>
          <w:szCs w:val="22"/>
        </w:rPr>
        <w:t>were performed by</w:t>
      </w:r>
      <w:r w:rsidR="00C02BFF" w:rsidRPr="003B0351">
        <w:rPr>
          <w:rFonts w:asciiTheme="majorHAnsi" w:hAnsiTheme="majorHAnsi"/>
          <w:sz w:val="22"/>
          <w:szCs w:val="22"/>
        </w:rPr>
        <w:t xml:space="preserve"> Fisher’s exact test and by logistic regression to adjust for </w:t>
      </w:r>
      <w:r w:rsidR="00554607">
        <w:rPr>
          <w:rFonts w:asciiTheme="majorHAnsi" w:hAnsiTheme="majorHAnsi"/>
          <w:sz w:val="22"/>
          <w:szCs w:val="22"/>
        </w:rPr>
        <w:t>gender and time since vaccination.</w:t>
      </w:r>
      <w:r w:rsidR="000151E6">
        <w:rPr>
          <w:rFonts w:asciiTheme="majorHAnsi" w:hAnsiTheme="majorHAnsi"/>
          <w:sz w:val="22"/>
          <w:szCs w:val="22"/>
        </w:rPr>
        <w:t xml:space="preserve"> </w:t>
      </w:r>
    </w:p>
    <w:p w14:paraId="5AD83CAE" w14:textId="77777777" w:rsidR="00177828" w:rsidRDefault="00177828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2E561B58" w14:textId="64850DC0" w:rsidR="00AD414C" w:rsidRDefault="00C02BFF" w:rsidP="002625D7">
      <w:pPr>
        <w:tabs>
          <w:tab w:val="left" w:pos="142"/>
        </w:tabs>
        <w:spacing w:line="480" w:lineRule="auto"/>
        <w:rPr>
          <w:rFonts w:asciiTheme="majorHAnsi" w:hAnsiTheme="majorHAnsi"/>
          <w:sz w:val="22"/>
          <w:szCs w:val="22"/>
        </w:rPr>
      </w:pPr>
      <w:r w:rsidRPr="003B0351">
        <w:rPr>
          <w:rFonts w:asciiTheme="majorHAnsi" w:hAnsiTheme="majorHAnsi"/>
          <w:sz w:val="22"/>
          <w:szCs w:val="22"/>
        </w:rPr>
        <w:t xml:space="preserve">The </w:t>
      </w:r>
      <w:r w:rsidR="00554607" w:rsidRPr="003B0351">
        <w:rPr>
          <w:rFonts w:asciiTheme="majorHAnsi" w:hAnsiTheme="majorHAnsi"/>
          <w:sz w:val="22"/>
          <w:szCs w:val="22"/>
        </w:rPr>
        <w:t xml:space="preserve">decline </w:t>
      </w:r>
      <w:r w:rsidR="0035093D">
        <w:rPr>
          <w:rFonts w:asciiTheme="majorHAnsi" w:hAnsiTheme="majorHAnsi"/>
          <w:sz w:val="22"/>
          <w:szCs w:val="22"/>
        </w:rPr>
        <w:t xml:space="preserve">in anti-PT IgG GMCs </w:t>
      </w:r>
      <w:r w:rsidR="00554607" w:rsidRPr="003B0351">
        <w:rPr>
          <w:rFonts w:asciiTheme="majorHAnsi" w:hAnsiTheme="majorHAnsi"/>
          <w:sz w:val="22"/>
          <w:szCs w:val="22"/>
        </w:rPr>
        <w:t>from post primary to pre-</w:t>
      </w:r>
      <w:r w:rsidR="00554607">
        <w:rPr>
          <w:rFonts w:asciiTheme="majorHAnsi" w:hAnsiTheme="majorHAnsi"/>
          <w:sz w:val="22"/>
          <w:szCs w:val="22"/>
        </w:rPr>
        <w:t>preschool</w:t>
      </w:r>
      <w:r w:rsidR="00554607" w:rsidRPr="003B0351">
        <w:rPr>
          <w:rFonts w:asciiTheme="majorHAnsi" w:hAnsiTheme="majorHAnsi"/>
          <w:sz w:val="22"/>
          <w:szCs w:val="22"/>
        </w:rPr>
        <w:t xml:space="preserve"> booster </w:t>
      </w:r>
      <w:r w:rsidR="00554607">
        <w:rPr>
          <w:rFonts w:asciiTheme="majorHAnsi" w:hAnsiTheme="majorHAnsi"/>
          <w:sz w:val="22"/>
          <w:szCs w:val="22"/>
        </w:rPr>
        <w:t>was</w:t>
      </w:r>
      <w:r w:rsidRPr="003B0351">
        <w:rPr>
          <w:rFonts w:asciiTheme="majorHAnsi" w:hAnsiTheme="majorHAnsi"/>
          <w:sz w:val="22"/>
          <w:szCs w:val="22"/>
        </w:rPr>
        <w:t xml:space="preserve"> modelled using a log-time log-titre relationship (nor</w:t>
      </w:r>
      <w:r w:rsidR="00554607">
        <w:rPr>
          <w:rFonts w:asciiTheme="majorHAnsi" w:hAnsiTheme="majorHAnsi"/>
          <w:sz w:val="22"/>
          <w:szCs w:val="22"/>
        </w:rPr>
        <w:t xml:space="preserve">mal errors regression) and </w:t>
      </w:r>
      <w:r w:rsidRPr="003B0351">
        <w:rPr>
          <w:rFonts w:asciiTheme="majorHAnsi" w:hAnsiTheme="majorHAnsi"/>
          <w:sz w:val="22"/>
          <w:szCs w:val="22"/>
        </w:rPr>
        <w:t xml:space="preserve">plotted. The slopes </w:t>
      </w:r>
      <w:r w:rsidR="00554607">
        <w:rPr>
          <w:rFonts w:asciiTheme="majorHAnsi" w:hAnsiTheme="majorHAnsi"/>
          <w:sz w:val="22"/>
          <w:szCs w:val="22"/>
        </w:rPr>
        <w:t>were</w:t>
      </w:r>
      <w:r w:rsidRPr="003B0351">
        <w:rPr>
          <w:rFonts w:asciiTheme="majorHAnsi" w:hAnsiTheme="majorHAnsi"/>
          <w:sz w:val="22"/>
          <w:szCs w:val="22"/>
        </w:rPr>
        <w:t xml:space="preserve"> compared between groups as an interaction term in the model.  </w:t>
      </w:r>
      <w:r w:rsidR="00554607">
        <w:rPr>
          <w:rFonts w:asciiTheme="majorHAnsi" w:hAnsiTheme="majorHAnsi"/>
          <w:sz w:val="22"/>
          <w:szCs w:val="22"/>
        </w:rPr>
        <w:t xml:space="preserve">The </w:t>
      </w:r>
      <w:r w:rsidRPr="003B0351">
        <w:rPr>
          <w:rFonts w:asciiTheme="majorHAnsi" w:hAnsiTheme="majorHAnsi"/>
          <w:sz w:val="22"/>
          <w:szCs w:val="22"/>
        </w:rPr>
        <w:t xml:space="preserve">overall </w:t>
      </w:r>
      <w:r w:rsidR="0035093D">
        <w:rPr>
          <w:rFonts w:asciiTheme="majorHAnsi" w:hAnsiTheme="majorHAnsi"/>
          <w:sz w:val="22"/>
          <w:szCs w:val="22"/>
        </w:rPr>
        <w:t xml:space="preserve">anti-PT IgG </w:t>
      </w:r>
      <w:r w:rsidR="00554607">
        <w:rPr>
          <w:rFonts w:asciiTheme="majorHAnsi" w:hAnsiTheme="majorHAnsi"/>
          <w:sz w:val="22"/>
          <w:szCs w:val="22"/>
        </w:rPr>
        <w:t>GMC-</w:t>
      </w:r>
      <w:r w:rsidRPr="003B0351">
        <w:rPr>
          <w:rFonts w:asciiTheme="majorHAnsi" w:hAnsiTheme="majorHAnsi"/>
          <w:sz w:val="22"/>
          <w:szCs w:val="22"/>
        </w:rPr>
        <w:t xml:space="preserve">fold decline </w:t>
      </w:r>
      <w:r w:rsidR="002E2972">
        <w:rPr>
          <w:rFonts w:asciiTheme="majorHAnsi" w:hAnsiTheme="majorHAnsi"/>
          <w:sz w:val="22"/>
          <w:szCs w:val="22"/>
        </w:rPr>
        <w:t>was</w:t>
      </w:r>
      <w:r w:rsidR="00554607">
        <w:rPr>
          <w:rFonts w:asciiTheme="majorHAnsi" w:hAnsiTheme="majorHAnsi"/>
          <w:sz w:val="22"/>
          <w:szCs w:val="22"/>
        </w:rPr>
        <w:t xml:space="preserve"> also</w:t>
      </w:r>
      <w:r w:rsidRPr="003B0351">
        <w:rPr>
          <w:rFonts w:asciiTheme="majorHAnsi" w:hAnsiTheme="majorHAnsi"/>
          <w:sz w:val="22"/>
          <w:szCs w:val="22"/>
        </w:rPr>
        <w:t xml:space="preserve"> calculated and compared between groups </w:t>
      </w:r>
      <w:r w:rsidR="00724CA0">
        <w:rPr>
          <w:rFonts w:asciiTheme="majorHAnsi" w:hAnsiTheme="majorHAnsi"/>
          <w:sz w:val="22"/>
          <w:szCs w:val="22"/>
        </w:rPr>
        <w:t xml:space="preserve">and </w:t>
      </w:r>
      <w:r w:rsidRPr="003B0351">
        <w:rPr>
          <w:rFonts w:asciiTheme="majorHAnsi" w:hAnsiTheme="majorHAnsi"/>
          <w:sz w:val="22"/>
          <w:szCs w:val="22"/>
        </w:rPr>
        <w:t xml:space="preserve">the </w:t>
      </w:r>
      <w:r w:rsidR="00554607">
        <w:rPr>
          <w:rFonts w:asciiTheme="majorHAnsi" w:hAnsiTheme="majorHAnsi"/>
          <w:sz w:val="22"/>
          <w:szCs w:val="22"/>
        </w:rPr>
        <w:t>GMC</w:t>
      </w:r>
      <w:r w:rsidRPr="003B0351">
        <w:rPr>
          <w:rFonts w:asciiTheme="majorHAnsi" w:hAnsiTheme="majorHAnsi"/>
          <w:sz w:val="22"/>
          <w:szCs w:val="22"/>
        </w:rPr>
        <w:t xml:space="preserve"> post</w:t>
      </w:r>
      <w:r w:rsidR="0035093D">
        <w:rPr>
          <w:rFonts w:asciiTheme="majorHAnsi" w:hAnsiTheme="majorHAnsi"/>
          <w:sz w:val="22"/>
          <w:szCs w:val="22"/>
        </w:rPr>
        <w:t>-</w:t>
      </w:r>
      <w:r w:rsidRPr="003B0351">
        <w:rPr>
          <w:rFonts w:asciiTheme="majorHAnsi" w:hAnsiTheme="majorHAnsi"/>
          <w:sz w:val="22"/>
          <w:szCs w:val="22"/>
        </w:rPr>
        <w:t xml:space="preserve">primary vaccination in the </w:t>
      </w:r>
      <w:r w:rsidR="0035093D">
        <w:rPr>
          <w:rFonts w:asciiTheme="majorHAnsi" w:hAnsiTheme="majorHAnsi"/>
          <w:sz w:val="22"/>
          <w:szCs w:val="22"/>
        </w:rPr>
        <w:t>iMAP2</w:t>
      </w:r>
      <w:r w:rsidR="00890FE9">
        <w:rPr>
          <w:rFonts w:asciiTheme="majorHAnsi" w:hAnsiTheme="majorHAnsi"/>
          <w:sz w:val="22"/>
          <w:szCs w:val="22"/>
        </w:rPr>
        <w:t xml:space="preserve"> study</w:t>
      </w:r>
      <w:r w:rsidRPr="003B0351">
        <w:rPr>
          <w:rFonts w:asciiTheme="majorHAnsi" w:hAnsiTheme="majorHAnsi"/>
          <w:sz w:val="22"/>
          <w:szCs w:val="22"/>
        </w:rPr>
        <w:t xml:space="preserve"> and in those </w:t>
      </w:r>
      <w:r w:rsidR="00890FE9">
        <w:rPr>
          <w:rFonts w:asciiTheme="majorHAnsi" w:hAnsiTheme="majorHAnsi"/>
          <w:sz w:val="22"/>
          <w:szCs w:val="22"/>
        </w:rPr>
        <w:t xml:space="preserve">children </w:t>
      </w:r>
      <w:r w:rsidRPr="003B0351">
        <w:rPr>
          <w:rFonts w:asciiTheme="majorHAnsi" w:hAnsiTheme="majorHAnsi"/>
          <w:sz w:val="22"/>
          <w:szCs w:val="22"/>
        </w:rPr>
        <w:t>also</w:t>
      </w:r>
      <w:r w:rsidR="0035093D">
        <w:rPr>
          <w:rFonts w:asciiTheme="majorHAnsi" w:hAnsiTheme="majorHAnsi"/>
          <w:sz w:val="22"/>
          <w:szCs w:val="22"/>
        </w:rPr>
        <w:t xml:space="preserve"> recruited</w:t>
      </w:r>
      <w:r w:rsidRPr="003B0351">
        <w:rPr>
          <w:rFonts w:asciiTheme="majorHAnsi" w:hAnsiTheme="majorHAnsi"/>
          <w:sz w:val="22"/>
          <w:szCs w:val="22"/>
        </w:rPr>
        <w:t xml:space="preserve"> in</w:t>
      </w:r>
      <w:r w:rsidR="0035093D">
        <w:rPr>
          <w:rFonts w:asciiTheme="majorHAnsi" w:hAnsiTheme="majorHAnsi"/>
          <w:sz w:val="22"/>
          <w:szCs w:val="22"/>
        </w:rPr>
        <w:t>to</w:t>
      </w:r>
      <w:r w:rsidRPr="003B0351">
        <w:rPr>
          <w:rFonts w:asciiTheme="majorHAnsi" w:hAnsiTheme="majorHAnsi"/>
          <w:sz w:val="22"/>
          <w:szCs w:val="22"/>
        </w:rPr>
        <w:t xml:space="preserve"> the </w:t>
      </w:r>
      <w:r w:rsidR="00890FE9">
        <w:rPr>
          <w:rFonts w:asciiTheme="majorHAnsi" w:hAnsiTheme="majorHAnsi"/>
          <w:sz w:val="22"/>
          <w:szCs w:val="22"/>
        </w:rPr>
        <w:t>current</w:t>
      </w:r>
      <w:r w:rsidRPr="003B0351">
        <w:rPr>
          <w:rFonts w:asciiTheme="majorHAnsi" w:hAnsiTheme="majorHAnsi"/>
          <w:sz w:val="22"/>
          <w:szCs w:val="22"/>
        </w:rPr>
        <w:t xml:space="preserve"> study</w:t>
      </w:r>
      <w:r w:rsidR="00724CA0">
        <w:rPr>
          <w:rFonts w:asciiTheme="majorHAnsi" w:hAnsiTheme="majorHAnsi"/>
          <w:sz w:val="22"/>
          <w:szCs w:val="22"/>
        </w:rPr>
        <w:t xml:space="preserve"> was also compared. </w:t>
      </w:r>
      <w:r w:rsidR="00AD414C">
        <w:rPr>
          <w:rFonts w:asciiTheme="majorHAnsi" w:hAnsiTheme="majorHAnsi"/>
          <w:sz w:val="22"/>
          <w:szCs w:val="22"/>
        </w:rPr>
        <w:t xml:space="preserve"> </w:t>
      </w:r>
    </w:p>
    <w:p w14:paraId="21D544DB" w14:textId="77777777" w:rsidR="00890FE9" w:rsidRDefault="00890FE9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74AFD34C" w14:textId="77777777" w:rsidR="00532AEE" w:rsidRDefault="00890FE9" w:rsidP="001557AE">
      <w:pPr>
        <w:spacing w:line="480" w:lineRule="auto"/>
        <w:rPr>
          <w:rFonts w:asciiTheme="majorHAnsi" w:hAnsiTheme="majorHAnsi"/>
          <w:b/>
        </w:rPr>
      </w:pPr>
      <w:r w:rsidRPr="00890FE9">
        <w:rPr>
          <w:rFonts w:asciiTheme="majorHAnsi" w:hAnsiTheme="majorHAnsi"/>
          <w:b/>
        </w:rPr>
        <w:t>Results</w:t>
      </w:r>
      <w:r w:rsidR="00532AEE">
        <w:rPr>
          <w:rFonts w:asciiTheme="majorHAnsi" w:hAnsiTheme="majorHAnsi"/>
          <w:b/>
        </w:rPr>
        <w:t xml:space="preserve"> </w:t>
      </w:r>
    </w:p>
    <w:p w14:paraId="35E00F10" w14:textId="77777777" w:rsidR="002563FE" w:rsidRDefault="002563FE" w:rsidP="001557AE">
      <w:pPr>
        <w:spacing w:line="480" w:lineRule="auto"/>
        <w:rPr>
          <w:rFonts w:asciiTheme="majorHAnsi" w:hAnsiTheme="majorHAnsi"/>
          <w:b/>
        </w:rPr>
      </w:pPr>
    </w:p>
    <w:p w14:paraId="2CAD715C" w14:textId="60E1F15B" w:rsidR="00532AEE" w:rsidRDefault="002563FE" w:rsidP="001557AE">
      <w:pPr>
        <w:spacing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Comparison </w:t>
      </w:r>
      <w:r w:rsidR="00785098">
        <w:rPr>
          <w:rFonts w:asciiTheme="majorHAnsi" w:hAnsiTheme="majorHAnsi"/>
          <w:b/>
        </w:rPr>
        <w:t>of recruited v</w:t>
      </w:r>
      <w:r w:rsidR="0089615F">
        <w:rPr>
          <w:rFonts w:asciiTheme="majorHAnsi" w:hAnsiTheme="majorHAnsi"/>
          <w:b/>
        </w:rPr>
        <w:t>ersus</w:t>
      </w:r>
      <w:r w:rsidR="00785098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non-recruited children from </w:t>
      </w:r>
      <w:r w:rsidR="00344C43">
        <w:rPr>
          <w:rFonts w:asciiTheme="majorHAnsi" w:hAnsiTheme="majorHAnsi"/>
          <w:b/>
        </w:rPr>
        <w:t>the preceding study</w:t>
      </w:r>
    </w:p>
    <w:p w14:paraId="1A822EBE" w14:textId="77777777" w:rsidR="00DB01C5" w:rsidRDefault="00DB01C5" w:rsidP="001557AE">
      <w:pPr>
        <w:spacing w:line="480" w:lineRule="auto"/>
        <w:rPr>
          <w:rFonts w:asciiTheme="majorHAnsi" w:hAnsiTheme="majorHAnsi" w:cstheme="minorHAnsi"/>
          <w:sz w:val="22"/>
          <w:szCs w:val="22"/>
        </w:rPr>
      </w:pPr>
    </w:p>
    <w:p w14:paraId="5907650B" w14:textId="63064BFA" w:rsidR="00532AEE" w:rsidRDefault="00532AEE" w:rsidP="001557AE">
      <w:pPr>
        <w:spacing w:line="480" w:lineRule="auto"/>
        <w:rPr>
          <w:rFonts w:asciiTheme="majorHAnsi" w:hAnsiTheme="majorHAnsi" w:cstheme="minorHAnsi"/>
          <w:sz w:val="22"/>
          <w:szCs w:val="22"/>
        </w:rPr>
      </w:pPr>
      <w:r w:rsidRPr="00532AEE">
        <w:rPr>
          <w:rFonts w:asciiTheme="majorHAnsi" w:hAnsiTheme="majorHAnsi" w:cstheme="minorHAnsi"/>
          <w:sz w:val="22"/>
          <w:szCs w:val="22"/>
        </w:rPr>
        <w:t>Between March 2018 and September 2019, 6</w:t>
      </w:r>
      <w:r w:rsidR="00FB7805">
        <w:rPr>
          <w:rFonts w:asciiTheme="majorHAnsi" w:hAnsiTheme="majorHAnsi" w:cstheme="minorHAnsi"/>
          <w:sz w:val="22"/>
          <w:szCs w:val="22"/>
        </w:rPr>
        <w:t>3</w:t>
      </w:r>
      <w:r w:rsidRPr="00532AEE">
        <w:rPr>
          <w:rFonts w:asciiTheme="majorHAnsi" w:hAnsiTheme="majorHAnsi" w:cstheme="minorHAnsi"/>
          <w:sz w:val="22"/>
          <w:szCs w:val="22"/>
        </w:rPr>
        <w:t xml:space="preserve"> </w:t>
      </w:r>
      <w:r w:rsidR="00FB7805">
        <w:rPr>
          <w:rFonts w:asciiTheme="majorHAnsi" w:hAnsiTheme="majorHAnsi" w:cstheme="minorHAnsi"/>
          <w:sz w:val="22"/>
          <w:szCs w:val="22"/>
        </w:rPr>
        <w:t xml:space="preserve">out of 144 children </w:t>
      </w:r>
      <w:r w:rsidR="00FB7805" w:rsidRPr="00FB7805">
        <w:rPr>
          <w:rFonts w:asciiTheme="majorHAnsi" w:hAnsiTheme="majorHAnsi" w:cstheme="minorHAnsi"/>
          <w:sz w:val="22"/>
          <w:szCs w:val="22"/>
        </w:rPr>
        <w:t>participating in the iMAP2 study and</w:t>
      </w:r>
      <w:r w:rsidR="00FB7805">
        <w:rPr>
          <w:rFonts w:asciiTheme="majorHAnsi" w:hAnsiTheme="majorHAnsi" w:cstheme="minorHAnsi"/>
          <w:sz w:val="22"/>
          <w:szCs w:val="22"/>
        </w:rPr>
        <w:t xml:space="preserve"> one </w:t>
      </w:r>
      <w:r w:rsidR="00FB7805" w:rsidRPr="00FB7805">
        <w:rPr>
          <w:rFonts w:asciiTheme="majorHAnsi" w:hAnsiTheme="majorHAnsi" w:cstheme="minorHAnsi"/>
          <w:sz w:val="22"/>
          <w:szCs w:val="22"/>
        </w:rPr>
        <w:t xml:space="preserve">child </w:t>
      </w:r>
      <w:r w:rsidR="00FB7805">
        <w:rPr>
          <w:rFonts w:asciiTheme="majorHAnsi" w:hAnsiTheme="majorHAnsi" w:cstheme="minorHAnsi"/>
          <w:sz w:val="22"/>
          <w:szCs w:val="22"/>
        </w:rPr>
        <w:t xml:space="preserve">from the Infanrix study were </w:t>
      </w:r>
      <w:r w:rsidR="00FB7805" w:rsidRPr="00FB7805">
        <w:rPr>
          <w:rFonts w:asciiTheme="majorHAnsi" w:hAnsiTheme="majorHAnsi" w:cstheme="minorHAnsi"/>
          <w:sz w:val="22"/>
          <w:szCs w:val="22"/>
        </w:rPr>
        <w:t>recruite</w:t>
      </w:r>
      <w:r w:rsidR="00FB7805">
        <w:rPr>
          <w:rFonts w:asciiTheme="majorHAnsi" w:hAnsiTheme="majorHAnsi" w:cstheme="minorHAnsi"/>
          <w:sz w:val="22"/>
          <w:szCs w:val="22"/>
        </w:rPr>
        <w:t>d</w:t>
      </w:r>
      <w:r w:rsidR="00F96A3E">
        <w:rPr>
          <w:rFonts w:asciiTheme="majorHAnsi" w:hAnsiTheme="majorHAnsi" w:cstheme="minorHAnsi"/>
          <w:sz w:val="22"/>
          <w:szCs w:val="22"/>
        </w:rPr>
        <w:t>;</w:t>
      </w:r>
      <w:r w:rsidR="006A50AC">
        <w:rPr>
          <w:rFonts w:asciiTheme="majorHAnsi" w:hAnsiTheme="majorHAnsi" w:cstheme="minorHAnsi"/>
          <w:sz w:val="22"/>
          <w:szCs w:val="22"/>
        </w:rPr>
        <w:t xml:space="preserve"> </w:t>
      </w:r>
      <w:r w:rsidR="008B2784">
        <w:rPr>
          <w:rFonts w:asciiTheme="majorHAnsi" w:hAnsiTheme="majorHAnsi" w:cstheme="minorHAnsi"/>
          <w:sz w:val="22"/>
          <w:szCs w:val="22"/>
        </w:rPr>
        <w:t xml:space="preserve">48 were born to women who received a pertussis-containing antenatal vaccine in pregnancy (26 </w:t>
      </w:r>
      <w:r w:rsidR="008B2784" w:rsidRPr="00210E45">
        <w:rPr>
          <w:rFonts w:asciiTheme="majorHAnsi" w:hAnsiTheme="majorHAnsi"/>
          <w:sz w:val="22"/>
          <w:szCs w:val="22"/>
        </w:rPr>
        <w:t>BOOSTRIX</w:t>
      </w:r>
      <w:r w:rsidR="008B2784">
        <w:rPr>
          <w:rFonts w:asciiTheme="majorHAnsi" w:hAnsiTheme="majorHAnsi"/>
          <w:sz w:val="22"/>
          <w:szCs w:val="22"/>
        </w:rPr>
        <w:t>-IPV</w:t>
      </w:r>
      <w:r w:rsidR="008B2784" w:rsidRPr="00210E45">
        <w:rPr>
          <w:rFonts w:asciiTheme="majorHAnsi" w:hAnsiTheme="majorHAnsi"/>
          <w:sz w:val="22"/>
          <w:szCs w:val="22"/>
        </w:rPr>
        <w:t>®</w:t>
      </w:r>
      <w:r w:rsidR="008B2784">
        <w:rPr>
          <w:rFonts w:asciiTheme="majorHAnsi" w:hAnsiTheme="majorHAnsi" w:cstheme="minorHAnsi"/>
          <w:sz w:val="22"/>
          <w:szCs w:val="22"/>
        </w:rPr>
        <w:t xml:space="preserve">, 22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8B2784" w:rsidRPr="00210E45">
        <w:rPr>
          <w:rFonts w:asciiTheme="majorHAnsi" w:hAnsiTheme="majorHAnsi"/>
          <w:sz w:val="22"/>
          <w:szCs w:val="22"/>
        </w:rPr>
        <w:t>®</w:t>
      </w:r>
      <w:r w:rsidR="008B2784">
        <w:rPr>
          <w:rFonts w:asciiTheme="majorHAnsi" w:hAnsiTheme="majorHAnsi" w:cstheme="minorHAnsi"/>
          <w:sz w:val="22"/>
          <w:szCs w:val="22"/>
        </w:rPr>
        <w:t>)</w:t>
      </w:r>
      <w:r w:rsidR="00F96A3E">
        <w:rPr>
          <w:rFonts w:asciiTheme="majorHAnsi" w:hAnsiTheme="majorHAnsi" w:cstheme="minorHAnsi"/>
          <w:sz w:val="22"/>
          <w:szCs w:val="22"/>
        </w:rPr>
        <w:t xml:space="preserve"> </w:t>
      </w:r>
      <w:r w:rsidR="0064111B">
        <w:rPr>
          <w:rFonts w:asciiTheme="majorHAnsi" w:hAnsiTheme="majorHAnsi" w:cstheme="minorHAnsi"/>
          <w:sz w:val="22"/>
          <w:szCs w:val="22"/>
        </w:rPr>
        <w:t xml:space="preserve">and </w:t>
      </w:r>
      <w:r w:rsidR="0064111B" w:rsidRPr="00532AEE">
        <w:rPr>
          <w:rFonts w:asciiTheme="majorHAnsi" w:hAnsiTheme="majorHAnsi" w:cstheme="minorHAnsi"/>
          <w:sz w:val="22"/>
          <w:szCs w:val="22"/>
        </w:rPr>
        <w:t>16</w:t>
      </w:r>
      <w:r w:rsidRPr="00532AEE">
        <w:rPr>
          <w:rFonts w:asciiTheme="majorHAnsi" w:hAnsiTheme="majorHAnsi" w:cstheme="minorHAnsi"/>
          <w:sz w:val="22"/>
          <w:szCs w:val="22"/>
        </w:rPr>
        <w:t xml:space="preserve"> </w:t>
      </w:r>
      <w:r w:rsidR="006A50AC">
        <w:rPr>
          <w:rFonts w:asciiTheme="majorHAnsi" w:hAnsiTheme="majorHAnsi" w:cstheme="minorHAnsi"/>
          <w:sz w:val="22"/>
          <w:szCs w:val="22"/>
        </w:rPr>
        <w:t xml:space="preserve">to </w:t>
      </w:r>
      <w:r w:rsidR="008B2784">
        <w:rPr>
          <w:rFonts w:asciiTheme="majorHAnsi" w:hAnsiTheme="majorHAnsi" w:cstheme="minorHAnsi"/>
          <w:sz w:val="22"/>
          <w:szCs w:val="22"/>
        </w:rPr>
        <w:t>women who did not receive a pertussis-containing antenatal vaccine</w:t>
      </w:r>
      <w:r w:rsidR="00F96A3E">
        <w:rPr>
          <w:rFonts w:asciiTheme="majorHAnsi" w:hAnsiTheme="majorHAnsi" w:cstheme="minorHAnsi"/>
          <w:sz w:val="22"/>
          <w:szCs w:val="22"/>
        </w:rPr>
        <w:t>.</w:t>
      </w:r>
      <w:r w:rsidR="008B2784">
        <w:rPr>
          <w:rFonts w:asciiTheme="majorHAnsi" w:hAnsiTheme="majorHAnsi" w:cstheme="minorHAnsi"/>
          <w:sz w:val="22"/>
          <w:szCs w:val="22"/>
        </w:rPr>
        <w:t xml:space="preserve"> </w:t>
      </w:r>
      <w:r w:rsidRPr="00532AEE">
        <w:rPr>
          <w:rFonts w:asciiTheme="majorHAnsi" w:hAnsiTheme="majorHAnsi" w:cstheme="minorHAnsi"/>
          <w:sz w:val="22"/>
          <w:szCs w:val="22"/>
        </w:rPr>
        <w:t xml:space="preserve">Details of those recruited are shown in </w:t>
      </w:r>
      <w:r w:rsidR="003E5258">
        <w:rPr>
          <w:rFonts w:asciiTheme="majorHAnsi" w:hAnsiTheme="majorHAnsi" w:cstheme="minorHAnsi"/>
          <w:sz w:val="22"/>
          <w:szCs w:val="22"/>
        </w:rPr>
        <w:t>Supplementary</w:t>
      </w:r>
      <w:r w:rsidR="00CB341B">
        <w:rPr>
          <w:rFonts w:asciiTheme="majorHAnsi" w:hAnsiTheme="majorHAnsi" w:cstheme="minorHAnsi"/>
          <w:sz w:val="22"/>
          <w:szCs w:val="22"/>
        </w:rPr>
        <w:t xml:space="preserve"> </w:t>
      </w:r>
      <w:r w:rsidRPr="00532AEE">
        <w:rPr>
          <w:rFonts w:asciiTheme="majorHAnsi" w:hAnsiTheme="majorHAnsi" w:cstheme="minorHAnsi"/>
          <w:sz w:val="22"/>
          <w:szCs w:val="22"/>
        </w:rPr>
        <w:t>Table 1</w:t>
      </w:r>
      <w:r w:rsidR="002E2972">
        <w:rPr>
          <w:rFonts w:asciiTheme="majorHAnsi" w:hAnsiTheme="majorHAnsi" w:cstheme="minorHAnsi"/>
          <w:sz w:val="22"/>
          <w:szCs w:val="22"/>
        </w:rPr>
        <w:t xml:space="preserve">. </w:t>
      </w:r>
      <w:r w:rsidR="001C1A12">
        <w:rPr>
          <w:rFonts w:asciiTheme="majorHAnsi" w:hAnsiTheme="majorHAnsi" w:cstheme="minorHAnsi"/>
          <w:sz w:val="22"/>
          <w:szCs w:val="22"/>
        </w:rPr>
        <w:t>T</w:t>
      </w:r>
      <w:r w:rsidRPr="00532AEE">
        <w:rPr>
          <w:rFonts w:asciiTheme="majorHAnsi" w:hAnsiTheme="majorHAnsi" w:cstheme="minorHAnsi"/>
          <w:sz w:val="22"/>
          <w:szCs w:val="22"/>
        </w:rPr>
        <w:t xml:space="preserve">here were no </w:t>
      </w:r>
      <w:r w:rsidR="004F6915">
        <w:rPr>
          <w:rFonts w:asciiTheme="majorHAnsi" w:hAnsiTheme="majorHAnsi" w:cstheme="minorHAnsi"/>
          <w:sz w:val="22"/>
          <w:szCs w:val="22"/>
        </w:rPr>
        <w:t xml:space="preserve">significant </w:t>
      </w:r>
      <w:r w:rsidRPr="00532AEE">
        <w:rPr>
          <w:rFonts w:asciiTheme="majorHAnsi" w:hAnsiTheme="majorHAnsi" w:cstheme="minorHAnsi"/>
          <w:sz w:val="22"/>
          <w:szCs w:val="22"/>
        </w:rPr>
        <w:t xml:space="preserve">differences </w:t>
      </w:r>
      <w:r w:rsidR="00785098">
        <w:rPr>
          <w:rFonts w:asciiTheme="majorHAnsi" w:hAnsiTheme="majorHAnsi" w:cstheme="minorHAnsi"/>
          <w:sz w:val="22"/>
          <w:szCs w:val="22"/>
        </w:rPr>
        <w:t xml:space="preserve">between </w:t>
      </w:r>
      <w:r w:rsidR="00AC0EEA">
        <w:rPr>
          <w:rFonts w:asciiTheme="majorHAnsi" w:hAnsiTheme="majorHAnsi" w:cstheme="minorHAnsi"/>
          <w:sz w:val="22"/>
          <w:szCs w:val="22"/>
        </w:rPr>
        <w:t>recruited and non-recruited children</w:t>
      </w:r>
      <w:r w:rsidR="008B2784">
        <w:rPr>
          <w:rFonts w:asciiTheme="majorHAnsi" w:hAnsiTheme="majorHAnsi" w:cstheme="minorHAnsi"/>
          <w:sz w:val="22"/>
          <w:szCs w:val="22"/>
        </w:rPr>
        <w:t xml:space="preserve"> from the iMAP2 study</w:t>
      </w:r>
      <w:r w:rsidR="00D14B2F">
        <w:rPr>
          <w:rFonts w:asciiTheme="majorHAnsi" w:hAnsiTheme="majorHAnsi" w:cstheme="minorHAnsi"/>
          <w:sz w:val="22"/>
          <w:szCs w:val="22"/>
        </w:rPr>
        <w:t>.</w:t>
      </w:r>
    </w:p>
    <w:p w14:paraId="154E2139" w14:textId="674FC689" w:rsidR="00A0106B" w:rsidRDefault="00A0106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7A806CC1" w14:textId="77777777" w:rsidR="00837CAA" w:rsidRDefault="00837CAA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20EBD7AB" w14:textId="57CD3B44" w:rsidR="002563FE" w:rsidRDefault="002563FE" w:rsidP="001557AE">
      <w:pPr>
        <w:spacing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Comparison amongst recruited children </w:t>
      </w:r>
    </w:p>
    <w:p w14:paraId="40B17103" w14:textId="77777777" w:rsidR="00DB01C5" w:rsidRDefault="00DB01C5" w:rsidP="001557AE">
      <w:pPr>
        <w:spacing w:line="480" w:lineRule="auto"/>
        <w:rPr>
          <w:rFonts w:asciiTheme="majorHAnsi" w:hAnsiTheme="majorHAnsi" w:cstheme="minorHAnsi"/>
          <w:sz w:val="22"/>
          <w:szCs w:val="22"/>
        </w:rPr>
      </w:pPr>
    </w:p>
    <w:p w14:paraId="51261B33" w14:textId="76942C7E" w:rsidR="00CC4D1B" w:rsidRPr="00837CAA" w:rsidRDefault="00642BD2" w:rsidP="00837CAA">
      <w:pPr>
        <w:spacing w:line="480" w:lineRule="auto"/>
        <w:rPr>
          <w:rFonts w:asciiTheme="majorHAnsi" w:hAnsiTheme="majorHAnsi"/>
          <w:sz w:val="22"/>
          <w:szCs w:val="22"/>
        </w:rPr>
      </w:pPr>
      <w:r w:rsidRPr="00532AEE">
        <w:rPr>
          <w:rFonts w:asciiTheme="majorHAnsi" w:hAnsiTheme="majorHAnsi" w:cstheme="minorHAnsi"/>
          <w:sz w:val="22"/>
          <w:szCs w:val="22"/>
        </w:rPr>
        <w:t xml:space="preserve">Details </w:t>
      </w:r>
      <w:r w:rsidR="00D14B2F">
        <w:rPr>
          <w:rFonts w:asciiTheme="majorHAnsi" w:hAnsiTheme="majorHAnsi" w:cstheme="minorHAnsi"/>
          <w:sz w:val="22"/>
          <w:szCs w:val="22"/>
        </w:rPr>
        <w:t xml:space="preserve">of </w:t>
      </w:r>
      <w:r w:rsidRPr="00532AEE">
        <w:rPr>
          <w:rFonts w:asciiTheme="majorHAnsi" w:hAnsiTheme="majorHAnsi" w:cstheme="minorHAnsi"/>
          <w:sz w:val="22"/>
          <w:szCs w:val="22"/>
        </w:rPr>
        <w:t xml:space="preserve">those recruited </w:t>
      </w:r>
      <w:r w:rsidR="00AC0EEA">
        <w:rPr>
          <w:rFonts w:asciiTheme="majorHAnsi" w:hAnsiTheme="majorHAnsi" w:cstheme="minorHAnsi"/>
          <w:sz w:val="22"/>
          <w:szCs w:val="22"/>
        </w:rPr>
        <w:t>to</w:t>
      </w:r>
      <w:r>
        <w:rPr>
          <w:rFonts w:asciiTheme="majorHAnsi" w:hAnsiTheme="majorHAnsi" w:cstheme="minorHAnsi"/>
          <w:sz w:val="22"/>
          <w:szCs w:val="22"/>
        </w:rPr>
        <w:t xml:space="preserve"> the three groups </w:t>
      </w:r>
      <w:r w:rsidR="00CC4D1B">
        <w:rPr>
          <w:rFonts w:asciiTheme="majorHAnsi" w:hAnsiTheme="majorHAnsi" w:cstheme="minorHAnsi"/>
          <w:sz w:val="22"/>
          <w:szCs w:val="22"/>
        </w:rPr>
        <w:t xml:space="preserve">(mothers receiving </w:t>
      </w:r>
      <w:r w:rsidR="00EA079B">
        <w:rPr>
          <w:rFonts w:asciiTheme="majorHAnsi" w:hAnsiTheme="majorHAnsi" w:cstheme="minorHAnsi"/>
          <w:sz w:val="22"/>
          <w:szCs w:val="22"/>
        </w:rPr>
        <w:t>BOOSTRIX</w:t>
      </w:r>
      <w:r w:rsidR="00C122CA">
        <w:rPr>
          <w:rFonts w:asciiTheme="majorHAnsi" w:hAnsiTheme="majorHAnsi" w:cstheme="minorHAnsi"/>
          <w:sz w:val="22"/>
          <w:szCs w:val="22"/>
        </w:rPr>
        <w:t>-IPV</w:t>
      </w:r>
      <w:r w:rsidR="00EA079B">
        <w:rPr>
          <w:rFonts w:asciiTheme="majorHAnsi" w:hAnsiTheme="majorHAnsi" w:cstheme="minorHAnsi"/>
          <w:sz w:val="22"/>
          <w:szCs w:val="22"/>
        </w:rPr>
        <w:t>®</w:t>
      </w:r>
      <w:r w:rsidR="00CC4D1B">
        <w:rPr>
          <w:rFonts w:asciiTheme="majorHAnsi" w:hAnsiTheme="majorHAnsi" w:cstheme="minorHAnsi"/>
          <w:sz w:val="22"/>
          <w:szCs w:val="22"/>
        </w:rPr>
        <w:t xml:space="preserve">, </w:t>
      </w:r>
      <w:r w:rsidR="00960106">
        <w:rPr>
          <w:rFonts w:asciiTheme="majorHAnsi" w:hAnsiTheme="majorHAnsi" w:cstheme="minorHAnsi"/>
          <w:sz w:val="22"/>
          <w:szCs w:val="22"/>
        </w:rPr>
        <w:t>REPEVAX</w:t>
      </w:r>
      <w:r w:rsidR="00EA079B">
        <w:rPr>
          <w:rFonts w:asciiTheme="majorHAnsi" w:hAnsiTheme="majorHAnsi" w:cstheme="minorHAnsi"/>
          <w:sz w:val="22"/>
          <w:szCs w:val="22"/>
        </w:rPr>
        <w:t>®</w:t>
      </w:r>
      <w:r w:rsidR="00CC4D1B">
        <w:rPr>
          <w:rFonts w:asciiTheme="majorHAnsi" w:hAnsiTheme="majorHAnsi" w:cstheme="minorHAnsi"/>
          <w:sz w:val="22"/>
          <w:szCs w:val="22"/>
        </w:rPr>
        <w:t xml:space="preserve"> or no pertussis-containing vaccine in pregnancy) </w:t>
      </w:r>
      <w:r>
        <w:rPr>
          <w:rFonts w:asciiTheme="majorHAnsi" w:hAnsiTheme="majorHAnsi" w:cstheme="minorHAnsi"/>
          <w:sz w:val="22"/>
          <w:szCs w:val="22"/>
        </w:rPr>
        <w:t xml:space="preserve">are shown in </w:t>
      </w:r>
      <w:r w:rsidRPr="002563FE">
        <w:rPr>
          <w:rFonts w:asciiTheme="majorHAnsi" w:hAnsiTheme="majorHAnsi"/>
          <w:sz w:val="22"/>
          <w:szCs w:val="22"/>
        </w:rPr>
        <w:t xml:space="preserve">Table </w:t>
      </w:r>
      <w:r w:rsidR="00CB341B">
        <w:rPr>
          <w:rFonts w:asciiTheme="majorHAnsi" w:hAnsiTheme="majorHAnsi"/>
          <w:sz w:val="22"/>
          <w:szCs w:val="22"/>
        </w:rPr>
        <w:t>1</w:t>
      </w:r>
      <w:r w:rsidR="00AC0EEA">
        <w:rPr>
          <w:rFonts w:asciiTheme="majorHAnsi" w:hAnsiTheme="majorHAnsi"/>
          <w:sz w:val="22"/>
          <w:szCs w:val="22"/>
        </w:rPr>
        <w:t>. N</w:t>
      </w:r>
      <w:r w:rsidR="00CC4D1B">
        <w:rPr>
          <w:rFonts w:asciiTheme="majorHAnsi" w:hAnsiTheme="majorHAnsi"/>
          <w:sz w:val="22"/>
          <w:szCs w:val="22"/>
        </w:rPr>
        <w:t>o significant differences</w:t>
      </w:r>
      <w:r w:rsidRPr="002563FE">
        <w:rPr>
          <w:rFonts w:asciiTheme="majorHAnsi" w:hAnsiTheme="majorHAnsi"/>
          <w:sz w:val="22"/>
          <w:szCs w:val="22"/>
        </w:rPr>
        <w:t xml:space="preserve"> </w:t>
      </w:r>
      <w:r w:rsidR="00AC0EEA">
        <w:rPr>
          <w:rFonts w:asciiTheme="majorHAnsi" w:hAnsiTheme="majorHAnsi"/>
          <w:sz w:val="22"/>
          <w:szCs w:val="22"/>
        </w:rPr>
        <w:t>were</w:t>
      </w:r>
      <w:r w:rsidR="0023409B">
        <w:rPr>
          <w:rFonts w:asciiTheme="majorHAnsi" w:hAnsiTheme="majorHAnsi"/>
          <w:sz w:val="22"/>
          <w:szCs w:val="22"/>
        </w:rPr>
        <w:t xml:space="preserve"> observed</w:t>
      </w:r>
      <w:r w:rsidR="00D14B2F">
        <w:rPr>
          <w:rFonts w:asciiTheme="majorHAnsi" w:hAnsiTheme="majorHAnsi"/>
          <w:sz w:val="22"/>
          <w:szCs w:val="22"/>
        </w:rPr>
        <w:t>.</w:t>
      </w:r>
    </w:p>
    <w:p w14:paraId="714A85AA" w14:textId="67ECBD42" w:rsidR="00D14B2F" w:rsidRDefault="00D14B2F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00258265" w14:textId="77777777" w:rsidR="00837CAA" w:rsidRDefault="00837CAA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03418EF6" w14:textId="71B44BC7" w:rsidR="00D14B2F" w:rsidRPr="00D14B2F" w:rsidRDefault="00022417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Antibody concentrations prior to preschool booster</w:t>
      </w:r>
    </w:p>
    <w:p w14:paraId="6460FB95" w14:textId="68E95D0B" w:rsidR="005368EB" w:rsidRDefault="005368E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3CCECA4D" w14:textId="4A5B9297" w:rsidR="00D14B2F" w:rsidRDefault="00763D4E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 w:rsidRPr="002023B3">
        <w:rPr>
          <w:rFonts w:asciiTheme="majorHAnsi" w:hAnsiTheme="majorHAnsi"/>
          <w:sz w:val="22"/>
          <w:szCs w:val="22"/>
        </w:rPr>
        <w:t xml:space="preserve">Prior to receipt of the preschool booster, </w:t>
      </w:r>
      <w:r w:rsidR="00566674">
        <w:rPr>
          <w:rFonts w:asciiTheme="majorHAnsi" w:hAnsiTheme="majorHAnsi"/>
          <w:sz w:val="22"/>
          <w:szCs w:val="22"/>
        </w:rPr>
        <w:t xml:space="preserve">there was no significant difference in the IgG GMCs against </w:t>
      </w:r>
      <w:r w:rsidR="009A1D21">
        <w:rPr>
          <w:rFonts w:asciiTheme="majorHAnsi" w:hAnsiTheme="majorHAnsi"/>
          <w:sz w:val="22"/>
          <w:szCs w:val="22"/>
        </w:rPr>
        <w:t xml:space="preserve">any </w:t>
      </w:r>
      <w:r w:rsidR="00566674">
        <w:rPr>
          <w:rFonts w:asciiTheme="majorHAnsi" w:hAnsiTheme="majorHAnsi"/>
          <w:sz w:val="22"/>
          <w:szCs w:val="22"/>
        </w:rPr>
        <w:t xml:space="preserve">pertussis-specific antigens between children born to women vaccinated with </w:t>
      </w:r>
      <w:r w:rsidR="00566674" w:rsidRPr="002023B3">
        <w:rPr>
          <w:rFonts w:asciiTheme="majorHAnsi" w:hAnsiTheme="majorHAnsi"/>
          <w:sz w:val="22"/>
          <w:szCs w:val="22"/>
        </w:rPr>
        <w:t xml:space="preserve">BOOSTRIX-IPV® </w:t>
      </w:r>
      <w:r w:rsidR="00566674">
        <w:rPr>
          <w:rFonts w:asciiTheme="majorHAnsi" w:hAnsiTheme="majorHAnsi"/>
          <w:sz w:val="22"/>
          <w:szCs w:val="22"/>
        </w:rPr>
        <w:t xml:space="preserve">and </w:t>
      </w:r>
      <w:r w:rsidR="00960106">
        <w:rPr>
          <w:rFonts w:asciiTheme="majorHAnsi" w:hAnsiTheme="majorHAnsi"/>
          <w:sz w:val="22"/>
          <w:szCs w:val="22"/>
        </w:rPr>
        <w:t>REPEVAX</w:t>
      </w:r>
      <w:r w:rsidR="00566674" w:rsidRPr="002023B3">
        <w:rPr>
          <w:rFonts w:asciiTheme="majorHAnsi" w:hAnsiTheme="majorHAnsi"/>
          <w:sz w:val="22"/>
          <w:szCs w:val="22"/>
        </w:rPr>
        <w:t>®</w:t>
      </w:r>
      <w:r w:rsidR="00566674">
        <w:rPr>
          <w:rFonts w:asciiTheme="majorHAnsi" w:hAnsiTheme="majorHAnsi"/>
          <w:sz w:val="22"/>
          <w:szCs w:val="22"/>
        </w:rPr>
        <w:t xml:space="preserve">. </w:t>
      </w:r>
      <w:r w:rsidR="00DD4AC4">
        <w:rPr>
          <w:rFonts w:asciiTheme="majorHAnsi" w:hAnsiTheme="majorHAnsi"/>
          <w:sz w:val="22"/>
          <w:szCs w:val="22"/>
        </w:rPr>
        <w:t>O</w:t>
      </w:r>
      <w:r w:rsidR="00566674">
        <w:rPr>
          <w:rFonts w:asciiTheme="majorHAnsi" w:hAnsiTheme="majorHAnsi"/>
          <w:sz w:val="22"/>
          <w:szCs w:val="22"/>
        </w:rPr>
        <w:t xml:space="preserve">nly </w:t>
      </w:r>
      <w:r w:rsidRPr="002023B3">
        <w:rPr>
          <w:rFonts w:asciiTheme="majorHAnsi" w:hAnsiTheme="majorHAnsi"/>
          <w:sz w:val="22"/>
          <w:szCs w:val="22"/>
        </w:rPr>
        <w:t xml:space="preserve">anti-PT </w:t>
      </w:r>
      <w:r w:rsidR="00DB01C5" w:rsidRPr="002023B3">
        <w:rPr>
          <w:rFonts w:asciiTheme="majorHAnsi" w:hAnsiTheme="majorHAnsi"/>
          <w:sz w:val="22"/>
          <w:szCs w:val="22"/>
        </w:rPr>
        <w:t>IgG GMCs</w:t>
      </w:r>
      <w:r w:rsidRPr="002023B3">
        <w:rPr>
          <w:rFonts w:asciiTheme="majorHAnsi" w:hAnsiTheme="majorHAnsi"/>
          <w:sz w:val="22"/>
          <w:szCs w:val="22"/>
        </w:rPr>
        <w:t xml:space="preserve"> </w:t>
      </w:r>
      <w:r w:rsidR="00DB01C5" w:rsidRPr="002023B3">
        <w:rPr>
          <w:rFonts w:asciiTheme="majorHAnsi" w:hAnsiTheme="majorHAnsi"/>
          <w:sz w:val="22"/>
          <w:szCs w:val="22"/>
        </w:rPr>
        <w:t>w</w:t>
      </w:r>
      <w:r w:rsidR="00724CA0">
        <w:rPr>
          <w:rFonts w:asciiTheme="majorHAnsi" w:hAnsiTheme="majorHAnsi"/>
          <w:sz w:val="22"/>
          <w:szCs w:val="22"/>
        </w:rPr>
        <w:t>ere</w:t>
      </w:r>
      <w:r w:rsidR="00DB01C5" w:rsidRPr="002023B3">
        <w:rPr>
          <w:rFonts w:asciiTheme="majorHAnsi" w:hAnsiTheme="majorHAnsi"/>
          <w:sz w:val="22"/>
          <w:szCs w:val="22"/>
        </w:rPr>
        <w:t xml:space="preserve"> </w:t>
      </w:r>
      <w:r w:rsidR="0017511D" w:rsidRPr="002023B3">
        <w:rPr>
          <w:rFonts w:asciiTheme="majorHAnsi" w:hAnsiTheme="majorHAnsi"/>
          <w:sz w:val="22"/>
          <w:szCs w:val="22"/>
        </w:rPr>
        <w:t xml:space="preserve">significantly </w:t>
      </w:r>
      <w:r w:rsidR="00DB01C5" w:rsidRPr="002023B3">
        <w:rPr>
          <w:rFonts w:asciiTheme="majorHAnsi" w:hAnsiTheme="majorHAnsi"/>
          <w:sz w:val="22"/>
          <w:szCs w:val="22"/>
        </w:rPr>
        <w:t xml:space="preserve">lower </w:t>
      </w:r>
      <w:r w:rsidR="0017511D" w:rsidRPr="002023B3">
        <w:rPr>
          <w:rFonts w:asciiTheme="majorHAnsi" w:hAnsiTheme="majorHAnsi"/>
          <w:sz w:val="22"/>
          <w:szCs w:val="22"/>
        </w:rPr>
        <w:t xml:space="preserve">(p=0.03) </w:t>
      </w:r>
      <w:r w:rsidRPr="002023B3">
        <w:rPr>
          <w:rFonts w:asciiTheme="majorHAnsi" w:hAnsiTheme="majorHAnsi"/>
          <w:sz w:val="22"/>
          <w:szCs w:val="22"/>
        </w:rPr>
        <w:t xml:space="preserve">in the children born to </w:t>
      </w:r>
      <w:r w:rsidR="00724CA0" w:rsidRPr="002023B3">
        <w:rPr>
          <w:rFonts w:asciiTheme="majorHAnsi" w:hAnsiTheme="majorHAnsi"/>
          <w:sz w:val="22"/>
          <w:szCs w:val="22"/>
        </w:rPr>
        <w:t xml:space="preserve">BOOSTRIX-IPV® </w:t>
      </w:r>
      <w:r w:rsidRPr="002023B3">
        <w:rPr>
          <w:rFonts w:asciiTheme="majorHAnsi" w:hAnsiTheme="majorHAnsi"/>
          <w:sz w:val="22"/>
          <w:szCs w:val="22"/>
        </w:rPr>
        <w:t xml:space="preserve">vaccinated women </w:t>
      </w:r>
      <w:r w:rsidR="00724CA0">
        <w:rPr>
          <w:rFonts w:asciiTheme="majorHAnsi" w:hAnsiTheme="majorHAnsi"/>
          <w:sz w:val="22"/>
          <w:szCs w:val="22"/>
        </w:rPr>
        <w:t>compared with those</w:t>
      </w:r>
      <w:r w:rsidR="002023B3" w:rsidRPr="002023B3">
        <w:rPr>
          <w:rFonts w:asciiTheme="majorHAnsi" w:hAnsiTheme="majorHAnsi"/>
          <w:sz w:val="22"/>
          <w:szCs w:val="22"/>
        </w:rPr>
        <w:t xml:space="preserve"> born to unvaccinated women</w:t>
      </w:r>
      <w:r w:rsidR="008848FF" w:rsidRPr="002023B3">
        <w:rPr>
          <w:rFonts w:asciiTheme="majorHAnsi" w:hAnsiTheme="majorHAnsi"/>
          <w:sz w:val="22"/>
          <w:szCs w:val="22"/>
        </w:rPr>
        <w:t xml:space="preserve"> (GMR 0.42 [95% CI 0.22-0.78)</w:t>
      </w:r>
      <w:r w:rsidR="00DD4AC4">
        <w:rPr>
          <w:rFonts w:asciiTheme="majorHAnsi" w:hAnsiTheme="majorHAnsi"/>
          <w:sz w:val="22"/>
          <w:szCs w:val="22"/>
        </w:rPr>
        <w:t>. T</w:t>
      </w:r>
      <w:r w:rsidR="00DD4AC4" w:rsidRPr="00DD4AC4">
        <w:rPr>
          <w:rFonts w:asciiTheme="majorHAnsi" w:hAnsiTheme="majorHAnsi"/>
          <w:sz w:val="22"/>
          <w:szCs w:val="22"/>
        </w:rPr>
        <w:t xml:space="preserve">here was </w:t>
      </w:r>
      <w:r w:rsidR="00DD4AC4">
        <w:rPr>
          <w:rFonts w:asciiTheme="majorHAnsi" w:hAnsiTheme="majorHAnsi"/>
          <w:sz w:val="22"/>
          <w:szCs w:val="22"/>
        </w:rPr>
        <w:t xml:space="preserve">no significant difference but only </w:t>
      </w:r>
      <w:r w:rsidR="00DD4AC4" w:rsidRPr="00DD4AC4">
        <w:rPr>
          <w:rFonts w:asciiTheme="majorHAnsi" w:hAnsiTheme="majorHAnsi"/>
          <w:sz w:val="22"/>
          <w:szCs w:val="22"/>
        </w:rPr>
        <w:t>an apparent trend for lower IgG GMCs against all pertussis antigens in the children born to vaccinated women than in the children born to unvaccinated women</w:t>
      </w:r>
      <w:r w:rsidRPr="002023B3">
        <w:rPr>
          <w:rFonts w:asciiTheme="majorHAnsi" w:hAnsiTheme="majorHAnsi"/>
          <w:sz w:val="22"/>
          <w:szCs w:val="22"/>
        </w:rPr>
        <w:t>.</w:t>
      </w:r>
      <w:r w:rsidR="00DB01C5">
        <w:rPr>
          <w:rFonts w:asciiTheme="majorHAnsi" w:hAnsiTheme="majorHAnsi"/>
          <w:sz w:val="22"/>
          <w:szCs w:val="22"/>
        </w:rPr>
        <w:t xml:space="preserve"> </w:t>
      </w:r>
      <w:r w:rsidR="007661D9">
        <w:rPr>
          <w:rFonts w:asciiTheme="majorHAnsi" w:hAnsiTheme="majorHAnsi"/>
          <w:sz w:val="22"/>
          <w:szCs w:val="22"/>
        </w:rPr>
        <w:t xml:space="preserve">There was </w:t>
      </w:r>
      <w:r w:rsidR="008A3859">
        <w:rPr>
          <w:rFonts w:asciiTheme="majorHAnsi" w:hAnsiTheme="majorHAnsi"/>
          <w:sz w:val="22"/>
          <w:szCs w:val="22"/>
        </w:rPr>
        <w:t xml:space="preserve">also </w:t>
      </w:r>
      <w:r w:rsidR="007661D9">
        <w:rPr>
          <w:rFonts w:asciiTheme="majorHAnsi" w:hAnsiTheme="majorHAnsi"/>
          <w:sz w:val="22"/>
          <w:szCs w:val="22"/>
        </w:rPr>
        <w:t>n</w:t>
      </w:r>
      <w:r w:rsidR="00AB18C6">
        <w:rPr>
          <w:rFonts w:asciiTheme="majorHAnsi" w:hAnsiTheme="majorHAnsi"/>
          <w:sz w:val="22"/>
          <w:szCs w:val="22"/>
        </w:rPr>
        <w:t xml:space="preserve">o </w:t>
      </w:r>
      <w:r w:rsidR="002023B3">
        <w:rPr>
          <w:rFonts w:asciiTheme="majorHAnsi" w:hAnsiTheme="majorHAnsi"/>
          <w:sz w:val="22"/>
          <w:szCs w:val="22"/>
        </w:rPr>
        <w:t xml:space="preserve">significant </w:t>
      </w:r>
      <w:r w:rsidR="00AB18C6">
        <w:rPr>
          <w:rFonts w:asciiTheme="majorHAnsi" w:hAnsiTheme="majorHAnsi"/>
          <w:sz w:val="22"/>
          <w:szCs w:val="22"/>
        </w:rPr>
        <w:t xml:space="preserve">difference </w:t>
      </w:r>
      <w:r w:rsidR="009A1D21">
        <w:rPr>
          <w:rFonts w:asciiTheme="majorHAnsi" w:hAnsiTheme="majorHAnsi"/>
          <w:sz w:val="22"/>
          <w:szCs w:val="22"/>
        </w:rPr>
        <w:t xml:space="preserve">in the </w:t>
      </w:r>
      <w:r w:rsidR="00DB01C5">
        <w:rPr>
          <w:rFonts w:asciiTheme="majorHAnsi" w:hAnsiTheme="majorHAnsi"/>
          <w:sz w:val="22"/>
          <w:szCs w:val="22"/>
        </w:rPr>
        <w:t>anti-DT and anti-TT</w:t>
      </w:r>
      <w:r w:rsidR="009A1D21" w:rsidRPr="009A1D21">
        <w:rPr>
          <w:rFonts w:asciiTheme="majorHAnsi" w:hAnsiTheme="majorHAnsi"/>
          <w:sz w:val="22"/>
          <w:szCs w:val="22"/>
        </w:rPr>
        <w:t xml:space="preserve"> </w:t>
      </w:r>
      <w:r w:rsidR="009A1D21">
        <w:rPr>
          <w:rFonts w:asciiTheme="majorHAnsi" w:hAnsiTheme="majorHAnsi"/>
          <w:sz w:val="22"/>
          <w:szCs w:val="22"/>
        </w:rPr>
        <w:t>IgG GMCs</w:t>
      </w:r>
      <w:r w:rsidR="00DB01C5">
        <w:rPr>
          <w:rFonts w:asciiTheme="majorHAnsi" w:hAnsiTheme="majorHAnsi"/>
          <w:sz w:val="22"/>
          <w:szCs w:val="22"/>
        </w:rPr>
        <w:t xml:space="preserve"> </w:t>
      </w:r>
      <w:r w:rsidR="00AB18C6">
        <w:rPr>
          <w:rFonts w:asciiTheme="majorHAnsi" w:hAnsiTheme="majorHAnsi"/>
          <w:sz w:val="22"/>
          <w:szCs w:val="22"/>
        </w:rPr>
        <w:t xml:space="preserve">between groups </w:t>
      </w:r>
      <w:r w:rsidR="0045250C">
        <w:rPr>
          <w:rFonts w:asciiTheme="majorHAnsi" w:hAnsiTheme="majorHAnsi"/>
          <w:sz w:val="22"/>
          <w:szCs w:val="22"/>
        </w:rPr>
        <w:t>(</w:t>
      </w:r>
      <w:r w:rsidR="008102F0">
        <w:rPr>
          <w:rFonts w:asciiTheme="majorHAnsi" w:hAnsiTheme="majorHAnsi"/>
          <w:sz w:val="22"/>
          <w:szCs w:val="22"/>
        </w:rPr>
        <w:t xml:space="preserve">Table </w:t>
      </w:r>
      <w:r w:rsidR="00966A17">
        <w:rPr>
          <w:rFonts w:asciiTheme="majorHAnsi" w:hAnsiTheme="majorHAnsi"/>
          <w:sz w:val="22"/>
          <w:szCs w:val="22"/>
        </w:rPr>
        <w:t>2</w:t>
      </w:r>
      <w:r w:rsidR="0045250C">
        <w:rPr>
          <w:rFonts w:asciiTheme="majorHAnsi" w:hAnsiTheme="majorHAnsi"/>
          <w:sz w:val="22"/>
          <w:szCs w:val="22"/>
        </w:rPr>
        <w:t>)</w:t>
      </w:r>
      <w:r w:rsidR="00C4486E">
        <w:rPr>
          <w:rFonts w:asciiTheme="majorHAnsi" w:hAnsiTheme="majorHAnsi"/>
          <w:sz w:val="22"/>
          <w:szCs w:val="22"/>
        </w:rPr>
        <w:t xml:space="preserve">. </w:t>
      </w:r>
    </w:p>
    <w:p w14:paraId="4A480922" w14:textId="29EAB771" w:rsidR="005368EB" w:rsidRDefault="005368E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2C8C2A31" w14:textId="77777777" w:rsidR="00837CAA" w:rsidRPr="00D14B2F" w:rsidRDefault="00837CAA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75F854ED" w14:textId="7B606EF3" w:rsidR="005368EB" w:rsidRPr="005368EB" w:rsidRDefault="005368EB" w:rsidP="001557AE">
      <w:pPr>
        <w:spacing w:line="480" w:lineRule="auto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Antibody concentrations 1 month after the preschool booster</w:t>
      </w:r>
    </w:p>
    <w:p w14:paraId="1032E3FA" w14:textId="77777777" w:rsidR="005368EB" w:rsidRDefault="005368EB" w:rsidP="001557AE">
      <w:pPr>
        <w:spacing w:line="480" w:lineRule="auto"/>
        <w:rPr>
          <w:rFonts w:asciiTheme="majorHAnsi" w:hAnsiTheme="majorHAnsi"/>
          <w:sz w:val="22"/>
          <w:szCs w:val="22"/>
        </w:rPr>
      </w:pPr>
    </w:p>
    <w:p w14:paraId="3355283C" w14:textId="10BAAE6F" w:rsidR="005468E6" w:rsidRDefault="00D52E74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One</w:t>
      </w:r>
      <w:r w:rsidR="0095086E">
        <w:rPr>
          <w:rFonts w:asciiTheme="majorHAnsi" w:hAnsiTheme="majorHAnsi"/>
          <w:sz w:val="22"/>
          <w:szCs w:val="22"/>
        </w:rPr>
        <w:t xml:space="preserve"> month after the receipt of the preschool booster,</w:t>
      </w:r>
      <w:r w:rsidR="00365691">
        <w:rPr>
          <w:rFonts w:asciiTheme="majorHAnsi" w:hAnsiTheme="majorHAnsi"/>
          <w:sz w:val="22"/>
          <w:szCs w:val="22"/>
        </w:rPr>
        <w:t xml:space="preserve"> </w:t>
      </w:r>
      <w:r w:rsidR="00AB18C6">
        <w:rPr>
          <w:rFonts w:asciiTheme="majorHAnsi" w:hAnsiTheme="majorHAnsi"/>
          <w:sz w:val="22"/>
          <w:szCs w:val="22"/>
        </w:rPr>
        <w:t xml:space="preserve">there was no </w:t>
      </w:r>
      <w:r w:rsidR="00960106">
        <w:rPr>
          <w:rFonts w:asciiTheme="majorHAnsi" w:hAnsiTheme="majorHAnsi"/>
          <w:sz w:val="22"/>
          <w:szCs w:val="22"/>
        </w:rPr>
        <w:t xml:space="preserve">significant </w:t>
      </w:r>
      <w:r w:rsidR="00AB18C6">
        <w:rPr>
          <w:rFonts w:asciiTheme="majorHAnsi" w:hAnsiTheme="majorHAnsi"/>
          <w:sz w:val="22"/>
          <w:szCs w:val="22"/>
        </w:rPr>
        <w:t xml:space="preserve">difference </w:t>
      </w:r>
      <w:r w:rsidR="008A3859">
        <w:rPr>
          <w:rFonts w:asciiTheme="majorHAnsi" w:hAnsiTheme="majorHAnsi"/>
          <w:sz w:val="22"/>
          <w:szCs w:val="22"/>
        </w:rPr>
        <w:t>but only</w:t>
      </w:r>
      <w:r w:rsidR="00DD4AC4" w:rsidRPr="00DD4AC4">
        <w:rPr>
          <w:rFonts w:asciiTheme="majorHAnsi" w:hAnsiTheme="majorHAnsi"/>
          <w:sz w:val="22"/>
          <w:szCs w:val="22"/>
        </w:rPr>
        <w:t xml:space="preserve"> an apparent trend for lower IgG GMCs against all pertussis antigens (except PRN) in children born to vaccinated women than in children born to unvaccinated women</w:t>
      </w:r>
      <w:r w:rsidR="000279D0">
        <w:rPr>
          <w:rFonts w:asciiTheme="majorHAnsi" w:hAnsiTheme="majorHAnsi"/>
          <w:sz w:val="22"/>
          <w:szCs w:val="22"/>
        </w:rPr>
        <w:t>.</w:t>
      </w:r>
      <w:r w:rsidR="00333BD6">
        <w:rPr>
          <w:rFonts w:asciiTheme="majorHAnsi" w:hAnsiTheme="majorHAnsi"/>
          <w:sz w:val="22"/>
          <w:szCs w:val="22"/>
        </w:rPr>
        <w:t xml:space="preserve"> There </w:t>
      </w:r>
      <w:r w:rsidR="00333BD6">
        <w:rPr>
          <w:rFonts w:asciiTheme="majorHAnsi" w:hAnsiTheme="majorHAnsi"/>
          <w:sz w:val="22"/>
          <w:szCs w:val="22"/>
        </w:rPr>
        <w:lastRenderedPageBreak/>
        <w:t xml:space="preserve">was also no </w:t>
      </w:r>
      <w:r w:rsidR="00960106">
        <w:rPr>
          <w:rFonts w:asciiTheme="majorHAnsi" w:hAnsiTheme="majorHAnsi"/>
          <w:sz w:val="22"/>
          <w:szCs w:val="22"/>
        </w:rPr>
        <w:t xml:space="preserve">significant </w:t>
      </w:r>
      <w:r w:rsidR="00333BD6">
        <w:rPr>
          <w:rFonts w:asciiTheme="majorHAnsi" w:hAnsiTheme="majorHAnsi"/>
          <w:sz w:val="22"/>
          <w:szCs w:val="22"/>
        </w:rPr>
        <w:t xml:space="preserve">difference </w:t>
      </w:r>
      <w:r w:rsidR="009A1D21">
        <w:rPr>
          <w:rFonts w:asciiTheme="majorHAnsi" w:hAnsiTheme="majorHAnsi"/>
          <w:sz w:val="22"/>
          <w:szCs w:val="22"/>
        </w:rPr>
        <w:t xml:space="preserve">in </w:t>
      </w:r>
      <w:r w:rsidR="00333BD6">
        <w:rPr>
          <w:rFonts w:asciiTheme="majorHAnsi" w:hAnsiTheme="majorHAnsi"/>
          <w:sz w:val="22"/>
          <w:szCs w:val="22"/>
        </w:rPr>
        <w:t xml:space="preserve">the IgG GMCs against </w:t>
      </w:r>
      <w:r w:rsidR="009049CC">
        <w:rPr>
          <w:rFonts w:asciiTheme="majorHAnsi" w:hAnsiTheme="majorHAnsi"/>
          <w:sz w:val="22"/>
          <w:szCs w:val="22"/>
        </w:rPr>
        <w:t xml:space="preserve">DT </w:t>
      </w:r>
      <w:r w:rsidR="00DD4AC4">
        <w:rPr>
          <w:rFonts w:asciiTheme="majorHAnsi" w:hAnsiTheme="majorHAnsi"/>
          <w:sz w:val="22"/>
          <w:szCs w:val="22"/>
        </w:rPr>
        <w:t>and</w:t>
      </w:r>
      <w:r w:rsidR="009049CC">
        <w:rPr>
          <w:rFonts w:asciiTheme="majorHAnsi" w:hAnsiTheme="majorHAnsi"/>
          <w:sz w:val="22"/>
          <w:szCs w:val="22"/>
        </w:rPr>
        <w:t xml:space="preserve"> TT</w:t>
      </w:r>
      <w:r w:rsidR="00333BD6">
        <w:rPr>
          <w:rFonts w:asciiTheme="majorHAnsi" w:hAnsiTheme="majorHAnsi"/>
          <w:sz w:val="22"/>
          <w:szCs w:val="22"/>
        </w:rPr>
        <w:t xml:space="preserve"> between groups </w:t>
      </w:r>
      <w:r w:rsidR="009A1D21">
        <w:rPr>
          <w:rFonts w:asciiTheme="majorHAnsi" w:hAnsiTheme="majorHAnsi"/>
          <w:sz w:val="22"/>
          <w:szCs w:val="22"/>
        </w:rPr>
        <w:t xml:space="preserve">and </w:t>
      </w:r>
      <w:r w:rsidR="006279CE">
        <w:rPr>
          <w:rFonts w:asciiTheme="majorHAnsi" w:hAnsiTheme="majorHAnsi"/>
          <w:sz w:val="22"/>
          <w:szCs w:val="22"/>
        </w:rPr>
        <w:t>all</w:t>
      </w:r>
      <w:r w:rsidR="00333BD6" w:rsidRPr="00D14B2F">
        <w:rPr>
          <w:rFonts w:asciiTheme="majorHAnsi" w:hAnsiTheme="majorHAnsi"/>
          <w:sz w:val="22"/>
          <w:szCs w:val="22"/>
        </w:rPr>
        <w:t xml:space="preserve"> </w:t>
      </w:r>
      <w:r w:rsidR="009A1D21">
        <w:rPr>
          <w:rFonts w:asciiTheme="majorHAnsi" w:hAnsiTheme="majorHAnsi"/>
          <w:sz w:val="22"/>
          <w:szCs w:val="22"/>
        </w:rPr>
        <w:t xml:space="preserve">achieved levels </w:t>
      </w:r>
      <w:r w:rsidR="00333BD6">
        <w:rPr>
          <w:rFonts w:asciiTheme="majorHAnsi" w:hAnsiTheme="majorHAnsi"/>
          <w:sz w:val="22"/>
          <w:szCs w:val="22"/>
        </w:rPr>
        <w:t>above the</w:t>
      </w:r>
      <w:r w:rsidR="006279CE">
        <w:rPr>
          <w:rFonts w:asciiTheme="majorHAnsi" w:hAnsiTheme="majorHAnsi"/>
          <w:sz w:val="22"/>
          <w:szCs w:val="22"/>
        </w:rPr>
        <w:t xml:space="preserve"> established serocorrelate</w:t>
      </w:r>
      <w:r w:rsidR="009A1D21">
        <w:rPr>
          <w:rFonts w:asciiTheme="majorHAnsi" w:hAnsiTheme="majorHAnsi"/>
          <w:sz w:val="22"/>
          <w:szCs w:val="22"/>
        </w:rPr>
        <w:t>s</w:t>
      </w:r>
      <w:r w:rsidR="006279CE">
        <w:rPr>
          <w:rFonts w:asciiTheme="majorHAnsi" w:hAnsiTheme="majorHAnsi"/>
          <w:sz w:val="22"/>
          <w:szCs w:val="22"/>
        </w:rPr>
        <w:t xml:space="preserve"> </w:t>
      </w:r>
      <w:r w:rsidR="009A1D21">
        <w:rPr>
          <w:rFonts w:asciiTheme="majorHAnsi" w:hAnsiTheme="majorHAnsi"/>
          <w:sz w:val="22"/>
          <w:szCs w:val="22"/>
        </w:rPr>
        <w:t xml:space="preserve">of </w:t>
      </w:r>
      <w:r w:rsidR="00333BD6">
        <w:rPr>
          <w:rFonts w:asciiTheme="majorHAnsi" w:hAnsiTheme="majorHAnsi"/>
          <w:sz w:val="22"/>
          <w:szCs w:val="22"/>
        </w:rPr>
        <w:t>protecti</w:t>
      </w:r>
      <w:r w:rsidR="009A1D21">
        <w:rPr>
          <w:rFonts w:asciiTheme="majorHAnsi" w:hAnsiTheme="majorHAnsi"/>
          <w:sz w:val="22"/>
          <w:szCs w:val="22"/>
        </w:rPr>
        <w:t>on</w:t>
      </w:r>
      <w:r w:rsidR="00333BD6">
        <w:rPr>
          <w:rFonts w:asciiTheme="majorHAnsi" w:hAnsiTheme="majorHAnsi"/>
          <w:sz w:val="22"/>
          <w:szCs w:val="22"/>
        </w:rPr>
        <w:t xml:space="preserve"> </w:t>
      </w:r>
      <w:r w:rsidR="006279CE">
        <w:rPr>
          <w:rFonts w:asciiTheme="majorHAnsi" w:hAnsiTheme="majorHAnsi"/>
          <w:sz w:val="22"/>
          <w:szCs w:val="22"/>
        </w:rPr>
        <w:t xml:space="preserve">(Table </w:t>
      </w:r>
      <w:r w:rsidR="00074793">
        <w:rPr>
          <w:rFonts w:asciiTheme="majorHAnsi" w:hAnsiTheme="majorHAnsi"/>
          <w:sz w:val="22"/>
          <w:szCs w:val="22"/>
        </w:rPr>
        <w:t>2</w:t>
      </w:r>
      <w:r w:rsidR="006279CE">
        <w:rPr>
          <w:rFonts w:asciiTheme="majorHAnsi" w:hAnsiTheme="majorHAnsi"/>
          <w:sz w:val="22"/>
          <w:szCs w:val="22"/>
        </w:rPr>
        <w:t>)</w:t>
      </w:r>
      <w:r w:rsidR="00333BD6" w:rsidRPr="00D14B2F">
        <w:rPr>
          <w:rFonts w:asciiTheme="majorHAnsi" w:hAnsiTheme="majorHAnsi"/>
          <w:sz w:val="22"/>
          <w:szCs w:val="22"/>
        </w:rPr>
        <w:t>.</w:t>
      </w:r>
    </w:p>
    <w:p w14:paraId="40CBF8E9" w14:textId="605A0295" w:rsidR="006279CE" w:rsidRDefault="006279CE" w:rsidP="006279C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7821F47A" w14:textId="77777777" w:rsidR="00837CAA" w:rsidRDefault="00837CAA" w:rsidP="006279CE">
      <w:pPr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57E79A46" w14:textId="4571FB8C" w:rsidR="00B669CC" w:rsidRPr="005368EB" w:rsidRDefault="00B669CC" w:rsidP="006279CE">
      <w:pPr>
        <w:spacing w:line="480" w:lineRule="auto"/>
        <w:rPr>
          <w:rFonts w:asciiTheme="majorHAnsi" w:hAnsiTheme="majorHAnsi"/>
          <w:b/>
          <w:sz w:val="22"/>
          <w:szCs w:val="22"/>
        </w:rPr>
      </w:pPr>
      <w:r w:rsidRPr="006279CE">
        <w:rPr>
          <w:rFonts w:asciiTheme="majorHAnsi" w:hAnsiTheme="majorHAnsi"/>
          <w:b/>
          <w:sz w:val="22"/>
          <w:szCs w:val="22"/>
        </w:rPr>
        <w:t>A</w:t>
      </w:r>
      <w:r>
        <w:rPr>
          <w:rFonts w:asciiTheme="majorHAnsi" w:hAnsiTheme="majorHAnsi"/>
          <w:b/>
          <w:sz w:val="22"/>
          <w:szCs w:val="22"/>
        </w:rPr>
        <w:t xml:space="preserve">ntibody concentrations </w:t>
      </w:r>
      <w:r w:rsidR="00B71D82">
        <w:rPr>
          <w:rFonts w:asciiTheme="majorHAnsi" w:hAnsiTheme="majorHAnsi"/>
          <w:b/>
          <w:sz w:val="22"/>
          <w:szCs w:val="22"/>
        </w:rPr>
        <w:t>across infancy and pre-school age</w:t>
      </w:r>
    </w:p>
    <w:p w14:paraId="1485B1D9" w14:textId="77777777" w:rsidR="00B669CC" w:rsidRPr="00BC39B9" w:rsidRDefault="00B669CC" w:rsidP="001557AE">
      <w:pPr>
        <w:spacing w:line="480" w:lineRule="auto"/>
        <w:rPr>
          <w:rFonts w:asciiTheme="majorHAnsi" w:hAnsiTheme="majorHAnsi" w:cstheme="majorHAnsi"/>
          <w:sz w:val="18"/>
          <w:szCs w:val="18"/>
        </w:rPr>
      </w:pPr>
    </w:p>
    <w:p w14:paraId="003E2B97" w14:textId="0A9CE5A2" w:rsidR="00574B46" w:rsidRDefault="00AC0280" w:rsidP="001557AE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Figure </w:t>
      </w:r>
      <w:r w:rsidR="0089615F">
        <w:rPr>
          <w:rFonts w:asciiTheme="majorHAnsi" w:hAnsiTheme="majorHAnsi"/>
          <w:sz w:val="22"/>
          <w:szCs w:val="22"/>
        </w:rPr>
        <w:t xml:space="preserve">1 shows all antibody results </w:t>
      </w:r>
      <w:r w:rsidR="00410144">
        <w:rPr>
          <w:rFonts w:asciiTheme="majorHAnsi" w:hAnsiTheme="majorHAnsi"/>
          <w:sz w:val="22"/>
          <w:szCs w:val="22"/>
        </w:rPr>
        <w:t xml:space="preserve">from both </w:t>
      </w:r>
      <w:r w:rsidR="0061423C">
        <w:rPr>
          <w:rFonts w:asciiTheme="majorHAnsi" w:hAnsiTheme="majorHAnsi"/>
          <w:sz w:val="22"/>
          <w:szCs w:val="22"/>
        </w:rPr>
        <w:t xml:space="preserve">the </w:t>
      </w:r>
      <w:r w:rsidR="00410144">
        <w:rPr>
          <w:rFonts w:asciiTheme="majorHAnsi" w:hAnsiTheme="majorHAnsi"/>
          <w:sz w:val="22"/>
          <w:szCs w:val="22"/>
        </w:rPr>
        <w:t>iMA</w:t>
      </w:r>
      <w:r w:rsidR="0061423C">
        <w:rPr>
          <w:rFonts w:asciiTheme="majorHAnsi" w:hAnsiTheme="majorHAnsi"/>
          <w:sz w:val="22"/>
          <w:szCs w:val="22"/>
        </w:rPr>
        <w:t>P</w:t>
      </w:r>
      <w:r w:rsidR="00410144">
        <w:rPr>
          <w:rFonts w:asciiTheme="majorHAnsi" w:hAnsiTheme="majorHAnsi"/>
          <w:sz w:val="22"/>
          <w:szCs w:val="22"/>
        </w:rPr>
        <w:t>2 and iMAP3</w:t>
      </w:r>
      <w:r w:rsidR="0061423C">
        <w:rPr>
          <w:rFonts w:asciiTheme="majorHAnsi" w:hAnsiTheme="majorHAnsi"/>
          <w:sz w:val="22"/>
          <w:szCs w:val="22"/>
        </w:rPr>
        <w:t xml:space="preserve"> studies</w:t>
      </w:r>
      <w:r w:rsidR="009A1D21">
        <w:rPr>
          <w:rFonts w:asciiTheme="majorHAnsi" w:hAnsiTheme="majorHAnsi"/>
          <w:sz w:val="22"/>
          <w:szCs w:val="22"/>
        </w:rPr>
        <w:t xml:space="preserve">: </w:t>
      </w:r>
      <w:r w:rsidR="00460AB9">
        <w:rPr>
          <w:rFonts w:asciiTheme="majorHAnsi" w:hAnsiTheme="majorHAnsi"/>
          <w:sz w:val="22"/>
          <w:szCs w:val="22"/>
        </w:rPr>
        <w:t xml:space="preserve">post-primary immunisations </w:t>
      </w:r>
      <w:r w:rsidR="000279D0">
        <w:rPr>
          <w:rFonts w:asciiTheme="majorHAnsi" w:hAnsiTheme="majorHAnsi"/>
          <w:sz w:val="22"/>
          <w:szCs w:val="22"/>
        </w:rPr>
        <w:t>(</w:t>
      </w:r>
      <w:r w:rsidR="003352C8">
        <w:rPr>
          <w:rFonts w:asciiTheme="majorHAnsi" w:hAnsiTheme="majorHAnsi"/>
          <w:sz w:val="22"/>
          <w:szCs w:val="22"/>
        </w:rPr>
        <w:t xml:space="preserve">aged </w:t>
      </w:r>
      <w:r w:rsidR="000279D0">
        <w:rPr>
          <w:rFonts w:asciiTheme="majorHAnsi" w:hAnsiTheme="majorHAnsi"/>
          <w:sz w:val="22"/>
          <w:szCs w:val="22"/>
        </w:rPr>
        <w:t>5 months</w:t>
      </w:r>
      <w:r w:rsidR="00662BB1">
        <w:rPr>
          <w:rFonts w:asciiTheme="majorHAnsi" w:hAnsiTheme="majorHAnsi"/>
          <w:sz w:val="22"/>
          <w:szCs w:val="22"/>
        </w:rPr>
        <w:t>, iMAP2</w:t>
      </w:r>
      <w:r w:rsidR="000279D0">
        <w:rPr>
          <w:rFonts w:asciiTheme="majorHAnsi" w:hAnsiTheme="majorHAnsi"/>
          <w:sz w:val="22"/>
          <w:szCs w:val="22"/>
        </w:rPr>
        <w:t>)</w:t>
      </w:r>
      <w:r w:rsidR="00410144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13 months of age</w:t>
      </w:r>
      <w:r w:rsidR="00662BB1">
        <w:rPr>
          <w:rFonts w:asciiTheme="majorHAnsi" w:hAnsiTheme="majorHAnsi"/>
          <w:sz w:val="22"/>
          <w:szCs w:val="22"/>
        </w:rPr>
        <w:t xml:space="preserve"> (iMAP2)</w:t>
      </w:r>
      <w:r w:rsidR="003352C8">
        <w:rPr>
          <w:rFonts w:asciiTheme="majorHAnsi" w:hAnsiTheme="majorHAnsi"/>
          <w:sz w:val="22"/>
          <w:szCs w:val="22"/>
        </w:rPr>
        <w:t>, prior to</w:t>
      </w:r>
      <w:r>
        <w:rPr>
          <w:rFonts w:asciiTheme="majorHAnsi" w:hAnsiTheme="majorHAnsi"/>
          <w:sz w:val="22"/>
          <w:szCs w:val="22"/>
        </w:rPr>
        <w:t xml:space="preserve"> </w:t>
      </w:r>
      <w:r w:rsidR="00410144">
        <w:rPr>
          <w:rFonts w:asciiTheme="majorHAnsi" w:hAnsiTheme="majorHAnsi"/>
          <w:sz w:val="22"/>
          <w:szCs w:val="22"/>
        </w:rPr>
        <w:t>and</w:t>
      </w:r>
      <w:r w:rsidR="003352C8">
        <w:rPr>
          <w:rFonts w:asciiTheme="majorHAnsi" w:hAnsiTheme="majorHAnsi"/>
          <w:sz w:val="22"/>
          <w:szCs w:val="22"/>
        </w:rPr>
        <w:t xml:space="preserve"> 1 month</w:t>
      </w:r>
      <w:r w:rsidR="00410144">
        <w:rPr>
          <w:rFonts w:asciiTheme="majorHAnsi" w:hAnsiTheme="majorHAnsi"/>
          <w:sz w:val="22"/>
          <w:szCs w:val="22"/>
        </w:rPr>
        <w:t xml:space="preserve"> after the preschool booster</w:t>
      </w:r>
      <w:r w:rsidR="00662BB1">
        <w:rPr>
          <w:rFonts w:asciiTheme="majorHAnsi" w:hAnsiTheme="majorHAnsi"/>
          <w:sz w:val="22"/>
          <w:szCs w:val="22"/>
        </w:rPr>
        <w:t xml:space="preserve"> (iMAP3)</w:t>
      </w:r>
      <w:r w:rsidR="00410144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</w:rPr>
        <w:t xml:space="preserve"> </w:t>
      </w:r>
      <w:r w:rsidR="003352C8">
        <w:rPr>
          <w:rFonts w:asciiTheme="majorHAnsi" w:hAnsiTheme="majorHAnsi"/>
          <w:sz w:val="22"/>
          <w:szCs w:val="22"/>
        </w:rPr>
        <w:t>Both</w:t>
      </w:r>
      <w:r w:rsidR="003352C8" w:rsidRPr="00D14B2F">
        <w:rPr>
          <w:rFonts w:asciiTheme="majorHAnsi" w:hAnsiTheme="majorHAnsi"/>
          <w:sz w:val="22"/>
          <w:szCs w:val="22"/>
        </w:rPr>
        <w:t xml:space="preserve"> </w:t>
      </w:r>
      <w:r w:rsidR="003352C8">
        <w:rPr>
          <w:rFonts w:asciiTheme="majorHAnsi" w:hAnsiTheme="majorHAnsi"/>
          <w:sz w:val="22"/>
          <w:szCs w:val="22"/>
        </w:rPr>
        <w:t>groups of children with mothers who received pertussis-containing vaccines (</w:t>
      </w:r>
      <w:r w:rsidR="00F50037" w:rsidRPr="00F50037">
        <w:rPr>
          <w:rFonts w:asciiTheme="majorHAnsi" w:hAnsiTheme="majorHAnsi"/>
          <w:sz w:val="22"/>
          <w:szCs w:val="22"/>
        </w:rPr>
        <w:t>BOOSTRIX-IPV®</w:t>
      </w:r>
      <w:r w:rsidR="003352C8">
        <w:rPr>
          <w:rFonts w:asciiTheme="majorHAnsi" w:hAnsiTheme="majorHAnsi"/>
          <w:sz w:val="22"/>
          <w:szCs w:val="22"/>
        </w:rPr>
        <w:t xml:space="preserve"> </w:t>
      </w:r>
      <w:r w:rsidR="00B22F6D">
        <w:rPr>
          <w:rFonts w:asciiTheme="majorHAnsi" w:hAnsiTheme="majorHAnsi"/>
          <w:sz w:val="22"/>
          <w:szCs w:val="22"/>
        </w:rPr>
        <w:t>and</w:t>
      </w:r>
      <w:r w:rsidR="00F50037">
        <w:rPr>
          <w:rFonts w:asciiTheme="majorHAnsi" w:hAnsiTheme="majorHAnsi"/>
          <w:sz w:val="22"/>
          <w:szCs w:val="22"/>
        </w:rPr>
        <w:t xml:space="preserve"> REPEVAX</w:t>
      </w:r>
      <w:r w:rsidR="00F50037" w:rsidRPr="00F50037">
        <w:rPr>
          <w:rFonts w:asciiTheme="majorHAnsi" w:hAnsiTheme="majorHAnsi"/>
          <w:sz w:val="22"/>
          <w:szCs w:val="22"/>
        </w:rPr>
        <w:t>®</w:t>
      </w:r>
      <w:r w:rsidR="00F50037">
        <w:rPr>
          <w:rFonts w:asciiTheme="majorHAnsi" w:hAnsiTheme="majorHAnsi"/>
          <w:sz w:val="22"/>
          <w:szCs w:val="22"/>
        </w:rPr>
        <w:t xml:space="preserve">) </w:t>
      </w:r>
      <w:r>
        <w:rPr>
          <w:rFonts w:asciiTheme="majorHAnsi" w:hAnsiTheme="majorHAnsi"/>
          <w:sz w:val="22"/>
          <w:szCs w:val="22"/>
        </w:rPr>
        <w:t xml:space="preserve">were </w:t>
      </w:r>
      <w:r w:rsidR="00D14B2F" w:rsidRPr="00D14B2F">
        <w:rPr>
          <w:rFonts w:asciiTheme="majorHAnsi" w:hAnsiTheme="majorHAnsi"/>
          <w:sz w:val="22"/>
          <w:szCs w:val="22"/>
        </w:rPr>
        <w:t xml:space="preserve">combined </w:t>
      </w:r>
      <w:r>
        <w:rPr>
          <w:rFonts w:asciiTheme="majorHAnsi" w:hAnsiTheme="majorHAnsi"/>
          <w:sz w:val="22"/>
          <w:szCs w:val="22"/>
        </w:rPr>
        <w:t xml:space="preserve">at all time points </w:t>
      </w:r>
      <w:r w:rsidR="00DC456D">
        <w:rPr>
          <w:rFonts w:asciiTheme="majorHAnsi" w:hAnsiTheme="majorHAnsi"/>
          <w:sz w:val="22"/>
          <w:szCs w:val="22"/>
        </w:rPr>
        <w:t>as</w:t>
      </w:r>
      <w:r w:rsidR="00D14B2F" w:rsidRPr="00D14B2F">
        <w:rPr>
          <w:rFonts w:asciiTheme="majorHAnsi" w:hAnsiTheme="majorHAnsi"/>
          <w:sz w:val="22"/>
          <w:szCs w:val="22"/>
        </w:rPr>
        <w:t xml:space="preserve"> the</w:t>
      </w:r>
      <w:r>
        <w:rPr>
          <w:rFonts w:asciiTheme="majorHAnsi" w:hAnsiTheme="majorHAnsi"/>
          <w:sz w:val="22"/>
          <w:szCs w:val="22"/>
        </w:rPr>
        <w:t>re were</w:t>
      </w:r>
      <w:r w:rsidR="00F45286">
        <w:rPr>
          <w:rFonts w:asciiTheme="majorHAnsi" w:hAnsiTheme="majorHAnsi"/>
          <w:sz w:val="22"/>
          <w:szCs w:val="22"/>
        </w:rPr>
        <w:t xml:space="preserve"> no </w:t>
      </w:r>
      <w:r w:rsidR="00D14B2F" w:rsidRPr="00D14B2F">
        <w:rPr>
          <w:rFonts w:asciiTheme="majorHAnsi" w:hAnsiTheme="majorHAnsi"/>
          <w:sz w:val="22"/>
          <w:szCs w:val="22"/>
        </w:rPr>
        <w:t>significant</w:t>
      </w:r>
      <w:r w:rsidR="00F45286">
        <w:rPr>
          <w:rFonts w:asciiTheme="majorHAnsi" w:hAnsiTheme="majorHAnsi"/>
          <w:sz w:val="22"/>
          <w:szCs w:val="22"/>
        </w:rPr>
        <w:t xml:space="preserve"> </w:t>
      </w:r>
      <w:r w:rsidR="00D14B2F" w:rsidRPr="00D14B2F">
        <w:rPr>
          <w:rFonts w:asciiTheme="majorHAnsi" w:hAnsiTheme="majorHAnsi"/>
          <w:sz w:val="22"/>
          <w:szCs w:val="22"/>
        </w:rPr>
        <w:t>differ</w:t>
      </w:r>
      <w:r w:rsidR="00F45286">
        <w:rPr>
          <w:rFonts w:asciiTheme="majorHAnsi" w:hAnsiTheme="majorHAnsi"/>
          <w:sz w:val="22"/>
          <w:szCs w:val="22"/>
        </w:rPr>
        <w:t>ence</w:t>
      </w:r>
      <w:r>
        <w:rPr>
          <w:rFonts w:asciiTheme="majorHAnsi" w:hAnsiTheme="majorHAnsi"/>
          <w:sz w:val="22"/>
          <w:szCs w:val="22"/>
        </w:rPr>
        <w:t>s</w:t>
      </w:r>
      <w:r w:rsidR="00D14B2F" w:rsidRPr="00D14B2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between them</w:t>
      </w:r>
      <w:r w:rsidR="00DC456D">
        <w:rPr>
          <w:rFonts w:asciiTheme="majorHAnsi" w:hAnsiTheme="majorHAnsi"/>
          <w:sz w:val="22"/>
          <w:szCs w:val="22"/>
        </w:rPr>
        <w:t>.</w:t>
      </w:r>
    </w:p>
    <w:p w14:paraId="0321FD90" w14:textId="18DF9B86" w:rsidR="005B6E93" w:rsidRDefault="005B6E93" w:rsidP="000279D0">
      <w:pPr>
        <w:tabs>
          <w:tab w:val="left" w:pos="142"/>
        </w:tabs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555E18A7" w14:textId="77777777" w:rsidR="00837CAA" w:rsidRPr="000279D0" w:rsidRDefault="00837CAA" w:rsidP="000279D0">
      <w:pPr>
        <w:tabs>
          <w:tab w:val="left" w:pos="142"/>
        </w:tabs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5F098BFB" w14:textId="5FE8CD45" w:rsidR="00B71D82" w:rsidRPr="00460AB9" w:rsidRDefault="00B71D82" w:rsidP="000279D0">
      <w:pPr>
        <w:tabs>
          <w:tab w:val="left" w:pos="142"/>
        </w:tabs>
        <w:spacing w:line="480" w:lineRule="auto"/>
        <w:rPr>
          <w:rFonts w:asciiTheme="majorHAnsi" w:hAnsiTheme="majorHAnsi"/>
          <w:b/>
          <w:sz w:val="22"/>
          <w:szCs w:val="22"/>
        </w:rPr>
      </w:pPr>
      <w:r w:rsidRPr="000279D0">
        <w:rPr>
          <w:rFonts w:asciiTheme="majorHAnsi" w:hAnsiTheme="majorHAnsi"/>
          <w:b/>
          <w:sz w:val="22"/>
          <w:szCs w:val="22"/>
        </w:rPr>
        <w:t>A</w:t>
      </w:r>
      <w:r w:rsidRPr="00460AB9">
        <w:rPr>
          <w:rFonts w:asciiTheme="majorHAnsi" w:hAnsiTheme="majorHAnsi"/>
          <w:b/>
          <w:sz w:val="22"/>
          <w:szCs w:val="22"/>
        </w:rPr>
        <w:t>ntibody decline</w:t>
      </w:r>
      <w:r w:rsidR="00D550D7" w:rsidRPr="00460AB9">
        <w:rPr>
          <w:rFonts w:asciiTheme="majorHAnsi" w:hAnsiTheme="majorHAnsi"/>
          <w:b/>
          <w:sz w:val="22"/>
          <w:szCs w:val="22"/>
        </w:rPr>
        <w:t xml:space="preserve"> </w:t>
      </w:r>
    </w:p>
    <w:p w14:paraId="2905B621" w14:textId="77777777" w:rsidR="000279D0" w:rsidRDefault="000279D0" w:rsidP="00460AB9">
      <w:pPr>
        <w:tabs>
          <w:tab w:val="left" w:pos="142"/>
        </w:tabs>
        <w:spacing w:line="480" w:lineRule="auto"/>
        <w:rPr>
          <w:rFonts w:asciiTheme="majorHAnsi" w:hAnsiTheme="majorHAnsi"/>
          <w:sz w:val="22"/>
          <w:szCs w:val="22"/>
        </w:rPr>
      </w:pPr>
    </w:p>
    <w:p w14:paraId="2E035A1C" w14:textId="2808B9B9" w:rsidR="005F5AC7" w:rsidRDefault="00DB01C5" w:rsidP="001557AE">
      <w:pPr>
        <w:tabs>
          <w:tab w:val="left" w:pos="142"/>
        </w:tabs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Supplementary </w:t>
      </w:r>
      <w:r w:rsidR="004A793B">
        <w:rPr>
          <w:rFonts w:asciiTheme="majorHAnsi" w:hAnsiTheme="majorHAnsi"/>
          <w:sz w:val="22"/>
          <w:szCs w:val="22"/>
        </w:rPr>
        <w:t xml:space="preserve">Table </w:t>
      </w:r>
      <w:r w:rsidR="00226EBC">
        <w:rPr>
          <w:rFonts w:asciiTheme="majorHAnsi" w:hAnsiTheme="majorHAnsi"/>
          <w:sz w:val="22"/>
          <w:szCs w:val="22"/>
        </w:rPr>
        <w:t>2</w:t>
      </w:r>
      <w:r w:rsidR="004A793B" w:rsidRPr="00B85525">
        <w:rPr>
          <w:rFonts w:asciiTheme="majorHAnsi" w:hAnsiTheme="majorHAnsi"/>
          <w:sz w:val="22"/>
          <w:szCs w:val="22"/>
        </w:rPr>
        <w:t xml:space="preserve"> </w:t>
      </w:r>
      <w:r w:rsidR="004A793B">
        <w:rPr>
          <w:rFonts w:asciiTheme="majorHAnsi" w:hAnsiTheme="majorHAnsi"/>
          <w:sz w:val="22"/>
          <w:szCs w:val="22"/>
        </w:rPr>
        <w:t>shows</w:t>
      </w:r>
      <w:r w:rsidR="004A793B" w:rsidRPr="00B85525">
        <w:rPr>
          <w:rFonts w:asciiTheme="majorHAnsi" w:hAnsiTheme="majorHAnsi"/>
          <w:sz w:val="22"/>
          <w:szCs w:val="22"/>
        </w:rPr>
        <w:t xml:space="preserve"> </w:t>
      </w:r>
      <w:r w:rsidR="00574B46">
        <w:rPr>
          <w:rFonts w:asciiTheme="majorHAnsi" w:hAnsiTheme="majorHAnsi"/>
          <w:sz w:val="22"/>
          <w:szCs w:val="22"/>
        </w:rPr>
        <w:t xml:space="preserve">the </w:t>
      </w:r>
      <w:r w:rsidR="002C0BD5">
        <w:rPr>
          <w:rFonts w:asciiTheme="majorHAnsi" w:hAnsiTheme="majorHAnsi"/>
          <w:sz w:val="22"/>
          <w:szCs w:val="22"/>
        </w:rPr>
        <w:t xml:space="preserve">IgG </w:t>
      </w:r>
      <w:r w:rsidR="004A793B">
        <w:rPr>
          <w:rFonts w:asciiTheme="majorHAnsi" w:hAnsiTheme="majorHAnsi"/>
          <w:sz w:val="22"/>
          <w:szCs w:val="22"/>
        </w:rPr>
        <w:t>GMRs</w:t>
      </w:r>
      <w:r w:rsidR="004A793B" w:rsidRPr="00B85525">
        <w:rPr>
          <w:rFonts w:asciiTheme="majorHAnsi" w:hAnsiTheme="majorHAnsi"/>
          <w:sz w:val="22"/>
          <w:szCs w:val="22"/>
        </w:rPr>
        <w:t xml:space="preserve"> </w:t>
      </w:r>
      <w:r w:rsidR="00574B46">
        <w:rPr>
          <w:rFonts w:asciiTheme="majorHAnsi" w:hAnsiTheme="majorHAnsi"/>
          <w:sz w:val="22"/>
          <w:szCs w:val="22"/>
        </w:rPr>
        <w:t>for all antibodies</w:t>
      </w:r>
      <w:r w:rsidR="009A1D21">
        <w:rPr>
          <w:rFonts w:asciiTheme="majorHAnsi" w:hAnsiTheme="majorHAnsi"/>
          <w:sz w:val="22"/>
          <w:szCs w:val="22"/>
        </w:rPr>
        <w:t>,</w:t>
      </w:r>
      <w:r w:rsidR="00574B46">
        <w:rPr>
          <w:rFonts w:asciiTheme="majorHAnsi" w:hAnsiTheme="majorHAnsi"/>
          <w:sz w:val="22"/>
          <w:szCs w:val="22"/>
        </w:rPr>
        <w:t xml:space="preserve"> comparing the</w:t>
      </w:r>
      <w:r w:rsidR="00995958">
        <w:rPr>
          <w:rFonts w:asciiTheme="majorHAnsi" w:hAnsiTheme="majorHAnsi"/>
          <w:sz w:val="22"/>
          <w:szCs w:val="22"/>
        </w:rPr>
        <w:t xml:space="preserve"> IgG </w:t>
      </w:r>
      <w:r w:rsidR="007661D9">
        <w:rPr>
          <w:rFonts w:asciiTheme="majorHAnsi" w:hAnsiTheme="majorHAnsi"/>
          <w:sz w:val="22"/>
          <w:szCs w:val="22"/>
        </w:rPr>
        <w:t>GMCs at</w:t>
      </w:r>
      <w:r>
        <w:rPr>
          <w:rFonts w:asciiTheme="majorHAnsi" w:hAnsiTheme="majorHAnsi"/>
          <w:sz w:val="22"/>
          <w:szCs w:val="22"/>
        </w:rPr>
        <w:t xml:space="preserve"> 13 months of age and </w:t>
      </w:r>
      <w:r w:rsidR="009049CC">
        <w:rPr>
          <w:rFonts w:asciiTheme="majorHAnsi" w:hAnsiTheme="majorHAnsi"/>
          <w:sz w:val="22"/>
          <w:szCs w:val="22"/>
        </w:rPr>
        <w:t xml:space="preserve">at </w:t>
      </w:r>
      <w:r w:rsidR="00995958">
        <w:rPr>
          <w:rFonts w:asciiTheme="majorHAnsi" w:hAnsiTheme="majorHAnsi"/>
          <w:sz w:val="22"/>
          <w:szCs w:val="22"/>
        </w:rPr>
        <w:t>pre-booster</w:t>
      </w:r>
      <w:r w:rsidR="005F5AC7">
        <w:rPr>
          <w:rFonts w:asciiTheme="majorHAnsi" w:hAnsiTheme="majorHAnsi"/>
          <w:sz w:val="22"/>
          <w:szCs w:val="22"/>
        </w:rPr>
        <w:t xml:space="preserve">. </w:t>
      </w:r>
      <w:r w:rsidR="0086722E">
        <w:rPr>
          <w:rFonts w:asciiTheme="majorHAnsi" w:hAnsiTheme="majorHAnsi"/>
          <w:sz w:val="22"/>
          <w:szCs w:val="22"/>
        </w:rPr>
        <w:t>Overall, l</w:t>
      </w:r>
      <w:r w:rsidR="00B76632" w:rsidRPr="00B85525">
        <w:rPr>
          <w:rFonts w:asciiTheme="majorHAnsi" w:hAnsiTheme="majorHAnsi"/>
          <w:sz w:val="22"/>
          <w:szCs w:val="22"/>
        </w:rPr>
        <w:t>arge</w:t>
      </w:r>
      <w:r w:rsidR="00B76632">
        <w:rPr>
          <w:rFonts w:asciiTheme="majorHAnsi" w:hAnsiTheme="majorHAnsi"/>
          <w:sz w:val="22"/>
          <w:szCs w:val="22"/>
        </w:rPr>
        <w:t>r</w:t>
      </w:r>
      <w:r w:rsidR="00B76632" w:rsidRPr="00B85525">
        <w:rPr>
          <w:rFonts w:asciiTheme="majorHAnsi" w:hAnsiTheme="majorHAnsi"/>
          <w:sz w:val="22"/>
          <w:szCs w:val="22"/>
        </w:rPr>
        <w:t xml:space="preserve"> </w:t>
      </w:r>
      <w:r w:rsidR="00995958">
        <w:rPr>
          <w:rFonts w:asciiTheme="majorHAnsi" w:hAnsiTheme="majorHAnsi"/>
          <w:sz w:val="22"/>
          <w:szCs w:val="22"/>
        </w:rPr>
        <w:t>declines</w:t>
      </w:r>
      <w:r w:rsidR="00B76632" w:rsidRPr="00B85525">
        <w:rPr>
          <w:rFonts w:asciiTheme="majorHAnsi" w:hAnsiTheme="majorHAnsi"/>
          <w:sz w:val="22"/>
          <w:szCs w:val="22"/>
        </w:rPr>
        <w:t xml:space="preserve"> </w:t>
      </w:r>
      <w:r w:rsidR="00995958">
        <w:rPr>
          <w:rFonts w:asciiTheme="majorHAnsi" w:hAnsiTheme="majorHAnsi"/>
          <w:sz w:val="22"/>
          <w:szCs w:val="22"/>
        </w:rPr>
        <w:t xml:space="preserve">between the two time-points </w:t>
      </w:r>
      <w:r w:rsidR="00B541EA">
        <w:rPr>
          <w:rFonts w:asciiTheme="majorHAnsi" w:hAnsiTheme="majorHAnsi"/>
          <w:sz w:val="22"/>
          <w:szCs w:val="22"/>
        </w:rPr>
        <w:t>we</w:t>
      </w:r>
      <w:r w:rsidR="00B76632" w:rsidRPr="00B85525">
        <w:rPr>
          <w:rFonts w:asciiTheme="majorHAnsi" w:hAnsiTheme="majorHAnsi"/>
          <w:sz w:val="22"/>
          <w:szCs w:val="22"/>
        </w:rPr>
        <w:t xml:space="preserve">re </w:t>
      </w:r>
      <w:r w:rsidR="0030141B">
        <w:rPr>
          <w:rFonts w:asciiTheme="majorHAnsi" w:hAnsiTheme="majorHAnsi"/>
          <w:sz w:val="22"/>
          <w:szCs w:val="22"/>
        </w:rPr>
        <w:t>seen</w:t>
      </w:r>
      <w:r w:rsidR="00B76632" w:rsidRPr="00B85525">
        <w:rPr>
          <w:rFonts w:asciiTheme="majorHAnsi" w:hAnsiTheme="majorHAnsi"/>
          <w:sz w:val="22"/>
          <w:szCs w:val="22"/>
        </w:rPr>
        <w:t xml:space="preserve"> </w:t>
      </w:r>
      <w:r w:rsidR="009A1D21">
        <w:rPr>
          <w:rFonts w:asciiTheme="majorHAnsi" w:hAnsiTheme="majorHAnsi"/>
          <w:sz w:val="22"/>
          <w:szCs w:val="22"/>
        </w:rPr>
        <w:t xml:space="preserve">in anti-DT </w:t>
      </w:r>
      <w:r w:rsidR="00995958">
        <w:rPr>
          <w:rFonts w:asciiTheme="majorHAnsi" w:hAnsiTheme="majorHAnsi"/>
          <w:sz w:val="22"/>
          <w:szCs w:val="22"/>
        </w:rPr>
        <w:t xml:space="preserve">antibodies </w:t>
      </w:r>
      <w:r w:rsidR="0086722E">
        <w:rPr>
          <w:rFonts w:asciiTheme="majorHAnsi" w:hAnsiTheme="majorHAnsi"/>
          <w:sz w:val="22"/>
          <w:szCs w:val="22"/>
        </w:rPr>
        <w:t xml:space="preserve">(GMR 0.08 </w:t>
      </w:r>
      <w:r w:rsidR="0086722E" w:rsidRPr="000A00CB">
        <w:rPr>
          <w:rFonts w:asciiTheme="majorHAnsi" w:hAnsiTheme="majorHAnsi"/>
          <w:sz w:val="22"/>
          <w:szCs w:val="22"/>
        </w:rPr>
        <w:t>[95% CI 0.</w:t>
      </w:r>
      <w:r w:rsidR="0086722E">
        <w:rPr>
          <w:rFonts w:asciiTheme="majorHAnsi" w:hAnsiTheme="majorHAnsi"/>
          <w:sz w:val="22"/>
          <w:szCs w:val="22"/>
        </w:rPr>
        <w:t>07</w:t>
      </w:r>
      <w:r w:rsidR="0086722E" w:rsidRPr="000A00CB">
        <w:rPr>
          <w:rFonts w:asciiTheme="majorHAnsi" w:hAnsiTheme="majorHAnsi"/>
          <w:sz w:val="22"/>
          <w:szCs w:val="22"/>
        </w:rPr>
        <w:t>-0.</w:t>
      </w:r>
      <w:r w:rsidR="0086722E">
        <w:rPr>
          <w:rFonts w:asciiTheme="majorHAnsi" w:hAnsiTheme="majorHAnsi"/>
          <w:sz w:val="22"/>
          <w:szCs w:val="22"/>
        </w:rPr>
        <w:t xml:space="preserve">1] and </w:t>
      </w:r>
      <w:r w:rsidR="009A1D21">
        <w:rPr>
          <w:rFonts w:asciiTheme="majorHAnsi" w:hAnsiTheme="majorHAnsi"/>
          <w:sz w:val="22"/>
          <w:szCs w:val="22"/>
        </w:rPr>
        <w:t xml:space="preserve">anti-TT antibodies </w:t>
      </w:r>
      <w:r w:rsidR="00837CAA">
        <w:rPr>
          <w:rFonts w:asciiTheme="majorHAnsi" w:hAnsiTheme="majorHAnsi"/>
          <w:sz w:val="22"/>
          <w:szCs w:val="22"/>
        </w:rPr>
        <w:t>0.06 [</w:t>
      </w:r>
      <w:r w:rsidR="0086722E" w:rsidRPr="000A00CB">
        <w:rPr>
          <w:rFonts w:asciiTheme="majorHAnsi" w:hAnsiTheme="majorHAnsi"/>
          <w:sz w:val="22"/>
          <w:szCs w:val="22"/>
        </w:rPr>
        <w:t>95% CI 0.</w:t>
      </w:r>
      <w:r w:rsidR="0086722E">
        <w:rPr>
          <w:rFonts w:asciiTheme="majorHAnsi" w:hAnsiTheme="majorHAnsi"/>
          <w:sz w:val="22"/>
          <w:szCs w:val="22"/>
        </w:rPr>
        <w:t>05</w:t>
      </w:r>
      <w:r w:rsidR="0086722E" w:rsidRPr="000A00CB">
        <w:rPr>
          <w:rFonts w:asciiTheme="majorHAnsi" w:hAnsiTheme="majorHAnsi"/>
          <w:sz w:val="22"/>
          <w:szCs w:val="22"/>
        </w:rPr>
        <w:t>-0.</w:t>
      </w:r>
      <w:r w:rsidR="0086722E">
        <w:rPr>
          <w:rFonts w:asciiTheme="majorHAnsi" w:hAnsiTheme="majorHAnsi"/>
          <w:sz w:val="22"/>
          <w:szCs w:val="22"/>
        </w:rPr>
        <w:t xml:space="preserve">07] </w:t>
      </w:r>
      <w:r w:rsidR="00995958">
        <w:rPr>
          <w:rFonts w:asciiTheme="majorHAnsi" w:hAnsiTheme="majorHAnsi"/>
          <w:sz w:val="22"/>
          <w:szCs w:val="22"/>
        </w:rPr>
        <w:t>than in pertussis-specific antibodies</w:t>
      </w:r>
      <w:r w:rsidR="0086722E">
        <w:rPr>
          <w:rFonts w:asciiTheme="majorHAnsi" w:hAnsiTheme="majorHAnsi"/>
          <w:sz w:val="22"/>
          <w:szCs w:val="22"/>
        </w:rPr>
        <w:t xml:space="preserve"> (GMR 0.28 </w:t>
      </w:r>
      <w:r w:rsidR="0086722E" w:rsidRPr="000A00CB">
        <w:rPr>
          <w:rFonts w:asciiTheme="majorHAnsi" w:hAnsiTheme="majorHAnsi"/>
          <w:sz w:val="22"/>
          <w:szCs w:val="22"/>
        </w:rPr>
        <w:t>[95% CI 0.</w:t>
      </w:r>
      <w:r w:rsidR="0086722E">
        <w:rPr>
          <w:rFonts w:asciiTheme="majorHAnsi" w:hAnsiTheme="majorHAnsi"/>
          <w:sz w:val="22"/>
          <w:szCs w:val="22"/>
        </w:rPr>
        <w:t>21</w:t>
      </w:r>
      <w:r w:rsidR="0086722E" w:rsidRPr="000A00CB">
        <w:rPr>
          <w:rFonts w:asciiTheme="majorHAnsi" w:hAnsiTheme="majorHAnsi"/>
          <w:sz w:val="22"/>
          <w:szCs w:val="22"/>
        </w:rPr>
        <w:t>-0.</w:t>
      </w:r>
      <w:r w:rsidR="0086722E">
        <w:rPr>
          <w:rFonts w:asciiTheme="majorHAnsi" w:hAnsiTheme="majorHAnsi"/>
          <w:sz w:val="22"/>
          <w:szCs w:val="22"/>
        </w:rPr>
        <w:t xml:space="preserve">39], </w:t>
      </w:r>
      <w:r w:rsidR="00986008">
        <w:rPr>
          <w:rFonts w:asciiTheme="majorHAnsi" w:hAnsiTheme="majorHAnsi"/>
          <w:sz w:val="22"/>
          <w:szCs w:val="22"/>
        </w:rPr>
        <w:t xml:space="preserve">0.73 </w:t>
      </w:r>
      <w:r w:rsidR="00986008" w:rsidRPr="000A00CB">
        <w:rPr>
          <w:rFonts w:asciiTheme="majorHAnsi" w:hAnsiTheme="majorHAnsi"/>
          <w:sz w:val="22"/>
          <w:szCs w:val="22"/>
        </w:rPr>
        <w:t>[95% CI 0.</w:t>
      </w:r>
      <w:r w:rsidR="00986008">
        <w:rPr>
          <w:rFonts w:asciiTheme="majorHAnsi" w:hAnsiTheme="majorHAnsi"/>
          <w:sz w:val="22"/>
          <w:szCs w:val="22"/>
        </w:rPr>
        <w:t>47</w:t>
      </w:r>
      <w:r w:rsidR="00986008" w:rsidRPr="000A00CB">
        <w:rPr>
          <w:rFonts w:asciiTheme="majorHAnsi" w:hAnsiTheme="majorHAnsi"/>
          <w:sz w:val="22"/>
          <w:szCs w:val="22"/>
        </w:rPr>
        <w:t>-</w:t>
      </w:r>
      <w:r w:rsidR="00986008">
        <w:rPr>
          <w:rFonts w:asciiTheme="majorHAnsi" w:hAnsiTheme="majorHAnsi"/>
          <w:sz w:val="22"/>
          <w:szCs w:val="22"/>
        </w:rPr>
        <w:t>1</w:t>
      </w:r>
      <w:r w:rsidR="00986008" w:rsidRPr="000A00CB">
        <w:rPr>
          <w:rFonts w:asciiTheme="majorHAnsi" w:hAnsiTheme="majorHAnsi"/>
          <w:sz w:val="22"/>
          <w:szCs w:val="22"/>
        </w:rPr>
        <w:t>.</w:t>
      </w:r>
      <w:r w:rsidR="00986008">
        <w:rPr>
          <w:rFonts w:asciiTheme="majorHAnsi" w:hAnsiTheme="majorHAnsi"/>
          <w:sz w:val="22"/>
          <w:szCs w:val="22"/>
        </w:rPr>
        <w:t xml:space="preserve">15], </w:t>
      </w:r>
      <w:r w:rsidR="0086722E">
        <w:rPr>
          <w:rFonts w:asciiTheme="majorHAnsi" w:hAnsiTheme="majorHAnsi"/>
          <w:sz w:val="22"/>
          <w:szCs w:val="22"/>
        </w:rPr>
        <w:t xml:space="preserve">0.97 </w:t>
      </w:r>
      <w:r w:rsidR="0086722E" w:rsidRPr="000A00CB">
        <w:rPr>
          <w:rFonts w:asciiTheme="majorHAnsi" w:hAnsiTheme="majorHAnsi"/>
          <w:sz w:val="22"/>
          <w:szCs w:val="22"/>
        </w:rPr>
        <w:t>[95% CI 0.</w:t>
      </w:r>
      <w:r w:rsidR="0086722E">
        <w:rPr>
          <w:rFonts w:asciiTheme="majorHAnsi" w:hAnsiTheme="majorHAnsi"/>
          <w:sz w:val="22"/>
          <w:szCs w:val="22"/>
        </w:rPr>
        <w:t>72</w:t>
      </w:r>
      <w:r w:rsidR="0086722E" w:rsidRPr="000A00CB">
        <w:rPr>
          <w:rFonts w:asciiTheme="majorHAnsi" w:hAnsiTheme="majorHAnsi"/>
          <w:sz w:val="22"/>
          <w:szCs w:val="22"/>
        </w:rPr>
        <w:t>-</w:t>
      </w:r>
      <w:r w:rsidR="0086722E">
        <w:rPr>
          <w:rFonts w:asciiTheme="majorHAnsi" w:hAnsiTheme="majorHAnsi"/>
          <w:sz w:val="22"/>
          <w:szCs w:val="22"/>
        </w:rPr>
        <w:t xml:space="preserve">1.32], and 0.51 </w:t>
      </w:r>
      <w:r w:rsidR="0086722E" w:rsidRPr="000A00CB">
        <w:rPr>
          <w:rFonts w:asciiTheme="majorHAnsi" w:hAnsiTheme="majorHAnsi"/>
          <w:sz w:val="22"/>
          <w:szCs w:val="22"/>
        </w:rPr>
        <w:t>[95% CI 0.</w:t>
      </w:r>
      <w:r w:rsidR="0086722E">
        <w:rPr>
          <w:rFonts w:asciiTheme="majorHAnsi" w:hAnsiTheme="majorHAnsi"/>
          <w:sz w:val="22"/>
          <w:szCs w:val="22"/>
        </w:rPr>
        <w:t>34</w:t>
      </w:r>
      <w:r w:rsidR="0086722E" w:rsidRPr="000A00CB">
        <w:rPr>
          <w:rFonts w:asciiTheme="majorHAnsi" w:hAnsiTheme="majorHAnsi"/>
          <w:sz w:val="22"/>
          <w:szCs w:val="22"/>
        </w:rPr>
        <w:t>-0.</w:t>
      </w:r>
      <w:r w:rsidR="0086722E">
        <w:rPr>
          <w:rFonts w:asciiTheme="majorHAnsi" w:hAnsiTheme="majorHAnsi"/>
          <w:sz w:val="22"/>
          <w:szCs w:val="22"/>
        </w:rPr>
        <w:t>77] in anti-PT, anti-</w:t>
      </w:r>
      <w:r w:rsidR="00986008">
        <w:rPr>
          <w:rFonts w:asciiTheme="majorHAnsi" w:hAnsiTheme="majorHAnsi"/>
          <w:sz w:val="22"/>
          <w:szCs w:val="22"/>
        </w:rPr>
        <w:t>FHA</w:t>
      </w:r>
      <w:r w:rsidR="0086722E">
        <w:rPr>
          <w:rFonts w:asciiTheme="majorHAnsi" w:hAnsiTheme="majorHAnsi"/>
          <w:sz w:val="22"/>
          <w:szCs w:val="22"/>
        </w:rPr>
        <w:t>, anti-F</w:t>
      </w:r>
      <w:r w:rsidR="00986008">
        <w:rPr>
          <w:rFonts w:asciiTheme="majorHAnsi" w:hAnsiTheme="majorHAnsi"/>
          <w:sz w:val="22"/>
          <w:szCs w:val="22"/>
        </w:rPr>
        <w:t>IM</w:t>
      </w:r>
      <w:r w:rsidR="0086722E">
        <w:rPr>
          <w:rFonts w:asciiTheme="majorHAnsi" w:hAnsiTheme="majorHAnsi"/>
          <w:sz w:val="22"/>
          <w:szCs w:val="22"/>
        </w:rPr>
        <w:t xml:space="preserve"> and anti-PRN respectively)</w:t>
      </w:r>
      <w:r w:rsidR="00995958">
        <w:rPr>
          <w:rFonts w:asciiTheme="majorHAnsi" w:hAnsiTheme="majorHAnsi"/>
          <w:sz w:val="22"/>
          <w:szCs w:val="22"/>
        </w:rPr>
        <w:t xml:space="preserve">. </w:t>
      </w:r>
      <w:r w:rsidR="00B76632" w:rsidRPr="00B85525">
        <w:rPr>
          <w:rFonts w:asciiTheme="majorHAnsi" w:hAnsiTheme="majorHAnsi"/>
          <w:sz w:val="22"/>
          <w:szCs w:val="22"/>
        </w:rPr>
        <w:t xml:space="preserve">There </w:t>
      </w:r>
      <w:r w:rsidR="00AF4D59">
        <w:rPr>
          <w:rFonts w:asciiTheme="majorHAnsi" w:hAnsiTheme="majorHAnsi"/>
          <w:sz w:val="22"/>
          <w:szCs w:val="22"/>
        </w:rPr>
        <w:t>wa</w:t>
      </w:r>
      <w:r w:rsidR="00B76632" w:rsidRPr="00B85525">
        <w:rPr>
          <w:rFonts w:asciiTheme="majorHAnsi" w:hAnsiTheme="majorHAnsi"/>
          <w:sz w:val="22"/>
          <w:szCs w:val="22"/>
        </w:rPr>
        <w:t xml:space="preserve">s no clear evidence that the rate of decline </w:t>
      </w:r>
      <w:r w:rsidR="00995958">
        <w:rPr>
          <w:rFonts w:asciiTheme="majorHAnsi" w:hAnsiTheme="majorHAnsi"/>
          <w:sz w:val="22"/>
          <w:szCs w:val="22"/>
        </w:rPr>
        <w:t xml:space="preserve">between the two time-points </w:t>
      </w:r>
      <w:r w:rsidR="00B76632" w:rsidRPr="00B85525">
        <w:rPr>
          <w:rFonts w:asciiTheme="majorHAnsi" w:hAnsiTheme="majorHAnsi"/>
          <w:sz w:val="22"/>
          <w:szCs w:val="22"/>
        </w:rPr>
        <w:t>differ</w:t>
      </w:r>
      <w:r w:rsidR="00AF4D59">
        <w:rPr>
          <w:rFonts w:asciiTheme="majorHAnsi" w:hAnsiTheme="majorHAnsi"/>
          <w:sz w:val="22"/>
          <w:szCs w:val="22"/>
        </w:rPr>
        <w:t>ed</w:t>
      </w:r>
      <w:r w:rsidR="00B76632" w:rsidRPr="00B85525">
        <w:rPr>
          <w:rFonts w:asciiTheme="majorHAnsi" w:hAnsiTheme="majorHAnsi"/>
          <w:sz w:val="22"/>
          <w:szCs w:val="22"/>
        </w:rPr>
        <w:t xml:space="preserve"> by </w:t>
      </w:r>
      <w:r w:rsidR="00B76632">
        <w:rPr>
          <w:rFonts w:asciiTheme="majorHAnsi" w:hAnsiTheme="majorHAnsi"/>
          <w:sz w:val="22"/>
          <w:szCs w:val="22"/>
        </w:rPr>
        <w:t xml:space="preserve">different </w:t>
      </w:r>
      <w:r w:rsidR="00AF4D59">
        <w:rPr>
          <w:rFonts w:asciiTheme="majorHAnsi" w:hAnsiTheme="majorHAnsi"/>
          <w:sz w:val="22"/>
          <w:szCs w:val="22"/>
        </w:rPr>
        <w:t xml:space="preserve">pregnancy vaccination </w:t>
      </w:r>
      <w:r w:rsidR="00837CAA" w:rsidRPr="00B85525">
        <w:rPr>
          <w:rFonts w:asciiTheme="majorHAnsi" w:hAnsiTheme="majorHAnsi"/>
          <w:sz w:val="22"/>
          <w:szCs w:val="22"/>
        </w:rPr>
        <w:t>groups</w:t>
      </w:r>
      <w:r w:rsidR="00837CAA">
        <w:rPr>
          <w:rFonts w:asciiTheme="majorHAnsi" w:hAnsiTheme="majorHAnsi"/>
          <w:sz w:val="22"/>
          <w:szCs w:val="22"/>
        </w:rPr>
        <w:t>.</w:t>
      </w:r>
    </w:p>
    <w:p w14:paraId="1BD7848E" w14:textId="77777777" w:rsidR="0027230A" w:rsidRDefault="0027230A" w:rsidP="001557AE">
      <w:pPr>
        <w:tabs>
          <w:tab w:val="left" w:pos="142"/>
        </w:tabs>
        <w:spacing w:line="480" w:lineRule="auto"/>
        <w:rPr>
          <w:rFonts w:asciiTheme="majorHAnsi" w:hAnsiTheme="majorHAnsi"/>
          <w:sz w:val="22"/>
          <w:szCs w:val="22"/>
        </w:rPr>
      </w:pPr>
    </w:p>
    <w:p w14:paraId="5D58A537" w14:textId="028DFCDD" w:rsidR="00900057" w:rsidRDefault="00113931" w:rsidP="008D73E1">
      <w:pPr>
        <w:spacing w:line="480" w:lineRule="auto"/>
        <w:jc w:val="both"/>
        <w:rPr>
          <w:rFonts w:asciiTheme="majorHAnsi" w:hAnsiTheme="majorHAnsi"/>
          <w:sz w:val="22"/>
          <w:szCs w:val="22"/>
        </w:rPr>
      </w:pPr>
      <w:r w:rsidRPr="0027230A">
        <w:rPr>
          <w:rFonts w:asciiTheme="majorHAnsi" w:hAnsiTheme="majorHAnsi"/>
          <w:sz w:val="22"/>
          <w:szCs w:val="22"/>
        </w:rPr>
        <w:t>W</w:t>
      </w:r>
      <w:r>
        <w:rPr>
          <w:rFonts w:asciiTheme="majorHAnsi" w:hAnsiTheme="majorHAnsi"/>
          <w:sz w:val="22"/>
          <w:szCs w:val="22"/>
        </w:rPr>
        <w:t xml:space="preserve">hen comparing the IgG </w:t>
      </w:r>
      <w:r w:rsidR="008138F3">
        <w:rPr>
          <w:rFonts w:asciiTheme="majorHAnsi" w:hAnsiTheme="majorHAnsi"/>
          <w:sz w:val="22"/>
          <w:szCs w:val="22"/>
        </w:rPr>
        <w:t>GMCs</w:t>
      </w:r>
      <w:r>
        <w:rPr>
          <w:rFonts w:asciiTheme="majorHAnsi" w:hAnsiTheme="majorHAnsi"/>
          <w:sz w:val="22"/>
          <w:szCs w:val="22"/>
        </w:rPr>
        <w:t xml:space="preserve"> at 13 months age and pre-booster f</w:t>
      </w:r>
      <w:r w:rsidR="00B71D82" w:rsidRPr="00B71D82">
        <w:rPr>
          <w:rFonts w:asciiTheme="majorHAnsi" w:hAnsiTheme="majorHAnsi"/>
          <w:sz w:val="22"/>
          <w:szCs w:val="22"/>
        </w:rPr>
        <w:t xml:space="preserve">or </w:t>
      </w:r>
      <w:r w:rsidR="00900057">
        <w:rPr>
          <w:rFonts w:asciiTheme="majorHAnsi" w:hAnsiTheme="majorHAnsi"/>
          <w:sz w:val="22"/>
          <w:szCs w:val="22"/>
        </w:rPr>
        <w:t>anti-</w:t>
      </w:r>
      <w:r w:rsidR="00B71D82" w:rsidRPr="00B71D82">
        <w:rPr>
          <w:rFonts w:asciiTheme="majorHAnsi" w:hAnsiTheme="majorHAnsi"/>
          <w:sz w:val="22"/>
          <w:szCs w:val="22"/>
        </w:rPr>
        <w:t>PT</w:t>
      </w:r>
      <w:r w:rsidR="007661D9">
        <w:rPr>
          <w:rFonts w:asciiTheme="majorHAnsi" w:hAnsiTheme="majorHAnsi"/>
          <w:sz w:val="22"/>
          <w:szCs w:val="22"/>
        </w:rPr>
        <w:t>,</w:t>
      </w:r>
      <w:r w:rsidR="00B71D82" w:rsidRPr="00B71D82">
        <w:rPr>
          <w:rFonts w:asciiTheme="majorHAnsi" w:hAnsiTheme="majorHAnsi"/>
          <w:sz w:val="22"/>
          <w:szCs w:val="22"/>
        </w:rPr>
        <w:t xml:space="preserve"> </w:t>
      </w:r>
      <w:r w:rsidR="00662BB1">
        <w:rPr>
          <w:rFonts w:asciiTheme="majorHAnsi" w:hAnsiTheme="majorHAnsi"/>
          <w:sz w:val="22"/>
          <w:szCs w:val="22"/>
        </w:rPr>
        <w:t>four</w:t>
      </w:r>
      <w:r w:rsidR="00662BB1" w:rsidRPr="00B71D82">
        <w:rPr>
          <w:rFonts w:asciiTheme="majorHAnsi" w:hAnsiTheme="majorHAnsi"/>
          <w:sz w:val="22"/>
          <w:szCs w:val="22"/>
        </w:rPr>
        <w:t xml:space="preserve"> </w:t>
      </w:r>
      <w:r w:rsidR="00900057">
        <w:rPr>
          <w:rFonts w:asciiTheme="majorHAnsi" w:hAnsiTheme="majorHAnsi"/>
          <w:sz w:val="22"/>
          <w:szCs w:val="22"/>
        </w:rPr>
        <w:t>children</w:t>
      </w:r>
      <w:r w:rsidR="00B71D82" w:rsidRPr="00B71D82">
        <w:rPr>
          <w:rFonts w:asciiTheme="majorHAnsi" w:hAnsiTheme="majorHAnsi"/>
          <w:sz w:val="22"/>
          <w:szCs w:val="22"/>
        </w:rPr>
        <w:t xml:space="preserve"> </w:t>
      </w:r>
      <w:r w:rsidR="00900057">
        <w:rPr>
          <w:rFonts w:asciiTheme="majorHAnsi" w:hAnsiTheme="majorHAnsi"/>
          <w:sz w:val="22"/>
          <w:szCs w:val="22"/>
        </w:rPr>
        <w:t>displayed an increase in their anti-PT IgG GMC</w:t>
      </w:r>
      <w:r w:rsidR="00450AA7">
        <w:rPr>
          <w:rFonts w:asciiTheme="majorHAnsi" w:hAnsiTheme="majorHAnsi"/>
          <w:sz w:val="22"/>
          <w:szCs w:val="22"/>
        </w:rPr>
        <w:t>, t</w:t>
      </w:r>
      <w:r w:rsidR="00450AA7" w:rsidRPr="00B71D82">
        <w:rPr>
          <w:rFonts w:asciiTheme="majorHAnsi" w:hAnsiTheme="majorHAnsi"/>
          <w:sz w:val="22"/>
          <w:szCs w:val="22"/>
        </w:rPr>
        <w:t xml:space="preserve">hree </w:t>
      </w:r>
      <w:r w:rsidR="00AF4D59">
        <w:rPr>
          <w:rFonts w:asciiTheme="majorHAnsi" w:hAnsiTheme="majorHAnsi"/>
          <w:sz w:val="22"/>
          <w:szCs w:val="22"/>
        </w:rPr>
        <w:t>of whom</w:t>
      </w:r>
      <w:r w:rsidR="00450AA7">
        <w:rPr>
          <w:rFonts w:asciiTheme="majorHAnsi" w:hAnsiTheme="majorHAnsi"/>
          <w:sz w:val="22"/>
          <w:szCs w:val="22"/>
        </w:rPr>
        <w:t xml:space="preserve"> were born to</w:t>
      </w:r>
      <w:r w:rsidR="00450AA7" w:rsidRPr="00B71D82">
        <w:rPr>
          <w:rFonts w:asciiTheme="majorHAnsi" w:hAnsiTheme="majorHAnsi"/>
          <w:sz w:val="22"/>
          <w:szCs w:val="22"/>
        </w:rPr>
        <w:t xml:space="preserve"> </w:t>
      </w:r>
      <w:r w:rsidR="00450AA7">
        <w:rPr>
          <w:rFonts w:asciiTheme="majorHAnsi" w:hAnsiTheme="majorHAnsi"/>
          <w:sz w:val="22"/>
          <w:szCs w:val="22"/>
        </w:rPr>
        <w:t>women who had not received a pertussis-containing vaccine in pregnancy</w:t>
      </w:r>
      <w:r w:rsidR="00450AA7" w:rsidRPr="00B71D82">
        <w:rPr>
          <w:rFonts w:asciiTheme="majorHAnsi" w:hAnsiTheme="majorHAnsi"/>
          <w:sz w:val="22"/>
          <w:szCs w:val="22"/>
        </w:rPr>
        <w:t xml:space="preserve"> </w:t>
      </w:r>
      <w:r w:rsidR="007661D9" w:rsidRPr="00B71D82">
        <w:rPr>
          <w:rFonts w:asciiTheme="majorHAnsi" w:hAnsiTheme="majorHAnsi"/>
          <w:sz w:val="22"/>
          <w:szCs w:val="22"/>
        </w:rPr>
        <w:t>(</w:t>
      </w:r>
      <w:r w:rsidR="00762DF7">
        <w:rPr>
          <w:rFonts w:asciiTheme="majorHAnsi" w:hAnsiTheme="majorHAnsi"/>
          <w:sz w:val="22"/>
          <w:szCs w:val="22"/>
        </w:rPr>
        <w:t>S</w:t>
      </w:r>
      <w:r w:rsidR="007661D9">
        <w:rPr>
          <w:rFonts w:asciiTheme="majorHAnsi" w:hAnsiTheme="majorHAnsi"/>
          <w:sz w:val="22"/>
          <w:szCs w:val="22"/>
        </w:rPr>
        <w:t xml:space="preserve">upplementary </w:t>
      </w:r>
      <w:r w:rsidR="007661D9" w:rsidRPr="00B71D82">
        <w:rPr>
          <w:rFonts w:asciiTheme="majorHAnsi" w:hAnsiTheme="majorHAnsi"/>
          <w:sz w:val="22"/>
          <w:szCs w:val="22"/>
        </w:rPr>
        <w:t xml:space="preserve">Figure </w:t>
      </w:r>
      <w:r w:rsidR="00226EBC">
        <w:rPr>
          <w:rFonts w:asciiTheme="majorHAnsi" w:hAnsiTheme="majorHAnsi"/>
          <w:sz w:val="22"/>
          <w:szCs w:val="22"/>
        </w:rPr>
        <w:t>1</w:t>
      </w:r>
      <w:r w:rsidR="007661D9">
        <w:rPr>
          <w:rFonts w:asciiTheme="majorHAnsi" w:hAnsiTheme="majorHAnsi"/>
          <w:sz w:val="22"/>
          <w:szCs w:val="22"/>
        </w:rPr>
        <w:t>)</w:t>
      </w:r>
      <w:r w:rsidR="00B71D82" w:rsidRPr="00B71D82">
        <w:rPr>
          <w:rFonts w:asciiTheme="majorHAnsi" w:hAnsiTheme="majorHAnsi"/>
          <w:sz w:val="22"/>
          <w:szCs w:val="22"/>
        </w:rPr>
        <w:t>.</w:t>
      </w:r>
      <w:r w:rsidR="007661D9">
        <w:rPr>
          <w:rFonts w:asciiTheme="majorHAnsi" w:hAnsiTheme="majorHAnsi"/>
          <w:sz w:val="22"/>
          <w:szCs w:val="22"/>
        </w:rPr>
        <w:t xml:space="preserve"> </w:t>
      </w:r>
      <w:r w:rsidR="001D2796" w:rsidRPr="001D2796">
        <w:rPr>
          <w:rFonts w:asciiTheme="majorHAnsi" w:hAnsiTheme="majorHAnsi"/>
          <w:sz w:val="22"/>
          <w:szCs w:val="22"/>
        </w:rPr>
        <w:t xml:space="preserve"> </w:t>
      </w:r>
      <w:r w:rsidR="001D2796">
        <w:rPr>
          <w:rFonts w:asciiTheme="majorHAnsi" w:hAnsiTheme="majorHAnsi"/>
          <w:sz w:val="22"/>
          <w:szCs w:val="22"/>
        </w:rPr>
        <w:lastRenderedPageBreak/>
        <w:t xml:space="preserve">Supplementary </w:t>
      </w:r>
      <w:r w:rsidR="001D2796" w:rsidRPr="00B71D82">
        <w:rPr>
          <w:rFonts w:asciiTheme="majorHAnsi" w:hAnsiTheme="majorHAnsi"/>
          <w:sz w:val="22"/>
          <w:szCs w:val="22"/>
        </w:rPr>
        <w:t>Figure</w:t>
      </w:r>
      <w:r w:rsidR="00226EBC">
        <w:rPr>
          <w:rFonts w:asciiTheme="majorHAnsi" w:hAnsiTheme="majorHAnsi"/>
          <w:sz w:val="22"/>
          <w:szCs w:val="22"/>
        </w:rPr>
        <w:t xml:space="preserve"> 2</w:t>
      </w:r>
      <w:r w:rsidR="001D2796" w:rsidRPr="00B71D82">
        <w:rPr>
          <w:rFonts w:asciiTheme="majorHAnsi" w:hAnsiTheme="majorHAnsi"/>
          <w:sz w:val="22"/>
          <w:szCs w:val="22"/>
        </w:rPr>
        <w:t xml:space="preserve"> shows </w:t>
      </w:r>
      <w:r w:rsidR="00D80188">
        <w:rPr>
          <w:rFonts w:asciiTheme="majorHAnsi" w:hAnsiTheme="majorHAnsi"/>
          <w:sz w:val="22"/>
          <w:szCs w:val="22"/>
        </w:rPr>
        <w:t>the IgG GMCs fold change between pre-</w:t>
      </w:r>
      <w:r w:rsidR="00837CAA">
        <w:rPr>
          <w:rFonts w:asciiTheme="majorHAnsi" w:hAnsiTheme="majorHAnsi"/>
          <w:sz w:val="22"/>
          <w:szCs w:val="22"/>
        </w:rPr>
        <w:t xml:space="preserve"> and post-</w:t>
      </w:r>
      <w:r w:rsidR="00D80188">
        <w:rPr>
          <w:rFonts w:asciiTheme="majorHAnsi" w:hAnsiTheme="majorHAnsi"/>
          <w:sz w:val="22"/>
          <w:szCs w:val="22"/>
        </w:rPr>
        <w:t xml:space="preserve">booster, which shows </w:t>
      </w:r>
      <w:r w:rsidR="001D2796" w:rsidRPr="00B71D82">
        <w:rPr>
          <w:rFonts w:asciiTheme="majorHAnsi" w:hAnsiTheme="majorHAnsi"/>
          <w:sz w:val="22"/>
          <w:szCs w:val="22"/>
        </w:rPr>
        <w:t>that higher</w:t>
      </w:r>
      <w:r w:rsidR="001D2796">
        <w:rPr>
          <w:rFonts w:asciiTheme="majorHAnsi" w:hAnsiTheme="majorHAnsi"/>
          <w:sz w:val="22"/>
          <w:szCs w:val="22"/>
        </w:rPr>
        <w:t xml:space="preserve"> anti-PT IgG GMCs </w:t>
      </w:r>
      <w:r w:rsidR="003630EC">
        <w:rPr>
          <w:rFonts w:asciiTheme="majorHAnsi" w:hAnsiTheme="majorHAnsi"/>
          <w:sz w:val="22"/>
          <w:szCs w:val="22"/>
        </w:rPr>
        <w:t xml:space="preserve">following the preschool booster </w:t>
      </w:r>
      <w:r w:rsidR="001D2796">
        <w:rPr>
          <w:rFonts w:asciiTheme="majorHAnsi" w:hAnsiTheme="majorHAnsi"/>
          <w:sz w:val="22"/>
          <w:szCs w:val="22"/>
        </w:rPr>
        <w:t>we</w:t>
      </w:r>
      <w:r w:rsidR="001D2796" w:rsidRPr="00B71D82">
        <w:rPr>
          <w:rFonts w:asciiTheme="majorHAnsi" w:hAnsiTheme="majorHAnsi"/>
          <w:sz w:val="22"/>
          <w:szCs w:val="22"/>
        </w:rPr>
        <w:t xml:space="preserve">re related to higher levels </w:t>
      </w:r>
      <w:r w:rsidR="003630EC">
        <w:rPr>
          <w:rFonts w:asciiTheme="majorHAnsi" w:hAnsiTheme="majorHAnsi"/>
          <w:sz w:val="22"/>
          <w:szCs w:val="22"/>
        </w:rPr>
        <w:t>prior to receipt of</w:t>
      </w:r>
      <w:r w:rsidR="001D2796">
        <w:rPr>
          <w:rFonts w:asciiTheme="majorHAnsi" w:hAnsiTheme="majorHAnsi"/>
          <w:sz w:val="22"/>
          <w:szCs w:val="22"/>
        </w:rPr>
        <w:t xml:space="preserve"> the booster.</w:t>
      </w:r>
      <w:r w:rsidR="001D2796" w:rsidRPr="001D2796">
        <w:rPr>
          <w:rFonts w:asciiTheme="majorHAnsi" w:hAnsiTheme="majorHAnsi"/>
          <w:sz w:val="22"/>
          <w:szCs w:val="22"/>
        </w:rPr>
        <w:t xml:space="preserve"> </w:t>
      </w:r>
      <w:r w:rsidR="001D2796">
        <w:rPr>
          <w:rFonts w:asciiTheme="majorHAnsi" w:hAnsiTheme="majorHAnsi"/>
          <w:sz w:val="22"/>
          <w:szCs w:val="22"/>
        </w:rPr>
        <w:t xml:space="preserve">Supplementary Figure </w:t>
      </w:r>
      <w:r w:rsidR="00226EBC">
        <w:rPr>
          <w:rFonts w:asciiTheme="majorHAnsi" w:hAnsiTheme="majorHAnsi"/>
          <w:sz w:val="22"/>
          <w:szCs w:val="22"/>
        </w:rPr>
        <w:t>1</w:t>
      </w:r>
      <w:r w:rsidR="001D2796">
        <w:rPr>
          <w:rFonts w:asciiTheme="majorHAnsi" w:hAnsiTheme="majorHAnsi"/>
          <w:sz w:val="22"/>
          <w:szCs w:val="22"/>
        </w:rPr>
        <w:t xml:space="preserve"> </w:t>
      </w:r>
      <w:r w:rsidR="00525A91">
        <w:rPr>
          <w:rFonts w:asciiTheme="majorHAnsi" w:hAnsiTheme="majorHAnsi"/>
          <w:sz w:val="22"/>
          <w:szCs w:val="22"/>
        </w:rPr>
        <w:t xml:space="preserve">also </w:t>
      </w:r>
      <w:r w:rsidR="001D2796">
        <w:rPr>
          <w:rFonts w:asciiTheme="majorHAnsi" w:hAnsiTheme="majorHAnsi"/>
          <w:sz w:val="22"/>
          <w:szCs w:val="22"/>
        </w:rPr>
        <w:t xml:space="preserve">shows the </w:t>
      </w:r>
      <w:r w:rsidR="008D73E1">
        <w:rPr>
          <w:rFonts w:asciiTheme="majorHAnsi" w:hAnsiTheme="majorHAnsi"/>
          <w:sz w:val="22"/>
          <w:szCs w:val="22"/>
        </w:rPr>
        <w:t>IgG GMCs fold change</w:t>
      </w:r>
      <w:r w:rsidR="001D2796">
        <w:rPr>
          <w:rFonts w:asciiTheme="majorHAnsi" w:hAnsiTheme="majorHAnsi"/>
          <w:sz w:val="22"/>
          <w:szCs w:val="22"/>
        </w:rPr>
        <w:t xml:space="preserve"> </w:t>
      </w:r>
      <w:r w:rsidR="00D80188">
        <w:rPr>
          <w:rFonts w:asciiTheme="majorHAnsi" w:hAnsiTheme="majorHAnsi"/>
          <w:sz w:val="22"/>
          <w:szCs w:val="22"/>
        </w:rPr>
        <w:t xml:space="preserve">between </w:t>
      </w:r>
      <w:r w:rsidR="001D2796">
        <w:rPr>
          <w:rFonts w:asciiTheme="majorHAnsi" w:hAnsiTheme="majorHAnsi"/>
          <w:sz w:val="22"/>
          <w:szCs w:val="22"/>
        </w:rPr>
        <w:t xml:space="preserve">13 months </w:t>
      </w:r>
      <w:r w:rsidR="00D80188">
        <w:rPr>
          <w:rFonts w:asciiTheme="majorHAnsi" w:hAnsiTheme="majorHAnsi"/>
          <w:sz w:val="22"/>
          <w:szCs w:val="22"/>
        </w:rPr>
        <w:t>and</w:t>
      </w:r>
      <w:r w:rsidR="001D2796">
        <w:rPr>
          <w:rFonts w:asciiTheme="majorHAnsi" w:hAnsiTheme="majorHAnsi"/>
          <w:sz w:val="22"/>
          <w:szCs w:val="22"/>
        </w:rPr>
        <w:t xml:space="preserve"> pre-booster </w:t>
      </w:r>
      <w:r w:rsidR="00D80188">
        <w:rPr>
          <w:rFonts w:asciiTheme="majorHAnsi" w:hAnsiTheme="majorHAnsi"/>
          <w:sz w:val="22"/>
          <w:szCs w:val="22"/>
        </w:rPr>
        <w:t xml:space="preserve">for other pertussis-specific antibodies and </w:t>
      </w:r>
      <w:r w:rsidR="00AF4D59">
        <w:rPr>
          <w:rFonts w:asciiTheme="majorHAnsi" w:hAnsiTheme="majorHAnsi"/>
          <w:sz w:val="22"/>
          <w:szCs w:val="22"/>
        </w:rPr>
        <w:t xml:space="preserve">for </w:t>
      </w:r>
      <w:r w:rsidR="009049CC">
        <w:rPr>
          <w:rFonts w:asciiTheme="majorHAnsi" w:hAnsiTheme="majorHAnsi"/>
          <w:sz w:val="22"/>
          <w:szCs w:val="22"/>
        </w:rPr>
        <w:t>DT and TT</w:t>
      </w:r>
      <w:r w:rsidR="00D80188">
        <w:rPr>
          <w:rFonts w:asciiTheme="majorHAnsi" w:hAnsiTheme="majorHAnsi"/>
          <w:sz w:val="22"/>
          <w:szCs w:val="22"/>
        </w:rPr>
        <w:t xml:space="preserve"> antibodies</w:t>
      </w:r>
      <w:r w:rsidR="00AF4D59">
        <w:rPr>
          <w:rFonts w:asciiTheme="majorHAnsi" w:hAnsiTheme="majorHAnsi"/>
          <w:sz w:val="22"/>
          <w:szCs w:val="22"/>
        </w:rPr>
        <w:t>. S</w:t>
      </w:r>
      <w:r w:rsidR="000F68A1">
        <w:rPr>
          <w:rFonts w:asciiTheme="majorHAnsi" w:hAnsiTheme="majorHAnsi"/>
          <w:sz w:val="22"/>
          <w:szCs w:val="22"/>
        </w:rPr>
        <w:t xml:space="preserve">ome individuals displayed an increase in their IgG GMCs against </w:t>
      </w:r>
      <w:r w:rsidR="00950EBE">
        <w:rPr>
          <w:rFonts w:asciiTheme="majorHAnsi" w:hAnsiTheme="majorHAnsi"/>
          <w:sz w:val="22"/>
          <w:szCs w:val="22"/>
        </w:rPr>
        <w:t xml:space="preserve">other </w:t>
      </w:r>
      <w:r w:rsidR="000F68A1">
        <w:rPr>
          <w:rFonts w:asciiTheme="majorHAnsi" w:hAnsiTheme="majorHAnsi"/>
          <w:sz w:val="22"/>
          <w:szCs w:val="22"/>
        </w:rPr>
        <w:t xml:space="preserve">pertussis-specific antigens between these </w:t>
      </w:r>
      <w:r w:rsidR="00D80188">
        <w:rPr>
          <w:rFonts w:asciiTheme="majorHAnsi" w:hAnsiTheme="majorHAnsi"/>
          <w:sz w:val="22"/>
          <w:szCs w:val="22"/>
        </w:rPr>
        <w:t xml:space="preserve">two </w:t>
      </w:r>
      <w:r w:rsidR="000F68A1">
        <w:rPr>
          <w:rFonts w:asciiTheme="majorHAnsi" w:hAnsiTheme="majorHAnsi"/>
          <w:sz w:val="22"/>
          <w:szCs w:val="22"/>
        </w:rPr>
        <w:t>time</w:t>
      </w:r>
      <w:r w:rsidR="00D80188">
        <w:rPr>
          <w:rFonts w:asciiTheme="majorHAnsi" w:hAnsiTheme="majorHAnsi"/>
          <w:sz w:val="22"/>
          <w:szCs w:val="22"/>
        </w:rPr>
        <w:t>-</w:t>
      </w:r>
      <w:r w:rsidR="000F68A1">
        <w:rPr>
          <w:rFonts w:asciiTheme="majorHAnsi" w:hAnsiTheme="majorHAnsi"/>
          <w:sz w:val="22"/>
          <w:szCs w:val="22"/>
        </w:rPr>
        <w:t>points</w:t>
      </w:r>
      <w:r w:rsidR="00950EBE">
        <w:rPr>
          <w:rFonts w:asciiTheme="majorHAnsi" w:hAnsiTheme="majorHAnsi"/>
          <w:sz w:val="22"/>
          <w:szCs w:val="22"/>
        </w:rPr>
        <w:t>.</w:t>
      </w:r>
    </w:p>
    <w:p w14:paraId="5C1A0CAA" w14:textId="6E523CC5" w:rsidR="0065401B" w:rsidRDefault="0065401B" w:rsidP="001557AE">
      <w:pPr>
        <w:tabs>
          <w:tab w:val="left" w:pos="142"/>
        </w:tabs>
        <w:spacing w:line="480" w:lineRule="auto"/>
        <w:rPr>
          <w:rFonts w:asciiTheme="majorHAnsi" w:hAnsiTheme="majorHAnsi"/>
          <w:sz w:val="18"/>
          <w:szCs w:val="18"/>
        </w:rPr>
      </w:pPr>
    </w:p>
    <w:p w14:paraId="63F2331F" w14:textId="77777777" w:rsidR="00837CAA" w:rsidRPr="00B85525" w:rsidRDefault="00837CAA" w:rsidP="001557AE">
      <w:pPr>
        <w:tabs>
          <w:tab w:val="left" w:pos="142"/>
        </w:tabs>
        <w:spacing w:line="480" w:lineRule="auto"/>
        <w:rPr>
          <w:rFonts w:asciiTheme="majorHAnsi" w:hAnsiTheme="majorHAnsi"/>
          <w:sz w:val="22"/>
          <w:szCs w:val="22"/>
        </w:rPr>
      </w:pPr>
    </w:p>
    <w:p w14:paraId="3FDB132B" w14:textId="4156926A" w:rsidR="00837D5D" w:rsidRDefault="00837D5D" w:rsidP="001557AE">
      <w:pPr>
        <w:spacing w:line="48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Discussion</w:t>
      </w:r>
    </w:p>
    <w:p w14:paraId="313BD110" w14:textId="77777777" w:rsidR="00987E95" w:rsidRPr="003C0435" w:rsidRDefault="00987E95" w:rsidP="001557AE">
      <w:pPr>
        <w:spacing w:line="480" w:lineRule="auto"/>
        <w:rPr>
          <w:rFonts w:asciiTheme="majorHAnsi" w:hAnsiTheme="majorHAnsi"/>
          <w:b/>
        </w:rPr>
      </w:pPr>
    </w:p>
    <w:p w14:paraId="631C29D5" w14:textId="5BBBFDBA" w:rsidR="00AC4B14" w:rsidRDefault="00D742CD" w:rsidP="001557AE">
      <w:pPr>
        <w:spacing w:line="480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It is </w:t>
      </w:r>
      <w:r w:rsidR="005476E9">
        <w:rPr>
          <w:rFonts w:asciiTheme="majorHAnsi" w:hAnsiTheme="majorHAnsi"/>
          <w:sz w:val="22"/>
          <w:szCs w:val="22"/>
        </w:rPr>
        <w:t xml:space="preserve">now </w:t>
      </w:r>
      <w:r>
        <w:rPr>
          <w:rFonts w:asciiTheme="majorHAnsi" w:hAnsiTheme="majorHAnsi"/>
          <w:sz w:val="22"/>
          <w:szCs w:val="22"/>
        </w:rPr>
        <w:t>well recognised that antenatal pertussis vaccination is an effective strategy for the prevention of pertussis disease in early infancy</w:t>
      </w:r>
      <w:r w:rsidR="00C815CF">
        <w:rPr>
          <w:rFonts w:asciiTheme="majorHAnsi" w:hAnsiTheme="majorHAnsi"/>
          <w:sz w:val="22"/>
          <w:szCs w:val="22"/>
          <w:vertAlign w:val="superscript"/>
        </w:rPr>
        <w:t>2,</w:t>
      </w:r>
      <w:r w:rsidR="003B6DDA">
        <w:rPr>
          <w:rFonts w:asciiTheme="majorHAnsi" w:hAnsiTheme="majorHAnsi"/>
          <w:sz w:val="22"/>
          <w:szCs w:val="22"/>
          <w:vertAlign w:val="superscript"/>
        </w:rPr>
        <w:t>5</w:t>
      </w:r>
      <w:r w:rsidR="00C815CF">
        <w:rPr>
          <w:rFonts w:asciiTheme="majorHAnsi" w:hAnsiTheme="majorHAnsi"/>
          <w:sz w:val="22"/>
          <w:szCs w:val="22"/>
          <w:vertAlign w:val="superscript"/>
        </w:rPr>
        <w:t>,</w:t>
      </w:r>
      <w:r w:rsidR="003B6DDA">
        <w:rPr>
          <w:rFonts w:asciiTheme="majorHAnsi" w:hAnsiTheme="majorHAnsi"/>
          <w:sz w:val="22"/>
          <w:szCs w:val="22"/>
          <w:vertAlign w:val="superscript"/>
        </w:rPr>
        <w:t>6</w:t>
      </w:r>
      <w:r>
        <w:rPr>
          <w:rFonts w:asciiTheme="majorHAnsi" w:hAnsiTheme="majorHAnsi"/>
          <w:sz w:val="22"/>
          <w:szCs w:val="22"/>
        </w:rPr>
        <w:t>.</w:t>
      </w:r>
      <w:r w:rsidR="00F82307">
        <w:rPr>
          <w:rFonts w:asciiTheme="majorHAnsi" w:hAnsiTheme="majorHAnsi"/>
          <w:sz w:val="22"/>
          <w:szCs w:val="22"/>
        </w:rPr>
        <w:t xml:space="preserve"> However, the consequences of blunting </w:t>
      </w:r>
      <w:r w:rsidR="005476E9">
        <w:rPr>
          <w:rFonts w:asciiTheme="majorHAnsi" w:hAnsiTheme="majorHAnsi"/>
          <w:sz w:val="22"/>
          <w:szCs w:val="22"/>
        </w:rPr>
        <w:t xml:space="preserve">of </w:t>
      </w:r>
      <w:r w:rsidR="00F82307" w:rsidRPr="00F82307">
        <w:rPr>
          <w:rFonts w:asciiTheme="majorHAnsi" w:hAnsiTheme="majorHAnsi"/>
          <w:sz w:val="22"/>
          <w:szCs w:val="22"/>
        </w:rPr>
        <w:t xml:space="preserve">the </w:t>
      </w:r>
      <w:r w:rsidR="005476E9">
        <w:rPr>
          <w:rFonts w:asciiTheme="majorHAnsi" w:hAnsiTheme="majorHAnsi"/>
          <w:sz w:val="22"/>
          <w:szCs w:val="22"/>
        </w:rPr>
        <w:t>infant</w:t>
      </w:r>
      <w:r w:rsidR="005476E9" w:rsidRPr="00F82307">
        <w:rPr>
          <w:rFonts w:asciiTheme="majorHAnsi" w:hAnsiTheme="majorHAnsi"/>
          <w:sz w:val="22"/>
          <w:szCs w:val="22"/>
        </w:rPr>
        <w:t xml:space="preserve">’s </w:t>
      </w:r>
      <w:r w:rsidR="00F82307" w:rsidRPr="00F82307">
        <w:rPr>
          <w:rFonts w:asciiTheme="majorHAnsi" w:hAnsiTheme="majorHAnsi"/>
          <w:sz w:val="22"/>
          <w:szCs w:val="22"/>
        </w:rPr>
        <w:t xml:space="preserve">own immune response to </w:t>
      </w:r>
      <w:r w:rsidR="005476E9">
        <w:rPr>
          <w:rFonts w:asciiTheme="majorHAnsi" w:hAnsiTheme="majorHAnsi"/>
          <w:sz w:val="22"/>
          <w:szCs w:val="22"/>
        </w:rPr>
        <w:t xml:space="preserve">primary pertussis </w:t>
      </w:r>
      <w:r w:rsidR="00F82307" w:rsidRPr="00F82307">
        <w:rPr>
          <w:rFonts w:asciiTheme="majorHAnsi" w:hAnsiTheme="majorHAnsi"/>
          <w:sz w:val="22"/>
          <w:szCs w:val="22"/>
        </w:rPr>
        <w:t>immunisation remains</w:t>
      </w:r>
      <w:r w:rsidRPr="00F82307">
        <w:rPr>
          <w:rFonts w:asciiTheme="majorHAnsi" w:hAnsiTheme="majorHAnsi"/>
          <w:sz w:val="22"/>
          <w:szCs w:val="22"/>
        </w:rPr>
        <w:t xml:space="preserve"> </w:t>
      </w:r>
      <w:r w:rsidR="00F82307" w:rsidRPr="00F82307">
        <w:rPr>
          <w:rFonts w:asciiTheme="majorHAnsi" w:hAnsiTheme="majorHAnsi"/>
          <w:sz w:val="22"/>
          <w:szCs w:val="22"/>
        </w:rPr>
        <w:t>a</w:t>
      </w:r>
      <w:r w:rsidRPr="00F82307">
        <w:rPr>
          <w:rFonts w:asciiTheme="majorHAnsi" w:hAnsiTheme="majorHAnsi"/>
          <w:sz w:val="22"/>
          <w:szCs w:val="22"/>
        </w:rPr>
        <w:t xml:space="preserve"> </w:t>
      </w:r>
      <w:r w:rsidR="005476E9">
        <w:rPr>
          <w:rFonts w:asciiTheme="majorHAnsi" w:hAnsiTheme="majorHAnsi"/>
          <w:sz w:val="22"/>
          <w:szCs w:val="22"/>
        </w:rPr>
        <w:t>critical</w:t>
      </w:r>
      <w:r w:rsidR="005476E9" w:rsidRPr="00F82307">
        <w:rPr>
          <w:rFonts w:asciiTheme="majorHAnsi" w:hAnsiTheme="majorHAnsi"/>
          <w:sz w:val="22"/>
          <w:szCs w:val="22"/>
        </w:rPr>
        <w:t xml:space="preserve"> </w:t>
      </w:r>
      <w:r w:rsidRPr="00F82307">
        <w:rPr>
          <w:rFonts w:asciiTheme="majorHAnsi" w:hAnsiTheme="majorHAnsi"/>
          <w:sz w:val="22"/>
          <w:szCs w:val="22"/>
        </w:rPr>
        <w:t>question</w:t>
      </w:r>
      <w:r w:rsidR="005476E9">
        <w:rPr>
          <w:rFonts w:asciiTheme="majorHAnsi" w:hAnsiTheme="majorHAnsi"/>
          <w:sz w:val="22"/>
          <w:szCs w:val="22"/>
        </w:rPr>
        <w:t>,</w:t>
      </w:r>
      <w:r w:rsidR="00825101">
        <w:rPr>
          <w:rFonts w:asciiTheme="majorHAnsi" w:hAnsiTheme="majorHAnsi"/>
          <w:sz w:val="22"/>
          <w:szCs w:val="22"/>
        </w:rPr>
        <w:t xml:space="preserve"> </w:t>
      </w:r>
      <w:r w:rsidR="00825101" w:rsidRPr="00F82307">
        <w:rPr>
          <w:rFonts w:asciiTheme="majorHAnsi" w:hAnsiTheme="majorHAnsi"/>
          <w:sz w:val="22"/>
          <w:szCs w:val="22"/>
        </w:rPr>
        <w:t>particular</w:t>
      </w:r>
      <w:r w:rsidR="00E03385">
        <w:rPr>
          <w:rFonts w:asciiTheme="majorHAnsi" w:hAnsiTheme="majorHAnsi"/>
          <w:sz w:val="22"/>
          <w:szCs w:val="22"/>
        </w:rPr>
        <w:t>ly</w:t>
      </w:r>
      <w:r w:rsidR="00825101" w:rsidRPr="00F82307">
        <w:rPr>
          <w:rFonts w:asciiTheme="majorHAnsi" w:hAnsiTheme="majorHAnsi"/>
          <w:sz w:val="22"/>
          <w:szCs w:val="22"/>
        </w:rPr>
        <w:t xml:space="preserve"> </w:t>
      </w:r>
      <w:r w:rsidR="005476E9">
        <w:rPr>
          <w:rFonts w:asciiTheme="majorHAnsi" w:hAnsiTheme="majorHAnsi"/>
          <w:sz w:val="22"/>
          <w:szCs w:val="22"/>
        </w:rPr>
        <w:t>in settings where booster doses are not given until later in childhood, as in the UK</w:t>
      </w:r>
      <w:r w:rsidR="00F82307" w:rsidRPr="00F82307">
        <w:rPr>
          <w:rFonts w:asciiTheme="majorHAnsi" w:hAnsiTheme="majorHAnsi"/>
          <w:sz w:val="22"/>
          <w:szCs w:val="22"/>
        </w:rPr>
        <w:t>. To our knowledge, this is the firs</w:t>
      </w:r>
      <w:r w:rsidR="003D5B6F">
        <w:rPr>
          <w:rFonts w:asciiTheme="majorHAnsi" w:hAnsiTheme="majorHAnsi"/>
          <w:sz w:val="22"/>
          <w:szCs w:val="22"/>
        </w:rPr>
        <w:t>t</w:t>
      </w:r>
      <w:r w:rsidR="00F82307" w:rsidRPr="00F82307">
        <w:rPr>
          <w:rFonts w:asciiTheme="majorHAnsi" w:hAnsiTheme="majorHAnsi"/>
          <w:sz w:val="22"/>
          <w:szCs w:val="22"/>
        </w:rPr>
        <w:t xml:space="preserve"> study to explore the influence of antenatal pertussis vaccination on </w:t>
      </w:r>
      <w:r w:rsidR="003D5B6F">
        <w:rPr>
          <w:rFonts w:asciiTheme="majorHAnsi" w:hAnsiTheme="majorHAnsi"/>
          <w:sz w:val="22"/>
          <w:szCs w:val="22"/>
        </w:rPr>
        <w:t xml:space="preserve">children’s </w:t>
      </w:r>
      <w:r w:rsidR="00F82307" w:rsidRPr="00F82307">
        <w:rPr>
          <w:rFonts w:asciiTheme="majorHAnsi" w:hAnsiTheme="majorHAnsi"/>
          <w:sz w:val="22"/>
          <w:szCs w:val="22"/>
        </w:rPr>
        <w:t>antibody response</w:t>
      </w:r>
      <w:r w:rsidR="005476E9">
        <w:rPr>
          <w:rFonts w:asciiTheme="majorHAnsi" w:hAnsiTheme="majorHAnsi"/>
          <w:sz w:val="22"/>
          <w:szCs w:val="22"/>
        </w:rPr>
        <w:t>s</w:t>
      </w:r>
      <w:r w:rsidR="00F82307" w:rsidRPr="00F82307">
        <w:rPr>
          <w:rFonts w:asciiTheme="majorHAnsi" w:hAnsiTheme="majorHAnsi"/>
          <w:sz w:val="22"/>
          <w:szCs w:val="22"/>
        </w:rPr>
        <w:t xml:space="preserve"> beyond </w:t>
      </w:r>
      <w:r w:rsidR="0052775A">
        <w:rPr>
          <w:rFonts w:asciiTheme="majorHAnsi" w:hAnsiTheme="majorHAnsi"/>
          <w:sz w:val="22"/>
          <w:szCs w:val="22"/>
        </w:rPr>
        <w:t>1</w:t>
      </w:r>
      <w:r w:rsidR="00331D4A">
        <w:rPr>
          <w:rFonts w:asciiTheme="majorHAnsi" w:hAnsiTheme="majorHAnsi"/>
          <w:sz w:val="22"/>
          <w:szCs w:val="22"/>
        </w:rPr>
        <w:t>9</w:t>
      </w:r>
      <w:r w:rsidR="0052775A">
        <w:rPr>
          <w:rFonts w:asciiTheme="majorHAnsi" w:hAnsiTheme="majorHAnsi"/>
          <w:sz w:val="22"/>
          <w:szCs w:val="22"/>
        </w:rPr>
        <w:t xml:space="preserve"> months</w:t>
      </w:r>
      <w:r w:rsidR="00F82307" w:rsidRPr="00F82307">
        <w:rPr>
          <w:rFonts w:asciiTheme="majorHAnsi" w:hAnsiTheme="majorHAnsi"/>
          <w:sz w:val="22"/>
          <w:szCs w:val="22"/>
        </w:rPr>
        <w:t xml:space="preserve"> of age</w:t>
      </w:r>
      <w:r w:rsidR="008E06F9">
        <w:rPr>
          <w:rFonts w:asciiTheme="majorHAnsi" w:hAnsiTheme="majorHAnsi"/>
          <w:sz w:val="22"/>
          <w:szCs w:val="22"/>
        </w:rPr>
        <w:t>.</w:t>
      </w:r>
      <w:r w:rsidR="00F82307" w:rsidRPr="00F82307">
        <w:rPr>
          <w:rFonts w:asciiTheme="majorHAnsi" w:hAnsiTheme="majorHAnsi"/>
          <w:sz w:val="22"/>
          <w:szCs w:val="22"/>
        </w:rPr>
        <w:t xml:space="preserve"> </w:t>
      </w:r>
    </w:p>
    <w:p w14:paraId="76D8904A" w14:textId="77777777" w:rsidR="00AC4B14" w:rsidRDefault="00AC4B14" w:rsidP="001557AE">
      <w:pPr>
        <w:spacing w:line="480" w:lineRule="auto"/>
        <w:contextualSpacing/>
        <w:rPr>
          <w:rFonts w:asciiTheme="majorHAnsi" w:hAnsiTheme="majorHAnsi"/>
          <w:sz w:val="22"/>
          <w:szCs w:val="22"/>
        </w:rPr>
      </w:pPr>
    </w:p>
    <w:p w14:paraId="40CE55C3" w14:textId="3AECF102" w:rsidR="00E03385" w:rsidRDefault="00FA4B9A" w:rsidP="00E03385">
      <w:pPr>
        <w:spacing w:line="480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At around 3 and a half years of age, and </w:t>
      </w:r>
      <w:r>
        <w:rPr>
          <w:rFonts w:asciiTheme="majorHAnsi" w:hAnsiTheme="majorHAnsi" w:cstheme="majorHAnsi"/>
          <w:sz w:val="22"/>
          <w:szCs w:val="22"/>
        </w:rPr>
        <w:t>p</w:t>
      </w:r>
      <w:r w:rsidR="00D339C2" w:rsidRPr="00D339C2">
        <w:rPr>
          <w:rFonts w:asciiTheme="majorHAnsi" w:hAnsiTheme="majorHAnsi" w:cstheme="majorHAnsi"/>
          <w:sz w:val="22"/>
          <w:szCs w:val="22"/>
        </w:rPr>
        <w:t>rior to receipt of the preschool booster</w:t>
      </w:r>
      <w:r>
        <w:rPr>
          <w:rFonts w:asciiTheme="majorHAnsi" w:hAnsiTheme="majorHAnsi" w:cstheme="majorHAnsi"/>
          <w:sz w:val="22"/>
          <w:szCs w:val="22"/>
        </w:rPr>
        <w:t>,</w:t>
      </w:r>
      <w:r w:rsidR="00D339C2" w:rsidRPr="00D339C2">
        <w:rPr>
          <w:rFonts w:asciiTheme="majorHAnsi" w:hAnsiTheme="majorHAnsi" w:cstheme="majorHAnsi"/>
          <w:sz w:val="22"/>
          <w:szCs w:val="22"/>
        </w:rPr>
        <w:t xml:space="preserve"> </w:t>
      </w:r>
      <w:r w:rsidR="00EC36EB">
        <w:rPr>
          <w:rFonts w:asciiTheme="majorHAnsi" w:hAnsiTheme="majorHAnsi" w:cstheme="majorHAnsi"/>
          <w:sz w:val="22"/>
          <w:szCs w:val="22"/>
        </w:rPr>
        <w:t>the</w:t>
      </w:r>
      <w:r w:rsidR="000E7CA5">
        <w:rPr>
          <w:rFonts w:asciiTheme="majorHAnsi" w:hAnsiTheme="majorHAnsi" w:cstheme="majorHAnsi"/>
          <w:sz w:val="22"/>
          <w:szCs w:val="22"/>
        </w:rPr>
        <w:t xml:space="preserve"> only </w:t>
      </w:r>
      <w:r w:rsidR="00EC36EB">
        <w:rPr>
          <w:rFonts w:asciiTheme="majorHAnsi" w:hAnsiTheme="majorHAnsi" w:cstheme="majorHAnsi"/>
          <w:sz w:val="22"/>
          <w:szCs w:val="22"/>
        </w:rPr>
        <w:t>pertussis</w:t>
      </w:r>
      <w:r w:rsidR="000E7CA5">
        <w:rPr>
          <w:rFonts w:asciiTheme="majorHAnsi" w:hAnsiTheme="majorHAnsi" w:cstheme="majorHAnsi"/>
          <w:sz w:val="22"/>
          <w:szCs w:val="22"/>
        </w:rPr>
        <w:t>-specific</w:t>
      </w:r>
      <w:r w:rsidR="00EC36EB">
        <w:rPr>
          <w:rFonts w:asciiTheme="majorHAnsi" w:hAnsiTheme="majorHAnsi" w:cstheme="majorHAnsi"/>
          <w:sz w:val="22"/>
          <w:szCs w:val="22"/>
        </w:rPr>
        <w:t xml:space="preserve"> antibody response </w:t>
      </w:r>
      <w:r w:rsidR="0065401B">
        <w:rPr>
          <w:rFonts w:asciiTheme="majorHAnsi" w:hAnsiTheme="majorHAnsi" w:cstheme="majorHAnsi"/>
          <w:sz w:val="22"/>
          <w:szCs w:val="22"/>
        </w:rPr>
        <w:t xml:space="preserve">found to be </w:t>
      </w:r>
      <w:r w:rsidR="000E7CA5">
        <w:rPr>
          <w:rFonts w:asciiTheme="majorHAnsi" w:hAnsiTheme="majorHAnsi" w:cstheme="majorHAnsi"/>
          <w:sz w:val="22"/>
          <w:szCs w:val="22"/>
        </w:rPr>
        <w:t>at a significant</w:t>
      </w:r>
      <w:r w:rsidR="007542C2">
        <w:rPr>
          <w:rFonts w:asciiTheme="majorHAnsi" w:hAnsiTheme="majorHAnsi" w:cstheme="majorHAnsi"/>
          <w:sz w:val="22"/>
          <w:szCs w:val="22"/>
        </w:rPr>
        <w:t>ly lower</w:t>
      </w:r>
      <w:r w:rsidR="000E7CA5">
        <w:rPr>
          <w:rFonts w:asciiTheme="majorHAnsi" w:hAnsiTheme="majorHAnsi" w:cstheme="majorHAnsi"/>
          <w:sz w:val="22"/>
          <w:szCs w:val="22"/>
        </w:rPr>
        <w:t xml:space="preserve"> </w:t>
      </w:r>
      <w:r w:rsidR="00E03385">
        <w:rPr>
          <w:rFonts w:asciiTheme="majorHAnsi" w:hAnsiTheme="majorHAnsi" w:cstheme="majorHAnsi"/>
          <w:sz w:val="22"/>
          <w:szCs w:val="22"/>
        </w:rPr>
        <w:t>level</w:t>
      </w:r>
      <w:r w:rsidR="000E7CA5">
        <w:rPr>
          <w:rFonts w:asciiTheme="majorHAnsi" w:hAnsiTheme="majorHAnsi" w:cstheme="majorHAnsi"/>
          <w:sz w:val="22"/>
          <w:szCs w:val="22"/>
        </w:rPr>
        <w:t xml:space="preserve"> </w:t>
      </w:r>
      <w:r w:rsidR="00EC36EB">
        <w:rPr>
          <w:rFonts w:asciiTheme="majorHAnsi" w:hAnsiTheme="majorHAnsi" w:cstheme="majorHAnsi"/>
          <w:sz w:val="22"/>
          <w:szCs w:val="22"/>
        </w:rPr>
        <w:t>in</w:t>
      </w:r>
      <w:r w:rsidR="000E7CA5">
        <w:rPr>
          <w:rFonts w:asciiTheme="majorHAnsi" w:hAnsiTheme="majorHAnsi" w:cstheme="majorHAnsi"/>
          <w:sz w:val="22"/>
          <w:szCs w:val="22"/>
        </w:rPr>
        <w:t xml:space="preserve"> th</w:t>
      </w:r>
      <w:r w:rsidR="00B01ABB">
        <w:rPr>
          <w:rFonts w:asciiTheme="majorHAnsi" w:hAnsiTheme="majorHAnsi" w:cstheme="majorHAnsi"/>
          <w:sz w:val="22"/>
          <w:szCs w:val="22"/>
        </w:rPr>
        <w:t xml:space="preserve">ose born to mothers who received a pertussis-containing antenatal vaccine </w:t>
      </w:r>
      <w:r w:rsidR="000E7CA5">
        <w:rPr>
          <w:rFonts w:asciiTheme="majorHAnsi" w:hAnsiTheme="majorHAnsi" w:cstheme="majorHAnsi"/>
          <w:sz w:val="22"/>
          <w:szCs w:val="22"/>
        </w:rPr>
        <w:t xml:space="preserve">was anti-PT in the </w:t>
      </w:r>
      <w:r w:rsidR="00B01ABB" w:rsidRPr="00A02936">
        <w:rPr>
          <w:rFonts w:asciiTheme="majorHAnsi" w:hAnsiTheme="majorHAnsi" w:cstheme="majorHAnsi"/>
          <w:sz w:val="22"/>
          <w:szCs w:val="22"/>
        </w:rPr>
        <w:t>TdaP</w:t>
      </w:r>
      <w:r w:rsidR="00B01ABB">
        <w:rPr>
          <w:rFonts w:asciiTheme="majorHAnsi" w:hAnsiTheme="majorHAnsi" w:cstheme="majorHAnsi"/>
          <w:sz w:val="22"/>
          <w:szCs w:val="22"/>
          <w:vertAlign w:val="subscript"/>
        </w:rPr>
        <w:t>3</w:t>
      </w:r>
      <w:r w:rsidR="00B01ABB" w:rsidRPr="00A02936">
        <w:rPr>
          <w:rFonts w:asciiTheme="majorHAnsi" w:hAnsiTheme="majorHAnsi" w:cstheme="majorHAnsi"/>
          <w:sz w:val="22"/>
          <w:szCs w:val="22"/>
        </w:rPr>
        <w:t xml:space="preserve">-IPV </w:t>
      </w:r>
      <w:r w:rsidR="000E7CA5">
        <w:rPr>
          <w:rFonts w:asciiTheme="majorHAnsi" w:hAnsiTheme="majorHAnsi"/>
          <w:sz w:val="22"/>
          <w:szCs w:val="22"/>
        </w:rPr>
        <w:t>group</w:t>
      </w:r>
      <w:r w:rsidR="007542C2">
        <w:rPr>
          <w:rFonts w:asciiTheme="majorHAnsi" w:hAnsiTheme="majorHAnsi"/>
          <w:sz w:val="22"/>
          <w:szCs w:val="22"/>
        </w:rPr>
        <w:t>. T</w:t>
      </w:r>
      <w:r w:rsidR="00891AD9">
        <w:rPr>
          <w:rFonts w:asciiTheme="majorHAnsi" w:hAnsiTheme="majorHAnsi"/>
          <w:sz w:val="22"/>
          <w:szCs w:val="22"/>
        </w:rPr>
        <w:t xml:space="preserve">his </w:t>
      </w:r>
      <w:r w:rsidR="007542C2">
        <w:rPr>
          <w:rFonts w:asciiTheme="majorHAnsi" w:hAnsiTheme="majorHAnsi"/>
          <w:sz w:val="22"/>
          <w:szCs w:val="22"/>
        </w:rPr>
        <w:t>might reflect</w:t>
      </w:r>
      <w:r w:rsidR="00891AD9">
        <w:rPr>
          <w:rFonts w:asciiTheme="majorHAnsi" w:hAnsiTheme="majorHAnsi"/>
          <w:sz w:val="22"/>
          <w:szCs w:val="22"/>
        </w:rPr>
        <w:t xml:space="preserve"> </w:t>
      </w:r>
      <w:r w:rsidR="007542C2">
        <w:rPr>
          <w:rFonts w:asciiTheme="majorHAnsi" w:hAnsiTheme="majorHAnsi"/>
          <w:sz w:val="22"/>
          <w:szCs w:val="22"/>
        </w:rPr>
        <w:t xml:space="preserve">blunting due </w:t>
      </w:r>
      <w:r w:rsidR="006E7EF9">
        <w:rPr>
          <w:rFonts w:asciiTheme="majorHAnsi" w:hAnsiTheme="majorHAnsi"/>
          <w:sz w:val="22"/>
          <w:szCs w:val="22"/>
        </w:rPr>
        <w:t xml:space="preserve">to the </w:t>
      </w:r>
      <w:r w:rsidR="00891AD9">
        <w:rPr>
          <w:rFonts w:asciiTheme="majorHAnsi" w:hAnsiTheme="majorHAnsi"/>
          <w:sz w:val="22"/>
          <w:szCs w:val="22"/>
        </w:rPr>
        <w:t xml:space="preserve">higher level of PT antigen </w:t>
      </w:r>
      <w:r w:rsidR="006E7EF9">
        <w:rPr>
          <w:rFonts w:asciiTheme="majorHAnsi" w:hAnsiTheme="majorHAnsi"/>
          <w:sz w:val="22"/>
          <w:szCs w:val="22"/>
        </w:rPr>
        <w:t xml:space="preserve">contained </w:t>
      </w:r>
      <w:r w:rsidR="00891AD9">
        <w:rPr>
          <w:rFonts w:asciiTheme="majorHAnsi" w:hAnsiTheme="majorHAnsi"/>
          <w:sz w:val="22"/>
          <w:szCs w:val="22"/>
        </w:rPr>
        <w:t xml:space="preserve">in </w:t>
      </w:r>
      <w:bookmarkStart w:id="3" w:name="_Hlk112688484"/>
      <w:r w:rsidR="00B01ABB" w:rsidRPr="00A02936">
        <w:rPr>
          <w:rFonts w:asciiTheme="majorHAnsi" w:hAnsiTheme="majorHAnsi" w:cstheme="majorHAnsi"/>
          <w:sz w:val="22"/>
          <w:szCs w:val="22"/>
        </w:rPr>
        <w:t>TdaP</w:t>
      </w:r>
      <w:r w:rsidR="00B01ABB">
        <w:rPr>
          <w:rFonts w:asciiTheme="majorHAnsi" w:hAnsiTheme="majorHAnsi" w:cstheme="majorHAnsi"/>
          <w:sz w:val="22"/>
          <w:szCs w:val="22"/>
          <w:vertAlign w:val="subscript"/>
        </w:rPr>
        <w:t>3</w:t>
      </w:r>
      <w:r w:rsidR="00B01ABB" w:rsidRPr="00A02936">
        <w:rPr>
          <w:rFonts w:asciiTheme="majorHAnsi" w:hAnsiTheme="majorHAnsi" w:cstheme="majorHAnsi"/>
          <w:sz w:val="22"/>
          <w:szCs w:val="22"/>
        </w:rPr>
        <w:t>-IPV</w:t>
      </w:r>
      <w:r w:rsidR="00C46C21">
        <w:rPr>
          <w:rFonts w:asciiTheme="majorHAnsi" w:hAnsiTheme="majorHAnsi" w:cstheme="majorHAnsi"/>
          <w:sz w:val="22"/>
          <w:szCs w:val="22"/>
        </w:rPr>
        <w:t xml:space="preserve"> </w:t>
      </w:r>
      <w:bookmarkEnd w:id="3"/>
      <w:r w:rsidR="00C46C21">
        <w:rPr>
          <w:rFonts w:asciiTheme="majorHAnsi" w:hAnsiTheme="majorHAnsi" w:cstheme="majorHAnsi"/>
          <w:sz w:val="22"/>
          <w:szCs w:val="22"/>
        </w:rPr>
        <w:t xml:space="preserve">compared to </w:t>
      </w:r>
      <w:r w:rsidR="00C46C21" w:rsidRPr="00A02936">
        <w:rPr>
          <w:rFonts w:asciiTheme="majorHAnsi" w:hAnsiTheme="majorHAnsi" w:cstheme="majorHAnsi"/>
          <w:sz w:val="22"/>
          <w:szCs w:val="22"/>
        </w:rPr>
        <w:t>TdaP</w:t>
      </w:r>
      <w:r w:rsidR="00C46C21">
        <w:rPr>
          <w:rFonts w:asciiTheme="majorHAnsi" w:hAnsiTheme="majorHAnsi" w:cstheme="majorHAnsi"/>
          <w:sz w:val="22"/>
          <w:szCs w:val="22"/>
          <w:vertAlign w:val="subscript"/>
        </w:rPr>
        <w:t>5</w:t>
      </w:r>
      <w:r w:rsidR="00C46C21" w:rsidRPr="00A02936">
        <w:rPr>
          <w:rFonts w:asciiTheme="majorHAnsi" w:hAnsiTheme="majorHAnsi" w:cstheme="majorHAnsi"/>
          <w:sz w:val="22"/>
          <w:szCs w:val="22"/>
        </w:rPr>
        <w:t>-IPV</w:t>
      </w:r>
      <w:r w:rsidR="00891AD9">
        <w:rPr>
          <w:rFonts w:asciiTheme="majorHAnsi" w:hAnsiTheme="majorHAnsi"/>
          <w:sz w:val="22"/>
          <w:szCs w:val="22"/>
        </w:rPr>
        <w:t xml:space="preserve">. </w:t>
      </w:r>
      <w:bookmarkStart w:id="4" w:name="_Hlk112691023"/>
      <w:r w:rsidR="00322F93" w:rsidRPr="00086895">
        <w:rPr>
          <w:rFonts w:asciiTheme="majorHAnsi" w:hAnsiTheme="majorHAnsi" w:cstheme="majorHAnsi"/>
          <w:sz w:val="22"/>
          <w:szCs w:val="22"/>
        </w:rPr>
        <w:t xml:space="preserve">The clinical significance </w:t>
      </w:r>
      <w:r w:rsidR="00322F93">
        <w:rPr>
          <w:rFonts w:asciiTheme="majorHAnsi" w:hAnsiTheme="majorHAnsi" w:cstheme="majorHAnsi"/>
          <w:sz w:val="22"/>
          <w:szCs w:val="22"/>
        </w:rPr>
        <w:t>of lower pertussis antibody concentrations</w:t>
      </w:r>
      <w:r w:rsidR="00322F93" w:rsidRPr="00086895">
        <w:rPr>
          <w:rFonts w:asciiTheme="majorHAnsi" w:hAnsiTheme="majorHAnsi" w:cstheme="majorHAnsi"/>
          <w:sz w:val="22"/>
          <w:szCs w:val="22"/>
        </w:rPr>
        <w:t xml:space="preserve"> is uncertain, </w:t>
      </w:r>
      <w:r w:rsidR="00322F93">
        <w:rPr>
          <w:rFonts w:asciiTheme="majorHAnsi" w:hAnsiTheme="majorHAnsi" w:cstheme="majorHAnsi"/>
          <w:sz w:val="22"/>
          <w:szCs w:val="22"/>
        </w:rPr>
        <w:t>given the absence of a</w:t>
      </w:r>
      <w:r w:rsidR="00322F93" w:rsidRPr="00086895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322F93" w:rsidRPr="00086895">
        <w:rPr>
          <w:rFonts w:asciiTheme="majorHAnsi" w:hAnsiTheme="majorHAnsi" w:cstheme="majorHAnsi"/>
          <w:sz w:val="22"/>
          <w:szCs w:val="22"/>
        </w:rPr>
        <w:t>serocorrelate</w:t>
      </w:r>
      <w:proofErr w:type="spellEnd"/>
      <w:r w:rsidR="00322F93" w:rsidRPr="00086895">
        <w:rPr>
          <w:rFonts w:asciiTheme="majorHAnsi" w:hAnsiTheme="majorHAnsi" w:cstheme="majorHAnsi"/>
          <w:sz w:val="22"/>
          <w:szCs w:val="22"/>
        </w:rPr>
        <w:t xml:space="preserve"> </w:t>
      </w:r>
      <w:r w:rsidR="00322F93">
        <w:rPr>
          <w:rFonts w:asciiTheme="majorHAnsi" w:hAnsiTheme="majorHAnsi" w:cstheme="majorHAnsi"/>
          <w:sz w:val="22"/>
          <w:szCs w:val="22"/>
        </w:rPr>
        <w:t xml:space="preserve">of </w:t>
      </w:r>
      <w:r w:rsidR="00322F93" w:rsidRPr="00086895">
        <w:rPr>
          <w:rFonts w:asciiTheme="majorHAnsi" w:hAnsiTheme="majorHAnsi" w:cstheme="majorHAnsi"/>
          <w:sz w:val="22"/>
          <w:szCs w:val="22"/>
        </w:rPr>
        <w:t>protecti</w:t>
      </w:r>
      <w:r w:rsidR="00322F93">
        <w:rPr>
          <w:rFonts w:asciiTheme="majorHAnsi" w:hAnsiTheme="majorHAnsi" w:cstheme="majorHAnsi"/>
          <w:sz w:val="22"/>
          <w:szCs w:val="22"/>
        </w:rPr>
        <w:t>on for</w:t>
      </w:r>
      <w:r w:rsidR="00322F93" w:rsidRPr="00086895">
        <w:rPr>
          <w:rFonts w:asciiTheme="majorHAnsi" w:hAnsiTheme="majorHAnsi" w:cstheme="majorHAnsi"/>
          <w:sz w:val="22"/>
          <w:szCs w:val="22"/>
        </w:rPr>
        <w:t xml:space="preserve"> pertussis.</w:t>
      </w:r>
      <w:bookmarkEnd w:id="4"/>
      <w:r w:rsidR="00322F93" w:rsidRPr="00086895">
        <w:rPr>
          <w:rFonts w:asciiTheme="majorHAnsi" w:hAnsiTheme="majorHAnsi" w:cstheme="majorHAnsi"/>
          <w:sz w:val="22"/>
          <w:szCs w:val="22"/>
        </w:rPr>
        <w:t xml:space="preserve"> </w:t>
      </w:r>
      <w:r w:rsidR="009A7E8E">
        <w:rPr>
          <w:rFonts w:asciiTheme="majorHAnsi" w:hAnsiTheme="majorHAnsi" w:cstheme="majorHAnsi"/>
          <w:sz w:val="22"/>
          <w:szCs w:val="22"/>
        </w:rPr>
        <w:t>N</w:t>
      </w:r>
      <w:r w:rsidR="00322F93" w:rsidRPr="00086895">
        <w:rPr>
          <w:rFonts w:asciiTheme="majorHAnsi" w:hAnsiTheme="majorHAnsi" w:cstheme="majorHAnsi"/>
          <w:sz w:val="22"/>
          <w:szCs w:val="22"/>
        </w:rPr>
        <w:t xml:space="preserve">one of </w:t>
      </w:r>
      <w:r w:rsidR="00322F93">
        <w:rPr>
          <w:rFonts w:asciiTheme="majorHAnsi" w:hAnsiTheme="majorHAnsi" w:cstheme="majorHAnsi"/>
          <w:sz w:val="22"/>
          <w:szCs w:val="22"/>
        </w:rPr>
        <w:t xml:space="preserve">the </w:t>
      </w:r>
      <w:r w:rsidR="00322F93" w:rsidRPr="00086895">
        <w:rPr>
          <w:rFonts w:asciiTheme="majorHAnsi" w:hAnsiTheme="majorHAnsi" w:cstheme="majorHAnsi"/>
          <w:sz w:val="22"/>
          <w:szCs w:val="22"/>
        </w:rPr>
        <w:t>participants were reported to have had confirmed or suspected pertussis disease</w:t>
      </w:r>
      <w:r w:rsidR="00322F93">
        <w:rPr>
          <w:rFonts w:asciiTheme="majorHAnsi" w:hAnsiTheme="majorHAnsi" w:cstheme="majorHAnsi"/>
          <w:sz w:val="22"/>
          <w:szCs w:val="22"/>
        </w:rPr>
        <w:t xml:space="preserve"> at any time</w:t>
      </w:r>
      <w:r w:rsidR="00322F93" w:rsidRPr="00086895">
        <w:rPr>
          <w:rFonts w:asciiTheme="majorHAnsi" w:hAnsiTheme="majorHAnsi" w:cstheme="majorHAnsi"/>
          <w:sz w:val="22"/>
          <w:szCs w:val="22"/>
        </w:rPr>
        <w:t xml:space="preserve">. </w:t>
      </w:r>
      <w:r w:rsidR="00322F93">
        <w:rPr>
          <w:rFonts w:asciiTheme="majorHAnsi" w:hAnsiTheme="majorHAnsi" w:cstheme="majorHAnsi"/>
          <w:sz w:val="22"/>
          <w:szCs w:val="22"/>
        </w:rPr>
        <w:t>National surveillance data has</w:t>
      </w:r>
      <w:r w:rsidR="00322F93" w:rsidRPr="00A26AF8">
        <w:rPr>
          <w:rFonts w:asciiTheme="majorHAnsi" w:hAnsiTheme="majorHAnsi" w:cstheme="majorHAnsi"/>
          <w:sz w:val="22"/>
          <w:szCs w:val="22"/>
        </w:rPr>
        <w:t xml:space="preserve"> </w:t>
      </w:r>
      <w:r w:rsidR="00322F93">
        <w:rPr>
          <w:rFonts w:asciiTheme="majorHAnsi" w:hAnsiTheme="majorHAnsi" w:cstheme="majorHAnsi"/>
          <w:sz w:val="22"/>
          <w:szCs w:val="22"/>
        </w:rPr>
        <w:t xml:space="preserve">also </w:t>
      </w:r>
      <w:r w:rsidR="00322F93" w:rsidRPr="00A26AF8">
        <w:rPr>
          <w:rFonts w:asciiTheme="majorHAnsi" w:hAnsiTheme="majorHAnsi" w:cstheme="majorHAnsi"/>
          <w:sz w:val="22"/>
          <w:szCs w:val="22"/>
        </w:rPr>
        <w:t>not show</w:t>
      </w:r>
      <w:r w:rsidR="00322F93">
        <w:rPr>
          <w:rFonts w:asciiTheme="majorHAnsi" w:hAnsiTheme="majorHAnsi" w:cstheme="majorHAnsi"/>
          <w:sz w:val="22"/>
          <w:szCs w:val="22"/>
        </w:rPr>
        <w:t>n</w:t>
      </w:r>
      <w:r w:rsidR="00322F93" w:rsidRPr="00A26AF8">
        <w:rPr>
          <w:rFonts w:asciiTheme="majorHAnsi" w:hAnsiTheme="majorHAnsi" w:cstheme="majorHAnsi"/>
          <w:sz w:val="22"/>
          <w:szCs w:val="22"/>
        </w:rPr>
        <w:t xml:space="preserve"> an</w:t>
      </w:r>
      <w:r w:rsidR="00322F93">
        <w:rPr>
          <w:rFonts w:asciiTheme="majorHAnsi" w:hAnsiTheme="majorHAnsi" w:cstheme="majorHAnsi"/>
          <w:sz w:val="22"/>
          <w:szCs w:val="22"/>
        </w:rPr>
        <w:t>y</w:t>
      </w:r>
      <w:r w:rsidR="00322F93" w:rsidRPr="00A26AF8">
        <w:rPr>
          <w:rFonts w:asciiTheme="majorHAnsi" w:hAnsiTheme="majorHAnsi" w:cstheme="majorHAnsi"/>
          <w:sz w:val="22"/>
          <w:szCs w:val="22"/>
        </w:rPr>
        <w:t xml:space="preserve"> excess </w:t>
      </w:r>
      <w:r w:rsidR="00322F93">
        <w:rPr>
          <w:rFonts w:asciiTheme="majorHAnsi" w:hAnsiTheme="majorHAnsi" w:cstheme="majorHAnsi"/>
          <w:sz w:val="22"/>
          <w:szCs w:val="22"/>
        </w:rPr>
        <w:t>in later cases of disease in infants born to vaccinated mothers</w:t>
      </w:r>
      <w:r w:rsidR="00322F93">
        <w:rPr>
          <w:rFonts w:asciiTheme="majorHAnsi" w:hAnsiTheme="majorHAnsi" w:cstheme="majorHAnsi"/>
          <w:sz w:val="22"/>
          <w:szCs w:val="22"/>
          <w:vertAlign w:val="superscript"/>
        </w:rPr>
        <w:t>2</w:t>
      </w:r>
      <w:r w:rsidR="00322F93">
        <w:rPr>
          <w:rFonts w:asciiTheme="majorHAnsi" w:hAnsiTheme="majorHAnsi" w:cstheme="majorHAnsi"/>
          <w:sz w:val="22"/>
          <w:szCs w:val="22"/>
        </w:rPr>
        <w:t xml:space="preserve">. However, it is </w:t>
      </w:r>
      <w:r w:rsidR="006E7EF9">
        <w:rPr>
          <w:rFonts w:asciiTheme="majorHAnsi" w:hAnsiTheme="majorHAnsi" w:cstheme="majorHAnsi"/>
          <w:sz w:val="22"/>
          <w:szCs w:val="22"/>
        </w:rPr>
        <w:t>notable</w:t>
      </w:r>
      <w:r w:rsidR="00322F93">
        <w:rPr>
          <w:rFonts w:asciiTheme="majorHAnsi" w:hAnsiTheme="majorHAnsi" w:cstheme="majorHAnsi"/>
          <w:sz w:val="22"/>
          <w:szCs w:val="22"/>
        </w:rPr>
        <w:t xml:space="preserve"> that three of the </w:t>
      </w:r>
      <w:r w:rsidR="00322F93">
        <w:rPr>
          <w:rFonts w:asciiTheme="majorHAnsi" w:hAnsiTheme="majorHAnsi" w:cstheme="majorHAnsi"/>
          <w:sz w:val="22"/>
          <w:szCs w:val="22"/>
        </w:rPr>
        <w:lastRenderedPageBreak/>
        <w:t xml:space="preserve">four children who displayed an increase in their anti-PT IgG GMCs between 13 months and 3 years 4 months were </w:t>
      </w:r>
      <w:r w:rsidR="006E7EF9">
        <w:rPr>
          <w:rFonts w:asciiTheme="majorHAnsi" w:hAnsiTheme="majorHAnsi" w:cstheme="majorHAnsi"/>
          <w:sz w:val="22"/>
          <w:szCs w:val="22"/>
        </w:rPr>
        <w:t>born to unvaccinated women</w:t>
      </w:r>
      <w:r w:rsidR="00322F93">
        <w:rPr>
          <w:rFonts w:asciiTheme="majorHAnsi" w:hAnsiTheme="majorHAnsi" w:cstheme="majorHAnsi"/>
          <w:sz w:val="22"/>
          <w:szCs w:val="22"/>
        </w:rPr>
        <w:t xml:space="preserve">, which could suggest that unrecognised pertussis infection may have occurred more frequently in this group and could explain their generally </w:t>
      </w:r>
      <w:r w:rsidR="00322F93" w:rsidRPr="00B71D82">
        <w:rPr>
          <w:rFonts w:asciiTheme="majorHAnsi" w:hAnsiTheme="majorHAnsi"/>
          <w:sz w:val="22"/>
          <w:szCs w:val="22"/>
        </w:rPr>
        <w:t xml:space="preserve">higher </w:t>
      </w:r>
      <w:r w:rsidR="00322F93">
        <w:rPr>
          <w:rFonts w:asciiTheme="majorHAnsi" w:hAnsiTheme="majorHAnsi"/>
          <w:sz w:val="22"/>
          <w:szCs w:val="22"/>
        </w:rPr>
        <w:t>pertussis antibody concentrations; this interpretation however must be taken with caution in view of the small number of children concerned.</w:t>
      </w:r>
      <w:r w:rsidR="00322F93" w:rsidRPr="00B71D82">
        <w:rPr>
          <w:rFonts w:asciiTheme="majorHAnsi" w:hAnsiTheme="majorHAnsi"/>
          <w:sz w:val="22"/>
          <w:szCs w:val="22"/>
        </w:rPr>
        <w:t xml:space="preserve"> </w:t>
      </w:r>
      <w:r w:rsidR="00952CB9">
        <w:rPr>
          <w:rFonts w:asciiTheme="majorHAnsi" w:hAnsiTheme="majorHAnsi"/>
          <w:sz w:val="22"/>
          <w:szCs w:val="22"/>
        </w:rPr>
        <w:t>T</w:t>
      </w:r>
      <w:r w:rsidR="00E03385">
        <w:rPr>
          <w:rFonts w:asciiTheme="majorHAnsi" w:hAnsiTheme="majorHAnsi"/>
          <w:sz w:val="22"/>
          <w:szCs w:val="22"/>
        </w:rPr>
        <w:t>he lower pertussis-specific antibody response</w:t>
      </w:r>
      <w:r w:rsidR="006E7EF9">
        <w:rPr>
          <w:rFonts w:asciiTheme="majorHAnsi" w:hAnsiTheme="majorHAnsi"/>
          <w:sz w:val="22"/>
          <w:szCs w:val="22"/>
        </w:rPr>
        <w:t>s</w:t>
      </w:r>
      <w:r w:rsidR="00E03385">
        <w:rPr>
          <w:rFonts w:asciiTheme="majorHAnsi" w:hAnsiTheme="majorHAnsi"/>
          <w:sz w:val="22"/>
          <w:szCs w:val="22"/>
        </w:rPr>
        <w:t xml:space="preserve"> </w:t>
      </w:r>
      <w:r w:rsidR="00AE7167">
        <w:rPr>
          <w:rFonts w:asciiTheme="majorHAnsi" w:hAnsiTheme="majorHAnsi"/>
          <w:sz w:val="22"/>
          <w:szCs w:val="22"/>
        </w:rPr>
        <w:t>to PT</w:t>
      </w:r>
      <w:r w:rsidR="00865C74">
        <w:rPr>
          <w:rFonts w:asciiTheme="majorHAnsi" w:hAnsiTheme="majorHAnsi"/>
          <w:sz w:val="22"/>
          <w:szCs w:val="22"/>
        </w:rPr>
        <w:t xml:space="preserve"> </w:t>
      </w:r>
      <w:r w:rsidR="00E03385">
        <w:rPr>
          <w:rFonts w:asciiTheme="majorHAnsi" w:hAnsiTheme="majorHAnsi"/>
          <w:sz w:val="22"/>
          <w:szCs w:val="22"/>
        </w:rPr>
        <w:t xml:space="preserve">in the antenatally vaccinated </w:t>
      </w:r>
      <w:r w:rsidR="002C01F0" w:rsidRPr="002C01F0">
        <w:rPr>
          <w:rFonts w:asciiTheme="majorHAnsi" w:hAnsiTheme="majorHAnsi"/>
          <w:sz w:val="22"/>
          <w:szCs w:val="22"/>
        </w:rPr>
        <w:t xml:space="preserve">TdaP3-IPV </w:t>
      </w:r>
      <w:r w:rsidR="00865C74">
        <w:rPr>
          <w:rFonts w:asciiTheme="majorHAnsi" w:hAnsiTheme="majorHAnsi"/>
          <w:sz w:val="22"/>
          <w:szCs w:val="22"/>
        </w:rPr>
        <w:t>group when</w:t>
      </w:r>
      <w:r w:rsidR="002C01F0">
        <w:rPr>
          <w:rFonts w:asciiTheme="majorHAnsi" w:hAnsiTheme="majorHAnsi"/>
          <w:sz w:val="22"/>
          <w:szCs w:val="22"/>
        </w:rPr>
        <w:t xml:space="preserve"> compared to the unvaccinated group </w:t>
      </w:r>
      <w:r w:rsidR="00952CB9">
        <w:rPr>
          <w:rFonts w:asciiTheme="majorHAnsi" w:hAnsiTheme="majorHAnsi"/>
          <w:sz w:val="22"/>
          <w:szCs w:val="22"/>
        </w:rPr>
        <w:t>may</w:t>
      </w:r>
      <w:r w:rsidR="006E7EF9">
        <w:rPr>
          <w:rFonts w:asciiTheme="majorHAnsi" w:hAnsiTheme="majorHAnsi"/>
          <w:sz w:val="22"/>
          <w:szCs w:val="22"/>
        </w:rPr>
        <w:t xml:space="preserve"> </w:t>
      </w:r>
      <w:bookmarkStart w:id="5" w:name="_Hlk112691373"/>
      <w:r w:rsidR="006E7EF9">
        <w:rPr>
          <w:rFonts w:asciiTheme="majorHAnsi" w:hAnsiTheme="majorHAnsi"/>
          <w:sz w:val="22"/>
          <w:szCs w:val="22"/>
        </w:rPr>
        <w:t xml:space="preserve">support </w:t>
      </w:r>
      <w:r w:rsidR="00E03385">
        <w:rPr>
          <w:rFonts w:asciiTheme="majorHAnsi" w:hAnsiTheme="majorHAnsi"/>
          <w:sz w:val="22"/>
          <w:szCs w:val="22"/>
        </w:rPr>
        <w:t>an argument for a</w:t>
      </w:r>
      <w:r w:rsidR="006E7EF9">
        <w:rPr>
          <w:rFonts w:asciiTheme="majorHAnsi" w:hAnsiTheme="majorHAnsi"/>
          <w:sz w:val="22"/>
          <w:szCs w:val="22"/>
        </w:rPr>
        <w:t>n earlier</w:t>
      </w:r>
      <w:r w:rsidR="00E03385">
        <w:rPr>
          <w:rFonts w:asciiTheme="majorHAnsi" w:hAnsiTheme="majorHAnsi"/>
          <w:sz w:val="22"/>
          <w:szCs w:val="22"/>
        </w:rPr>
        <w:t xml:space="preserve"> pertussis booster dos</w:t>
      </w:r>
      <w:bookmarkEnd w:id="5"/>
      <w:r w:rsidR="00E03385">
        <w:rPr>
          <w:rFonts w:asciiTheme="majorHAnsi" w:hAnsiTheme="majorHAnsi"/>
          <w:sz w:val="22"/>
          <w:szCs w:val="22"/>
        </w:rPr>
        <w:t>e</w:t>
      </w:r>
      <w:r w:rsidR="00BA080E">
        <w:rPr>
          <w:rFonts w:asciiTheme="majorHAnsi" w:hAnsiTheme="majorHAnsi"/>
          <w:sz w:val="22"/>
          <w:szCs w:val="22"/>
        </w:rPr>
        <w:t>, such as in the second year of life</w:t>
      </w:r>
      <w:r w:rsidR="00AE7167">
        <w:rPr>
          <w:rFonts w:asciiTheme="majorHAnsi" w:hAnsiTheme="majorHAnsi"/>
          <w:sz w:val="22"/>
          <w:szCs w:val="22"/>
        </w:rPr>
        <w:t>.</w:t>
      </w:r>
      <w:r w:rsidR="00B175E7">
        <w:rPr>
          <w:rFonts w:asciiTheme="majorHAnsi" w:hAnsiTheme="majorHAnsi"/>
          <w:sz w:val="22"/>
          <w:szCs w:val="22"/>
        </w:rPr>
        <w:t xml:space="preserve"> Such a decision would need to be based on robust epidemiological data</w:t>
      </w:r>
      <w:r w:rsidR="00E03385">
        <w:rPr>
          <w:rFonts w:asciiTheme="majorHAnsi" w:hAnsiTheme="majorHAnsi"/>
          <w:sz w:val="22"/>
          <w:szCs w:val="22"/>
        </w:rPr>
        <w:t>.</w:t>
      </w:r>
    </w:p>
    <w:p w14:paraId="42CF5EC0" w14:textId="77777777" w:rsidR="00322F93" w:rsidRDefault="00322F93" w:rsidP="00322F93">
      <w:pPr>
        <w:spacing w:line="480" w:lineRule="auto"/>
        <w:rPr>
          <w:rFonts w:asciiTheme="majorHAnsi" w:hAnsiTheme="majorHAnsi" w:cstheme="majorHAnsi"/>
          <w:sz w:val="22"/>
          <w:szCs w:val="22"/>
        </w:rPr>
      </w:pPr>
    </w:p>
    <w:p w14:paraId="2379243D" w14:textId="248D4EFD" w:rsidR="00322F93" w:rsidRDefault="001F6B78" w:rsidP="00EF52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 presence </w:t>
      </w:r>
      <w:r w:rsidR="00984706">
        <w:rPr>
          <w:rFonts w:asciiTheme="majorHAnsi" w:hAnsiTheme="majorHAnsi" w:cstheme="majorHAnsi"/>
          <w:sz w:val="22"/>
          <w:szCs w:val="22"/>
        </w:rPr>
        <w:t xml:space="preserve">or absence </w:t>
      </w:r>
      <w:r w:rsidR="008250FD" w:rsidRPr="00086895">
        <w:rPr>
          <w:rFonts w:asciiTheme="majorHAnsi" w:hAnsiTheme="majorHAnsi" w:cstheme="majorHAnsi"/>
          <w:sz w:val="22"/>
          <w:szCs w:val="22"/>
        </w:rPr>
        <w:t xml:space="preserve">of FIM antigen in </w:t>
      </w:r>
      <w:r w:rsidR="00A83FD8">
        <w:rPr>
          <w:rFonts w:asciiTheme="majorHAnsi" w:hAnsiTheme="majorHAnsi" w:cstheme="majorHAnsi"/>
          <w:sz w:val="22"/>
          <w:szCs w:val="22"/>
        </w:rPr>
        <w:t>a</w:t>
      </w:r>
      <w:r w:rsidR="00984706">
        <w:rPr>
          <w:rFonts w:asciiTheme="majorHAnsi" w:hAnsiTheme="majorHAnsi" w:cstheme="majorHAnsi"/>
          <w:sz w:val="22"/>
          <w:szCs w:val="22"/>
        </w:rPr>
        <w:t xml:space="preserve"> pertussis-containing </w:t>
      </w:r>
      <w:r w:rsidR="00A83FD8">
        <w:rPr>
          <w:rFonts w:asciiTheme="majorHAnsi" w:hAnsiTheme="majorHAnsi" w:cstheme="majorHAnsi"/>
          <w:sz w:val="22"/>
          <w:szCs w:val="22"/>
        </w:rPr>
        <w:t xml:space="preserve">antenatal </w:t>
      </w:r>
      <w:r w:rsidR="00984706">
        <w:rPr>
          <w:rFonts w:asciiTheme="majorHAnsi" w:hAnsiTheme="majorHAnsi" w:cstheme="majorHAnsi"/>
          <w:sz w:val="22"/>
          <w:szCs w:val="22"/>
        </w:rPr>
        <w:t>vaccine</w:t>
      </w:r>
      <w:r w:rsidR="004958FC">
        <w:rPr>
          <w:rFonts w:asciiTheme="majorHAnsi" w:hAnsiTheme="majorHAnsi" w:cstheme="majorHAnsi"/>
          <w:sz w:val="22"/>
          <w:szCs w:val="22"/>
        </w:rPr>
        <w:t xml:space="preserve"> received by the vaccinated women</w:t>
      </w:r>
      <w:r w:rsidR="00984706">
        <w:rPr>
          <w:rFonts w:asciiTheme="majorHAnsi" w:hAnsiTheme="majorHAnsi" w:cstheme="majorHAnsi"/>
          <w:sz w:val="22"/>
          <w:szCs w:val="22"/>
        </w:rPr>
        <w:t xml:space="preserve"> </w:t>
      </w:r>
      <w:r w:rsidR="00317529">
        <w:rPr>
          <w:rFonts w:asciiTheme="majorHAnsi" w:hAnsiTheme="majorHAnsi"/>
          <w:sz w:val="22"/>
          <w:szCs w:val="22"/>
        </w:rPr>
        <w:t>did not appear to have</w:t>
      </w:r>
      <w:r w:rsidR="00322F93">
        <w:rPr>
          <w:rFonts w:asciiTheme="majorHAnsi" w:hAnsiTheme="majorHAnsi"/>
          <w:sz w:val="22"/>
          <w:szCs w:val="22"/>
        </w:rPr>
        <w:t xml:space="preserve"> any statistically significant </w:t>
      </w:r>
      <w:r w:rsidR="00317529">
        <w:rPr>
          <w:rFonts w:asciiTheme="majorHAnsi" w:hAnsiTheme="majorHAnsi"/>
          <w:sz w:val="22"/>
          <w:szCs w:val="22"/>
        </w:rPr>
        <w:t>impact on</w:t>
      </w:r>
      <w:r w:rsidR="00322F93">
        <w:rPr>
          <w:rFonts w:asciiTheme="majorHAnsi" w:hAnsiTheme="majorHAnsi"/>
          <w:sz w:val="22"/>
          <w:szCs w:val="22"/>
        </w:rPr>
        <w:t xml:space="preserve"> the l</w:t>
      </w:r>
      <w:r w:rsidR="00322F93">
        <w:rPr>
          <w:rFonts w:asciiTheme="majorHAnsi" w:hAnsiTheme="majorHAnsi" w:cstheme="majorHAnsi"/>
          <w:sz w:val="22"/>
          <w:szCs w:val="22"/>
        </w:rPr>
        <w:t xml:space="preserve">evel of </w:t>
      </w:r>
      <w:r w:rsidR="008250FD" w:rsidRPr="00086895">
        <w:rPr>
          <w:rFonts w:asciiTheme="majorHAnsi" w:hAnsiTheme="majorHAnsi" w:cstheme="majorHAnsi"/>
          <w:sz w:val="22"/>
          <w:szCs w:val="22"/>
        </w:rPr>
        <w:t xml:space="preserve">anti-FIM IgG GMCs </w:t>
      </w:r>
      <w:r w:rsidR="00322F93">
        <w:rPr>
          <w:rFonts w:asciiTheme="majorHAnsi" w:hAnsiTheme="majorHAnsi" w:cstheme="majorHAnsi"/>
          <w:sz w:val="22"/>
          <w:szCs w:val="22"/>
        </w:rPr>
        <w:t>in the</w:t>
      </w:r>
      <w:r w:rsidR="004958FC">
        <w:rPr>
          <w:rFonts w:asciiTheme="majorHAnsi" w:hAnsiTheme="majorHAnsi" w:cstheme="majorHAnsi"/>
          <w:sz w:val="22"/>
          <w:szCs w:val="22"/>
        </w:rPr>
        <w:t>ir</w:t>
      </w:r>
      <w:r w:rsidR="00322F93">
        <w:rPr>
          <w:rFonts w:asciiTheme="majorHAnsi" w:hAnsiTheme="majorHAnsi" w:cstheme="majorHAnsi"/>
          <w:sz w:val="22"/>
          <w:szCs w:val="22"/>
        </w:rPr>
        <w:t xml:space="preserve"> children.</w:t>
      </w:r>
    </w:p>
    <w:p w14:paraId="718CF161" w14:textId="77777777" w:rsidR="00D9226A" w:rsidRDefault="00D9226A" w:rsidP="001557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</w:p>
    <w:p w14:paraId="33084513" w14:textId="733EBB38" w:rsidR="00331D4A" w:rsidRDefault="00583068" w:rsidP="001557AE">
      <w:pPr>
        <w:spacing w:line="480" w:lineRule="auto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</w:t>
      </w:r>
      <w:r w:rsidR="00E63214" w:rsidRPr="00086895">
        <w:rPr>
          <w:rFonts w:asciiTheme="majorHAnsi" w:hAnsiTheme="majorHAnsi" w:cstheme="majorHAnsi"/>
          <w:sz w:val="22"/>
          <w:szCs w:val="22"/>
        </w:rPr>
        <w:t xml:space="preserve">everal studies </w:t>
      </w:r>
      <w:r w:rsidR="00D7422D" w:rsidRPr="00086895">
        <w:rPr>
          <w:rFonts w:asciiTheme="majorHAnsi" w:hAnsiTheme="majorHAnsi" w:cstheme="majorHAnsi"/>
          <w:sz w:val="22"/>
          <w:szCs w:val="22"/>
        </w:rPr>
        <w:t xml:space="preserve">have </w:t>
      </w:r>
      <w:r w:rsidR="00E63214" w:rsidRPr="00086895">
        <w:rPr>
          <w:rFonts w:asciiTheme="majorHAnsi" w:hAnsiTheme="majorHAnsi" w:cstheme="majorHAnsi"/>
          <w:sz w:val="22"/>
          <w:szCs w:val="22"/>
        </w:rPr>
        <w:t xml:space="preserve">looked at the influence of antenatal pertussis vaccination on children’s antibody response in the first </w:t>
      </w:r>
      <w:r w:rsidR="00865C74">
        <w:rPr>
          <w:rFonts w:asciiTheme="majorHAnsi" w:hAnsiTheme="majorHAnsi" w:cstheme="majorHAnsi"/>
          <w:sz w:val="22"/>
          <w:szCs w:val="22"/>
        </w:rPr>
        <w:t>two</w:t>
      </w:r>
      <w:r w:rsidR="00A142BD">
        <w:rPr>
          <w:rFonts w:asciiTheme="majorHAnsi" w:hAnsiTheme="majorHAnsi" w:cstheme="majorHAnsi"/>
          <w:sz w:val="22"/>
          <w:szCs w:val="22"/>
        </w:rPr>
        <w:t xml:space="preserve"> </w:t>
      </w:r>
      <w:r w:rsidR="00E63214" w:rsidRPr="00086895">
        <w:rPr>
          <w:rFonts w:asciiTheme="majorHAnsi" w:hAnsiTheme="majorHAnsi" w:cstheme="majorHAnsi"/>
          <w:sz w:val="22"/>
          <w:szCs w:val="22"/>
        </w:rPr>
        <w:t>year</w:t>
      </w:r>
      <w:r w:rsidR="00A142BD">
        <w:rPr>
          <w:rFonts w:asciiTheme="majorHAnsi" w:hAnsiTheme="majorHAnsi" w:cstheme="majorHAnsi"/>
          <w:sz w:val="22"/>
          <w:szCs w:val="22"/>
        </w:rPr>
        <w:t>s</w:t>
      </w:r>
      <w:r w:rsidR="00E63214" w:rsidRPr="00086895">
        <w:rPr>
          <w:rFonts w:asciiTheme="majorHAnsi" w:hAnsiTheme="majorHAnsi" w:cstheme="majorHAnsi"/>
          <w:sz w:val="22"/>
          <w:szCs w:val="22"/>
        </w:rPr>
        <w:t xml:space="preserve"> of life</w:t>
      </w:r>
      <w:r w:rsidR="00183C3B">
        <w:rPr>
          <w:rFonts w:asciiTheme="majorHAnsi" w:hAnsiTheme="majorHAnsi" w:cstheme="majorHAnsi"/>
          <w:sz w:val="22"/>
          <w:szCs w:val="22"/>
        </w:rPr>
        <w:t>, including some</w:t>
      </w:r>
      <w:r w:rsidR="00026154">
        <w:rPr>
          <w:rFonts w:asciiTheme="majorHAnsi" w:hAnsiTheme="majorHAnsi" w:cstheme="majorHAnsi"/>
          <w:sz w:val="22"/>
          <w:szCs w:val="22"/>
        </w:rPr>
        <w:t xml:space="preserve"> </w:t>
      </w:r>
      <w:r w:rsidR="00183C3B">
        <w:rPr>
          <w:rFonts w:asciiTheme="majorHAnsi" w:hAnsiTheme="majorHAnsi" w:cstheme="majorHAnsi"/>
          <w:sz w:val="22"/>
          <w:szCs w:val="22"/>
        </w:rPr>
        <w:t xml:space="preserve">that have shown blunting post-primary </w:t>
      </w:r>
      <w:r w:rsidR="00A142BD">
        <w:rPr>
          <w:rFonts w:asciiTheme="majorHAnsi" w:hAnsiTheme="majorHAnsi" w:cstheme="majorHAnsi"/>
          <w:sz w:val="22"/>
          <w:szCs w:val="22"/>
        </w:rPr>
        <w:t xml:space="preserve">and post-booster </w:t>
      </w:r>
      <w:r w:rsidR="00183C3B">
        <w:rPr>
          <w:rFonts w:asciiTheme="majorHAnsi" w:hAnsiTheme="majorHAnsi" w:cstheme="majorHAnsi"/>
          <w:sz w:val="22"/>
          <w:szCs w:val="22"/>
        </w:rPr>
        <w:t>immunisation</w:t>
      </w:r>
      <w:r w:rsidR="003B6DDA">
        <w:rPr>
          <w:rFonts w:asciiTheme="majorHAnsi" w:hAnsiTheme="majorHAnsi" w:cstheme="majorHAnsi"/>
          <w:sz w:val="22"/>
          <w:szCs w:val="22"/>
          <w:vertAlign w:val="superscript"/>
        </w:rPr>
        <w:t>5</w:t>
      </w:r>
      <w:r w:rsidR="00C815CF">
        <w:rPr>
          <w:rFonts w:asciiTheme="majorHAnsi" w:hAnsiTheme="majorHAnsi" w:cstheme="majorHAnsi"/>
          <w:sz w:val="22"/>
          <w:szCs w:val="22"/>
          <w:vertAlign w:val="superscript"/>
        </w:rPr>
        <w:t>,</w:t>
      </w:r>
      <w:r w:rsidR="004409E8">
        <w:rPr>
          <w:rFonts w:asciiTheme="majorHAnsi" w:hAnsiTheme="majorHAnsi" w:cstheme="majorHAnsi"/>
          <w:sz w:val="22"/>
          <w:szCs w:val="22"/>
          <w:vertAlign w:val="superscript"/>
        </w:rPr>
        <w:t>7</w:t>
      </w:r>
      <w:r w:rsidR="00C815CF">
        <w:rPr>
          <w:rFonts w:asciiTheme="majorHAnsi" w:hAnsiTheme="majorHAnsi" w:cstheme="majorHAnsi"/>
          <w:sz w:val="22"/>
          <w:szCs w:val="22"/>
          <w:vertAlign w:val="superscript"/>
        </w:rPr>
        <w:t>-1</w:t>
      </w:r>
      <w:r w:rsidR="004409E8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860FFA">
        <w:rPr>
          <w:rFonts w:asciiTheme="majorHAnsi" w:hAnsiTheme="majorHAnsi" w:cstheme="majorHAnsi"/>
          <w:sz w:val="22"/>
          <w:szCs w:val="22"/>
          <w:vertAlign w:val="superscript"/>
        </w:rPr>
        <w:t>,</w:t>
      </w:r>
      <w:r w:rsidR="00C166F9">
        <w:rPr>
          <w:rFonts w:asciiTheme="majorHAnsi" w:hAnsiTheme="majorHAnsi" w:cstheme="majorHAnsi"/>
          <w:sz w:val="22"/>
          <w:szCs w:val="22"/>
          <w:vertAlign w:val="superscript"/>
        </w:rPr>
        <w:t>15,16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. We identified one study </w:t>
      </w:r>
      <w:r w:rsidR="00B12F76" w:rsidRPr="00086895">
        <w:rPr>
          <w:rFonts w:asciiTheme="majorHAnsi" w:hAnsiTheme="majorHAnsi" w:cstheme="majorHAnsi"/>
          <w:sz w:val="22"/>
          <w:szCs w:val="22"/>
        </w:rPr>
        <w:t xml:space="preserve">performed in Belgium 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that </w:t>
      </w:r>
      <w:r w:rsidR="00D7422D" w:rsidRPr="00086895">
        <w:rPr>
          <w:rFonts w:asciiTheme="majorHAnsi" w:hAnsiTheme="majorHAnsi" w:cstheme="majorHAnsi"/>
          <w:sz w:val="22"/>
          <w:szCs w:val="22"/>
        </w:rPr>
        <w:t>look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ed </w:t>
      </w:r>
      <w:r w:rsidR="00D7422D" w:rsidRPr="00086895">
        <w:rPr>
          <w:rFonts w:asciiTheme="majorHAnsi" w:hAnsiTheme="majorHAnsi" w:cstheme="majorHAnsi"/>
          <w:sz w:val="22"/>
          <w:szCs w:val="22"/>
        </w:rPr>
        <w:t>beyond the first year of life</w:t>
      </w:r>
      <w:r w:rsidR="00B12F76" w:rsidRPr="00086895">
        <w:rPr>
          <w:rFonts w:asciiTheme="majorHAnsi" w:hAnsiTheme="majorHAnsi" w:cstheme="majorHAnsi"/>
          <w:sz w:val="22"/>
          <w:szCs w:val="22"/>
        </w:rPr>
        <w:t xml:space="preserve"> 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at </w:t>
      </w:r>
      <w:r w:rsidR="00D7422D" w:rsidRPr="00086895">
        <w:rPr>
          <w:rFonts w:asciiTheme="majorHAnsi" w:hAnsiTheme="majorHAnsi" w:cstheme="majorHAnsi"/>
          <w:sz w:val="22"/>
          <w:szCs w:val="22"/>
        </w:rPr>
        <w:t>age 15 months</w:t>
      </w:r>
      <w:r w:rsidR="00B12F76" w:rsidRPr="00086895">
        <w:rPr>
          <w:rFonts w:asciiTheme="majorHAnsi" w:hAnsiTheme="majorHAnsi" w:cstheme="majorHAnsi"/>
          <w:sz w:val="22"/>
          <w:szCs w:val="22"/>
        </w:rPr>
        <w:t xml:space="preserve">, </w:t>
      </w:r>
      <w:r w:rsidR="00026154">
        <w:rPr>
          <w:rFonts w:asciiTheme="majorHAnsi" w:hAnsiTheme="majorHAnsi" w:cstheme="majorHAnsi"/>
          <w:sz w:val="22"/>
          <w:szCs w:val="22"/>
        </w:rPr>
        <w:t>which is the age</w:t>
      </w:r>
      <w:r w:rsidR="004769B0">
        <w:rPr>
          <w:rFonts w:asciiTheme="majorHAnsi" w:hAnsiTheme="majorHAnsi" w:cstheme="majorHAnsi"/>
          <w:sz w:val="22"/>
          <w:szCs w:val="22"/>
        </w:rPr>
        <w:t xml:space="preserve"> when </w:t>
      </w:r>
      <w:r w:rsidR="004769B0" w:rsidRPr="00086895">
        <w:rPr>
          <w:rFonts w:asciiTheme="majorHAnsi" w:hAnsiTheme="majorHAnsi" w:cstheme="majorHAnsi"/>
          <w:sz w:val="22"/>
          <w:szCs w:val="22"/>
        </w:rPr>
        <w:t>a pertussis</w:t>
      </w:r>
      <w:r w:rsidR="004769B0">
        <w:rPr>
          <w:rFonts w:asciiTheme="majorHAnsi" w:hAnsiTheme="majorHAnsi" w:cstheme="majorHAnsi"/>
          <w:sz w:val="22"/>
          <w:szCs w:val="22"/>
        </w:rPr>
        <w:t>-</w:t>
      </w:r>
      <w:r w:rsidR="004769B0" w:rsidRPr="00086895">
        <w:rPr>
          <w:rFonts w:asciiTheme="majorHAnsi" w:hAnsiTheme="majorHAnsi" w:cstheme="majorHAnsi"/>
          <w:sz w:val="22"/>
          <w:szCs w:val="22"/>
        </w:rPr>
        <w:t>containing booster vaccine (</w:t>
      </w:r>
      <w:bookmarkStart w:id="6" w:name="_Hlk89339405"/>
      <w:proofErr w:type="spellStart"/>
      <w:r w:rsidR="00394C70" w:rsidRPr="00394C70">
        <w:rPr>
          <w:rFonts w:asciiTheme="majorHAnsi" w:hAnsiTheme="majorHAnsi" w:cstheme="majorHAnsi"/>
          <w:sz w:val="22"/>
          <w:szCs w:val="22"/>
        </w:rPr>
        <w:t>Infanrix</w:t>
      </w:r>
      <w:r w:rsidR="009C46BF">
        <w:rPr>
          <w:rFonts w:asciiTheme="majorHAnsi" w:hAnsiTheme="majorHAnsi" w:cstheme="majorHAnsi"/>
          <w:sz w:val="22"/>
          <w:szCs w:val="22"/>
        </w:rPr>
        <w:t>-h</w:t>
      </w:r>
      <w:r w:rsidR="00394C70" w:rsidRPr="00394C70">
        <w:rPr>
          <w:rFonts w:asciiTheme="majorHAnsi" w:hAnsiTheme="majorHAnsi" w:cstheme="majorHAnsi"/>
          <w:sz w:val="22"/>
          <w:szCs w:val="22"/>
        </w:rPr>
        <w:t>exa</w:t>
      </w:r>
      <w:proofErr w:type="spellEnd"/>
      <w:r w:rsidR="00394C70" w:rsidRPr="00394C70">
        <w:rPr>
          <w:rFonts w:asciiTheme="majorHAnsi" w:hAnsiTheme="majorHAnsi" w:cstheme="majorHAnsi"/>
          <w:sz w:val="22"/>
          <w:szCs w:val="22"/>
        </w:rPr>
        <w:t>®</w:t>
      </w:r>
      <w:r w:rsidR="004769B0" w:rsidRPr="00086895">
        <w:rPr>
          <w:rFonts w:asciiTheme="majorHAnsi" w:eastAsia="Times New Roman" w:hAnsiTheme="majorHAnsi" w:cstheme="majorHAnsi"/>
          <w:color w:val="2E2E2E"/>
          <w:sz w:val="20"/>
          <w:szCs w:val="20"/>
          <w:lang w:eastAsia="en-GB"/>
        </w:rPr>
        <w:t>)</w:t>
      </w:r>
      <w:r w:rsidR="004769B0" w:rsidRPr="00086895">
        <w:rPr>
          <w:rFonts w:asciiTheme="majorHAnsi" w:eastAsia="Times New Roman" w:hAnsiTheme="majorHAnsi" w:cstheme="majorHAnsi"/>
          <w:color w:val="2E2E2E"/>
          <w:sz w:val="20"/>
          <w:szCs w:val="20"/>
          <w:vertAlign w:val="superscript"/>
          <w:lang w:eastAsia="en-GB"/>
        </w:rPr>
        <w:t xml:space="preserve"> </w:t>
      </w:r>
      <w:bookmarkEnd w:id="6"/>
      <w:r w:rsidR="004769B0" w:rsidRPr="00086895">
        <w:rPr>
          <w:rFonts w:asciiTheme="majorHAnsi" w:hAnsiTheme="majorHAnsi" w:cstheme="majorHAnsi"/>
          <w:sz w:val="22"/>
          <w:szCs w:val="22"/>
        </w:rPr>
        <w:t xml:space="preserve">is given </w:t>
      </w:r>
      <w:r w:rsidR="004769B0">
        <w:rPr>
          <w:rFonts w:asciiTheme="majorHAnsi" w:hAnsiTheme="majorHAnsi" w:cstheme="majorHAnsi"/>
          <w:sz w:val="22"/>
          <w:szCs w:val="22"/>
        </w:rPr>
        <w:t>according to the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 country’s routine </w:t>
      </w:r>
      <w:r w:rsidR="004769B0">
        <w:rPr>
          <w:rFonts w:asciiTheme="majorHAnsi" w:hAnsiTheme="majorHAnsi" w:cstheme="majorHAnsi"/>
          <w:sz w:val="22"/>
          <w:szCs w:val="22"/>
        </w:rPr>
        <w:t>immunisation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 programme</w:t>
      </w:r>
      <w:r w:rsidR="00C815CF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C166F9">
        <w:rPr>
          <w:rFonts w:asciiTheme="majorHAnsi" w:hAnsiTheme="majorHAnsi" w:cstheme="majorHAnsi"/>
          <w:sz w:val="22"/>
          <w:szCs w:val="22"/>
          <w:vertAlign w:val="superscript"/>
        </w:rPr>
        <w:t>7</w:t>
      </w:r>
      <w:r w:rsidR="00D7422D" w:rsidRPr="00086895">
        <w:rPr>
          <w:rFonts w:asciiTheme="majorHAnsi" w:hAnsiTheme="majorHAnsi" w:cstheme="majorHAnsi"/>
          <w:sz w:val="22"/>
          <w:szCs w:val="22"/>
        </w:rPr>
        <w:t>.</w:t>
      </w:r>
      <w:r w:rsidR="00312A89" w:rsidRPr="00086895">
        <w:rPr>
          <w:rFonts w:asciiTheme="majorHAnsi" w:hAnsiTheme="majorHAnsi" w:cstheme="majorHAnsi"/>
          <w:sz w:val="22"/>
          <w:szCs w:val="22"/>
        </w:rPr>
        <w:t xml:space="preserve"> </w:t>
      </w:r>
      <w:r w:rsidR="00183C3B">
        <w:rPr>
          <w:rFonts w:asciiTheme="majorHAnsi" w:hAnsiTheme="majorHAnsi" w:cstheme="majorHAnsi"/>
          <w:sz w:val="22"/>
          <w:szCs w:val="22"/>
        </w:rPr>
        <w:t>Persistence</w:t>
      </w:r>
      <w:r>
        <w:rPr>
          <w:rFonts w:asciiTheme="majorHAnsi" w:hAnsiTheme="majorHAnsi" w:cstheme="majorHAnsi"/>
          <w:sz w:val="22"/>
          <w:szCs w:val="22"/>
        </w:rPr>
        <w:t xml:space="preserve"> of</w:t>
      </w:r>
      <w:r w:rsidR="00183C3B">
        <w:rPr>
          <w:rFonts w:asciiTheme="majorHAnsi" w:hAnsiTheme="majorHAnsi" w:cstheme="majorHAnsi"/>
          <w:sz w:val="22"/>
          <w:szCs w:val="22"/>
        </w:rPr>
        <w:t xml:space="preserve"> blunting was shown </w:t>
      </w:r>
      <w:r w:rsidR="0036377B">
        <w:rPr>
          <w:rFonts w:asciiTheme="majorHAnsi" w:hAnsiTheme="majorHAnsi" w:cstheme="majorHAnsi"/>
          <w:sz w:val="22"/>
          <w:szCs w:val="22"/>
        </w:rPr>
        <w:t xml:space="preserve">both </w:t>
      </w:r>
      <w:r w:rsidR="00183C3B">
        <w:rPr>
          <w:rFonts w:asciiTheme="majorHAnsi" w:hAnsiTheme="majorHAnsi" w:cstheme="majorHAnsi"/>
          <w:sz w:val="22"/>
          <w:szCs w:val="22"/>
        </w:rPr>
        <w:t>before and after receipt of the booster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B12F76" w:rsidRPr="00086895">
        <w:rPr>
          <w:rFonts w:asciiTheme="majorHAnsi" w:hAnsiTheme="majorHAnsi" w:cstheme="majorHAnsi"/>
          <w:sz w:val="22"/>
          <w:szCs w:val="22"/>
        </w:rPr>
        <w:t>significantly so for anti-PRN</w:t>
      </w:r>
      <w:r w:rsidR="0036377B">
        <w:rPr>
          <w:rFonts w:asciiTheme="majorHAnsi" w:hAnsiTheme="majorHAnsi" w:cstheme="majorHAnsi"/>
          <w:sz w:val="22"/>
          <w:szCs w:val="22"/>
        </w:rPr>
        <w:t xml:space="preserve"> before</w:t>
      </w:r>
      <w:r w:rsidR="00317529">
        <w:rPr>
          <w:rFonts w:asciiTheme="majorHAnsi" w:hAnsiTheme="majorHAnsi" w:cstheme="majorHAnsi"/>
          <w:sz w:val="22"/>
          <w:szCs w:val="22"/>
        </w:rPr>
        <w:t>,</w:t>
      </w:r>
      <w:r w:rsidR="0036377B">
        <w:rPr>
          <w:rFonts w:asciiTheme="majorHAnsi" w:hAnsiTheme="majorHAnsi" w:cstheme="majorHAnsi"/>
          <w:sz w:val="22"/>
          <w:szCs w:val="22"/>
        </w:rPr>
        <w:t xml:space="preserve"> and </w:t>
      </w:r>
      <w:r w:rsidR="004769B0" w:rsidRPr="00086895">
        <w:rPr>
          <w:rFonts w:asciiTheme="majorHAnsi" w:hAnsiTheme="majorHAnsi" w:cstheme="majorHAnsi"/>
          <w:sz w:val="22"/>
          <w:szCs w:val="22"/>
        </w:rPr>
        <w:t xml:space="preserve">for </w:t>
      </w:r>
      <w:r w:rsidR="004769B0">
        <w:rPr>
          <w:rFonts w:asciiTheme="majorHAnsi" w:hAnsiTheme="majorHAnsi" w:cstheme="majorHAnsi"/>
          <w:sz w:val="22"/>
          <w:szCs w:val="22"/>
        </w:rPr>
        <w:t>anti-PT</w:t>
      </w:r>
      <w:r w:rsidR="0036377B">
        <w:rPr>
          <w:rFonts w:asciiTheme="majorHAnsi" w:hAnsiTheme="majorHAnsi" w:cstheme="majorHAnsi"/>
          <w:sz w:val="22"/>
          <w:szCs w:val="22"/>
        </w:rPr>
        <w:t xml:space="preserve"> after</w:t>
      </w:r>
      <w:r w:rsidR="00865C74">
        <w:rPr>
          <w:rFonts w:asciiTheme="majorHAnsi" w:hAnsiTheme="majorHAnsi" w:cstheme="majorHAnsi"/>
          <w:sz w:val="22"/>
          <w:szCs w:val="22"/>
          <w:vertAlign w:val="superscript"/>
        </w:rPr>
        <w:t>17</w:t>
      </w:r>
      <w:r w:rsidR="004769B0">
        <w:rPr>
          <w:rFonts w:asciiTheme="majorHAnsi" w:hAnsiTheme="majorHAnsi" w:cstheme="majorHAnsi"/>
          <w:sz w:val="22"/>
          <w:szCs w:val="22"/>
        </w:rPr>
        <w:t xml:space="preserve">. </w:t>
      </w:r>
      <w:r w:rsidR="0070617C">
        <w:rPr>
          <w:rFonts w:asciiTheme="majorHAnsi" w:hAnsiTheme="majorHAnsi" w:cstheme="majorHAnsi"/>
          <w:sz w:val="22"/>
          <w:szCs w:val="22"/>
        </w:rPr>
        <w:t xml:space="preserve">We also identified one study performed in </w:t>
      </w:r>
      <w:r w:rsidR="00FC0AB3">
        <w:rPr>
          <w:rFonts w:asciiTheme="majorHAnsi" w:hAnsiTheme="majorHAnsi" w:cstheme="majorHAnsi"/>
          <w:sz w:val="22"/>
          <w:szCs w:val="22"/>
        </w:rPr>
        <w:t xml:space="preserve">Thailand that looked at the influence of antenatal pertussis vaccination on children’s antibody response </w:t>
      </w:r>
      <w:r w:rsidR="00331D4A">
        <w:rPr>
          <w:rFonts w:asciiTheme="majorHAnsi" w:hAnsiTheme="majorHAnsi" w:cstheme="majorHAnsi"/>
          <w:sz w:val="22"/>
          <w:szCs w:val="22"/>
        </w:rPr>
        <w:t xml:space="preserve">up to 19 months of age to either acellular </w:t>
      </w:r>
      <w:r w:rsidR="00B96C87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="00B96C87" w:rsidRPr="00394C70">
        <w:rPr>
          <w:rFonts w:asciiTheme="majorHAnsi" w:hAnsiTheme="majorHAnsi" w:cstheme="majorHAnsi"/>
          <w:sz w:val="22"/>
          <w:szCs w:val="22"/>
        </w:rPr>
        <w:t>Infanrix</w:t>
      </w:r>
      <w:r w:rsidR="00B96C87">
        <w:rPr>
          <w:rFonts w:asciiTheme="majorHAnsi" w:hAnsiTheme="majorHAnsi" w:cstheme="majorHAnsi"/>
          <w:sz w:val="22"/>
          <w:szCs w:val="22"/>
        </w:rPr>
        <w:t>-h</w:t>
      </w:r>
      <w:r w:rsidR="00B96C87" w:rsidRPr="00394C70">
        <w:rPr>
          <w:rFonts w:asciiTheme="majorHAnsi" w:hAnsiTheme="majorHAnsi" w:cstheme="majorHAnsi"/>
          <w:sz w:val="22"/>
          <w:szCs w:val="22"/>
        </w:rPr>
        <w:t>exa</w:t>
      </w:r>
      <w:proofErr w:type="spellEnd"/>
      <w:r w:rsidR="00B96C87" w:rsidRPr="00394C70">
        <w:rPr>
          <w:rFonts w:asciiTheme="majorHAnsi" w:hAnsiTheme="majorHAnsi" w:cstheme="majorHAnsi"/>
          <w:sz w:val="22"/>
          <w:szCs w:val="22"/>
        </w:rPr>
        <w:t>®</w:t>
      </w:r>
      <w:r w:rsidR="00B96C87" w:rsidRPr="00086895">
        <w:rPr>
          <w:rFonts w:asciiTheme="majorHAnsi" w:eastAsia="Times New Roman" w:hAnsiTheme="majorHAnsi" w:cstheme="majorHAnsi"/>
          <w:color w:val="2E2E2E"/>
          <w:sz w:val="20"/>
          <w:szCs w:val="20"/>
          <w:lang w:eastAsia="en-GB"/>
        </w:rPr>
        <w:t>)</w:t>
      </w:r>
      <w:r w:rsidR="00B96C87" w:rsidRPr="00086895">
        <w:rPr>
          <w:rFonts w:asciiTheme="majorHAnsi" w:eastAsia="Times New Roman" w:hAnsiTheme="majorHAnsi" w:cstheme="majorHAnsi"/>
          <w:color w:val="2E2E2E"/>
          <w:sz w:val="20"/>
          <w:szCs w:val="20"/>
          <w:vertAlign w:val="superscript"/>
          <w:lang w:eastAsia="en-GB"/>
        </w:rPr>
        <w:t xml:space="preserve"> </w:t>
      </w:r>
      <w:r w:rsidR="00331D4A">
        <w:rPr>
          <w:rFonts w:asciiTheme="majorHAnsi" w:hAnsiTheme="majorHAnsi" w:cstheme="majorHAnsi"/>
          <w:sz w:val="22"/>
          <w:szCs w:val="22"/>
        </w:rPr>
        <w:t xml:space="preserve">or whole-cell pertussis </w:t>
      </w:r>
      <w:r w:rsidR="00B96C87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="00B96C87" w:rsidRPr="00B96C87">
        <w:rPr>
          <w:rFonts w:asciiTheme="majorHAnsi" w:hAnsiTheme="majorHAnsi" w:cstheme="majorHAnsi"/>
          <w:sz w:val="22"/>
          <w:szCs w:val="22"/>
        </w:rPr>
        <w:t>Quinvaxem</w:t>
      </w:r>
      <w:proofErr w:type="spellEnd"/>
      <w:r w:rsidR="00B96C87" w:rsidRPr="00394C70">
        <w:rPr>
          <w:rFonts w:asciiTheme="majorHAnsi" w:hAnsiTheme="majorHAnsi" w:cstheme="majorHAnsi"/>
          <w:sz w:val="22"/>
          <w:szCs w:val="22"/>
        </w:rPr>
        <w:t>®</w:t>
      </w:r>
      <w:r w:rsidR="00B96C87">
        <w:rPr>
          <w:rFonts w:asciiTheme="majorHAnsi" w:hAnsiTheme="majorHAnsi" w:cstheme="majorHAnsi"/>
          <w:sz w:val="22"/>
          <w:szCs w:val="22"/>
        </w:rPr>
        <w:t xml:space="preserve">) </w:t>
      </w:r>
      <w:r w:rsidR="00331D4A">
        <w:rPr>
          <w:rFonts w:asciiTheme="majorHAnsi" w:hAnsiTheme="majorHAnsi" w:cstheme="majorHAnsi"/>
          <w:sz w:val="22"/>
          <w:szCs w:val="22"/>
        </w:rPr>
        <w:t xml:space="preserve">vaccines administered at 2, 4, 6 </w:t>
      </w:r>
      <w:r w:rsidR="00B96C87">
        <w:rPr>
          <w:rFonts w:asciiTheme="majorHAnsi" w:hAnsiTheme="majorHAnsi" w:cstheme="majorHAnsi"/>
          <w:sz w:val="22"/>
          <w:szCs w:val="22"/>
        </w:rPr>
        <w:t xml:space="preserve">(primary) </w:t>
      </w:r>
      <w:r w:rsidR="00331D4A">
        <w:rPr>
          <w:rFonts w:asciiTheme="majorHAnsi" w:hAnsiTheme="majorHAnsi" w:cstheme="majorHAnsi"/>
          <w:sz w:val="22"/>
          <w:szCs w:val="22"/>
        </w:rPr>
        <w:t>and 18 months of age</w:t>
      </w:r>
      <w:r w:rsidR="00B96C87">
        <w:rPr>
          <w:rFonts w:asciiTheme="majorHAnsi" w:hAnsiTheme="majorHAnsi" w:cstheme="majorHAnsi"/>
          <w:sz w:val="22"/>
          <w:szCs w:val="22"/>
        </w:rPr>
        <w:t xml:space="preserve"> (booster)</w:t>
      </w:r>
      <w:r w:rsidR="00B175E7">
        <w:rPr>
          <w:rFonts w:asciiTheme="majorHAnsi" w:hAnsiTheme="majorHAnsi" w:cstheme="majorHAnsi"/>
          <w:sz w:val="22"/>
          <w:szCs w:val="22"/>
        </w:rPr>
        <w:t xml:space="preserve"> but </w:t>
      </w:r>
      <w:r w:rsidR="00866762">
        <w:rPr>
          <w:rFonts w:asciiTheme="majorHAnsi" w:hAnsiTheme="majorHAnsi" w:cstheme="majorHAnsi"/>
          <w:sz w:val="22"/>
          <w:szCs w:val="22"/>
        </w:rPr>
        <w:t>without a</w:t>
      </w:r>
      <w:r w:rsidR="00866762" w:rsidRPr="00866762">
        <w:rPr>
          <w:rFonts w:asciiTheme="majorHAnsi" w:hAnsiTheme="majorHAnsi" w:cstheme="majorHAnsi"/>
          <w:sz w:val="22"/>
          <w:szCs w:val="22"/>
        </w:rPr>
        <w:t xml:space="preserve"> control group of unvaccinated </w:t>
      </w:r>
      <w:r w:rsidR="00866762" w:rsidRPr="00866762">
        <w:rPr>
          <w:rFonts w:asciiTheme="majorHAnsi" w:hAnsiTheme="majorHAnsi" w:cstheme="majorHAnsi"/>
          <w:sz w:val="22"/>
          <w:szCs w:val="22"/>
        </w:rPr>
        <w:lastRenderedPageBreak/>
        <w:t>women</w:t>
      </w:r>
      <w:r w:rsidR="00865C74">
        <w:rPr>
          <w:rFonts w:asciiTheme="majorHAnsi" w:hAnsiTheme="majorHAnsi" w:cstheme="majorHAnsi"/>
          <w:sz w:val="22"/>
          <w:szCs w:val="22"/>
          <w:vertAlign w:val="superscript"/>
        </w:rPr>
        <w:t>18</w:t>
      </w:r>
      <w:r w:rsidR="00670A03">
        <w:rPr>
          <w:rFonts w:asciiTheme="majorHAnsi" w:hAnsiTheme="majorHAnsi" w:cstheme="majorHAnsi"/>
          <w:sz w:val="22"/>
          <w:szCs w:val="22"/>
        </w:rPr>
        <w:t>. B</w:t>
      </w:r>
      <w:r w:rsidR="00B96C87">
        <w:rPr>
          <w:rFonts w:asciiTheme="majorHAnsi" w:hAnsiTheme="majorHAnsi" w:cstheme="majorHAnsi"/>
          <w:sz w:val="22"/>
          <w:szCs w:val="22"/>
        </w:rPr>
        <w:t>lunting</w:t>
      </w:r>
      <w:r w:rsidR="00670A03">
        <w:rPr>
          <w:rFonts w:asciiTheme="majorHAnsi" w:hAnsiTheme="majorHAnsi" w:cstheme="majorHAnsi"/>
          <w:sz w:val="22"/>
          <w:szCs w:val="22"/>
        </w:rPr>
        <w:t xml:space="preserve"> was shown,</w:t>
      </w:r>
      <w:r w:rsidR="00B96C87">
        <w:rPr>
          <w:rFonts w:asciiTheme="majorHAnsi" w:hAnsiTheme="majorHAnsi" w:cstheme="majorHAnsi"/>
          <w:sz w:val="22"/>
          <w:szCs w:val="22"/>
        </w:rPr>
        <w:t xml:space="preserve"> persisting until after the booster at 19 months of age, more so in the children that received whole-cell pertussis vaccines</w:t>
      </w:r>
      <w:r w:rsidR="00B96C87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865C74">
        <w:rPr>
          <w:rFonts w:asciiTheme="majorHAnsi" w:hAnsiTheme="majorHAnsi" w:cstheme="majorHAnsi"/>
          <w:sz w:val="22"/>
          <w:szCs w:val="22"/>
          <w:vertAlign w:val="superscript"/>
        </w:rPr>
        <w:t>8</w:t>
      </w:r>
      <w:r w:rsidR="00B96C87">
        <w:rPr>
          <w:rFonts w:asciiTheme="majorHAnsi" w:hAnsiTheme="majorHAnsi" w:cstheme="majorHAnsi"/>
          <w:sz w:val="22"/>
          <w:szCs w:val="22"/>
        </w:rPr>
        <w:t>.</w:t>
      </w:r>
    </w:p>
    <w:p w14:paraId="11AF4216" w14:textId="4EE32545" w:rsidR="00987E95" w:rsidRPr="00670A03" w:rsidRDefault="00331D4A" w:rsidP="001557AE">
      <w:pPr>
        <w:spacing w:line="480" w:lineRule="auto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EFE32D" w14:textId="38F387A3" w:rsidR="006C7A4A" w:rsidRPr="002035F2" w:rsidRDefault="00987E95" w:rsidP="001557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It is </w:t>
      </w:r>
      <w:r w:rsidR="00317529">
        <w:rPr>
          <w:rFonts w:asciiTheme="majorHAnsi" w:hAnsiTheme="majorHAnsi" w:cstheme="majorHAnsi"/>
          <w:sz w:val="22"/>
          <w:szCs w:val="22"/>
        </w:rPr>
        <w:t xml:space="preserve">therefore </w:t>
      </w:r>
      <w:r>
        <w:rPr>
          <w:rFonts w:asciiTheme="majorHAnsi" w:hAnsiTheme="majorHAnsi" w:cstheme="majorHAnsi"/>
          <w:sz w:val="22"/>
          <w:szCs w:val="22"/>
        </w:rPr>
        <w:t xml:space="preserve">reassuring that following receipt of </w:t>
      </w:r>
      <w:r w:rsidR="00317529">
        <w:rPr>
          <w:rFonts w:asciiTheme="majorHAnsi" w:hAnsiTheme="majorHAnsi" w:cstheme="majorHAnsi"/>
          <w:sz w:val="22"/>
          <w:szCs w:val="22"/>
        </w:rPr>
        <w:t>a</w:t>
      </w:r>
      <w:r>
        <w:rPr>
          <w:rFonts w:asciiTheme="majorHAnsi" w:hAnsiTheme="majorHAnsi" w:cstheme="majorHAnsi"/>
          <w:sz w:val="22"/>
          <w:szCs w:val="22"/>
        </w:rPr>
        <w:t xml:space="preserve"> booster</w:t>
      </w:r>
      <w:r w:rsidR="00317529">
        <w:rPr>
          <w:rFonts w:asciiTheme="majorHAnsi" w:hAnsiTheme="majorHAnsi" w:cstheme="majorHAnsi"/>
          <w:sz w:val="22"/>
          <w:szCs w:val="22"/>
        </w:rPr>
        <w:t xml:space="preserve"> at an older age in our study</w:t>
      </w:r>
      <w:r>
        <w:rPr>
          <w:rFonts w:asciiTheme="majorHAnsi" w:hAnsiTheme="majorHAnsi" w:cstheme="majorHAnsi"/>
          <w:sz w:val="22"/>
          <w:szCs w:val="22"/>
        </w:rPr>
        <w:t xml:space="preserve"> no statistically significant difference was found in </w:t>
      </w:r>
      <w:r w:rsidR="00317529">
        <w:rPr>
          <w:rFonts w:asciiTheme="majorHAnsi" w:hAnsiTheme="majorHAnsi" w:cstheme="majorHAnsi"/>
          <w:sz w:val="22"/>
          <w:szCs w:val="22"/>
        </w:rPr>
        <w:t>any</w:t>
      </w:r>
      <w:r>
        <w:rPr>
          <w:rFonts w:asciiTheme="majorHAnsi" w:hAnsiTheme="majorHAnsi" w:cstheme="majorHAnsi"/>
          <w:sz w:val="22"/>
          <w:szCs w:val="22"/>
        </w:rPr>
        <w:t xml:space="preserve"> pertussis-specific antibody responses between the groups</w:t>
      </w:r>
      <w:r w:rsidR="00317529">
        <w:rPr>
          <w:rFonts w:asciiTheme="majorHAnsi" w:hAnsiTheme="majorHAnsi" w:cstheme="majorHAnsi"/>
          <w:sz w:val="22"/>
          <w:szCs w:val="22"/>
        </w:rPr>
        <w:t xml:space="preserve">. This was also true for </w:t>
      </w:r>
      <w:r w:rsidR="0050260B">
        <w:rPr>
          <w:rFonts w:asciiTheme="majorHAnsi" w:hAnsiTheme="majorHAnsi" w:cstheme="majorHAnsi"/>
          <w:sz w:val="22"/>
          <w:szCs w:val="22"/>
        </w:rPr>
        <w:t>anti-DT and anti-TT IgG GMCs.</w:t>
      </w:r>
      <w:r w:rsidR="00422880">
        <w:rPr>
          <w:rFonts w:asciiTheme="majorHAnsi" w:hAnsiTheme="majorHAnsi" w:cstheme="majorHAnsi"/>
          <w:sz w:val="22"/>
          <w:szCs w:val="22"/>
        </w:rPr>
        <w:t xml:space="preserve"> It is reassuring that although potential blunting in th</w:t>
      </w:r>
      <w:r w:rsidR="00D80A25">
        <w:rPr>
          <w:rFonts w:asciiTheme="majorHAnsi" w:hAnsiTheme="majorHAnsi" w:cstheme="majorHAnsi"/>
          <w:sz w:val="22"/>
          <w:szCs w:val="22"/>
        </w:rPr>
        <w:t>e</w:t>
      </w:r>
      <w:r w:rsidR="00422880">
        <w:rPr>
          <w:rFonts w:asciiTheme="majorHAnsi" w:hAnsiTheme="majorHAnsi" w:cstheme="majorHAnsi"/>
          <w:sz w:val="22"/>
          <w:szCs w:val="22"/>
        </w:rPr>
        <w:t xml:space="preserve"> antibody response to PT was seen pre-booster </w:t>
      </w:r>
      <w:r w:rsidR="00D80A25">
        <w:rPr>
          <w:rFonts w:asciiTheme="majorHAnsi" w:hAnsiTheme="majorHAnsi" w:cstheme="majorHAnsi"/>
          <w:sz w:val="22"/>
          <w:szCs w:val="22"/>
        </w:rPr>
        <w:t>for</w:t>
      </w:r>
      <w:r w:rsidR="006C7A4A">
        <w:rPr>
          <w:rFonts w:asciiTheme="majorHAnsi" w:hAnsiTheme="majorHAnsi" w:cstheme="majorHAnsi"/>
          <w:sz w:val="22"/>
          <w:szCs w:val="22"/>
        </w:rPr>
        <w:t xml:space="preserve"> </w:t>
      </w:r>
      <w:r w:rsidR="006C7A4A" w:rsidRPr="006C7A4A">
        <w:rPr>
          <w:rFonts w:asciiTheme="majorHAnsi" w:hAnsiTheme="majorHAnsi" w:cstheme="majorHAnsi"/>
          <w:sz w:val="22"/>
          <w:szCs w:val="22"/>
        </w:rPr>
        <w:t>children in the TdaP3-IPV group, this did not persist after receipt of the</w:t>
      </w:r>
      <w:r w:rsidR="006C7A4A">
        <w:rPr>
          <w:rFonts w:asciiTheme="majorHAnsi" w:hAnsiTheme="majorHAnsi" w:cstheme="majorHAnsi"/>
          <w:sz w:val="22"/>
          <w:szCs w:val="22"/>
        </w:rPr>
        <w:t xml:space="preserve"> </w:t>
      </w:r>
      <w:r w:rsidR="006C7A4A" w:rsidRPr="006C7A4A">
        <w:rPr>
          <w:rFonts w:asciiTheme="majorHAnsi" w:hAnsiTheme="majorHAnsi" w:cstheme="majorHAnsi"/>
          <w:sz w:val="22"/>
          <w:szCs w:val="22"/>
        </w:rPr>
        <w:t>preschool bo</w:t>
      </w:r>
      <w:r w:rsidR="006C7A4A">
        <w:rPr>
          <w:rFonts w:asciiTheme="majorHAnsi" w:hAnsiTheme="majorHAnsi" w:cstheme="majorHAnsi"/>
          <w:sz w:val="22"/>
          <w:szCs w:val="22"/>
        </w:rPr>
        <w:t>oster.</w:t>
      </w:r>
    </w:p>
    <w:p w14:paraId="4EBA3FD5" w14:textId="0E86EC32" w:rsidR="00A02936" w:rsidRDefault="002035F2" w:rsidP="001557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There are some limitations to this study. </w:t>
      </w:r>
      <w:r w:rsidR="00CA739F" w:rsidRPr="00F20B40">
        <w:rPr>
          <w:rFonts w:asciiTheme="majorHAnsi" w:hAnsiTheme="majorHAnsi" w:cstheme="majorHAnsi"/>
          <w:sz w:val="22"/>
          <w:szCs w:val="22"/>
          <w:lang w:val="en-US"/>
        </w:rPr>
        <w:t xml:space="preserve">The </w:t>
      </w:r>
      <w:r w:rsidR="007F5A0F">
        <w:rPr>
          <w:rFonts w:asciiTheme="majorHAnsi" w:hAnsiTheme="majorHAnsi" w:cstheme="majorHAnsi"/>
          <w:sz w:val="22"/>
          <w:szCs w:val="22"/>
          <w:lang w:val="en-US"/>
        </w:rPr>
        <w:t xml:space="preserve">group of children born to women who </w:t>
      </w:r>
      <w:r w:rsidR="0050260B">
        <w:rPr>
          <w:rFonts w:asciiTheme="majorHAnsi" w:hAnsiTheme="majorHAnsi" w:cstheme="majorHAnsi"/>
          <w:sz w:val="22"/>
          <w:szCs w:val="22"/>
          <w:lang w:val="en-US"/>
        </w:rPr>
        <w:t xml:space="preserve">had not </w:t>
      </w:r>
      <w:r w:rsidR="007F5A0F">
        <w:rPr>
          <w:rFonts w:asciiTheme="majorHAnsi" w:hAnsiTheme="majorHAnsi" w:cstheme="majorHAnsi"/>
          <w:sz w:val="22"/>
          <w:szCs w:val="22"/>
          <w:lang w:val="en-US"/>
        </w:rPr>
        <w:t xml:space="preserve">received </w:t>
      </w:r>
      <w:r w:rsidR="0050260B">
        <w:rPr>
          <w:rFonts w:asciiTheme="majorHAnsi" w:hAnsiTheme="majorHAnsi" w:cstheme="majorHAnsi"/>
          <w:sz w:val="22"/>
          <w:szCs w:val="22"/>
          <w:lang w:val="en-US"/>
        </w:rPr>
        <w:t xml:space="preserve">a </w:t>
      </w:r>
      <w:r w:rsidR="007F5A0F">
        <w:rPr>
          <w:rFonts w:asciiTheme="majorHAnsi" w:hAnsiTheme="majorHAnsi" w:cstheme="majorHAnsi"/>
          <w:sz w:val="22"/>
          <w:szCs w:val="22"/>
          <w:lang w:val="en-US"/>
        </w:rPr>
        <w:t>pertussis-containing antenatal vaccine</w:t>
      </w:r>
      <w:r w:rsidR="00CA739F" w:rsidRPr="00F20B4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50260B">
        <w:rPr>
          <w:rFonts w:asciiTheme="majorHAnsi" w:hAnsiTheme="majorHAnsi" w:cstheme="majorHAnsi"/>
          <w:sz w:val="22"/>
          <w:szCs w:val="22"/>
          <w:lang w:val="en-US"/>
        </w:rPr>
        <w:t>were not</w:t>
      </w:r>
      <w:r w:rsidR="0036377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50260B">
        <w:rPr>
          <w:rFonts w:asciiTheme="majorHAnsi" w:hAnsiTheme="majorHAnsi" w:cstheme="majorHAnsi"/>
          <w:sz w:val="22"/>
          <w:szCs w:val="22"/>
          <w:lang w:val="en-US"/>
        </w:rPr>
        <w:t>randomi</w:t>
      </w:r>
      <w:r w:rsidR="00583A1D">
        <w:rPr>
          <w:rFonts w:asciiTheme="majorHAnsi" w:hAnsiTheme="majorHAnsi" w:cstheme="majorHAnsi"/>
          <w:sz w:val="22"/>
          <w:szCs w:val="22"/>
          <w:lang w:val="en-US"/>
        </w:rPr>
        <w:t>s</w:t>
      </w:r>
      <w:r w:rsidR="0050260B">
        <w:rPr>
          <w:rFonts w:asciiTheme="majorHAnsi" w:hAnsiTheme="majorHAnsi" w:cstheme="majorHAnsi"/>
          <w:sz w:val="22"/>
          <w:szCs w:val="22"/>
          <w:lang w:val="en-US"/>
        </w:rPr>
        <w:t>ed</w:t>
      </w:r>
      <w:proofErr w:type="spellEnd"/>
      <w:r w:rsidR="0050260B">
        <w:rPr>
          <w:rFonts w:asciiTheme="majorHAnsi" w:hAnsiTheme="majorHAnsi" w:cstheme="majorHAnsi"/>
          <w:sz w:val="22"/>
          <w:szCs w:val="22"/>
          <w:lang w:val="en-US"/>
        </w:rPr>
        <w:t xml:space="preserve"> to this group, </w:t>
      </w:r>
      <w:r w:rsidR="00CA739F" w:rsidRPr="00F20B40">
        <w:rPr>
          <w:rFonts w:asciiTheme="majorHAnsi" w:hAnsiTheme="majorHAnsi" w:cstheme="majorHAnsi"/>
          <w:sz w:val="22"/>
          <w:szCs w:val="22"/>
          <w:lang w:val="en-US"/>
        </w:rPr>
        <w:t xml:space="preserve">as </w:t>
      </w:r>
      <w:r w:rsidR="0036377B">
        <w:rPr>
          <w:rFonts w:asciiTheme="majorHAnsi" w:hAnsiTheme="majorHAnsi" w:cstheme="majorHAnsi"/>
          <w:sz w:val="22"/>
          <w:szCs w:val="22"/>
          <w:lang w:val="en-US"/>
        </w:rPr>
        <w:t xml:space="preserve">it </w:t>
      </w:r>
      <w:r w:rsidR="002C5631">
        <w:rPr>
          <w:rFonts w:asciiTheme="majorHAnsi" w:hAnsiTheme="majorHAnsi" w:cstheme="majorHAnsi"/>
          <w:sz w:val="22"/>
          <w:szCs w:val="22"/>
          <w:lang w:val="en-US"/>
        </w:rPr>
        <w:t>had been</w:t>
      </w:r>
      <w:r w:rsidR="0036377B">
        <w:rPr>
          <w:rFonts w:asciiTheme="majorHAnsi" w:hAnsiTheme="majorHAnsi" w:cstheme="majorHAnsi"/>
          <w:sz w:val="22"/>
          <w:szCs w:val="22"/>
          <w:lang w:val="en-US"/>
        </w:rPr>
        <w:t xml:space="preserve"> deemed </w:t>
      </w:r>
      <w:r w:rsidR="00CA739F" w:rsidRPr="00F20B40">
        <w:rPr>
          <w:rFonts w:asciiTheme="majorHAnsi" w:hAnsiTheme="majorHAnsi" w:cstheme="majorHAnsi"/>
          <w:sz w:val="22"/>
          <w:szCs w:val="22"/>
          <w:lang w:val="en-US"/>
        </w:rPr>
        <w:t>unethical</w:t>
      </w:r>
      <w:r w:rsidR="002C5631">
        <w:rPr>
          <w:rFonts w:asciiTheme="majorHAnsi" w:hAnsiTheme="majorHAnsi" w:cstheme="majorHAnsi"/>
          <w:sz w:val="22"/>
          <w:szCs w:val="22"/>
          <w:lang w:val="en-US"/>
        </w:rPr>
        <w:t xml:space="preserve"> to do so i</w:t>
      </w:r>
      <w:r w:rsidR="0036377B">
        <w:rPr>
          <w:rFonts w:asciiTheme="majorHAnsi" w:hAnsiTheme="majorHAnsi" w:cstheme="majorHAnsi"/>
          <w:sz w:val="22"/>
          <w:szCs w:val="22"/>
          <w:lang w:val="en-US"/>
        </w:rPr>
        <w:t xml:space="preserve">n the </w:t>
      </w:r>
      <w:r w:rsidR="002C5631">
        <w:rPr>
          <w:rFonts w:asciiTheme="majorHAnsi" w:hAnsiTheme="majorHAnsi" w:cstheme="majorHAnsi"/>
          <w:sz w:val="22"/>
          <w:szCs w:val="22"/>
          <w:lang w:val="en-US"/>
        </w:rPr>
        <w:t>context</w:t>
      </w:r>
      <w:r w:rsidR="0036377B">
        <w:rPr>
          <w:rFonts w:asciiTheme="majorHAnsi" w:hAnsiTheme="majorHAnsi" w:cstheme="majorHAnsi"/>
          <w:sz w:val="22"/>
          <w:szCs w:val="22"/>
          <w:lang w:val="en-US"/>
        </w:rPr>
        <w:t xml:space="preserve"> of the </w:t>
      </w:r>
      <w:r w:rsidR="00F20B40">
        <w:rPr>
          <w:rFonts w:asciiTheme="majorHAnsi" w:hAnsiTheme="majorHAnsi" w:cstheme="majorHAnsi"/>
          <w:sz w:val="22"/>
          <w:szCs w:val="22"/>
        </w:rPr>
        <w:t>national</w:t>
      </w:r>
      <w:r w:rsidR="004B1E46" w:rsidRPr="00F20B40">
        <w:rPr>
          <w:rFonts w:asciiTheme="majorHAnsi" w:hAnsiTheme="majorHAnsi" w:cstheme="majorHAnsi"/>
          <w:sz w:val="22"/>
          <w:szCs w:val="22"/>
        </w:rPr>
        <w:t xml:space="preserve"> outbreak</w:t>
      </w:r>
      <w:r w:rsidR="0036377B">
        <w:rPr>
          <w:rFonts w:asciiTheme="majorHAnsi" w:hAnsiTheme="majorHAnsi" w:cstheme="majorHAnsi"/>
          <w:sz w:val="22"/>
          <w:szCs w:val="22"/>
        </w:rPr>
        <w:t xml:space="preserve">. </w:t>
      </w:r>
      <w:r w:rsidR="005F2EEF">
        <w:rPr>
          <w:rFonts w:asciiTheme="majorHAnsi" w:hAnsiTheme="majorHAnsi" w:cstheme="majorHAnsi"/>
          <w:sz w:val="22"/>
          <w:szCs w:val="22"/>
        </w:rPr>
        <w:t xml:space="preserve">One </w:t>
      </w:r>
      <w:r w:rsidR="009800E3">
        <w:rPr>
          <w:rFonts w:asciiTheme="majorHAnsi" w:hAnsiTheme="majorHAnsi" w:cstheme="majorHAnsi"/>
          <w:sz w:val="22"/>
          <w:szCs w:val="22"/>
        </w:rPr>
        <w:t>infant received</w:t>
      </w:r>
      <w:r w:rsidR="003F3689">
        <w:rPr>
          <w:rFonts w:asciiTheme="majorHAnsi" w:hAnsiTheme="majorHAnsi" w:cstheme="majorHAnsi"/>
          <w:sz w:val="22"/>
          <w:szCs w:val="22"/>
        </w:rPr>
        <w:t xml:space="preserve"> </w:t>
      </w:r>
      <w:r w:rsidR="005F2EEF">
        <w:rPr>
          <w:rFonts w:asciiTheme="majorHAnsi" w:hAnsiTheme="majorHAnsi" w:cstheme="majorHAnsi"/>
          <w:sz w:val="22"/>
          <w:szCs w:val="22"/>
        </w:rPr>
        <w:t>a different</w:t>
      </w:r>
      <w:r w:rsidR="003F3689">
        <w:rPr>
          <w:rFonts w:asciiTheme="majorHAnsi" w:hAnsiTheme="majorHAnsi" w:cstheme="majorHAnsi"/>
          <w:sz w:val="22"/>
          <w:szCs w:val="22"/>
        </w:rPr>
        <w:t xml:space="preserve"> </w:t>
      </w:r>
      <w:r w:rsidR="00EB5811">
        <w:rPr>
          <w:rFonts w:asciiTheme="majorHAnsi" w:hAnsiTheme="majorHAnsi" w:cstheme="majorHAnsi"/>
          <w:sz w:val="22"/>
          <w:szCs w:val="22"/>
        </w:rPr>
        <w:t xml:space="preserve">pertussis-containing </w:t>
      </w:r>
      <w:r w:rsidR="003F3689">
        <w:rPr>
          <w:rFonts w:asciiTheme="majorHAnsi" w:hAnsiTheme="majorHAnsi" w:cstheme="majorHAnsi"/>
          <w:sz w:val="22"/>
          <w:szCs w:val="22"/>
        </w:rPr>
        <w:t xml:space="preserve">vaccine during primary immunisation </w:t>
      </w:r>
      <w:r w:rsidR="005F2EEF">
        <w:rPr>
          <w:rFonts w:asciiTheme="majorHAnsi" w:hAnsiTheme="majorHAnsi" w:cstheme="majorHAnsi"/>
          <w:sz w:val="22"/>
          <w:szCs w:val="22"/>
        </w:rPr>
        <w:t>to the other infants; we did not analyse these 2 groups separately</w:t>
      </w:r>
      <w:r w:rsidR="00817D86">
        <w:rPr>
          <w:rFonts w:asciiTheme="majorHAnsi" w:hAnsiTheme="majorHAnsi" w:cstheme="majorHAnsi"/>
          <w:sz w:val="22"/>
          <w:szCs w:val="22"/>
        </w:rPr>
        <w:t xml:space="preserve">. </w:t>
      </w:r>
      <w:r w:rsidR="0036377B">
        <w:rPr>
          <w:rFonts w:asciiTheme="majorHAnsi" w:hAnsiTheme="majorHAnsi" w:cstheme="majorHAnsi"/>
          <w:sz w:val="22"/>
          <w:szCs w:val="22"/>
        </w:rPr>
        <w:t>However,</w:t>
      </w:r>
      <w:r w:rsidR="00F20B40" w:rsidRPr="00A02936">
        <w:rPr>
          <w:rFonts w:asciiTheme="majorHAnsi" w:hAnsiTheme="majorHAnsi" w:cstheme="majorHAnsi"/>
          <w:sz w:val="22"/>
          <w:szCs w:val="22"/>
        </w:rPr>
        <w:t xml:space="preserve"> no significant difference was found in the baseline data amongst </w:t>
      </w:r>
      <w:r w:rsidR="007F5A0F">
        <w:rPr>
          <w:rFonts w:asciiTheme="majorHAnsi" w:hAnsiTheme="majorHAnsi" w:cstheme="majorHAnsi"/>
          <w:sz w:val="22"/>
          <w:szCs w:val="22"/>
        </w:rPr>
        <w:t xml:space="preserve">all </w:t>
      </w:r>
      <w:r w:rsidR="00F20B40" w:rsidRPr="00A02936">
        <w:rPr>
          <w:rFonts w:asciiTheme="majorHAnsi" w:hAnsiTheme="majorHAnsi" w:cstheme="majorHAnsi"/>
          <w:sz w:val="22"/>
          <w:szCs w:val="22"/>
        </w:rPr>
        <w:t>recruited participants.</w:t>
      </w:r>
      <w:r w:rsidR="004B5081">
        <w:rPr>
          <w:rFonts w:asciiTheme="majorHAnsi" w:hAnsiTheme="majorHAnsi" w:cstheme="majorHAnsi"/>
          <w:sz w:val="22"/>
          <w:szCs w:val="22"/>
        </w:rPr>
        <w:t xml:space="preserve"> 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As the cohort </w:t>
      </w:r>
      <w:r w:rsidR="002C5631">
        <w:rPr>
          <w:rFonts w:asciiTheme="majorHAnsi" w:hAnsiTheme="majorHAnsi" w:cstheme="majorHAnsi"/>
          <w:sz w:val="22"/>
          <w:szCs w:val="22"/>
        </w:rPr>
        <w:t>for this study was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 </w:t>
      </w:r>
      <w:r w:rsidR="002C5631">
        <w:rPr>
          <w:rFonts w:asciiTheme="majorHAnsi" w:hAnsiTheme="majorHAnsi" w:cstheme="majorHAnsi"/>
          <w:sz w:val="22"/>
          <w:szCs w:val="22"/>
        </w:rPr>
        <w:t xml:space="preserve">essentially 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restricted to those </w:t>
      </w:r>
      <w:r w:rsidR="002C5631">
        <w:rPr>
          <w:rFonts w:asciiTheme="majorHAnsi" w:hAnsiTheme="majorHAnsi" w:cstheme="majorHAnsi"/>
          <w:sz w:val="22"/>
          <w:szCs w:val="22"/>
        </w:rPr>
        <w:t>included in</w:t>
      </w:r>
      <w:r w:rsidR="002C5631" w:rsidRPr="00A02936">
        <w:rPr>
          <w:rFonts w:asciiTheme="majorHAnsi" w:hAnsiTheme="majorHAnsi" w:cstheme="majorHAnsi"/>
          <w:sz w:val="22"/>
          <w:szCs w:val="22"/>
        </w:rPr>
        <w:t xml:space="preserve"> 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the previous study, the </w:t>
      </w:r>
      <w:r w:rsidR="002C5631">
        <w:rPr>
          <w:rFonts w:asciiTheme="majorHAnsi" w:hAnsiTheme="majorHAnsi" w:cstheme="majorHAnsi"/>
          <w:sz w:val="22"/>
          <w:szCs w:val="22"/>
        </w:rPr>
        <w:t>sample size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 </w:t>
      </w:r>
      <w:r w:rsidR="002C5631">
        <w:rPr>
          <w:rFonts w:asciiTheme="majorHAnsi" w:hAnsiTheme="majorHAnsi" w:cstheme="majorHAnsi"/>
          <w:sz w:val="22"/>
          <w:szCs w:val="22"/>
        </w:rPr>
        <w:t>is relatively small</w:t>
      </w:r>
      <w:r w:rsidR="00CA607D">
        <w:rPr>
          <w:rFonts w:asciiTheme="majorHAnsi" w:hAnsiTheme="majorHAnsi" w:cstheme="majorHAnsi"/>
          <w:sz w:val="22"/>
          <w:szCs w:val="22"/>
        </w:rPr>
        <w:t>,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 </w:t>
      </w:r>
      <w:r w:rsidR="002D75E4">
        <w:rPr>
          <w:rFonts w:asciiTheme="majorHAnsi" w:hAnsiTheme="majorHAnsi" w:cstheme="majorHAnsi"/>
          <w:sz w:val="22"/>
          <w:szCs w:val="22"/>
        </w:rPr>
        <w:t xml:space="preserve">which reduced the statistical power of the analysis, 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as more than anticipated </w:t>
      </w:r>
      <w:r w:rsidR="00A02936" w:rsidRPr="00A02936">
        <w:rPr>
          <w:rFonts w:asciiTheme="majorHAnsi" w:hAnsiTheme="majorHAnsi" w:cstheme="majorHAnsi"/>
          <w:sz w:val="22"/>
          <w:szCs w:val="22"/>
        </w:rPr>
        <w:t>w</w:t>
      </w:r>
      <w:r w:rsidR="002C5631">
        <w:rPr>
          <w:rFonts w:asciiTheme="majorHAnsi" w:hAnsiTheme="majorHAnsi" w:cstheme="majorHAnsi"/>
          <w:sz w:val="22"/>
          <w:szCs w:val="22"/>
        </w:rPr>
        <w:t>ere</w:t>
      </w:r>
      <w:r w:rsidR="00BD03FD" w:rsidRPr="00A02936">
        <w:rPr>
          <w:rFonts w:asciiTheme="majorHAnsi" w:hAnsiTheme="majorHAnsi" w:cstheme="majorHAnsi"/>
          <w:sz w:val="22"/>
          <w:szCs w:val="22"/>
        </w:rPr>
        <w:t xml:space="preserve"> lost to follow-up. </w:t>
      </w:r>
    </w:p>
    <w:p w14:paraId="193057D6" w14:textId="77777777" w:rsidR="00A02936" w:rsidRDefault="00A02936" w:rsidP="001557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</w:p>
    <w:p w14:paraId="7B91D2C8" w14:textId="26ED9BB7" w:rsidR="002A2E91" w:rsidRPr="00A02936" w:rsidRDefault="00CA739F" w:rsidP="001557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A02936">
        <w:rPr>
          <w:rFonts w:asciiTheme="majorHAnsi" w:hAnsiTheme="majorHAnsi" w:cstheme="majorHAnsi"/>
          <w:sz w:val="22"/>
          <w:szCs w:val="22"/>
        </w:rPr>
        <w:t xml:space="preserve">In conclusion, </w:t>
      </w:r>
      <w:r w:rsidR="002A2E91" w:rsidRPr="00A02936">
        <w:rPr>
          <w:rFonts w:asciiTheme="majorHAnsi" w:hAnsiTheme="majorHAnsi" w:cstheme="majorHAnsi"/>
          <w:sz w:val="22"/>
          <w:szCs w:val="22"/>
        </w:rPr>
        <w:t xml:space="preserve">this is the first study to explore the influence of antenatal pertussis vaccination on children’s antibody response beyond 2 years of age. </w:t>
      </w:r>
      <w:r w:rsidR="00BF4E04">
        <w:rPr>
          <w:rFonts w:asciiTheme="majorHAnsi" w:hAnsiTheme="majorHAnsi" w:cstheme="majorHAnsi"/>
          <w:sz w:val="22"/>
          <w:szCs w:val="22"/>
        </w:rPr>
        <w:t>It</w:t>
      </w:r>
      <w:r w:rsidR="00BF4E04" w:rsidRPr="00BF4E04">
        <w:rPr>
          <w:rFonts w:asciiTheme="majorHAnsi" w:hAnsiTheme="majorHAnsi" w:cstheme="majorHAnsi"/>
          <w:sz w:val="22"/>
          <w:szCs w:val="22"/>
        </w:rPr>
        <w:t xml:space="preserve"> generate</w:t>
      </w:r>
      <w:r w:rsidR="00BF4E04">
        <w:rPr>
          <w:rFonts w:asciiTheme="majorHAnsi" w:hAnsiTheme="majorHAnsi" w:cstheme="majorHAnsi"/>
          <w:sz w:val="22"/>
          <w:szCs w:val="22"/>
        </w:rPr>
        <w:t>s</w:t>
      </w:r>
      <w:r w:rsidR="00BF4E04" w:rsidRPr="00BF4E04">
        <w:rPr>
          <w:rFonts w:asciiTheme="majorHAnsi" w:hAnsiTheme="majorHAnsi" w:cstheme="majorHAnsi"/>
          <w:sz w:val="22"/>
          <w:szCs w:val="22"/>
        </w:rPr>
        <w:t xml:space="preserve"> data</w:t>
      </w:r>
      <w:r w:rsidR="00BF4E04">
        <w:rPr>
          <w:rFonts w:asciiTheme="majorHAnsi" w:hAnsiTheme="majorHAnsi" w:cstheme="majorHAnsi"/>
          <w:sz w:val="22"/>
          <w:szCs w:val="22"/>
        </w:rPr>
        <w:t xml:space="preserve"> on the impact of </w:t>
      </w:r>
      <w:r w:rsidR="005D7541">
        <w:rPr>
          <w:rFonts w:asciiTheme="majorHAnsi" w:hAnsiTheme="majorHAnsi" w:cstheme="majorHAnsi"/>
          <w:sz w:val="22"/>
          <w:szCs w:val="22"/>
        </w:rPr>
        <w:t>antenatal pertussis vaccination</w:t>
      </w:r>
      <w:r w:rsidR="00BF4E04">
        <w:rPr>
          <w:rFonts w:asciiTheme="majorHAnsi" w:hAnsiTheme="majorHAnsi" w:cstheme="majorHAnsi"/>
          <w:sz w:val="22"/>
          <w:szCs w:val="22"/>
        </w:rPr>
        <w:t xml:space="preserve"> </w:t>
      </w:r>
      <w:r w:rsidR="00DD5AF4">
        <w:rPr>
          <w:rFonts w:asciiTheme="majorHAnsi" w:hAnsiTheme="majorHAnsi" w:cstheme="majorHAnsi"/>
          <w:sz w:val="22"/>
          <w:szCs w:val="22"/>
        </w:rPr>
        <w:t>on responses to a</w:t>
      </w:r>
      <w:r w:rsidR="00BF4E04">
        <w:rPr>
          <w:rFonts w:asciiTheme="majorHAnsi" w:hAnsiTheme="majorHAnsi" w:cstheme="majorHAnsi"/>
          <w:sz w:val="22"/>
          <w:szCs w:val="22"/>
        </w:rPr>
        <w:t xml:space="preserve"> booster dose</w:t>
      </w:r>
      <w:r w:rsidR="00DD5AF4">
        <w:rPr>
          <w:rFonts w:asciiTheme="majorHAnsi" w:hAnsiTheme="majorHAnsi" w:cstheme="majorHAnsi"/>
          <w:sz w:val="22"/>
          <w:szCs w:val="22"/>
        </w:rPr>
        <w:t xml:space="preserve"> given around 3 years of age</w:t>
      </w:r>
      <w:r w:rsidR="00BF4E04" w:rsidRPr="00BF4E04">
        <w:rPr>
          <w:rFonts w:asciiTheme="majorHAnsi" w:hAnsiTheme="majorHAnsi" w:cstheme="majorHAnsi"/>
          <w:sz w:val="22"/>
          <w:szCs w:val="22"/>
        </w:rPr>
        <w:t>.</w:t>
      </w:r>
      <w:r w:rsidR="005D7541">
        <w:rPr>
          <w:rFonts w:asciiTheme="majorHAnsi" w:hAnsiTheme="majorHAnsi" w:cstheme="majorHAnsi"/>
          <w:sz w:val="22"/>
          <w:szCs w:val="22"/>
        </w:rPr>
        <w:t xml:space="preserve"> </w:t>
      </w:r>
      <w:r w:rsidR="009C46BF">
        <w:rPr>
          <w:rFonts w:asciiTheme="majorHAnsi" w:hAnsiTheme="majorHAnsi"/>
          <w:sz w:val="22"/>
          <w:szCs w:val="22"/>
        </w:rPr>
        <w:t xml:space="preserve">In an era of widespread use of antenatal pertussis vaccination, </w:t>
      </w:r>
      <w:r w:rsidR="009C46BF">
        <w:rPr>
          <w:rFonts w:asciiTheme="majorHAnsi" w:hAnsiTheme="majorHAnsi" w:cstheme="majorHAnsi"/>
          <w:sz w:val="22"/>
          <w:szCs w:val="22"/>
        </w:rPr>
        <w:t>w</w:t>
      </w:r>
      <w:r w:rsidRPr="00A02936">
        <w:rPr>
          <w:rFonts w:asciiTheme="majorHAnsi" w:hAnsiTheme="majorHAnsi" w:cstheme="majorHAnsi"/>
          <w:sz w:val="22"/>
          <w:szCs w:val="22"/>
        </w:rPr>
        <w:t>e provide evidence to suggest that either TdaP</w:t>
      </w:r>
      <w:r w:rsidRPr="00A02936">
        <w:rPr>
          <w:rFonts w:asciiTheme="majorHAnsi" w:hAnsiTheme="majorHAnsi" w:cstheme="majorHAnsi"/>
          <w:sz w:val="22"/>
          <w:szCs w:val="22"/>
          <w:vertAlign w:val="subscript"/>
        </w:rPr>
        <w:t>5</w:t>
      </w:r>
      <w:r w:rsidRPr="00A02936">
        <w:rPr>
          <w:rFonts w:asciiTheme="majorHAnsi" w:hAnsiTheme="majorHAnsi" w:cstheme="majorHAnsi"/>
          <w:sz w:val="22"/>
          <w:szCs w:val="22"/>
        </w:rPr>
        <w:t>-IPV or TdaP</w:t>
      </w:r>
      <w:r w:rsidRPr="00A02936">
        <w:rPr>
          <w:rFonts w:asciiTheme="majorHAnsi" w:hAnsiTheme="majorHAnsi" w:cstheme="majorHAnsi"/>
          <w:sz w:val="22"/>
          <w:szCs w:val="22"/>
          <w:vertAlign w:val="subscript"/>
        </w:rPr>
        <w:t>3</w:t>
      </w:r>
      <w:r w:rsidRPr="00A02936">
        <w:rPr>
          <w:rFonts w:asciiTheme="majorHAnsi" w:hAnsiTheme="majorHAnsi" w:cstheme="majorHAnsi"/>
          <w:sz w:val="22"/>
          <w:szCs w:val="22"/>
        </w:rPr>
        <w:t xml:space="preserve">-IPV vaccines may be used in pregnancy, with no </w:t>
      </w:r>
      <w:r w:rsidR="00920E23">
        <w:rPr>
          <w:rFonts w:asciiTheme="majorHAnsi" w:hAnsiTheme="majorHAnsi" w:cstheme="majorHAnsi"/>
          <w:sz w:val="22"/>
          <w:szCs w:val="22"/>
        </w:rPr>
        <w:t xml:space="preserve">major </w:t>
      </w:r>
      <w:r w:rsidRPr="00A02936">
        <w:rPr>
          <w:rFonts w:asciiTheme="majorHAnsi" w:hAnsiTheme="majorHAnsi" w:cstheme="majorHAnsi"/>
          <w:sz w:val="22"/>
          <w:szCs w:val="22"/>
        </w:rPr>
        <w:t>differential effect</w:t>
      </w:r>
      <w:r w:rsidR="00920E23">
        <w:rPr>
          <w:rFonts w:asciiTheme="majorHAnsi" w:hAnsiTheme="majorHAnsi" w:cstheme="majorHAnsi"/>
          <w:sz w:val="22"/>
          <w:szCs w:val="22"/>
        </w:rPr>
        <w:t>s</w:t>
      </w:r>
      <w:r w:rsidRPr="00A02936">
        <w:rPr>
          <w:rFonts w:asciiTheme="majorHAnsi" w:hAnsiTheme="majorHAnsi" w:cstheme="majorHAnsi"/>
          <w:sz w:val="22"/>
          <w:szCs w:val="22"/>
        </w:rPr>
        <w:t xml:space="preserve"> </w:t>
      </w:r>
      <w:r w:rsidR="00666D7A">
        <w:rPr>
          <w:rFonts w:asciiTheme="majorHAnsi" w:hAnsiTheme="majorHAnsi" w:cstheme="majorHAnsi"/>
          <w:sz w:val="22"/>
          <w:szCs w:val="22"/>
        </w:rPr>
        <w:t>between the</w:t>
      </w:r>
      <w:r w:rsidR="00C914CE">
        <w:rPr>
          <w:rFonts w:asciiTheme="majorHAnsi" w:hAnsiTheme="majorHAnsi" w:cstheme="majorHAnsi"/>
          <w:sz w:val="22"/>
          <w:szCs w:val="22"/>
        </w:rPr>
        <w:t xml:space="preserve"> vaccines</w:t>
      </w:r>
      <w:r w:rsidR="00666D7A">
        <w:rPr>
          <w:rFonts w:asciiTheme="majorHAnsi" w:hAnsiTheme="majorHAnsi" w:cstheme="majorHAnsi"/>
          <w:sz w:val="22"/>
          <w:szCs w:val="22"/>
        </w:rPr>
        <w:t xml:space="preserve"> </w:t>
      </w:r>
      <w:r w:rsidRPr="00A02936">
        <w:rPr>
          <w:rFonts w:asciiTheme="majorHAnsi" w:hAnsiTheme="majorHAnsi" w:cstheme="majorHAnsi"/>
          <w:sz w:val="22"/>
          <w:szCs w:val="22"/>
        </w:rPr>
        <w:t xml:space="preserve">on the </w:t>
      </w:r>
      <w:r w:rsidR="00920E23">
        <w:rPr>
          <w:rFonts w:asciiTheme="majorHAnsi" w:hAnsiTheme="majorHAnsi" w:cstheme="majorHAnsi"/>
          <w:sz w:val="22"/>
          <w:szCs w:val="22"/>
        </w:rPr>
        <w:t xml:space="preserve">antibody responses </w:t>
      </w:r>
      <w:r w:rsidRPr="00A02936">
        <w:rPr>
          <w:rFonts w:asciiTheme="majorHAnsi" w:hAnsiTheme="majorHAnsi" w:cstheme="majorHAnsi"/>
          <w:sz w:val="22"/>
          <w:szCs w:val="22"/>
        </w:rPr>
        <w:t xml:space="preserve">against pertussis into the </w:t>
      </w:r>
      <w:r w:rsidR="002A2E91" w:rsidRPr="00A02936">
        <w:rPr>
          <w:rFonts w:asciiTheme="majorHAnsi" w:hAnsiTheme="majorHAnsi" w:cstheme="majorHAnsi"/>
          <w:sz w:val="22"/>
          <w:szCs w:val="22"/>
        </w:rPr>
        <w:t>third</w:t>
      </w:r>
      <w:r w:rsidRPr="00A02936">
        <w:rPr>
          <w:rFonts w:asciiTheme="majorHAnsi" w:hAnsiTheme="majorHAnsi" w:cstheme="majorHAnsi"/>
          <w:sz w:val="22"/>
          <w:szCs w:val="22"/>
        </w:rPr>
        <w:t xml:space="preserve"> year of life. </w:t>
      </w:r>
      <w:r w:rsidR="00351160">
        <w:rPr>
          <w:rFonts w:asciiTheme="majorHAnsi" w:hAnsiTheme="majorHAnsi" w:cstheme="majorHAnsi"/>
          <w:sz w:val="22"/>
          <w:szCs w:val="22"/>
        </w:rPr>
        <w:t>The</w:t>
      </w:r>
      <w:r w:rsidR="00C13932">
        <w:rPr>
          <w:rFonts w:asciiTheme="majorHAnsi" w:hAnsiTheme="majorHAnsi" w:cstheme="majorHAnsi"/>
          <w:sz w:val="22"/>
          <w:szCs w:val="22"/>
        </w:rPr>
        <w:t xml:space="preserve">re is some evidence </w:t>
      </w:r>
      <w:r w:rsidR="002A2E91" w:rsidRPr="00A02936">
        <w:rPr>
          <w:rFonts w:asciiTheme="majorHAnsi" w:hAnsiTheme="majorHAnsi" w:cstheme="majorHAnsi"/>
          <w:sz w:val="22"/>
          <w:szCs w:val="22"/>
        </w:rPr>
        <w:t xml:space="preserve">of blunting </w:t>
      </w:r>
      <w:r w:rsidR="00C13932">
        <w:rPr>
          <w:rFonts w:asciiTheme="majorHAnsi" w:hAnsiTheme="majorHAnsi" w:cstheme="majorHAnsi"/>
          <w:sz w:val="22"/>
          <w:szCs w:val="22"/>
        </w:rPr>
        <w:t>of pertussis-specific antibody responses</w:t>
      </w:r>
      <w:r w:rsidR="009C46BF">
        <w:rPr>
          <w:rFonts w:asciiTheme="majorHAnsi" w:hAnsiTheme="majorHAnsi" w:cstheme="majorHAnsi"/>
          <w:sz w:val="22"/>
          <w:szCs w:val="22"/>
        </w:rPr>
        <w:t xml:space="preserve"> as a result of</w:t>
      </w:r>
      <w:r w:rsidR="00C13932">
        <w:rPr>
          <w:rFonts w:asciiTheme="majorHAnsi" w:hAnsiTheme="majorHAnsi" w:cstheme="majorHAnsi"/>
          <w:sz w:val="22"/>
          <w:szCs w:val="22"/>
        </w:rPr>
        <w:t xml:space="preserve"> </w:t>
      </w:r>
      <w:r w:rsidR="00351160">
        <w:rPr>
          <w:rFonts w:asciiTheme="majorHAnsi" w:hAnsiTheme="majorHAnsi" w:cstheme="majorHAnsi"/>
          <w:sz w:val="22"/>
          <w:szCs w:val="22"/>
        </w:rPr>
        <w:t>antenatal pertussis vaccination</w:t>
      </w:r>
      <w:r w:rsidR="00C13932">
        <w:rPr>
          <w:rFonts w:asciiTheme="majorHAnsi" w:hAnsiTheme="majorHAnsi" w:cstheme="majorHAnsi"/>
          <w:sz w:val="22"/>
          <w:szCs w:val="22"/>
        </w:rPr>
        <w:t>,</w:t>
      </w:r>
      <w:r w:rsidR="00351160">
        <w:rPr>
          <w:rFonts w:asciiTheme="majorHAnsi" w:hAnsiTheme="majorHAnsi" w:cstheme="majorHAnsi"/>
          <w:sz w:val="22"/>
          <w:szCs w:val="22"/>
        </w:rPr>
        <w:t xml:space="preserve"> </w:t>
      </w:r>
      <w:r w:rsidR="00C13932">
        <w:rPr>
          <w:rFonts w:asciiTheme="majorHAnsi" w:hAnsiTheme="majorHAnsi" w:cstheme="majorHAnsi"/>
          <w:sz w:val="22"/>
          <w:szCs w:val="22"/>
        </w:rPr>
        <w:t xml:space="preserve">which appears to </w:t>
      </w:r>
      <w:r w:rsidR="002A2E91" w:rsidRPr="00A02936">
        <w:rPr>
          <w:rFonts w:asciiTheme="majorHAnsi" w:hAnsiTheme="majorHAnsi" w:cstheme="majorHAnsi"/>
          <w:sz w:val="22"/>
          <w:szCs w:val="22"/>
        </w:rPr>
        <w:t xml:space="preserve">persist </w:t>
      </w:r>
      <w:r w:rsidR="002A2E91" w:rsidRPr="00A02936">
        <w:rPr>
          <w:rFonts w:asciiTheme="majorHAnsi" w:hAnsiTheme="majorHAnsi" w:cstheme="majorHAnsi"/>
          <w:sz w:val="22"/>
          <w:szCs w:val="22"/>
        </w:rPr>
        <w:lastRenderedPageBreak/>
        <w:t>until pre</w:t>
      </w:r>
      <w:r w:rsidR="009C46BF">
        <w:rPr>
          <w:rFonts w:asciiTheme="majorHAnsi" w:hAnsiTheme="majorHAnsi" w:cstheme="majorHAnsi"/>
          <w:sz w:val="22"/>
          <w:szCs w:val="22"/>
        </w:rPr>
        <w:t>-</w:t>
      </w:r>
      <w:r w:rsidR="002A2E91" w:rsidRPr="00A02936">
        <w:rPr>
          <w:rFonts w:asciiTheme="majorHAnsi" w:hAnsiTheme="majorHAnsi" w:cstheme="majorHAnsi"/>
          <w:sz w:val="22"/>
          <w:szCs w:val="22"/>
        </w:rPr>
        <w:t>school age</w:t>
      </w:r>
      <w:r w:rsidR="00902CA2">
        <w:rPr>
          <w:rFonts w:asciiTheme="majorHAnsi" w:hAnsiTheme="majorHAnsi" w:cstheme="majorHAnsi"/>
          <w:sz w:val="22"/>
          <w:szCs w:val="22"/>
        </w:rPr>
        <w:t>,</w:t>
      </w:r>
      <w:r w:rsidR="002A2E91" w:rsidRPr="00A02936">
        <w:rPr>
          <w:rFonts w:asciiTheme="majorHAnsi" w:hAnsiTheme="majorHAnsi" w:cstheme="majorHAnsi"/>
          <w:sz w:val="22"/>
          <w:szCs w:val="22"/>
        </w:rPr>
        <w:t xml:space="preserve"> </w:t>
      </w:r>
      <w:r w:rsidR="009C46BF" w:rsidRPr="00210E45">
        <w:rPr>
          <w:rFonts w:asciiTheme="majorHAnsi" w:hAnsiTheme="majorHAnsi"/>
          <w:sz w:val="22"/>
          <w:szCs w:val="22"/>
        </w:rPr>
        <w:t xml:space="preserve">although </w:t>
      </w:r>
      <w:r w:rsidR="009C46BF">
        <w:rPr>
          <w:rFonts w:asciiTheme="majorHAnsi" w:hAnsiTheme="majorHAnsi"/>
          <w:sz w:val="22"/>
          <w:szCs w:val="22"/>
        </w:rPr>
        <w:t xml:space="preserve">this is overcome by the administration of a booster dose and </w:t>
      </w:r>
      <w:r w:rsidR="009C46BF" w:rsidRPr="00210E45">
        <w:rPr>
          <w:rFonts w:asciiTheme="majorHAnsi" w:hAnsiTheme="majorHAnsi"/>
          <w:sz w:val="22"/>
          <w:szCs w:val="22"/>
        </w:rPr>
        <w:t xml:space="preserve">the clinical significance </w:t>
      </w:r>
      <w:r w:rsidR="009C46BF">
        <w:rPr>
          <w:rFonts w:asciiTheme="majorHAnsi" w:hAnsiTheme="majorHAnsi"/>
          <w:sz w:val="22"/>
          <w:szCs w:val="22"/>
        </w:rPr>
        <w:t xml:space="preserve">of this </w:t>
      </w:r>
      <w:r w:rsidR="0050260B">
        <w:rPr>
          <w:rFonts w:asciiTheme="majorHAnsi" w:hAnsiTheme="majorHAnsi"/>
          <w:sz w:val="22"/>
          <w:szCs w:val="22"/>
        </w:rPr>
        <w:t xml:space="preserve">blunting </w:t>
      </w:r>
      <w:r w:rsidR="009C46BF" w:rsidRPr="00210E45">
        <w:rPr>
          <w:rFonts w:asciiTheme="majorHAnsi" w:hAnsiTheme="majorHAnsi"/>
          <w:sz w:val="22"/>
          <w:szCs w:val="22"/>
        </w:rPr>
        <w:t>remains unclear.</w:t>
      </w:r>
    </w:p>
    <w:p w14:paraId="3CD459AB" w14:textId="000C40A0" w:rsidR="007C6C8E" w:rsidRDefault="007C6C8E" w:rsidP="001557AE">
      <w:pPr>
        <w:spacing w:line="480" w:lineRule="auto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7117F8B0" w14:textId="77777777" w:rsidR="00837CAA" w:rsidRDefault="00837CAA" w:rsidP="001557AE">
      <w:pPr>
        <w:spacing w:line="480" w:lineRule="auto"/>
        <w:rPr>
          <w:rFonts w:asciiTheme="majorHAnsi" w:hAnsiTheme="majorHAnsi" w:cstheme="majorHAnsi"/>
          <w:b/>
          <w:bCs/>
          <w:sz w:val="22"/>
          <w:szCs w:val="22"/>
          <w:lang w:val="en-US"/>
        </w:rPr>
      </w:pPr>
    </w:p>
    <w:p w14:paraId="03CF5EA4" w14:textId="5695686F" w:rsidR="007C6C8E" w:rsidRDefault="00A1605B" w:rsidP="001557AE">
      <w:pPr>
        <w:spacing w:line="480" w:lineRule="auto"/>
        <w:rPr>
          <w:rFonts w:asciiTheme="majorHAnsi" w:hAnsiTheme="majorHAnsi" w:cstheme="majorHAnsi"/>
          <w:b/>
          <w:bCs/>
          <w:lang w:val="en-US"/>
        </w:rPr>
      </w:pPr>
      <w:r w:rsidRPr="007C6C8E">
        <w:rPr>
          <w:rFonts w:asciiTheme="majorHAnsi" w:hAnsiTheme="majorHAnsi" w:cstheme="majorHAnsi"/>
          <w:b/>
          <w:bCs/>
          <w:lang w:val="en-US"/>
        </w:rPr>
        <w:t>Fundin</w:t>
      </w:r>
      <w:r w:rsidR="007C6C8E">
        <w:rPr>
          <w:rFonts w:asciiTheme="majorHAnsi" w:hAnsiTheme="majorHAnsi" w:cstheme="majorHAnsi"/>
          <w:b/>
          <w:bCs/>
          <w:lang w:val="en-US"/>
        </w:rPr>
        <w:t>g</w:t>
      </w:r>
    </w:p>
    <w:p w14:paraId="62B7428C" w14:textId="6AA1AC11" w:rsidR="007C6C8E" w:rsidRDefault="00ED202C" w:rsidP="001557AE">
      <w:pPr>
        <w:spacing w:line="480" w:lineRule="auto"/>
        <w:rPr>
          <w:rFonts w:asciiTheme="majorHAnsi" w:hAnsiTheme="majorHAnsi" w:cstheme="majorHAnsi"/>
          <w:b/>
          <w:bCs/>
          <w:lang w:val="en-US"/>
        </w:rPr>
      </w:pPr>
      <w:r w:rsidRPr="00ED202C">
        <w:rPr>
          <w:rFonts w:asciiTheme="majorHAnsi" w:hAnsiTheme="majorHAnsi" w:cstheme="majorHAnsi"/>
          <w:sz w:val="22"/>
          <w:szCs w:val="22"/>
          <w:lang w:val="en-US"/>
        </w:rPr>
        <w:t xml:space="preserve">This research is funded by the National Institute for Health Research (NIHR) Policy Research </w:t>
      </w:r>
      <w:proofErr w:type="spellStart"/>
      <w:r w:rsidRPr="00ED202C">
        <w:rPr>
          <w:rFonts w:asciiTheme="majorHAnsi" w:hAnsiTheme="majorHAnsi" w:cstheme="majorHAnsi"/>
          <w:sz w:val="22"/>
          <w:szCs w:val="22"/>
          <w:lang w:val="en-US"/>
        </w:rPr>
        <w:t>Programme</w:t>
      </w:r>
      <w:proofErr w:type="spellEnd"/>
      <w:r w:rsidRPr="00ED202C">
        <w:rPr>
          <w:rFonts w:asciiTheme="majorHAnsi" w:hAnsiTheme="majorHAnsi" w:cstheme="majorHAnsi"/>
          <w:sz w:val="22"/>
          <w:szCs w:val="22"/>
          <w:lang w:val="en-US"/>
        </w:rPr>
        <w:t xml:space="preserve"> (PR-R17-0916-22001). The views expressed are those of the author(s) and not necessarily those of the NIHR or the Department of Health and Social Care.</w:t>
      </w:r>
    </w:p>
    <w:p w14:paraId="71188B38" w14:textId="77777777" w:rsidR="00837CAA" w:rsidRPr="007C6C8E" w:rsidRDefault="00837CAA" w:rsidP="001557AE">
      <w:pPr>
        <w:spacing w:line="480" w:lineRule="auto"/>
        <w:rPr>
          <w:rFonts w:asciiTheme="majorHAnsi" w:hAnsiTheme="majorHAnsi" w:cstheme="majorHAnsi"/>
          <w:b/>
          <w:bCs/>
          <w:lang w:val="en-US"/>
        </w:rPr>
      </w:pPr>
    </w:p>
    <w:p w14:paraId="1E4EA081" w14:textId="1193738F" w:rsidR="007C6C8E" w:rsidRPr="00A1605B" w:rsidRDefault="007C6C8E" w:rsidP="001557AE">
      <w:pPr>
        <w:spacing w:line="480" w:lineRule="auto"/>
        <w:rPr>
          <w:rFonts w:asciiTheme="majorHAnsi" w:hAnsiTheme="majorHAnsi" w:cstheme="majorHAnsi"/>
          <w:b/>
          <w:bCs/>
          <w:lang w:val="en-US"/>
        </w:rPr>
      </w:pPr>
      <w:r w:rsidRPr="00A1605B">
        <w:rPr>
          <w:rFonts w:asciiTheme="majorHAnsi" w:hAnsiTheme="majorHAnsi" w:cstheme="majorHAnsi"/>
          <w:b/>
          <w:bCs/>
          <w:lang w:val="en-US"/>
        </w:rPr>
        <w:t>Conflict</w:t>
      </w:r>
      <w:r w:rsidR="00DD5AF4">
        <w:rPr>
          <w:rFonts w:asciiTheme="majorHAnsi" w:hAnsiTheme="majorHAnsi" w:cstheme="majorHAnsi"/>
          <w:b/>
          <w:bCs/>
          <w:lang w:val="en-US"/>
        </w:rPr>
        <w:t>s</w:t>
      </w:r>
      <w:r w:rsidRPr="00A1605B">
        <w:rPr>
          <w:rFonts w:asciiTheme="majorHAnsi" w:hAnsiTheme="majorHAnsi" w:cstheme="majorHAnsi"/>
          <w:b/>
          <w:bCs/>
          <w:lang w:val="en-US"/>
        </w:rPr>
        <w:t xml:space="preserve"> of Interest</w:t>
      </w:r>
    </w:p>
    <w:p w14:paraId="7314E7A9" w14:textId="66818754" w:rsidR="00DD5AF4" w:rsidRDefault="007C6C8E" w:rsidP="001557AE">
      <w:p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A1605B">
        <w:rPr>
          <w:rFonts w:asciiTheme="majorHAnsi" w:hAnsiTheme="majorHAnsi" w:cstheme="majorHAnsi"/>
          <w:sz w:val="22"/>
          <w:szCs w:val="22"/>
          <w:lang w:val="en-US"/>
        </w:rPr>
        <w:t xml:space="preserve">Matthew Snape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is the </w:t>
      </w:r>
      <w:r w:rsidR="00902FCD">
        <w:rPr>
          <w:rFonts w:asciiTheme="majorHAnsi" w:hAnsiTheme="majorHAnsi" w:cstheme="majorHAnsi"/>
          <w:sz w:val="22"/>
          <w:szCs w:val="22"/>
          <w:lang w:val="en-US"/>
        </w:rPr>
        <w:t>director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902FCD">
        <w:rPr>
          <w:rFonts w:asciiTheme="majorHAnsi" w:hAnsiTheme="majorHAnsi" w:cstheme="majorHAnsi"/>
          <w:sz w:val="22"/>
          <w:szCs w:val="22"/>
          <w:lang w:val="en-US"/>
        </w:rPr>
        <w:t xml:space="preserve">of </w:t>
      </w:r>
      <w:r w:rsidR="009C46BF">
        <w:rPr>
          <w:rFonts w:asciiTheme="majorHAnsi" w:hAnsiTheme="majorHAnsi" w:cstheme="majorHAnsi"/>
          <w:sz w:val="22"/>
          <w:szCs w:val="22"/>
          <w:lang w:val="en-US"/>
        </w:rPr>
        <w:t>NISEC,</w:t>
      </w:r>
      <w:r w:rsidR="00902FC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and </w:t>
      </w:r>
      <w:r w:rsidRPr="007C6C8E">
        <w:rPr>
          <w:rFonts w:asciiTheme="majorHAnsi" w:hAnsiTheme="majorHAnsi" w:cstheme="majorHAnsi"/>
          <w:sz w:val="22"/>
          <w:szCs w:val="22"/>
          <w:lang w:val="en-US"/>
        </w:rPr>
        <w:t>Paul Heath</w:t>
      </w:r>
      <w:r w:rsidR="003E639C">
        <w:rPr>
          <w:rFonts w:asciiTheme="majorHAnsi" w:hAnsiTheme="majorHAnsi" w:cstheme="majorHAnsi"/>
          <w:sz w:val="22"/>
          <w:szCs w:val="22"/>
          <w:lang w:val="en-US"/>
        </w:rPr>
        <w:t xml:space="preserve"> and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7C6C8E">
        <w:rPr>
          <w:rFonts w:asciiTheme="majorHAnsi" w:hAnsiTheme="majorHAnsi" w:cstheme="majorHAnsi"/>
          <w:sz w:val="22"/>
          <w:szCs w:val="22"/>
          <w:lang w:val="en-US"/>
        </w:rPr>
        <w:t xml:space="preserve">Bassam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Hallis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are </w:t>
      </w:r>
      <w:r w:rsidR="00902FCD">
        <w:rPr>
          <w:rFonts w:asciiTheme="majorHAnsi" w:hAnsiTheme="majorHAnsi" w:cstheme="majorHAnsi"/>
          <w:sz w:val="22"/>
          <w:szCs w:val="22"/>
          <w:lang w:val="en-US"/>
        </w:rPr>
        <w:t>members of the</w:t>
      </w:r>
      <w:r w:rsidR="00210DB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>NISEC</w:t>
      </w:r>
      <w:r w:rsidR="00902FCD">
        <w:rPr>
          <w:rFonts w:asciiTheme="majorHAnsi" w:hAnsiTheme="majorHAnsi" w:cstheme="majorHAnsi"/>
          <w:sz w:val="22"/>
          <w:szCs w:val="22"/>
          <w:lang w:val="en-US"/>
        </w:rPr>
        <w:t xml:space="preserve"> steering committee</w:t>
      </w:r>
      <w:r w:rsidR="0038738B">
        <w:rPr>
          <w:rFonts w:asciiTheme="majorHAnsi" w:hAnsiTheme="majorHAnsi" w:cstheme="majorHAnsi"/>
          <w:sz w:val="22"/>
          <w:szCs w:val="22"/>
          <w:lang w:val="en-US"/>
        </w:rPr>
        <w:t xml:space="preserve">, but none of them have received any </w:t>
      </w:r>
      <w:r w:rsidRPr="00A1605B">
        <w:rPr>
          <w:rFonts w:asciiTheme="majorHAnsi" w:hAnsiTheme="majorHAnsi" w:cstheme="majorHAnsi"/>
          <w:sz w:val="22"/>
          <w:szCs w:val="22"/>
          <w:lang w:val="en-US"/>
        </w:rPr>
        <w:t xml:space="preserve">personal funding from </w:t>
      </w:r>
      <w:r w:rsidR="0038738B">
        <w:rPr>
          <w:rFonts w:asciiTheme="majorHAnsi" w:hAnsiTheme="majorHAnsi" w:cstheme="majorHAnsi"/>
          <w:sz w:val="22"/>
          <w:szCs w:val="22"/>
          <w:lang w:val="en-US"/>
        </w:rPr>
        <w:t>NISEC.</w:t>
      </w:r>
      <w:r w:rsidRPr="00A1605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2C01F0">
        <w:rPr>
          <w:rFonts w:asciiTheme="majorHAnsi" w:hAnsiTheme="majorHAnsi" w:cstheme="majorHAnsi"/>
          <w:sz w:val="22"/>
          <w:szCs w:val="22"/>
          <w:lang w:val="en-US"/>
        </w:rPr>
        <w:t>Christine Jones and Paul Heath have conducted studies on behalf of St George’s University of London (Paul Heath)</w:t>
      </w:r>
      <w:r w:rsidR="008E0A7B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2C01F0">
        <w:rPr>
          <w:rFonts w:asciiTheme="majorHAnsi" w:hAnsiTheme="majorHAnsi" w:cstheme="majorHAnsi"/>
          <w:sz w:val="22"/>
          <w:szCs w:val="22"/>
          <w:lang w:val="en-US"/>
        </w:rPr>
        <w:t xml:space="preserve"> University of Southampton </w:t>
      </w:r>
      <w:r w:rsidR="00B5204E">
        <w:rPr>
          <w:rFonts w:asciiTheme="majorHAnsi" w:hAnsiTheme="majorHAnsi" w:cstheme="majorHAnsi"/>
          <w:sz w:val="22"/>
          <w:szCs w:val="22"/>
          <w:lang w:val="en-US"/>
        </w:rPr>
        <w:t xml:space="preserve">(Christine Jones) </w:t>
      </w:r>
      <w:r w:rsidR="002C01F0">
        <w:rPr>
          <w:rFonts w:asciiTheme="majorHAnsi" w:hAnsiTheme="majorHAnsi" w:cstheme="majorHAnsi"/>
          <w:sz w:val="22"/>
          <w:szCs w:val="22"/>
          <w:lang w:val="en-US"/>
        </w:rPr>
        <w:t>and University Hospital Southampton NHS Foundation Trust (Christine Jones)</w:t>
      </w:r>
      <w:r w:rsidR="00B5204E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2C01F0">
        <w:rPr>
          <w:rFonts w:asciiTheme="majorHAnsi" w:hAnsiTheme="majorHAnsi" w:cstheme="majorHAnsi"/>
          <w:sz w:val="22"/>
          <w:szCs w:val="22"/>
          <w:lang w:val="en-US"/>
        </w:rPr>
        <w:t xml:space="preserve"> funded by vaccine manufacturers, including </w:t>
      </w:r>
      <w:r w:rsidR="007D1CBA" w:rsidRPr="007D1CBA">
        <w:rPr>
          <w:rFonts w:asciiTheme="majorHAnsi" w:hAnsiTheme="majorHAnsi" w:cstheme="majorHAnsi"/>
          <w:sz w:val="22"/>
          <w:szCs w:val="22"/>
          <w:lang w:val="en-US"/>
        </w:rPr>
        <w:t>Glaxo Smith Kline (Paul Heath)</w:t>
      </w:r>
      <w:r w:rsidR="007D1CBA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7D1CBA" w:rsidRPr="007D1C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2C01F0">
        <w:rPr>
          <w:rFonts w:asciiTheme="majorHAnsi" w:hAnsiTheme="majorHAnsi" w:cstheme="majorHAnsi"/>
          <w:sz w:val="22"/>
          <w:szCs w:val="22"/>
          <w:lang w:val="en-US"/>
        </w:rPr>
        <w:t>Medicago</w:t>
      </w:r>
      <w:r w:rsidR="00B5204E">
        <w:rPr>
          <w:rFonts w:asciiTheme="majorHAnsi" w:hAnsiTheme="majorHAnsi" w:cstheme="majorHAnsi"/>
          <w:sz w:val="22"/>
          <w:szCs w:val="22"/>
          <w:lang w:val="en-US"/>
        </w:rPr>
        <w:t xml:space="preserve"> (Christine Jones),</w:t>
      </w:r>
      <w:r w:rsidR="007D1CB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B5204E">
        <w:rPr>
          <w:rFonts w:asciiTheme="majorHAnsi" w:hAnsiTheme="majorHAnsi" w:cstheme="majorHAnsi"/>
          <w:sz w:val="22"/>
          <w:szCs w:val="22"/>
          <w:lang w:val="en-US"/>
        </w:rPr>
        <w:t>Minerva</w:t>
      </w:r>
      <w:r w:rsidR="00841F85">
        <w:rPr>
          <w:rFonts w:asciiTheme="majorHAnsi" w:hAnsiTheme="majorHAnsi" w:cstheme="majorHAnsi"/>
          <w:sz w:val="22"/>
          <w:szCs w:val="22"/>
          <w:lang w:val="en-US"/>
        </w:rPr>
        <w:t>X</w:t>
      </w:r>
      <w:proofErr w:type="spellEnd"/>
      <w:r w:rsidR="00B5204E">
        <w:rPr>
          <w:rFonts w:asciiTheme="majorHAnsi" w:hAnsiTheme="majorHAnsi" w:cstheme="majorHAnsi"/>
          <w:sz w:val="22"/>
          <w:szCs w:val="22"/>
          <w:lang w:val="en-US"/>
        </w:rPr>
        <w:t xml:space="preserve"> (Christine Jones, Paul Heath), </w:t>
      </w:r>
      <w:proofErr w:type="spellStart"/>
      <w:r w:rsidR="00B5204E">
        <w:rPr>
          <w:rFonts w:asciiTheme="majorHAnsi" w:hAnsiTheme="majorHAnsi" w:cstheme="majorHAnsi"/>
          <w:sz w:val="22"/>
          <w:szCs w:val="22"/>
          <w:lang w:val="en-US"/>
        </w:rPr>
        <w:t>Moderna</w:t>
      </w:r>
      <w:proofErr w:type="spellEnd"/>
      <w:r w:rsidR="00B5204E">
        <w:rPr>
          <w:rFonts w:asciiTheme="majorHAnsi" w:hAnsiTheme="majorHAnsi" w:cstheme="majorHAnsi"/>
          <w:sz w:val="22"/>
          <w:szCs w:val="22"/>
          <w:lang w:val="en-US"/>
        </w:rPr>
        <w:t xml:space="preserve"> (Christine Jones), </w:t>
      </w:r>
      <w:proofErr w:type="spellStart"/>
      <w:r w:rsidR="007D1CBA" w:rsidRPr="007D1CBA">
        <w:rPr>
          <w:rFonts w:asciiTheme="majorHAnsi" w:hAnsiTheme="majorHAnsi" w:cstheme="majorHAnsi"/>
          <w:sz w:val="22"/>
          <w:szCs w:val="22"/>
          <w:lang w:val="en-US"/>
        </w:rPr>
        <w:t>Novovax</w:t>
      </w:r>
      <w:proofErr w:type="spellEnd"/>
      <w:r w:rsidR="007D1CBA" w:rsidRPr="007D1CBA">
        <w:rPr>
          <w:rFonts w:asciiTheme="majorHAnsi" w:hAnsiTheme="majorHAnsi" w:cstheme="majorHAnsi"/>
          <w:sz w:val="22"/>
          <w:szCs w:val="22"/>
          <w:lang w:val="en-US"/>
        </w:rPr>
        <w:t xml:space="preserve"> (Christine Jones)</w:t>
      </w:r>
      <w:r w:rsidR="007D1CBA">
        <w:rPr>
          <w:rFonts w:asciiTheme="majorHAnsi" w:hAnsiTheme="majorHAnsi" w:cstheme="majorHAnsi"/>
          <w:sz w:val="22"/>
          <w:szCs w:val="22"/>
          <w:lang w:val="en-US"/>
        </w:rPr>
        <w:t>,</w:t>
      </w:r>
      <w:r w:rsidR="007D1CBA" w:rsidRPr="007D1CBA">
        <w:rPr>
          <w:rFonts w:asciiTheme="majorHAnsi" w:hAnsiTheme="majorHAnsi" w:cstheme="majorHAnsi"/>
          <w:sz w:val="22"/>
          <w:szCs w:val="22"/>
          <w:lang w:val="en-US"/>
        </w:rPr>
        <w:t xml:space="preserve"> Pfizer (Christine Jones)</w:t>
      </w:r>
      <w:r w:rsidR="007D1CBA">
        <w:rPr>
          <w:rFonts w:asciiTheme="majorHAnsi" w:hAnsiTheme="majorHAnsi" w:cstheme="majorHAnsi"/>
          <w:sz w:val="22"/>
          <w:szCs w:val="22"/>
          <w:lang w:val="en-US"/>
        </w:rPr>
        <w:t xml:space="preserve"> and </w:t>
      </w:r>
      <w:proofErr w:type="spellStart"/>
      <w:r w:rsidR="00B5204E">
        <w:rPr>
          <w:rFonts w:asciiTheme="majorHAnsi" w:hAnsiTheme="majorHAnsi" w:cstheme="majorHAnsi"/>
          <w:sz w:val="22"/>
          <w:szCs w:val="22"/>
          <w:lang w:val="en-US"/>
        </w:rPr>
        <w:t>Re</w:t>
      </w:r>
      <w:r w:rsidR="00355F2E">
        <w:rPr>
          <w:rFonts w:asciiTheme="majorHAnsi" w:hAnsiTheme="majorHAnsi" w:cstheme="majorHAnsi"/>
          <w:sz w:val="22"/>
          <w:szCs w:val="22"/>
          <w:lang w:val="en-US"/>
        </w:rPr>
        <w:t>V</w:t>
      </w:r>
      <w:r w:rsidR="00B5204E">
        <w:rPr>
          <w:rFonts w:asciiTheme="majorHAnsi" w:hAnsiTheme="majorHAnsi" w:cstheme="majorHAnsi"/>
          <w:sz w:val="22"/>
          <w:szCs w:val="22"/>
          <w:lang w:val="en-US"/>
        </w:rPr>
        <w:t>iral</w:t>
      </w:r>
      <w:proofErr w:type="spellEnd"/>
      <w:r w:rsidR="00B5204E">
        <w:rPr>
          <w:rFonts w:asciiTheme="majorHAnsi" w:hAnsiTheme="majorHAnsi" w:cstheme="majorHAnsi"/>
          <w:sz w:val="22"/>
          <w:szCs w:val="22"/>
          <w:lang w:val="en-US"/>
        </w:rPr>
        <w:t xml:space="preserve"> (Christine Jones) within the last three years, but received no personal funding from these sources. Christine Jones has carried out consultancy or been a member of an advisory board or data safety and monitoring board for </w:t>
      </w:r>
      <w:proofErr w:type="spellStart"/>
      <w:r w:rsidR="00B5204E">
        <w:rPr>
          <w:rFonts w:asciiTheme="majorHAnsi" w:hAnsiTheme="majorHAnsi" w:cstheme="majorHAnsi"/>
          <w:sz w:val="22"/>
          <w:szCs w:val="22"/>
          <w:lang w:val="en-US"/>
        </w:rPr>
        <w:t>Moderna</w:t>
      </w:r>
      <w:proofErr w:type="spellEnd"/>
      <w:r w:rsidR="00B5204E">
        <w:rPr>
          <w:rFonts w:asciiTheme="majorHAnsi" w:hAnsiTheme="majorHAnsi" w:cstheme="majorHAnsi"/>
          <w:sz w:val="22"/>
          <w:szCs w:val="22"/>
          <w:lang w:val="en-US"/>
        </w:rPr>
        <w:t>, MSD, Pfizer, and Sanofi in the last three years, and she has received remuneration for these activities.</w:t>
      </w:r>
    </w:p>
    <w:p w14:paraId="4F2D4F97" w14:textId="27C9F3DE" w:rsidR="00A1605B" w:rsidRDefault="00A1605B" w:rsidP="001557AE">
      <w:pPr>
        <w:spacing w:line="480" w:lineRule="auto"/>
        <w:rPr>
          <w:rFonts w:asciiTheme="majorHAnsi" w:hAnsiTheme="majorHAnsi" w:cstheme="majorHAnsi"/>
          <w:b/>
          <w:bCs/>
        </w:rPr>
      </w:pPr>
    </w:p>
    <w:p w14:paraId="099D54B5" w14:textId="77777777" w:rsidR="00837CAA" w:rsidRPr="007C6C8E" w:rsidRDefault="00837CAA" w:rsidP="001557AE">
      <w:pPr>
        <w:spacing w:line="480" w:lineRule="auto"/>
        <w:rPr>
          <w:rFonts w:asciiTheme="majorHAnsi" w:hAnsiTheme="majorHAnsi" w:cstheme="majorHAnsi"/>
          <w:b/>
          <w:bCs/>
        </w:rPr>
      </w:pPr>
    </w:p>
    <w:p w14:paraId="53C08F89" w14:textId="1D7915B2" w:rsidR="00A1605B" w:rsidRDefault="00D25D6F" w:rsidP="001557AE">
      <w:pPr>
        <w:spacing w:line="480" w:lineRule="auto"/>
        <w:rPr>
          <w:rFonts w:asciiTheme="majorHAnsi" w:hAnsiTheme="majorHAnsi"/>
          <w:b/>
          <w:bCs/>
        </w:rPr>
      </w:pPr>
      <w:r w:rsidRPr="007C6C8E">
        <w:rPr>
          <w:rFonts w:asciiTheme="majorHAnsi" w:hAnsiTheme="majorHAnsi" w:cstheme="majorHAnsi"/>
          <w:b/>
          <w:bCs/>
        </w:rPr>
        <w:t>Clinical trial registr</w:t>
      </w:r>
      <w:r w:rsidR="00B05C2B">
        <w:rPr>
          <w:rFonts w:asciiTheme="majorHAnsi" w:hAnsiTheme="majorHAnsi" w:cstheme="majorHAnsi"/>
          <w:b/>
          <w:bCs/>
        </w:rPr>
        <w:t>ation</w:t>
      </w:r>
      <w:r w:rsidRPr="00A1605B">
        <w:rPr>
          <w:rFonts w:asciiTheme="majorHAnsi" w:hAnsiTheme="majorHAnsi"/>
          <w:b/>
          <w:bCs/>
        </w:rPr>
        <w:t xml:space="preserve"> number</w:t>
      </w:r>
    </w:p>
    <w:p w14:paraId="2A81613F" w14:textId="63E535BA" w:rsidR="00A1605B" w:rsidRPr="003E5258" w:rsidRDefault="0038738B" w:rsidP="001557AE">
      <w:p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38738B">
        <w:rPr>
          <w:rFonts w:asciiTheme="majorHAnsi" w:hAnsiTheme="majorHAnsi" w:cstheme="majorHAnsi"/>
          <w:sz w:val="22"/>
          <w:szCs w:val="22"/>
          <w:lang w:val="en-US"/>
        </w:rPr>
        <w:lastRenderedPageBreak/>
        <w:t xml:space="preserve">ClinicalTrials.gov: </w:t>
      </w:r>
      <w:r w:rsidR="00210DBE" w:rsidRPr="00210DBE">
        <w:rPr>
          <w:rFonts w:asciiTheme="majorHAnsi" w:hAnsiTheme="majorHAnsi" w:cstheme="majorHAnsi"/>
          <w:sz w:val="22"/>
          <w:szCs w:val="22"/>
          <w:lang w:val="en-US"/>
        </w:rPr>
        <w:t>NCT03578120</w:t>
      </w:r>
      <w:r w:rsidRPr="0038738B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4F306DC7" w14:textId="2C8812DC" w:rsidR="0064111B" w:rsidRDefault="0064111B" w:rsidP="001557AE">
      <w:pPr>
        <w:spacing w:line="480" w:lineRule="auto"/>
        <w:rPr>
          <w:rFonts w:asciiTheme="majorHAnsi" w:hAnsiTheme="majorHAnsi"/>
          <w:iCs/>
          <w:sz w:val="22"/>
          <w:szCs w:val="22"/>
        </w:rPr>
      </w:pPr>
    </w:p>
    <w:p w14:paraId="7B48462E" w14:textId="77777777" w:rsidR="003E5258" w:rsidRPr="0064111B" w:rsidRDefault="003E5258" w:rsidP="001557AE">
      <w:pPr>
        <w:spacing w:line="480" w:lineRule="auto"/>
        <w:rPr>
          <w:rFonts w:asciiTheme="majorHAnsi" w:hAnsiTheme="majorHAnsi"/>
          <w:iCs/>
          <w:sz w:val="22"/>
          <w:szCs w:val="22"/>
        </w:rPr>
      </w:pPr>
    </w:p>
    <w:p w14:paraId="68570E47" w14:textId="23846E1F" w:rsidR="00A1605B" w:rsidRPr="00A1605B" w:rsidRDefault="00A1605B" w:rsidP="001557AE">
      <w:p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A1605B">
        <w:rPr>
          <w:rFonts w:asciiTheme="majorHAnsi" w:hAnsiTheme="majorHAnsi"/>
          <w:b/>
          <w:bCs/>
        </w:rPr>
        <w:t xml:space="preserve">References </w:t>
      </w:r>
    </w:p>
    <w:p w14:paraId="24C942F8" w14:textId="77777777" w:rsidR="003C2CAD" w:rsidRPr="003C2CAD" w:rsidRDefault="003C2CAD" w:rsidP="001557AE">
      <w:pPr>
        <w:spacing w:line="480" w:lineRule="auto"/>
        <w:rPr>
          <w:rFonts w:asciiTheme="majorHAnsi" w:hAnsiTheme="majorHAnsi" w:cstheme="majorHAnsi"/>
          <w:sz w:val="22"/>
          <w:szCs w:val="22"/>
        </w:rPr>
      </w:pPr>
    </w:p>
    <w:p w14:paraId="7717B8D1" w14:textId="196632E0" w:rsidR="00D92641" w:rsidRDefault="003C2CAD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Amirthalingam G, Gupta S, Campbell H. Pertussis </w:t>
      </w:r>
      <w:proofErr w:type="spellStart"/>
      <w:r w:rsidRPr="00D92641">
        <w:rPr>
          <w:rFonts w:asciiTheme="majorHAnsi" w:hAnsiTheme="majorHAnsi" w:cstheme="majorHAnsi"/>
          <w:sz w:val="22"/>
          <w:szCs w:val="22"/>
          <w:lang w:val="en-US"/>
        </w:rPr>
        <w:t>immunisation</w:t>
      </w:r>
      <w:proofErr w:type="spellEnd"/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 and control in England and Wales, 1957 to 2012: a historical review. </w:t>
      </w:r>
      <w:r w:rsidRPr="00D92641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Euro </w:t>
      </w:r>
      <w:proofErr w:type="spellStart"/>
      <w:r w:rsidRPr="00D92641">
        <w:rPr>
          <w:rFonts w:asciiTheme="majorHAnsi" w:hAnsiTheme="majorHAnsi" w:cstheme="majorHAnsi"/>
          <w:i/>
          <w:iCs/>
          <w:sz w:val="22"/>
          <w:szCs w:val="22"/>
          <w:lang w:val="en-US"/>
        </w:rPr>
        <w:t>Surveill</w:t>
      </w:r>
      <w:proofErr w:type="spellEnd"/>
      <w:r w:rsidRPr="00D92641">
        <w:rPr>
          <w:rFonts w:asciiTheme="majorHAnsi" w:hAnsiTheme="majorHAnsi" w:cstheme="majorHAnsi"/>
          <w:sz w:val="22"/>
          <w:szCs w:val="22"/>
          <w:lang w:val="en-US"/>
        </w:rPr>
        <w:t>. 2013;18(38).</w:t>
      </w:r>
      <w:r w:rsidR="007E2E96" w:rsidRPr="007E2E96">
        <w:t xml:space="preserve"> </w:t>
      </w:r>
      <w:r w:rsidR="007E2E96" w:rsidRPr="00D92641">
        <w:rPr>
          <w:rFonts w:asciiTheme="majorHAnsi" w:hAnsiTheme="majorHAnsi" w:cstheme="majorHAnsi"/>
          <w:sz w:val="22"/>
          <w:szCs w:val="22"/>
          <w:lang w:val="en-US"/>
        </w:rPr>
        <w:t>doi:10.2807/1560-7917.es2013.18.38.20587.</w:t>
      </w:r>
    </w:p>
    <w:p w14:paraId="13F4B64B" w14:textId="12B88740" w:rsidR="00D92641" w:rsidRDefault="003C2CAD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325DB0">
        <w:rPr>
          <w:rFonts w:asciiTheme="majorHAnsi" w:hAnsiTheme="majorHAnsi" w:cstheme="majorHAnsi"/>
          <w:sz w:val="22"/>
          <w:szCs w:val="22"/>
          <w:lang w:val="pt-BR"/>
        </w:rPr>
        <w:t xml:space="preserve">Amirthalingam G, Campbell H, Ribeiro S, et al. 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Sustained Effectiveness of the Maternal Pertussis Immunization Program in England 3 Years Following Introduction. </w:t>
      </w:r>
      <w:r w:rsidRPr="00D92641">
        <w:rPr>
          <w:rFonts w:asciiTheme="majorHAnsi" w:hAnsiTheme="majorHAnsi" w:cstheme="majorHAnsi"/>
          <w:i/>
          <w:iCs/>
          <w:sz w:val="22"/>
          <w:szCs w:val="22"/>
          <w:lang w:val="en-US"/>
        </w:rPr>
        <w:t>Clin Infect Dis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>. 2016;63(suppl 4</w:t>
      </w:r>
      <w:proofErr w:type="gramStart"/>
      <w:r w:rsidRPr="00D92641">
        <w:rPr>
          <w:rFonts w:asciiTheme="majorHAnsi" w:hAnsiTheme="majorHAnsi" w:cstheme="majorHAnsi"/>
          <w:sz w:val="22"/>
          <w:szCs w:val="22"/>
          <w:lang w:val="en-US"/>
        </w:rPr>
        <w:t>):S</w:t>
      </w:r>
      <w:proofErr w:type="gramEnd"/>
      <w:r w:rsidRPr="00D92641">
        <w:rPr>
          <w:rFonts w:asciiTheme="majorHAnsi" w:hAnsiTheme="majorHAnsi" w:cstheme="majorHAnsi"/>
          <w:sz w:val="22"/>
          <w:szCs w:val="22"/>
          <w:lang w:val="en-US"/>
        </w:rPr>
        <w:t>236-S243. doi:10.1093/</w:t>
      </w:r>
      <w:proofErr w:type="spellStart"/>
      <w:r w:rsidRPr="00D92641">
        <w:rPr>
          <w:rFonts w:asciiTheme="majorHAnsi" w:hAnsiTheme="majorHAnsi" w:cstheme="majorHAnsi"/>
          <w:sz w:val="22"/>
          <w:szCs w:val="22"/>
          <w:lang w:val="en-US"/>
        </w:rPr>
        <w:t>cid</w:t>
      </w:r>
      <w:proofErr w:type="spellEnd"/>
      <w:r w:rsidRPr="00D92641">
        <w:rPr>
          <w:rFonts w:asciiTheme="majorHAnsi" w:hAnsiTheme="majorHAnsi" w:cstheme="majorHAnsi"/>
          <w:sz w:val="22"/>
          <w:szCs w:val="22"/>
          <w:lang w:val="en-US"/>
        </w:rPr>
        <w:t>/ciw559.</w:t>
      </w:r>
    </w:p>
    <w:p w14:paraId="4C295C19" w14:textId="7F2B047A" w:rsidR="0039220A" w:rsidRPr="0039220A" w:rsidRDefault="0039220A" w:rsidP="00ED45E3">
      <w:pPr>
        <w:pStyle w:val="ListParagraph"/>
        <w:numPr>
          <w:ilvl w:val="0"/>
          <w:numId w:val="11"/>
        </w:numPr>
        <w:spacing w:line="480" w:lineRule="auto"/>
        <w:rPr>
          <w:rFonts w:asciiTheme="majorHAnsi" w:eastAsia="Times New Roman" w:hAnsiTheme="majorHAnsi" w:cstheme="majorHAnsi"/>
          <w:color w:val="000000" w:themeColor="text1"/>
          <w:sz w:val="22"/>
          <w:szCs w:val="22"/>
          <w:lang w:eastAsia="en-GB"/>
        </w:rPr>
      </w:pPr>
      <w:r w:rsidRPr="000400C6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WHO. Weekly epidemiological record. 23 May 2014, vol. 89, 21. pp. 221–236.</w:t>
      </w:r>
    </w:p>
    <w:p w14:paraId="64AC055F" w14:textId="77777777" w:rsidR="00C815CF" w:rsidRDefault="00C815CF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Public Health England. 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Health Protection Report </w:t>
      </w:r>
      <w:r>
        <w:rPr>
          <w:rFonts w:asciiTheme="majorHAnsi" w:hAnsiTheme="majorHAnsi" w:cstheme="majorHAnsi"/>
          <w:sz w:val="22"/>
          <w:szCs w:val="22"/>
          <w:lang w:val="en-US"/>
        </w:rPr>
        <w:t>13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>(</w:t>
      </w:r>
      <w:r>
        <w:rPr>
          <w:rFonts w:asciiTheme="majorHAnsi" w:hAnsiTheme="majorHAnsi" w:cstheme="majorHAnsi"/>
          <w:sz w:val="22"/>
          <w:szCs w:val="22"/>
          <w:lang w:val="en-US"/>
        </w:rPr>
        <w:t>41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), </w:t>
      </w:r>
      <w:r>
        <w:rPr>
          <w:rFonts w:asciiTheme="majorHAnsi" w:hAnsiTheme="majorHAnsi" w:cstheme="majorHAnsi"/>
          <w:sz w:val="22"/>
          <w:szCs w:val="22"/>
          <w:lang w:val="en-US"/>
        </w:rPr>
        <w:t>20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>December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 201</w:t>
      </w:r>
      <w:r>
        <w:rPr>
          <w:rFonts w:asciiTheme="majorHAnsi" w:hAnsiTheme="majorHAnsi" w:cstheme="majorHAnsi"/>
          <w:sz w:val="22"/>
          <w:szCs w:val="22"/>
          <w:lang w:val="en-US"/>
        </w:rPr>
        <w:t>9.</w:t>
      </w:r>
    </w:p>
    <w:p w14:paraId="39F6F6F6" w14:textId="5A29D7EE" w:rsidR="00F9639B" w:rsidRDefault="003C2CAD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Ladhani SN, Andrews NJ, Southern J, et al. Antibody Responses After Primary Immunization in Infants Born to Women Receiving a Pertussis-containing Vaccine During Pregnancy: Single Arm Observational Study </w:t>
      </w:r>
      <w:r w:rsidR="0064111B" w:rsidRPr="00D92641">
        <w:rPr>
          <w:rFonts w:asciiTheme="majorHAnsi" w:hAnsiTheme="majorHAnsi" w:cstheme="majorHAnsi"/>
          <w:sz w:val="22"/>
          <w:szCs w:val="22"/>
          <w:lang w:val="en-US"/>
        </w:rPr>
        <w:t>with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 xml:space="preserve"> a Historical Comparator. </w:t>
      </w:r>
      <w:r w:rsidRPr="00D92641">
        <w:rPr>
          <w:rFonts w:asciiTheme="majorHAnsi" w:hAnsiTheme="majorHAnsi" w:cstheme="majorHAnsi"/>
          <w:i/>
          <w:iCs/>
          <w:sz w:val="22"/>
          <w:szCs w:val="22"/>
          <w:lang w:val="en-US"/>
        </w:rPr>
        <w:t>Clin Infect Dis</w:t>
      </w:r>
      <w:r w:rsidRPr="00D92641">
        <w:rPr>
          <w:rFonts w:asciiTheme="majorHAnsi" w:hAnsiTheme="majorHAnsi" w:cstheme="majorHAnsi"/>
          <w:sz w:val="22"/>
          <w:szCs w:val="22"/>
          <w:lang w:val="en-US"/>
        </w:rPr>
        <w:t>. 2015;61(11):1637-1644. doi:10.1093/</w:t>
      </w:r>
      <w:proofErr w:type="spellStart"/>
      <w:r w:rsidRPr="00D92641">
        <w:rPr>
          <w:rFonts w:asciiTheme="majorHAnsi" w:hAnsiTheme="majorHAnsi" w:cstheme="majorHAnsi"/>
          <w:sz w:val="22"/>
          <w:szCs w:val="22"/>
          <w:lang w:val="en-US"/>
        </w:rPr>
        <w:t>cid</w:t>
      </w:r>
      <w:proofErr w:type="spellEnd"/>
      <w:r w:rsidRPr="00D92641">
        <w:rPr>
          <w:rFonts w:asciiTheme="majorHAnsi" w:hAnsiTheme="majorHAnsi" w:cstheme="majorHAnsi"/>
          <w:sz w:val="22"/>
          <w:szCs w:val="22"/>
          <w:lang w:val="en-US"/>
        </w:rPr>
        <w:t>/civ695.</w:t>
      </w:r>
    </w:p>
    <w:p w14:paraId="31C09BE3" w14:textId="63F2BB26" w:rsidR="00F9639B" w:rsidRDefault="00F9639B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F9639B">
        <w:rPr>
          <w:rFonts w:asciiTheme="majorHAnsi" w:hAnsiTheme="majorHAnsi" w:cstheme="majorHAnsi"/>
          <w:sz w:val="22"/>
          <w:szCs w:val="22"/>
          <w:lang w:val="en-US"/>
        </w:rPr>
        <w:t>Amirthalingam G Andrews NJ, Campbell H, et al.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9639B">
        <w:rPr>
          <w:rFonts w:asciiTheme="majorHAnsi" w:hAnsiTheme="majorHAnsi" w:cstheme="majorHAnsi"/>
          <w:sz w:val="22"/>
          <w:szCs w:val="22"/>
          <w:lang w:val="en-US"/>
        </w:rPr>
        <w:t>Effectiveness of maternal pertussis vaccination in England: an observational study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Pr="00F9639B">
        <w:rPr>
          <w:rFonts w:asciiTheme="majorHAnsi" w:hAnsiTheme="majorHAnsi" w:cstheme="majorHAnsi"/>
          <w:i/>
          <w:iCs/>
          <w:sz w:val="22"/>
          <w:szCs w:val="22"/>
          <w:lang w:val="en-US"/>
        </w:rPr>
        <w:t>Lancet</w:t>
      </w:r>
      <w:r w:rsidR="000447BF">
        <w:rPr>
          <w:rFonts w:asciiTheme="majorHAnsi" w:hAnsiTheme="majorHAnsi" w:cstheme="majorHAnsi"/>
          <w:i/>
          <w:iCs/>
          <w:sz w:val="22"/>
          <w:szCs w:val="22"/>
          <w:lang w:val="en-US"/>
        </w:rPr>
        <w:t>.</w:t>
      </w:r>
      <w:r w:rsidRPr="00F9639B">
        <w:rPr>
          <w:rFonts w:asciiTheme="majorHAnsi" w:hAnsiTheme="majorHAnsi" w:cstheme="majorHAnsi"/>
          <w:i/>
          <w:iCs/>
          <w:sz w:val="22"/>
          <w:szCs w:val="22"/>
          <w:lang w:val="en-US"/>
        </w:rPr>
        <w:t xml:space="preserve"> </w:t>
      </w:r>
      <w:r w:rsidRPr="00F9639B">
        <w:rPr>
          <w:rFonts w:asciiTheme="majorHAnsi" w:hAnsiTheme="majorHAnsi" w:cstheme="majorHAnsi"/>
          <w:sz w:val="22"/>
          <w:szCs w:val="22"/>
          <w:lang w:val="en-US"/>
        </w:rPr>
        <w:t>2014</w:t>
      </w:r>
      <w:r>
        <w:rPr>
          <w:rFonts w:asciiTheme="majorHAnsi" w:hAnsiTheme="majorHAnsi" w:cstheme="majorHAnsi"/>
          <w:sz w:val="22"/>
          <w:szCs w:val="22"/>
          <w:lang w:val="en-US"/>
        </w:rPr>
        <w:t>;</w:t>
      </w:r>
      <w:r w:rsidRPr="00F9639B">
        <w:rPr>
          <w:rFonts w:asciiTheme="majorHAnsi" w:hAnsiTheme="majorHAnsi" w:cstheme="majorHAnsi"/>
          <w:sz w:val="22"/>
          <w:szCs w:val="22"/>
          <w:lang w:val="en-US"/>
        </w:rPr>
        <w:t>384(9953):1521-8.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F9639B">
        <w:rPr>
          <w:rFonts w:asciiTheme="majorHAnsi" w:hAnsiTheme="majorHAnsi" w:cstheme="majorHAnsi"/>
          <w:sz w:val="22"/>
          <w:szCs w:val="22"/>
          <w:lang w:val="en-US"/>
        </w:rPr>
        <w:t xml:space="preserve">doi:10.1016/S0140-6736(14)60686-3. </w:t>
      </w:r>
      <w:proofErr w:type="spellStart"/>
      <w:r w:rsidRPr="00F9639B">
        <w:rPr>
          <w:rFonts w:asciiTheme="majorHAnsi" w:hAnsiTheme="majorHAnsi" w:cstheme="majorHAnsi"/>
          <w:sz w:val="22"/>
          <w:szCs w:val="22"/>
          <w:lang w:val="en-US"/>
        </w:rPr>
        <w:t>Epub</w:t>
      </w:r>
      <w:proofErr w:type="spellEnd"/>
      <w:r w:rsidRPr="00F9639B">
        <w:rPr>
          <w:rFonts w:asciiTheme="majorHAnsi" w:hAnsiTheme="majorHAnsi" w:cstheme="majorHAnsi"/>
          <w:sz w:val="22"/>
          <w:szCs w:val="22"/>
          <w:lang w:val="en-US"/>
        </w:rPr>
        <w:t xml:space="preserve"> 2014 Jul 15.</w:t>
      </w:r>
    </w:p>
    <w:p w14:paraId="441D7E92" w14:textId="77777777" w:rsidR="00B506D7" w:rsidRPr="00B506D7" w:rsidRDefault="00B506D7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325DB0">
        <w:rPr>
          <w:rFonts w:ascii="Calibri" w:hAnsi="Calibri" w:cs="Calibri"/>
          <w:sz w:val="22"/>
          <w:szCs w:val="22"/>
          <w:lang w:val="it-IT"/>
        </w:rPr>
        <w:t xml:space="preserve">Munoz FM, Bond NH, Maccato M, et al. </w:t>
      </w:r>
      <w:r w:rsidRPr="00B506D7">
        <w:rPr>
          <w:rFonts w:ascii="Calibri" w:hAnsi="Calibri" w:cs="Calibri"/>
          <w:sz w:val="22"/>
          <w:szCs w:val="22"/>
          <w:lang w:val="en-US"/>
        </w:rPr>
        <w:t xml:space="preserve">Safety and immunogenicity of tetanus diphtheria and acellular pertussis (Tdap) immunization during pregnancy in mothers and infants: a randomized clinical trial. </w:t>
      </w:r>
      <w:r w:rsidRPr="00B506D7">
        <w:rPr>
          <w:rFonts w:ascii="Calibri" w:hAnsi="Calibri" w:cs="Calibri"/>
          <w:i/>
          <w:iCs/>
          <w:sz w:val="22"/>
          <w:szCs w:val="22"/>
          <w:lang w:val="en-US"/>
        </w:rPr>
        <w:t>JAMA</w:t>
      </w:r>
      <w:r w:rsidRPr="00B506D7">
        <w:rPr>
          <w:rFonts w:ascii="Calibri" w:hAnsi="Calibri" w:cs="Calibri"/>
          <w:sz w:val="22"/>
          <w:szCs w:val="22"/>
          <w:lang w:val="en-US"/>
        </w:rPr>
        <w:t>. 2014;311(17):1760-1769. doi:10.1001/jama.2014.3633.</w:t>
      </w:r>
    </w:p>
    <w:p w14:paraId="57E38BEA" w14:textId="77777777" w:rsidR="00B506D7" w:rsidRPr="00B506D7" w:rsidRDefault="00B506D7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B506D7">
        <w:rPr>
          <w:rFonts w:ascii="Calibri" w:hAnsi="Calibri" w:cs="Calibri"/>
          <w:sz w:val="22"/>
          <w:szCs w:val="22"/>
          <w:lang w:val="en-US"/>
        </w:rPr>
        <w:lastRenderedPageBreak/>
        <w:t xml:space="preserve">Hardy-Fairbanks AJ, Pan SJ, Decker MD, et al. Immune responses in infants whose mothers received Tdap vaccine during pregnancy. </w:t>
      </w:r>
      <w:r w:rsidRPr="00B506D7">
        <w:rPr>
          <w:rFonts w:ascii="Calibri" w:hAnsi="Calibri" w:cs="Calibri"/>
          <w:i/>
          <w:iCs/>
          <w:sz w:val="22"/>
          <w:szCs w:val="22"/>
          <w:lang w:val="en-US"/>
        </w:rPr>
        <w:t>PIDJ</w:t>
      </w:r>
      <w:r w:rsidRPr="00B506D7">
        <w:rPr>
          <w:rFonts w:ascii="Calibri" w:hAnsi="Calibri" w:cs="Calibri"/>
          <w:sz w:val="22"/>
          <w:szCs w:val="22"/>
          <w:lang w:val="en-US"/>
        </w:rPr>
        <w:t>. 2013;32(11):1257-1260. doi:10.1097/INF.0b013e3182a09b6a.</w:t>
      </w:r>
    </w:p>
    <w:p w14:paraId="56FC106C" w14:textId="77777777" w:rsidR="00B506D7" w:rsidRPr="00B506D7" w:rsidRDefault="00B506D7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Maertens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 xml:space="preserve"> K, </w:t>
      </w: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Caboré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 xml:space="preserve"> RN, </w:t>
      </w: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Huygen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 xml:space="preserve"> K, Hens N, Van Damme P, </w:t>
      </w: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Leuridan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 xml:space="preserve"> E. Pertussis vaccination during pregnancy in Belgium: Results of a prospective controlled cohort study. </w:t>
      </w:r>
      <w:r w:rsidRPr="00B506D7">
        <w:rPr>
          <w:rFonts w:ascii="Calibri" w:hAnsi="Calibri" w:cs="Calibri"/>
          <w:i/>
          <w:iCs/>
          <w:sz w:val="22"/>
          <w:szCs w:val="22"/>
          <w:lang w:val="en-US"/>
        </w:rPr>
        <w:t>Vaccine</w:t>
      </w:r>
      <w:r w:rsidRPr="00B506D7">
        <w:rPr>
          <w:rFonts w:ascii="Calibri" w:hAnsi="Calibri" w:cs="Calibri"/>
          <w:sz w:val="22"/>
          <w:szCs w:val="22"/>
          <w:lang w:val="en-US"/>
        </w:rPr>
        <w:t>. 2016;34(1):142-150. doi:10.1016/j.vaccine.2015.10.100.</w:t>
      </w:r>
    </w:p>
    <w:p w14:paraId="5144FA54" w14:textId="77777777" w:rsidR="00B506D7" w:rsidRPr="00B506D7" w:rsidRDefault="00B506D7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B506D7">
        <w:rPr>
          <w:rFonts w:ascii="Calibri" w:hAnsi="Calibri" w:cs="Calibri"/>
          <w:sz w:val="22"/>
          <w:szCs w:val="22"/>
          <w:lang w:val="en-US"/>
        </w:rPr>
        <w:t xml:space="preserve">Hoang HTT, </w:t>
      </w: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Leuridan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 xml:space="preserve"> E, </w:t>
      </w: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Maertens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 xml:space="preserve"> K, et al. Pertussis vaccination during pregnancy in Vietnam: Results of a randomized controlled trial Pertussis vaccination during pregnancy. </w:t>
      </w:r>
      <w:r w:rsidRPr="00B506D7">
        <w:rPr>
          <w:rFonts w:ascii="Calibri" w:hAnsi="Calibri" w:cs="Calibri"/>
          <w:i/>
          <w:iCs/>
          <w:sz w:val="22"/>
          <w:szCs w:val="22"/>
          <w:lang w:val="en-US"/>
        </w:rPr>
        <w:t>Vaccine</w:t>
      </w:r>
      <w:r w:rsidRPr="00B506D7">
        <w:rPr>
          <w:rFonts w:ascii="Calibri" w:hAnsi="Calibri" w:cs="Calibri"/>
          <w:sz w:val="22"/>
          <w:szCs w:val="22"/>
          <w:lang w:val="en-US"/>
        </w:rPr>
        <w:t>. 2016;34(1):151-159. doi:10.1016/j.vaccine.2015.10.098.</w:t>
      </w:r>
    </w:p>
    <w:p w14:paraId="55563EF7" w14:textId="1ED734C8" w:rsidR="000447BF" w:rsidRPr="00ED45E3" w:rsidRDefault="00B506D7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325DB0">
        <w:rPr>
          <w:rFonts w:ascii="Calibri" w:hAnsi="Calibri" w:cs="Calibri"/>
          <w:sz w:val="22"/>
          <w:szCs w:val="22"/>
          <w:lang w:val="nb-NO"/>
        </w:rPr>
        <w:t xml:space="preserve">Halperin SA, Langley JM, Ye L, et al. </w:t>
      </w:r>
      <w:r w:rsidRPr="00B506D7">
        <w:rPr>
          <w:rFonts w:ascii="Calibri" w:hAnsi="Calibri" w:cs="Calibri"/>
          <w:sz w:val="22"/>
          <w:szCs w:val="22"/>
          <w:lang w:val="en-US"/>
        </w:rPr>
        <w:t xml:space="preserve">A Randomized Controlled Trial of the Safety and Immunogenicity of Tetanus, Diphtheria, and Acellular Pertussis Vaccine Immunization During Pregnancy and Subsequent Infant Immune Response. </w:t>
      </w:r>
      <w:r w:rsidRPr="00B506D7">
        <w:rPr>
          <w:rFonts w:ascii="Calibri" w:hAnsi="Calibri" w:cs="Calibri"/>
          <w:i/>
          <w:iCs/>
          <w:sz w:val="22"/>
          <w:szCs w:val="22"/>
          <w:lang w:val="en-US"/>
        </w:rPr>
        <w:t>Clin Infect Dis</w:t>
      </w:r>
      <w:r w:rsidRPr="00B506D7">
        <w:rPr>
          <w:rFonts w:ascii="Calibri" w:hAnsi="Calibri" w:cs="Calibri"/>
          <w:sz w:val="22"/>
          <w:szCs w:val="22"/>
          <w:lang w:val="en-US"/>
        </w:rPr>
        <w:t>. 2018;67(7):1063-1071. doi:10.1093/</w:t>
      </w:r>
      <w:proofErr w:type="spellStart"/>
      <w:r w:rsidRPr="00B506D7">
        <w:rPr>
          <w:rFonts w:ascii="Calibri" w:hAnsi="Calibri" w:cs="Calibri"/>
          <w:sz w:val="22"/>
          <w:szCs w:val="22"/>
          <w:lang w:val="en-US"/>
        </w:rPr>
        <w:t>cid</w:t>
      </w:r>
      <w:proofErr w:type="spellEnd"/>
      <w:r w:rsidRPr="00B506D7">
        <w:rPr>
          <w:rFonts w:ascii="Calibri" w:hAnsi="Calibri" w:cs="Calibri"/>
          <w:sz w:val="22"/>
          <w:szCs w:val="22"/>
          <w:lang w:val="en-US"/>
        </w:rPr>
        <w:t>/ciy244.</w:t>
      </w:r>
    </w:p>
    <w:p w14:paraId="4110A15E" w14:textId="6F95ACF5" w:rsidR="00273D69" w:rsidRPr="00273D69" w:rsidRDefault="00273D69" w:rsidP="00ED45E3">
      <w:pPr>
        <w:pStyle w:val="ListParagraph"/>
        <w:numPr>
          <w:ilvl w:val="0"/>
          <w:numId w:val="11"/>
        </w:numPr>
        <w:spacing w:line="480" w:lineRule="auto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</w:pPr>
      <w:r w:rsidRPr="00325DB0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val="fr-FR" w:eastAsia="en-GB"/>
        </w:rPr>
        <w:t xml:space="preserve">Jones CE, Calvert A, </w:t>
      </w:r>
      <w:proofErr w:type="spellStart"/>
      <w:r w:rsidRPr="00325DB0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val="fr-FR" w:eastAsia="en-GB"/>
        </w:rPr>
        <w:t>Southern</w:t>
      </w:r>
      <w:proofErr w:type="spellEnd"/>
      <w:r w:rsidRPr="00325DB0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val="fr-FR" w:eastAsia="en-GB"/>
        </w:rPr>
        <w:t xml:space="preserve"> J, et al. </w:t>
      </w:r>
      <w:r w:rsidRPr="00243B3D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A phase IV, multi-centre, randomized clinical trial comparing two pertussis-containing vaccines in pregnant women in England and vaccine responses in their infants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. </w:t>
      </w:r>
      <w:r w:rsidRPr="00243B3D">
        <w:rPr>
          <w:rFonts w:asciiTheme="majorHAnsi" w:eastAsia="Times New Roman" w:hAnsiTheme="majorHAnsi" w:cstheme="majorHAnsi"/>
          <w:i/>
          <w:iCs/>
          <w:color w:val="000000" w:themeColor="text1"/>
          <w:sz w:val="22"/>
          <w:szCs w:val="22"/>
          <w:shd w:val="clear" w:color="auto" w:fill="FFFFFF"/>
          <w:lang w:eastAsia="en-GB"/>
        </w:rPr>
        <w:t>BMC Med.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2021;19(138). d</w:t>
      </w:r>
      <w:r w:rsidRPr="00243B3D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oi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:</w:t>
      </w:r>
      <w:r w:rsidRPr="00243B3D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10.1186/s12916-021-02005-5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.</w:t>
      </w:r>
    </w:p>
    <w:p w14:paraId="6155D256" w14:textId="7DC861A0" w:rsidR="000447BF" w:rsidRPr="00FD4342" w:rsidRDefault="000447BF" w:rsidP="001557AE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0447BF">
        <w:rPr>
          <w:rFonts w:ascii="Calibri" w:hAnsi="Calibri" w:cs="Calibri"/>
          <w:sz w:val="22"/>
          <w:szCs w:val="22"/>
          <w:lang w:val="en-US"/>
        </w:rPr>
        <w:t xml:space="preserve">Public Health England. </w:t>
      </w:r>
      <w:proofErr w:type="spellStart"/>
      <w:r w:rsidRPr="000447BF">
        <w:rPr>
          <w:rFonts w:ascii="Calibri" w:hAnsi="Calibri" w:cs="Calibri"/>
          <w:sz w:val="22"/>
          <w:szCs w:val="22"/>
          <w:lang w:val="en-US"/>
        </w:rPr>
        <w:t>Immunisation</w:t>
      </w:r>
      <w:proofErr w:type="spellEnd"/>
      <w:r w:rsidRPr="000447BF">
        <w:rPr>
          <w:rFonts w:ascii="Calibri" w:hAnsi="Calibri" w:cs="Calibri"/>
          <w:sz w:val="22"/>
          <w:szCs w:val="22"/>
          <w:lang w:val="en-US"/>
        </w:rPr>
        <w:t xml:space="preserve"> against infectious disease. </w:t>
      </w:r>
      <w:r>
        <w:rPr>
          <w:rFonts w:ascii="Calibri" w:hAnsi="Calibri" w:cs="Calibri"/>
          <w:sz w:val="22"/>
          <w:szCs w:val="22"/>
          <w:lang w:val="en-US"/>
        </w:rPr>
        <w:t>https://www.gov.uk/government/collections/immunisation-against-infectious-disease-</w:t>
      </w:r>
      <w:r w:rsidRPr="00FD4342">
        <w:rPr>
          <w:rFonts w:asciiTheme="majorHAnsi" w:hAnsiTheme="majorHAnsi" w:cs="Calibri"/>
          <w:sz w:val="22"/>
          <w:szCs w:val="22"/>
          <w:lang w:val="en-US"/>
        </w:rPr>
        <w:t>the-green-book#the-green-book. Published 11 September 2013. Accessed July 23, 2020.</w:t>
      </w:r>
    </w:p>
    <w:p w14:paraId="68F07DE2" w14:textId="70015592" w:rsidR="00FD4342" w:rsidRPr="00FD4342" w:rsidRDefault="00FD4342" w:rsidP="00243B3D">
      <w:pPr>
        <w:pStyle w:val="ListParagraph"/>
        <w:numPr>
          <w:ilvl w:val="0"/>
          <w:numId w:val="11"/>
        </w:numPr>
        <w:spacing w:line="480" w:lineRule="auto"/>
        <w:rPr>
          <w:rFonts w:asciiTheme="majorHAnsi" w:hAnsiTheme="majorHAnsi" w:cstheme="majorHAnsi"/>
          <w:sz w:val="22"/>
          <w:szCs w:val="22"/>
          <w:lang w:val="en-US"/>
        </w:rPr>
      </w:pPr>
      <w:r w:rsidRPr="00FD4342">
        <w:rPr>
          <w:rFonts w:asciiTheme="majorHAnsi" w:hAnsiTheme="majorHAnsi" w:cs="Arial"/>
          <w:sz w:val="22"/>
          <w:szCs w:val="22"/>
        </w:rPr>
        <w:t xml:space="preserve">Kent A, </w:t>
      </w:r>
      <w:proofErr w:type="spellStart"/>
      <w:r w:rsidRPr="00FD4342">
        <w:rPr>
          <w:rFonts w:asciiTheme="majorHAnsi" w:hAnsiTheme="majorHAnsi" w:cs="Arial"/>
          <w:sz w:val="22"/>
          <w:szCs w:val="22"/>
        </w:rPr>
        <w:t>Ladhani</w:t>
      </w:r>
      <w:proofErr w:type="spellEnd"/>
      <w:r w:rsidRPr="00FD4342">
        <w:rPr>
          <w:rFonts w:asciiTheme="majorHAnsi" w:hAnsiTheme="majorHAnsi" w:cs="Arial"/>
          <w:sz w:val="22"/>
          <w:szCs w:val="22"/>
        </w:rPr>
        <w:t xml:space="preserve"> SN, Andrews NJ, et al. Pertussis Antibody Concentrations in Infants Born Prematurely to Mothers Vaccinated in Pregnancy. </w:t>
      </w:r>
      <w:proofErr w:type="spellStart"/>
      <w:r w:rsidRPr="00FD4342">
        <w:rPr>
          <w:rFonts w:asciiTheme="majorHAnsi" w:hAnsiTheme="majorHAnsi" w:cs="Arial"/>
          <w:sz w:val="22"/>
          <w:szCs w:val="22"/>
        </w:rPr>
        <w:t>Pediatrics</w:t>
      </w:r>
      <w:proofErr w:type="spellEnd"/>
      <w:r w:rsidRPr="00FD4342">
        <w:rPr>
          <w:rFonts w:asciiTheme="majorHAnsi" w:hAnsiTheme="majorHAnsi" w:cs="Arial"/>
          <w:sz w:val="22"/>
          <w:szCs w:val="22"/>
        </w:rPr>
        <w:t xml:space="preserve"> 2016;138: e20153854</w:t>
      </w:r>
      <w:r>
        <w:rPr>
          <w:rFonts w:asciiTheme="majorHAnsi" w:hAnsiTheme="majorHAnsi" w:cs="Arial"/>
          <w:sz w:val="22"/>
          <w:szCs w:val="22"/>
        </w:rPr>
        <w:t>. doi</w:t>
      </w:r>
      <w:r w:rsidRPr="00FD4342">
        <w:rPr>
          <w:rFonts w:asciiTheme="majorHAnsi" w:hAnsiTheme="majorHAnsi" w:cs="Arial"/>
          <w:sz w:val="22"/>
          <w:szCs w:val="22"/>
        </w:rPr>
        <w:t>:10.1542/peds.2015-3854</w:t>
      </w:r>
      <w:r>
        <w:rPr>
          <w:rFonts w:asciiTheme="majorHAnsi" w:hAnsiTheme="majorHAnsi" w:cs="Arial"/>
          <w:sz w:val="22"/>
          <w:szCs w:val="22"/>
        </w:rPr>
        <w:t>.</w:t>
      </w:r>
    </w:p>
    <w:p w14:paraId="64D948AE" w14:textId="7DF57196" w:rsidR="00C166F9" w:rsidRDefault="00C166F9" w:rsidP="00C166F9">
      <w:pPr>
        <w:pStyle w:val="ListParagraph"/>
        <w:numPr>
          <w:ilvl w:val="0"/>
          <w:numId w:val="11"/>
        </w:numPr>
        <w:spacing w:line="480" w:lineRule="auto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Abu-Raya B,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Maertens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K, Munoz FM, et al. </w:t>
      </w:r>
      <w:r w:rsidRPr="005D7541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The Effect of Tetanus-Diphtheria-Acellular-Pertussis Immunization During Pregnancy on Infant Antibody Responses: Individual-Participant Data Meta-Analysis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. </w:t>
      </w:r>
      <w:r w:rsidRPr="005D7541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eastAsia="en-GB"/>
        </w:rPr>
        <w:t>Front Immunol</w:t>
      </w:r>
      <w:r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eastAsia="en-GB"/>
        </w:rPr>
        <w:t xml:space="preserve">. </w:t>
      </w:r>
      <w:r w:rsidR="00ED45E3" w:rsidRPr="005D7541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2021; 12:689394</w:t>
      </w:r>
      <w:r w:rsidRPr="005D7541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. doi:10.3389/fimmu.2021.689394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.</w:t>
      </w:r>
    </w:p>
    <w:p w14:paraId="7EC636C4" w14:textId="18810D8C" w:rsidR="00C166F9" w:rsidRPr="00387006" w:rsidRDefault="00C166F9" w:rsidP="00C166F9">
      <w:pPr>
        <w:pStyle w:val="ListParagraph"/>
        <w:numPr>
          <w:ilvl w:val="0"/>
          <w:numId w:val="11"/>
        </w:numPr>
        <w:spacing w:line="480" w:lineRule="auto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</w:pP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lastRenderedPageBreak/>
        <w:t xml:space="preserve">Abu-Raya B, </w:t>
      </w:r>
      <w:proofErr w:type="spellStart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Maertens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K, Munoz FM, et al. </w:t>
      </w:r>
      <w:r w:rsidRPr="005D7541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Factors affecting antibody responses to immunizations in infants born to women immunized against pertussis in pregnancy and unimmunized women: Individual-Participant Data Meta-analysis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. </w:t>
      </w:r>
      <w:r w:rsidRPr="005D7541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eastAsia="en-GB"/>
        </w:rPr>
        <w:t>Vaccine</w:t>
      </w:r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. 2021;39(44):6545-6552. </w:t>
      </w:r>
      <w:r w:rsidRPr="00387006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doi:10.1016/j.vaccine.2021.09.022. </w:t>
      </w:r>
    </w:p>
    <w:p w14:paraId="1CE5B8C0" w14:textId="1B7EC63E" w:rsidR="00A1605B" w:rsidRDefault="000447BF" w:rsidP="00243B3D">
      <w:pPr>
        <w:pStyle w:val="ListParagraph"/>
        <w:numPr>
          <w:ilvl w:val="0"/>
          <w:numId w:val="11"/>
        </w:numPr>
        <w:spacing w:line="480" w:lineRule="auto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D4342">
        <w:rPr>
          <w:rFonts w:asciiTheme="majorHAnsi" w:hAnsiTheme="majorHAnsi" w:cs="Calibri"/>
          <w:sz w:val="22"/>
          <w:szCs w:val="22"/>
          <w:lang w:val="en-US"/>
        </w:rPr>
        <w:t>Maertens</w:t>
      </w:r>
      <w:proofErr w:type="spellEnd"/>
      <w:r w:rsidRPr="00FD4342">
        <w:rPr>
          <w:rFonts w:asciiTheme="majorHAnsi" w:hAnsiTheme="majorHAnsi" w:cs="Calibri"/>
          <w:sz w:val="22"/>
          <w:szCs w:val="22"/>
          <w:lang w:val="en-US"/>
        </w:rPr>
        <w:t xml:space="preserve"> K, </w:t>
      </w:r>
      <w:proofErr w:type="spellStart"/>
      <w:r w:rsidRPr="00FD4342">
        <w:rPr>
          <w:rFonts w:asciiTheme="majorHAnsi" w:hAnsiTheme="majorHAnsi" w:cs="Calibri"/>
          <w:sz w:val="22"/>
          <w:szCs w:val="22"/>
          <w:lang w:val="en-US"/>
        </w:rPr>
        <w:t>Caboré</w:t>
      </w:r>
      <w:proofErr w:type="spellEnd"/>
      <w:r w:rsidRPr="00FD4342">
        <w:rPr>
          <w:rFonts w:asciiTheme="majorHAnsi" w:hAnsiTheme="majorHAnsi" w:cs="Calibri"/>
          <w:sz w:val="22"/>
          <w:szCs w:val="22"/>
          <w:lang w:val="en-US"/>
        </w:rPr>
        <w:t xml:space="preserve"> RN, </w:t>
      </w:r>
      <w:proofErr w:type="spellStart"/>
      <w:r w:rsidRPr="00FD4342">
        <w:rPr>
          <w:rFonts w:asciiTheme="majorHAnsi" w:hAnsiTheme="majorHAnsi" w:cs="Calibri"/>
          <w:sz w:val="22"/>
          <w:szCs w:val="22"/>
          <w:lang w:val="en-US"/>
        </w:rPr>
        <w:t>Huygen</w:t>
      </w:r>
      <w:proofErr w:type="spellEnd"/>
      <w:r w:rsidRPr="00FD4342">
        <w:rPr>
          <w:rFonts w:asciiTheme="majorHAnsi" w:hAnsiTheme="majorHAnsi" w:cs="Calibri"/>
          <w:sz w:val="22"/>
          <w:szCs w:val="22"/>
          <w:lang w:val="en-US"/>
        </w:rPr>
        <w:t xml:space="preserve"> K, et al. Pertussis vaccination during pregnancy in Belgium: Follow-up of infants until 1 month after the fourth infant pertussis vaccination at 15 months of age. </w:t>
      </w:r>
      <w:r w:rsidRPr="00FD4342">
        <w:rPr>
          <w:rFonts w:asciiTheme="majorHAnsi" w:hAnsiTheme="majorHAnsi" w:cs="Calibri"/>
          <w:i/>
          <w:iCs/>
          <w:sz w:val="22"/>
          <w:szCs w:val="22"/>
          <w:lang w:val="en-US"/>
        </w:rPr>
        <w:t>Vaccine.</w:t>
      </w:r>
      <w:r w:rsidRPr="000447BF">
        <w:rPr>
          <w:rFonts w:ascii="Calibri" w:hAnsi="Calibri" w:cs="Calibri"/>
          <w:sz w:val="22"/>
          <w:szCs w:val="22"/>
          <w:lang w:val="en-US"/>
        </w:rPr>
        <w:t xml:space="preserve"> 2016</w:t>
      </w:r>
      <w:r>
        <w:rPr>
          <w:rFonts w:ascii="Calibri" w:hAnsi="Calibri" w:cs="Calibri"/>
          <w:sz w:val="22"/>
          <w:szCs w:val="22"/>
          <w:lang w:val="en-US"/>
        </w:rPr>
        <w:t>;</w:t>
      </w:r>
      <w:r w:rsidRPr="000447BF">
        <w:rPr>
          <w:rFonts w:ascii="Calibri" w:hAnsi="Calibri" w:cs="Calibri"/>
          <w:sz w:val="22"/>
          <w:szCs w:val="22"/>
          <w:lang w:val="en-US"/>
        </w:rPr>
        <w:t xml:space="preserve">34(31):3613-9. doi:10.1016/j.vaccine.2016.04.066. </w:t>
      </w:r>
    </w:p>
    <w:p w14:paraId="057233E9" w14:textId="531265F5" w:rsidR="005D7541" w:rsidRPr="00C166F9" w:rsidRDefault="00A361AF" w:rsidP="00C166F9">
      <w:pPr>
        <w:pStyle w:val="ListParagraph"/>
        <w:numPr>
          <w:ilvl w:val="0"/>
          <w:numId w:val="11"/>
        </w:numPr>
        <w:spacing w:line="480" w:lineRule="auto"/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</w:pPr>
      <w:proofErr w:type="spellStart"/>
      <w:r w:rsidRPr="00A361AF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Wanlapakorn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r w:rsidR="00ED45E3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N,</w:t>
      </w:r>
      <w:r w:rsidR="00ED45E3" w:rsidRPr="00A361AF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="00ED45E3" w:rsidRPr="00A361AF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Maertens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K,</w:t>
      </w:r>
      <w:r w:rsidRPr="00A361AF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</w:t>
      </w:r>
      <w:proofErr w:type="spellStart"/>
      <w:r w:rsidRPr="00A361AF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Vongpunsawad</w:t>
      </w:r>
      <w:proofErr w:type="spellEnd"/>
      <w:r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S, et al. </w:t>
      </w:r>
      <w:r w:rsidR="00331D4A" w:rsidRPr="00331D4A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Quantity and Quality of Antibodies After Acellular Versus Whole-cell Pertussis Vaccines in Infants Born to Mothers Who Received Tetanus, Diphtheria, and Acellular Pertussis Vaccine During Pregnancy: A Randomized Trial</w:t>
      </w:r>
      <w:r w:rsidR="00331D4A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. </w:t>
      </w:r>
      <w:r w:rsidR="00331D4A" w:rsidRPr="00331D4A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eastAsia="en-GB"/>
        </w:rPr>
        <w:t>Clin Infect Dis</w:t>
      </w:r>
      <w:r w:rsidR="00331D4A">
        <w:rPr>
          <w:rFonts w:asciiTheme="majorHAnsi" w:eastAsia="Times New Roman" w:hAnsiTheme="majorHAnsi" w:cstheme="majorHAnsi"/>
          <w:i/>
          <w:color w:val="000000" w:themeColor="text1"/>
          <w:sz w:val="22"/>
          <w:szCs w:val="22"/>
          <w:shd w:val="clear" w:color="auto" w:fill="FFFFFF"/>
          <w:lang w:eastAsia="en-GB"/>
        </w:rPr>
        <w:t>.</w:t>
      </w:r>
      <w:r w:rsidR="00331D4A" w:rsidRPr="00331D4A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 xml:space="preserve"> 2020;71(1):72-80. doi:10.1093/</w:t>
      </w:r>
      <w:proofErr w:type="spellStart"/>
      <w:r w:rsidR="00331D4A" w:rsidRPr="00331D4A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cid</w:t>
      </w:r>
      <w:proofErr w:type="spellEnd"/>
      <w:r w:rsidR="00331D4A" w:rsidRPr="00331D4A">
        <w:rPr>
          <w:rFonts w:asciiTheme="majorHAnsi" w:eastAsia="Times New Roman" w:hAnsiTheme="majorHAnsi" w:cstheme="majorHAnsi"/>
          <w:color w:val="000000" w:themeColor="text1"/>
          <w:sz w:val="22"/>
          <w:szCs w:val="22"/>
          <w:shd w:val="clear" w:color="auto" w:fill="FFFFFF"/>
          <w:lang w:eastAsia="en-GB"/>
        </w:rPr>
        <w:t>/ciz778.</w:t>
      </w:r>
    </w:p>
    <w:sectPr w:rsidR="005D7541" w:rsidRPr="00C166F9" w:rsidSect="0093635F">
      <w:type w:val="continuous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F25CC" w16cex:dateUtc="2022-09-16T15:41:00Z"/>
  <w16cex:commentExtensible w16cex:durableId="26CF24F6" w16cex:dateUtc="2022-09-16T15:38:00Z"/>
  <w16cex:commentExtensible w16cex:durableId="26CF2618" w16cex:dateUtc="2022-09-16T15:43:00Z"/>
  <w16cex:commentExtensible w16cex:durableId="26CF2824" w16cex:dateUtc="2022-09-16T15:51:00Z"/>
  <w16cex:commentExtensible w16cex:durableId="26CF2AB6" w16cex:dateUtc="2022-09-16T16:02:00Z"/>
  <w16cex:commentExtensible w16cex:durableId="26CF2B94" w16cex:dateUtc="2022-09-16T16:06:00Z"/>
  <w16cex:commentExtensible w16cex:durableId="26CF2BE6" w16cex:dateUtc="2022-09-16T16:07:00Z"/>
  <w16cex:commentExtensible w16cex:durableId="26CF1EEB" w16cex:dateUtc="2022-09-16T15:12:00Z"/>
  <w16cex:commentExtensible w16cex:durableId="26CF2C3D" w16cex:dateUtc="2022-09-16T16:09:00Z"/>
  <w16cex:commentExtensible w16cex:durableId="26CF2CA1" w16cex:dateUtc="2022-09-16T16:10:00Z"/>
  <w16cex:commentExtensible w16cex:durableId="26CF2E30" w16cex:dateUtc="2022-09-16T16:17:00Z"/>
  <w16cex:commentExtensible w16cex:durableId="26CF2D56" w16cex:dateUtc="2022-09-16T16:13:00Z"/>
  <w16cex:commentExtensible w16cex:durableId="26CF2D60" w16cex:dateUtc="2022-09-16T16:14:00Z"/>
  <w16cex:commentExtensible w16cex:durableId="26CF2D90" w16cex:dateUtc="2022-09-16T16:14:00Z"/>
  <w16cex:commentExtensible w16cex:durableId="26CF2DB2" w16cex:dateUtc="2022-09-16T16:15:00Z"/>
  <w16cex:commentExtensible w16cex:durableId="26CF2EA9" w16cex:dateUtc="2022-09-16T16:19:00Z"/>
  <w16cex:commentExtensible w16cex:durableId="26CF2ED7" w16cex:dateUtc="2022-09-16T16:20:00Z"/>
  <w16cex:commentExtensible w16cex:durableId="26CF2EF5" w16cex:dateUtc="2022-09-16T16:20:00Z"/>
  <w16cex:commentExtensible w16cex:durableId="26CF2F29" w16cex:dateUtc="2022-09-16T16:21:00Z"/>
  <w16cex:commentExtensible w16cex:durableId="26CF2F9D" w16cex:dateUtc="2022-09-16T16:23:00Z"/>
  <w16cex:commentExtensible w16cex:durableId="26CF3072" w16cex:dateUtc="2022-09-16T16:2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1191"/>
    <w:multiLevelType w:val="hybridMultilevel"/>
    <w:tmpl w:val="315A9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4EE3"/>
    <w:multiLevelType w:val="hybridMultilevel"/>
    <w:tmpl w:val="581E072A"/>
    <w:lvl w:ilvl="0" w:tplc="16DE9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27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09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78E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48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0A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A7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C01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87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394593"/>
    <w:multiLevelType w:val="hybridMultilevel"/>
    <w:tmpl w:val="A4909E4E"/>
    <w:lvl w:ilvl="0" w:tplc="2CC01EE6">
      <w:start w:val="1"/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22A71C26"/>
    <w:multiLevelType w:val="hybridMultilevel"/>
    <w:tmpl w:val="455EB4EA"/>
    <w:lvl w:ilvl="0" w:tplc="190AD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4D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4D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8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D0B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A9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EC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47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8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4D630A"/>
    <w:multiLevelType w:val="hybridMultilevel"/>
    <w:tmpl w:val="5EF8A31A"/>
    <w:lvl w:ilvl="0" w:tplc="B0148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E5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C6F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E8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E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2D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60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80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64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7BB5DA5"/>
    <w:multiLevelType w:val="hybridMultilevel"/>
    <w:tmpl w:val="BDBEB5A4"/>
    <w:lvl w:ilvl="0" w:tplc="CA303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987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7A0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E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8D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96F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013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A2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A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3128E6"/>
    <w:multiLevelType w:val="hybridMultilevel"/>
    <w:tmpl w:val="2A5ED4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DD331C"/>
    <w:multiLevelType w:val="hybridMultilevel"/>
    <w:tmpl w:val="D1368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62C72"/>
    <w:multiLevelType w:val="hybridMultilevel"/>
    <w:tmpl w:val="B46E5D8C"/>
    <w:lvl w:ilvl="0" w:tplc="2BA4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0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56C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43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80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1CD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C9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D25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86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1B85E54"/>
    <w:multiLevelType w:val="multilevel"/>
    <w:tmpl w:val="885CB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C65700"/>
    <w:multiLevelType w:val="hybridMultilevel"/>
    <w:tmpl w:val="E13C766A"/>
    <w:lvl w:ilvl="0" w:tplc="31086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85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1E2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C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8B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4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C4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AA2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02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4FF2BB0"/>
    <w:multiLevelType w:val="hybridMultilevel"/>
    <w:tmpl w:val="5200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A50"/>
    <w:rsid w:val="00007896"/>
    <w:rsid w:val="00014A3D"/>
    <w:rsid w:val="000151E6"/>
    <w:rsid w:val="00022417"/>
    <w:rsid w:val="00026154"/>
    <w:rsid w:val="000279D0"/>
    <w:rsid w:val="0003369E"/>
    <w:rsid w:val="000400C6"/>
    <w:rsid w:val="000447BF"/>
    <w:rsid w:val="00052127"/>
    <w:rsid w:val="00062B7B"/>
    <w:rsid w:val="00074793"/>
    <w:rsid w:val="00086895"/>
    <w:rsid w:val="000868BA"/>
    <w:rsid w:val="000A00CB"/>
    <w:rsid w:val="000A27C7"/>
    <w:rsid w:val="000B2675"/>
    <w:rsid w:val="000C4ECB"/>
    <w:rsid w:val="000E29A0"/>
    <w:rsid w:val="000E7CA5"/>
    <w:rsid w:val="000F68A1"/>
    <w:rsid w:val="00102F5C"/>
    <w:rsid w:val="00107A09"/>
    <w:rsid w:val="00113931"/>
    <w:rsid w:val="00122BC8"/>
    <w:rsid w:val="00134225"/>
    <w:rsid w:val="00140062"/>
    <w:rsid w:val="0014741B"/>
    <w:rsid w:val="001557AE"/>
    <w:rsid w:val="00156CFA"/>
    <w:rsid w:val="0015769E"/>
    <w:rsid w:val="00170EF5"/>
    <w:rsid w:val="0017511D"/>
    <w:rsid w:val="001758B0"/>
    <w:rsid w:val="00177828"/>
    <w:rsid w:val="00183C3B"/>
    <w:rsid w:val="00191549"/>
    <w:rsid w:val="001A75FD"/>
    <w:rsid w:val="001B15A8"/>
    <w:rsid w:val="001B6C64"/>
    <w:rsid w:val="001C1A12"/>
    <w:rsid w:val="001C66BB"/>
    <w:rsid w:val="001C7509"/>
    <w:rsid w:val="001D2796"/>
    <w:rsid w:val="001F0A0D"/>
    <w:rsid w:val="001F38E4"/>
    <w:rsid w:val="001F6B78"/>
    <w:rsid w:val="002023B3"/>
    <w:rsid w:val="002035F2"/>
    <w:rsid w:val="002046D2"/>
    <w:rsid w:val="00210DBE"/>
    <w:rsid w:val="00210E45"/>
    <w:rsid w:val="00226EBC"/>
    <w:rsid w:val="0023409B"/>
    <w:rsid w:val="00243B3D"/>
    <w:rsid w:val="00252B32"/>
    <w:rsid w:val="00253280"/>
    <w:rsid w:val="002563FE"/>
    <w:rsid w:val="00260707"/>
    <w:rsid w:val="002625D7"/>
    <w:rsid w:val="00271F58"/>
    <w:rsid w:val="0027230A"/>
    <w:rsid w:val="00273D69"/>
    <w:rsid w:val="00280A79"/>
    <w:rsid w:val="00282681"/>
    <w:rsid w:val="0028784F"/>
    <w:rsid w:val="002A0039"/>
    <w:rsid w:val="002A2E91"/>
    <w:rsid w:val="002A56BD"/>
    <w:rsid w:val="002B114A"/>
    <w:rsid w:val="002B6479"/>
    <w:rsid w:val="002C01F0"/>
    <w:rsid w:val="002C0BD5"/>
    <w:rsid w:val="002C5631"/>
    <w:rsid w:val="002D75E4"/>
    <w:rsid w:val="002E2972"/>
    <w:rsid w:val="002E2B42"/>
    <w:rsid w:val="002E36F9"/>
    <w:rsid w:val="002E7F28"/>
    <w:rsid w:val="002F43BC"/>
    <w:rsid w:val="0030141B"/>
    <w:rsid w:val="00301A7D"/>
    <w:rsid w:val="003023C9"/>
    <w:rsid w:val="00310E5C"/>
    <w:rsid w:val="00312A89"/>
    <w:rsid w:val="003162B8"/>
    <w:rsid w:val="00316A48"/>
    <w:rsid w:val="00317529"/>
    <w:rsid w:val="0032187B"/>
    <w:rsid w:val="00322F93"/>
    <w:rsid w:val="003258D9"/>
    <w:rsid w:val="00325DB0"/>
    <w:rsid w:val="00331D4A"/>
    <w:rsid w:val="00331F7A"/>
    <w:rsid w:val="00333BD6"/>
    <w:rsid w:val="003352C8"/>
    <w:rsid w:val="00344C43"/>
    <w:rsid w:val="00344E3C"/>
    <w:rsid w:val="0035093D"/>
    <w:rsid w:val="00351160"/>
    <w:rsid w:val="00352DA4"/>
    <w:rsid w:val="00355F2E"/>
    <w:rsid w:val="0036234D"/>
    <w:rsid w:val="003630EC"/>
    <w:rsid w:val="0036377B"/>
    <w:rsid w:val="00365691"/>
    <w:rsid w:val="0036600C"/>
    <w:rsid w:val="003818E1"/>
    <w:rsid w:val="00382622"/>
    <w:rsid w:val="00387006"/>
    <w:rsid w:val="0038738B"/>
    <w:rsid w:val="0039220A"/>
    <w:rsid w:val="0039298A"/>
    <w:rsid w:val="003949A6"/>
    <w:rsid w:val="00394C70"/>
    <w:rsid w:val="0039552F"/>
    <w:rsid w:val="00396131"/>
    <w:rsid w:val="00397ECE"/>
    <w:rsid w:val="003B0351"/>
    <w:rsid w:val="003B6DDA"/>
    <w:rsid w:val="003C0435"/>
    <w:rsid w:val="003C2CAD"/>
    <w:rsid w:val="003C5445"/>
    <w:rsid w:val="003C5717"/>
    <w:rsid w:val="003D5B6F"/>
    <w:rsid w:val="003E5258"/>
    <w:rsid w:val="003E639C"/>
    <w:rsid w:val="003F14CB"/>
    <w:rsid w:val="003F3689"/>
    <w:rsid w:val="00402E8C"/>
    <w:rsid w:val="00410144"/>
    <w:rsid w:val="00422880"/>
    <w:rsid w:val="00440169"/>
    <w:rsid w:val="004409E8"/>
    <w:rsid w:val="00444CC5"/>
    <w:rsid w:val="00450AA7"/>
    <w:rsid w:val="0045250C"/>
    <w:rsid w:val="00453D6F"/>
    <w:rsid w:val="00460AB9"/>
    <w:rsid w:val="004612CD"/>
    <w:rsid w:val="004617C7"/>
    <w:rsid w:val="00472A2D"/>
    <w:rsid w:val="004738E3"/>
    <w:rsid w:val="004769B0"/>
    <w:rsid w:val="004958FC"/>
    <w:rsid w:val="004A793B"/>
    <w:rsid w:val="004B1E46"/>
    <w:rsid w:val="004B4FCB"/>
    <w:rsid w:val="004B5081"/>
    <w:rsid w:val="004C0CCC"/>
    <w:rsid w:val="004C2D86"/>
    <w:rsid w:val="004C327F"/>
    <w:rsid w:val="004C334A"/>
    <w:rsid w:val="004C3F1C"/>
    <w:rsid w:val="004E0187"/>
    <w:rsid w:val="004E5510"/>
    <w:rsid w:val="004F0F85"/>
    <w:rsid w:val="004F3407"/>
    <w:rsid w:val="004F50DB"/>
    <w:rsid w:val="004F6915"/>
    <w:rsid w:val="0050260B"/>
    <w:rsid w:val="00507AE3"/>
    <w:rsid w:val="00513506"/>
    <w:rsid w:val="0051675B"/>
    <w:rsid w:val="00525A91"/>
    <w:rsid w:val="0052775A"/>
    <w:rsid w:val="00530B7A"/>
    <w:rsid w:val="00532AEE"/>
    <w:rsid w:val="005333C8"/>
    <w:rsid w:val="005368EB"/>
    <w:rsid w:val="005468E6"/>
    <w:rsid w:val="005476E9"/>
    <w:rsid w:val="00554607"/>
    <w:rsid w:val="00566674"/>
    <w:rsid w:val="00567CD6"/>
    <w:rsid w:val="0057198B"/>
    <w:rsid w:val="00574B46"/>
    <w:rsid w:val="00583068"/>
    <w:rsid w:val="00583A1D"/>
    <w:rsid w:val="00587218"/>
    <w:rsid w:val="005A1F35"/>
    <w:rsid w:val="005A2F25"/>
    <w:rsid w:val="005A41DD"/>
    <w:rsid w:val="005A6E73"/>
    <w:rsid w:val="005B1A18"/>
    <w:rsid w:val="005B2B69"/>
    <w:rsid w:val="005B6E93"/>
    <w:rsid w:val="005C01B6"/>
    <w:rsid w:val="005C0BF1"/>
    <w:rsid w:val="005C6ADD"/>
    <w:rsid w:val="005D0F3E"/>
    <w:rsid w:val="005D5DE6"/>
    <w:rsid w:val="005D7541"/>
    <w:rsid w:val="005F25D2"/>
    <w:rsid w:val="005F2EEF"/>
    <w:rsid w:val="005F3BF8"/>
    <w:rsid w:val="005F5AC7"/>
    <w:rsid w:val="005F7014"/>
    <w:rsid w:val="00607FBD"/>
    <w:rsid w:val="00613273"/>
    <w:rsid w:val="0061423C"/>
    <w:rsid w:val="006165BD"/>
    <w:rsid w:val="006279CE"/>
    <w:rsid w:val="0064111B"/>
    <w:rsid w:val="00641E8B"/>
    <w:rsid w:val="00642BD2"/>
    <w:rsid w:val="006537B8"/>
    <w:rsid w:val="0065401B"/>
    <w:rsid w:val="0065428E"/>
    <w:rsid w:val="00655D25"/>
    <w:rsid w:val="00662BB1"/>
    <w:rsid w:val="00663913"/>
    <w:rsid w:val="00666D7A"/>
    <w:rsid w:val="00670A03"/>
    <w:rsid w:val="00677FE6"/>
    <w:rsid w:val="006A50AC"/>
    <w:rsid w:val="006B244D"/>
    <w:rsid w:val="006B33F2"/>
    <w:rsid w:val="006C448E"/>
    <w:rsid w:val="006C7A4A"/>
    <w:rsid w:val="006E6013"/>
    <w:rsid w:val="006E7EF9"/>
    <w:rsid w:val="006F6182"/>
    <w:rsid w:val="006F6358"/>
    <w:rsid w:val="006F76EA"/>
    <w:rsid w:val="00700AFE"/>
    <w:rsid w:val="0070617C"/>
    <w:rsid w:val="00716171"/>
    <w:rsid w:val="0071636F"/>
    <w:rsid w:val="007241FC"/>
    <w:rsid w:val="00724CA0"/>
    <w:rsid w:val="0072611D"/>
    <w:rsid w:val="007261BE"/>
    <w:rsid w:val="0072777D"/>
    <w:rsid w:val="007542C2"/>
    <w:rsid w:val="00755A42"/>
    <w:rsid w:val="00762DF7"/>
    <w:rsid w:val="00763D4E"/>
    <w:rsid w:val="007661D9"/>
    <w:rsid w:val="0077470E"/>
    <w:rsid w:val="00775C70"/>
    <w:rsid w:val="00785098"/>
    <w:rsid w:val="00796CA6"/>
    <w:rsid w:val="007A67CC"/>
    <w:rsid w:val="007A74BE"/>
    <w:rsid w:val="007B21CB"/>
    <w:rsid w:val="007B3CF4"/>
    <w:rsid w:val="007B5B9D"/>
    <w:rsid w:val="007B663D"/>
    <w:rsid w:val="007C1143"/>
    <w:rsid w:val="007C65C5"/>
    <w:rsid w:val="007C6C8E"/>
    <w:rsid w:val="007D1CBA"/>
    <w:rsid w:val="007D68A0"/>
    <w:rsid w:val="007D7535"/>
    <w:rsid w:val="007E0ABF"/>
    <w:rsid w:val="007E1654"/>
    <w:rsid w:val="007E2688"/>
    <w:rsid w:val="007E2E96"/>
    <w:rsid w:val="007F5A0F"/>
    <w:rsid w:val="007F6778"/>
    <w:rsid w:val="008017F3"/>
    <w:rsid w:val="00802216"/>
    <w:rsid w:val="00804265"/>
    <w:rsid w:val="008046E2"/>
    <w:rsid w:val="008102F0"/>
    <w:rsid w:val="008138F3"/>
    <w:rsid w:val="00814286"/>
    <w:rsid w:val="00817D86"/>
    <w:rsid w:val="00820368"/>
    <w:rsid w:val="0082193E"/>
    <w:rsid w:val="00821B1F"/>
    <w:rsid w:val="00822634"/>
    <w:rsid w:val="00823553"/>
    <w:rsid w:val="008250FD"/>
    <w:rsid w:val="00825101"/>
    <w:rsid w:val="00837CAA"/>
    <w:rsid w:val="00837D5D"/>
    <w:rsid w:val="00841F85"/>
    <w:rsid w:val="00854C54"/>
    <w:rsid w:val="0086063B"/>
    <w:rsid w:val="00860FFA"/>
    <w:rsid w:val="00865C74"/>
    <w:rsid w:val="00866762"/>
    <w:rsid w:val="0086722E"/>
    <w:rsid w:val="00873217"/>
    <w:rsid w:val="008774AF"/>
    <w:rsid w:val="00877DDB"/>
    <w:rsid w:val="008848FF"/>
    <w:rsid w:val="00890FE9"/>
    <w:rsid w:val="00891AD9"/>
    <w:rsid w:val="008926B9"/>
    <w:rsid w:val="0089615F"/>
    <w:rsid w:val="008A0D44"/>
    <w:rsid w:val="008A1342"/>
    <w:rsid w:val="008A3859"/>
    <w:rsid w:val="008A7615"/>
    <w:rsid w:val="008B160D"/>
    <w:rsid w:val="008B2784"/>
    <w:rsid w:val="008B3A48"/>
    <w:rsid w:val="008B54F0"/>
    <w:rsid w:val="008C01F3"/>
    <w:rsid w:val="008C6D1E"/>
    <w:rsid w:val="008D2CFD"/>
    <w:rsid w:val="008D73E1"/>
    <w:rsid w:val="008E06F9"/>
    <w:rsid w:val="008E0A7B"/>
    <w:rsid w:val="008E7B91"/>
    <w:rsid w:val="00900057"/>
    <w:rsid w:val="00901444"/>
    <w:rsid w:val="00902147"/>
    <w:rsid w:val="00902CA2"/>
    <w:rsid w:val="00902FCD"/>
    <w:rsid w:val="009049CC"/>
    <w:rsid w:val="00904C08"/>
    <w:rsid w:val="00904D16"/>
    <w:rsid w:val="00913220"/>
    <w:rsid w:val="0091327F"/>
    <w:rsid w:val="00913547"/>
    <w:rsid w:val="00916F5D"/>
    <w:rsid w:val="009174CC"/>
    <w:rsid w:val="00920E23"/>
    <w:rsid w:val="00923604"/>
    <w:rsid w:val="0093635F"/>
    <w:rsid w:val="009425A7"/>
    <w:rsid w:val="00944973"/>
    <w:rsid w:val="0095086E"/>
    <w:rsid w:val="00950EBE"/>
    <w:rsid w:val="0095208C"/>
    <w:rsid w:val="00952CB9"/>
    <w:rsid w:val="00960106"/>
    <w:rsid w:val="00966A17"/>
    <w:rsid w:val="009673EC"/>
    <w:rsid w:val="009725BD"/>
    <w:rsid w:val="00972F0C"/>
    <w:rsid w:val="00974ED4"/>
    <w:rsid w:val="0097532B"/>
    <w:rsid w:val="009800E3"/>
    <w:rsid w:val="00980419"/>
    <w:rsid w:val="009815FE"/>
    <w:rsid w:val="009836E6"/>
    <w:rsid w:val="00984706"/>
    <w:rsid w:val="00986008"/>
    <w:rsid w:val="00987E95"/>
    <w:rsid w:val="00991DCC"/>
    <w:rsid w:val="00995958"/>
    <w:rsid w:val="009A1D21"/>
    <w:rsid w:val="009A1F9B"/>
    <w:rsid w:val="009A2738"/>
    <w:rsid w:val="009A385F"/>
    <w:rsid w:val="009A43DD"/>
    <w:rsid w:val="009A5A93"/>
    <w:rsid w:val="009A6F7C"/>
    <w:rsid w:val="009A7E8E"/>
    <w:rsid w:val="009B5154"/>
    <w:rsid w:val="009B53B7"/>
    <w:rsid w:val="009C46BF"/>
    <w:rsid w:val="009D4D32"/>
    <w:rsid w:val="009F4BC7"/>
    <w:rsid w:val="009F5DA7"/>
    <w:rsid w:val="00A0106B"/>
    <w:rsid w:val="00A02077"/>
    <w:rsid w:val="00A02936"/>
    <w:rsid w:val="00A042F1"/>
    <w:rsid w:val="00A060C3"/>
    <w:rsid w:val="00A142BD"/>
    <w:rsid w:val="00A1605B"/>
    <w:rsid w:val="00A16E8E"/>
    <w:rsid w:val="00A24C62"/>
    <w:rsid w:val="00A26AF8"/>
    <w:rsid w:val="00A32229"/>
    <w:rsid w:val="00A361AF"/>
    <w:rsid w:val="00A55FE4"/>
    <w:rsid w:val="00A60121"/>
    <w:rsid w:val="00A61F69"/>
    <w:rsid w:val="00A6412C"/>
    <w:rsid w:val="00A72568"/>
    <w:rsid w:val="00A7729F"/>
    <w:rsid w:val="00A83FD8"/>
    <w:rsid w:val="00A92654"/>
    <w:rsid w:val="00A97796"/>
    <w:rsid w:val="00AA2A8F"/>
    <w:rsid w:val="00AB18C6"/>
    <w:rsid w:val="00AB5AF2"/>
    <w:rsid w:val="00AB6F51"/>
    <w:rsid w:val="00AB7053"/>
    <w:rsid w:val="00AC0280"/>
    <w:rsid w:val="00AC0A50"/>
    <w:rsid w:val="00AC0EEA"/>
    <w:rsid w:val="00AC4B14"/>
    <w:rsid w:val="00AD2ED9"/>
    <w:rsid w:val="00AD3918"/>
    <w:rsid w:val="00AD414C"/>
    <w:rsid w:val="00AD62C8"/>
    <w:rsid w:val="00AE7167"/>
    <w:rsid w:val="00AF4D59"/>
    <w:rsid w:val="00B01ABB"/>
    <w:rsid w:val="00B05C2B"/>
    <w:rsid w:val="00B07281"/>
    <w:rsid w:val="00B12F76"/>
    <w:rsid w:val="00B13372"/>
    <w:rsid w:val="00B175E7"/>
    <w:rsid w:val="00B177D9"/>
    <w:rsid w:val="00B20A0C"/>
    <w:rsid w:val="00B2192A"/>
    <w:rsid w:val="00B225C7"/>
    <w:rsid w:val="00B22F6D"/>
    <w:rsid w:val="00B2384E"/>
    <w:rsid w:val="00B37006"/>
    <w:rsid w:val="00B40B39"/>
    <w:rsid w:val="00B506D7"/>
    <w:rsid w:val="00B5204E"/>
    <w:rsid w:val="00B5254C"/>
    <w:rsid w:val="00B541EA"/>
    <w:rsid w:val="00B669CC"/>
    <w:rsid w:val="00B71D82"/>
    <w:rsid w:val="00B764E5"/>
    <w:rsid w:val="00B76632"/>
    <w:rsid w:val="00B85525"/>
    <w:rsid w:val="00B87DF5"/>
    <w:rsid w:val="00B96C87"/>
    <w:rsid w:val="00BA080E"/>
    <w:rsid w:val="00BB4BBC"/>
    <w:rsid w:val="00BB789F"/>
    <w:rsid w:val="00BC312D"/>
    <w:rsid w:val="00BC39B9"/>
    <w:rsid w:val="00BD03FD"/>
    <w:rsid w:val="00BD2496"/>
    <w:rsid w:val="00BD41B3"/>
    <w:rsid w:val="00BD6B4A"/>
    <w:rsid w:val="00BF3141"/>
    <w:rsid w:val="00BF4E04"/>
    <w:rsid w:val="00BF57EC"/>
    <w:rsid w:val="00C02BFF"/>
    <w:rsid w:val="00C069AD"/>
    <w:rsid w:val="00C122CA"/>
    <w:rsid w:val="00C13932"/>
    <w:rsid w:val="00C166F9"/>
    <w:rsid w:val="00C4486E"/>
    <w:rsid w:val="00C46C21"/>
    <w:rsid w:val="00C65975"/>
    <w:rsid w:val="00C73A5C"/>
    <w:rsid w:val="00C804FC"/>
    <w:rsid w:val="00C815CF"/>
    <w:rsid w:val="00C873FA"/>
    <w:rsid w:val="00C914CE"/>
    <w:rsid w:val="00C92F55"/>
    <w:rsid w:val="00CA3453"/>
    <w:rsid w:val="00CA607D"/>
    <w:rsid w:val="00CA68EE"/>
    <w:rsid w:val="00CA6CEF"/>
    <w:rsid w:val="00CA739F"/>
    <w:rsid w:val="00CA7F1D"/>
    <w:rsid w:val="00CB341B"/>
    <w:rsid w:val="00CC4348"/>
    <w:rsid w:val="00CC4D1B"/>
    <w:rsid w:val="00CD2688"/>
    <w:rsid w:val="00CF5900"/>
    <w:rsid w:val="00D11863"/>
    <w:rsid w:val="00D13607"/>
    <w:rsid w:val="00D14B2F"/>
    <w:rsid w:val="00D222EA"/>
    <w:rsid w:val="00D25D6F"/>
    <w:rsid w:val="00D26603"/>
    <w:rsid w:val="00D339C2"/>
    <w:rsid w:val="00D3504D"/>
    <w:rsid w:val="00D46949"/>
    <w:rsid w:val="00D47433"/>
    <w:rsid w:val="00D5071F"/>
    <w:rsid w:val="00D52E74"/>
    <w:rsid w:val="00D550D7"/>
    <w:rsid w:val="00D552D8"/>
    <w:rsid w:val="00D63D62"/>
    <w:rsid w:val="00D731E1"/>
    <w:rsid w:val="00D7422D"/>
    <w:rsid w:val="00D742CD"/>
    <w:rsid w:val="00D7787F"/>
    <w:rsid w:val="00D80188"/>
    <w:rsid w:val="00D8061F"/>
    <w:rsid w:val="00D80A25"/>
    <w:rsid w:val="00D82D4B"/>
    <w:rsid w:val="00D9017D"/>
    <w:rsid w:val="00D9226A"/>
    <w:rsid w:val="00D92641"/>
    <w:rsid w:val="00DA4D4A"/>
    <w:rsid w:val="00DB01C5"/>
    <w:rsid w:val="00DB0621"/>
    <w:rsid w:val="00DC0035"/>
    <w:rsid w:val="00DC0499"/>
    <w:rsid w:val="00DC1F3B"/>
    <w:rsid w:val="00DC456D"/>
    <w:rsid w:val="00DC5DD1"/>
    <w:rsid w:val="00DD13F3"/>
    <w:rsid w:val="00DD4AC4"/>
    <w:rsid w:val="00DD5464"/>
    <w:rsid w:val="00DD5AF4"/>
    <w:rsid w:val="00DD6370"/>
    <w:rsid w:val="00DE5DE6"/>
    <w:rsid w:val="00DF227B"/>
    <w:rsid w:val="00DF45F1"/>
    <w:rsid w:val="00E015C2"/>
    <w:rsid w:val="00E03385"/>
    <w:rsid w:val="00E03945"/>
    <w:rsid w:val="00E044CD"/>
    <w:rsid w:val="00E05570"/>
    <w:rsid w:val="00E05ABB"/>
    <w:rsid w:val="00E10BA3"/>
    <w:rsid w:val="00E170D0"/>
    <w:rsid w:val="00E239FE"/>
    <w:rsid w:val="00E27FBB"/>
    <w:rsid w:val="00E418DB"/>
    <w:rsid w:val="00E4291E"/>
    <w:rsid w:val="00E63214"/>
    <w:rsid w:val="00E645B2"/>
    <w:rsid w:val="00E6554B"/>
    <w:rsid w:val="00E6772D"/>
    <w:rsid w:val="00E76AE3"/>
    <w:rsid w:val="00E7724D"/>
    <w:rsid w:val="00EA079B"/>
    <w:rsid w:val="00EA0AED"/>
    <w:rsid w:val="00EB1099"/>
    <w:rsid w:val="00EB481F"/>
    <w:rsid w:val="00EB5811"/>
    <w:rsid w:val="00EC36EB"/>
    <w:rsid w:val="00EC3FDE"/>
    <w:rsid w:val="00ED0A85"/>
    <w:rsid w:val="00ED202C"/>
    <w:rsid w:val="00ED45E3"/>
    <w:rsid w:val="00EE7548"/>
    <w:rsid w:val="00EF52AE"/>
    <w:rsid w:val="00F05B94"/>
    <w:rsid w:val="00F06EFA"/>
    <w:rsid w:val="00F07CB5"/>
    <w:rsid w:val="00F20B40"/>
    <w:rsid w:val="00F32327"/>
    <w:rsid w:val="00F32421"/>
    <w:rsid w:val="00F419AD"/>
    <w:rsid w:val="00F45286"/>
    <w:rsid w:val="00F46B59"/>
    <w:rsid w:val="00F50037"/>
    <w:rsid w:val="00F53511"/>
    <w:rsid w:val="00F62BEC"/>
    <w:rsid w:val="00F710F4"/>
    <w:rsid w:val="00F71473"/>
    <w:rsid w:val="00F81349"/>
    <w:rsid w:val="00F82307"/>
    <w:rsid w:val="00F90EF5"/>
    <w:rsid w:val="00F94A3D"/>
    <w:rsid w:val="00F94C77"/>
    <w:rsid w:val="00F9639B"/>
    <w:rsid w:val="00F96A3E"/>
    <w:rsid w:val="00F97AB3"/>
    <w:rsid w:val="00FA0A64"/>
    <w:rsid w:val="00FA0E8B"/>
    <w:rsid w:val="00FA2317"/>
    <w:rsid w:val="00FA4B9A"/>
    <w:rsid w:val="00FA5552"/>
    <w:rsid w:val="00FA75BD"/>
    <w:rsid w:val="00FB25CD"/>
    <w:rsid w:val="00FB7805"/>
    <w:rsid w:val="00FC0AB3"/>
    <w:rsid w:val="00FD4342"/>
    <w:rsid w:val="00FD6AA7"/>
    <w:rsid w:val="00FE4F26"/>
    <w:rsid w:val="00FE5CC6"/>
    <w:rsid w:val="00FF16CC"/>
    <w:rsid w:val="00FF2607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E689C"/>
  <w14:defaultImageDpi w14:val="300"/>
  <w15:docId w15:val="{260C8733-51B9-6B4F-908C-53538AD6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4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694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877DDB"/>
  </w:style>
  <w:style w:type="paragraph" w:customStyle="1" w:styleId="Normal-nospacing">
    <w:name w:val="Normal - no spacing"/>
    <w:basedOn w:val="Normal"/>
    <w:link w:val="Normal-nospacingChar"/>
    <w:uiPriority w:val="99"/>
    <w:rsid w:val="00F90EF5"/>
    <w:pPr>
      <w:spacing w:line="264" w:lineRule="auto"/>
    </w:pPr>
    <w:rPr>
      <w:rFonts w:ascii="Calibri" w:eastAsia="Times New Roman" w:hAnsi="Calibri" w:cs="Times New Roman"/>
      <w:sz w:val="23"/>
      <w:szCs w:val="23"/>
    </w:rPr>
  </w:style>
  <w:style w:type="character" w:customStyle="1" w:styleId="Normal-nospacingChar">
    <w:name w:val="Normal - no spacing Char"/>
    <w:link w:val="Normal-nospacing"/>
    <w:uiPriority w:val="99"/>
    <w:locked/>
    <w:rsid w:val="00F90EF5"/>
    <w:rPr>
      <w:rFonts w:ascii="Calibri" w:eastAsia="Times New Roman" w:hAnsi="Calibri" w:cs="Times New Roman"/>
      <w:sz w:val="23"/>
      <w:szCs w:val="23"/>
    </w:rPr>
  </w:style>
  <w:style w:type="table" w:styleId="TableGrid">
    <w:name w:val="Table Grid"/>
    <w:basedOn w:val="TableNormal"/>
    <w:uiPriority w:val="39"/>
    <w:rsid w:val="00D2660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5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C2B"/>
    <w:rPr>
      <w:b/>
      <w:bCs/>
      <w:sz w:val="20"/>
      <w:szCs w:val="20"/>
    </w:rPr>
  </w:style>
  <w:style w:type="table" w:customStyle="1" w:styleId="PlainTable41">
    <w:name w:val="Plain Table 41"/>
    <w:basedOn w:val="TableNormal"/>
    <w:uiPriority w:val="99"/>
    <w:rsid w:val="005167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99"/>
    <w:rsid w:val="005167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447B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7B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97ECE"/>
  </w:style>
  <w:style w:type="paragraph" w:styleId="Revision">
    <w:name w:val="Revision"/>
    <w:hidden/>
    <w:uiPriority w:val="99"/>
    <w:semiHidden/>
    <w:rsid w:val="00352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4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2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4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064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9804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5" w:color="101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5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9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10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08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4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0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7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08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70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0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1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44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3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5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5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55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8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2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4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0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8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9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436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4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0897348D863446A07471D4CBD315C9" ma:contentTypeVersion="13" ma:contentTypeDescription="Create a new document." ma:contentTypeScope="" ma:versionID="62802f064f4dc659e004fb5226c19541">
  <xsd:schema xmlns:xsd="http://www.w3.org/2001/XMLSchema" xmlns:xs="http://www.w3.org/2001/XMLSchema" xmlns:p="http://schemas.microsoft.com/office/2006/metadata/properties" xmlns:ns3="927a8d78-f0e1-43b2-a137-cd867128e8bb" xmlns:ns4="c132d5c4-dd2c-494b-bb96-9575a57e2e9d" targetNamespace="http://schemas.microsoft.com/office/2006/metadata/properties" ma:root="true" ma:fieldsID="2a2be0a14e91c7d0fa1a0abcb9a0969c" ns3:_="" ns4:_="">
    <xsd:import namespace="927a8d78-f0e1-43b2-a137-cd867128e8bb"/>
    <xsd:import namespace="c132d5c4-dd2c-494b-bb96-9575a57e2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a8d78-f0e1-43b2-a137-cd867128e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d5c4-dd2c-494b-bb96-9575a57e2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5DC9A-6D8F-444A-9090-7B2FE65008D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132d5c4-dd2c-494b-bb96-9575a57e2e9d"/>
    <ds:schemaRef ds:uri="927a8d78-f0e1-43b2-a137-cd867128e8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BB3D1C-3104-4456-B41C-C525BAB8E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FFEF-329F-461B-AF2D-C1062101F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a8d78-f0e1-43b2-a137-cd867128e8bb"/>
    <ds:schemaRef ds:uri="c132d5c4-dd2c-494b-bb96-9575a57e2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45F112-D98F-4279-96ED-F6E470A3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3738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 Sapuan</Company>
  <LinksUpToDate>false</LinksUpToDate>
  <CharactersWithSpaces>24996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Sapuan</dc:creator>
  <cp:keywords/>
  <dc:description/>
  <cp:lastModifiedBy>Shari Sapuan</cp:lastModifiedBy>
  <cp:revision>2</cp:revision>
  <cp:lastPrinted>2022-11-10T11:26:00Z</cp:lastPrinted>
  <dcterms:created xsi:type="dcterms:W3CDTF">2022-11-10T11:27:00Z</dcterms:created>
  <dcterms:modified xsi:type="dcterms:W3CDTF">2022-11-10T11:27:00Z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0x010100690897348D863446A07471D4CBD315C9</vt:lpwstr>
  </property>
</Properties>
</file>