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4A84" w14:textId="6F85B483" w:rsidR="002868E2" w:rsidRPr="0030032A" w:rsidRDefault="000458C0" w:rsidP="00376CC5">
      <w:pPr>
        <w:pStyle w:val="Title"/>
      </w:pPr>
      <w:r w:rsidRPr="0030032A">
        <w:t>Higher Affinity Antibodies Bind with Lower Hydration and Flexibility in Large Scale Simulations</w:t>
      </w:r>
    </w:p>
    <w:p w14:paraId="639BFEF7" w14:textId="39ECC08F" w:rsidR="000458C0" w:rsidRPr="0030032A" w:rsidRDefault="000458C0" w:rsidP="000458C0">
      <w:pPr>
        <w:spacing w:after="0"/>
        <w:rPr>
          <w:rFonts w:cs="Times New Roman"/>
          <w:b/>
          <w:szCs w:val="24"/>
        </w:rPr>
      </w:pPr>
      <w:r w:rsidRPr="0030032A">
        <w:rPr>
          <w:rFonts w:cs="Times New Roman"/>
          <w:b/>
          <w:szCs w:val="24"/>
        </w:rPr>
        <w:t>Mabel T. Y. Wong</w:t>
      </w:r>
      <w:r w:rsidRPr="0030032A">
        <w:rPr>
          <w:rFonts w:cs="Times New Roman"/>
          <w:b/>
          <w:szCs w:val="24"/>
          <w:vertAlign w:val="superscript"/>
        </w:rPr>
        <w:t>1</w:t>
      </w:r>
      <w:r w:rsidRPr="0030032A">
        <w:rPr>
          <w:rFonts w:cs="Times New Roman"/>
          <w:b/>
          <w:szCs w:val="24"/>
        </w:rPr>
        <w:t>, Sebastian Kelm</w:t>
      </w:r>
      <w:r w:rsidRPr="0030032A">
        <w:rPr>
          <w:rFonts w:cs="Times New Roman"/>
          <w:b/>
          <w:szCs w:val="24"/>
          <w:vertAlign w:val="superscript"/>
        </w:rPr>
        <w:t>2</w:t>
      </w:r>
      <w:r w:rsidRPr="0030032A">
        <w:rPr>
          <w:rFonts w:cs="Times New Roman"/>
          <w:b/>
          <w:szCs w:val="24"/>
        </w:rPr>
        <w:t xml:space="preserve">, </w:t>
      </w:r>
      <w:proofErr w:type="spellStart"/>
      <w:r w:rsidRPr="0030032A">
        <w:rPr>
          <w:rFonts w:cs="Times New Roman"/>
          <w:b/>
          <w:szCs w:val="24"/>
        </w:rPr>
        <w:t>Xiaofeng</w:t>
      </w:r>
      <w:proofErr w:type="spellEnd"/>
      <w:r w:rsidRPr="0030032A">
        <w:rPr>
          <w:rFonts w:cs="Times New Roman"/>
          <w:b/>
          <w:szCs w:val="24"/>
        </w:rPr>
        <w:t xml:space="preserve"> Liu</w:t>
      </w:r>
      <w:r w:rsidRPr="0030032A">
        <w:rPr>
          <w:rFonts w:cs="Times New Roman"/>
          <w:b/>
          <w:szCs w:val="24"/>
          <w:vertAlign w:val="superscript"/>
        </w:rPr>
        <w:t>2</w:t>
      </w:r>
      <w:r w:rsidRPr="0030032A">
        <w:rPr>
          <w:rFonts w:cs="Times New Roman"/>
          <w:b/>
          <w:szCs w:val="24"/>
        </w:rPr>
        <w:t>, Richard D. Taylor</w:t>
      </w:r>
      <w:r w:rsidRPr="0030032A">
        <w:rPr>
          <w:rFonts w:cs="Times New Roman"/>
          <w:b/>
          <w:szCs w:val="24"/>
          <w:vertAlign w:val="superscript"/>
        </w:rPr>
        <w:t>2</w:t>
      </w:r>
      <w:r w:rsidRPr="0030032A">
        <w:rPr>
          <w:rFonts w:cs="Times New Roman"/>
          <w:b/>
          <w:szCs w:val="24"/>
        </w:rPr>
        <w:t>, Terry Baker</w:t>
      </w:r>
      <w:r w:rsidRPr="0030032A">
        <w:rPr>
          <w:rFonts w:cs="Times New Roman"/>
          <w:b/>
          <w:szCs w:val="24"/>
          <w:vertAlign w:val="superscript"/>
        </w:rPr>
        <w:t>2</w:t>
      </w:r>
      <w:r w:rsidR="002706C8">
        <w:rPr>
          <w:rFonts w:cs="Times New Roman"/>
          <w:b/>
          <w:szCs w:val="24"/>
          <w:vertAlign w:val="superscript"/>
        </w:rPr>
        <w:t>†</w:t>
      </w:r>
      <w:r w:rsidRPr="0030032A">
        <w:rPr>
          <w:rFonts w:cs="Times New Roman"/>
          <w:b/>
          <w:szCs w:val="24"/>
        </w:rPr>
        <w:t>, Jonathan W. Essex</w:t>
      </w:r>
      <w:r w:rsidRPr="0030032A">
        <w:rPr>
          <w:rFonts w:cs="Times New Roman"/>
          <w:b/>
          <w:szCs w:val="24"/>
          <w:vertAlign w:val="superscript"/>
        </w:rPr>
        <w:t>1*</w:t>
      </w:r>
    </w:p>
    <w:p w14:paraId="72914236" w14:textId="77777777" w:rsidR="000458C0" w:rsidRPr="0030032A" w:rsidRDefault="000458C0" w:rsidP="000458C0">
      <w:pPr>
        <w:spacing w:after="0"/>
        <w:rPr>
          <w:rFonts w:cs="Times New Roman"/>
          <w:bCs/>
          <w:szCs w:val="24"/>
        </w:rPr>
      </w:pPr>
      <w:r w:rsidRPr="0030032A">
        <w:rPr>
          <w:rFonts w:cs="Times New Roman"/>
          <w:bCs/>
          <w:szCs w:val="24"/>
          <w:vertAlign w:val="superscript"/>
        </w:rPr>
        <w:t>1</w:t>
      </w:r>
      <w:r w:rsidRPr="0030032A">
        <w:rPr>
          <w:rFonts w:cs="Times New Roman"/>
          <w:bCs/>
          <w:szCs w:val="24"/>
        </w:rPr>
        <w:t>School of Chemistry, University of Southampton, Southampton, SO17 1BJ, United Kingdom</w:t>
      </w:r>
    </w:p>
    <w:p w14:paraId="626845AB" w14:textId="5D0B1AB8" w:rsidR="002868E2" w:rsidRDefault="000458C0" w:rsidP="000458C0">
      <w:pPr>
        <w:spacing w:after="0"/>
        <w:rPr>
          <w:rFonts w:cs="Times New Roman"/>
          <w:bCs/>
          <w:szCs w:val="24"/>
        </w:rPr>
      </w:pPr>
      <w:r w:rsidRPr="0030032A">
        <w:rPr>
          <w:rFonts w:cs="Times New Roman"/>
          <w:bCs/>
          <w:szCs w:val="24"/>
          <w:vertAlign w:val="superscript"/>
        </w:rPr>
        <w:t>2</w:t>
      </w:r>
      <w:r w:rsidRPr="0030032A">
        <w:rPr>
          <w:rFonts w:cs="Times New Roman"/>
          <w:bCs/>
          <w:szCs w:val="24"/>
        </w:rPr>
        <w:t>UCB, Slough, SL1 4EN, United Kingdom</w:t>
      </w:r>
    </w:p>
    <w:p w14:paraId="2D114B0E" w14:textId="7AB4780A" w:rsidR="002706C8" w:rsidRPr="002706C8" w:rsidRDefault="002706C8" w:rsidP="000458C0">
      <w:pPr>
        <w:spacing w:after="0"/>
        <w:rPr>
          <w:rFonts w:cs="Times New Roman"/>
          <w:bCs/>
          <w:szCs w:val="24"/>
        </w:rPr>
      </w:pPr>
      <w:r>
        <w:rPr>
          <w:rFonts w:cs="Times New Roman"/>
          <w:b/>
          <w:szCs w:val="24"/>
          <w:vertAlign w:val="superscript"/>
        </w:rPr>
        <w:t>†</w:t>
      </w:r>
      <w:r w:rsidRPr="002706C8">
        <w:rPr>
          <w:rFonts w:cs="Times New Roman"/>
          <w:bCs/>
          <w:szCs w:val="24"/>
        </w:rPr>
        <w:t>Deceased</w:t>
      </w:r>
      <w:r>
        <w:rPr>
          <w:rFonts w:cs="Times New Roman"/>
          <w:bCs/>
          <w:szCs w:val="24"/>
        </w:rPr>
        <w:t>.</w:t>
      </w:r>
    </w:p>
    <w:p w14:paraId="55458F15" w14:textId="7C3397D3" w:rsidR="002868E2" w:rsidRPr="0030032A" w:rsidRDefault="002868E2" w:rsidP="00671D9A">
      <w:pPr>
        <w:spacing w:before="240" w:after="0"/>
        <w:rPr>
          <w:rFonts w:cs="Times New Roman"/>
          <w:b/>
          <w:szCs w:val="24"/>
        </w:rPr>
      </w:pPr>
      <w:r w:rsidRPr="0030032A">
        <w:rPr>
          <w:rFonts w:cs="Times New Roman"/>
          <w:b/>
          <w:szCs w:val="24"/>
        </w:rPr>
        <w:t xml:space="preserve">* Correspondence: </w:t>
      </w:r>
      <w:r w:rsidR="00671D9A" w:rsidRPr="0030032A">
        <w:rPr>
          <w:rFonts w:cs="Times New Roman"/>
          <w:b/>
          <w:szCs w:val="24"/>
        </w:rPr>
        <w:br/>
      </w:r>
      <w:r w:rsidR="00042E65" w:rsidRPr="0030032A">
        <w:rPr>
          <w:rFonts w:cs="Times New Roman"/>
          <w:szCs w:val="24"/>
        </w:rPr>
        <w:t>Jonathan W. Essex</w:t>
      </w:r>
      <w:r w:rsidR="00671D9A" w:rsidRPr="0030032A">
        <w:rPr>
          <w:rFonts w:cs="Times New Roman"/>
          <w:szCs w:val="24"/>
        </w:rPr>
        <w:br/>
      </w:r>
      <w:hyperlink r:id="rId11" w:history="1">
        <w:r w:rsidR="00042E65" w:rsidRPr="0030032A">
          <w:rPr>
            <w:rStyle w:val="Hyperlink"/>
            <w:rFonts w:cs="Times New Roman"/>
            <w:szCs w:val="24"/>
            <w:u w:val="none"/>
          </w:rPr>
          <w:t>j.w.essex@soton.ac.uk</w:t>
        </w:r>
      </w:hyperlink>
    </w:p>
    <w:p w14:paraId="688EE9ED" w14:textId="19AEF20F" w:rsidR="00EA3D3C" w:rsidRPr="0030032A" w:rsidRDefault="00817DD6" w:rsidP="00651CA2">
      <w:pPr>
        <w:pStyle w:val="AuthorList"/>
      </w:pPr>
      <w:r w:rsidRPr="0030032A">
        <w:t xml:space="preserve">Keywords: </w:t>
      </w:r>
      <w:r w:rsidR="00042E65" w:rsidRPr="0030032A">
        <w:t xml:space="preserve">Antibody-antigen interactions, </w:t>
      </w:r>
      <w:r w:rsidR="006177C0">
        <w:t>antibody binding, antibody affinity, antibody interface hydration</w:t>
      </w:r>
      <w:r w:rsidR="00042E65" w:rsidRPr="0030032A">
        <w:t xml:space="preserve">, </w:t>
      </w:r>
      <w:r w:rsidR="006177C0">
        <w:t>CDR flexibility</w:t>
      </w:r>
      <w:r w:rsidR="00042E65" w:rsidRPr="0030032A">
        <w:t>, molecular dynamics, replica exchange</w:t>
      </w:r>
    </w:p>
    <w:p w14:paraId="7E1AF80B" w14:textId="14A29A04" w:rsidR="008F406F" w:rsidRDefault="008F406F" w:rsidP="008F406F">
      <w:pPr>
        <w:pStyle w:val="AuthorList"/>
        <w:spacing w:after="0"/>
        <w:rPr>
          <w:b w:val="0"/>
          <w:bCs/>
        </w:rPr>
      </w:pPr>
      <w:r>
        <w:rPr>
          <w:b w:val="0"/>
          <w:bCs/>
        </w:rPr>
        <w:t>Word Count:</w:t>
      </w:r>
      <w:r w:rsidR="00336C51">
        <w:rPr>
          <w:b w:val="0"/>
          <w:bCs/>
        </w:rPr>
        <w:t xml:space="preserve"> 5490</w:t>
      </w:r>
    </w:p>
    <w:p w14:paraId="4E67D44D" w14:textId="0F68B923" w:rsidR="008F406F" w:rsidRDefault="008F406F" w:rsidP="008F406F">
      <w:pPr>
        <w:spacing w:before="0" w:after="0"/>
      </w:pPr>
      <w:r>
        <w:t>Figures 1 to 5</w:t>
      </w:r>
    </w:p>
    <w:p w14:paraId="3F9338E0" w14:textId="0C77861B" w:rsidR="008F406F" w:rsidRPr="008F406F" w:rsidRDefault="008F406F" w:rsidP="008F406F">
      <w:pPr>
        <w:spacing w:before="0"/>
      </w:pPr>
      <w:r>
        <w:t>Tables 1 to 3</w:t>
      </w:r>
    </w:p>
    <w:p w14:paraId="4DB10602" w14:textId="421D6E3D" w:rsidR="008E2B54" w:rsidRPr="0030032A" w:rsidRDefault="00EA3D3C" w:rsidP="00147395">
      <w:pPr>
        <w:pStyle w:val="AuthorList"/>
      </w:pPr>
      <w:r w:rsidRPr="0030032A">
        <w:t>Abstract</w:t>
      </w:r>
    </w:p>
    <w:p w14:paraId="0F5200D5" w14:textId="643B2C2F" w:rsidR="00EA3D3C" w:rsidRPr="0030032A" w:rsidRDefault="00042E65" w:rsidP="00147395">
      <w:pPr>
        <w:rPr>
          <w:b/>
          <w:szCs w:val="24"/>
        </w:rPr>
      </w:pPr>
      <w:r w:rsidRPr="0030032A">
        <w:rPr>
          <w:szCs w:val="24"/>
        </w:rPr>
        <w:t>We have carried out a long-timescale simulation study on crystal structures</w:t>
      </w:r>
      <w:r w:rsidR="00526C2C">
        <w:rPr>
          <w:szCs w:val="24"/>
        </w:rPr>
        <w:t xml:space="preserve"> of nine antibody-antigen pairs</w:t>
      </w:r>
      <w:r w:rsidR="005664DD">
        <w:rPr>
          <w:szCs w:val="24"/>
        </w:rPr>
        <w:t>,</w:t>
      </w:r>
      <w:r w:rsidR="00526C2C">
        <w:rPr>
          <w:szCs w:val="24"/>
        </w:rPr>
        <w:t xml:space="preserve"> in antigen-bound and antibody-only forms</w:t>
      </w:r>
      <w:r w:rsidRPr="0030032A">
        <w:rPr>
          <w:szCs w:val="24"/>
        </w:rPr>
        <w:t xml:space="preserve">, using molecular dynamics with enhanced sampling and an explicit water model to explore interface conformation and hydration.  By combining atomic level simulation and replica exchange to enable full protein flexibility, we find significant numbers of bridging water molecules at the antibody-antigen interface.  Additionally, a higher proportion of interactions excluding bulk waters and a lower degree of antigen bound CDR conformational sampling are correlated with higher antibody affinity.  The CDR sampling supports enthalpically driven antibody binding, as opposed to entropically driven, in that the difference between antigen bound and unbound conformations do not correlate with affinity.  We thus propose that interactions with waters and CDR sampling are aspects of the interface that </w:t>
      </w:r>
      <w:r w:rsidR="000049E3">
        <w:rPr>
          <w:szCs w:val="24"/>
        </w:rPr>
        <w:t xml:space="preserve">may </w:t>
      </w:r>
      <w:r w:rsidRPr="0030032A">
        <w:rPr>
          <w:szCs w:val="24"/>
        </w:rPr>
        <w:t xml:space="preserve">moderate antibody-antigen binding, and that explicit hydration and CDR flexibility </w:t>
      </w:r>
      <w:r w:rsidR="000049E3">
        <w:rPr>
          <w:szCs w:val="24"/>
        </w:rPr>
        <w:t>should</w:t>
      </w:r>
      <w:r w:rsidRPr="0030032A">
        <w:rPr>
          <w:szCs w:val="24"/>
        </w:rPr>
        <w:t xml:space="preserve"> be considered to improve antibody affinity prediction and computational design workflows</w:t>
      </w:r>
      <w:r w:rsidR="008E2B54" w:rsidRPr="0030032A">
        <w:rPr>
          <w:szCs w:val="24"/>
        </w:rPr>
        <w:t>.</w:t>
      </w:r>
    </w:p>
    <w:p w14:paraId="57F6A29A" w14:textId="77777777" w:rsidR="00EA3D3C" w:rsidRPr="0030032A" w:rsidRDefault="00EA3D3C" w:rsidP="00D9503C">
      <w:pPr>
        <w:pStyle w:val="Heading1"/>
      </w:pPr>
      <w:r w:rsidRPr="0030032A">
        <w:t>Introduction</w:t>
      </w:r>
    </w:p>
    <w:p w14:paraId="76205FB9" w14:textId="2D20E4DB" w:rsidR="00042E65" w:rsidRPr="0030032A" w:rsidRDefault="00042E65" w:rsidP="00042E65">
      <w:pPr>
        <w:autoSpaceDE w:val="0"/>
        <w:autoSpaceDN w:val="0"/>
        <w:adjustRightInd w:val="0"/>
        <w:rPr>
          <w:rFonts w:cs="Times New Roman"/>
          <w:szCs w:val="24"/>
        </w:rPr>
      </w:pPr>
      <w:bookmarkStart w:id="0" w:name="_Hlk54345276"/>
      <w:r w:rsidRPr="0030032A">
        <w:rPr>
          <w:rFonts w:cs="Times New Roman"/>
          <w:szCs w:val="24"/>
          <w:lang w:val="en-GB"/>
        </w:rPr>
        <w:t>Antibodies</w:t>
      </w:r>
      <w:r w:rsidRPr="0030032A">
        <w:rPr>
          <w:rFonts w:cs="Times New Roman"/>
          <w:szCs w:val="24"/>
        </w:rPr>
        <w:t xml:space="preserve"> are increasingly attractive biological drugs, and at present are at the forefront of vaccine and therapeutic developments against COVID-19, a pandemic that has caused over </w:t>
      </w:r>
      <w:r w:rsidR="00213CDB" w:rsidRPr="0030032A">
        <w:rPr>
          <w:rFonts w:cs="Times New Roman"/>
          <w:szCs w:val="24"/>
        </w:rPr>
        <w:t>5</w:t>
      </w:r>
      <w:r w:rsidRPr="0030032A">
        <w:rPr>
          <w:rFonts w:cs="Times New Roman"/>
          <w:szCs w:val="24"/>
        </w:rPr>
        <w:t>.</w:t>
      </w:r>
      <w:r w:rsidR="00213CDB" w:rsidRPr="0030032A">
        <w:rPr>
          <w:rFonts w:cs="Times New Roman"/>
          <w:szCs w:val="24"/>
        </w:rPr>
        <w:t>5</w:t>
      </w:r>
      <w:r w:rsidRPr="0030032A">
        <w:rPr>
          <w:rFonts w:cs="Times New Roman"/>
          <w:szCs w:val="24"/>
        </w:rPr>
        <w:t xml:space="preserve"> million deaths as of </w:t>
      </w:r>
      <w:r w:rsidR="00213CDB" w:rsidRPr="0030032A">
        <w:rPr>
          <w:rFonts w:cs="Times New Roman"/>
          <w:szCs w:val="24"/>
        </w:rPr>
        <w:t>January</w:t>
      </w:r>
      <w:r w:rsidRPr="0030032A">
        <w:rPr>
          <w:rFonts w:cs="Times New Roman"/>
          <w:szCs w:val="24"/>
        </w:rPr>
        <w:t xml:space="preserve"> 202</w:t>
      </w:r>
      <w:r w:rsidR="00213CDB" w:rsidRPr="0030032A">
        <w:rPr>
          <w:rFonts w:cs="Times New Roman"/>
          <w:szCs w:val="24"/>
        </w:rPr>
        <w:t>2</w:t>
      </w:r>
      <w:r w:rsidR="007134C1">
        <w:rPr>
          <w:rFonts w:cs="Times New Roman"/>
          <w:szCs w:val="24"/>
        </w:rPr>
        <w:t xml:space="preserve"> </w:t>
      </w:r>
      <w:r w:rsidRPr="0030032A">
        <w:rPr>
          <w:rFonts w:cs="Times New Roman"/>
          <w:szCs w:val="24"/>
        </w:rPr>
        <w:fldChar w:fldCharType="begin"/>
      </w:r>
      <w:r w:rsidR="00136B62" w:rsidRPr="0030032A">
        <w:rPr>
          <w:rFonts w:cs="Times New Roman"/>
          <w:szCs w:val="24"/>
        </w:rPr>
        <w:instrText xml:space="preserve"> ADDIN ZOTERO_ITEM CSL_CITATION {"citationID":"EALpi7zP","properties":{"formattedCitation":"(1,2)","plainCitation":"(1,2)","noteIndex":0},"citationItems":[{"id":626,"uris":["http://zotero.org/users/local/mmRtC3gY/items/AZ7NR9MS"],"uri":["http://zotero.org/users/local/mmRtC3gY/items/AZ7NR9MS"],"itemData":{"id":626,"type":"article-journal","abstract":"Abstract.  Facing the COVID-19 global healthcare crisis, scientists worldwide are collaborating to develop prophylactic and therapeutic interventions against th","container-title":"Antibody Therapeutics","DOI":"10.1093/abt/tbaa020","issue":"3","journalAbbreviation":"Antibody Ther","language":"en","note":"publisher: Oxford Academic","page":"205-212","source":"academic.oup.com","title":"COVID-19 antibody therapeutics tracker: a global online database of antibody therapeutics for the prevention and treatment of COVID-19","title-short":"COVID-19 antibody therapeutics tracker","volume":"3","author":[{"family":"Yang","given":"Lifei"},{"family":"Liu","given":"Weihan"},{"family":"Yu","given":"Xin"},{"family":"Wu","given":"Meng"},{"family":"Reichert","given":"Janice M."},{"family":"Ho","given":"Mitchell"}],"issued":{"date-parts":[["2020",7,25]]}}},{"id":497,"uris":["http://zotero.org/users/local/mmRtC3gY/items/CRKHMPFE"],"uri":["http://zotero.org/users/local/mmRtC3gY/items/CRKHMPFE"],"itemData":{"id":497,"type":"webpage","abstract":"Coronavirus COVID-19 Global Cases by the Center for Systems Science and Engineering (CSSE) at Johns Hopkins University (JHU)","container-title":"Johns Hopkins Coronavirus Resource Center","language":"en","title":"COVID-19 Map","URL":"https://coronavirus.jhu.edu/map.html","accessed":{"date-parts":[["2022",1,20]]}}}],"schema":"https://github.com/citation-style-language/schema/raw/master/csl-citation.json"} </w:instrText>
      </w:r>
      <w:r w:rsidRPr="0030032A">
        <w:rPr>
          <w:rFonts w:cs="Times New Roman"/>
          <w:szCs w:val="24"/>
        </w:rPr>
        <w:fldChar w:fldCharType="separate"/>
      </w:r>
      <w:r w:rsidR="00E90651" w:rsidRPr="0030032A">
        <w:rPr>
          <w:rFonts w:cs="Times New Roman"/>
        </w:rPr>
        <w:t>(1,2)</w:t>
      </w:r>
      <w:r w:rsidRPr="0030032A">
        <w:rPr>
          <w:rFonts w:cs="Times New Roman"/>
          <w:szCs w:val="24"/>
        </w:rPr>
        <w:fldChar w:fldCharType="end"/>
      </w:r>
      <w:r w:rsidRPr="0030032A">
        <w:rPr>
          <w:rFonts w:cs="Times New Roman"/>
          <w:szCs w:val="24"/>
        </w:rPr>
        <w:t xml:space="preserve">. </w:t>
      </w:r>
      <w:bookmarkEnd w:id="0"/>
      <w:r w:rsidRPr="0030032A">
        <w:rPr>
          <w:rFonts w:cs="Times New Roman"/>
          <w:szCs w:val="24"/>
        </w:rPr>
        <w:t xml:space="preserve"> The majority of an antibody’s high affinity and specificity is dictated via six hypervariable loops at the antigen binding site, known as Complementarity Determining Regions (CDRs)</w:t>
      </w:r>
      <w:r w:rsidR="007134C1">
        <w:rPr>
          <w:rFonts w:cs="Times New Roman"/>
          <w:szCs w:val="24"/>
        </w:rPr>
        <w:t xml:space="preserve"> </w:t>
      </w:r>
      <w:r w:rsidRPr="0030032A">
        <w:rPr>
          <w:rFonts w:cs="Times New Roman"/>
          <w:szCs w:val="24"/>
        </w:rPr>
        <w:fldChar w:fldCharType="begin"/>
      </w:r>
      <w:r w:rsidR="00E90651" w:rsidRPr="0030032A">
        <w:rPr>
          <w:rFonts w:cs="Times New Roman"/>
          <w:szCs w:val="24"/>
        </w:rPr>
        <w:instrText xml:space="preserve"> ADDIN ZOTERO_ITEM CSL_CITATION {"citationID":"5DiLp1yM","properties":{"formattedCitation":"(3,4)","plainCitation":"(3,4)","noteIndex":0},"citationItems":[{"id":123,"uris":["http://zotero.org/users/local/mmRtC3gY/items/LUGGITBM"],"uri":["http://zotero.org/users/local/mmRtC3gY/items/LUGGITBM"],"itemData":{"id":123,"type":"article-journal","container-title":"Journal of Experimental Medicine","DOI":"10.1084/jem.132.2.211","issue":"2","page":"211–250","title":"An Analysis of the Sequences of the Variable Regions of Bence Jones Proteins and Myeloma Light Chains and their Implications for Antibody Complementarity","volume":"132","author":[{"family":"Wu","given":"Tai Te"},{"family":"Kabat","given":"Elvin A."}],"issued":{"date-parts":[["1970"]]}}},{"id":127,"uris":["http://zotero.org/users/local/mmRtC3gY/items/53DUWGW5"],"uri":["http://zotero.org/users/local/mmRtC3gY/items/53DUWGW5"],"itemData":{"id":127,"type":"book","publisher":"DIANE publishing","title":"Sequences of proteins of immunological interest","author":[{"family":"Kabat","given":"E.A."},{"family":"Wu","given":"T. T."},{"family":"Foeller","given":"C"},{"family":"Perry","given":"H. M."},{"family":"Gottesman","given":"K.S."}],"issued":{"date-parts":[["1992"]]}}}],"schema":"https://github.com/citation-style-language/schema/raw/master/csl-citation.json"} </w:instrText>
      </w:r>
      <w:r w:rsidRPr="0030032A">
        <w:rPr>
          <w:rFonts w:cs="Times New Roman"/>
          <w:szCs w:val="24"/>
        </w:rPr>
        <w:fldChar w:fldCharType="separate"/>
      </w:r>
      <w:r w:rsidR="00E90651" w:rsidRPr="0030032A">
        <w:rPr>
          <w:rFonts w:cs="Times New Roman"/>
        </w:rPr>
        <w:t>(3,4)</w:t>
      </w:r>
      <w:r w:rsidRPr="0030032A">
        <w:rPr>
          <w:rFonts w:cs="Times New Roman"/>
          <w:szCs w:val="24"/>
        </w:rPr>
        <w:fldChar w:fldCharType="end"/>
      </w:r>
      <w:r w:rsidRPr="0030032A">
        <w:rPr>
          <w:rFonts w:cs="Times New Roman"/>
          <w:szCs w:val="24"/>
        </w:rPr>
        <w:t>.  This makes antibodies ideal for treating diseases, but their binding is difficult to predict and understand at the atomic level.</w:t>
      </w:r>
    </w:p>
    <w:p w14:paraId="5305252E" w14:textId="40E4CB13" w:rsidR="00042E65" w:rsidRPr="0030032A" w:rsidRDefault="00042E65" w:rsidP="00042E65">
      <w:pPr>
        <w:autoSpaceDE w:val="0"/>
        <w:autoSpaceDN w:val="0"/>
        <w:adjustRightInd w:val="0"/>
        <w:rPr>
          <w:rFonts w:cs="Times New Roman"/>
          <w:szCs w:val="24"/>
        </w:rPr>
      </w:pPr>
      <w:r w:rsidRPr="0030032A">
        <w:rPr>
          <w:rFonts w:cs="Times New Roman"/>
          <w:szCs w:val="24"/>
        </w:rPr>
        <w:t xml:space="preserve">Therapeutic antibodies are currently generated by animal </w:t>
      </w:r>
      <w:r w:rsidR="00C252A4" w:rsidRPr="0030032A">
        <w:rPr>
          <w:rFonts w:cs="Times New Roman"/>
          <w:szCs w:val="24"/>
        </w:rPr>
        <w:t>immunization</w:t>
      </w:r>
      <w:r w:rsidRPr="0030032A">
        <w:rPr>
          <w:rFonts w:cs="Times New Roman"/>
          <w:szCs w:val="24"/>
        </w:rPr>
        <w:t xml:space="preserve"> followed by hybridoma or B-cell selection technology, or by display methods</w:t>
      </w:r>
      <w:r w:rsidR="007134C1">
        <w:rPr>
          <w:rFonts w:cs="Times New Roman"/>
          <w:szCs w:val="24"/>
        </w:rPr>
        <w:t xml:space="preserve"> </w:t>
      </w:r>
      <w:r w:rsidRPr="0030032A">
        <w:rPr>
          <w:rFonts w:cs="Times New Roman"/>
          <w:szCs w:val="24"/>
        </w:rPr>
        <w:fldChar w:fldCharType="begin"/>
      </w:r>
      <w:r w:rsidR="00E90651" w:rsidRPr="0030032A">
        <w:rPr>
          <w:rFonts w:cs="Times New Roman"/>
          <w:szCs w:val="24"/>
        </w:rPr>
        <w:instrText xml:space="preserve"> ADDIN ZOTERO_ITEM CSL_CITATION {"citationID":"a23ctmqm0p0","properties":{"formattedCitation":"(5\\uc0\\u8211{}7)","plainCitation":"(5–7)","noteIndex":0},"citationItems":[{"id":151,"uris":["http://zotero.org/users/local/mmRtC3gY/items/W8JGNFX5"],"uri":["http://zotero.org/users/local/mmRtC3gY/items/W8JGNFX5"],"itemData":{"id":151,"type":"article-journal","container-title":"Science","DOI":"10.1126/science.4001944","issue":"4705","page":"1315–1317","title":"Filamentous fusion phage: novel expression vectors that display cloned antigens on the virion surface","volume":"228","author":[{"family":"Smith","given":"G."}],"issued":{"date-parts":[["1985"]]}}},{"id":317,"uris":["http://zotero.org/users/local/mmRtC3gY/items/KH2VHZX8"],"uri":["http://zotero.org/users/local/mmRtC3gY/items/KH2VHZX8"],"itemData":{"id":317,"type":"article-journal","abstract":"NEW ways of making antibodies have recently been demonstrated using gene technology. Immunoglobulm variable (V) genes are amplified from hybridomas or B cells using the polymerase chain reaction, and cloned into expression vectors. Soluble antibody fragments secreted from bacteria are then screened for binding activities (see ref. 1 for review). Screening of V genes would, however, be revolutionized if they could be expressed on the surface of bacteriophage. Phage carrying V genes that encode binding activities could then be selected directly with antigen. Here we show that complete antibody V domains can be displayed on the surface of fd bacteriophage, that the phage bind specifically to antigen and that rare phage (one in a million) can be isolated after affinity chromatography.","container-title":"Nature","DOI":"10.1038/348552a0","ISSN":"1476-4687","issue":"6301","language":"en","note":"number: 6301\npublisher: Nature Publishing Group","page":"552-554","source":"www.nature.com","title":"Phage antibodies: filamentous phage displaying antibody variable domains","title-short":"Phage antibodies","volume":"348","author":[{"family":"McCafferty","given":"John"},{"family":"Griffiths","given":"Andrew D."},{"family":"Winter","given":"Greg"},{"family":"Chiswell","given":"David J."}],"issued":{"date-parts":[["1990",12]]}}},{"id":320,"uris":["http://zotero.org/users/local/mmRtC3gY/items/R3XYKSMH"],"uri":["http://zotero.org/users/local/mmRtC3gY/items/R3XYKSMH"],"itemData":{"id":320,"type":"article-journal","abstract":"To by-pass hybridoma technology and animal immunization, we are trying to build antibodies in bacteria by mimicking features of immune selection1. Recently we used fd phage2 to display antibody fragments fused to a minor coat protein3,4, allowing enrichment of phage with antigen3. Using a random combinatorial library of the rearranged heavy (VH) and kappa (Vk) light chains5– from mice immune to the hapten 2-phenyloxazol-5-one (phOx), we have now displayed diverse libraries of antibody fragments on the surface of fd phage. After a single pass over a hapten affinity column, fd phage with a range of phOx binding activities were detected, at least one with high affinity (dissociation constant, Kd = 10-8 M). A second pass enriched for the strong binders at the expense of the weak. The binders were encoded by V genes similar to those found in anti-phOx hybridomas but in promiscuous combinations (where the same V gene is found with several different partners). By combining a promiscuous VH or VK gene with diverse repertoires of partners to create hierarchical libraries, we elicited many more pairings with strong binding activities. Phage display offers new ways of making antibodies from V-gene libraries, altering V-domain pairings and selecting for antibodies with good affinities.","container-title":"Nature","DOI":"10.1038/352624a0","ISSN":"1476-4687","issue":"6336","language":"en","note":"number: 6336\npublisher: Nature Publishing Group","page":"624-628","source":"www.nature.com","title":"Making antibody fragments using phage display libraries","volume":"352","author":[{"family":"Clackson","given":"Tim"},{"family":"Hoogenboom","given":"Hennie R."},{"family":"Griffiths","given":"Andrew D."},{"family":"Winter","given":"Greg"}],"issued":{"date-parts":[["1991",8]]}}}],"schema":"https://github.com/citation-style-language/schema/raw/master/csl-citation.json"} </w:instrText>
      </w:r>
      <w:r w:rsidRPr="0030032A">
        <w:rPr>
          <w:rFonts w:cs="Times New Roman"/>
          <w:szCs w:val="24"/>
        </w:rPr>
        <w:fldChar w:fldCharType="separate"/>
      </w:r>
      <w:r w:rsidR="00E90651" w:rsidRPr="0030032A">
        <w:rPr>
          <w:rFonts w:cs="Times New Roman"/>
          <w:szCs w:val="24"/>
        </w:rPr>
        <w:t>(5–7)</w:t>
      </w:r>
      <w:r w:rsidRPr="0030032A">
        <w:rPr>
          <w:rFonts w:cs="Times New Roman"/>
          <w:szCs w:val="24"/>
        </w:rPr>
        <w:fldChar w:fldCharType="end"/>
      </w:r>
      <w:r w:rsidRPr="0030032A">
        <w:rPr>
          <w:rFonts w:cs="Times New Roman"/>
          <w:szCs w:val="24"/>
        </w:rPr>
        <w:t xml:space="preserve">.  Structure-based rational design however </w:t>
      </w:r>
      <w:r w:rsidRPr="0030032A">
        <w:rPr>
          <w:rFonts w:cs="Times New Roman"/>
          <w:szCs w:val="24"/>
        </w:rPr>
        <w:lastRenderedPageBreak/>
        <w:t>offers additional insight and benefits including epitope specificity, mechanisms of action, and affinity maturation.  A proof-of-concept example demonstrating the advantage of atomistic structure-based design was carried out by the Vendruscolo group, who designed complementary peptides against different parts of an amyloid-β peptide</w:t>
      </w:r>
      <w:r w:rsidR="007134C1">
        <w:rPr>
          <w:rFonts w:cs="Times New Roman"/>
          <w:szCs w:val="24"/>
        </w:rPr>
        <w:t xml:space="preserve"> </w:t>
      </w:r>
      <w:r w:rsidRPr="0030032A">
        <w:rPr>
          <w:rFonts w:cs="Times New Roman"/>
          <w:szCs w:val="24"/>
        </w:rPr>
        <w:fldChar w:fldCharType="begin"/>
      </w:r>
      <w:r w:rsidR="00E90651" w:rsidRPr="0030032A">
        <w:rPr>
          <w:rFonts w:cs="Times New Roman"/>
          <w:szCs w:val="24"/>
        </w:rPr>
        <w:instrText xml:space="preserve"> ADDIN ZOTERO_ITEM CSL_CITATION {"citationID":"a25qurd23pl","properties":{"formattedCitation":"(8,9)","plainCitation":"(8,9)","noteIndex":0},"citationItems":[{"id":196,"uris":["http://zotero.org/users/local/mmRtC3gY/items/LE4YUERX"],"uri":["http://zotero.org/users/local/mmRtC3gY/items/LE4YUERX"],"itemData":{"id":196,"type":"article-journal","container-title":"Proceedings of the National Academy of Sciences","DOI":"10.1073/pnas.1422401112","issue":"32","page":"9902–9907","title":"Rational design of antibodies targeting specific epitopes within intrinsically disordered proteins","volume":"112","author":[{"family":"Sormanni","given":"Pietro"},{"family":"Aprile","given":"Francesco A."},{"family":"Vendruscolo","given":"Michele"}],"issued":{"date-parts":[["2015"]]}}},{"id":197,"uris":["http://zotero.org/users/local/mmRtC3gY/items/LFLCFSQW"],"uri":["http://zotero.org/users/local/mmRtC3gY/items/LFLCFSQW"],"itemData":{"id":197,"type":"article-journal","container-title":"Science Advances","DOI":"10.1126/sciadv.1700488","issue":"6","title":"Selective targeting of primary and secondary nucleation pathways in Aβ42 aggregation using a rational antibody scanning method","volume":"3","author":[{"family":"Aprile","given":"Francesco A."},{"family":"Sormanni","given":"Pietro"},{"family":"Perni","given":"Michele"},{"family":"Arosio","given":"Paolo"},{"family":"Linse","given":"Sara"},{"family":"Knowles","given":"Tuomas P. J."},{"family":"Dobson","given":"Christopher M."},{"family":"Vendruscolo","given":"Michele"}],"issued":{"date-parts":[["2017"]]}}}],"schema":"https://github.com/citation-style-language/schema/raw/master/csl-citation.json"} </w:instrText>
      </w:r>
      <w:r w:rsidRPr="0030032A">
        <w:rPr>
          <w:rFonts w:cs="Times New Roman"/>
          <w:szCs w:val="24"/>
        </w:rPr>
        <w:fldChar w:fldCharType="separate"/>
      </w:r>
      <w:r w:rsidR="00E90651" w:rsidRPr="0030032A">
        <w:rPr>
          <w:rFonts w:cs="Times New Roman"/>
        </w:rPr>
        <w:t>(8,9)</w:t>
      </w:r>
      <w:r w:rsidRPr="0030032A">
        <w:rPr>
          <w:rFonts w:cs="Times New Roman"/>
          <w:szCs w:val="24"/>
        </w:rPr>
        <w:fldChar w:fldCharType="end"/>
      </w:r>
      <w:r w:rsidRPr="0030032A">
        <w:rPr>
          <w:rFonts w:cs="Times New Roman"/>
          <w:szCs w:val="24"/>
        </w:rPr>
        <w:t xml:space="preserve">.  Grafting these designs onto single domain heavy chain CDR3s, the rate of amyloid-β peptide aggregation during </w:t>
      </w:r>
      <w:r w:rsidRPr="0030032A">
        <w:rPr>
          <w:rFonts w:cs="Times New Roman"/>
          <w:i/>
          <w:iCs/>
          <w:szCs w:val="24"/>
        </w:rPr>
        <w:t>in vivo</w:t>
      </w:r>
      <w:r w:rsidRPr="0030032A">
        <w:rPr>
          <w:rFonts w:cs="Times New Roman"/>
          <w:szCs w:val="24"/>
        </w:rPr>
        <w:t xml:space="preserve"> validation was only affected when specific parts of the peptide were targeted.  Additionally, rational design of a therapeutic antibody was recently exemplified in the case of an anti-IL-17, Bimekizumab, where a computational affinity maturation method was used to provide </w:t>
      </w:r>
      <w:r w:rsidR="00C252A4" w:rsidRPr="0030032A">
        <w:rPr>
          <w:rFonts w:cs="Times New Roman"/>
          <w:szCs w:val="24"/>
        </w:rPr>
        <w:t>neutralization</w:t>
      </w:r>
      <w:r w:rsidRPr="0030032A">
        <w:rPr>
          <w:rFonts w:cs="Times New Roman"/>
          <w:szCs w:val="24"/>
        </w:rPr>
        <w:t xml:space="preserve"> potency against both IL-17A and IL-17F isoforms</w:t>
      </w:r>
      <w:r w:rsidR="007134C1">
        <w:rPr>
          <w:rFonts w:cs="Times New Roman"/>
          <w:szCs w:val="24"/>
        </w:rPr>
        <w:t xml:space="preserve"> </w:t>
      </w:r>
      <w:r w:rsidRPr="0030032A">
        <w:rPr>
          <w:rFonts w:cs="Times New Roman"/>
          <w:szCs w:val="24"/>
        </w:rPr>
        <w:fldChar w:fldCharType="begin"/>
      </w:r>
      <w:r w:rsidR="00E90651" w:rsidRPr="0030032A">
        <w:rPr>
          <w:rFonts w:cs="Times New Roman"/>
          <w:szCs w:val="24"/>
        </w:rPr>
        <w:instrText xml:space="preserve"> ADDIN ZOTERO_ITEM CSL_CITATION {"citationID":"a1aocrog8km","properties":{"formattedCitation":"(10)","plainCitation":"(10)","noteIndex":0},"citationItems":[{"id":504,"uris":["http://zotero.org/users/local/mmRtC3gY/items/7THD7NVQ"],"uri":["http://zotero.org/users/local/mmRtC3gY/items/7THD7NVQ"],"itemData":{"id":504,"type":"article-journal","abstract":"Interleukin (IL)-17A is a key driver of inflammation and the principal target of anti-IL-17 therapeutic monoclonal antibodies. IL-17A, and its structurally similar family member IL-17F, have been shown to be functionally dysregulated in certain human immune-mediated inflammatory diseases such as psoriasis, psoriatic arthritis and axial spondyloarthritis. Given the overlapping biology of these two cytokines, we postulated that dual neutralization of IL-17A and IL-17F may provide a greater depth of clinical response in IL-17-mediated diseases than IL-17A inhibition alone. We identified 496.g1, a humanized antibody with strong affinity for IL-17A but poor affinity for IL-17F. Affinity maturation of 496.g1 to 496.g3 greatly enhanced the affinity of the Fab fragment for IL-17F while retaining strong binding to IL-17A. As an IgG1, the affinity for IL-17A and IL-17F was 3.2 pM and 23 pM, respectively. Comparison of 496.g3 IgG1 with the commercially available anti-IL-17A monoclonal antibodies ixekizumab and secukinumab, by surface plasmon resonance and in a human in vitro IL-17A functional assay, showed that 496.g3 and ixekizumab display equivalent affinity for IL-17A, and that both antibodies are markedly more potent than secukinumab. In contrast to ixekizumab and secukinumab, 496.g3 exhibited the unique feature of also being able to neutralize the biological activity of IL-17F. Therefore, antibody 496.g3 was selected for clinical development for its ability to neutralize the biologic function of both IL-17A and IL-17F and was renamed bimekizumab (formerly UCB4940). Early clinical data in patients with psoriasis, in those with psoriatic arthritis, and from the Phase 2 studies in psoriasis, psoriatic arthritis and ankylosing spondylitis, are encouraging and support the targeted approach of dual neutralization of IL-17A and IL-17F. Taken together, these findings provide the rationale for the continued clinical evaluation of bimekizumab in patients with immune-mediated inflammatory diseases.","container-title":"Frontiers in Immunology","DOI":"10.3389/fimmu.2020.01894","ISSN":"1664-3224","journalAbbreviation":"Front. Immunol.","language":"English","note":"publisher: Frontiers","source":"Frontiers","title":"Bimekizumab, a Novel Humanized IgG1 Antibody That Neutralizes Both IL-17A and IL-17F","URL":"https://www.frontiersin.org/articles/10.3389/fimmu.2020.01894/full","volume":"11","author":[{"family":"Adams","given":"Ralph"},{"family":"Maroof","given":"Asher"},{"family":"Baker","given":"Terry"},{"family":"Lawson","given":"Alastair D. G."},{"family":"Oliver","given":"Ruth"},{"family":"Paveley","given":"Ross"},{"family":"Rapecki","given":"Steve"},{"family":"Shaw","given":"Stevan"},{"family":"Vajjah","given":"Pavan"},{"family":"West","given":"Shauna"},{"family":"Griffiths","given":"Meryn"}],"accessed":{"date-parts":[["2020",9,7]]},"issued":{"date-parts":[["2020"]]}}}],"schema":"https://github.com/citation-style-language/schema/raw/master/csl-citation.json"} </w:instrText>
      </w:r>
      <w:r w:rsidRPr="0030032A">
        <w:rPr>
          <w:rFonts w:cs="Times New Roman"/>
          <w:szCs w:val="24"/>
        </w:rPr>
        <w:fldChar w:fldCharType="separate"/>
      </w:r>
      <w:r w:rsidR="00E90651" w:rsidRPr="0030032A">
        <w:rPr>
          <w:rFonts w:cs="Times New Roman"/>
        </w:rPr>
        <w:t>(10)</w:t>
      </w:r>
      <w:r w:rsidRPr="0030032A">
        <w:rPr>
          <w:rFonts w:cs="Times New Roman"/>
          <w:szCs w:val="24"/>
        </w:rPr>
        <w:fldChar w:fldCharType="end"/>
      </w:r>
      <w:r w:rsidRPr="0030032A">
        <w:rPr>
          <w:rFonts w:cs="Times New Roman"/>
          <w:szCs w:val="24"/>
        </w:rPr>
        <w:t>.</w:t>
      </w:r>
    </w:p>
    <w:p w14:paraId="077041FC" w14:textId="07FA37C1" w:rsidR="00042E65" w:rsidRPr="0030032A" w:rsidRDefault="00042E65" w:rsidP="00042E65">
      <w:pPr>
        <w:autoSpaceDE w:val="0"/>
        <w:autoSpaceDN w:val="0"/>
        <w:adjustRightInd w:val="0"/>
        <w:rPr>
          <w:rFonts w:cs="Times New Roman"/>
          <w:szCs w:val="24"/>
        </w:rPr>
      </w:pPr>
      <w:r w:rsidRPr="0030032A">
        <w:rPr>
          <w:rFonts w:cs="Times New Roman"/>
          <w:szCs w:val="24"/>
        </w:rPr>
        <w:t xml:space="preserve">Computational methods offer a solution to modern structure-based rational antibody design.  There have been several </w:t>
      </w:r>
      <w:r w:rsidRPr="0030032A">
        <w:rPr>
          <w:rFonts w:cs="Times New Roman"/>
          <w:i/>
          <w:iCs/>
          <w:szCs w:val="24"/>
        </w:rPr>
        <w:t xml:space="preserve">in silico </w:t>
      </w:r>
      <w:r w:rsidRPr="0030032A">
        <w:rPr>
          <w:rFonts w:cs="Times New Roman"/>
          <w:szCs w:val="24"/>
        </w:rPr>
        <w:t xml:space="preserve">attempts at </w:t>
      </w:r>
      <w:r w:rsidRPr="0030032A">
        <w:rPr>
          <w:rFonts w:cs="Times New Roman"/>
          <w:i/>
          <w:iCs/>
          <w:szCs w:val="24"/>
        </w:rPr>
        <w:t>de novo</w:t>
      </w:r>
      <w:r w:rsidRPr="0030032A">
        <w:rPr>
          <w:rFonts w:cs="Times New Roman"/>
          <w:szCs w:val="24"/>
        </w:rPr>
        <w:t xml:space="preserve"> design: OptMAVEn</w:t>
      </w:r>
      <w:r w:rsidR="007134C1">
        <w:rPr>
          <w:rFonts w:cs="Times New Roman"/>
          <w:szCs w:val="24"/>
        </w:rPr>
        <w:t xml:space="preserve"> </w:t>
      </w:r>
      <w:r w:rsidRPr="0030032A">
        <w:rPr>
          <w:rFonts w:cs="Times New Roman"/>
          <w:szCs w:val="24"/>
        </w:rPr>
        <w:fldChar w:fldCharType="begin"/>
      </w:r>
      <w:r w:rsidR="00E9077D">
        <w:rPr>
          <w:rFonts w:cs="Times New Roman"/>
          <w:szCs w:val="24"/>
        </w:rPr>
        <w:instrText xml:space="preserve"> ADDIN ZOTERO_ITEM CSL_CITATION {"citationID":"UFN1TCFP","properties":{"formattedCitation":"(11)","plainCitation":"(11)","noteIndex":0},"citationItems":[{"id":"4xYyYIWT/DR69ONSP","uris":["http://zotero.org/users/local/mmRtC3gY/items/HNDVEXZ9"],"uri":["http://zotero.org/users/local/mmRtC3gY/items/HNDVEXZ9"],"itemData":{"id":154,"type":"article-journal","container-title":"PLoS ONE","DOI":"10.1371/journal.pone.0105954","issue":"8","title":"OptMAVEn - A new framework for the de novo design of antibody variable region models targeting specific antigen epitopes","volume":"9","author":[{"family":"Li","given":"Tong"},{"family":"Pantazes","given":"Robert J."},{"family":"Maranas","given":"Costas D."}],"issued":{"date-parts":[["2014"]]}}}],"schema":"https://github.com/citation-style-language/schema/raw/master/csl-citation.json"} </w:instrText>
      </w:r>
      <w:r w:rsidRPr="0030032A">
        <w:rPr>
          <w:rFonts w:cs="Times New Roman"/>
          <w:szCs w:val="24"/>
        </w:rPr>
        <w:fldChar w:fldCharType="separate"/>
      </w:r>
      <w:r w:rsidR="00E90651" w:rsidRPr="0030032A">
        <w:rPr>
          <w:rFonts w:cs="Times New Roman"/>
        </w:rPr>
        <w:t>(11)</w:t>
      </w:r>
      <w:r w:rsidRPr="0030032A">
        <w:rPr>
          <w:rFonts w:cs="Times New Roman"/>
          <w:szCs w:val="24"/>
        </w:rPr>
        <w:fldChar w:fldCharType="end"/>
      </w:r>
      <w:r w:rsidRPr="0030032A">
        <w:rPr>
          <w:rFonts w:cs="Times New Roman"/>
          <w:szCs w:val="24"/>
        </w:rPr>
        <w:t>, AbDesign</w:t>
      </w:r>
      <w:r w:rsidR="007134C1">
        <w:rPr>
          <w:rFonts w:cs="Times New Roman"/>
          <w:szCs w:val="24"/>
        </w:rPr>
        <w:t xml:space="preserve"> </w:t>
      </w:r>
      <w:r w:rsidRPr="0030032A">
        <w:rPr>
          <w:rFonts w:cs="Times New Roman"/>
          <w:szCs w:val="24"/>
        </w:rPr>
        <w:fldChar w:fldCharType="begin"/>
      </w:r>
      <w:r w:rsidR="00E90651" w:rsidRPr="0030032A">
        <w:rPr>
          <w:rFonts w:cs="Times New Roman"/>
          <w:szCs w:val="24"/>
        </w:rPr>
        <w:instrText xml:space="preserve"> ADDIN ZOTERO_ITEM CSL_CITATION {"citationID":"hRIASBjc","properties":{"formattedCitation":"(12)","plainCitation":"(12)","noteIndex":0},"citationItems":[{"id":193,"uris":["http://zotero.org/users/local/mmRtC3gY/items/RHNP5AAY"],"uri":["http://zotero.org/users/local/mmRtC3gY/items/RHNP5AAY"],"itemData":{"id":193,"type":"article-journal","container-title":"Proteins: Structure, Function and Bioinformatics","DOI":"10.1002/prot.24779","issue":"8","page":"1385–1406","title":"AbDesign: An algorithm for combinatorial backbone design guided by natural conformations and sequences","volume":"83","author":[{"family":"Lapidoth","given":"Gideon D."},{"family":"Baran","given":"Dror"},{"family":"Pszolla","given":"Gabriele M."},{"family":"Norn","given":"Christoffer"},{"family":"Alon","given":"Assaf"},{"family":"Tyka","given":"Michael D."},{"family":"Fleishman","given":"Sarel J."}],"issued":{"date-parts":[["2015"]]}}}],"schema":"https://github.com/citation-style-language/schema/raw/master/csl-citation.json"} </w:instrText>
      </w:r>
      <w:r w:rsidRPr="0030032A">
        <w:rPr>
          <w:rFonts w:cs="Times New Roman"/>
          <w:szCs w:val="24"/>
        </w:rPr>
        <w:fldChar w:fldCharType="separate"/>
      </w:r>
      <w:r w:rsidR="00E90651" w:rsidRPr="0030032A">
        <w:rPr>
          <w:rFonts w:cs="Times New Roman"/>
        </w:rPr>
        <w:t>(12)</w:t>
      </w:r>
      <w:r w:rsidRPr="0030032A">
        <w:rPr>
          <w:rFonts w:cs="Times New Roman"/>
          <w:szCs w:val="24"/>
        </w:rPr>
        <w:fldChar w:fldCharType="end"/>
      </w:r>
      <w:r w:rsidRPr="0030032A">
        <w:rPr>
          <w:rFonts w:cs="Times New Roman"/>
          <w:szCs w:val="24"/>
        </w:rPr>
        <w:t>, hotspot grafting with CDR-H3 swapping</w:t>
      </w:r>
      <w:r w:rsidR="007134C1">
        <w:rPr>
          <w:rFonts w:cs="Times New Roman"/>
          <w:szCs w:val="24"/>
        </w:rPr>
        <w:t xml:space="preserve"> </w:t>
      </w:r>
      <w:r w:rsidRPr="0030032A">
        <w:rPr>
          <w:rFonts w:cs="Times New Roman"/>
          <w:szCs w:val="24"/>
        </w:rPr>
        <w:fldChar w:fldCharType="begin"/>
      </w:r>
      <w:r w:rsidR="00E90651" w:rsidRPr="0030032A">
        <w:rPr>
          <w:rFonts w:cs="Times New Roman"/>
          <w:szCs w:val="24"/>
        </w:rPr>
        <w:instrText xml:space="preserve"> ADDIN ZOTERO_ITEM CSL_CITATION {"citationID":"KgA0ODUo","properties":{"formattedCitation":"(13)","plainCitation":"(13)","noteIndex":0},"citationItems":[{"id":76,"uris":["http://zotero.org/users/local/mmRtC3gY/items/ZMXARYMN"],"uri":["http://zotero.org/users/local/mmRtC3gY/items/ZMXARYMN"],"itemData":{"id":76,"type":"article-journal","container-title":"Scientific Reports","DOI":"10.1038/srep41306","issue":"January","note":"publisher: Nature Publishing Group","page":"41306","title":"Computational design of an epitope-specific Keap1 binding antibody using hotspot residues grafting and CDR loop swapping","volume":"7","author":[{"family":"Liu","given":"Xiaofeng"},{"family":"Taylor","given":"Richard D."},{"family":"Griffin","given":"Laura"},{"family":"Coker","given":"Shu-Fen"},{"family":"Adams","given":"Ralph"},{"family":"Ceska","given":"Tom"},{"family":"Shi","given":"Jiye"},{"family":"Lawson","given":"Alastair D. G."},{"family":"Baker","given":"Terry"}],"issued":{"date-parts":[["2017"]]}}}],"schema":"https://github.com/citation-style-language/schema/raw/master/csl-citation.json"} </w:instrText>
      </w:r>
      <w:r w:rsidRPr="0030032A">
        <w:rPr>
          <w:rFonts w:cs="Times New Roman"/>
          <w:szCs w:val="24"/>
        </w:rPr>
        <w:fldChar w:fldCharType="separate"/>
      </w:r>
      <w:r w:rsidR="00E90651" w:rsidRPr="0030032A">
        <w:rPr>
          <w:rFonts w:cs="Times New Roman"/>
        </w:rPr>
        <w:t>(13)</w:t>
      </w:r>
      <w:r w:rsidRPr="0030032A">
        <w:rPr>
          <w:rFonts w:cs="Times New Roman"/>
          <w:szCs w:val="24"/>
        </w:rPr>
        <w:fldChar w:fldCharType="end"/>
      </w:r>
      <w:r w:rsidRPr="0030032A">
        <w:rPr>
          <w:rFonts w:cs="Times New Roman"/>
          <w:szCs w:val="24"/>
        </w:rPr>
        <w:t>, and re-epitoping</w:t>
      </w:r>
      <w:r w:rsidR="007134C1">
        <w:rPr>
          <w:rFonts w:cs="Times New Roman"/>
          <w:szCs w:val="24"/>
        </w:rPr>
        <w:t xml:space="preserve"> </w:t>
      </w:r>
      <w:r w:rsidRPr="0030032A">
        <w:rPr>
          <w:rFonts w:cs="Times New Roman"/>
          <w:szCs w:val="24"/>
        </w:rPr>
        <w:fldChar w:fldCharType="begin"/>
      </w:r>
      <w:r w:rsidR="00E90651" w:rsidRPr="0030032A">
        <w:rPr>
          <w:rFonts w:cs="Times New Roman"/>
          <w:szCs w:val="24"/>
        </w:rPr>
        <w:instrText xml:space="preserve"> ADDIN ZOTERO_ITEM CSL_CITATION {"citationID":"6QQPZybq","properties":{"formattedCitation":"(14)","plainCitation":"(14)","noteIndex":0},"citationItems":[{"id":358,"uris":["http://zotero.org/users/local/mmRtC3gY/items/7ART4WTV"],"uri":["http://zotero.org/users/local/mmRtC3gY/items/7ART4WTV"],"itemData":{"id":358,"type":"article-journal","container-title":"Cell Reports","DOI":"10.1016/j.celrep.2018.10.081","ISSN":"2211-1247","issue":"8","journalAbbreviation":"Cell Reports","language":"English","note":"publisher: Elsevier\nPMID: 30463010","page":"2121-2131.e5","source":"www.cell.com","title":"Computational Design of Epitope-Specific Functional Antibodies","volume":"25","author":[{"family":"Nimrod","given":"Guy"},{"family":"Fischman","given":"Sharon"},{"family":"Austin","given":"Mark"},{"family":"Herman","given":"Asael"},{"family":"Keyes","given":"Feenagh"},{"family":"Leiderman","given":"Olga"},{"family":"Hargreaves","given":"David"},{"family":"Strajbl","given":"Marek"},{"family":"Breed","given":"Jason"},{"family":"Klompus","given":"Shelley"},{"family":"Minton","given":"Kevin"},{"family":"Spooner","given":"Jennifer"},{"family":"Buchanan","given":"Andrew"},{"family":"Vaughan","given":"Tristan J."},{"family":"Ofran","given":"Yanay"}],"issued":{"date-parts":[["2018",11,20]]}}}],"schema":"https://github.com/citation-style-language/schema/raw/master/csl-citation.json"} </w:instrText>
      </w:r>
      <w:r w:rsidRPr="0030032A">
        <w:rPr>
          <w:rFonts w:cs="Times New Roman"/>
          <w:szCs w:val="24"/>
        </w:rPr>
        <w:fldChar w:fldCharType="separate"/>
      </w:r>
      <w:r w:rsidR="00E90651" w:rsidRPr="0030032A">
        <w:rPr>
          <w:rFonts w:cs="Times New Roman"/>
        </w:rPr>
        <w:t>(14)</w:t>
      </w:r>
      <w:r w:rsidRPr="0030032A">
        <w:rPr>
          <w:rFonts w:cs="Times New Roman"/>
          <w:szCs w:val="24"/>
        </w:rPr>
        <w:fldChar w:fldCharType="end"/>
      </w:r>
      <w:r w:rsidRPr="0030032A">
        <w:rPr>
          <w:rFonts w:cs="Times New Roman"/>
          <w:szCs w:val="24"/>
        </w:rPr>
        <w:t xml:space="preserve">.  OptMAVEn and AbDesign use a jigsaw-like approach, assembling fragments of antibody variable region structures.   The most notable differences lie in how the variable regions are fragmented, the in-house protocols to </w:t>
      </w:r>
      <w:r w:rsidR="00C252A4" w:rsidRPr="0030032A">
        <w:rPr>
          <w:rFonts w:cs="Times New Roman"/>
          <w:szCs w:val="24"/>
        </w:rPr>
        <w:t>optimize</w:t>
      </w:r>
      <w:r w:rsidRPr="0030032A">
        <w:rPr>
          <w:rFonts w:cs="Times New Roman"/>
          <w:szCs w:val="24"/>
        </w:rPr>
        <w:t xml:space="preserve"> and refine designs, and the scoring functions used to predict binders.  AbDesign shares the same scoring function as Liu </w:t>
      </w:r>
      <w:r w:rsidRPr="0030032A">
        <w:rPr>
          <w:rFonts w:cs="Times New Roman"/>
          <w:i/>
          <w:iCs/>
          <w:szCs w:val="24"/>
        </w:rPr>
        <w:t>et al.</w:t>
      </w:r>
      <w:r w:rsidRPr="0030032A">
        <w:rPr>
          <w:rFonts w:cs="Times New Roman"/>
          <w:szCs w:val="24"/>
        </w:rPr>
        <w:t>’s attempt of hotspot grafting and CDR-H3 swapping, applied to proof-of-concept target Keap1</w:t>
      </w:r>
      <w:r w:rsidR="007134C1">
        <w:rPr>
          <w:rFonts w:cs="Times New Roman"/>
          <w:szCs w:val="24"/>
        </w:rPr>
        <w:t xml:space="preserve"> </w:t>
      </w:r>
      <w:r w:rsidRPr="0030032A">
        <w:rPr>
          <w:rFonts w:cs="Times New Roman"/>
          <w:szCs w:val="24"/>
        </w:rPr>
        <w:fldChar w:fldCharType="begin"/>
      </w:r>
      <w:r w:rsidR="00E90651" w:rsidRPr="0030032A">
        <w:rPr>
          <w:rFonts w:cs="Times New Roman"/>
          <w:szCs w:val="24"/>
        </w:rPr>
        <w:instrText xml:space="preserve"> ADDIN ZOTERO_ITEM CSL_CITATION {"citationID":"Pi94aL8O","properties":{"formattedCitation":"(13)","plainCitation":"(13)","noteIndex":0},"citationItems":[{"id":76,"uris":["http://zotero.org/users/local/mmRtC3gY/items/ZMXARYMN"],"uri":["http://zotero.org/users/local/mmRtC3gY/items/ZMXARYMN"],"itemData":{"id":76,"type":"article-journal","container-title":"Scientific Reports","DOI":"10.1038/srep41306","issue":"January","note":"publisher: Nature Publishing Group","page":"41306","title":"Computational design of an epitope-specific Keap1 binding antibody using hotspot residues grafting and CDR loop swapping","volume":"7","author":[{"family":"Liu","given":"Xiaofeng"},{"family":"Taylor","given":"Richard D."},{"family":"Griffin","given":"Laura"},{"family":"Coker","given":"Shu-Fen"},{"family":"Adams","given":"Ralph"},{"family":"Ceska","given":"Tom"},{"family":"Shi","given":"Jiye"},{"family":"Lawson","given":"Alastair D. G."},{"family":"Baker","given":"Terry"}],"issued":{"date-parts":[["2017"]]}}}],"schema":"https://github.com/citation-style-language/schema/raw/master/csl-citation.json"} </w:instrText>
      </w:r>
      <w:r w:rsidRPr="0030032A">
        <w:rPr>
          <w:rFonts w:cs="Times New Roman"/>
          <w:szCs w:val="24"/>
        </w:rPr>
        <w:fldChar w:fldCharType="separate"/>
      </w:r>
      <w:r w:rsidR="00E90651" w:rsidRPr="0030032A">
        <w:rPr>
          <w:rFonts w:cs="Times New Roman"/>
        </w:rPr>
        <w:t>(13)</w:t>
      </w:r>
      <w:r w:rsidRPr="0030032A">
        <w:rPr>
          <w:rFonts w:cs="Times New Roman"/>
          <w:szCs w:val="24"/>
        </w:rPr>
        <w:fldChar w:fldCharType="end"/>
      </w:r>
      <w:r w:rsidRPr="0030032A">
        <w:rPr>
          <w:rFonts w:cs="Times New Roman"/>
          <w:szCs w:val="24"/>
        </w:rPr>
        <w:t xml:space="preserve">.  This target has a solved structure with native binder Nrf2.  </w:t>
      </w:r>
      <w:r w:rsidRPr="0030032A">
        <w:rPr>
          <w:rFonts w:cs="Times New Roman"/>
          <w:i/>
          <w:iCs/>
          <w:szCs w:val="24"/>
        </w:rPr>
        <w:t>In silico</w:t>
      </w:r>
      <w:r w:rsidRPr="0030032A">
        <w:rPr>
          <w:rFonts w:cs="Times New Roman"/>
          <w:szCs w:val="24"/>
        </w:rPr>
        <w:t xml:space="preserve"> alanine scanning identified Nrf2 residues that contribute strongly to the Keap1-Nrf2 interaction, and antibody scaffolds were selected based on their ability to replicate the hotspots’ conformation, allowing Nrf2’s binding motif to be grafted onto a CDR. This was followed by a round of swapping out the selected antibody’s H3 with other known H3 structures.</w:t>
      </w:r>
    </w:p>
    <w:p w14:paraId="78A02614" w14:textId="459D50F2" w:rsidR="00042E65" w:rsidRPr="0030032A" w:rsidRDefault="00042E65" w:rsidP="00042E65">
      <w:pPr>
        <w:autoSpaceDE w:val="0"/>
        <w:autoSpaceDN w:val="0"/>
        <w:adjustRightInd w:val="0"/>
        <w:rPr>
          <w:rFonts w:cs="Times New Roman"/>
          <w:szCs w:val="24"/>
        </w:rPr>
      </w:pPr>
      <w:r w:rsidRPr="0030032A">
        <w:rPr>
          <w:rFonts w:cs="Times New Roman"/>
          <w:szCs w:val="24"/>
        </w:rPr>
        <w:t>Re-epitoping is the only structure-based rational design protocol without a stage of piecing together different antibody fragments</w:t>
      </w:r>
      <w:r w:rsidR="007134C1">
        <w:rPr>
          <w:rFonts w:cs="Times New Roman"/>
          <w:szCs w:val="24"/>
        </w:rPr>
        <w:t xml:space="preserve"> </w:t>
      </w:r>
      <w:r w:rsidRPr="0030032A">
        <w:rPr>
          <w:rFonts w:cs="Times New Roman"/>
          <w:szCs w:val="24"/>
        </w:rPr>
        <w:fldChar w:fldCharType="begin"/>
      </w:r>
      <w:r w:rsidR="00E90651" w:rsidRPr="0030032A">
        <w:rPr>
          <w:rFonts w:cs="Times New Roman"/>
          <w:szCs w:val="24"/>
        </w:rPr>
        <w:instrText xml:space="preserve"> ADDIN ZOTERO_ITEM CSL_CITATION {"citationID":"0VZBRzaF","properties":{"formattedCitation":"(14)","plainCitation":"(14)","noteIndex":0},"citationItems":[{"id":358,"uris":["http://zotero.org/users/local/mmRtC3gY/items/7ART4WTV"],"uri":["http://zotero.org/users/local/mmRtC3gY/items/7ART4WTV"],"itemData":{"id":358,"type":"article-journal","container-title":"Cell Reports","DOI":"10.1016/j.celrep.2018.10.081","ISSN":"2211-1247","issue":"8","journalAbbreviation":"Cell Reports","language":"English","note":"publisher: Elsevier\nPMID: 30463010","page":"2121-2131.e5","source":"www.cell.com","title":"Computational Design of Epitope-Specific Functional Antibodies","volume":"25","author":[{"family":"Nimrod","given":"Guy"},{"family":"Fischman","given":"Sharon"},{"family":"Austin","given":"Mark"},{"family":"Herman","given":"Asael"},{"family":"Keyes","given":"Feenagh"},{"family":"Leiderman","given":"Olga"},{"family":"Hargreaves","given":"David"},{"family":"Strajbl","given":"Marek"},{"family":"Breed","given":"Jason"},{"family":"Klompus","given":"Shelley"},{"family":"Minton","given":"Kevin"},{"family":"Spooner","given":"Jennifer"},{"family":"Buchanan","given":"Andrew"},{"family":"Vaughan","given":"Tristan J."},{"family":"Ofran","given":"Yanay"}],"issued":{"date-parts":[["2018",11,20]]}}}],"schema":"https://github.com/citation-style-language/schema/raw/master/csl-citation.json"} </w:instrText>
      </w:r>
      <w:r w:rsidRPr="0030032A">
        <w:rPr>
          <w:rFonts w:cs="Times New Roman"/>
          <w:szCs w:val="24"/>
        </w:rPr>
        <w:fldChar w:fldCharType="separate"/>
      </w:r>
      <w:r w:rsidR="00E90651" w:rsidRPr="0030032A">
        <w:rPr>
          <w:rFonts w:cs="Times New Roman"/>
        </w:rPr>
        <w:t>(14)</w:t>
      </w:r>
      <w:r w:rsidRPr="0030032A">
        <w:rPr>
          <w:rFonts w:cs="Times New Roman"/>
          <w:szCs w:val="24"/>
        </w:rPr>
        <w:fldChar w:fldCharType="end"/>
      </w:r>
      <w:r w:rsidRPr="0030032A">
        <w:rPr>
          <w:rFonts w:cs="Times New Roman"/>
          <w:szCs w:val="24"/>
        </w:rPr>
        <w:t xml:space="preserve">.  Instead, potential binders are docked against antigens and ranked by the agreement between docking programs’ models and predicted interfacial contacts.  The best model’s mutations to CDRs were assessed by scoring and molecular dynamics to determine their effect on the model’s stability.  Libraries were designed for mutations at specific positions determined by the scoring, which were then screened by experimental display methods.  Although the final stage here is purely experimental, the previously mentioned protocols also required some form of manual interference, sometimes even between </w:t>
      </w:r>
      <w:r w:rsidRPr="0030032A">
        <w:rPr>
          <w:rFonts w:cs="Times New Roman"/>
          <w:i/>
          <w:iCs/>
          <w:szCs w:val="24"/>
        </w:rPr>
        <w:t>in silico</w:t>
      </w:r>
      <w:r w:rsidRPr="0030032A">
        <w:rPr>
          <w:rFonts w:cs="Times New Roman"/>
          <w:szCs w:val="24"/>
        </w:rPr>
        <w:t xml:space="preserve"> stages, to filter out false positives</w:t>
      </w:r>
      <w:r w:rsidR="007134C1">
        <w:rPr>
          <w:rFonts w:cs="Times New Roman"/>
          <w:szCs w:val="24"/>
        </w:rPr>
        <w:t xml:space="preserve"> </w:t>
      </w:r>
      <w:r w:rsidRPr="0030032A">
        <w:rPr>
          <w:rFonts w:cs="Times New Roman"/>
          <w:szCs w:val="24"/>
        </w:rPr>
        <w:fldChar w:fldCharType="begin"/>
      </w:r>
      <w:r w:rsidR="00E90651" w:rsidRPr="0030032A">
        <w:rPr>
          <w:rFonts w:cs="Times New Roman"/>
          <w:szCs w:val="24"/>
        </w:rPr>
        <w:instrText xml:space="preserve"> ADDIN ZOTERO_ITEM CSL_CITATION {"citationID":"JiSjETeG","properties":{"formattedCitation":"(15,16)","plainCitation":"(15,16)","noteIndex":0},"citationItems":[{"id":198,"uris":["http://zotero.org/users/local/mmRtC3gY/items/D84XUAZT"],"uri":["http://zotero.org/users/local/mmRtC3gY/items/D84XUAZT"],"itemData":{"id":198,"type":"article-journal","container-title":"Biotechnology and Bioengineering","DOI":"10.1002/bit.26244","issue":"6","page":"1331-1342","title":"Computational de novo design of antibodies binding to a peptide with high affinity","volume":"114","author":[{"family":"Poosarla","given":"Venkata Giridhar"},{"family":"Li","given":"Tong"},{"family":"Goh","given":"Boon Chong"},{"family":"Schulten","given":"Klaus"},{"family":"Wood","given":"Thomas K."},{"family":"Maranas","given":"Costas D."}],"issued":{"date-parts":[["2017"]]}}},{"id":201,"uris":["http://zotero.org/users/local/mmRtC3gY/items/QPLGCBV7"],"uri":["http://zotero.org/users/local/mmRtC3gY/items/QPLGCBV7"],"itemData":{"id":201,"type":"article-journal","container-title":"Proceedings of the National Academy of Sciences","DOI":"10.1073/pnas.1707171114","note":"PMID: 28973872","page":"201707171","title":"Principles for computational design of binding antibodies","author":[{"family":"Baran","given":"Dror"},{"family":"Pszolla","given":"M. Gabriele"},{"family":"Lapidoth","given":"Gideon D."},{"family":"Norn","given":"Christoffer"},{"family":"Dym","given":"Orly"},{"family":"Unger","given":"Tamar"},{"family":"Albeck","given":"Shira"},{"family":"Tyka","given":"Michael D."},{"family":"Fleishman","given":"Sarel J."}],"issued":{"date-parts":[["2017"]]}}}],"schema":"https://github.com/citation-style-language/schema/raw/master/csl-citation.json"} </w:instrText>
      </w:r>
      <w:r w:rsidRPr="0030032A">
        <w:rPr>
          <w:rFonts w:cs="Times New Roman"/>
          <w:szCs w:val="24"/>
        </w:rPr>
        <w:fldChar w:fldCharType="separate"/>
      </w:r>
      <w:r w:rsidR="00E90651" w:rsidRPr="0030032A">
        <w:rPr>
          <w:rFonts w:cs="Times New Roman"/>
        </w:rPr>
        <w:t>(15,16)</w:t>
      </w:r>
      <w:r w:rsidRPr="0030032A">
        <w:rPr>
          <w:rFonts w:cs="Times New Roman"/>
          <w:szCs w:val="24"/>
        </w:rPr>
        <w:fldChar w:fldCharType="end"/>
      </w:r>
      <w:r w:rsidRPr="0030032A">
        <w:rPr>
          <w:rFonts w:cs="Times New Roman"/>
          <w:szCs w:val="24"/>
        </w:rPr>
        <w:t>.  In all cases, false negatives may have also been missed, making the success rates for these protocols even more difficult to compare when they are reported.</w:t>
      </w:r>
    </w:p>
    <w:p w14:paraId="32E1BCAF" w14:textId="79B61702" w:rsidR="00042E65" w:rsidRPr="0030032A" w:rsidRDefault="00042E65" w:rsidP="00042E65">
      <w:pPr>
        <w:autoSpaceDE w:val="0"/>
        <w:autoSpaceDN w:val="0"/>
        <w:adjustRightInd w:val="0"/>
        <w:rPr>
          <w:rFonts w:cs="Times New Roman"/>
          <w:szCs w:val="24"/>
        </w:rPr>
      </w:pPr>
      <w:r w:rsidRPr="0030032A">
        <w:rPr>
          <w:rFonts w:cs="Times New Roman"/>
          <w:szCs w:val="24"/>
        </w:rPr>
        <w:t xml:space="preserve">This clear dependence on experimental validation suggests that current scoring functions do not account for all affinity-determining aspects of antibody-antigen interactions.  One feature these methods share is the use of implicit solvent models when scoring their designs – OptMAVEn, AbDesign, and Liu </w:t>
      </w:r>
      <w:r w:rsidRPr="0030032A">
        <w:rPr>
          <w:rFonts w:cs="Times New Roman"/>
          <w:i/>
          <w:iCs/>
          <w:szCs w:val="24"/>
        </w:rPr>
        <w:t>et al</w:t>
      </w:r>
      <w:r w:rsidRPr="0030032A">
        <w:rPr>
          <w:rFonts w:cs="Times New Roman"/>
          <w:szCs w:val="24"/>
        </w:rPr>
        <w:t xml:space="preserve"> use the Lazaridis-Karplus model, whereas re-epitoping </w:t>
      </w:r>
      <w:r w:rsidR="00C252A4" w:rsidRPr="0030032A">
        <w:rPr>
          <w:rFonts w:cs="Times New Roman"/>
          <w:szCs w:val="24"/>
        </w:rPr>
        <w:t>utilizes</w:t>
      </w:r>
      <w:r w:rsidRPr="0030032A">
        <w:rPr>
          <w:rFonts w:cs="Times New Roman"/>
          <w:szCs w:val="24"/>
        </w:rPr>
        <w:t xml:space="preserve"> the Generalized Born using Molecular Volume model</w:t>
      </w:r>
      <w:r w:rsidR="007134C1">
        <w:rPr>
          <w:rFonts w:cs="Times New Roman"/>
          <w:szCs w:val="24"/>
        </w:rPr>
        <w:t xml:space="preserve"> </w:t>
      </w:r>
      <w:r w:rsidRPr="0030032A">
        <w:rPr>
          <w:rFonts w:cs="Times New Roman"/>
          <w:szCs w:val="24"/>
        </w:rPr>
        <w:fldChar w:fldCharType="begin"/>
      </w:r>
      <w:r w:rsidR="00E90651" w:rsidRPr="0030032A">
        <w:rPr>
          <w:rFonts w:cs="Times New Roman"/>
          <w:szCs w:val="24"/>
        </w:rPr>
        <w:instrText xml:space="preserve"> ADDIN ZOTERO_ITEM CSL_CITATION {"citationID":"a2n8qomnbj4","properties":{"formattedCitation":"(17,18)","plainCitation":"(17,18)","noteIndex":0},"citationItems":[{"id":190,"uris":["http://zotero.org/users/local/mmRtC3gY/items/UE54C925"],"uri":["http://zotero.org/users/local/mmRtC3gY/items/UE54C925"],"itemData":{"id":190,"type":"article-journal","container-title":"Proteins: Structure, Function and Genetics","DOI":"10.1002/(SICI)1097-0134(19990501)35:2&lt;133::AID-PROT1&gt;3.0.CO;2-N","issue":"2","page":"133–152","title":"Effective energy function for proteins in solution","volume":"35","author":[{"family":"Lazaridis","given":"Themis"},{"family":"Karplus","given":"Martin"}],"issued":{"date-parts":[["1999"]]}}},{"id":489,"uris":["http://zotero.org/users/local/mmRtC3gY/items/MU2KV35I"],"uri":["http://zotero.org/users/local/mmRtC3gY/items/MU2KV35I"],"itemData":{"id":489,"type":"article-journal","abstract":"In a recent article (Lee, M. S.; Salsbury, F. R. Jr.; Brooks, C. L., III. J Chem Phys 2002, 116, 10606), we demonstrated that generalized Born (GB) theory provides a good approximation to Poisson electrostatic solvation energy calculations if one uses the same definitions of molecular volume for each. In this work, we present a new and improved analytic method for reproducing the Lee–Richards molecular volume, which is the most common volume definition for Poisson calculations. Overall, 1% errors are achieved for absolute solvation energies of a large set of proteins and relative solvation energies of protein conformations. We also introduce an accurate SASA approximation that uses the same machinery employed by our GB method and requires a small addition of computational cost. The combined methodology is shown to yield an efficient and accurate implicit solvent representation for simulations of biopolymers. © 2003 Wiley Periodicals, Inc. J Comput Chem 24: 1348–1356, 2003","container-title":"Journal of Computational Chemistry","DOI":"10.1002/jcc.10272","ISSN":"1096-987X","issue":"11","language":"en","note":"_eprint: https://onlinelibrary.wiley.com/doi/pdf/10.1002/jcc.10272","page":"1348-1356","source":"Wiley Online Library","title":"New analytic approximation to the standard molecular volume definition and its application to generalized Born calculations","volume":"24","author":[{"family":"Lee","given":"Michael S."},{"family":"Feig","given":"Michael"},{"family":"Salsbury","given":"Freddie R."},{"family":"Brooks","given":"Charles L."}],"issued":{"date-parts":[["2003"]]}}}],"schema":"https://github.com/citation-style-language/schema/raw/master/csl-citation.json"} </w:instrText>
      </w:r>
      <w:r w:rsidRPr="0030032A">
        <w:rPr>
          <w:rFonts w:cs="Times New Roman"/>
          <w:szCs w:val="24"/>
        </w:rPr>
        <w:fldChar w:fldCharType="separate"/>
      </w:r>
      <w:r w:rsidR="00E90651" w:rsidRPr="0030032A">
        <w:rPr>
          <w:rFonts w:cs="Times New Roman"/>
        </w:rPr>
        <w:t>(17,18)</w:t>
      </w:r>
      <w:r w:rsidRPr="0030032A">
        <w:rPr>
          <w:rFonts w:cs="Times New Roman"/>
          <w:szCs w:val="24"/>
        </w:rPr>
        <w:fldChar w:fldCharType="end"/>
      </w:r>
      <w:r w:rsidRPr="0030032A">
        <w:rPr>
          <w:rFonts w:cs="Times New Roman"/>
          <w:szCs w:val="24"/>
        </w:rPr>
        <w:t>.  Without the use of explicit waters, any indirect interactions formed via individual bridging waters will be poorly described using an implicit model.  A second common feature is the use of static crystal structures or models, despite the potential for antibodies to undergo conformational change upon antigen binding</w:t>
      </w:r>
      <w:r w:rsidR="007134C1">
        <w:rPr>
          <w:rFonts w:cs="Times New Roman"/>
          <w:szCs w:val="24"/>
        </w:rPr>
        <w:t xml:space="preserve"> </w:t>
      </w:r>
      <w:r w:rsidRPr="0030032A">
        <w:rPr>
          <w:rFonts w:cs="Times New Roman"/>
          <w:szCs w:val="24"/>
        </w:rPr>
        <w:fldChar w:fldCharType="begin"/>
      </w:r>
      <w:r w:rsidR="00E90651" w:rsidRPr="0030032A">
        <w:rPr>
          <w:rFonts w:cs="Times New Roman"/>
          <w:szCs w:val="24"/>
        </w:rPr>
        <w:instrText xml:space="preserve"> ADDIN ZOTERO_ITEM CSL_CITATION {"citationID":"a14o91vtujs","properties":{"formattedCitation":"(19)","plainCitation":"(19)","noteIndex":0},"citationItems":[{"id":224,"uris":["http://zotero.org/users/local/mmRtC3gY/items/RK3SVXNR"],"uri":["http://zotero.org/users/local/mmRtC3gY/items/RK3SVXNR"],"itemData":{"id":224,"type":"article-journal","container-title":"Journal of Immunology","DOI":"10.4049/jimmunol.1201493","issue":"10","page":"4890–4899","title":"A Systematic Comparison of Free and Bound Antibodies Reveals Binding-Related Conformational Changes","volume":"189","author":[{"family":"Sela-Culang","given":"I."},{"family":"Alon","given":"S."},{"family":"Ofran","given":"Y."}],"issued":{"date-parts":[["2012"]]}}}],"schema":"https://github.com/citation-style-language/schema/raw/master/csl-citation.json"} </w:instrText>
      </w:r>
      <w:r w:rsidRPr="0030032A">
        <w:rPr>
          <w:rFonts w:cs="Times New Roman"/>
          <w:szCs w:val="24"/>
        </w:rPr>
        <w:fldChar w:fldCharType="separate"/>
      </w:r>
      <w:r w:rsidR="00E90651" w:rsidRPr="0030032A">
        <w:rPr>
          <w:rFonts w:cs="Times New Roman"/>
        </w:rPr>
        <w:t>(19)</w:t>
      </w:r>
      <w:r w:rsidRPr="0030032A">
        <w:rPr>
          <w:rFonts w:cs="Times New Roman"/>
          <w:szCs w:val="24"/>
        </w:rPr>
        <w:fldChar w:fldCharType="end"/>
      </w:r>
      <w:r w:rsidRPr="0030032A">
        <w:rPr>
          <w:rFonts w:cs="Times New Roman"/>
          <w:szCs w:val="24"/>
        </w:rPr>
        <w:t>.</w:t>
      </w:r>
    </w:p>
    <w:p w14:paraId="19106350" w14:textId="01B77C59" w:rsidR="00042E65" w:rsidRPr="0030032A" w:rsidRDefault="00042E65" w:rsidP="00042E65">
      <w:pPr>
        <w:autoSpaceDE w:val="0"/>
        <w:autoSpaceDN w:val="0"/>
        <w:adjustRightInd w:val="0"/>
        <w:rPr>
          <w:rFonts w:cs="Times New Roman"/>
          <w:szCs w:val="24"/>
        </w:rPr>
      </w:pPr>
      <w:r w:rsidRPr="0030032A">
        <w:rPr>
          <w:rFonts w:cs="Times New Roman"/>
          <w:szCs w:val="24"/>
        </w:rPr>
        <w:t xml:space="preserve">Previous work to simulate these interfaces and study conformations did not focus on antibody design.  Scoring of antibody-antigen molecular dynamics simulations by MM-PBSA/GBSA methods either struggled to distinguish poorly docked poses from crystal structure ones, or only used </w:t>
      </w:r>
      <w:r w:rsidR="00C252A4" w:rsidRPr="0030032A">
        <w:rPr>
          <w:rFonts w:cs="Times New Roman"/>
          <w:szCs w:val="24"/>
        </w:rPr>
        <w:t>neutralizing</w:t>
      </w:r>
      <w:r w:rsidRPr="0030032A">
        <w:rPr>
          <w:rFonts w:cs="Times New Roman"/>
          <w:szCs w:val="24"/>
        </w:rPr>
        <w:t xml:space="preserve"> activity data as opposed to kinetic data when comparing predicted binding energies</w:t>
      </w:r>
      <w:r w:rsidR="007134C1">
        <w:rPr>
          <w:rFonts w:cs="Times New Roman"/>
          <w:szCs w:val="24"/>
        </w:rPr>
        <w:t xml:space="preserve"> </w:t>
      </w:r>
      <w:r w:rsidRPr="0030032A">
        <w:rPr>
          <w:rFonts w:cs="Times New Roman"/>
          <w:szCs w:val="24"/>
        </w:rPr>
        <w:fldChar w:fldCharType="begin"/>
      </w:r>
      <w:r w:rsidR="00E90651" w:rsidRPr="0030032A">
        <w:rPr>
          <w:rFonts w:cs="Times New Roman"/>
          <w:szCs w:val="24"/>
        </w:rPr>
        <w:instrText xml:space="preserve"> ADDIN ZOTERO_ITEM CSL_CITATION {"citationID":"a1j1cpdas2u","properties":{"formattedCitation":"(20,21)","plainCitation":"(20,21)","noteIndex":0},"citationItems":[{"id":210,"uris":["http://zotero.org/users/local/mmRtC3gY/items/HTTQ7CQR"],"uri":["http://zotero.org/users/local/mmRtC3gY/items/HTTQ7CQR"],"itemData":{"id":210,"type":"article-journal","container-title":"Journal of Chemical Information and Modeling","DOI":"10.1021/acs.jcim.6b00066","issue":"10","page":"2005–2012","title":"Model Building of Antibody-Antigen Complex Structures Using GBSA Scores","volume":"56","author":[{"family":"Shimba","given":"Noriko"},{"family":"Kamiya","given":"Narutoshi"},{"family":"Nakamura","given":"Haruki"}],"issued":{"date-parts":[["2016"]]}}},{"id":211,"uris":["http://zotero.org/users/local/mmRtC3gY/items/Z9KTVD5W"],"uri":["http://zotero.org/users/local/mmRtC3gY/items/Z9KTVD5W"],"itemData":{"id":211,"type":"article-journal","container-title":"Biophysical Journal","DOI":"https://doi.org/10.1016/j.bpj.2015.04.025","issue":"11","page":"2704 - 2712","title":"Molecular Dynamics Analysis of Antibody Recognition and Escape by Human H1N1 Influenza Hemagglutinin","volume":"108","author":[{"family":"Leong","given":"Pek"},{"family":"Amaro","given":"Rommie E."},{"family":"Li","given":"Wilfred W."}],"issued":{"date-parts":[["2015"]]}}}],"schema":"https://github.com/citation-style-language/schema/raw/master/csl-citation.json"} </w:instrText>
      </w:r>
      <w:r w:rsidRPr="0030032A">
        <w:rPr>
          <w:rFonts w:cs="Times New Roman"/>
          <w:szCs w:val="24"/>
        </w:rPr>
        <w:fldChar w:fldCharType="separate"/>
      </w:r>
      <w:r w:rsidR="00E90651" w:rsidRPr="0030032A">
        <w:rPr>
          <w:rFonts w:cs="Times New Roman"/>
        </w:rPr>
        <w:t>(20,21)</w:t>
      </w:r>
      <w:r w:rsidRPr="0030032A">
        <w:rPr>
          <w:rFonts w:cs="Times New Roman"/>
          <w:szCs w:val="24"/>
        </w:rPr>
        <w:fldChar w:fldCharType="end"/>
      </w:r>
      <w:r w:rsidRPr="0030032A">
        <w:rPr>
          <w:rFonts w:cs="Times New Roman"/>
          <w:szCs w:val="24"/>
        </w:rPr>
        <w:t xml:space="preserve">.  Methods involving enhanced sampling come closer to scoring different designs, such as combining free energy perturbation with Replica Exchange with Solute Tempering for an </w:t>
      </w:r>
      <w:r w:rsidRPr="0030032A">
        <w:rPr>
          <w:rFonts w:cs="Times New Roman"/>
          <w:i/>
          <w:iCs/>
          <w:szCs w:val="24"/>
        </w:rPr>
        <w:t>in silico</w:t>
      </w:r>
      <w:r w:rsidRPr="0030032A">
        <w:rPr>
          <w:rFonts w:cs="Times New Roman"/>
          <w:szCs w:val="24"/>
        </w:rPr>
        <w:t xml:space="preserve"> alanine scan on antibodies</w:t>
      </w:r>
      <w:r w:rsidR="007134C1">
        <w:rPr>
          <w:rFonts w:cs="Times New Roman"/>
          <w:szCs w:val="24"/>
        </w:rPr>
        <w:t xml:space="preserve"> </w:t>
      </w:r>
      <w:r w:rsidRPr="0030032A">
        <w:rPr>
          <w:rFonts w:cs="Times New Roman"/>
          <w:szCs w:val="24"/>
        </w:rPr>
        <w:lastRenderedPageBreak/>
        <w:fldChar w:fldCharType="begin"/>
      </w:r>
      <w:r w:rsidR="00E90651" w:rsidRPr="0030032A">
        <w:rPr>
          <w:rFonts w:cs="Times New Roman"/>
          <w:szCs w:val="24"/>
        </w:rPr>
        <w:instrText xml:space="preserve"> ADDIN ZOTERO_ITEM CSL_CITATION {"citationID":"a4kths7a4j","properties":{"formattedCitation":"(22)","plainCitation":"(22)","noteIndex":0},"citationItems":[{"id":213,"uris":["http://zotero.org/users/local/mmRtC3gY/items/Q4Y9LHDD"],"uri":["http://zotero.org/users/local/mmRtC3gY/items/Q4Y9LHDD"],"itemData":{"id":213,"type":"article-journal","container-title":"Journal of Molecular Biology","DOI":"10.1016/j.jmb.2016.11.021","issue":"7","note":"publisher: The Authors","page":"930–947","title":"Free Energy Perturbation Calculation of Relative Binding Free Energy between Broadly Neutralizing Antibodies and the gp120 Glycoprotein of HIV-1","volume":"429","author":[{"family":"Clark","given":"Anthony J."},{"family":"Gindin","given":"Tatyana"},{"family":"Zhang","given":"Baoshan"},{"family":"Wang","given":"Lingle"},{"family":"Abel","given":"Robert"},{"family":"Murret","given":"Colleen S."},{"family":"Xu","given":"Fang"},{"family":"Bao","given":"Amy"},{"family":"Lu","given":"Nina J."},{"family":"Zhou","given":"Tongqing"},{"family":"Kwong","given":"Peter D."},{"family":"Shapiro","given":"Lawrence"},{"family":"Honig","given":"Barry"},{"family":"Friesner","given":"Richard A."}],"issued":{"date-parts":[["2017"]]}}}],"schema":"https://github.com/citation-style-language/schema/raw/master/csl-citation.json"} </w:instrText>
      </w:r>
      <w:r w:rsidRPr="0030032A">
        <w:rPr>
          <w:rFonts w:cs="Times New Roman"/>
          <w:szCs w:val="24"/>
        </w:rPr>
        <w:fldChar w:fldCharType="separate"/>
      </w:r>
      <w:r w:rsidR="00E90651" w:rsidRPr="0030032A">
        <w:rPr>
          <w:rFonts w:cs="Times New Roman"/>
        </w:rPr>
        <w:t>(22)</w:t>
      </w:r>
      <w:r w:rsidRPr="0030032A">
        <w:rPr>
          <w:rFonts w:cs="Times New Roman"/>
          <w:szCs w:val="24"/>
        </w:rPr>
        <w:fldChar w:fldCharType="end"/>
      </w:r>
      <w:r w:rsidRPr="0030032A">
        <w:rPr>
          <w:rFonts w:cs="Times New Roman"/>
          <w:szCs w:val="24"/>
        </w:rPr>
        <w:t>.  The authors achieved an R</w:t>
      </w:r>
      <w:r w:rsidRPr="0030032A">
        <w:rPr>
          <w:rFonts w:cs="Times New Roman"/>
          <w:szCs w:val="24"/>
          <w:vertAlign w:val="superscript"/>
        </w:rPr>
        <w:t>2</w:t>
      </w:r>
      <w:r w:rsidRPr="0030032A">
        <w:rPr>
          <w:rFonts w:cs="Times New Roman"/>
          <w:szCs w:val="24"/>
        </w:rPr>
        <w:t xml:space="preserve"> of 0.49 for their predicted binding energies with experiment, although all fifty-five mutations tested did not change the side chain’s charge.  The Liedl group ran metadynamics on antigen bound CDRs and produced Markov state models for their conformational populations.  They proposed a correlation between specificity and lower H3 flexibility, and that CDRs interchange between canonical structures on the µs to ms timescale</w:t>
      </w:r>
      <w:r w:rsidR="007134C1">
        <w:rPr>
          <w:rFonts w:cs="Times New Roman"/>
          <w:szCs w:val="24"/>
        </w:rPr>
        <w:t xml:space="preserve"> </w:t>
      </w:r>
      <w:r w:rsidRPr="0030032A">
        <w:rPr>
          <w:rFonts w:cs="Times New Roman"/>
          <w:szCs w:val="24"/>
        </w:rPr>
        <w:fldChar w:fldCharType="begin"/>
      </w:r>
      <w:r w:rsidR="00E90651" w:rsidRPr="0030032A">
        <w:rPr>
          <w:rFonts w:cs="Times New Roman"/>
          <w:szCs w:val="24"/>
        </w:rPr>
        <w:instrText xml:space="preserve"> ADDIN ZOTERO_ITEM CSL_CITATION {"citationID":"alhur3svn8","properties":{"formattedCitation":"(23,24)","plainCitation":"(23,24)","noteIndex":0},"citationItems":[{"id":234,"uris":["http://zotero.org/users/local/mmRtC3gY/items/9FDFARB6"],"uri":["http://zotero.org/users/local/mmRtC3gY/items/9FDFARB6"],"itemData":{"id":234,"type":"article-journal","container-title":"Frontiers in Immunology","DOI":"10.3389/fimmu.2018.03065","page":"3065","title":"Characterizing the Diversity of the CDR-H3 Loop Conformational Ensembles in Relationship to Antibody Binding Properties","volume":"9","author":[{"family":"Fernández-Quintero","given":"Monica L."},{"family":"Loeffler","given":"Johannes R."},{"family":"Kraml","given":"Johannes"},{"family":"Kahler","given":"Ursula"},{"family":"Kamenik","given":"Anna S."},{"family":"Liedl","given":"Klaus R."}],"issued":{"date-parts":[["2019"]]}}},{"id":513,"uris":["http://zotero.org/users/local/mmRtC3gY/items/E9HHR3ER"],"uri":["http://zotero.org/users/local/mmRtC3gY/items/E9HHR3ER"],"itemData":{"id":513,"type":"article-journal","abstract":"In the past decade, the relevance of antibodies as therapeutics has increased substantially. Therefore, structural and functional characterization, in particular of the complementarity-determining regions (CDRs), is crucial to the design and engineering of antibodies with unique binding properties. Various studies have focused on classifying the CDR loops into a small set of main-chain conformations to facilitate antibody design by assuming that certain sequences can only adopt a limited number of conformations. Here, we present a kinetic classification of CDR loop structures as ensembles in solution. Using molecular dynamics simulations in combination with strong experimental structural information, we observe conformational transitions between canonical clusters and additional dominant solution structures in the micro-to-millisecond timescale for all CDR loops, independent of length and sequence composition. Besides identifying all relevant conformations in solution, our results revealed that various canonical cluster medians actually belong to the same kinetic minimum. Additionally, we reconstruct the kinetics and probabilities of the conformational transitions between canonical clusters, and thereby extend the model of static canonical structures to reveal a dynamic conformational ensemble in solution as a new paradigm in the field of antibody structure design.Abbreviations: CDR: Complementary-determining region; Fv: Antibody variable fragment; PCCA: Perron cluster analysis; tICA: Time-lagged independent component analysis; VH: Heavy chain variable region; VL: Light chain variable region","container-title":"mAbs","DOI":"10.1080/19420862.2020.1744328","ISSN":"1942-0862","issue":"1","note":"publisher: Taylor &amp; Francis\n_eprint: https://doi.org/10.1080/19420862.2020.1744328\nPMID: 32264741","page":"1744328","source":"Taylor and Francis+NEJM","title":"Antibody CDR loops as ensembles in solution vs. canonical clusters from X-ray structures","volume":"12","author":[{"family":"Fernández-Quintero","given":"Monica L."},{"family":"Heiss","given":"Martin C."},{"family":"Pomarici","given":"Nancy D."},{"family":"Math","given":"Barbara A."},{"family":"Liedl","given":"Klaus R."}],"issued":{"date-parts":[["2020",1,1]]}}}],"schema":"https://github.com/citation-style-language/schema/raw/master/csl-citation.json"} </w:instrText>
      </w:r>
      <w:r w:rsidRPr="0030032A">
        <w:rPr>
          <w:rFonts w:cs="Times New Roman"/>
          <w:szCs w:val="24"/>
        </w:rPr>
        <w:fldChar w:fldCharType="separate"/>
      </w:r>
      <w:r w:rsidR="00E90651" w:rsidRPr="0030032A">
        <w:rPr>
          <w:rFonts w:cs="Times New Roman"/>
        </w:rPr>
        <w:t>(23,24)</w:t>
      </w:r>
      <w:r w:rsidRPr="0030032A">
        <w:rPr>
          <w:rFonts w:cs="Times New Roman"/>
          <w:szCs w:val="24"/>
        </w:rPr>
        <w:fldChar w:fldCharType="end"/>
      </w:r>
      <w:r w:rsidRPr="0030032A">
        <w:rPr>
          <w:rFonts w:cs="Times New Roman"/>
          <w:szCs w:val="24"/>
        </w:rPr>
        <w:t xml:space="preserve">.  </w:t>
      </w:r>
      <w:r w:rsidR="00477A6B" w:rsidRPr="0030032A">
        <w:rPr>
          <w:rFonts w:cs="Times New Roman"/>
          <w:szCs w:val="24"/>
        </w:rPr>
        <w:t>We wish to further explore how</w:t>
      </w:r>
      <w:r w:rsidRPr="0030032A">
        <w:rPr>
          <w:rFonts w:cs="Times New Roman"/>
          <w:szCs w:val="24"/>
        </w:rPr>
        <w:t xml:space="preserve"> </w:t>
      </w:r>
      <w:r w:rsidR="00477A6B" w:rsidRPr="0030032A">
        <w:rPr>
          <w:rFonts w:cs="Times New Roman"/>
          <w:szCs w:val="24"/>
        </w:rPr>
        <w:t>CDRs</w:t>
      </w:r>
      <w:r w:rsidRPr="0030032A">
        <w:rPr>
          <w:rFonts w:cs="Times New Roman"/>
          <w:szCs w:val="24"/>
        </w:rPr>
        <w:t xml:space="preserve"> behave without their anti</w:t>
      </w:r>
      <w:r w:rsidR="00477A6B" w:rsidRPr="0030032A">
        <w:rPr>
          <w:rFonts w:cs="Times New Roman"/>
          <w:szCs w:val="24"/>
        </w:rPr>
        <w:t>gens and how they behave when all subject to increased sampling, as well as</w:t>
      </w:r>
      <w:r w:rsidRPr="0030032A">
        <w:rPr>
          <w:rFonts w:cs="Times New Roman"/>
          <w:szCs w:val="24"/>
        </w:rPr>
        <w:t xml:space="preserve"> relate</w:t>
      </w:r>
      <w:r w:rsidR="00477A6B" w:rsidRPr="0030032A">
        <w:rPr>
          <w:rFonts w:cs="Times New Roman"/>
          <w:szCs w:val="24"/>
        </w:rPr>
        <w:t xml:space="preserve"> their </w:t>
      </w:r>
      <w:r w:rsidR="00C252A4" w:rsidRPr="0030032A">
        <w:rPr>
          <w:rFonts w:cs="Times New Roman"/>
          <w:szCs w:val="24"/>
        </w:rPr>
        <w:t>behavior</w:t>
      </w:r>
      <w:r w:rsidRPr="0030032A">
        <w:rPr>
          <w:rFonts w:cs="Times New Roman"/>
          <w:szCs w:val="24"/>
        </w:rPr>
        <w:t xml:space="preserve"> to </w:t>
      </w:r>
      <w:r w:rsidR="00477A6B" w:rsidRPr="0030032A">
        <w:rPr>
          <w:rFonts w:cs="Times New Roman"/>
          <w:szCs w:val="24"/>
        </w:rPr>
        <w:t>antibody</w:t>
      </w:r>
      <w:r w:rsidRPr="0030032A">
        <w:rPr>
          <w:rFonts w:cs="Times New Roman"/>
          <w:szCs w:val="24"/>
        </w:rPr>
        <w:t xml:space="preserve"> </w:t>
      </w:r>
      <w:r w:rsidR="00477A6B" w:rsidRPr="0030032A">
        <w:rPr>
          <w:rFonts w:cs="Times New Roman"/>
          <w:szCs w:val="24"/>
        </w:rPr>
        <w:t>affinity</w:t>
      </w:r>
      <w:r w:rsidRPr="0030032A">
        <w:rPr>
          <w:rFonts w:cs="Times New Roman"/>
          <w:szCs w:val="24"/>
        </w:rPr>
        <w:t>.</w:t>
      </w:r>
    </w:p>
    <w:p w14:paraId="2BC8C2C4" w14:textId="63719AA6" w:rsidR="00310124" w:rsidRPr="0030032A" w:rsidRDefault="00042E65" w:rsidP="00042E65">
      <w:pPr>
        <w:autoSpaceDE w:val="0"/>
        <w:autoSpaceDN w:val="0"/>
        <w:adjustRightInd w:val="0"/>
        <w:rPr>
          <w:rFonts w:cs="Times New Roman"/>
          <w:szCs w:val="24"/>
        </w:rPr>
      </w:pPr>
      <w:r w:rsidRPr="0030032A">
        <w:rPr>
          <w:rFonts w:cs="Times New Roman"/>
          <w:szCs w:val="24"/>
        </w:rPr>
        <w:t xml:space="preserve">To further our understanding on the potential role of water and CDR flexibility at these interfaces, we have carried out a sophisticated simulation study at the highest level of theory feasible to </w:t>
      </w:r>
      <w:r w:rsidR="00C252A4" w:rsidRPr="0030032A">
        <w:rPr>
          <w:rFonts w:cs="Times New Roman"/>
          <w:szCs w:val="24"/>
        </w:rPr>
        <w:t>maximize</w:t>
      </w:r>
      <w:r w:rsidRPr="0030032A">
        <w:rPr>
          <w:rFonts w:cs="Times New Roman"/>
          <w:szCs w:val="24"/>
        </w:rPr>
        <w:t xml:space="preserve"> our resources.  Replica Exchange with Solute Scaling (REST2), a cutting edge advanced molecular dynamics technique that is rarely applied to antibodies, was used to enable large scale sampling of the CDRs and capture waters explicitly in simulation</w:t>
      </w:r>
      <w:r w:rsidR="007134C1">
        <w:rPr>
          <w:rFonts w:cs="Times New Roman"/>
          <w:szCs w:val="24"/>
        </w:rPr>
        <w:t xml:space="preserve"> </w:t>
      </w:r>
      <w:r w:rsidRPr="0030032A">
        <w:rPr>
          <w:rFonts w:cs="Times New Roman"/>
          <w:szCs w:val="24"/>
        </w:rPr>
        <w:fldChar w:fldCharType="begin"/>
      </w:r>
      <w:r w:rsidR="00E90651" w:rsidRPr="0030032A">
        <w:rPr>
          <w:rFonts w:cs="Times New Roman"/>
          <w:szCs w:val="24"/>
        </w:rPr>
        <w:instrText xml:space="preserve"> ADDIN ZOTERO_ITEM CSL_CITATION {"citationID":"bWXbuXPZ","properties":{"formattedCitation":"(25)","plainCitation":"(25)","noteIndex":0},"citationItems":[{"id":86,"uris":["http://zotero.org/users/local/mmRtC3gY/items/P2W78MLS"],"uri":["http://zotero.org/users/local/mmRtC3gY/items/P2W78MLS"],"itemData":{"id":86,"type":"article-journal","container-title":"Journal of Physical Chemistry B","DOI":"10.1021/jp204407d","issue":"30","page":"9431–9438","title":"Replica exchange with solute scaling: A more efficient version of replica exchange with solute tempering (REST2)","volume":"115","author":[{"family":"Wang","given":"Lingle"},{"family":"Friesner","given":"Richard A."},{"family":"Berne","given":"B. J."}],"issued":{"date-parts":[["2011"]]}}}],"schema":"https://github.com/citation-style-language/schema/raw/master/csl-citation.json"} </w:instrText>
      </w:r>
      <w:r w:rsidRPr="0030032A">
        <w:rPr>
          <w:rFonts w:cs="Times New Roman"/>
          <w:szCs w:val="24"/>
        </w:rPr>
        <w:fldChar w:fldCharType="separate"/>
      </w:r>
      <w:r w:rsidR="00E90651" w:rsidRPr="0030032A">
        <w:rPr>
          <w:rFonts w:cs="Times New Roman"/>
        </w:rPr>
        <w:t>(25)</w:t>
      </w:r>
      <w:r w:rsidRPr="0030032A">
        <w:rPr>
          <w:rFonts w:cs="Times New Roman"/>
          <w:szCs w:val="24"/>
        </w:rPr>
        <w:fldChar w:fldCharType="end"/>
      </w:r>
      <w:r w:rsidRPr="0030032A">
        <w:rPr>
          <w:rFonts w:cs="Times New Roman"/>
          <w:szCs w:val="24"/>
        </w:rPr>
        <w:t xml:space="preserve">.  REST2 simulations do not require prior knowledge on CDR </w:t>
      </w:r>
      <w:r w:rsidR="00C252A4" w:rsidRPr="0030032A">
        <w:rPr>
          <w:rFonts w:cs="Times New Roman"/>
          <w:szCs w:val="24"/>
        </w:rPr>
        <w:t>behavior</w:t>
      </w:r>
      <w:r w:rsidRPr="0030032A">
        <w:rPr>
          <w:rFonts w:cs="Times New Roman"/>
          <w:szCs w:val="24"/>
        </w:rPr>
        <w:t xml:space="preserve">, allowing their full flexibility to be explored by weakening interactions these loops experience with their environment.  We </w:t>
      </w:r>
      <w:r w:rsidR="00C252A4" w:rsidRPr="0030032A">
        <w:rPr>
          <w:rFonts w:cs="Times New Roman"/>
          <w:szCs w:val="24"/>
        </w:rPr>
        <w:t>analyzed</w:t>
      </w:r>
      <w:r w:rsidRPr="0030032A">
        <w:rPr>
          <w:rFonts w:cs="Times New Roman"/>
          <w:szCs w:val="24"/>
        </w:rPr>
        <w:t xml:space="preserve"> antibody-antigen interfaces in a varied dataset of carefully curated crystal structures, selected to be representative of those deposited in the Protein Data Bank.  CDR sampling was also quantified, and different aspects of this analysis were compared to the antibodies’ experimental affinities.  The analyses illustrate that these interfaces involve many waters and provide evidence of a potential link between water, CDR flexibility, and an antibody’s affinity.  We thus propose that these aspects play an important role in antibody binding and need explicit consideration in antibody design</w:t>
      </w:r>
      <w:r w:rsidR="00F46494" w:rsidRPr="0030032A">
        <w:rPr>
          <w:rFonts w:cs="Times New Roman"/>
          <w:szCs w:val="24"/>
        </w:rPr>
        <w:t>.</w:t>
      </w:r>
    </w:p>
    <w:p w14:paraId="4FE4A45B" w14:textId="61844AA3" w:rsidR="00DE23E8" w:rsidRPr="0030032A" w:rsidRDefault="0030032A" w:rsidP="00AC0270">
      <w:pPr>
        <w:pStyle w:val="Heading1"/>
      </w:pPr>
      <w:r w:rsidRPr="0030032A">
        <w:t>Materials and Methods</w:t>
      </w:r>
    </w:p>
    <w:p w14:paraId="2B302FA6" w14:textId="0D6D165F" w:rsidR="0030032A" w:rsidRPr="0030032A" w:rsidRDefault="0030032A" w:rsidP="0030032A">
      <w:pPr>
        <w:pStyle w:val="Heading2"/>
      </w:pPr>
      <w:r w:rsidRPr="0030032A">
        <w:t>Starting Structures</w:t>
      </w:r>
    </w:p>
    <w:p w14:paraId="04584B8A" w14:textId="5CD01CD5" w:rsidR="0030032A" w:rsidRPr="0030032A" w:rsidRDefault="0030032A" w:rsidP="0030032A">
      <w:pPr>
        <w:rPr>
          <w:rFonts w:cs="Times New Roman"/>
          <w:szCs w:val="24"/>
        </w:rPr>
      </w:pPr>
      <w:r w:rsidRPr="0030032A">
        <w:rPr>
          <w:rFonts w:cs="Times New Roman"/>
          <w:szCs w:val="24"/>
        </w:rPr>
        <w:t>Nine antibodies’ structures were chosen using the SAbDab database’s non-redundant search, ensuring a range of sequences were found in the selection</w:t>
      </w:r>
      <w:r w:rsidR="00C8291A">
        <w:rPr>
          <w:rFonts w:cs="Times New Roman"/>
          <w:szCs w:val="24"/>
        </w:rPr>
        <w:t xml:space="preserve"> </w:t>
      </w:r>
      <w:r w:rsidRPr="0030032A">
        <w:rPr>
          <w:rFonts w:cs="Times New Roman"/>
          <w:szCs w:val="24"/>
        </w:rPr>
        <w:fldChar w:fldCharType="begin"/>
      </w:r>
      <w:r>
        <w:rPr>
          <w:rFonts w:cs="Times New Roman"/>
          <w:szCs w:val="24"/>
        </w:rPr>
        <w:instrText xml:space="preserve"> ADDIN ZOTERO_ITEM CSL_CITATION {"citationID":"giNBGIYK","properties":{"formattedCitation":"(26)","plainCitation":"(26)","noteIndex":0},"citationItems":[{"id":200,"uris":["http://zotero.org/users/local/mmRtC3gY/items/MB9QD2RC"],"uri":["http://zotero.org/users/local/mmRtC3gY/items/MB9QD2RC"],"itemData":{"id":200,"type":"article-journal","container-title":"Nucleic Acids Research","DOI":"10.1093/nar/gkt1043","issue":"D1","page":"D1140-D1146","title":"SAbDab: the structural antibody database","volume":"42","author":[{"family":"Dunbar","given":"James"},{"family":"Krawczyk","given":"Konrad"},{"family":"Leem","given":"Jinwoo"},{"family":"Baker","given":"Terry"},{"family":"Fuchs","given":"Angelika"},{"family":"Georges","given":"Guy"},{"family":"Shi","given":"Jiye"},{"family":"Deane","given":"Charlotte M."}],"issued":{"date-parts":[["2014"]]}}}],"schema":"https://github.com/citation-style-language/schema/raw/master/csl-citation.json"} </w:instrText>
      </w:r>
      <w:r w:rsidRPr="0030032A">
        <w:rPr>
          <w:rFonts w:cs="Times New Roman"/>
          <w:szCs w:val="24"/>
        </w:rPr>
        <w:fldChar w:fldCharType="separate"/>
      </w:r>
      <w:r w:rsidRPr="0030032A">
        <w:rPr>
          <w:rFonts w:cs="Times New Roman"/>
        </w:rPr>
        <w:t>(26)</w:t>
      </w:r>
      <w:r w:rsidRPr="0030032A">
        <w:rPr>
          <w:rFonts w:cs="Times New Roman"/>
          <w:szCs w:val="24"/>
        </w:rPr>
        <w:fldChar w:fldCharType="end"/>
      </w:r>
      <w:r w:rsidRPr="0030032A">
        <w:rPr>
          <w:rFonts w:cs="Times New Roman"/>
          <w:szCs w:val="24"/>
        </w:rPr>
        <w:t xml:space="preserve">.  Structures were initially filtered by the following criteria: the antigen was a protein but not a short peptide; the antibody was solved in complex with and without its antigen; structures had no missing residues in the variable (Fv) region; and CDR sequences were identical in both structures.  From this initial selection, therapeutic antibodies and structures under 2.5 Å resolution were </w:t>
      </w:r>
      <w:r w:rsidR="00C252A4" w:rsidRPr="0030032A">
        <w:rPr>
          <w:rFonts w:cs="Times New Roman"/>
          <w:szCs w:val="24"/>
        </w:rPr>
        <w:t>prioritized</w:t>
      </w:r>
      <w:r w:rsidRPr="0030032A">
        <w:rPr>
          <w:rFonts w:cs="Times New Roman"/>
          <w:szCs w:val="24"/>
        </w:rPr>
        <w:t>, and binding affinities were considered to ensure a wide range in the dataset</w:t>
      </w:r>
      <w:r w:rsidRPr="00AB2CEA">
        <w:rPr>
          <w:rFonts w:cs="Times New Roman"/>
          <w:szCs w:val="24"/>
        </w:rPr>
        <w:t xml:space="preserve">.  </w:t>
      </w:r>
      <w:r w:rsidR="0062719F" w:rsidRPr="00AB2CEA">
        <w:rPr>
          <w:rFonts w:cs="Times New Roman"/>
          <w:szCs w:val="24"/>
        </w:rPr>
        <w:t xml:space="preserve">The details of the filtering process are described fully in </w:t>
      </w:r>
      <w:r w:rsidR="00AB2CEA" w:rsidRPr="00AB2CEA">
        <w:rPr>
          <w:rFonts w:cs="Times New Roman"/>
          <w:szCs w:val="24"/>
        </w:rPr>
        <w:t>the Supplementary Methods</w:t>
      </w:r>
      <w:r w:rsidR="0062719F" w:rsidRPr="00AB2CEA">
        <w:rPr>
          <w:rFonts w:cs="Times New Roman"/>
          <w:szCs w:val="24"/>
        </w:rPr>
        <w:t>.</w:t>
      </w:r>
      <w:r w:rsidR="0062719F">
        <w:rPr>
          <w:rFonts w:cs="Times New Roman"/>
          <w:szCs w:val="24"/>
        </w:rPr>
        <w:t xml:space="preserve">  </w:t>
      </w:r>
      <w:r w:rsidRPr="0030032A">
        <w:rPr>
          <w:rFonts w:cs="Times New Roman"/>
          <w:szCs w:val="24"/>
        </w:rPr>
        <w:t xml:space="preserve">The final structures are listed in </w:t>
      </w:r>
      <w:r w:rsidRPr="0030032A">
        <w:rPr>
          <w:rFonts w:cs="Times New Roman"/>
          <w:szCs w:val="24"/>
        </w:rPr>
        <w:fldChar w:fldCharType="begin"/>
      </w:r>
      <w:r w:rsidRPr="0030032A">
        <w:rPr>
          <w:rFonts w:cs="Times New Roman"/>
          <w:szCs w:val="24"/>
        </w:rPr>
        <w:instrText xml:space="preserve"> REF _Ref31717274 \h  \* MERGEFORMAT </w:instrText>
      </w:r>
      <w:r w:rsidRPr="0030032A">
        <w:rPr>
          <w:rFonts w:cs="Times New Roman"/>
          <w:szCs w:val="24"/>
        </w:rPr>
      </w:r>
      <w:r w:rsidRPr="0030032A">
        <w:rPr>
          <w:rFonts w:cs="Times New Roman"/>
          <w:szCs w:val="24"/>
        </w:rPr>
        <w:fldChar w:fldCharType="separate"/>
      </w:r>
      <w:r w:rsidRPr="0030032A">
        <w:rPr>
          <w:rFonts w:cs="Times New Roman"/>
          <w:szCs w:val="24"/>
        </w:rPr>
        <w:t xml:space="preserve">Table </w:t>
      </w:r>
      <w:r w:rsidRPr="0030032A">
        <w:rPr>
          <w:rFonts w:cs="Times New Roman"/>
          <w:noProof/>
          <w:szCs w:val="24"/>
        </w:rPr>
        <w:t>1</w:t>
      </w:r>
      <w:r w:rsidRPr="0030032A">
        <w:rPr>
          <w:rFonts w:cs="Times New Roman"/>
          <w:szCs w:val="24"/>
        </w:rPr>
        <w:fldChar w:fldCharType="end"/>
      </w:r>
      <w:r w:rsidRPr="0030032A">
        <w:rPr>
          <w:rFonts w:cs="Times New Roman"/>
          <w:szCs w:val="24"/>
        </w:rPr>
        <w:t>.</w:t>
      </w:r>
    </w:p>
    <w:p w14:paraId="4A56954B" w14:textId="02C9C576" w:rsidR="0030032A" w:rsidRPr="0030032A" w:rsidRDefault="0030032A" w:rsidP="0030032A">
      <w:pPr>
        <w:rPr>
          <w:rFonts w:cs="Times New Roman"/>
          <w:szCs w:val="24"/>
        </w:rPr>
      </w:pPr>
      <w:r w:rsidRPr="0030032A">
        <w:rPr>
          <w:rFonts w:cs="Times New Roman"/>
          <w:szCs w:val="24"/>
        </w:rPr>
        <w:t>Only the antibody’s Fv region, the antigen where applicable, and crystal waters were kept for simulation.  Missing residues were modelled using MODELLER version 9.19</w:t>
      </w:r>
      <w:r w:rsidR="00C8291A">
        <w:rPr>
          <w:rFonts w:cs="Times New Roman"/>
          <w:szCs w:val="24"/>
        </w:rPr>
        <w:t xml:space="preserve"> </w:t>
      </w:r>
      <w:r w:rsidRPr="0030032A">
        <w:rPr>
          <w:rFonts w:cs="Times New Roman"/>
          <w:szCs w:val="24"/>
        </w:rPr>
        <w:fldChar w:fldCharType="begin"/>
      </w:r>
      <w:r w:rsidR="00E9077D">
        <w:rPr>
          <w:rFonts w:cs="Times New Roman"/>
          <w:szCs w:val="24"/>
        </w:rPr>
        <w:instrText xml:space="preserve"> ADDIN ZOTERO_ITEM CSL_CITATION {"citationID":"edG8xZzS","properties":{"formattedCitation":"(27)","plainCitation":"(27)","noteIndex":0},"citationItems":[{"id":50,"uris":["http://zotero.org/users/local/mmRtC3gY/items/Z68B99PQ"],"uri":["http://zotero.org/users/local/mmRtC3gY/items/Z68B99PQ"],"itemData":{"id":50,"type":"article-journal","abstract":"Comparative protein structure modeling predicts the three-dimensional structure of a given protein sequence (target) based primarily on its alignment to one or more proteins of known structure (templates). The prediction process consists of fold assignment, target-template alignment, model building, and model evaluation. This unit describes how to calculate comparative models using the program MODELLER and how to use the ModBase database of such models, and discusses all four steps of comparative modeling, frequently observed errors, and some applications. Modeling lactate dehydrogenase from Trichomonas vaginalis (TvLDH) is described as an example. The download and installation of the MODELLER software is also described. © 2016 by John Wiley &amp; Sons, Inc.","container-title":"Current Protocols in Bioinformatics","DOI":"10.1002/cpbi.3","ISSN":"1934-340X","issue":"1","language":"en","page":"5.6.1-5.6.37","source":"Wiley Online Library","title":"Comparative Protein Structure Modeling Using MODELLER","volume":"54","author":[{"family":"Webb","given":"Benjamin"},{"family":"Sali","given":"Andrej"}],"issued":{"date-parts":[["2016"]]}}}],"schema":"https://github.com/citation-style-language/schema/raw/master/csl-citation.json"} </w:instrText>
      </w:r>
      <w:r w:rsidRPr="0030032A">
        <w:rPr>
          <w:rFonts w:cs="Times New Roman"/>
          <w:szCs w:val="24"/>
        </w:rPr>
        <w:fldChar w:fldCharType="separate"/>
      </w:r>
      <w:r w:rsidR="00E9077D" w:rsidRPr="00E9077D">
        <w:rPr>
          <w:rFonts w:cs="Times New Roman"/>
        </w:rPr>
        <w:t>(27)</w:t>
      </w:r>
      <w:r w:rsidRPr="0030032A">
        <w:rPr>
          <w:rFonts w:cs="Times New Roman"/>
          <w:szCs w:val="24"/>
        </w:rPr>
        <w:fldChar w:fldCharType="end"/>
      </w:r>
      <w:r w:rsidRPr="0030032A">
        <w:rPr>
          <w:rFonts w:cs="Times New Roman"/>
          <w:szCs w:val="24"/>
        </w:rPr>
        <w:t>.  The N- and C-termini were capped with acetyl and amide groups respectively, and structures had protonation states assigned for pH 7.4 using HTMD 1.12.2</w:t>
      </w:r>
      <w:r w:rsidR="00C8291A">
        <w:rPr>
          <w:rFonts w:cs="Times New Roman"/>
          <w:szCs w:val="24"/>
        </w:rPr>
        <w:t xml:space="preserve"> </w:t>
      </w:r>
      <w:r w:rsidRPr="0030032A">
        <w:rPr>
          <w:rFonts w:cs="Times New Roman"/>
          <w:szCs w:val="24"/>
        </w:rPr>
        <w:fldChar w:fldCharType="begin"/>
      </w:r>
      <w:r w:rsidR="00E9077D">
        <w:rPr>
          <w:rFonts w:cs="Times New Roman"/>
          <w:szCs w:val="24"/>
        </w:rPr>
        <w:instrText xml:space="preserve"> ADDIN ZOTERO_ITEM CSL_CITATION {"citationID":"ab4f2r63gb","properties":{"formattedCitation":"(28)","plainCitation":"(28)","noteIndex":0},"citationItems":[{"id":632,"uris":["http://zotero.org/users/local/mmRtC3gY/items/39NJQFY3"],"uri":["http://zotero.org/users/local/mmRtC3gY/items/39NJQFY3"],"itemData":{"id":632,"type":"article-journal","abstract":"Recent advances in molecular simulations have allowed scientists to investigate slower biological processes than ever before. Together with these advances came an explosion of data that has transformed a traditionally computing-bound into a data-bound problem. Here, we present HTMD, a programmable, extensible platform written in Python that aims to solve the data generation and analysis problem as well as increase reproducibility by providing a complete workspace for simulation-based discovery. So far, HTMD includes system building for CHARMM and AMBER force fields, projection methods, clustering, molecular simulation production, adaptive sampling, an Amazon cloud interface, Markov state models, and visualization. As a result, a single, short HTMD script can lead from a PDB structure to useful quantities such as relaxation time scales, equilibrium populations, metastable conformations, and kinetic rates. In this paper, we focus on the adaptive sampling and Markov state modeling features.","container-title":"Journal of Chemical Theory and Computation","DOI":"10.1021/acs.jctc.6b00049","ISSN":"1549-9618","issue":"4","journalAbbreviation":"J. Chem. Theory Comput.","note":"publisher: American Chemical Society","page":"1845-1852","source":"ACS Publications","title":"HTMD: High-Throughput Molecular Dynamics for Molecular Discovery","title-short":"HTMD","volume":"12","author":[{"family":"Doerr","given":"S."},{"family":"Harvey","given":"M. J."},{"family":"Noé","given":"Frank"},{"family":"De Fabritiis","given":"G."}],"issued":{"date-parts":[["2016",4,12]]}}}],"schema":"https://github.com/citation-style-language/schema/raw/master/csl-citation.json"} </w:instrText>
      </w:r>
      <w:r w:rsidRPr="0030032A">
        <w:rPr>
          <w:rFonts w:cs="Times New Roman"/>
          <w:szCs w:val="24"/>
        </w:rPr>
        <w:fldChar w:fldCharType="separate"/>
      </w:r>
      <w:r w:rsidR="00E9077D" w:rsidRPr="00E9077D">
        <w:rPr>
          <w:rFonts w:cs="Times New Roman"/>
        </w:rPr>
        <w:t>(28)</w:t>
      </w:r>
      <w:r w:rsidRPr="0030032A">
        <w:rPr>
          <w:rFonts w:cs="Times New Roman"/>
          <w:szCs w:val="24"/>
        </w:rPr>
        <w:fldChar w:fldCharType="end"/>
      </w:r>
      <w:r w:rsidRPr="0030032A">
        <w:rPr>
          <w:rFonts w:cs="Times New Roman"/>
          <w:szCs w:val="24"/>
        </w:rPr>
        <w:t xml:space="preserve">.  Histidine protonation states were determined on a case-by-case basis, with the aim of </w:t>
      </w:r>
      <w:r w:rsidR="00C252A4" w:rsidRPr="0030032A">
        <w:rPr>
          <w:rFonts w:cs="Times New Roman"/>
          <w:szCs w:val="24"/>
        </w:rPr>
        <w:t>maximizing</w:t>
      </w:r>
      <w:r w:rsidRPr="0030032A">
        <w:rPr>
          <w:rFonts w:cs="Times New Roman"/>
          <w:szCs w:val="24"/>
        </w:rPr>
        <w:t xml:space="preserve"> hydrogen bonding.</w:t>
      </w:r>
    </w:p>
    <w:p w14:paraId="76AA45DE" w14:textId="77777777" w:rsidR="0030032A" w:rsidRPr="0030032A" w:rsidRDefault="0030032A" w:rsidP="0030032A">
      <w:pPr>
        <w:pStyle w:val="Heading2"/>
        <w:spacing w:after="240"/>
        <w:rPr>
          <w:bCs/>
        </w:rPr>
      </w:pPr>
      <w:bookmarkStart w:id="1" w:name="_Ref41167957"/>
      <w:r w:rsidRPr="0030032A">
        <w:rPr>
          <w:bCs/>
        </w:rPr>
        <w:t>Simulation Details</w:t>
      </w:r>
      <w:bookmarkEnd w:id="1"/>
    </w:p>
    <w:p w14:paraId="7D475DDD" w14:textId="390413B6" w:rsidR="0030032A" w:rsidRPr="0030032A" w:rsidRDefault="0030032A" w:rsidP="0030032A">
      <w:pPr>
        <w:rPr>
          <w:rFonts w:cs="Times New Roman"/>
          <w:szCs w:val="24"/>
        </w:rPr>
      </w:pPr>
      <w:r w:rsidRPr="0030032A">
        <w:rPr>
          <w:rFonts w:cs="Times New Roman"/>
          <w:szCs w:val="24"/>
        </w:rPr>
        <w:t>Although molecular dynamics can model the time evolution of a system, extensive exploration of CDR conformational populations would not be achievable within reasonable timescales.  We thus turn to enhanced sampling methods such as Replica Exchange with Solute Scaling (REST2), whereby interactions between atoms are weakened by a ratio (λ) during molecular dynamics, increasing the rate they sample different conformations</w:t>
      </w:r>
      <w:r w:rsidR="00C8291A">
        <w:rPr>
          <w:rFonts w:cs="Times New Roman"/>
          <w:szCs w:val="24"/>
        </w:rPr>
        <w:t xml:space="preserve"> </w:t>
      </w:r>
      <w:r w:rsidRPr="0030032A">
        <w:rPr>
          <w:rFonts w:cs="Times New Roman"/>
          <w:szCs w:val="24"/>
        </w:rPr>
        <w:fldChar w:fldCharType="begin"/>
      </w:r>
      <w:r>
        <w:rPr>
          <w:rFonts w:cs="Times New Roman"/>
          <w:szCs w:val="24"/>
        </w:rPr>
        <w:instrText xml:space="preserve"> ADDIN ZOTERO_ITEM CSL_CITATION {"citationID":"a7a58vano1","properties":{"formattedCitation":"(25)","plainCitation":"(25)","noteIndex":0},"citationItems":[{"id":86,"uris":["http://zotero.org/users/local/mmRtC3gY/items/P2W78MLS"],"uri":["http://zotero.org/users/local/mmRtC3gY/items/P2W78MLS"],"itemData":{"id":86,"type":"article-journal","container-title":"Journal of Physical Chemistry B","DOI":"10.1021/jp204407d","issue":"30","page":"9431–9438","title":"Replica exchange with solute scaling: A more efficient version of replica exchange with solute tempering (REST2)","volume":"115","author":[{"family":"Wang","given":"Lingle"},{"family":"Friesner","given":"Richard A."},{"family":"Berne","given":"B. J."}],"issued":{"date-parts":[["2011"]]}}}],"schema":"https://github.com/citation-style-language/schema/raw/master/csl-citation.json"} </w:instrText>
      </w:r>
      <w:r w:rsidRPr="0030032A">
        <w:rPr>
          <w:rFonts w:cs="Times New Roman"/>
          <w:szCs w:val="24"/>
        </w:rPr>
        <w:fldChar w:fldCharType="separate"/>
      </w:r>
      <w:r w:rsidRPr="0030032A">
        <w:rPr>
          <w:rFonts w:cs="Times New Roman"/>
        </w:rPr>
        <w:t>(25)</w:t>
      </w:r>
      <w:r w:rsidRPr="0030032A">
        <w:rPr>
          <w:rFonts w:cs="Times New Roman"/>
          <w:szCs w:val="24"/>
        </w:rPr>
        <w:fldChar w:fldCharType="end"/>
      </w:r>
      <w:r w:rsidRPr="0030032A">
        <w:rPr>
          <w:rFonts w:cs="Times New Roman"/>
          <w:szCs w:val="24"/>
        </w:rPr>
        <w:t xml:space="preserve">.  An acceptance test ensures that only conformations compatible with fully interacting atoms are included in the final trajectory that is </w:t>
      </w:r>
      <w:r w:rsidR="00C252A4" w:rsidRPr="0030032A">
        <w:rPr>
          <w:rFonts w:cs="Times New Roman"/>
          <w:szCs w:val="24"/>
        </w:rPr>
        <w:t>analyzed</w:t>
      </w:r>
      <w:r w:rsidRPr="0030032A">
        <w:rPr>
          <w:rFonts w:cs="Times New Roman"/>
          <w:szCs w:val="24"/>
        </w:rPr>
        <w:t>.</w:t>
      </w:r>
    </w:p>
    <w:p w14:paraId="35E8F02E" w14:textId="344B9B5E" w:rsidR="0030032A" w:rsidRPr="0030032A" w:rsidRDefault="0030032A" w:rsidP="0030032A">
      <w:pPr>
        <w:rPr>
          <w:rFonts w:cs="Times New Roman"/>
          <w:szCs w:val="24"/>
        </w:rPr>
      </w:pPr>
      <w:r w:rsidRPr="0030032A">
        <w:rPr>
          <w:rFonts w:cs="Times New Roman"/>
          <w:szCs w:val="24"/>
        </w:rPr>
        <w:lastRenderedPageBreak/>
        <w:t>All simulations were performed using GROMACS 2018.2 patched with PLUMED 2.4.2</w:t>
      </w:r>
      <w:r w:rsidR="00C8291A">
        <w:rPr>
          <w:rFonts w:cs="Times New Roman"/>
          <w:szCs w:val="24"/>
        </w:rPr>
        <w:t xml:space="preserve"> </w:t>
      </w:r>
      <w:r w:rsidRPr="0030032A">
        <w:rPr>
          <w:rFonts w:cs="Times New Roman"/>
          <w:szCs w:val="24"/>
        </w:rPr>
        <w:fldChar w:fldCharType="begin"/>
      </w:r>
      <w:r w:rsidR="00E9077D">
        <w:rPr>
          <w:rFonts w:cs="Times New Roman"/>
          <w:szCs w:val="24"/>
        </w:rPr>
        <w:instrText xml:space="preserve"> ADDIN ZOTERO_ITEM CSL_CITATION {"citationID":"IAvxWstD","properties":{"formattedCitation":"(29\\uc0\\u8211{}32)","plainCitation":"(29–32)","noteIndex":0},"citationItems":[{"id":42,"uris":["http://zotero.org/users/local/mmRtC3gY/items/PZ97V5TK"],"uri":["http://zotero.org/users/local/mmRtC3gY/items/PZ97V5TK"],"itemData":{"id":42,"type":"article-journal","container-title":"Computer Physics Communications","DOI":"10.1016/0010-4655(95)00042-e","issue":"1-3","language":"English","page":"43-56","source":"www.rug.nl","title":"GROMACS : A message-passing parallel molecular dynamics implementation","volume":"91","author":[{"family":"Berendsen","given":"H. J. C."},{"family":"Spoel","given":"D.","dropping-particle":"van der"},{"family":"Drunen","given":"R.","dropping-particle":"van"}],"issued":{"date-parts":[["1995",9]]}}},{"id":101,"uris":["http://zotero.org/users/local/mmRtC3gY/items/EE6U9Z6V"],"uri":["http://zotero.org/users/local/mmRtC3gY/items/EE6U9Z6V"],"itemData":{"id":101,"type":"article-journal","container-title":"SoftwareX","DOI":"10.1016/j.softx.2015.06.001","page":"19 - 25","title":"GROMACS: High performance molecular simulations through multi-level parallelism from laptops to supercomputers","volume":"1-2","author":[{"family":"Abraham","given":"Mark James"},{"family":"Murtola","given":"Teemu"},{"family":"Schulz","given":"Roland"},{"family":"Páll","given":"Szilárd"},{"family":"Smith","given":"Jeremy C."},{"family":"Hess","given":"Berk"},{"family":"Lindahl","given":"Erik"}],"issued":{"date-parts":[["2015"]]}}},{"id":39,"uris":["http://zotero.org/users/local/mmRtC3gY/items/DH65T5GP"],"uri":["http://zotero.org/users/local/mmRtC3gY/items/DH65T5GP"],"itemData":{"id":39,"type":"article-journal","abstract":"The PLUMED consortium unifies developers and contributors to PLUMED, an open-source library for enhanced-sampling, free-energy calculations and the analysis of molecular dynamics simulations. Here, we outline our efforts to promote transparency and reproducibility by disseminating protocols for enhanced-sampling molecular simulations.","container-title":"Nature Methods","DOI":"10.1038/s41592-019-0506-8","ISSN":"1548-7105","issue":"8","language":"en","page":"670-673","source":"www.nature.com","title":"Promoting transparency and reproducibility in enhanced molecular simulations","volume":"16","author":[{"family":"Bonomi","given":"Massimiliano"},{"family":"Bussi","given":"Giovanni"},{"family":"Camilloni","given":"Carlo"},{"family":"Tribello","given":"Gareth A."},{"family":"Banáš","given":"Pavel"},{"family":"Barducci","given":"Alessandro"},{"family":"Bernetti","given":"Mattia"},{"family":"Bolhuis","given":"Peter G."},{"family":"Bottaro","given":"Sandro"},{"family":"Branduardi","given":"Davide"},{"family":"Capelli","given":"Riccardo"},{"family":"Carloni","given":"Paolo"},{"family":"Ceriotti","given":"Michele"},{"family":"Cesari","given":"Andrea"},{"family":"Chen","given":"Haochuan"},{"family":"Chen","given":"Wei"},{"family":"Colizzi","given":"Francesco"},{"family":"De","given":"Sandip"},{"family":"De La Pierre","given":"Marco"},{"family":"Donadio","given":"Davide"},{"family":"Drobot","given":"Viktor"},{"family":"Ensing","given":"Bernd"},{"family":"Ferguson","given":"Andrew L."},{"family":"Filizola","given":"Marta"},{"family":"Fraser","given":"James S."},{"family":"Fu","given":"Haohao"},{"family":"Gasparotto","given":"Piero"},{"family":"Gervasio","given":"Francesco Luigi"},{"family":"Giberti","given":"Federico"},{"family":"Gil-Ley","given":"Alejandro"},{"family":"Giorgino","given":"Toni"},{"family":"Heller","given":"Gabriella T."},{"family":"Hocky","given":"Glen M."},{"family":"Iannuzzi","given":"Marcella"},{"family":"Invernizzi","given":"Michele"},{"family":"Jelfs","given":"Kim E."},{"family":"Jussupow","given":"Alexander"},{"family":"Kirilin","given":"Evgeny"},{"family":"Laio","given":"Alessandro"},{"family":"Limongelli","given":"Vittorio"},{"family":"Lindorff-Larsen","given":"Kresten"},{"family":"Löhr","given":"Thomas"},{"family":"Marinelli","given":"Fabrizio"},{"family":"Martin-Samos","given":"Layla"},{"family":"Masetti","given":"Matteo"},{"family":"Meyer","given":"Ralf"},{"family":"Michaelides","given":"Angelos"},{"family":"Molteni","given":"Carla"},{"family":"Morishita","given":"Tetsuya"},{"family":"Nava","given":"Marco"},{"family":"Paissoni","given":"Cristina"},{"family":"Papaleo","given":"Elena"},{"family":"Parrinello","given":"Michele"},{"family":"Pfaendtner","given":"Jim"},{"family":"Piaggi","given":"Pablo"},{"family":"Piccini","given":"GiovanniMaria"},{"family":"Pietropaolo","given":"Adriana"},{"family":"Pietrucci","given":"Fabio"},{"family":"Pipolo","given":"Silvio"},{"family":"Provasi","given":"Davide"},{"family":"Quigley","given":"David"},{"family":"Raiteri","given":"Paolo"},{"family":"Raniolo","given":"Stefano"},{"family":"Rydzewski","given":"Jakub"},{"family":"Salvalaglio","given":"Matteo"},{"family":"Sosso","given":"Gabriele Cesare"},{"family":"Spiwok","given":"Vojtěch"},{"family":"Šponer","given":"Jiří"},{"family":"Swenson","given":"David W. H."},{"family":"Tiwary","given":"Pratyush"},{"family":"Valsson","given":"Omar"},{"family":"Vendruscolo","given":"Michele"},{"family":"Voth","given":"Gregory A."},{"family":"White","given":"Andrew"},{"literal":"The PLUMED consortium"}],"issued":{"date-parts":[["2019",8]]}}},{"id":38,"uris":["http://zotero.org/users/local/mmRtC3gY/items/CFS4CTKP"],"uri":["http://zotero.org/users/local/mmRtC3gY/items/CFS4CTKP"],"itemData":{"id":38,"type":"article-journal","abstract":"Enhancing sampling and analyzing simulations are central issues in molecular simulation. Recently, we introduced PLUMED, an open-source plug-in that provides some of the most popular molecular dynamics (MD) codes with implementations of a variety of different enhanced sampling algorithms and collective variables (CVs). The rapid changes in this field, in particular new directions in enhanced sampling and dimensionality reduction together with new hardware, require a code that is more flexible and more efficient. We therefore present PLUMED 2 here—a complete rewrite of the code in an object-oriented programming language (C++). This new version introduces greater flexibility and greater modularity, which both extends its core capabilities and makes it far easier to add new methods and CVs. It also has a simpler interface with the MD engines and provides a single software library containing both tools and core facilities. Ultimately, the new code better serves the ever-growing community of users and contributors in coping with the new challenges arising in the field.\nProgram summary\nProgram title: PLUMED 2 Catalogue identifier: AEEE_v2_0 Program summary URL:http://cpc.cs.qub.ac.uk/summaries/AEEE_v2_0.html Program obtainable from: CPC Program Library, Queen’s University, Belfast, N. Ireland Licensing provisions: Yes No. of lines in distributed program, including test data, etc.: 700646 No. of bytes in distributed program, including test data, etc.: 6618136 Distribution format: tar.gz Programming language: ANSI-C++. Computer: Any computer capable of running an executable produced by a C++ compiler. Operating system: Linux operating system, Unix OSs. Has the code been vectorized or parallelized?: Yes, parallelized using MPI. RAM: Depends on the number of atoms, the method chosen and the collective variables used. Classification: 3, 7.7, 23. Catalogue identifier of previous version: AEEE_v1_0. Journal reference of previous version: Comput. Phys. Comm. 180 (2009) 1961. External routines: GNU libmatheval, Lapack, Blas, MPI. Does the new version supersede the previous version?: This version supersedes the previous version for the most part. There are a small number of very specific situations where the previous version is better, due to performance or to non-ported features. We are actively working on porting these last few features into the new code. Nature of problem: Calculation of free-energy surfaces for molecular systems of interest in biology, chemistry and materials science, on the fly and a posteriori analysis of molecular dynamics trajectories using advanced collective variables. Solution method: Implementations of various collective variables and enhanced sampling techniques. Reasons for new version: The old version was difficult to maintain and its design was not as flexible as this new version. This lack of flexibility made it difficult to implement a number of novel methods that have emerged since the release of the original code. Summary of revisions: The new version of the code has a completely redesigned architecture, which allows for several important enhancements. This allows for a much simpler and robust input syntax and for improved performance. In addition, it provides several, more-complex collective variables which could not have been written using the previous implementation. Furthermore, the entire code is fully documented so it is easier to extend. Finally, the code is designed so that users can implement new variables directly in the input files and thus develop bespoke applications of these powerful algorithms. Unusual features: PLUMED 2 can be used either as a standalone program, e.g. for a posteriori analysis of trajectories, or as a library embedded in a molecular dynamics code (such as GROMACS, NAMD, Quantum ESPRESSO, and LAMMPS). Interfaces with these particular codes are provided in patches, which a simple script will insert into the underlying molecular dynamics codes source code files. For other molecular dynamics codes there is extensive documentation on how to add PLUMED in our manual. Additional comments: The distribution file contains a test suite, user and developer documentation and a collection of patches and utilities. Running time: Depends on the number of atoms, the method chosen and the collective variables used. The regression test suite provided takes approximately 1 min to run.","container-title":"Computer Physics Communications","DOI":"10.1016/j.cpc.2013.09.018","ISSN":"0010-4655","issue":"2","journalAbbreviation":"Computer Physics Communications","page":"604-613","title":"PLUMED 2: New feathers for an old bird","volume":"185","author":[{"family":"Tribello","given":"Gareth A."},{"family":"Bonomi","given":"Massimiliano"},{"family":"Branduardi","given":"Davide"},{"family":"Camilloni","given":"Carlo"},{"family":"Bussi","given":"Giovanni"}],"issued":{"date-parts":[["2014",2,1]]}}}],"schema":"https://github.com/citation-style-language/schema/raw/master/csl-citation.json"} </w:instrText>
      </w:r>
      <w:r w:rsidRPr="0030032A">
        <w:rPr>
          <w:rFonts w:cs="Times New Roman"/>
          <w:szCs w:val="24"/>
        </w:rPr>
        <w:fldChar w:fldCharType="separate"/>
      </w:r>
      <w:r w:rsidR="00E9077D" w:rsidRPr="00E9077D">
        <w:rPr>
          <w:rFonts w:cs="Times New Roman"/>
          <w:szCs w:val="24"/>
        </w:rPr>
        <w:t>(29–32)</w:t>
      </w:r>
      <w:r w:rsidRPr="0030032A">
        <w:rPr>
          <w:rFonts w:cs="Times New Roman"/>
          <w:szCs w:val="24"/>
        </w:rPr>
        <w:fldChar w:fldCharType="end"/>
      </w:r>
      <w:r w:rsidRPr="0030032A">
        <w:rPr>
          <w:rFonts w:cs="Times New Roman"/>
          <w:szCs w:val="24"/>
        </w:rPr>
        <w:t>.  Structures were modelled by the Amber ff14SB force field except for the Mn</w:t>
      </w:r>
      <w:r w:rsidRPr="0030032A">
        <w:rPr>
          <w:rFonts w:cs="Times New Roman"/>
          <w:szCs w:val="24"/>
          <w:vertAlign w:val="superscript"/>
        </w:rPr>
        <w:t>2+</w:t>
      </w:r>
      <w:r w:rsidRPr="0030032A">
        <w:rPr>
          <w:rFonts w:cs="Times New Roman"/>
          <w:szCs w:val="24"/>
        </w:rPr>
        <w:t xml:space="preserve"> ion in PDB 3hi6, which was modelled using parameters by Bradbook</w:t>
      </w:r>
      <w:r w:rsidRPr="0030032A">
        <w:rPr>
          <w:rFonts w:cs="Times New Roman"/>
          <w:i/>
          <w:iCs/>
          <w:szCs w:val="24"/>
        </w:rPr>
        <w:t xml:space="preserve"> et al</w:t>
      </w:r>
      <w:r w:rsidR="00C8291A">
        <w:rPr>
          <w:rFonts w:cs="Times New Roman"/>
          <w:i/>
          <w:iCs/>
          <w:szCs w:val="24"/>
        </w:rPr>
        <w:t xml:space="preserve"> </w:t>
      </w:r>
      <w:r w:rsidRPr="0030032A">
        <w:rPr>
          <w:rFonts w:cs="Times New Roman"/>
          <w:szCs w:val="24"/>
        </w:rPr>
        <w:fldChar w:fldCharType="begin"/>
      </w:r>
      <w:r w:rsidR="00E9077D">
        <w:rPr>
          <w:rFonts w:cs="Times New Roman"/>
          <w:szCs w:val="24"/>
        </w:rPr>
        <w:instrText xml:space="preserve"> ADDIN ZOTERO_ITEM CSL_CITATION {"citationID":"STWdn8Ji","properties":{"formattedCitation":"(33,34)","plainCitation":"(33,34)","noteIndex":0},"citationItems":[{"id":34,"uris":["http://zotero.org/users/local/mmRtC3gY/items/H2W7XC6B"],"uri":["http://zotero.org/users/local/mmRtC3gY/items/H2W7XC6B"],"itemData":{"id":34,"type":"article-journal","abstract":"Molecular mechanics is powerful for its speed in atomistic simulations, but an accurate force field is required. The Amber ff99SB force field improved protein secondary structure balance and dynamics from earlier force fields like ff99, but weaknesses in side chain rotamer and backbone secondary structure preferences have been identified. Here, we performed a complete refit of all amino acid side chain dihedral parameters, which had been carried over from ff94. The training set of conformations included multidimensional dihedral scans designed to improve transferability of the parameters. Improvement in all amino acids was obtained as compared to ff99SB. Parameters were also generated for alternate protonation states of ionizable side chains. Average errors in relative energies of pairs of conformations were under 1.0 kcal/mol as compared to QM, reduced 35% from ff99SB. We also took the opportunity to make empirical adjustments to the protein backbone dihedral parameters as compared to ff99SB. Multiple small adjustments of φ and ψ parameters were tested against NMR scalar coupling data and secondary structure content for short peptides. The best results were obtained from a physically motivated adjustment to the φ rotational profile that compensates for lack of ff99SB QM training data in the β-ppII transition region. Together, these backbone and side chain modifications (hereafter called ff14SB) not only better reproduced their benchmarks, but also improved secondary structure content in small peptides and reproduction of NMR χ1 scalar coupling measurements for proteins in solution. We also discuss the Amber ff12SB parameter set, a preliminary version of ff14SB that includes most of its improvements.","container-title":"Journal of Chemical Theory and Computation","DOI":"10.1021/acs.jctc.5b00255","ISSN":"1549-9618","issue":"8","journalAbbreviation":"J. Chem. Theory Comput.","page":"3696-3713","source":"ACS Publications","title":"ff14SB: Improving the Accuracy of Protein Side Chain and Backbone Parameters from ff99SB","title-short":"ff14SB","volume":"11","author":[{"family":"Maier","given":"James A."},{"family":"Martinez","given":"Carmenza"},{"family":"Kasavajhala","given":"Koushik"},{"family":"Wickstrom","given":"Lauren"},{"family":"Hauser","given":"Kevin E."},{"family":"Simmerling","given":"Carlos"}],"issued":{"date-parts":[["2015",8,11]]}}},{"id":299,"uris":["http://zotero.org/users/local/mmRtC3gY/items/HQUITVW9"],"uri":["http://zotero.org/users/local/mmRtC3gY/items/HQUITVW9"],"itemData":{"id":299,"type":"article-journal","abstract":"Crystallographic and computational methods have been used to study the binding of two monosaccharides (glucoside and mannoside) to concanavalin-A. The 2 Å structure of glucoside bound concanavalin-A is reported and compared with the 2 Å structure of the mannoside complex. The interaction energies of the substrate in each crystallographic subunit were calculated by molecular mechanics and found to be essentially the same for both sugars. Further energy minimisation of the active site region of the subunits did not alter this conclusion. Information from crystallographic B-factors was interpreted in terms of mobility of the sugars in the combining site. Molecular dynamics (MD) was employed to investigate mobility of the ligands at the binding sites. Switching between different binding states was observed for mannoside over the ensemble in line with the crystallographic B-factors. A calculated average interaction energy was found to be more favourable for mannoside than glucoside, by 4.9±3.6 kcal mol-1 (comparable with the experimentally determined binding energy difference of 1.6±0.3 kcal mol-1). However, on consideration of all terms contributing to the binding enthalpy a difference is not found. This work demonstrates the difficulty in relating structure to thermodynamic properties, but suggests that dynamic models are needed to provide a more complete picture of ligand–receptor interactions.","container-title":"Journal of the Chemical Society, Faraday Transactions","DOI":"10.1039/A800429C","ISSN":"1364-5455","issue":"11","journalAbbreviation":"J. Chem. Soc., Faraday Trans.","language":"en","note":"publisher: The Royal Society of Chemistry","page":"1603-1611","source":"pubs.rsc.org","title":"X-Ray and molecular dynamics studies of concanavalin-A glucoside and mannoside complexes Relating structure to thermodynamics of binding","volume":"94","author":[{"family":"Bradbrook","given":"Gail M."},{"family":"Gleichmann","given":"Thomas"},{"family":"Harrop","given":"Stephen J."},{"family":"Habash","given":"Jarjis"},{"family":"Raftery","given":"James"},{"family":"Kalb (Gilboa)","given":"Joseph"},{"family":"Yariv","given":"Joseph"},{"family":"Hillier","given":"Ian H."},{"family":"Helliwell","given":"John R."}],"issued":{"date-parts":[["1998",1,1]]}}}],"schema":"https://github.com/citation-style-language/schema/raw/master/csl-citation.json"} </w:instrText>
      </w:r>
      <w:r w:rsidRPr="0030032A">
        <w:rPr>
          <w:rFonts w:cs="Times New Roman"/>
          <w:szCs w:val="24"/>
        </w:rPr>
        <w:fldChar w:fldCharType="separate"/>
      </w:r>
      <w:r w:rsidR="00E9077D" w:rsidRPr="00E9077D">
        <w:rPr>
          <w:rFonts w:cs="Times New Roman"/>
        </w:rPr>
        <w:t>(33,34)</w:t>
      </w:r>
      <w:r w:rsidRPr="0030032A">
        <w:rPr>
          <w:rFonts w:cs="Times New Roman"/>
          <w:szCs w:val="24"/>
        </w:rPr>
        <w:fldChar w:fldCharType="end"/>
      </w:r>
      <w:r w:rsidRPr="0030032A">
        <w:rPr>
          <w:rFonts w:cs="Times New Roman"/>
          <w:szCs w:val="24"/>
        </w:rPr>
        <w:t>.  Distance restraints of 1000 kJ mol</w:t>
      </w:r>
      <w:r w:rsidRPr="0030032A">
        <w:rPr>
          <w:rFonts w:cs="Times New Roman"/>
          <w:szCs w:val="24"/>
          <w:vertAlign w:val="superscript"/>
        </w:rPr>
        <w:t>-1</w:t>
      </w:r>
      <w:r w:rsidRPr="0030032A">
        <w:rPr>
          <w:rFonts w:cs="Times New Roman"/>
          <w:szCs w:val="24"/>
        </w:rPr>
        <w:t xml:space="preserve"> nm</w:t>
      </w:r>
      <w:r w:rsidRPr="0030032A">
        <w:rPr>
          <w:rFonts w:cs="Times New Roman"/>
          <w:szCs w:val="24"/>
          <w:vertAlign w:val="superscript"/>
        </w:rPr>
        <w:t>2</w:t>
      </w:r>
      <w:r w:rsidRPr="0030032A">
        <w:rPr>
          <w:rFonts w:cs="Times New Roman"/>
          <w:szCs w:val="24"/>
        </w:rPr>
        <w:t xml:space="preserve"> were applied between the Mn</w:t>
      </w:r>
      <w:r w:rsidRPr="0030032A">
        <w:rPr>
          <w:rFonts w:cs="Times New Roman"/>
          <w:szCs w:val="24"/>
          <w:vertAlign w:val="superscript"/>
        </w:rPr>
        <w:t>2+</w:t>
      </w:r>
      <w:r w:rsidRPr="0030032A">
        <w:rPr>
          <w:rFonts w:cs="Times New Roman"/>
          <w:szCs w:val="24"/>
        </w:rPr>
        <w:t xml:space="preserve"> ion and coordinating antigen atoms.  Cubic boxes with edges 1.2 and 1.8 nm away from the protein were used for Fv only (apo) and Fv-antigen (holo) simulations respectively, with periodic boundary conditions applied in all three directions.  Boxes were solvated with TIP3P water and 0.15 M NaCl, including ions to </w:t>
      </w:r>
      <w:r w:rsidR="00C252A4" w:rsidRPr="0030032A">
        <w:rPr>
          <w:rFonts w:cs="Times New Roman"/>
          <w:szCs w:val="24"/>
        </w:rPr>
        <w:t>neutralize</w:t>
      </w:r>
      <w:r w:rsidRPr="0030032A">
        <w:rPr>
          <w:rFonts w:cs="Times New Roman"/>
          <w:szCs w:val="24"/>
        </w:rPr>
        <w:t xml:space="preserve"> the system</w:t>
      </w:r>
      <w:r w:rsidR="00C8291A">
        <w:rPr>
          <w:rFonts w:cs="Times New Roman"/>
          <w:szCs w:val="24"/>
        </w:rPr>
        <w:t xml:space="preserve"> </w:t>
      </w:r>
      <w:r w:rsidRPr="0030032A">
        <w:rPr>
          <w:rFonts w:cs="Times New Roman"/>
          <w:szCs w:val="24"/>
        </w:rPr>
        <w:fldChar w:fldCharType="begin"/>
      </w:r>
      <w:r w:rsidR="00E9077D">
        <w:rPr>
          <w:rFonts w:cs="Times New Roman"/>
          <w:szCs w:val="24"/>
        </w:rPr>
        <w:instrText xml:space="preserve"> ADDIN ZOTERO_ITEM CSL_CITATION {"citationID":"Jf5wQSAI","properties":{"formattedCitation":"(35)","plainCitation":"(35)","noteIndex":0},"citationItems":[{"id":47,"uris":["http://zotero.org/users/local/mmRtC3gY/items/WD2S69H9"],"uri":["http://zotero.org/users/local/mmRtC3gY/items/WD2S69H9"],"itemData":{"id":47,"type":"article-journal","container-title":"The Journal of Chemical Physics","DOI":"10.1063/1.445869","ISSN":"0021-9606","issue":"2","journalAbbreviation":"J. Chem. Phys.","page":"926-935","source":"aip.scitation.org (Atypon)","title":"Comparison of simple potential functions for simulating liquid water","volume":"79","author":[{"family":"Jorgensen","given":"William L."},{"family":"Chandrasekhar","given":"Jayaraman"},{"family":"Madura","given":"Jeffry D."},{"family":"Impey","given":"Roger W."},{"family":"Klein","given":"Michael L."}],"issued":{"date-parts":[["1983",7,15]]}}}],"schema":"https://github.com/citation-style-language/schema/raw/master/csl-citation.json"} </w:instrText>
      </w:r>
      <w:r w:rsidRPr="0030032A">
        <w:rPr>
          <w:rFonts w:cs="Times New Roman"/>
          <w:szCs w:val="24"/>
        </w:rPr>
        <w:fldChar w:fldCharType="separate"/>
      </w:r>
      <w:r w:rsidR="00E9077D" w:rsidRPr="00E9077D">
        <w:rPr>
          <w:rFonts w:cs="Times New Roman"/>
        </w:rPr>
        <w:t>(35)</w:t>
      </w:r>
      <w:r w:rsidRPr="0030032A">
        <w:rPr>
          <w:rFonts w:cs="Times New Roman"/>
          <w:szCs w:val="24"/>
        </w:rPr>
        <w:fldChar w:fldCharType="end"/>
      </w:r>
      <w:r w:rsidRPr="0030032A">
        <w:rPr>
          <w:rFonts w:cs="Times New Roman"/>
          <w:szCs w:val="24"/>
        </w:rPr>
        <w:t xml:space="preserve">.  This generated systems of 55,000-73,000 atoms for the apo setup, and 149,000-326,000 atoms for the holo setup depending on the size of the antigen. The energy of each system was </w:t>
      </w:r>
      <w:r w:rsidR="00C252A4" w:rsidRPr="0030032A">
        <w:rPr>
          <w:rFonts w:cs="Times New Roman"/>
          <w:szCs w:val="24"/>
        </w:rPr>
        <w:t>minimized</w:t>
      </w:r>
      <w:r w:rsidRPr="0030032A">
        <w:rPr>
          <w:rFonts w:cs="Times New Roman"/>
          <w:szCs w:val="24"/>
        </w:rPr>
        <w:t xml:space="preserve"> using steepest descent and conjugate gradient for 5000 steps each.</w:t>
      </w:r>
    </w:p>
    <w:p w14:paraId="4452E928" w14:textId="08D513CE" w:rsidR="0030032A" w:rsidRPr="0030032A" w:rsidRDefault="0030032A" w:rsidP="0030032A">
      <w:pPr>
        <w:rPr>
          <w:rFonts w:cs="Times New Roman"/>
          <w:szCs w:val="24"/>
        </w:rPr>
      </w:pPr>
      <w:r w:rsidRPr="0030032A">
        <w:rPr>
          <w:rFonts w:cs="Times New Roman"/>
          <w:szCs w:val="24"/>
        </w:rPr>
        <w:t>Prior to generating the scaled replicas, systems were equilibrated for 50 ps under NVT conditions and 200 ps under NPT conditions.  Temperature was maintained at 300 K using the velocity-rescaling thermostat with a time constant of 0.1 ps, and pressure at 1 bar using the Berendsen barostat and a time constant of 2 ps</w:t>
      </w:r>
      <w:r w:rsidR="00C8291A">
        <w:rPr>
          <w:rFonts w:cs="Times New Roman"/>
          <w:szCs w:val="24"/>
        </w:rPr>
        <w:t xml:space="preserve"> </w:t>
      </w:r>
      <w:r w:rsidRPr="0030032A">
        <w:rPr>
          <w:rFonts w:cs="Times New Roman"/>
          <w:szCs w:val="24"/>
        </w:rPr>
        <w:fldChar w:fldCharType="begin"/>
      </w:r>
      <w:r w:rsidR="00E9077D">
        <w:rPr>
          <w:rFonts w:cs="Times New Roman"/>
          <w:szCs w:val="24"/>
        </w:rPr>
        <w:instrText xml:space="preserve"> ADDIN ZOTERO_ITEM CSL_CITATION {"citationID":"age5pmNR","properties":{"formattedCitation":"(36,37)","plainCitation":"(36,37)","noteIndex":0},"citationItems":[{"id":53,"uris":["http://zotero.org/users/local/mmRtC3gY/items/GMUE4MRF"],"uri":["http://zotero.org/users/local/mmRtC3gY/items/GMUE4MRF"],"itemData":{"id":53,"type":"article-journal","abstract":"The authors present a new molecular dynamics algorithm for sampling the canonical distribution. In this approach the velocities of all the particles are rescaled by a properly chosen random factor. The algorithm is formally justified and it is shown that, in spite of its stochastic nature, a quantity can still be defined that remains constant during the evolution. In numerical applications this quantity can be used to measure the accuracy of the sampling. The authors illustrate the properties of this new method on Lennard-Jones and TIP4P water models in the solid and liquid phases. Its performance is excellent and largely independent of the thermostat parameter also with regard to the dynamic properties.","container-title":"The Journal of Chemical Physics","DOI":"10.1063/1.2408420","ISSN":"0021-9606","issue":"1","journalAbbreviation":"J. Chem. Phys.","page":"014101","source":"aip.scitation.org (Atypon)","title":"Canonical sampling through velocity rescaling","volume":"126","author":[{"family":"Bussi","given":"Giovanni"},{"family":"Donadio","given":"Davide"},{"family":"Parrinello","given":"Michele"}],"issued":{"date-parts":[["2007",1,3]]}}},{"id":56,"uris":["http://zotero.org/users/local/mmRtC3gY/items/DHYRJQ6G"],"uri":["http://zotero.org/users/local/mmRtC3gY/items/DHYRJQ6G"],"itemData":{"id":56,"type":"article-journal","container-title":"The Journal of Chemical Physics","DOI":"10.1063/1.448118","ISSN":"0021-9606","issue":"8","journalAbbreviation":"J. Chem. Phys.","page":"3684-3690","source":"aip.scitation.org (Atypon)","title":"Molecular dynamics with coupling to an external bath","volume":"81","author":[{"family":"Berendsen","given":"H. J. C."},{"family":"Postma","given":"J. P. M."},{"family":"Gunsteren","given":"W. F.","non-dropping-particle":"van"},{"family":"DiNola","given":"A."},{"family":"Haak","given":"J. R."}],"issued":{"date-parts":[["1984",10,15]]}}}],"schema":"https://github.com/citation-style-language/schema/raw/master/csl-citation.json"} </w:instrText>
      </w:r>
      <w:r w:rsidRPr="0030032A">
        <w:rPr>
          <w:rFonts w:cs="Times New Roman"/>
          <w:szCs w:val="24"/>
        </w:rPr>
        <w:fldChar w:fldCharType="separate"/>
      </w:r>
      <w:r w:rsidR="00E9077D" w:rsidRPr="00E9077D">
        <w:rPr>
          <w:rFonts w:cs="Times New Roman"/>
        </w:rPr>
        <w:t>(36,37)</w:t>
      </w:r>
      <w:r w:rsidRPr="0030032A">
        <w:rPr>
          <w:rFonts w:cs="Times New Roman"/>
          <w:szCs w:val="24"/>
        </w:rPr>
        <w:fldChar w:fldCharType="end"/>
      </w:r>
      <w:r w:rsidRPr="0030032A">
        <w:rPr>
          <w:rFonts w:cs="Times New Roman"/>
          <w:szCs w:val="24"/>
        </w:rPr>
        <w:t>.  The leapfrog integrator with a 2 fs timestep was used</w:t>
      </w:r>
      <w:r w:rsidR="00C8291A">
        <w:rPr>
          <w:rFonts w:cs="Times New Roman"/>
          <w:szCs w:val="24"/>
        </w:rPr>
        <w:t xml:space="preserve"> </w:t>
      </w:r>
      <w:r w:rsidRPr="0030032A">
        <w:rPr>
          <w:rFonts w:cs="Times New Roman"/>
          <w:szCs w:val="24"/>
        </w:rPr>
        <w:fldChar w:fldCharType="begin"/>
      </w:r>
      <w:r w:rsidR="00E9077D">
        <w:rPr>
          <w:rFonts w:cs="Times New Roman"/>
          <w:szCs w:val="24"/>
        </w:rPr>
        <w:instrText xml:space="preserve"> ADDIN ZOTERO_ITEM CSL_CITATION {"citationID":"2BV3Lw2L","properties":{"formattedCitation":"(38)","plainCitation":"(38)","noteIndex":0},"citationItems":[{"id":59,"uris":["http://zotero.org/users/local/mmRtC3gY/items/F68IW7WU"],"uri":["http://zotero.org/users/local/mmRtC3gY/items/F68IW7WU"],"itemData":{"id":59,"type":"article-journal","abstract":"Three second order time integration schemes, the Verlet algorithm, the Beeman algorithm and the Leapfrog scheme, which are widely used in molecular dynamics simulations, are investigated. All three schemes give the same particle orbits, but Leapfrog proves superior in the representation of energy and in terms of storage and operations count. A simple statistical model of the effects of force errors on the time integration is developed and is shown to give good agreement with computational results.","container-title":"Computer Physics Communications","DOI":"10.1016/0010-4655(87)90019-1","ISSN":"0010-4655","issue":"1","journalAbbreviation":"Computer Physics Communications","page":"83-93","title":"Time integration in particle models","volume":"44","author":[{"family":"Amini","given":"M."},{"family":"Eastwood","given":"J.W."},{"family":"Hockney","given":"R.W."}],"issued":{"date-parts":[["1987",4,1]]}}}],"schema":"https://github.com/citation-style-language/schema/raw/master/csl-citation.json"} </w:instrText>
      </w:r>
      <w:r w:rsidRPr="0030032A">
        <w:rPr>
          <w:rFonts w:cs="Times New Roman"/>
          <w:szCs w:val="24"/>
        </w:rPr>
        <w:fldChar w:fldCharType="separate"/>
      </w:r>
      <w:r w:rsidR="00E9077D" w:rsidRPr="00E9077D">
        <w:rPr>
          <w:rFonts w:cs="Times New Roman"/>
        </w:rPr>
        <w:t>(38)</w:t>
      </w:r>
      <w:r w:rsidRPr="0030032A">
        <w:rPr>
          <w:rFonts w:cs="Times New Roman"/>
          <w:szCs w:val="24"/>
        </w:rPr>
        <w:fldChar w:fldCharType="end"/>
      </w:r>
      <w:r w:rsidRPr="0030032A">
        <w:rPr>
          <w:rFonts w:cs="Times New Roman"/>
          <w:szCs w:val="24"/>
        </w:rPr>
        <w:t>.  Both non-bonded van der Waals and electrostatic Coulomb interactions had a 0.8 nm cut-off, using the Verlet cut-off scheme and long range dispersion corrections for energy and pressure.  The particle mesh Ewald algorithm was used for long range electrostatics with a Fourier spacing of 0.1 nm and cubic interpolation to assign charges to the grid</w:t>
      </w:r>
      <w:r w:rsidR="00C8291A">
        <w:rPr>
          <w:rFonts w:cs="Times New Roman"/>
          <w:szCs w:val="24"/>
        </w:rPr>
        <w:t xml:space="preserve"> </w:t>
      </w:r>
      <w:r w:rsidRPr="0030032A">
        <w:rPr>
          <w:rFonts w:cs="Times New Roman"/>
          <w:szCs w:val="24"/>
        </w:rPr>
        <w:fldChar w:fldCharType="begin"/>
      </w:r>
      <w:r w:rsidR="00E9077D">
        <w:rPr>
          <w:rFonts w:cs="Times New Roman"/>
          <w:szCs w:val="24"/>
        </w:rPr>
        <w:instrText xml:space="preserve"> ADDIN ZOTERO_ITEM CSL_CITATION {"citationID":"WFMwS9C5","properties":{"formattedCitation":"(39)","plainCitation":"(39)","noteIndex":0},"citationItems":[{"id":60,"uris":["http://zotero.org/users/local/mmRtC3gY/items/68K5J9NP"],"uri":["http://zotero.org/users/local/mmRtC3gY/items/68K5J9NP"],"itemData":{"id":60,"type":"article-journal","container-title":"The Journal of Chemical Physics","DOI":"10.1063/1.464397","ISSN":"0021-9606","issue":"12","journalAbbreviation":"J. Chem. Phys.","page":"10089-10092","source":"aip.scitation.org (Atypon)","title":"Particle mesh Ewald: An N</w:instrText>
      </w:r>
      <w:r w:rsidR="00E9077D">
        <w:rPr>
          <w:rFonts w:ascii="Cambria Math" w:hAnsi="Cambria Math" w:cs="Cambria Math"/>
          <w:szCs w:val="24"/>
        </w:rPr>
        <w:instrText>⋅</w:instrText>
      </w:r>
      <w:r w:rsidR="00E9077D">
        <w:rPr>
          <w:rFonts w:cs="Times New Roman"/>
          <w:szCs w:val="24"/>
        </w:rPr>
        <w:instrText xml:space="preserve">log(N) method for Ewald sums in large systems","title-short":"Particle mesh Ewald","volume":"98","author":[{"family":"Darden","given":"Tom"},{"family":"York","given":"Darrin"},{"family":"Pedersen","given":"Lee"}],"issued":{"date-parts":[["1993",6,15]]}}}],"schema":"https://github.com/citation-style-language/schema/raw/master/csl-citation.json"} </w:instrText>
      </w:r>
      <w:r w:rsidRPr="0030032A">
        <w:rPr>
          <w:rFonts w:cs="Times New Roman"/>
          <w:szCs w:val="24"/>
        </w:rPr>
        <w:fldChar w:fldCharType="separate"/>
      </w:r>
      <w:r w:rsidR="00E9077D" w:rsidRPr="00E9077D">
        <w:rPr>
          <w:rFonts w:cs="Times New Roman"/>
        </w:rPr>
        <w:t>(39)</w:t>
      </w:r>
      <w:r w:rsidRPr="0030032A">
        <w:rPr>
          <w:rFonts w:cs="Times New Roman"/>
          <w:szCs w:val="24"/>
        </w:rPr>
        <w:fldChar w:fldCharType="end"/>
      </w:r>
      <w:r w:rsidRPr="0030032A">
        <w:rPr>
          <w:rFonts w:cs="Times New Roman"/>
          <w:szCs w:val="24"/>
        </w:rPr>
        <w:t>.  Hydrogen-containing bonds were constrained using LINCS</w:t>
      </w:r>
      <w:r w:rsidR="00C8291A">
        <w:rPr>
          <w:rFonts w:cs="Times New Roman"/>
          <w:szCs w:val="24"/>
        </w:rPr>
        <w:t xml:space="preserve"> </w:t>
      </w:r>
      <w:r w:rsidRPr="0030032A">
        <w:rPr>
          <w:rFonts w:cs="Times New Roman"/>
          <w:szCs w:val="24"/>
        </w:rPr>
        <w:fldChar w:fldCharType="begin"/>
      </w:r>
      <w:r w:rsidR="00E9077D">
        <w:rPr>
          <w:rFonts w:cs="Times New Roman"/>
          <w:szCs w:val="24"/>
        </w:rPr>
        <w:instrText xml:space="preserve"> ADDIN ZOTERO_ITEM CSL_CITATION {"citationID":"QVQJPDE5","properties":{"formattedCitation":"(40)","plainCitation":"(40)","noteIndex":0},"citationItems":[{"id":63,"uris":["http://zotero.org/users/local/mmRtC3gY/items/ZVG3H97Y"],"uri":["http://zotero.org/users/local/mmRtC3gY/items/ZVG3H97Y"],"itemData":{"id":63,"type":"article-journal","abstract":"In this article, we present a new LINear Constraint Solver (LINCS) for molecular simulations with bond constraints. The algorithm is inherently stable, as the constraints themselves are reset instead of derivatives of the constraints, thereby eliminating drift. Although the derivation of the algorithm is presented in terms of matrices, no matrix matrix multiplications are needed and only the nonzero matrix elements have to be stored, making the method useful for very large molecules. At the same accuracy, the LINCS algorithm is three to four times faster than the SHAKE algorithm. Parallelization of the algorithm is straightforward. © 1997 John Wiley &amp; Sons, Inc. J Comput Chem 18: 1463–1472, 1997","container-title":"Journal of Computational Chemistry","DOI":"10.1002/(SICI)1096-987X(199709)18:12&lt;1463::AID-JCC4&gt;3.0.CO;2-H","ISSN":"1096-987X","issue":"12","language":"en","page":"1463-1472","source":"Wiley Online Library","title":"LINCS: A linear constraint solver for molecular simulations","title-short":"LINCS","volume":"18","author":[{"family":"Hess","given":"Berk"},{"family":"Bekker","given":"Henk"},{"family":"Berendsen","given":"Herman J. C."},{"family":"Fraaije","given":"Johannes G. E. M."}],"issued":{"date-parts":[["1997"]]}}}],"schema":"https://github.com/citation-style-language/schema/raw/master/csl-citation.json"} </w:instrText>
      </w:r>
      <w:r w:rsidRPr="0030032A">
        <w:rPr>
          <w:rFonts w:cs="Times New Roman"/>
          <w:szCs w:val="24"/>
        </w:rPr>
        <w:fldChar w:fldCharType="separate"/>
      </w:r>
      <w:r w:rsidR="00E9077D" w:rsidRPr="00E9077D">
        <w:rPr>
          <w:rFonts w:cs="Times New Roman"/>
        </w:rPr>
        <w:t>(40)</w:t>
      </w:r>
      <w:r w:rsidRPr="0030032A">
        <w:rPr>
          <w:rFonts w:cs="Times New Roman"/>
          <w:szCs w:val="24"/>
        </w:rPr>
        <w:fldChar w:fldCharType="end"/>
      </w:r>
      <w:r w:rsidRPr="0030032A">
        <w:rPr>
          <w:rFonts w:cs="Times New Roman"/>
          <w:szCs w:val="24"/>
        </w:rPr>
        <w:t>.</w:t>
      </w:r>
    </w:p>
    <w:p w14:paraId="3BC77235" w14:textId="0A402CED" w:rsidR="0030032A" w:rsidRPr="0030032A" w:rsidRDefault="0030032A" w:rsidP="0030032A">
      <w:pPr>
        <w:rPr>
          <w:rFonts w:cs="Times New Roman"/>
          <w:szCs w:val="24"/>
        </w:rPr>
      </w:pPr>
      <w:r w:rsidRPr="0030032A">
        <w:rPr>
          <w:rFonts w:cs="Times New Roman"/>
          <w:szCs w:val="24"/>
        </w:rPr>
        <w:t>To prevent proteins from unfolding due to REST2’s weakened interactions, we specifically scale down CDR residues.  Replicas with geometrically distributed λ values between 0.35 and 1 were generated from the equilibrated structures, with the minimum λ determined by preliminary work to ensure sufficient CDR sampling was taking place.  Twenty-four replicas were used for holo systems and twenty for apo, chosen to keep acceptance probabilities between 20-40% for as much of the dataset as possible.  CDR residues, selected by their Chothia numbering as in the AbDb database, had their inter- and intra-molecular interactions scaled</w:t>
      </w:r>
      <w:r w:rsidR="00C8291A">
        <w:rPr>
          <w:rFonts w:cs="Times New Roman"/>
          <w:szCs w:val="24"/>
        </w:rPr>
        <w:t xml:space="preserve"> </w:t>
      </w:r>
      <w:r w:rsidRPr="0030032A">
        <w:rPr>
          <w:rFonts w:cs="Times New Roman"/>
          <w:szCs w:val="24"/>
        </w:rPr>
        <w:fldChar w:fldCharType="begin"/>
      </w:r>
      <w:r w:rsidR="00E9077D">
        <w:rPr>
          <w:rFonts w:cs="Times New Roman"/>
          <w:szCs w:val="24"/>
        </w:rPr>
        <w:instrText xml:space="preserve"> ADDIN ZOTERO_ITEM CSL_CITATION {"citationID":"5c7iCj9K","properties":{"formattedCitation":"(41,42)","plainCitation":"(41,42)","noteIndex":0},"citationItems":[{"id":66,"uris":["http://zotero.org/users/local/mmRtC3gY/items/FFMVDRSY"],"uri":["http://zotero.org/users/local/mmRtC3gY/items/FFMVDRSY"],"itemData":{"id":66,"type":"article-journal","abstract":"Abstract.  In order to analyse structures of proteins of a particular class, these need to be extracted from Protein Data Bank (PDB) files. In the case of antib","container-title":"Database","DOI":"10.1093/database/bay040","journalAbbreviation":"Database (Oxford)","language":"en","source":"academic.oup.com","title":"AbDb: antibody structure database—a database of PDB-derived antibody structures","title-short":"AbDb","URL":"https://academic.oup.com/database/article/doi/10.1093/database/bay040/4989324","volume":"2018","author":[{"family":"Ferdous","given":"Saba"},{"family":"Martin","given":"Andrew C. R."}],"accessed":{"date-parts":[["2020",2,5]]},"issued":{"date-parts":[["2018",1,1]]}}},{"id":89,"uris":["http://zotero.org/users/local/mmRtC3gY/items/D558K7ES"],"uri":["http://zotero.org/users/local/mmRtC3gY/items/D558K7ES"],"itemData":{"id":89,"type":"article-journal","container-title":"Molecular Physics","DOI":"10.1080/00268976.2013.824126","issue":"3-4","page":"379–384","title":"Hamiltonian replica exchange in GROMACS: A flexible implementation","volume":"112","author":[{"family":"Bussi","given":"Giovanni"}],"issued":{"date-parts":[["2014"]]}}}],"schema":"https://github.com/citation-style-language/schema/raw/master/csl-citation.json"} </w:instrText>
      </w:r>
      <w:r w:rsidRPr="0030032A">
        <w:rPr>
          <w:rFonts w:cs="Times New Roman"/>
          <w:szCs w:val="24"/>
        </w:rPr>
        <w:fldChar w:fldCharType="separate"/>
      </w:r>
      <w:r w:rsidR="00E9077D" w:rsidRPr="00E9077D">
        <w:rPr>
          <w:rFonts w:cs="Times New Roman"/>
        </w:rPr>
        <w:t>(41,42)</w:t>
      </w:r>
      <w:r w:rsidRPr="0030032A">
        <w:rPr>
          <w:rFonts w:cs="Times New Roman"/>
          <w:szCs w:val="24"/>
        </w:rPr>
        <w:fldChar w:fldCharType="end"/>
      </w:r>
      <w:r w:rsidRPr="0030032A">
        <w:rPr>
          <w:rFonts w:cs="Times New Roman"/>
          <w:szCs w:val="24"/>
        </w:rPr>
        <w:t>.  All six CDRs on an antibody were scaled simultaneously, as preliminary work suggested that their conformations were dependent on each other.  Each replica underwent a second NVT equilibration for 1 ns under the same conditions as the first NVT, but with a Nosé-Hoover thermostat and time constant of 2 ps, as well as increased van der Waals and electrostatic cut-offs to 1.0 nm and no dispersion correction</w:t>
      </w:r>
      <w:r w:rsidR="00C8291A">
        <w:rPr>
          <w:rFonts w:cs="Times New Roman"/>
          <w:szCs w:val="24"/>
        </w:rPr>
        <w:t xml:space="preserve"> </w:t>
      </w:r>
      <w:r w:rsidRPr="0030032A">
        <w:rPr>
          <w:rFonts w:cs="Times New Roman"/>
          <w:szCs w:val="24"/>
        </w:rPr>
        <w:fldChar w:fldCharType="begin"/>
      </w:r>
      <w:r w:rsidR="00E9077D">
        <w:rPr>
          <w:rFonts w:cs="Times New Roman"/>
          <w:szCs w:val="24"/>
        </w:rPr>
        <w:instrText xml:space="preserve"> ADDIN ZOTERO_ITEM CSL_CITATION {"citationID":"kLVJurqJ","properties":{"formattedCitation":"(43,44)","plainCitation":"(43,44)","noteIndex":0},"citationItems":[{"id":69,"uris":["http://zotero.org/users/local/mmRtC3gY/items/E8S7WXAL"],"uri":["http://zotero.org/users/local/mmRtC3gY/items/E8S7WXAL"],"itemData":{"id":69,"type":"article-journal","container-title":"The Journal of Chemical Physics","DOI":"10.1063/1.447334","ISSN":"0021-9606","issue":"1","journalAbbreviation":"J. Chem. Phys.","page":"511-519","source":"aip.scitation.org (Atypon)","title":"A unified formulation of the constant temperature molecular dynamics methods","volume":"81","author":[{"family":"Nosé","given":"Shuichi"}],"issued":{"date-parts":[["1984",7,1]]}}},{"id":72,"uris":["http://zotero.org/users/local/mmRtC3gY/items/V5RI5YL9"],"uri":["http://zotero.org/users/local/mmRtC3gY/items/V5RI5YL9"],"itemData":{"id":72,"type":"article-journal","abstract":"Nosé has modified Newtonian dynamics so as to reproduce both the canonical and the isothermal-isobaric probability densities in the phase space of an N-body system. He did this by scaling time (with s) and distance (with V1/D in D dimensions) through Lagrangian equations of motion. The dynamical equations describe the evolution of these two scaling variables and their two conjugate momenta ps and pv. Here we develop a slightly different set of equations, free of time scaling. We find the dynamical steady-state probability density in an extended phase space with variables x, px, V, ε̇, and ζ, where the x are reduced distances and the two variables ε̇ and ζ act as thermodynamic friction coefficients. We find that these friction coefficients have Gaussian distributions. From the distributions the extent of small-system non-Newtonian behavior can be estimated. We illustrate the dynamical equations by considering their application to the simplest possible case, a one-dimensional classical harmonic oscillator.","container-title":"Physical Review A","DOI":"10.1103/PhysRevA.31.1695","issue":"3","journalAbbreviation":"Phys. Rev. A","page":"1695-1697","source":"APS","title":"Canonical dynamics: Equilibrium phase-space distributions","title-short":"Canonical dynamics","volume":"31","author":[{"family":"Hoover","given":"William G."}],"issued":{"date-parts":[["1985",3,1]]}}}],"schema":"https://github.com/citation-style-language/schema/raw/master/csl-citation.json"} </w:instrText>
      </w:r>
      <w:r w:rsidRPr="0030032A">
        <w:rPr>
          <w:rFonts w:cs="Times New Roman"/>
          <w:szCs w:val="24"/>
        </w:rPr>
        <w:fldChar w:fldCharType="separate"/>
      </w:r>
      <w:r w:rsidR="00E9077D" w:rsidRPr="00E9077D">
        <w:rPr>
          <w:rFonts w:cs="Times New Roman"/>
        </w:rPr>
        <w:t>(43,44)</w:t>
      </w:r>
      <w:r w:rsidRPr="0030032A">
        <w:rPr>
          <w:rFonts w:cs="Times New Roman"/>
          <w:szCs w:val="24"/>
        </w:rPr>
        <w:fldChar w:fldCharType="end"/>
      </w:r>
      <w:r w:rsidRPr="0030032A">
        <w:rPr>
          <w:rFonts w:cs="Times New Roman"/>
          <w:szCs w:val="24"/>
        </w:rPr>
        <w:t>.  This was followed by 100 ns of REST2 under the same simulation conditions, with frames deposited every 10 ps in output trajectories.  This culminated in 40 µs of simulations for the entire dataset.</w:t>
      </w:r>
    </w:p>
    <w:p w14:paraId="6D752A73" w14:textId="77777777" w:rsidR="0030032A" w:rsidRPr="0030032A" w:rsidRDefault="0030032A" w:rsidP="0030032A">
      <w:pPr>
        <w:pStyle w:val="Heading2"/>
        <w:spacing w:after="240"/>
        <w:rPr>
          <w:bCs/>
        </w:rPr>
      </w:pPr>
      <w:r w:rsidRPr="0030032A">
        <w:rPr>
          <w:bCs/>
        </w:rPr>
        <w:t>Analysis</w:t>
      </w:r>
    </w:p>
    <w:p w14:paraId="42EA7DC1" w14:textId="548C4A21" w:rsidR="0030032A" w:rsidRPr="0030032A" w:rsidRDefault="0030032A" w:rsidP="0030032A">
      <w:pPr>
        <w:rPr>
          <w:rFonts w:cs="Times New Roman"/>
          <w:szCs w:val="24"/>
        </w:rPr>
      </w:pPr>
      <w:r w:rsidRPr="0030032A">
        <w:rPr>
          <w:rFonts w:cs="Times New Roman"/>
          <w:szCs w:val="24"/>
        </w:rPr>
        <w:t xml:space="preserve">In REST2, the interface </w:t>
      </w:r>
      <w:r w:rsidR="00C252A4" w:rsidRPr="0030032A">
        <w:rPr>
          <w:rFonts w:cs="Times New Roman"/>
          <w:szCs w:val="24"/>
        </w:rPr>
        <w:t>behavior</w:t>
      </w:r>
      <w:r w:rsidRPr="0030032A">
        <w:rPr>
          <w:rFonts w:cs="Times New Roman"/>
          <w:szCs w:val="24"/>
        </w:rPr>
        <w:t xml:space="preserve"> of interest is found in the unscaled replica, which has an ensemble equivalent to that of unbiased MD.  Each trajectory was aligned by backbone atoms making up the Fv’s</w:t>
      </w:r>
      <w:r w:rsidRPr="0030032A">
        <w:rPr>
          <w:rStyle w:val="CommentReference"/>
          <w:rFonts w:cs="Times New Roman"/>
          <w:sz w:val="24"/>
          <w:szCs w:val="24"/>
        </w:rPr>
        <w:t xml:space="preserve"> heavy and light chain (</w:t>
      </w:r>
      <w:r w:rsidRPr="0030032A">
        <w:rPr>
          <w:rFonts w:cs="Times New Roman"/>
          <w:szCs w:val="24"/>
        </w:rPr>
        <w:t>V</w:t>
      </w:r>
      <w:r w:rsidRPr="0030032A">
        <w:rPr>
          <w:rFonts w:cs="Times New Roman"/>
          <w:szCs w:val="24"/>
          <w:vertAlign w:val="subscript"/>
        </w:rPr>
        <w:t>H</w:t>
      </w:r>
      <w:r w:rsidRPr="0030032A">
        <w:rPr>
          <w:rFonts w:cs="Times New Roman"/>
          <w:szCs w:val="24"/>
        </w:rPr>
        <w:t>/V</w:t>
      </w:r>
      <w:r w:rsidRPr="0030032A">
        <w:rPr>
          <w:rFonts w:cs="Times New Roman"/>
          <w:szCs w:val="24"/>
          <w:vertAlign w:val="subscript"/>
        </w:rPr>
        <w:t>L</w:t>
      </w:r>
      <w:r w:rsidRPr="0030032A">
        <w:rPr>
          <w:rFonts w:cs="Times New Roman"/>
          <w:szCs w:val="24"/>
        </w:rPr>
        <w:t>) interface, and subject to the analysis methods described in this section.</w:t>
      </w:r>
    </w:p>
    <w:p w14:paraId="352E6151" w14:textId="6D2FFDCB" w:rsidR="0030032A" w:rsidRPr="0030032A" w:rsidRDefault="0030032A" w:rsidP="0030032A">
      <w:pPr>
        <w:pStyle w:val="Heading3"/>
      </w:pPr>
      <w:r w:rsidRPr="0030032A">
        <w:t>Antibody-Antigen Interactions</w:t>
      </w:r>
    </w:p>
    <w:p w14:paraId="262CE66A" w14:textId="2C4E5AC0" w:rsidR="0030032A" w:rsidRPr="0030032A" w:rsidRDefault="0030032A" w:rsidP="0030032A">
      <w:pPr>
        <w:rPr>
          <w:rFonts w:cs="Times New Roman"/>
          <w:szCs w:val="24"/>
        </w:rPr>
      </w:pPr>
      <w:r w:rsidRPr="0030032A">
        <w:rPr>
          <w:rFonts w:cs="Times New Roman"/>
          <w:szCs w:val="24"/>
        </w:rPr>
        <w:t xml:space="preserve">Python package MDAnalysis 0.19.2 was used to identify different types of antibody-antigen </w:t>
      </w:r>
      <w:r w:rsidR="005A1B84">
        <w:rPr>
          <w:rFonts w:cs="Times New Roman"/>
          <w:szCs w:val="24"/>
        </w:rPr>
        <w:t xml:space="preserve">and intramolecular antibody </w:t>
      </w:r>
      <w:r w:rsidRPr="0030032A">
        <w:rPr>
          <w:rFonts w:cs="Times New Roman"/>
          <w:szCs w:val="24"/>
        </w:rPr>
        <w:t>interactions, applied to both REST2 trajectories and crystal structures prepared for simulation</w:t>
      </w:r>
      <w:r w:rsidR="00B67E19">
        <w:rPr>
          <w:rFonts w:cs="Times New Roman"/>
          <w:szCs w:val="24"/>
        </w:rPr>
        <w:t xml:space="preserve"> </w:t>
      </w:r>
      <w:r w:rsidRPr="0030032A">
        <w:rPr>
          <w:rFonts w:cs="Times New Roman"/>
          <w:szCs w:val="24"/>
        </w:rPr>
        <w:fldChar w:fldCharType="begin"/>
      </w:r>
      <w:r w:rsidR="00E9077D">
        <w:rPr>
          <w:rFonts w:cs="Times New Roman"/>
          <w:szCs w:val="24"/>
        </w:rPr>
        <w:instrText xml:space="preserve"> ADDIN ZOTERO_ITEM CSL_CITATION {"citationID":"klGnivQG","properties":{"formattedCitation":"(45,46)","plainCitation":"(45,46)","noteIndex":0},"citationItems":[{"id":104,"uris":["http://zotero.org/users/local/mmRtC3gY/items/3G9Y3JMK"],"uri":["http://zotero.org/users/local/mmRtC3gY/items/3G9Y3JMK"],"itemData":{"id":104,"type":"article-journal","container-title":"Journal of computational chemistry","DOI":"10.1002/jcc.21787","issue":"10","page":"2319–2327","title":"MDAnalysis: A Toolkit for the Analysis of Molecular Dynamics Simulations","volume":"32","author":[{"family":"Michaud-Agrawal","given":"Naveen"},{"family":"Denning","given":"Elizabeth J."},{"family":"Woolf","given":"Thomas B."},{"family":"Beckstein","given":"Oliver"}],"issued":{"date-parts":[["2011"]]}}},{"id":105,"uris":["http://zotero.org/users/local/mmRtC3gY/items/RNTPDX6C"],"uri":["http://zotero.org/users/local/mmRtC3gY/items/RNTPDX6C"],"itemData":{"id":105,"type":"article-journal","container-title":"Proceedings of the 15th Python in Science Conference","issue":"Scipy","page":"98–105","title":"MDAnalysis: A Python Package for the Rapid Analysis of Molecular Dynamics Simulations","author":[{"family":"Gowers","given":"Richard J"},{"family":"Linke","given":"Max"},{"family":"Barnoud","given":"Jonathan"},{"family":"Reddy","given":"Tyler J E"},{"family":"Melo","given":"Manuel N"},{"family":"Seyler","given":"Sean L"},{"family":"Domański","given":"Jan"},{"family":"Dotson","given":"David L"},{"family":"Buchoux","given":"Sébastien"},{"family":"Kenney","given":"Ian M"},{"family":"Beckstein","given":"Oliver"}],"issued":{"date-parts":[["2016"]]}}}],"schema":"https://github.com/citation-style-language/schema/raw/master/csl-citation.json"} </w:instrText>
      </w:r>
      <w:r w:rsidRPr="0030032A">
        <w:rPr>
          <w:rFonts w:cs="Times New Roman"/>
          <w:szCs w:val="24"/>
        </w:rPr>
        <w:fldChar w:fldCharType="separate"/>
      </w:r>
      <w:r w:rsidR="00E9077D" w:rsidRPr="00E9077D">
        <w:rPr>
          <w:rFonts w:cs="Times New Roman"/>
        </w:rPr>
        <w:t>(45,46)</w:t>
      </w:r>
      <w:r w:rsidRPr="0030032A">
        <w:rPr>
          <w:rFonts w:cs="Times New Roman"/>
          <w:szCs w:val="24"/>
        </w:rPr>
        <w:fldChar w:fldCharType="end"/>
      </w:r>
      <w:r w:rsidRPr="0030032A">
        <w:rPr>
          <w:rFonts w:cs="Times New Roman"/>
          <w:szCs w:val="24"/>
        </w:rPr>
        <w:t xml:space="preserve">.  The interface was defined as residues of any two atoms that are not hydrogens, one from the Fv and one from the antigen, within 4.5 Å of each other.  The crystal structure’s interface residue selection was applied to its simulated counterpart’s entire trajectory when making comparisons between them.  For comparisons of interface interactions with affinity, all </w:t>
      </w:r>
      <w:r w:rsidRPr="0030032A">
        <w:rPr>
          <w:rFonts w:cs="Times New Roman"/>
          <w:szCs w:val="24"/>
        </w:rPr>
        <w:lastRenderedPageBreak/>
        <w:t xml:space="preserve">possible interactions between antibody and antigen at the interface were captured as the system fluctuated.  For interactions with </w:t>
      </w:r>
      <w:r w:rsidR="00B67E19">
        <w:rPr>
          <w:rFonts w:cs="Times New Roman"/>
          <w:szCs w:val="24"/>
        </w:rPr>
        <w:t>bulk</w:t>
      </w:r>
      <w:r w:rsidRPr="0030032A">
        <w:rPr>
          <w:rFonts w:cs="Times New Roman"/>
          <w:szCs w:val="24"/>
        </w:rPr>
        <w:t xml:space="preserve"> solvent, where a residue selection was required for the simulation interface, antibody atoms were selected from the NPT equilibrated structure, justified by checks that the interface does not change on a residue basis throughout the REST2 simulation. The interface criteria for these antibody atoms included their hydrogens, as their dynamics are modelled in simulations and we wished to </w:t>
      </w:r>
      <w:r w:rsidR="00C252A4" w:rsidRPr="0030032A">
        <w:rPr>
          <w:rFonts w:cs="Times New Roman"/>
          <w:szCs w:val="24"/>
        </w:rPr>
        <w:t>maximize</w:t>
      </w:r>
      <w:r w:rsidRPr="0030032A">
        <w:rPr>
          <w:rFonts w:cs="Times New Roman"/>
          <w:szCs w:val="24"/>
        </w:rPr>
        <w:t xml:space="preserve"> the advantages of </w:t>
      </w:r>
      <w:r w:rsidRPr="0030032A">
        <w:rPr>
          <w:rFonts w:cs="Times New Roman"/>
          <w:i/>
          <w:iCs/>
          <w:szCs w:val="24"/>
        </w:rPr>
        <w:t>in silico</w:t>
      </w:r>
      <w:r w:rsidRPr="0030032A">
        <w:rPr>
          <w:rFonts w:cs="Times New Roman"/>
          <w:szCs w:val="24"/>
        </w:rPr>
        <w:t xml:space="preserve"> methods.</w:t>
      </w:r>
    </w:p>
    <w:p w14:paraId="23903046" w14:textId="19F8D2B2" w:rsidR="0030032A" w:rsidRPr="0030032A" w:rsidRDefault="0030032A" w:rsidP="0030032A">
      <w:pPr>
        <w:rPr>
          <w:rFonts w:cs="Times New Roman"/>
          <w:szCs w:val="24"/>
        </w:rPr>
      </w:pPr>
      <w:r w:rsidRPr="0030032A">
        <w:rPr>
          <w:rFonts w:cs="Times New Roman"/>
          <w:szCs w:val="24"/>
        </w:rPr>
        <w:t xml:space="preserve">Hydrogen bonds were identified using the </w:t>
      </w:r>
      <w:r w:rsidRPr="0030032A">
        <w:rPr>
          <w:rFonts w:cs="Times New Roman"/>
          <w:szCs w:val="24"/>
          <w:shd w:val="clear" w:color="auto" w:fill="FFFFFF"/>
        </w:rPr>
        <w:t>HydrogenBondAnalysis</w:t>
      </w:r>
      <w:r w:rsidRPr="0030032A">
        <w:rPr>
          <w:rFonts w:cs="Times New Roman"/>
          <w:szCs w:val="24"/>
        </w:rPr>
        <w:t xml:space="preserve"> class, and the subset formed with interface bridging waters was identified using the</w:t>
      </w:r>
      <w:r w:rsidRPr="0030032A">
        <w:rPr>
          <w:rFonts w:cs="Times New Roman"/>
          <w:szCs w:val="24"/>
          <w:shd w:val="clear" w:color="auto" w:fill="FFFFFF"/>
        </w:rPr>
        <w:t xml:space="preserve"> </w:t>
      </w:r>
      <w:r w:rsidRPr="0030032A">
        <w:rPr>
          <w:rStyle w:val="nc"/>
          <w:rFonts w:cs="Times New Roman"/>
          <w:szCs w:val="24"/>
        </w:rPr>
        <w:t xml:space="preserve">WaterBridgeAnalysis </w:t>
      </w:r>
      <w:r w:rsidRPr="0030032A">
        <w:rPr>
          <w:rFonts w:cs="Times New Roman"/>
          <w:szCs w:val="24"/>
          <w:shd w:val="clear" w:color="auto" w:fill="FFFFFF"/>
        </w:rPr>
        <w:t>class.</w:t>
      </w:r>
      <w:r w:rsidRPr="0030032A">
        <w:rPr>
          <w:rFonts w:cs="Times New Roman"/>
          <w:szCs w:val="24"/>
        </w:rPr>
        <w:t xml:space="preserve">  Distance and angle criteria for the different interactions </w:t>
      </w:r>
      <w:r w:rsidR="00C252A4" w:rsidRPr="0030032A">
        <w:rPr>
          <w:rFonts w:cs="Times New Roman"/>
          <w:szCs w:val="24"/>
        </w:rPr>
        <w:t>analyzed</w:t>
      </w:r>
      <w:r w:rsidRPr="0030032A">
        <w:rPr>
          <w:rFonts w:cs="Times New Roman"/>
          <w:szCs w:val="24"/>
        </w:rPr>
        <w:t xml:space="preserve"> are given in </w:t>
      </w:r>
      <w:r w:rsidRPr="0030032A">
        <w:rPr>
          <w:rFonts w:cs="Times New Roman"/>
          <w:szCs w:val="24"/>
        </w:rPr>
        <w:fldChar w:fldCharType="begin"/>
      </w:r>
      <w:r w:rsidRPr="0030032A">
        <w:rPr>
          <w:rFonts w:cs="Times New Roman"/>
          <w:szCs w:val="24"/>
        </w:rPr>
        <w:instrText xml:space="preserve"> REF _Ref45143854 \h  \* MERGEFORMAT </w:instrText>
      </w:r>
      <w:r w:rsidRPr="0030032A">
        <w:rPr>
          <w:rFonts w:cs="Times New Roman"/>
          <w:szCs w:val="24"/>
        </w:rPr>
      </w:r>
      <w:r w:rsidRPr="0030032A">
        <w:rPr>
          <w:rFonts w:cs="Times New Roman"/>
          <w:szCs w:val="24"/>
        </w:rPr>
        <w:fldChar w:fldCharType="separate"/>
      </w:r>
      <w:r w:rsidR="00884ADE" w:rsidRPr="00884ADE">
        <w:rPr>
          <w:rFonts w:cs="Times New Roman"/>
          <w:szCs w:val="24"/>
        </w:rPr>
        <w:t>Table</w:t>
      </w:r>
      <w:r w:rsidR="00884ADE" w:rsidRPr="00884ADE">
        <w:rPr>
          <w:rFonts w:cs="Times New Roman"/>
          <w:noProof/>
          <w:szCs w:val="24"/>
        </w:rPr>
        <w:t xml:space="preserve"> 2</w:t>
      </w:r>
      <w:r w:rsidRPr="0030032A">
        <w:rPr>
          <w:rFonts w:cs="Times New Roman"/>
          <w:szCs w:val="24"/>
        </w:rPr>
        <w:fldChar w:fldCharType="end"/>
      </w:r>
      <w:r w:rsidRPr="0030032A">
        <w:rPr>
          <w:rFonts w:cs="Times New Roman"/>
          <w:szCs w:val="24"/>
        </w:rPr>
        <w:t>.  Salt bridges were identified using definitions recommended in the MDAnalysis documentation.  Interactions with Na</w:t>
      </w:r>
      <w:r w:rsidRPr="0030032A">
        <w:rPr>
          <w:rFonts w:cs="Times New Roman"/>
          <w:szCs w:val="24"/>
          <w:vertAlign w:val="superscript"/>
        </w:rPr>
        <w:t>+</w:t>
      </w:r>
      <w:r w:rsidRPr="0030032A">
        <w:rPr>
          <w:rFonts w:cs="Times New Roman"/>
          <w:szCs w:val="24"/>
        </w:rPr>
        <w:t xml:space="preserve"> or Cl</w:t>
      </w:r>
      <w:r w:rsidRPr="0030032A">
        <w:rPr>
          <w:rFonts w:cs="Times New Roman"/>
          <w:szCs w:val="24"/>
          <w:vertAlign w:val="superscript"/>
        </w:rPr>
        <w:t>-</w:t>
      </w:r>
      <w:r w:rsidRPr="0030032A">
        <w:rPr>
          <w:rFonts w:cs="Times New Roman"/>
          <w:szCs w:val="24"/>
        </w:rPr>
        <w:t xml:space="preserve"> ions were defined by applying salt bridge thresholds for any interactions they form with the Fv.  Hydrophobic interactions’ distance and angle thresholds, as well as qualifying atom types, were adapted from Arpeggio’s source code and RIP-MD, but these were counted by residue as opposed to individual contacts</w:t>
      </w:r>
      <w:r w:rsidR="00B67E19">
        <w:rPr>
          <w:rFonts w:cs="Times New Roman"/>
          <w:szCs w:val="24"/>
        </w:rPr>
        <w:t xml:space="preserve"> </w:t>
      </w:r>
      <w:r w:rsidRPr="0030032A">
        <w:rPr>
          <w:rFonts w:cs="Times New Roman"/>
          <w:szCs w:val="24"/>
        </w:rPr>
        <w:fldChar w:fldCharType="begin"/>
      </w:r>
      <w:r w:rsidR="00E9077D">
        <w:rPr>
          <w:rFonts w:cs="Times New Roman"/>
          <w:szCs w:val="24"/>
        </w:rPr>
        <w:instrText xml:space="preserve"> ADDIN ZOTERO_ITEM CSL_CITATION {"citationID":"w8lrG5Lg","properties":{"formattedCitation":"(47,48)","plainCitation":"(47,48)","noteIndex":0},"citationItems":[{"id":348,"uris":["http://zotero.org/users/local/mmRtC3gY/items/HENU7XBD"],"uri":["http://zotero.org/users/local/mmRtC3gY/items/HENU7XBD"],"itemData":{"id":348,"type":"article-journal","abstract":"Interactions between proteins and their ligands, such as small molecules, other proteins, and DNA, depend on specific interatomic interactions that can be classified on the basis of atom type and distance and angle constraints. Visualisation of these interactions provides insights into the nature of molecular recognition events and has practical uses in guiding drug design and understanding the structural and functional impacts of mutations. We present Arpeggio, a web server for calculating interactions within and between proteins and protein, DNA, or small-molecule ligands, including van der Waals', ionic, carbonyl, metal, hydrophobic, and halogen bond contacts, and hydrogen bonds and specific atom–aromatic ring (cation–π, donor–π, halogen–π, and carbon–π) and aromatic ring–aromatic ring (π–π) interactions, within user-submitted macromolecule structures. PyMOL session files can be downloaded, allowing high-quality publication images of the interactions to be generated. Arpeggio is implemented in Python and available as a user-friendly web interface at http://structure.bioc.cam.ac.uk/arpeggio/ and as a downloadable package at https://bitbucket.org/harryjubb/arpeggio.","collection-title":"Computation Resources for Molecular Biology","container-title":"Journal of Molecular Biology","DOI":"10.1016/j.jmb.2016.12.004","ISSN":"0022-2836","issue":"3","journalAbbreviation":"Journal of Molecular Biology","language":"en","page":"365-371","source":"ScienceDirect","title":"Arpeggio: A Web Server for Calculating and Visualising Interatomic Interactions in Protein Structures","title-short":"Arpeggio","volume":"429","author":[{"family":"Jubb","given":"Harry C"},{"family":"Higueruelo","given":"Alicia P"},{"family":"Ochoa-Montaño","given":"Bernardo"},{"family":"Pitt","given":"Will R"},{"family":"Ascher","given":"David B"},{"family":"Blundell","given":"Tom L"}],"issued":{"date-parts":[["2017",2,3]]}}},{"id":351,"uris":["http://zotero.org/users/local/mmRtC3gY/items/9C6HG9PH"],"uri":["http://zotero.org/users/local/mmRtC3gY/items/9C6HG9PH"],"itemData":{"id":351,"type":"article-journal","abstract":"Protein structure is not static; residues undergo conformational rearrangements and, in doing so, create, stabilize or break non-covalent interactions. Molecular dynamics (MD) is a technique used to simulate these movements with atomic resolution. However, given the data-intensive nature of the technique, gathering relevant information from MD simulations is a complex and time consuming process requiring several computational tools to perform these analyses. Among different approaches, the study of residue interaction networks (RINs) has proven to facilitate the study of protein structures. In a RIN, nodes represent amino-acid residues and the connections between them depict non-covalent interactions. Here, we describe residue interaction networks in protein molecular dynamics (RIP-MD), a visual molecular dynamics (VMD) plugin to facilitate the study of RINs using trajectories obtained from MD simulations of proteins. Our software generates RINs from MD trajectory files. The non-covalent interactions defined by RIP-MD include H-bonds, salt bridges, VdWs, cation-π, π–π, Arginine–Arginine, and Coulomb interactions. In addition, RIP-MD also computes interactions based on distances between Cαs and disulfide bridges. The results of the analysis are shown in an user friendly interface. Moreover, the user can take advantage of the VMD visualization capacities, whereby through some effortless steps, it is possible to select and visualize interactions described for a single, several or all residues in a MD trajectory. Network and descriptive table files are also generated, allowing their further study in other specialized platforms. Our method was written in python in a parallelized fashion. This characteristic allows the analysis of large systems impossible to handle otherwise. RIP-MD is available at http://www.dlab.cl/ripmd.","container-title":"PeerJ","DOI":"10.7717/peerj.5998","ISSN":"2167-8359","journalAbbreviation":"PeerJ","language":"en","note":"publisher: PeerJ Inc.","page":"e5998","source":"peerj.com","title":"RIP-MD: a tool to study residue interaction networks in protein molecular dynamics","title-short":"RIP-MD","volume":"6","author":[{"family":"Contreras-Riquelme","given":"Sebastián"},{"family":"Garate","given":"Jose-Antonio"},{"family":"Perez-Acle","given":"Tomas"},{"family":"Martin","given":"Alberto J. M."}],"issued":{"date-parts":[["2018",12,7]]}}}],"schema":"https://github.com/citation-style-language/schema/raw/master/csl-citation.json"} </w:instrText>
      </w:r>
      <w:r w:rsidRPr="0030032A">
        <w:rPr>
          <w:rFonts w:cs="Times New Roman"/>
          <w:szCs w:val="24"/>
        </w:rPr>
        <w:fldChar w:fldCharType="separate"/>
      </w:r>
      <w:r w:rsidR="00E9077D" w:rsidRPr="00E9077D">
        <w:rPr>
          <w:rFonts w:cs="Times New Roman"/>
        </w:rPr>
        <w:t>(47,48)</w:t>
      </w:r>
      <w:r w:rsidRPr="0030032A">
        <w:rPr>
          <w:rFonts w:cs="Times New Roman"/>
          <w:szCs w:val="24"/>
        </w:rPr>
        <w:fldChar w:fldCharType="end"/>
      </w:r>
      <w:r w:rsidRPr="0030032A">
        <w:rPr>
          <w:rFonts w:cs="Times New Roman"/>
          <w:szCs w:val="24"/>
        </w:rPr>
        <w:t>.</w:t>
      </w:r>
      <w:r w:rsidR="005A1B84">
        <w:rPr>
          <w:rFonts w:cs="Times New Roman"/>
          <w:szCs w:val="24"/>
        </w:rPr>
        <w:t xml:space="preserve">  Intramolecular interaction counts include those with residue i+1, i+2, and i+3.</w:t>
      </w:r>
    </w:p>
    <w:p w14:paraId="6C573063" w14:textId="77777777" w:rsidR="0030032A" w:rsidRPr="0030032A" w:rsidRDefault="0030032A" w:rsidP="0030032A">
      <w:pPr>
        <w:pStyle w:val="Heading3"/>
      </w:pPr>
      <w:bookmarkStart w:id="2" w:name="_Ref40191108"/>
      <w:r w:rsidRPr="0030032A">
        <w:t>CDR Sampling</w:t>
      </w:r>
      <w:bookmarkEnd w:id="2"/>
    </w:p>
    <w:p w14:paraId="6D98B702" w14:textId="4714AB59" w:rsidR="0030032A" w:rsidRPr="0030032A" w:rsidRDefault="0030032A" w:rsidP="0030032A">
      <w:pPr>
        <w:rPr>
          <w:rFonts w:cs="Times New Roman"/>
          <w:szCs w:val="24"/>
        </w:rPr>
      </w:pPr>
      <w:r w:rsidRPr="0030032A">
        <w:rPr>
          <w:rFonts w:cs="Times New Roman"/>
          <w:szCs w:val="24"/>
        </w:rPr>
        <w:t>CDR conformational populations were examined by their extent of dihedral and Cartesian space sampling.  Each CDR was measured individually to avoid the noise of other loops obscuring distinct conformations.  Dihedral sampling was measured using Dynamics Analysis by Salt and Hudson (DASH), which histograms a time series of each CDR backbone dihedral angle</w:t>
      </w:r>
      <w:r w:rsidR="00B67E19">
        <w:rPr>
          <w:rFonts w:cs="Times New Roman"/>
          <w:szCs w:val="24"/>
        </w:rPr>
        <w:t xml:space="preserve"> </w:t>
      </w:r>
      <w:r w:rsidRPr="0030032A">
        <w:rPr>
          <w:rFonts w:cs="Times New Roman"/>
          <w:szCs w:val="24"/>
        </w:rPr>
        <w:fldChar w:fldCharType="begin"/>
      </w:r>
      <w:r w:rsidR="00E9077D">
        <w:rPr>
          <w:rFonts w:cs="Times New Roman"/>
          <w:szCs w:val="24"/>
        </w:rPr>
        <w:instrText xml:space="preserve"> ADDIN ZOTERO_ITEM CSL_CITATION {"citationID":"2mvcQxWA","properties":{"formattedCitation":"(49)","plainCitation":"(49)","noteIndex":0},"citationItems":[{"id":96,"uris":["http://zotero.org/users/local/mmRtC3gY/items/C9H535X6"],"uri":["http://zotero.org/users/local/mmRtC3gY/items/C9H535X6"],"itemData":{"id":96,"type":"article-journal","container-title":"Journal of medicinal chemistry","DOI":"10.1021/jm049216s","issue":"9","page":"3214–20","title":"DASH: a novel analysis method for molecular dynamics simulation data. Analysis of ligands of PPAR-gamma.","volume":"48","author":[{"family":"Salt","given":"David W"},{"family":"Hudson","given":"Brian D"},{"family":"Banting","given":"Lee"},{"family":"Ellis","given":"Matthew J"},{"family":"Ford","given":"Martyn G"}],"issued":{"date-parts":[["2005"]]}}}],"schema":"https://github.com/citation-style-language/schema/raw/master/csl-citation.json"} </w:instrText>
      </w:r>
      <w:r w:rsidRPr="0030032A">
        <w:rPr>
          <w:rFonts w:cs="Times New Roman"/>
          <w:szCs w:val="24"/>
        </w:rPr>
        <w:fldChar w:fldCharType="separate"/>
      </w:r>
      <w:r w:rsidR="00E9077D" w:rsidRPr="00E9077D">
        <w:rPr>
          <w:rFonts w:cs="Times New Roman"/>
        </w:rPr>
        <w:t>(49)</w:t>
      </w:r>
      <w:r w:rsidRPr="0030032A">
        <w:rPr>
          <w:rFonts w:cs="Times New Roman"/>
          <w:szCs w:val="24"/>
        </w:rPr>
        <w:fldChar w:fldCharType="end"/>
      </w:r>
      <w:r w:rsidRPr="0030032A">
        <w:rPr>
          <w:rFonts w:cs="Times New Roman"/>
          <w:szCs w:val="24"/>
        </w:rPr>
        <w:t>.  Peaks in the histograms with bins representing at least 1.5% of trajectory frames were combined with the rest of the CDR’s histograms to obtain states.  The resulting states that appeared for less than 1% of the trajectory were considered rare and discarded.  States that passed these thresholds were compared with each other using DASHSIM, which calculates the circular similarity of two states</w:t>
      </w:r>
      <w:r w:rsidR="00B67E19">
        <w:rPr>
          <w:rFonts w:cs="Times New Roman"/>
          <w:szCs w:val="24"/>
        </w:rPr>
        <w:t xml:space="preserve"> </w:t>
      </w:r>
      <w:r w:rsidRPr="0030032A">
        <w:rPr>
          <w:rFonts w:cs="Times New Roman"/>
          <w:szCs w:val="24"/>
        </w:rPr>
        <w:fldChar w:fldCharType="begin"/>
      </w:r>
      <w:r w:rsidR="00E9077D">
        <w:rPr>
          <w:rFonts w:cs="Times New Roman"/>
          <w:szCs w:val="24"/>
        </w:rPr>
        <w:instrText xml:space="preserve"> ADDIN ZOTERO_ITEM CSL_CITATION {"citationID":"a16u9copqf","properties":{"formattedCitation":"(50)","plainCitation":"(50)","noteIndex":0},"citationItems":[{"id":97,"uris":["http://zotero.org/users/local/mmRtC3gY/items/7KJ6RDUR"],"uri":["http://zotero.org/users/local/mmRtC3gY/items/7KJ6RDUR"],"itemData":{"id":97,"type":"article-journal","container-title":"Journal of Chemical Information and Modeling","DOI":"10.1021/acs.jcim.6b00706","issue":"2","page":"298-310","title":"Conformation and Dynamics of Human Urotensin II and Urotensin Related Peptide in Aqueous Solution","volume":"57","author":[{"family":"Haensele","given":"Elke"},{"family":"Mele","given":"Nawel"},{"family":"Miljak","given":"Marija"},{"family":"Read","given":"Christopher M."},{"family":"Whitley","given":"David C."},{"family":"Banting","given":"Lee"},{"family":"Delépée","given":"Carla"},{"family":"Sopkova-de Oliveira Santos","given":"Jana"},{"family":"Lepailleur","given":"Alban"},{"family":"Bureau","given":"Ronan"},{"family":"Essex","given":"Jonathan W."},{"family":"Clark","given":"Timothy"}],"issued":{"date-parts":[["2017"]]}}}],"schema":"https://github.com/citation-style-language/schema/raw/master/csl-citation.json"} </w:instrText>
      </w:r>
      <w:r w:rsidRPr="0030032A">
        <w:rPr>
          <w:rFonts w:cs="Times New Roman"/>
          <w:szCs w:val="24"/>
        </w:rPr>
        <w:fldChar w:fldCharType="separate"/>
      </w:r>
      <w:r w:rsidR="00E9077D" w:rsidRPr="00E9077D">
        <w:rPr>
          <w:rFonts w:cs="Times New Roman"/>
        </w:rPr>
        <w:t>(50)</w:t>
      </w:r>
      <w:r w:rsidRPr="0030032A">
        <w:rPr>
          <w:rFonts w:cs="Times New Roman"/>
          <w:szCs w:val="24"/>
        </w:rPr>
        <w:fldChar w:fldCharType="end"/>
      </w:r>
      <w:r w:rsidRPr="0030032A">
        <w:rPr>
          <w:rFonts w:cs="Times New Roman"/>
          <w:szCs w:val="24"/>
        </w:rPr>
        <w:t xml:space="preserve">.  In brief, differences between the two states’ mean torsion angles are </w:t>
      </w:r>
      <w:r w:rsidR="00C252A4" w:rsidRPr="0030032A">
        <w:rPr>
          <w:rFonts w:cs="Times New Roman"/>
          <w:szCs w:val="24"/>
        </w:rPr>
        <w:t>normalized</w:t>
      </w:r>
      <w:r w:rsidRPr="0030032A">
        <w:rPr>
          <w:rFonts w:cs="Times New Roman"/>
          <w:szCs w:val="24"/>
        </w:rPr>
        <w:t xml:space="preserve"> to between 0 and 180</w:t>
      </w:r>
      <w:r w:rsidRPr="0030032A">
        <w:rPr>
          <w:rFonts w:cs="Times New Roman"/>
          <w:szCs w:val="24"/>
          <w:vertAlign w:val="superscript"/>
        </w:rPr>
        <w:t>o</w:t>
      </w:r>
      <w:r w:rsidRPr="0030032A">
        <w:rPr>
          <w:rFonts w:cs="Times New Roman"/>
          <w:szCs w:val="24"/>
        </w:rPr>
        <w:t xml:space="preserve">, which are </w:t>
      </w:r>
      <w:r w:rsidR="00C252A4" w:rsidRPr="0030032A">
        <w:rPr>
          <w:rFonts w:cs="Times New Roman"/>
          <w:szCs w:val="24"/>
        </w:rPr>
        <w:t>normalized</w:t>
      </w:r>
      <w:r w:rsidRPr="0030032A">
        <w:rPr>
          <w:rFonts w:cs="Times New Roman"/>
          <w:szCs w:val="24"/>
        </w:rPr>
        <w:t xml:space="preserve"> again to give a score between 0 (180</w:t>
      </w:r>
      <w:r w:rsidRPr="0030032A">
        <w:rPr>
          <w:rFonts w:cs="Times New Roman"/>
          <w:szCs w:val="24"/>
          <w:vertAlign w:val="superscript"/>
        </w:rPr>
        <w:t>o</w:t>
      </w:r>
      <w:r w:rsidRPr="0030032A">
        <w:rPr>
          <w:rFonts w:cs="Times New Roman"/>
          <w:szCs w:val="24"/>
        </w:rPr>
        <w:t xml:space="preserve"> difference) and 1 (0</w:t>
      </w:r>
      <w:r w:rsidRPr="0030032A">
        <w:rPr>
          <w:rFonts w:cs="Times New Roman"/>
          <w:szCs w:val="24"/>
          <w:vertAlign w:val="superscript"/>
        </w:rPr>
        <w:t>o</w:t>
      </w:r>
      <w:r w:rsidRPr="0030032A">
        <w:rPr>
          <w:rFonts w:cs="Times New Roman"/>
          <w:szCs w:val="24"/>
        </w:rPr>
        <w:t xml:space="preserve"> difference and thus identical).  Different states with a circular similarity of 80% or above were considered as the same conformation.</w:t>
      </w:r>
    </w:p>
    <w:p w14:paraId="16B1AFCE" w14:textId="187015CD" w:rsidR="0030032A" w:rsidRPr="0030032A" w:rsidRDefault="0030032A" w:rsidP="0030032A">
      <w:pPr>
        <w:autoSpaceDE w:val="0"/>
        <w:autoSpaceDN w:val="0"/>
        <w:adjustRightInd w:val="0"/>
        <w:rPr>
          <w:rFonts w:cs="Times New Roman"/>
          <w:szCs w:val="24"/>
        </w:rPr>
      </w:pPr>
      <w:r w:rsidRPr="0030032A">
        <w:rPr>
          <w:rFonts w:cs="Times New Roman"/>
          <w:szCs w:val="24"/>
        </w:rPr>
        <w:t>Cartesian space sampling was measured using principal component analysis (PCA)</w:t>
      </w:r>
      <w:r w:rsidR="00B67E19">
        <w:rPr>
          <w:rFonts w:cs="Times New Roman"/>
          <w:szCs w:val="24"/>
        </w:rPr>
        <w:t xml:space="preserve"> </w:t>
      </w:r>
      <w:r w:rsidRPr="0030032A">
        <w:rPr>
          <w:rFonts w:cs="Times New Roman"/>
          <w:szCs w:val="24"/>
        </w:rPr>
        <w:fldChar w:fldCharType="begin"/>
      </w:r>
      <w:r w:rsidR="00E9077D">
        <w:rPr>
          <w:rFonts w:cs="Times New Roman"/>
          <w:szCs w:val="24"/>
        </w:rPr>
        <w:instrText xml:space="preserve"> ADDIN ZOTERO_ITEM CSL_CITATION {"citationID":"Kss3Q3oK","properties":{"formattedCitation":"(51)","plainCitation":"(51)","noteIndex":0},"citationItems":[{"id":100,"uris":["http://zotero.org/users/local/mmRtC3gY/items/5H8H96DX"],"uri":["http://zotero.org/users/local/mmRtC3gY/items/5H8H96DX"],"itemData":{"id":100,"type":"book","note":"container-title: Protein Dynamics. Methods in Molecular Biology (Methods and Protocols)\nDOI: 10.1007/978-1-62703-658-0","number-of-pages":"193–226","publisher":"Humana Press, Totowa, NJ","title":"Principal Component Analysis: A Method for Determining the Essential Dynamics of Proteins","volume":"1084","author":[{"family":"David","given":"Charles C"},{"family":"Jacobs","given":"Donald J"}],"issued":{"date-parts":[["2014"]]}}}],"schema":"https://github.com/citation-style-language/schema/raw/master/csl-citation.json"} </w:instrText>
      </w:r>
      <w:r w:rsidRPr="0030032A">
        <w:rPr>
          <w:rFonts w:cs="Times New Roman"/>
          <w:szCs w:val="24"/>
        </w:rPr>
        <w:fldChar w:fldCharType="separate"/>
      </w:r>
      <w:r w:rsidR="00E9077D" w:rsidRPr="00E9077D">
        <w:rPr>
          <w:rFonts w:cs="Times New Roman"/>
        </w:rPr>
        <w:t>(51)</w:t>
      </w:r>
      <w:r w:rsidRPr="0030032A">
        <w:rPr>
          <w:rFonts w:cs="Times New Roman"/>
          <w:szCs w:val="24"/>
        </w:rPr>
        <w:fldChar w:fldCharType="end"/>
      </w:r>
      <w:r w:rsidRPr="0030032A">
        <w:rPr>
          <w:rFonts w:cs="Times New Roman"/>
          <w:szCs w:val="24"/>
        </w:rPr>
        <w:t>.  Using GROMACS 2018.2, apo and holo trajectories were superimposed using the backbone of residues making up the V</w:t>
      </w:r>
      <w:r w:rsidRPr="0030032A">
        <w:rPr>
          <w:rFonts w:cs="Times New Roman"/>
          <w:szCs w:val="24"/>
          <w:vertAlign w:val="subscript"/>
        </w:rPr>
        <w:t>H</w:t>
      </w:r>
      <w:r w:rsidRPr="0030032A">
        <w:rPr>
          <w:rFonts w:cs="Times New Roman"/>
          <w:szCs w:val="24"/>
        </w:rPr>
        <w:t>/V</w:t>
      </w:r>
      <w:r w:rsidRPr="0030032A">
        <w:rPr>
          <w:rFonts w:cs="Times New Roman"/>
          <w:szCs w:val="24"/>
          <w:vertAlign w:val="subscript"/>
        </w:rPr>
        <w:t>L</w:t>
      </w:r>
      <w:r w:rsidRPr="0030032A">
        <w:rPr>
          <w:rFonts w:cs="Times New Roman"/>
          <w:szCs w:val="24"/>
        </w:rPr>
        <w:t xml:space="preserve"> interface.  A covariance matrix between the mass-weighted CDR backbone atoms was calculated and </w:t>
      </w:r>
      <w:r w:rsidR="00C252A4" w:rsidRPr="0030032A">
        <w:rPr>
          <w:rFonts w:cs="Times New Roman"/>
          <w:szCs w:val="24"/>
        </w:rPr>
        <w:t>diagonalized</w:t>
      </w:r>
      <w:r w:rsidRPr="0030032A">
        <w:rPr>
          <w:rFonts w:cs="Times New Roman"/>
          <w:szCs w:val="24"/>
        </w:rPr>
        <w:t xml:space="preserve"> to generate eigenvectors and their associated eigenvalues.  Frames projected along the first three principal components (PCs) were used to identify conformations and quantify the overlap between apo and holo trajectories.  Conformations were identified by average linkage hierarchical clustering using the Python package scikit-learn 0.22.1, with a Euclidean linkage distance threshold of 11</w:t>
      </w:r>
      <w:r w:rsidR="00B67E19">
        <w:rPr>
          <w:rFonts w:cs="Times New Roman"/>
          <w:szCs w:val="24"/>
        </w:rPr>
        <w:t xml:space="preserve"> </w:t>
      </w:r>
      <w:r w:rsidRPr="0030032A">
        <w:rPr>
          <w:rFonts w:cs="Times New Roman"/>
          <w:szCs w:val="24"/>
        </w:rPr>
        <w:fldChar w:fldCharType="begin"/>
      </w:r>
      <w:r w:rsidR="00E9077D">
        <w:rPr>
          <w:rFonts w:cs="Times New Roman"/>
          <w:szCs w:val="24"/>
        </w:rPr>
        <w:instrText xml:space="preserve"> ADDIN ZOTERO_ITEM CSL_CITATION {"citationID":"mvo5XWw3","properties":{"formattedCitation":"(52)","plainCitation":"(52)","noteIndex":0},"citationItems":[{"id":117,"uris":["http://zotero.org/users/local/mmRtC3gY/items/23PX9VKM"],"uri":["http://zotero.org/users/local/mmRtC3gY/items/23PX9VKM"],"itemData":{"id":117,"type":"article-journal","abstract":"Scikit-learn is a Python module integrating a wide range of state-of-the-art machine learning algorithms for medium-scale supervised and unsupervised problems. This package focuses on bringing machine learning to non-specialists using a general-purpose high-level language.  Emphasis is put on ease of use, performance, documentation, and API consistency.  It has minimal dependencies and is distributed under the simplified BSD license, encouraging its use in both academic and commercial settings.  Source code, binaries, and documentation can be downloaded from http://scikit-learn.sourceforge.net.","container-title":"Journal of Machine Learning Research","issue":"85","page":"2825-2830","source":"Journal of Machine Learning Research","title":"Scikit-learn: Machine Learning in Python","title-short":"Scikit-learn","volume":"12","author":[{"family":"Pedregosa","given":"Fabian"},{"family":"Varoquaux","given":"Gaël"},{"family":"Gramfort","given":"Alexandre"},{"family":"Michel","given":"Vincent"},{"family":"Thirion","given":"Bertrand"},{"family":"Grisel","given":"Olivier"},{"family":"Blondel","given":"Mathieu"},{"family":"Prettenhofer","given":"Peter"},{"family":"Weiss","given":"Ron"},{"family":"Dubourg","given":"Vincent"},{"family":"Vanderplas","given":"Jake"},{"family":"Passos","given":"Alexandre"},{"family":"Cournapeau","given":"David"},{"family":"Brucher","given":"Matthieu"},{"family":"Perrot","given":"Matthieu"},{"family":"Duchesnay","given":"Édouard"}],"issued":{"date-parts":[["2011"]]}}}],"schema":"https://github.com/citation-style-language/schema/raw/master/csl-citation.json"} </w:instrText>
      </w:r>
      <w:r w:rsidRPr="0030032A">
        <w:rPr>
          <w:rFonts w:cs="Times New Roman"/>
          <w:szCs w:val="24"/>
        </w:rPr>
        <w:fldChar w:fldCharType="separate"/>
      </w:r>
      <w:r w:rsidR="00E9077D" w:rsidRPr="00E9077D">
        <w:rPr>
          <w:rFonts w:cs="Times New Roman"/>
        </w:rPr>
        <w:t>(52)</w:t>
      </w:r>
      <w:r w:rsidRPr="0030032A">
        <w:rPr>
          <w:rFonts w:cs="Times New Roman"/>
          <w:szCs w:val="24"/>
        </w:rPr>
        <w:fldChar w:fldCharType="end"/>
      </w:r>
      <w:r w:rsidRPr="0030032A">
        <w:rPr>
          <w:rFonts w:cs="Times New Roman"/>
          <w:szCs w:val="24"/>
        </w:rPr>
        <w:t xml:space="preserve">.  This was selected by testing a range of potential thresholds, aiming to </w:t>
      </w:r>
      <w:r w:rsidR="00C252A4" w:rsidRPr="0030032A">
        <w:rPr>
          <w:rFonts w:cs="Times New Roman"/>
          <w:szCs w:val="24"/>
        </w:rPr>
        <w:t>minimize</w:t>
      </w:r>
      <w:r w:rsidRPr="0030032A">
        <w:rPr>
          <w:rFonts w:cs="Times New Roman"/>
          <w:szCs w:val="24"/>
        </w:rPr>
        <w:t xml:space="preserve"> differences between clusters identified from the algorithm and those identified by visual inspection.  The overlap between apo and holo frames projected along their first three PCs was quantified by MDAnalysis’ dimensionality reduction ensemble similarity (DRES) module</w:t>
      </w:r>
      <w:r w:rsidR="00B67E19">
        <w:rPr>
          <w:rFonts w:cs="Times New Roman"/>
          <w:szCs w:val="24"/>
        </w:rPr>
        <w:t xml:space="preserve"> </w:t>
      </w:r>
      <w:r w:rsidRPr="0030032A">
        <w:rPr>
          <w:rFonts w:cs="Times New Roman"/>
          <w:szCs w:val="24"/>
        </w:rPr>
        <w:fldChar w:fldCharType="begin"/>
      </w:r>
      <w:r w:rsidR="00E9077D">
        <w:rPr>
          <w:rFonts w:cs="Times New Roman"/>
          <w:szCs w:val="24"/>
        </w:rPr>
        <w:instrText xml:space="preserve"> ADDIN ZOTERO_ITEM CSL_CITATION {"citationID":"ycdSvDVM","properties":{"formattedCitation":"(53,54)","plainCitation":"(53,54)","noteIndex":0},"citationItems":[{"id":108,"uris":["http://zotero.org/users/local/mmRtC3gY/items/C79TA3T6"],"uri":["http://zotero.org/users/local/mmRtC3gY/items/C79TA3T6"],"itemData":{"id":108,"type":"article-journal","abstract":"Analyses of similarities and changes in protein conformation can provide important information regarding protein function and evolution. Many scores, including the commonly used root mean square deviation, have therefore been developed to quantify the similarities of different protein conformations. However, instead of examining individual conformations it is in many cases more relevant to analyse ensembles of conformations that have been obtained either through experiments or from methods such as molecular dynamics simulations. We here present three approaches that can be used to compare conformational ensembles in the same way as the root mean square deviation is used to compare individual pairs of structures. The methods are based on the estimation of the probability distributions underlying the ensembles and subsequent comparison of these distributions. We first validate the methods using a synthetic example from molecular dynamics simulations. We then apply the algorithms to revisit the problem of ensemble averaging during structure determination of proteins, and find that an ensemble refinement method is able to recover the correct distribution of conformations better than standard single-molecule refinement.","container-title":"PLOS ONE","DOI":"10.1371/journal.pone.0004203","issue":"1","journalAbbreviation":"PLOS ONE","note":"publisher: Public Library of Science","page":"e4203","title":"Similarity Measures for Protein Ensembles","volume":"4","author":[{"family":"Lindorff-Larsen","given":"Kresten"},{"family":"Ferkinghoff-Borg","given":"Jesper"}],"issued":{"date-parts":[["2009",1,15]]}}},{"id":109,"uris":["http://zotero.org/users/local/mmRtC3gY/items/2KUI7LC3"],"uri":["http://zotero.org/users/local/mmRtC3gY/items/2KUI7LC3"],"itemData":{"id":109,"type":"article-journal","abstract":"There is increasing evidence that protein dynamics and conformational changes can play an important role in modulating biological function. As a result, experimental and computational methods are being developed, often synergistically, to study the dynamical heterogeneity of a protein or other macromolecules in solution. Thus, methods such as molecular dynamics simulations or ensemble refinement approaches have provided conformational ensembles that can be used to understand protein function and biophysics. These developments have in turn created a need for algorithms and software that can be used to compare structural ensembles in the same way as the root-mean-square-deviation is often used to compare static structures. Although a few such approaches have been proposed, these can be difficult to implement efficiently, hindering a broader applications and further developments. Here, we present an easily accessible software toolkit, called ENCORE, which can be used to compare conformational ensembles generated either from simulations alone or synergistically with experiments. ENCORE implements three previously described methods for ensemble comparison, that each can be used to quantify the similarity between conformational ensembles by estimating the overlap between the probability distributions that underlie them. We demonstrate the kinds of insights that can be obtained by providing examples of three typical use-cases: comparing ensembles generated with different molecular force fields, assessing convergence in molecular simulations, and calculating differences and similarities in structural ensembles refined with various sources of experimental data. We also demonstrate efficient computational scaling for typical analyses, and robustness against both the size and sampling of the ensembles. ENCORE is freely available and extendable, integrates with the established MDAnalysis software package, reads ensemble data in many common formats, and can work with large trajectory files.","container-title":"PLOS Computational Biology","DOI":"10.1371/journal.pcbi.1004415","ISSN":"1553-7358","issue":"10","journalAbbreviation":"PLOS Computational Biology","language":"en","note":"publisher: Public Library of Science","page":"e1004415","source":"PLoS Journals","title":"ENCORE: Software for Quantitative Ensemble Comparison","title-short":"ENCORE","volume":"11","author":[{"family":"Tiberti","given":"Matteo"},{"family":"Papaleo","given":"Elena"},{"family":"Bengtsen","given":"Tone"},{"family":"Boomsma","given":"Wouter"},{"family":"Lindorff-Larsen","given":"Kresten"}],"issued":{"date-parts":[["2015",10,27]]}}}],"schema":"https://github.com/citation-style-language/schema/raw/master/csl-citation.json"} </w:instrText>
      </w:r>
      <w:r w:rsidRPr="0030032A">
        <w:rPr>
          <w:rFonts w:cs="Times New Roman"/>
          <w:szCs w:val="24"/>
        </w:rPr>
        <w:fldChar w:fldCharType="separate"/>
      </w:r>
      <w:r w:rsidR="00E9077D" w:rsidRPr="00E9077D">
        <w:rPr>
          <w:rFonts w:cs="Times New Roman"/>
        </w:rPr>
        <w:t>(53,54)</w:t>
      </w:r>
      <w:r w:rsidRPr="0030032A">
        <w:rPr>
          <w:rFonts w:cs="Times New Roman"/>
          <w:szCs w:val="24"/>
        </w:rPr>
        <w:fldChar w:fldCharType="end"/>
      </w:r>
      <w:r w:rsidRPr="0030032A">
        <w:rPr>
          <w:rFonts w:cs="Times New Roman"/>
          <w:szCs w:val="24"/>
        </w:rPr>
        <w:t>.  Briefly, each trajectory’s projected frames were considered as a representative sample of the CDR’s conformational probability distribution, and the apo and holo trajectories’ probability densities were compared using the Jensen-Shannon divergence.</w:t>
      </w:r>
    </w:p>
    <w:p w14:paraId="0A14726C" w14:textId="756B17F8" w:rsidR="000C7E2A" w:rsidRDefault="00884ADE" w:rsidP="00884ADE">
      <w:pPr>
        <w:pStyle w:val="Heading1"/>
      </w:pPr>
      <w:r>
        <w:t>Results</w:t>
      </w:r>
    </w:p>
    <w:p w14:paraId="221EA687" w14:textId="3ED28481" w:rsidR="000736F9" w:rsidRPr="000736F9" w:rsidRDefault="000736F9" w:rsidP="000736F9">
      <w:pPr>
        <w:rPr>
          <w:rFonts w:cs="Times New Roman"/>
          <w:szCs w:val="24"/>
        </w:rPr>
      </w:pPr>
      <w:r w:rsidRPr="000736F9">
        <w:rPr>
          <w:rFonts w:cs="Times New Roman"/>
          <w:szCs w:val="24"/>
        </w:rPr>
        <w:t xml:space="preserve">In this work, nine antibodies’ Fv-antigen (holo) and Fv only (apo) structures underwent 100 ns of REST2 simulation, and the unscaled replica was </w:t>
      </w:r>
      <w:r w:rsidR="00C252A4" w:rsidRPr="000736F9">
        <w:rPr>
          <w:rFonts w:cs="Times New Roman"/>
          <w:szCs w:val="24"/>
        </w:rPr>
        <w:t>analyzed</w:t>
      </w:r>
      <w:r w:rsidRPr="000736F9">
        <w:rPr>
          <w:rFonts w:cs="Times New Roman"/>
          <w:szCs w:val="24"/>
        </w:rPr>
        <w:t xml:space="preserve"> to further our understanding of antibody-</w:t>
      </w:r>
      <w:r w:rsidRPr="000736F9">
        <w:rPr>
          <w:rFonts w:cs="Times New Roman"/>
          <w:szCs w:val="24"/>
        </w:rPr>
        <w:lastRenderedPageBreak/>
        <w:t xml:space="preserve">antigen interactions.  REST2 is an enhanced sampling method that allows more CDR dynamics to be explored than in the same amount of unbiased molecular dynamics.  We first outline characteristics of the antibody-antigen interface seen in these trajectories, then describe the </w:t>
      </w:r>
      <w:r w:rsidR="00C252A4" w:rsidRPr="000736F9">
        <w:rPr>
          <w:rFonts w:cs="Times New Roman"/>
          <w:szCs w:val="24"/>
        </w:rPr>
        <w:t>behavior</w:t>
      </w:r>
      <w:r w:rsidRPr="000736F9">
        <w:rPr>
          <w:rFonts w:cs="Times New Roman"/>
          <w:szCs w:val="24"/>
        </w:rPr>
        <w:t xml:space="preserve"> of the CDRs, and lastly present correlations from our observations.</w:t>
      </w:r>
    </w:p>
    <w:p w14:paraId="515D40BE" w14:textId="120EF1A3" w:rsidR="000736F9" w:rsidRDefault="000736F9" w:rsidP="000736F9">
      <w:pPr>
        <w:pStyle w:val="Heading2"/>
      </w:pPr>
      <w:r w:rsidRPr="000736F9">
        <w:t>Antibody-Antigen Interface</w:t>
      </w:r>
    </w:p>
    <w:p w14:paraId="0CE74956" w14:textId="226895C8" w:rsidR="000736F9" w:rsidRPr="000736F9" w:rsidRDefault="000736F9" w:rsidP="000736F9">
      <w:pPr>
        <w:rPr>
          <w:rFonts w:cs="Times New Roman"/>
          <w:b/>
          <w:bCs/>
          <w:szCs w:val="24"/>
        </w:rPr>
      </w:pPr>
      <w:r w:rsidRPr="000736F9">
        <w:rPr>
          <w:rFonts w:cs="Times New Roman"/>
          <w:szCs w:val="24"/>
        </w:rPr>
        <w:t xml:space="preserve">Interactions at the antibody-antigen interface were identified using the MDAnalysis Python package, as described in </w:t>
      </w:r>
      <w:r w:rsidR="003B62E2">
        <w:rPr>
          <w:rFonts w:cs="Times New Roman"/>
          <w:szCs w:val="24"/>
        </w:rPr>
        <w:t>Materials and</w:t>
      </w:r>
      <w:r w:rsidRPr="000736F9">
        <w:rPr>
          <w:rFonts w:cs="Times New Roman"/>
          <w:szCs w:val="24"/>
        </w:rPr>
        <w:t xml:space="preserve"> </w:t>
      </w:r>
      <w:r w:rsidRPr="000736F9">
        <w:rPr>
          <w:rFonts w:cs="Times New Roman"/>
          <w:szCs w:val="24"/>
        </w:rPr>
        <w:fldChar w:fldCharType="begin"/>
      </w:r>
      <w:r w:rsidRPr="000736F9">
        <w:rPr>
          <w:rFonts w:cs="Times New Roman"/>
          <w:szCs w:val="24"/>
        </w:rPr>
        <w:instrText xml:space="preserve"> REF _Ref54362705 \h  \* MERGEFORMAT </w:instrText>
      </w:r>
      <w:r w:rsidRPr="000736F9">
        <w:rPr>
          <w:rFonts w:cs="Times New Roman"/>
          <w:szCs w:val="24"/>
        </w:rPr>
      </w:r>
      <w:r w:rsidRPr="000736F9">
        <w:rPr>
          <w:rFonts w:cs="Times New Roman"/>
          <w:szCs w:val="24"/>
        </w:rPr>
        <w:fldChar w:fldCharType="separate"/>
      </w:r>
      <w:r w:rsidRPr="000736F9">
        <w:rPr>
          <w:rFonts w:cs="Times New Roman"/>
          <w:szCs w:val="24"/>
        </w:rPr>
        <w:t>Methods</w:t>
      </w:r>
      <w:r w:rsidRPr="000736F9">
        <w:rPr>
          <w:rFonts w:cs="Times New Roman"/>
          <w:szCs w:val="24"/>
        </w:rPr>
        <w:fldChar w:fldCharType="end"/>
      </w:r>
      <w:r w:rsidR="003B62E2">
        <w:rPr>
          <w:rFonts w:cs="Times New Roman"/>
          <w:szCs w:val="24"/>
        </w:rPr>
        <w:t xml:space="preserve"> </w:t>
      </w:r>
      <w:r w:rsidRPr="000736F9">
        <w:rPr>
          <w:rFonts w:cs="Times New Roman"/>
          <w:szCs w:val="24"/>
        </w:rPr>
        <w:fldChar w:fldCharType="begin"/>
      </w:r>
      <w:r w:rsidR="00E9077D">
        <w:rPr>
          <w:rFonts w:cs="Times New Roman"/>
          <w:szCs w:val="24"/>
        </w:rPr>
        <w:instrText xml:space="preserve"> ADDIN ZOTERO_ITEM CSL_CITATION {"citationID":"swvtBKZK","properties":{"formattedCitation":"(45,46)","plainCitation":"(45,46)","noteIndex":0},"citationItems":[{"id":104,"uris":["http://zotero.org/users/local/mmRtC3gY/items/3G9Y3JMK"],"uri":["http://zotero.org/users/local/mmRtC3gY/items/3G9Y3JMK"],"itemData":{"id":104,"type":"article-journal","container-title":"Journal of computational chemistry","DOI":"10.1002/jcc.21787","issue":"10","page":"2319–2327","title":"MDAnalysis: A Toolkit for the Analysis of Molecular Dynamics Simulations","volume":"32","author":[{"family":"Michaud-Agrawal","given":"Naveen"},{"family":"Denning","given":"Elizabeth J."},{"family":"Woolf","given":"Thomas B."},{"family":"Beckstein","given":"Oliver"}],"issued":{"date-parts":[["2011"]]}}},{"id":105,"uris":["http://zotero.org/users/local/mmRtC3gY/items/RNTPDX6C"],"uri":["http://zotero.org/users/local/mmRtC3gY/items/RNTPDX6C"],"itemData":{"id":105,"type":"article-journal","container-title":"Proceedings of the 15th Python in Science Conference","issue":"Scipy","page":"98–105","title":"MDAnalysis: A Python Package for the Rapid Analysis of Molecular Dynamics Simulations","author":[{"family":"Gowers","given":"Richard J"},{"family":"Linke","given":"Max"},{"family":"Barnoud","given":"Jonathan"},{"family":"Reddy","given":"Tyler J E"},{"family":"Melo","given":"Manuel N"},{"family":"Seyler","given":"Sean L"},{"family":"Domański","given":"Jan"},{"family":"Dotson","given":"David L"},{"family":"Buchoux","given":"Sébastien"},{"family":"Kenney","given":"Ian M"},{"family":"Beckstein","given":"Oliver"}],"issued":{"date-parts":[["2016"]]}}}],"schema":"https://github.com/citation-style-language/schema/raw/master/csl-citation.json"} </w:instrText>
      </w:r>
      <w:r w:rsidRPr="000736F9">
        <w:rPr>
          <w:rFonts w:cs="Times New Roman"/>
          <w:szCs w:val="24"/>
        </w:rPr>
        <w:fldChar w:fldCharType="separate"/>
      </w:r>
      <w:r w:rsidR="00E9077D" w:rsidRPr="00E9077D">
        <w:rPr>
          <w:rFonts w:cs="Times New Roman"/>
        </w:rPr>
        <w:t>(45,46)</w:t>
      </w:r>
      <w:r w:rsidRPr="000736F9">
        <w:rPr>
          <w:rFonts w:cs="Times New Roman"/>
          <w:szCs w:val="24"/>
        </w:rPr>
        <w:fldChar w:fldCharType="end"/>
      </w:r>
      <w:r w:rsidRPr="000736F9">
        <w:rPr>
          <w:rFonts w:cs="Times New Roman"/>
          <w:szCs w:val="24"/>
        </w:rPr>
        <w:t xml:space="preserve">.  Each antibody was </w:t>
      </w:r>
      <w:r w:rsidR="00C252A4" w:rsidRPr="000736F9">
        <w:rPr>
          <w:rFonts w:cs="Times New Roman"/>
          <w:szCs w:val="24"/>
        </w:rPr>
        <w:t>analyzed</w:t>
      </w:r>
      <w:r w:rsidRPr="000736F9">
        <w:rPr>
          <w:rFonts w:cs="Times New Roman"/>
          <w:szCs w:val="24"/>
        </w:rPr>
        <w:t xml:space="preserve"> in four scenarios: apo crystal structure, holo crystal structure, apo simulation, and holo simulation.  The holo crystal structure’s interface residue selection was used across all four scenarios to ensure fair comparisons for interaction counts.  Results for the dataset, classified by interaction type, are </w:t>
      </w:r>
      <w:r w:rsidR="00C252A4" w:rsidRPr="000736F9">
        <w:rPr>
          <w:rFonts w:cs="Times New Roman"/>
          <w:szCs w:val="24"/>
        </w:rPr>
        <w:t>summarized</w:t>
      </w:r>
      <w:r w:rsidRPr="000736F9">
        <w:rPr>
          <w:rFonts w:cs="Times New Roman"/>
          <w:szCs w:val="24"/>
        </w:rPr>
        <w:t xml:space="preserve"> in </w:t>
      </w:r>
      <w:r w:rsidRPr="000736F9">
        <w:rPr>
          <w:rFonts w:cs="Times New Roman"/>
          <w:szCs w:val="24"/>
        </w:rPr>
        <w:fldChar w:fldCharType="begin"/>
      </w:r>
      <w:r w:rsidRPr="000736F9">
        <w:rPr>
          <w:rFonts w:cs="Times New Roman"/>
          <w:szCs w:val="24"/>
        </w:rPr>
        <w:instrText xml:space="preserve"> REF _Ref40100422 \h  \* MERGEFORMAT </w:instrText>
      </w:r>
      <w:r w:rsidRPr="000736F9">
        <w:rPr>
          <w:rFonts w:cs="Times New Roman"/>
          <w:szCs w:val="24"/>
        </w:rPr>
      </w:r>
      <w:r w:rsidRPr="000736F9">
        <w:rPr>
          <w:rFonts w:cs="Times New Roman"/>
          <w:szCs w:val="24"/>
        </w:rPr>
        <w:fldChar w:fldCharType="separate"/>
      </w:r>
      <w:r w:rsidRPr="000736F9">
        <w:rPr>
          <w:rFonts w:cs="Times New Roman"/>
          <w:szCs w:val="24"/>
        </w:rPr>
        <w:t xml:space="preserve">Fig. </w:t>
      </w:r>
      <w:r w:rsidRPr="000736F9">
        <w:rPr>
          <w:rFonts w:cs="Times New Roman"/>
          <w:noProof/>
          <w:szCs w:val="24"/>
        </w:rPr>
        <w:t>1</w:t>
      </w:r>
      <w:r w:rsidRPr="000736F9">
        <w:rPr>
          <w:rFonts w:cs="Times New Roman"/>
          <w:szCs w:val="24"/>
        </w:rPr>
        <w:fldChar w:fldCharType="end"/>
      </w:r>
      <w:r w:rsidRPr="000736F9">
        <w:rPr>
          <w:rFonts w:cs="Times New Roman"/>
          <w:szCs w:val="24"/>
        </w:rPr>
        <w:t xml:space="preserve">.  The counts for direct polar interactions, namely antibody-antigen hydrogen bonds and salt bridges, are similar in simulation and crystal structure.  The largest difference between simulated and crystal structure intermolecular interactions lies in the involvement of water.  As exemplified in </w:t>
      </w:r>
      <w:r w:rsidRPr="000736F9">
        <w:rPr>
          <w:rFonts w:cs="Times New Roman"/>
          <w:szCs w:val="24"/>
        </w:rPr>
        <w:fldChar w:fldCharType="begin"/>
      </w:r>
      <w:r w:rsidRPr="000736F9">
        <w:rPr>
          <w:rFonts w:cs="Times New Roman"/>
          <w:szCs w:val="24"/>
        </w:rPr>
        <w:instrText xml:space="preserve"> REF _Ref40100422 \h  \* MERGEFORMAT </w:instrText>
      </w:r>
      <w:r w:rsidRPr="000736F9">
        <w:rPr>
          <w:rFonts w:cs="Times New Roman"/>
          <w:szCs w:val="24"/>
        </w:rPr>
      </w:r>
      <w:r w:rsidRPr="000736F9">
        <w:rPr>
          <w:rFonts w:cs="Times New Roman"/>
          <w:szCs w:val="24"/>
        </w:rPr>
        <w:fldChar w:fldCharType="separate"/>
      </w:r>
      <w:r w:rsidRPr="000736F9">
        <w:rPr>
          <w:rFonts w:cs="Times New Roman"/>
          <w:szCs w:val="24"/>
        </w:rPr>
        <w:t xml:space="preserve">Fig. </w:t>
      </w:r>
      <w:r w:rsidRPr="000736F9">
        <w:rPr>
          <w:rFonts w:cs="Times New Roman"/>
          <w:noProof/>
          <w:szCs w:val="24"/>
        </w:rPr>
        <w:t>1</w:t>
      </w:r>
      <w:r w:rsidRPr="000736F9">
        <w:rPr>
          <w:rFonts w:cs="Times New Roman"/>
          <w:szCs w:val="24"/>
        </w:rPr>
        <w:fldChar w:fldCharType="end"/>
      </w:r>
      <w:r w:rsidR="00EE7452">
        <w:rPr>
          <w:rFonts w:cs="Times New Roman"/>
          <w:szCs w:val="24"/>
        </w:rPr>
        <w:t>A</w:t>
      </w:r>
      <w:r w:rsidRPr="000736F9">
        <w:rPr>
          <w:rFonts w:cs="Times New Roman"/>
          <w:szCs w:val="24"/>
        </w:rPr>
        <w:t>, the difference between total polar interactions of apo and holo crystal structures is not seen in simulation, where the discrepancy is filled by interactions with water and a small number of interactions with ions.</w:t>
      </w:r>
    </w:p>
    <w:p w14:paraId="1FF515E0" w14:textId="0C0F3C6F" w:rsidR="000736F9" w:rsidRPr="000736F9" w:rsidRDefault="000736F9" w:rsidP="000736F9">
      <w:pPr>
        <w:rPr>
          <w:rFonts w:cs="Times New Roman"/>
          <w:szCs w:val="24"/>
        </w:rPr>
      </w:pPr>
      <w:r w:rsidRPr="000736F9">
        <w:rPr>
          <w:rFonts w:cs="Times New Roman"/>
          <w:szCs w:val="24"/>
        </w:rPr>
        <w:t xml:space="preserve">When comparing apo and holo simulations (left plot, </w:t>
      </w:r>
      <w:r w:rsidRPr="000736F9">
        <w:rPr>
          <w:rFonts w:cs="Times New Roman"/>
          <w:szCs w:val="24"/>
        </w:rPr>
        <w:fldChar w:fldCharType="begin"/>
      </w:r>
      <w:r w:rsidRPr="000736F9">
        <w:rPr>
          <w:rFonts w:cs="Times New Roman"/>
          <w:szCs w:val="24"/>
        </w:rPr>
        <w:instrText xml:space="preserve"> REF _Ref40100422 \h  \* MERGEFORMAT </w:instrText>
      </w:r>
      <w:r w:rsidRPr="000736F9">
        <w:rPr>
          <w:rFonts w:cs="Times New Roman"/>
          <w:szCs w:val="24"/>
        </w:rPr>
      </w:r>
      <w:r w:rsidRPr="000736F9">
        <w:rPr>
          <w:rFonts w:cs="Times New Roman"/>
          <w:szCs w:val="24"/>
        </w:rPr>
        <w:fldChar w:fldCharType="separate"/>
      </w:r>
      <w:r w:rsidRPr="000736F9">
        <w:rPr>
          <w:rFonts w:cs="Times New Roman"/>
          <w:szCs w:val="24"/>
        </w:rPr>
        <w:t xml:space="preserve">Fig. </w:t>
      </w:r>
      <w:r w:rsidRPr="000736F9">
        <w:rPr>
          <w:rFonts w:cs="Times New Roman"/>
          <w:noProof/>
          <w:szCs w:val="24"/>
        </w:rPr>
        <w:t>1</w:t>
      </w:r>
      <w:r w:rsidRPr="000736F9">
        <w:rPr>
          <w:rFonts w:cs="Times New Roman"/>
          <w:szCs w:val="24"/>
        </w:rPr>
        <w:fldChar w:fldCharType="end"/>
      </w:r>
      <w:r w:rsidR="00EE7452">
        <w:rPr>
          <w:rFonts w:cs="Times New Roman"/>
          <w:szCs w:val="24"/>
        </w:rPr>
        <w:t>A</w:t>
      </w:r>
      <w:r w:rsidRPr="000736F9">
        <w:rPr>
          <w:rFonts w:cs="Times New Roman"/>
          <w:szCs w:val="24"/>
        </w:rPr>
        <w:t xml:space="preserve">), a decrease in the apo number of hydrogen bonds with water led to an increase in the holo number of direct hydrogen bonds and salt bridges with the antigen; this is unsurprising given that some solvent interactions must be lost and replaced by the antigen.  Of these holo interactions, the antibodies formed similar numbers of hydrogen bonds to antigens and bridging waters.  Another notable difference in </w:t>
      </w:r>
      <w:r w:rsidRPr="000736F9">
        <w:rPr>
          <w:rFonts w:cs="Times New Roman"/>
          <w:szCs w:val="24"/>
        </w:rPr>
        <w:fldChar w:fldCharType="begin"/>
      </w:r>
      <w:r w:rsidRPr="000736F9">
        <w:rPr>
          <w:rFonts w:cs="Times New Roman"/>
          <w:szCs w:val="24"/>
        </w:rPr>
        <w:instrText xml:space="preserve"> REF _Ref40100422 \h  \* MERGEFORMAT </w:instrText>
      </w:r>
      <w:r w:rsidRPr="000736F9">
        <w:rPr>
          <w:rFonts w:cs="Times New Roman"/>
          <w:szCs w:val="24"/>
        </w:rPr>
      </w:r>
      <w:r w:rsidRPr="000736F9">
        <w:rPr>
          <w:rFonts w:cs="Times New Roman"/>
          <w:szCs w:val="24"/>
        </w:rPr>
        <w:fldChar w:fldCharType="separate"/>
      </w:r>
      <w:r w:rsidRPr="000736F9">
        <w:rPr>
          <w:rFonts w:cs="Times New Roman"/>
          <w:szCs w:val="24"/>
        </w:rPr>
        <w:t xml:space="preserve">Fig. </w:t>
      </w:r>
      <w:r w:rsidRPr="000736F9">
        <w:rPr>
          <w:rFonts w:cs="Times New Roman"/>
          <w:noProof/>
          <w:szCs w:val="24"/>
        </w:rPr>
        <w:t>1</w:t>
      </w:r>
      <w:r w:rsidRPr="000736F9">
        <w:rPr>
          <w:rFonts w:cs="Times New Roman"/>
          <w:szCs w:val="24"/>
        </w:rPr>
        <w:fldChar w:fldCharType="end"/>
      </w:r>
      <w:r w:rsidR="00EE7452">
        <w:rPr>
          <w:rFonts w:cs="Times New Roman"/>
          <w:szCs w:val="24"/>
        </w:rPr>
        <w:t>A</w:t>
      </w:r>
      <w:r w:rsidRPr="000736F9">
        <w:rPr>
          <w:rFonts w:cs="Times New Roman"/>
          <w:szCs w:val="24"/>
        </w:rPr>
        <w:t xml:space="preserve">’s left plot is the holo bar’s extra hydrophobic interactions, of which there is no apo equivalent.  The majority of these are general contacts between hydrophobic atoms.  Intramolecular interactions were also </w:t>
      </w:r>
      <w:r w:rsidR="00C252A4" w:rsidRPr="000736F9">
        <w:rPr>
          <w:rFonts w:cs="Times New Roman"/>
          <w:szCs w:val="24"/>
        </w:rPr>
        <w:t>analyzed</w:t>
      </w:r>
      <w:r w:rsidRPr="000736F9">
        <w:rPr>
          <w:rFonts w:cs="Times New Roman"/>
          <w:szCs w:val="24"/>
        </w:rPr>
        <w:t xml:space="preserve"> using the same method and are presented in </w:t>
      </w:r>
      <w:r w:rsidRPr="000736F9">
        <w:rPr>
          <w:rFonts w:cs="Times New Roman"/>
          <w:szCs w:val="24"/>
        </w:rPr>
        <w:fldChar w:fldCharType="begin"/>
      </w:r>
      <w:r w:rsidRPr="000736F9">
        <w:rPr>
          <w:rFonts w:cs="Times New Roman"/>
          <w:szCs w:val="24"/>
        </w:rPr>
        <w:instrText xml:space="preserve"> REF _Ref40100422 \h  \* MERGEFORMAT </w:instrText>
      </w:r>
      <w:r w:rsidRPr="000736F9">
        <w:rPr>
          <w:rFonts w:cs="Times New Roman"/>
          <w:szCs w:val="24"/>
        </w:rPr>
      </w:r>
      <w:r w:rsidRPr="000736F9">
        <w:rPr>
          <w:rFonts w:cs="Times New Roman"/>
          <w:szCs w:val="24"/>
        </w:rPr>
        <w:fldChar w:fldCharType="separate"/>
      </w:r>
      <w:r w:rsidRPr="000736F9">
        <w:rPr>
          <w:rFonts w:cs="Times New Roman"/>
          <w:szCs w:val="24"/>
        </w:rPr>
        <w:t xml:space="preserve">Fig. </w:t>
      </w:r>
      <w:r w:rsidRPr="000736F9">
        <w:rPr>
          <w:rFonts w:cs="Times New Roman"/>
          <w:noProof/>
          <w:szCs w:val="24"/>
        </w:rPr>
        <w:t>1</w:t>
      </w:r>
      <w:r w:rsidRPr="000736F9">
        <w:rPr>
          <w:rFonts w:cs="Times New Roman"/>
          <w:szCs w:val="24"/>
        </w:rPr>
        <w:fldChar w:fldCharType="end"/>
      </w:r>
      <w:r w:rsidR="00EE7452">
        <w:rPr>
          <w:rFonts w:cs="Times New Roman"/>
          <w:szCs w:val="24"/>
        </w:rPr>
        <w:t>B</w:t>
      </w:r>
      <w:r w:rsidRPr="000736F9">
        <w:rPr>
          <w:rFonts w:cs="Times New Roman"/>
          <w:szCs w:val="24"/>
        </w:rPr>
        <w:t>.  These are very similar between simulation and crystal structure, and the majority of intramolecular interactions involve general hydrophobic contacts.  This suggests that changes occurring at the antibody interface upon antigen binding are mostly intermolecular, particularly in interactions with water.  We thus present further analyses on the holo antibodies’ hydrogen bonding with water.</w:t>
      </w:r>
    </w:p>
    <w:p w14:paraId="6B061660" w14:textId="30299666" w:rsidR="000736F9" w:rsidRPr="000736F9" w:rsidRDefault="000736F9" w:rsidP="000736F9">
      <w:pPr>
        <w:pStyle w:val="CommentText"/>
        <w:rPr>
          <w:rFonts w:cs="Times New Roman"/>
          <w:sz w:val="24"/>
          <w:szCs w:val="24"/>
        </w:rPr>
      </w:pPr>
      <w:r w:rsidRPr="000736F9">
        <w:rPr>
          <w:rFonts w:cs="Times New Roman"/>
          <w:sz w:val="24"/>
          <w:szCs w:val="24"/>
        </w:rPr>
        <w:t xml:space="preserve">Simulation of these antibodies in a solvated environment enables a fairer comparison of hydrogen bonding with water across the dataset, as counts from crystal structures alone would depend on the number of solved crystal waters.  </w:t>
      </w:r>
      <w:r w:rsidRPr="000736F9">
        <w:rPr>
          <w:rFonts w:cs="Times New Roman"/>
          <w:sz w:val="24"/>
          <w:szCs w:val="24"/>
        </w:rPr>
        <w:fldChar w:fldCharType="begin"/>
      </w:r>
      <w:r w:rsidRPr="000736F9">
        <w:rPr>
          <w:rFonts w:cs="Times New Roman"/>
          <w:sz w:val="24"/>
          <w:szCs w:val="24"/>
        </w:rPr>
        <w:instrText xml:space="preserve"> REF _Ref45037605 \h  \* MERGEFORMAT </w:instrText>
      </w:r>
      <w:r w:rsidRPr="000736F9">
        <w:rPr>
          <w:rFonts w:cs="Times New Roman"/>
          <w:sz w:val="24"/>
          <w:szCs w:val="24"/>
        </w:rPr>
      </w:r>
      <w:r w:rsidRPr="000736F9">
        <w:rPr>
          <w:rFonts w:cs="Times New Roman"/>
          <w:sz w:val="24"/>
          <w:szCs w:val="24"/>
        </w:rPr>
        <w:fldChar w:fldCharType="separate"/>
      </w:r>
      <w:r w:rsidRPr="000736F9">
        <w:rPr>
          <w:rFonts w:cs="Times New Roman"/>
          <w:sz w:val="24"/>
          <w:szCs w:val="24"/>
        </w:rPr>
        <w:t xml:space="preserve">Figures </w:t>
      </w:r>
      <w:r w:rsidRPr="000736F9">
        <w:rPr>
          <w:rFonts w:cs="Times New Roman"/>
          <w:noProof/>
          <w:sz w:val="24"/>
          <w:szCs w:val="24"/>
        </w:rPr>
        <w:t>2</w:t>
      </w:r>
      <w:r w:rsidRPr="000736F9">
        <w:rPr>
          <w:rFonts w:cs="Times New Roman"/>
          <w:sz w:val="24"/>
          <w:szCs w:val="24"/>
        </w:rPr>
        <w:fldChar w:fldCharType="end"/>
      </w:r>
      <w:r w:rsidR="00EE7452">
        <w:rPr>
          <w:rFonts w:cs="Times New Roman"/>
          <w:sz w:val="24"/>
          <w:szCs w:val="24"/>
        </w:rPr>
        <w:t>A</w:t>
      </w:r>
      <w:r w:rsidRPr="000736F9">
        <w:rPr>
          <w:rFonts w:cs="Times New Roman"/>
          <w:sz w:val="24"/>
          <w:szCs w:val="24"/>
        </w:rPr>
        <w:t xml:space="preserve"> and 2</w:t>
      </w:r>
      <w:r w:rsidR="00EE7452">
        <w:rPr>
          <w:rFonts w:cs="Times New Roman"/>
          <w:sz w:val="24"/>
          <w:szCs w:val="24"/>
        </w:rPr>
        <w:t>B</w:t>
      </w:r>
      <w:r w:rsidRPr="000736F9">
        <w:rPr>
          <w:rFonts w:cs="Times New Roman"/>
          <w:sz w:val="24"/>
          <w:szCs w:val="24"/>
        </w:rPr>
        <w:t xml:space="preserve"> show the differences between simulation and crystal structure counts.  Some members of the dataset were solved over a decade ago; newer, higher resolution structures that </w:t>
      </w:r>
      <w:r w:rsidR="00C252A4" w:rsidRPr="000736F9">
        <w:rPr>
          <w:rFonts w:cs="Times New Roman"/>
          <w:sz w:val="24"/>
          <w:szCs w:val="24"/>
        </w:rPr>
        <w:t>visualize</w:t>
      </w:r>
      <w:r w:rsidRPr="000736F9">
        <w:rPr>
          <w:rFonts w:cs="Times New Roman"/>
          <w:sz w:val="24"/>
          <w:szCs w:val="24"/>
        </w:rPr>
        <w:t xml:space="preserve"> all waters would make our computational results more in line with experimental observations.  All antibodies formed more hydrogen bonds with </w:t>
      </w:r>
      <w:r w:rsidR="00EC1B9C">
        <w:rPr>
          <w:rFonts w:cs="Times New Roman"/>
          <w:sz w:val="24"/>
          <w:szCs w:val="24"/>
        </w:rPr>
        <w:t xml:space="preserve">bulk </w:t>
      </w:r>
      <w:r w:rsidRPr="000736F9">
        <w:rPr>
          <w:rFonts w:cs="Times New Roman"/>
          <w:sz w:val="24"/>
          <w:szCs w:val="24"/>
        </w:rPr>
        <w:t xml:space="preserve">solvent in simulation, and these are most pronounced in anti-H1N1 and anti-TNFα, whose holo structures have one and zero solved crystal waters respectively.  The relationship between simulation and crystal structure bridging waters is less consistent, as shown by </w:t>
      </w:r>
      <w:r w:rsidRPr="000736F9">
        <w:rPr>
          <w:rFonts w:cs="Times New Roman"/>
          <w:sz w:val="24"/>
          <w:szCs w:val="24"/>
        </w:rPr>
        <w:fldChar w:fldCharType="begin"/>
      </w:r>
      <w:r w:rsidRPr="000736F9">
        <w:rPr>
          <w:rFonts w:cs="Times New Roman"/>
          <w:sz w:val="24"/>
          <w:szCs w:val="24"/>
        </w:rPr>
        <w:instrText xml:space="preserve"> REF _Ref45037605 \h  \* MERGEFORMAT </w:instrText>
      </w:r>
      <w:r w:rsidRPr="000736F9">
        <w:rPr>
          <w:rFonts w:cs="Times New Roman"/>
          <w:sz w:val="24"/>
          <w:szCs w:val="24"/>
        </w:rPr>
      </w:r>
      <w:r w:rsidRPr="000736F9">
        <w:rPr>
          <w:rFonts w:cs="Times New Roman"/>
          <w:sz w:val="24"/>
          <w:szCs w:val="24"/>
        </w:rPr>
        <w:fldChar w:fldCharType="separate"/>
      </w:r>
      <w:r w:rsidRPr="000736F9">
        <w:rPr>
          <w:rFonts w:cs="Times New Roman"/>
          <w:sz w:val="24"/>
          <w:szCs w:val="24"/>
        </w:rPr>
        <w:t xml:space="preserve">Fig. </w:t>
      </w:r>
      <w:r w:rsidRPr="000736F9">
        <w:rPr>
          <w:rFonts w:cs="Times New Roman"/>
          <w:noProof/>
          <w:sz w:val="24"/>
          <w:szCs w:val="24"/>
        </w:rPr>
        <w:t>2</w:t>
      </w:r>
      <w:r w:rsidRPr="000736F9">
        <w:rPr>
          <w:rFonts w:cs="Times New Roman"/>
          <w:sz w:val="24"/>
          <w:szCs w:val="24"/>
        </w:rPr>
        <w:fldChar w:fldCharType="end"/>
      </w:r>
      <w:r w:rsidR="00EE7452">
        <w:rPr>
          <w:rFonts w:cs="Times New Roman"/>
          <w:sz w:val="24"/>
          <w:szCs w:val="24"/>
        </w:rPr>
        <w:t>B</w:t>
      </w:r>
      <w:r w:rsidRPr="000736F9">
        <w:rPr>
          <w:rFonts w:cs="Times New Roman"/>
          <w:sz w:val="24"/>
          <w:szCs w:val="24"/>
        </w:rPr>
        <w:t xml:space="preserve"> where three antibodies’ bridging waters were underrepresented</w:t>
      </w:r>
      <w:r w:rsidR="00245F78">
        <w:rPr>
          <w:rFonts w:cs="Times New Roman"/>
          <w:sz w:val="24"/>
          <w:szCs w:val="24"/>
        </w:rPr>
        <w:t xml:space="preserve"> in simulation </w:t>
      </w:r>
      <w:r w:rsidR="00662F6B">
        <w:rPr>
          <w:rFonts w:cs="Times New Roman"/>
          <w:sz w:val="24"/>
          <w:szCs w:val="24"/>
        </w:rPr>
        <w:t>(</w:t>
      </w:r>
      <w:r w:rsidR="005232AA">
        <w:rPr>
          <w:rFonts w:cs="Times New Roman"/>
          <w:sz w:val="24"/>
          <w:szCs w:val="24"/>
        </w:rPr>
        <w:t>anti-MHC, anti-ObR, anti-IL-1</w:t>
      </w:r>
      <w:r w:rsidR="005232AA" w:rsidRPr="000736F9">
        <w:rPr>
          <w:rFonts w:cs="Times New Roman"/>
          <w:sz w:val="24"/>
          <w:szCs w:val="24"/>
        </w:rPr>
        <w:t>β</w:t>
      </w:r>
      <w:r w:rsidR="005232AA">
        <w:rPr>
          <w:rFonts w:cs="Times New Roman"/>
          <w:sz w:val="24"/>
          <w:szCs w:val="24"/>
        </w:rPr>
        <w:t>b</w:t>
      </w:r>
      <w:r w:rsidR="00662F6B">
        <w:rPr>
          <w:rFonts w:cs="Times New Roman"/>
          <w:sz w:val="24"/>
          <w:szCs w:val="24"/>
        </w:rPr>
        <w:t xml:space="preserve">) </w:t>
      </w:r>
      <w:r w:rsidR="00245F78">
        <w:rPr>
          <w:rFonts w:cs="Times New Roman"/>
          <w:sz w:val="24"/>
          <w:szCs w:val="24"/>
        </w:rPr>
        <w:t>and two were underrepresented in the crystal structure</w:t>
      </w:r>
      <w:r w:rsidR="00662F6B">
        <w:rPr>
          <w:rFonts w:cs="Times New Roman"/>
          <w:sz w:val="24"/>
          <w:szCs w:val="24"/>
        </w:rPr>
        <w:t xml:space="preserve"> </w:t>
      </w:r>
      <w:r w:rsidR="00662F6B" w:rsidRPr="005232AA">
        <w:rPr>
          <w:rFonts w:cs="Times New Roman"/>
          <w:sz w:val="24"/>
          <w:szCs w:val="24"/>
        </w:rPr>
        <w:t>(</w:t>
      </w:r>
      <w:r w:rsidR="005232AA">
        <w:rPr>
          <w:rFonts w:cs="Times New Roman"/>
          <w:sz w:val="24"/>
          <w:szCs w:val="24"/>
        </w:rPr>
        <w:t>anti-H1N1, anti-TNFα</w:t>
      </w:r>
      <w:r w:rsidR="00662F6B">
        <w:rPr>
          <w:rFonts w:cs="Times New Roman"/>
          <w:sz w:val="24"/>
          <w:szCs w:val="24"/>
        </w:rPr>
        <w:t>)</w:t>
      </w:r>
      <w:r w:rsidRPr="000736F9">
        <w:rPr>
          <w:rFonts w:cs="Times New Roman"/>
          <w:sz w:val="24"/>
          <w:szCs w:val="24"/>
        </w:rPr>
        <w:t xml:space="preserve">.  Simulation counts of hydrogen bonds with bridging waters also varied more than solvent waters.  Of the crystal structures with multiple solved waters, anti-IL-1βa had the largest increase in hydrogen bonding with bridging waters, and an example frame is given in </w:t>
      </w:r>
      <w:r w:rsidRPr="000736F9">
        <w:rPr>
          <w:rFonts w:cs="Times New Roman"/>
          <w:sz w:val="24"/>
          <w:szCs w:val="24"/>
        </w:rPr>
        <w:fldChar w:fldCharType="begin"/>
      </w:r>
      <w:r w:rsidRPr="000736F9">
        <w:rPr>
          <w:rFonts w:cs="Times New Roman"/>
          <w:sz w:val="24"/>
          <w:szCs w:val="24"/>
        </w:rPr>
        <w:instrText xml:space="preserve"> REF _Ref45037605 \h  \* MERGEFORMAT </w:instrText>
      </w:r>
      <w:r w:rsidRPr="000736F9">
        <w:rPr>
          <w:rFonts w:cs="Times New Roman"/>
          <w:sz w:val="24"/>
          <w:szCs w:val="24"/>
        </w:rPr>
      </w:r>
      <w:r w:rsidRPr="000736F9">
        <w:rPr>
          <w:rFonts w:cs="Times New Roman"/>
          <w:sz w:val="24"/>
          <w:szCs w:val="24"/>
        </w:rPr>
        <w:fldChar w:fldCharType="separate"/>
      </w:r>
      <w:r w:rsidRPr="000736F9">
        <w:rPr>
          <w:rFonts w:cs="Times New Roman"/>
          <w:sz w:val="24"/>
          <w:szCs w:val="24"/>
        </w:rPr>
        <w:t xml:space="preserve">Fig. </w:t>
      </w:r>
      <w:r w:rsidRPr="000736F9">
        <w:rPr>
          <w:rFonts w:cs="Times New Roman"/>
          <w:noProof/>
          <w:sz w:val="24"/>
          <w:szCs w:val="24"/>
        </w:rPr>
        <w:t>2</w:t>
      </w:r>
      <w:r w:rsidRPr="000736F9">
        <w:rPr>
          <w:rFonts w:cs="Times New Roman"/>
          <w:sz w:val="24"/>
          <w:szCs w:val="24"/>
        </w:rPr>
        <w:fldChar w:fldCharType="end"/>
      </w:r>
      <w:r w:rsidR="00EE7452">
        <w:rPr>
          <w:rFonts w:cs="Times New Roman"/>
          <w:sz w:val="24"/>
          <w:szCs w:val="24"/>
        </w:rPr>
        <w:t>C</w:t>
      </w:r>
      <w:r w:rsidRPr="000736F9">
        <w:rPr>
          <w:rFonts w:cs="Times New Roman"/>
          <w:sz w:val="24"/>
          <w:szCs w:val="24"/>
        </w:rPr>
        <w:t>.  These bridging waters were found across the interface, implying that multiple CDRs involve them in antigen binding.</w:t>
      </w:r>
    </w:p>
    <w:p w14:paraId="0018F564" w14:textId="10C5807F" w:rsidR="000736F9" w:rsidRPr="00E9077D" w:rsidRDefault="000736F9" w:rsidP="00E9077D">
      <w:pPr>
        <w:pStyle w:val="CommentText"/>
        <w:rPr>
          <w:rFonts w:cs="Times New Roman"/>
          <w:sz w:val="24"/>
          <w:szCs w:val="24"/>
        </w:rPr>
      </w:pPr>
      <w:r w:rsidRPr="000736F9">
        <w:rPr>
          <w:rFonts w:cs="Times New Roman"/>
          <w:sz w:val="24"/>
          <w:szCs w:val="24"/>
        </w:rPr>
        <w:lastRenderedPageBreak/>
        <w:t>Given the difficulty in providing crystal structures with sufficient resolution to identify all waters consistently, conclusions on these interfaces were drawn from simulation data.  This is further justified by the similar numbers of direct antibody-antigen interactions between simulation and crystal structure.  The large amount of hydrogen bonding with water suggests that the antibody-antigen interface is highly water-mediated, an aspect that is not easily captured when examining static crystal structures alone.</w:t>
      </w:r>
    </w:p>
    <w:p w14:paraId="3BE96C8F" w14:textId="5B7DA2B5" w:rsidR="000736F9" w:rsidRDefault="000736F9" w:rsidP="000736F9">
      <w:pPr>
        <w:pStyle w:val="Heading2"/>
      </w:pPr>
      <w:r w:rsidRPr="000736F9">
        <w:t>CDR Sampling</w:t>
      </w:r>
    </w:p>
    <w:p w14:paraId="4814EF04" w14:textId="7D7C405D" w:rsidR="000736F9" w:rsidRPr="00E9077D" w:rsidRDefault="000736F9" w:rsidP="000736F9">
      <w:pPr>
        <w:rPr>
          <w:rFonts w:cs="Times New Roman"/>
          <w:color w:val="000000"/>
          <w:szCs w:val="24"/>
        </w:rPr>
      </w:pPr>
      <w:r w:rsidRPr="000736F9">
        <w:rPr>
          <w:rFonts w:cs="Times New Roman"/>
          <w:szCs w:val="24"/>
        </w:rPr>
        <w:t xml:space="preserve">CDR dynamics during REST2 simulations were measured by their extent of Cartesian space and dihedral angle sampling.  Principal component analysis (PCA) of the CDR backbone atoms was used to help </w:t>
      </w:r>
      <w:r w:rsidR="00C252A4" w:rsidRPr="000736F9">
        <w:rPr>
          <w:rFonts w:cs="Times New Roman"/>
          <w:szCs w:val="24"/>
        </w:rPr>
        <w:t>visualize</w:t>
      </w:r>
      <w:r w:rsidRPr="000736F9">
        <w:rPr>
          <w:rFonts w:cs="Times New Roman"/>
          <w:szCs w:val="24"/>
        </w:rPr>
        <w:t xml:space="preserve"> the Cartesian coordinate variance.  The first three principal components (PCs) from a combined trajectory of apo and holo frames were found to give a sufficient representation, accounting for </w:t>
      </w:r>
      <w:r w:rsidRPr="000736F9">
        <w:rPr>
          <w:rFonts w:cs="Times New Roman"/>
          <w:color w:val="000000"/>
          <w:szCs w:val="24"/>
        </w:rPr>
        <w:t xml:space="preserve">60-95% of the variance.  Plots of the frames projected along each CDR’s first three PCs are given in Supplementary Fig. 2, showing that most CDRs did not deviate from the crystal structure throughout the simulation, but apo frames tend to be more spread out than holo ones.  The CDR with the highest RMSD relative to its crystal structure, anti-MHC’s L1, is shown in </w:t>
      </w:r>
      <w:r w:rsidRPr="000736F9">
        <w:rPr>
          <w:rFonts w:cs="Times New Roman"/>
          <w:color w:val="000000"/>
          <w:szCs w:val="24"/>
        </w:rPr>
        <w:fldChar w:fldCharType="begin"/>
      </w:r>
      <w:r w:rsidRPr="000736F9">
        <w:rPr>
          <w:rFonts w:cs="Times New Roman"/>
          <w:color w:val="000000"/>
          <w:szCs w:val="24"/>
        </w:rPr>
        <w:instrText xml:space="preserve"> REF _Ref40198200 \h  \* MERGEFORMAT </w:instrText>
      </w:r>
      <w:r w:rsidRPr="000736F9">
        <w:rPr>
          <w:rFonts w:cs="Times New Roman"/>
          <w:color w:val="000000"/>
          <w:szCs w:val="24"/>
        </w:rPr>
      </w:r>
      <w:r w:rsidRPr="000736F9">
        <w:rPr>
          <w:rFonts w:cs="Times New Roman"/>
          <w:color w:val="000000"/>
          <w:szCs w:val="24"/>
        </w:rPr>
        <w:fldChar w:fldCharType="separate"/>
      </w:r>
      <w:r w:rsidRPr="000736F9">
        <w:rPr>
          <w:rFonts w:cs="Times New Roman"/>
          <w:szCs w:val="24"/>
        </w:rPr>
        <w:t xml:space="preserve">Fig. </w:t>
      </w:r>
      <w:r w:rsidRPr="000736F9">
        <w:rPr>
          <w:rFonts w:cs="Times New Roman"/>
          <w:noProof/>
          <w:szCs w:val="24"/>
        </w:rPr>
        <w:t>3</w:t>
      </w:r>
      <w:r w:rsidRPr="000736F9">
        <w:rPr>
          <w:rFonts w:cs="Times New Roman"/>
          <w:color w:val="000000"/>
          <w:szCs w:val="24"/>
        </w:rPr>
        <w:fldChar w:fldCharType="end"/>
      </w:r>
      <w:r w:rsidR="00EE7452">
        <w:rPr>
          <w:rFonts w:cs="Times New Roman"/>
          <w:color w:val="000000"/>
          <w:szCs w:val="24"/>
        </w:rPr>
        <w:t>A</w:t>
      </w:r>
      <w:r w:rsidRPr="000736F9">
        <w:rPr>
          <w:rFonts w:cs="Times New Roman"/>
          <w:color w:val="000000"/>
          <w:szCs w:val="24"/>
        </w:rPr>
        <w:t xml:space="preserve"> and 3</w:t>
      </w:r>
      <w:r w:rsidR="00EE7452">
        <w:rPr>
          <w:rFonts w:cs="Times New Roman"/>
          <w:color w:val="000000"/>
          <w:szCs w:val="24"/>
        </w:rPr>
        <w:t>B</w:t>
      </w:r>
      <w:r w:rsidRPr="000736F9">
        <w:rPr>
          <w:rFonts w:cs="Times New Roman"/>
          <w:color w:val="000000"/>
          <w:szCs w:val="24"/>
        </w:rPr>
        <w:t>.  Apo L1 clearly sampled more areas of physical space than holo L1, with a cluster of frames having an RMSD with respect to the crystal structure of over 5 Å.</w:t>
      </w:r>
    </w:p>
    <w:p w14:paraId="1330E3A1" w14:textId="04335E62" w:rsidR="000736F9" w:rsidRPr="000736F9" w:rsidRDefault="000736F9" w:rsidP="000736F9">
      <w:pPr>
        <w:rPr>
          <w:rFonts w:cs="Times New Roman"/>
          <w:szCs w:val="24"/>
        </w:rPr>
      </w:pPr>
      <w:r w:rsidRPr="000736F9">
        <w:rPr>
          <w:rFonts w:cs="Times New Roman"/>
          <w:szCs w:val="24"/>
        </w:rPr>
        <w:t>Two methods were then employed to quantify the difference between apo and holo frames projected along their first three PCs, the first being Dimensionality Reduction Ensemble Similarity (DRES)</w:t>
      </w:r>
      <w:r w:rsidR="0006463E">
        <w:rPr>
          <w:rFonts w:cs="Times New Roman"/>
          <w:szCs w:val="24"/>
        </w:rPr>
        <w:t xml:space="preserve"> </w:t>
      </w:r>
      <w:r w:rsidRPr="000736F9">
        <w:rPr>
          <w:rFonts w:cs="Times New Roman"/>
          <w:szCs w:val="24"/>
        </w:rPr>
        <w:fldChar w:fldCharType="begin"/>
      </w:r>
      <w:r w:rsidR="00E9077D">
        <w:rPr>
          <w:rFonts w:cs="Times New Roman"/>
          <w:szCs w:val="24"/>
        </w:rPr>
        <w:instrText xml:space="preserve"> ADDIN ZOTERO_ITEM CSL_CITATION {"citationID":"Zom39kIf","properties":{"formattedCitation":"(53)","plainCitation":"(53)","noteIndex":0},"citationItems":[{"id":108,"uris":["http://zotero.org/users/local/mmRtC3gY/items/C79TA3T6"],"uri":["http://zotero.org/users/local/mmRtC3gY/items/C79TA3T6"],"itemData":{"id":108,"type":"article-journal","abstract":"Analyses of similarities and changes in protein conformation can provide important information regarding protein function and evolution. Many scores, including the commonly used root mean square deviation, have therefore been developed to quantify the similarities of different protein conformations. However, instead of examining individual conformations it is in many cases more relevant to analyse ensembles of conformations that have been obtained either through experiments or from methods such as molecular dynamics simulations. We here present three approaches that can be used to compare conformational ensembles in the same way as the root mean square deviation is used to compare individual pairs of structures. The methods are based on the estimation of the probability distributions underlying the ensembles and subsequent comparison of these distributions. We first validate the methods using a synthetic example from molecular dynamics simulations. We then apply the algorithms to revisit the problem of ensemble averaging during structure determination of proteins, and find that an ensemble refinement method is able to recover the correct distribution of conformations better than standard single-molecule refinement.","container-title":"PLOS ONE","DOI":"10.1371/journal.pone.0004203","issue":"1","journalAbbreviation":"PLOS ONE","note":"publisher: Public Library of Science","page":"e4203","title":"Similarity Measures for Protein Ensembles","volume":"4","author":[{"family":"Lindorff-Larsen","given":"Kresten"},{"family":"Ferkinghoff-Borg","given":"Jesper"}],"issued":{"date-parts":[["2009",1,15]]}}}],"schema":"https://github.com/citation-style-language/schema/raw/master/csl-citation.json"} </w:instrText>
      </w:r>
      <w:r w:rsidRPr="000736F9">
        <w:rPr>
          <w:rFonts w:cs="Times New Roman"/>
          <w:szCs w:val="24"/>
        </w:rPr>
        <w:fldChar w:fldCharType="separate"/>
      </w:r>
      <w:r w:rsidR="00E9077D" w:rsidRPr="00E9077D">
        <w:rPr>
          <w:rFonts w:cs="Times New Roman"/>
        </w:rPr>
        <w:t>(53)</w:t>
      </w:r>
      <w:r w:rsidRPr="000736F9">
        <w:rPr>
          <w:rFonts w:cs="Times New Roman"/>
          <w:szCs w:val="24"/>
        </w:rPr>
        <w:fldChar w:fldCharType="end"/>
      </w:r>
      <w:r w:rsidRPr="000736F9">
        <w:rPr>
          <w:rFonts w:cs="Times New Roman"/>
          <w:szCs w:val="24"/>
        </w:rPr>
        <w:t xml:space="preserve">.  </w:t>
      </w:r>
      <w:bookmarkStart w:id="3" w:name="_Hlk47951140"/>
      <w:r w:rsidRPr="000736F9">
        <w:rPr>
          <w:rFonts w:cs="Times New Roman"/>
          <w:szCs w:val="24"/>
        </w:rPr>
        <w:t>This scores the overlap between apo and holo projections, with 0 signifying identical ensembles and ln(2) signifying no overlap.</w:t>
      </w:r>
      <w:bookmarkEnd w:id="3"/>
      <w:r w:rsidRPr="000736F9">
        <w:rPr>
          <w:rFonts w:cs="Times New Roman"/>
          <w:szCs w:val="24"/>
        </w:rPr>
        <w:t xml:space="preserve">  The mean scores for each CDR across the dataset are plotted in Supplementary Fig. 3</w:t>
      </w:r>
      <w:r w:rsidR="00EE7452">
        <w:rPr>
          <w:rFonts w:cs="Times New Roman"/>
          <w:szCs w:val="24"/>
        </w:rPr>
        <w:t>A</w:t>
      </w:r>
      <w:r w:rsidRPr="000736F9">
        <w:rPr>
          <w:rFonts w:cs="Times New Roman"/>
          <w:szCs w:val="24"/>
        </w:rPr>
        <w:t xml:space="preserve">.  Clear overlaps of the standard deviations reflect the large variation in scores, with no CDR having consistently different apo and holo ensembles.  The second method involved average linkage hierarchical clustering of these 3D plots, returning numbers of clusters for each CDR’s apo and holo trajectories.  Clusters with an average Euclidean linkage distance above 11 were considered separate, and numbers of clusters are given in Supplementary Table 1.  Apo and holo cluster comparisons are </w:t>
      </w:r>
      <w:r w:rsidR="00C252A4" w:rsidRPr="000736F9">
        <w:rPr>
          <w:rFonts w:cs="Times New Roman"/>
          <w:szCs w:val="24"/>
        </w:rPr>
        <w:t>summarized</w:t>
      </w:r>
      <w:r w:rsidRPr="000736F9">
        <w:rPr>
          <w:rFonts w:cs="Times New Roman"/>
          <w:szCs w:val="24"/>
        </w:rPr>
        <w:t xml:space="preserve"> in </w:t>
      </w:r>
      <w:r w:rsidRPr="000736F9">
        <w:rPr>
          <w:rFonts w:cs="Times New Roman"/>
          <w:szCs w:val="24"/>
        </w:rPr>
        <w:fldChar w:fldCharType="begin"/>
      </w:r>
      <w:r w:rsidRPr="000736F9">
        <w:rPr>
          <w:rFonts w:cs="Times New Roman"/>
          <w:szCs w:val="24"/>
        </w:rPr>
        <w:instrText xml:space="preserve"> REF _Ref54963325 \h  \* MERGEFORMAT </w:instrText>
      </w:r>
      <w:r w:rsidRPr="000736F9">
        <w:rPr>
          <w:rFonts w:cs="Times New Roman"/>
          <w:szCs w:val="24"/>
        </w:rPr>
      </w:r>
      <w:r w:rsidRPr="000736F9">
        <w:rPr>
          <w:rFonts w:cs="Times New Roman"/>
          <w:szCs w:val="24"/>
        </w:rPr>
        <w:fldChar w:fldCharType="separate"/>
      </w:r>
      <w:r w:rsidRPr="000736F9">
        <w:rPr>
          <w:rFonts w:cs="Times New Roman"/>
          <w:szCs w:val="24"/>
        </w:rPr>
        <w:t xml:space="preserve">Table </w:t>
      </w:r>
      <w:r w:rsidRPr="000736F9">
        <w:rPr>
          <w:rFonts w:cs="Times New Roman"/>
          <w:noProof/>
          <w:szCs w:val="24"/>
        </w:rPr>
        <w:t>3</w:t>
      </w:r>
      <w:r w:rsidRPr="000736F9">
        <w:rPr>
          <w:rFonts w:cs="Times New Roman"/>
          <w:szCs w:val="24"/>
        </w:rPr>
        <w:fldChar w:fldCharType="end"/>
      </w:r>
      <w:r w:rsidRPr="000736F9">
        <w:rPr>
          <w:rFonts w:cs="Times New Roman"/>
          <w:szCs w:val="24"/>
        </w:rPr>
        <w:t>.</w:t>
      </w:r>
    </w:p>
    <w:p w14:paraId="55995B39" w14:textId="5074C588" w:rsidR="000736F9" w:rsidRPr="000736F9" w:rsidRDefault="000736F9" w:rsidP="000736F9">
      <w:pPr>
        <w:rPr>
          <w:rFonts w:cs="Times New Roman"/>
          <w:b/>
          <w:bCs/>
          <w:szCs w:val="24"/>
        </w:rPr>
      </w:pPr>
      <w:r w:rsidRPr="000736F9">
        <w:rPr>
          <w:rFonts w:cs="Times New Roman"/>
          <w:szCs w:val="24"/>
        </w:rPr>
        <w:t xml:space="preserve">PCA describes a CDR’s conformation in each frame as a single point in PC space.  It thus only shows large, slow changes in physical space, potentially obscuring any small motions of the CDR.  We thus employed Dynamics Analysis by Salt and Hudson (DASH) as a complementary analysis method.  Dihedral distributions of the CDRs were plotted as histograms, and states generated by combining peaks in different plots whilst discarding rare conformations.  Again, the remaining states were counted and compared, with counts and rare conformation percentages in Supplementary Table 2 and Supplementary Table 3.  Apo and holo states were also matched using circular similarity, allowing an estimate of their conformational overlap.  Percentages of matched states are in Supplementary Table 4, and apo/holo comparisons are also </w:t>
      </w:r>
      <w:r w:rsidR="00C252A4" w:rsidRPr="000736F9">
        <w:rPr>
          <w:rFonts w:cs="Times New Roman"/>
          <w:szCs w:val="24"/>
        </w:rPr>
        <w:t>summarized</w:t>
      </w:r>
      <w:r w:rsidRPr="000736F9">
        <w:rPr>
          <w:rFonts w:cs="Times New Roman"/>
          <w:szCs w:val="24"/>
        </w:rPr>
        <w:t xml:space="preserve"> in </w:t>
      </w:r>
      <w:r w:rsidRPr="000736F9">
        <w:rPr>
          <w:rFonts w:cs="Times New Roman"/>
          <w:szCs w:val="24"/>
        </w:rPr>
        <w:fldChar w:fldCharType="begin"/>
      </w:r>
      <w:r w:rsidRPr="000736F9">
        <w:rPr>
          <w:rFonts w:cs="Times New Roman"/>
          <w:szCs w:val="24"/>
        </w:rPr>
        <w:instrText xml:space="preserve"> REF _Ref54963325 \h  \* MERGEFORMAT </w:instrText>
      </w:r>
      <w:r w:rsidRPr="000736F9">
        <w:rPr>
          <w:rFonts w:cs="Times New Roman"/>
          <w:szCs w:val="24"/>
        </w:rPr>
      </w:r>
      <w:r w:rsidRPr="000736F9">
        <w:rPr>
          <w:rFonts w:cs="Times New Roman"/>
          <w:szCs w:val="24"/>
        </w:rPr>
        <w:fldChar w:fldCharType="separate"/>
      </w:r>
      <w:r w:rsidRPr="000736F9">
        <w:rPr>
          <w:rFonts w:cs="Times New Roman"/>
          <w:szCs w:val="24"/>
        </w:rPr>
        <w:t xml:space="preserve">Table </w:t>
      </w:r>
      <w:r w:rsidRPr="000736F9">
        <w:rPr>
          <w:rFonts w:cs="Times New Roman"/>
          <w:noProof/>
          <w:szCs w:val="24"/>
        </w:rPr>
        <w:t>3</w:t>
      </w:r>
      <w:r w:rsidRPr="000736F9">
        <w:rPr>
          <w:rFonts w:cs="Times New Roman"/>
          <w:szCs w:val="24"/>
        </w:rPr>
        <w:fldChar w:fldCharType="end"/>
      </w:r>
      <w:r w:rsidRPr="000736F9">
        <w:rPr>
          <w:rFonts w:cs="Times New Roman"/>
          <w:szCs w:val="24"/>
        </w:rPr>
        <w:t xml:space="preserve">.  </w:t>
      </w:r>
      <w:r w:rsidRPr="000736F9">
        <w:rPr>
          <w:rFonts w:cs="Times New Roman"/>
          <w:color w:val="000000"/>
          <w:szCs w:val="24"/>
        </w:rPr>
        <w:t xml:space="preserve">CDRs were either equally or more flexible in their apo form except for anti-MHC’s H2, which had a higher rare conformation percentage and more conformations when antigen bound, as presented in </w:t>
      </w:r>
      <w:r w:rsidRPr="000736F9">
        <w:rPr>
          <w:rFonts w:cs="Times New Roman"/>
          <w:color w:val="000000"/>
          <w:szCs w:val="24"/>
        </w:rPr>
        <w:fldChar w:fldCharType="begin"/>
      </w:r>
      <w:r w:rsidRPr="000736F9">
        <w:rPr>
          <w:rFonts w:cs="Times New Roman"/>
          <w:color w:val="000000"/>
          <w:szCs w:val="24"/>
        </w:rPr>
        <w:instrText xml:space="preserve"> REF _Ref40198200 \h  \* MERGEFORMAT </w:instrText>
      </w:r>
      <w:r w:rsidRPr="000736F9">
        <w:rPr>
          <w:rFonts w:cs="Times New Roman"/>
          <w:color w:val="000000"/>
          <w:szCs w:val="24"/>
        </w:rPr>
      </w:r>
      <w:r w:rsidRPr="000736F9">
        <w:rPr>
          <w:rFonts w:cs="Times New Roman"/>
          <w:color w:val="000000"/>
          <w:szCs w:val="24"/>
        </w:rPr>
        <w:fldChar w:fldCharType="separate"/>
      </w:r>
      <w:r w:rsidRPr="000736F9">
        <w:rPr>
          <w:rFonts w:cs="Times New Roman"/>
          <w:szCs w:val="24"/>
        </w:rPr>
        <w:t xml:space="preserve">Fig. </w:t>
      </w:r>
      <w:r w:rsidRPr="000736F9">
        <w:rPr>
          <w:rFonts w:cs="Times New Roman"/>
          <w:noProof/>
          <w:szCs w:val="24"/>
        </w:rPr>
        <w:t>3</w:t>
      </w:r>
      <w:r w:rsidRPr="000736F9">
        <w:rPr>
          <w:rFonts w:cs="Times New Roman"/>
          <w:color w:val="000000"/>
          <w:szCs w:val="24"/>
        </w:rPr>
        <w:fldChar w:fldCharType="end"/>
      </w:r>
      <w:r w:rsidR="00EE7452">
        <w:rPr>
          <w:rFonts w:cs="Times New Roman"/>
          <w:color w:val="000000"/>
          <w:szCs w:val="24"/>
        </w:rPr>
        <w:t>C</w:t>
      </w:r>
      <w:r w:rsidRPr="000736F9">
        <w:rPr>
          <w:rFonts w:cs="Times New Roman"/>
          <w:color w:val="000000"/>
          <w:szCs w:val="24"/>
        </w:rPr>
        <w:t xml:space="preserve"> and 3</w:t>
      </w:r>
      <w:r w:rsidR="00EE7452">
        <w:rPr>
          <w:rFonts w:cs="Times New Roman"/>
          <w:color w:val="000000"/>
          <w:szCs w:val="24"/>
        </w:rPr>
        <w:t>D</w:t>
      </w:r>
      <w:r w:rsidRPr="000736F9">
        <w:rPr>
          <w:rFonts w:cs="Times New Roman"/>
          <w:color w:val="000000"/>
          <w:szCs w:val="24"/>
        </w:rPr>
        <w:t>.</w:t>
      </w:r>
    </w:p>
    <w:p w14:paraId="774D7B56" w14:textId="77777777" w:rsidR="000736F9" w:rsidRPr="000736F9" w:rsidRDefault="000736F9" w:rsidP="000736F9">
      <w:pPr>
        <w:rPr>
          <w:rFonts w:cs="Times New Roman"/>
          <w:szCs w:val="24"/>
        </w:rPr>
      </w:pPr>
      <w:r w:rsidRPr="000736F9">
        <w:rPr>
          <w:rFonts w:cs="Times New Roman"/>
          <w:szCs w:val="24"/>
        </w:rPr>
        <w:t xml:space="preserve">Both Cartesian space and dihedral analysis show that conformational populations of CDRs are not the same upon antigen binding.  A higher proportion of CDRs sampled more in their apo state than </w:t>
      </w:r>
      <w:r w:rsidRPr="000736F9">
        <w:rPr>
          <w:rFonts w:cs="Times New Roman"/>
          <w:i/>
          <w:iCs/>
          <w:szCs w:val="24"/>
        </w:rPr>
        <w:t>vice versa</w:t>
      </w:r>
      <w:r w:rsidRPr="000736F9">
        <w:rPr>
          <w:rFonts w:cs="Times New Roman"/>
          <w:szCs w:val="24"/>
        </w:rPr>
        <w:t xml:space="preserve">, suggesting these loops are more flexible in the absence of the antigen.  There is little overlap in the PCA clusters when quantified using DRES (Supplementary Fig. 3), as apo frames tend to be spread wider by the most significant PCs (Supplementary Fig. 2).  However, significant overlap is seen in dihedral analysis when apo and holo were compared using circular similarity, as binding </w:t>
      </w:r>
      <w:r w:rsidRPr="000736F9">
        <w:rPr>
          <w:rFonts w:cs="Times New Roman"/>
          <w:szCs w:val="24"/>
        </w:rPr>
        <w:lastRenderedPageBreak/>
        <w:t>state-specific conformations form a minority of a CDR’s overall dihedral population (Supplementary Table 4).  We thus conclude that CDRs are more flexible when the antigen is absent, but the difference is more pronounced in Cartesian space analysis than dihedral analysis.  In the latter, more flexible apo CDRs visit higher numbers of unique conformations, but these tend to be less populated than the matched ones.</w:t>
      </w:r>
    </w:p>
    <w:p w14:paraId="342DBD27" w14:textId="77777777" w:rsidR="000736F9" w:rsidRDefault="000736F9" w:rsidP="000736F9">
      <w:pPr>
        <w:pStyle w:val="Heading2"/>
      </w:pPr>
      <w:bookmarkStart w:id="4" w:name="_Ref47950504"/>
      <w:r w:rsidRPr="000736F9">
        <w:t>Correlations</w:t>
      </w:r>
      <w:bookmarkEnd w:id="4"/>
    </w:p>
    <w:p w14:paraId="15742A1A" w14:textId="2AA183CC" w:rsidR="000736F9" w:rsidRPr="00E9077D" w:rsidRDefault="000736F9" w:rsidP="000736F9">
      <w:pPr>
        <w:rPr>
          <w:rFonts w:cs="Times New Roman"/>
          <w:szCs w:val="24"/>
        </w:rPr>
      </w:pPr>
      <w:r w:rsidRPr="000736F9">
        <w:rPr>
          <w:rFonts w:cs="Times New Roman"/>
          <w:szCs w:val="24"/>
        </w:rPr>
        <w:t>Following our observations of hydrogen bonding dominating intermolecular interactions and varying CDR flexibilities in different antibodies, we have yet to answer the question of whether this provides any indication of affinity.  Since affinity is not dictated by any single CDR, comparisons were made to metrics that included all six CDRs of an antibody, quantified by squaring the Pearson correlation coefficient (R</w:t>
      </w:r>
      <w:r w:rsidRPr="000736F9">
        <w:rPr>
          <w:rFonts w:cs="Times New Roman"/>
          <w:szCs w:val="24"/>
          <w:vertAlign w:val="superscript"/>
        </w:rPr>
        <w:t>2</w:t>
      </w:r>
      <w:r w:rsidRPr="000736F9">
        <w:rPr>
          <w:rFonts w:cs="Times New Roman"/>
          <w:szCs w:val="24"/>
        </w:rPr>
        <w:t>).  Our first interesting observation is the lack of correlation between an antibody’s total CDR length or molecular weight with its affinity (Supplementary Fig. 4</w:t>
      </w:r>
      <w:r w:rsidR="00EE7452">
        <w:rPr>
          <w:rFonts w:cs="Times New Roman"/>
          <w:szCs w:val="24"/>
        </w:rPr>
        <w:t>A</w:t>
      </w:r>
      <w:r w:rsidRPr="000736F9">
        <w:rPr>
          <w:rFonts w:cs="Times New Roman"/>
          <w:szCs w:val="24"/>
        </w:rPr>
        <w:t xml:space="preserve"> and 4</w:t>
      </w:r>
      <w:r w:rsidR="00EE7452">
        <w:rPr>
          <w:rFonts w:cs="Times New Roman"/>
          <w:szCs w:val="24"/>
        </w:rPr>
        <w:t>B</w:t>
      </w:r>
      <w:r w:rsidRPr="000736F9">
        <w:rPr>
          <w:rFonts w:cs="Times New Roman"/>
          <w:szCs w:val="24"/>
        </w:rPr>
        <w:t xml:space="preserve">), showing that the size of CDRs do not dictate their binding.  In terms of flexibility, we used each antibody’s mean DASH and PCA cluster counts.  Comparisons of individual CDR lengths against our clustering results are in Supplementary Fig. 5, confirming that longer CDRs are not always more flexible.  Their length alone did not provide detailed information on their </w:t>
      </w:r>
      <w:r w:rsidR="00C252A4" w:rsidRPr="000736F9">
        <w:rPr>
          <w:rFonts w:cs="Times New Roman"/>
          <w:szCs w:val="24"/>
        </w:rPr>
        <w:t>behavior</w:t>
      </w:r>
      <w:r w:rsidRPr="000736F9">
        <w:rPr>
          <w:rFonts w:cs="Times New Roman"/>
          <w:szCs w:val="24"/>
        </w:rPr>
        <w:t>.</w:t>
      </w:r>
    </w:p>
    <w:p w14:paraId="247FD60D" w14:textId="1CAD2945" w:rsidR="000736F9" w:rsidRPr="000736F9" w:rsidRDefault="000736F9" w:rsidP="000736F9">
      <w:pPr>
        <w:rPr>
          <w:rFonts w:cs="Times New Roman"/>
          <w:szCs w:val="24"/>
        </w:rPr>
      </w:pPr>
      <w:r w:rsidRPr="000736F9">
        <w:rPr>
          <w:rFonts w:cs="Times New Roman"/>
          <w:szCs w:val="24"/>
        </w:rPr>
        <w:t xml:space="preserve">Clustering results were then compared to their SPR-determined affinities as listed in </w:t>
      </w:r>
      <w:r w:rsidRPr="000736F9">
        <w:rPr>
          <w:rFonts w:cs="Times New Roman"/>
          <w:szCs w:val="24"/>
        </w:rPr>
        <w:fldChar w:fldCharType="begin"/>
      </w:r>
      <w:r w:rsidRPr="000736F9">
        <w:rPr>
          <w:rFonts w:cs="Times New Roman"/>
          <w:szCs w:val="24"/>
        </w:rPr>
        <w:instrText xml:space="preserve"> REF _Ref31717274 \h  \* MERGEFORMAT </w:instrText>
      </w:r>
      <w:r w:rsidRPr="000736F9">
        <w:rPr>
          <w:rFonts w:cs="Times New Roman"/>
          <w:szCs w:val="24"/>
        </w:rPr>
      </w:r>
      <w:r w:rsidRPr="000736F9">
        <w:rPr>
          <w:rFonts w:cs="Times New Roman"/>
          <w:szCs w:val="24"/>
        </w:rPr>
        <w:fldChar w:fldCharType="separate"/>
      </w:r>
      <w:r w:rsidRPr="000736F9">
        <w:rPr>
          <w:rFonts w:cs="Times New Roman"/>
          <w:szCs w:val="24"/>
        </w:rPr>
        <w:t xml:space="preserve">Table </w:t>
      </w:r>
      <w:r w:rsidRPr="000736F9">
        <w:rPr>
          <w:rFonts w:cs="Times New Roman"/>
          <w:noProof/>
          <w:szCs w:val="24"/>
        </w:rPr>
        <w:t>1</w:t>
      </w:r>
      <w:r w:rsidRPr="000736F9">
        <w:rPr>
          <w:rFonts w:cs="Times New Roman"/>
          <w:szCs w:val="24"/>
        </w:rPr>
        <w:fldChar w:fldCharType="end"/>
      </w:r>
      <w:r w:rsidRPr="000736F9">
        <w:rPr>
          <w:rFonts w:cs="Times New Roman"/>
          <w:szCs w:val="24"/>
        </w:rPr>
        <w:t>, with the exception of anti-ObR which only had IC</w:t>
      </w:r>
      <w:r w:rsidRPr="000736F9">
        <w:rPr>
          <w:rFonts w:cs="Times New Roman"/>
          <w:szCs w:val="24"/>
          <w:vertAlign w:val="subscript"/>
        </w:rPr>
        <w:t>50</w:t>
      </w:r>
      <w:r w:rsidRPr="000736F9">
        <w:rPr>
          <w:rFonts w:cs="Times New Roman"/>
          <w:szCs w:val="24"/>
        </w:rPr>
        <w:t xml:space="preserve"> data.  The antibodies’ mean DRES scores, a measure of the overlap between apo and holo frames when projected along their first three PCs, are plotted against affinity in Supplementary Fig. 3</w:t>
      </w:r>
      <w:r w:rsidR="00EE7452">
        <w:rPr>
          <w:rFonts w:cs="Times New Roman"/>
          <w:szCs w:val="24"/>
        </w:rPr>
        <w:t>B</w:t>
      </w:r>
      <w:r w:rsidRPr="000736F9">
        <w:rPr>
          <w:rFonts w:cs="Times New Roman"/>
          <w:szCs w:val="24"/>
        </w:rPr>
        <w:t>.   No correlation is present between ensemble similarity and affinity, with an R</w:t>
      </w:r>
      <w:r w:rsidRPr="000736F9">
        <w:rPr>
          <w:rFonts w:cs="Times New Roman"/>
          <w:szCs w:val="24"/>
          <w:vertAlign w:val="superscript"/>
        </w:rPr>
        <w:t>2</w:t>
      </w:r>
      <w:r w:rsidRPr="000736F9">
        <w:rPr>
          <w:rFonts w:cs="Times New Roman"/>
          <w:szCs w:val="24"/>
        </w:rPr>
        <w:t xml:space="preserve"> of 0.28.  The quantified flexibility of apo and holo CDRs were next examined separately, by plotting affinity against mean PCA cluster and DASH conformation counts.  There is no discernible correlation between apo counts and affinity (Supplementary Fig. 4</w:t>
      </w:r>
      <w:r w:rsidR="00EE7452">
        <w:rPr>
          <w:rFonts w:cs="Times New Roman"/>
          <w:szCs w:val="24"/>
        </w:rPr>
        <w:t>C</w:t>
      </w:r>
      <w:r w:rsidRPr="000736F9">
        <w:rPr>
          <w:rFonts w:cs="Times New Roman"/>
          <w:szCs w:val="24"/>
        </w:rPr>
        <w:t xml:space="preserve"> and 4</w:t>
      </w:r>
      <w:r w:rsidR="00EE7452">
        <w:rPr>
          <w:rFonts w:cs="Times New Roman"/>
          <w:szCs w:val="24"/>
        </w:rPr>
        <w:t>D</w:t>
      </w:r>
      <w:r w:rsidRPr="000736F9">
        <w:rPr>
          <w:rFonts w:cs="Times New Roman"/>
          <w:szCs w:val="24"/>
        </w:rPr>
        <w:t xml:space="preserve">).  However, an arguably positive correlation is seen for holo counts in </w:t>
      </w:r>
      <w:r w:rsidRPr="000736F9">
        <w:rPr>
          <w:rFonts w:cs="Times New Roman"/>
          <w:szCs w:val="24"/>
        </w:rPr>
        <w:fldChar w:fldCharType="begin"/>
      </w:r>
      <w:r w:rsidRPr="000736F9">
        <w:rPr>
          <w:rFonts w:cs="Times New Roman"/>
          <w:szCs w:val="24"/>
        </w:rPr>
        <w:instrText xml:space="preserve"> REF _Ref40702503 \h  \* MERGEFORMAT </w:instrText>
      </w:r>
      <w:r w:rsidRPr="000736F9">
        <w:rPr>
          <w:rFonts w:cs="Times New Roman"/>
          <w:szCs w:val="24"/>
        </w:rPr>
      </w:r>
      <w:r w:rsidRPr="000736F9">
        <w:rPr>
          <w:rFonts w:cs="Times New Roman"/>
          <w:szCs w:val="24"/>
        </w:rPr>
        <w:fldChar w:fldCharType="separate"/>
      </w:r>
      <w:r w:rsidRPr="000736F9">
        <w:rPr>
          <w:rFonts w:cs="Times New Roman"/>
          <w:szCs w:val="24"/>
        </w:rPr>
        <w:t xml:space="preserve">Fig. </w:t>
      </w:r>
      <w:r w:rsidRPr="000736F9">
        <w:rPr>
          <w:rFonts w:cs="Times New Roman"/>
          <w:noProof/>
          <w:szCs w:val="24"/>
        </w:rPr>
        <w:t>4</w:t>
      </w:r>
      <w:r w:rsidRPr="000736F9">
        <w:rPr>
          <w:rFonts w:cs="Times New Roman"/>
          <w:szCs w:val="24"/>
        </w:rPr>
        <w:fldChar w:fldCharType="end"/>
      </w:r>
      <w:r w:rsidR="00EE7452">
        <w:rPr>
          <w:rFonts w:cs="Times New Roman"/>
          <w:szCs w:val="24"/>
        </w:rPr>
        <w:t>A</w:t>
      </w:r>
      <w:r w:rsidRPr="000736F9">
        <w:rPr>
          <w:rFonts w:cs="Times New Roman"/>
          <w:szCs w:val="24"/>
        </w:rPr>
        <w:t xml:space="preserve"> and 4</w:t>
      </w:r>
      <w:r w:rsidR="00EE7452">
        <w:rPr>
          <w:rFonts w:cs="Times New Roman"/>
          <w:szCs w:val="24"/>
        </w:rPr>
        <w:t>B</w:t>
      </w:r>
      <w:r w:rsidRPr="000736F9">
        <w:rPr>
          <w:rFonts w:cs="Times New Roman"/>
          <w:szCs w:val="24"/>
        </w:rPr>
        <w:t>.  When the difference between apo and holo clustering is plotted in Supplementary Fig. 4</w:t>
      </w:r>
      <w:r w:rsidR="00EE7452">
        <w:rPr>
          <w:rFonts w:cs="Times New Roman"/>
          <w:szCs w:val="24"/>
        </w:rPr>
        <w:t>E</w:t>
      </w:r>
      <w:r w:rsidRPr="000736F9">
        <w:rPr>
          <w:rFonts w:cs="Times New Roman"/>
          <w:szCs w:val="24"/>
        </w:rPr>
        <w:t xml:space="preserve"> and 4</w:t>
      </w:r>
      <w:r w:rsidR="00EE7452">
        <w:rPr>
          <w:rFonts w:cs="Times New Roman"/>
          <w:szCs w:val="24"/>
        </w:rPr>
        <w:t>F</w:t>
      </w:r>
      <w:r w:rsidRPr="000736F9">
        <w:rPr>
          <w:rFonts w:cs="Times New Roman"/>
          <w:szCs w:val="24"/>
        </w:rPr>
        <w:t xml:space="preserve">, this trend disappears.  Instead, the numerically small differences between apo and holo suggest that some CDRs are </w:t>
      </w:r>
      <w:r w:rsidR="00C252A4" w:rsidRPr="000736F9">
        <w:rPr>
          <w:rFonts w:cs="Times New Roman"/>
          <w:szCs w:val="24"/>
        </w:rPr>
        <w:t>preorganized</w:t>
      </w:r>
      <w:r w:rsidRPr="000736F9">
        <w:rPr>
          <w:rFonts w:cs="Times New Roman"/>
          <w:szCs w:val="24"/>
        </w:rPr>
        <w:t xml:space="preserve"> for antigen binding.  Together, these correlations further support that CDR flexibility after the formation of antibody-antigen interactions may be linked to binding affinity.</w:t>
      </w:r>
    </w:p>
    <w:p w14:paraId="574389D0" w14:textId="31B7B060" w:rsidR="000736F9" w:rsidRPr="000736F9" w:rsidRDefault="000736F9" w:rsidP="000736F9">
      <w:pPr>
        <w:rPr>
          <w:rFonts w:cs="Times New Roman"/>
          <w:szCs w:val="24"/>
        </w:rPr>
      </w:pPr>
      <w:r w:rsidRPr="000736F9">
        <w:rPr>
          <w:rFonts w:cs="Times New Roman"/>
          <w:szCs w:val="24"/>
        </w:rPr>
        <w:t xml:space="preserve">Interface interactions from the holo simulations were explored further to </w:t>
      </w:r>
      <w:r w:rsidR="00C252A4" w:rsidRPr="000736F9">
        <w:rPr>
          <w:rFonts w:cs="Times New Roman"/>
          <w:szCs w:val="24"/>
        </w:rPr>
        <w:t>rationalize</w:t>
      </w:r>
      <w:r w:rsidRPr="000736F9">
        <w:rPr>
          <w:rFonts w:cs="Times New Roman"/>
          <w:szCs w:val="24"/>
        </w:rPr>
        <w:t xml:space="preserve"> this link.  When comparing simulations to crystal structures in </w:t>
      </w:r>
      <w:r w:rsidRPr="000736F9">
        <w:rPr>
          <w:rFonts w:cs="Times New Roman"/>
          <w:szCs w:val="24"/>
        </w:rPr>
        <w:fldChar w:fldCharType="begin"/>
      </w:r>
      <w:r w:rsidRPr="000736F9">
        <w:rPr>
          <w:rFonts w:cs="Times New Roman"/>
          <w:szCs w:val="24"/>
        </w:rPr>
        <w:instrText xml:space="preserve"> REF _Ref40100422 \h  \* MERGEFORMAT </w:instrText>
      </w:r>
      <w:r w:rsidRPr="000736F9">
        <w:rPr>
          <w:rFonts w:cs="Times New Roman"/>
          <w:szCs w:val="24"/>
        </w:rPr>
      </w:r>
      <w:r w:rsidRPr="000736F9">
        <w:rPr>
          <w:rFonts w:cs="Times New Roman"/>
          <w:szCs w:val="24"/>
        </w:rPr>
        <w:fldChar w:fldCharType="separate"/>
      </w:r>
      <w:r w:rsidRPr="000736F9">
        <w:rPr>
          <w:rFonts w:cs="Times New Roman"/>
          <w:szCs w:val="24"/>
        </w:rPr>
        <w:t xml:space="preserve">Fig. </w:t>
      </w:r>
      <w:r w:rsidRPr="000736F9">
        <w:rPr>
          <w:rFonts w:cs="Times New Roman"/>
          <w:noProof/>
          <w:szCs w:val="24"/>
        </w:rPr>
        <w:t>1</w:t>
      </w:r>
      <w:r w:rsidRPr="000736F9">
        <w:rPr>
          <w:rFonts w:cs="Times New Roman"/>
          <w:szCs w:val="24"/>
        </w:rPr>
        <w:fldChar w:fldCharType="end"/>
      </w:r>
      <w:r w:rsidRPr="000736F9">
        <w:rPr>
          <w:rFonts w:cs="Times New Roman"/>
          <w:szCs w:val="24"/>
        </w:rPr>
        <w:t xml:space="preserve">, the latter’s interface residue selection was used in all trajectory frames to allow a fair comparison.  For identifying trends with affinity, we wished to account for the dynamics of the system, and all possible interactions with the antigen were counted to fully capture the antibody’s </w:t>
      </w:r>
      <w:r w:rsidR="00C252A4" w:rsidRPr="000736F9">
        <w:rPr>
          <w:rFonts w:cs="Times New Roman"/>
          <w:szCs w:val="24"/>
        </w:rPr>
        <w:t>behavior</w:t>
      </w:r>
      <w:r w:rsidRPr="000736F9">
        <w:rPr>
          <w:rFonts w:cs="Times New Roman"/>
          <w:szCs w:val="24"/>
        </w:rPr>
        <w:t>.  The resulting mean counts for each intermolecular interaction type are plotted against antibody affinities in Supplementary Fig. 6.  The interactions show little correlation with affinity when plotted individually, except for the number of hydrogen bonds with</w:t>
      </w:r>
      <w:r w:rsidR="009510A8">
        <w:rPr>
          <w:rFonts w:cs="Times New Roman"/>
          <w:szCs w:val="24"/>
        </w:rPr>
        <w:t xml:space="preserve"> bulk</w:t>
      </w:r>
      <w:r w:rsidRPr="000736F9">
        <w:rPr>
          <w:rFonts w:cs="Times New Roman"/>
          <w:szCs w:val="24"/>
        </w:rPr>
        <w:t xml:space="preserve"> solvent in Supplementary Fig. 6</w:t>
      </w:r>
      <w:r w:rsidR="00EE7452">
        <w:rPr>
          <w:rFonts w:cs="Times New Roman"/>
          <w:szCs w:val="24"/>
        </w:rPr>
        <w:t>A</w:t>
      </w:r>
      <w:r w:rsidRPr="000736F9">
        <w:rPr>
          <w:rFonts w:cs="Times New Roman"/>
          <w:szCs w:val="24"/>
        </w:rPr>
        <w:t xml:space="preserve">.  To make this more applicable to affinity prediction, intermolecular interactions </w:t>
      </w:r>
      <w:r w:rsidR="009510A8">
        <w:rPr>
          <w:rFonts w:cs="Times New Roman"/>
          <w:szCs w:val="24"/>
        </w:rPr>
        <w:t xml:space="preserve">not to bulk solvent </w:t>
      </w:r>
      <w:r w:rsidRPr="000736F9">
        <w:rPr>
          <w:rFonts w:cs="Times New Roman"/>
          <w:szCs w:val="24"/>
        </w:rPr>
        <w:t xml:space="preserve">are plotted as a percentage of all intermolecular interactions in </w:t>
      </w:r>
      <w:r w:rsidRPr="000736F9">
        <w:rPr>
          <w:rFonts w:cs="Times New Roman"/>
          <w:szCs w:val="24"/>
        </w:rPr>
        <w:fldChar w:fldCharType="begin"/>
      </w:r>
      <w:r w:rsidRPr="000736F9">
        <w:rPr>
          <w:rFonts w:cs="Times New Roman"/>
          <w:szCs w:val="24"/>
        </w:rPr>
        <w:instrText xml:space="preserve"> REF _Ref45116510 \h  \* MERGEFORMAT </w:instrText>
      </w:r>
      <w:r w:rsidRPr="000736F9">
        <w:rPr>
          <w:rFonts w:cs="Times New Roman"/>
          <w:szCs w:val="24"/>
        </w:rPr>
      </w:r>
      <w:r w:rsidRPr="000736F9">
        <w:rPr>
          <w:rFonts w:cs="Times New Roman"/>
          <w:szCs w:val="24"/>
        </w:rPr>
        <w:fldChar w:fldCharType="separate"/>
      </w:r>
      <w:r w:rsidRPr="000736F9">
        <w:rPr>
          <w:rFonts w:cs="Times New Roman"/>
          <w:szCs w:val="24"/>
        </w:rPr>
        <w:t xml:space="preserve">Fig. </w:t>
      </w:r>
      <w:r w:rsidRPr="000736F9">
        <w:rPr>
          <w:rFonts w:cs="Times New Roman"/>
          <w:noProof/>
          <w:szCs w:val="24"/>
        </w:rPr>
        <w:t>5</w:t>
      </w:r>
      <w:r w:rsidRPr="000736F9">
        <w:rPr>
          <w:rFonts w:cs="Times New Roman"/>
          <w:szCs w:val="24"/>
        </w:rPr>
        <w:fldChar w:fldCharType="end"/>
      </w:r>
      <w:r w:rsidR="00EE7452">
        <w:rPr>
          <w:rFonts w:cs="Times New Roman"/>
          <w:szCs w:val="24"/>
        </w:rPr>
        <w:t>A</w:t>
      </w:r>
      <w:r w:rsidRPr="000736F9">
        <w:rPr>
          <w:rFonts w:cs="Times New Roman"/>
          <w:szCs w:val="24"/>
        </w:rPr>
        <w:t xml:space="preserve">.  </w:t>
      </w:r>
      <w:r w:rsidR="006159D7">
        <w:rPr>
          <w:rFonts w:cs="Times New Roman"/>
          <w:szCs w:val="24"/>
        </w:rPr>
        <w:t>Bridging waters are included as an intermolecular interaction as they indirectly form an antibody-antigen contact</w:t>
      </w:r>
      <w:r w:rsidRPr="000736F9">
        <w:rPr>
          <w:rFonts w:cs="Times New Roman"/>
          <w:szCs w:val="24"/>
        </w:rPr>
        <w:t>.  Although the R</w:t>
      </w:r>
      <w:r w:rsidRPr="000736F9">
        <w:rPr>
          <w:rFonts w:cs="Times New Roman"/>
          <w:szCs w:val="24"/>
          <w:vertAlign w:val="superscript"/>
        </w:rPr>
        <w:t>2</w:t>
      </w:r>
      <w:r w:rsidRPr="000736F9">
        <w:rPr>
          <w:rFonts w:cs="Times New Roman"/>
          <w:szCs w:val="24"/>
        </w:rPr>
        <w:t xml:space="preserve"> of the eight antibodies is only 0.17, omission of anti-LFA’s count increases this to 0.89, demonstrating a positive correlation in the remaining eight.  Further inspection showed that the correlation with K</w:t>
      </w:r>
      <w:r w:rsidRPr="000736F9">
        <w:rPr>
          <w:rFonts w:cs="Times New Roman"/>
          <w:szCs w:val="24"/>
          <w:vertAlign w:val="subscript"/>
        </w:rPr>
        <w:t>d</w:t>
      </w:r>
      <w:r w:rsidRPr="000736F9">
        <w:rPr>
          <w:rFonts w:cs="Times New Roman"/>
          <w:szCs w:val="24"/>
        </w:rPr>
        <w:t xml:space="preserve"> is more associated with the reported k</w:t>
      </w:r>
      <w:r w:rsidRPr="000736F9">
        <w:rPr>
          <w:rFonts w:cs="Times New Roman"/>
          <w:szCs w:val="24"/>
          <w:vertAlign w:val="subscript"/>
        </w:rPr>
        <w:t>off</w:t>
      </w:r>
      <w:r w:rsidRPr="000736F9">
        <w:rPr>
          <w:rFonts w:cs="Times New Roman"/>
          <w:szCs w:val="24"/>
        </w:rPr>
        <w:t xml:space="preserve"> values (</w:t>
      </w:r>
      <w:r w:rsidRPr="000736F9">
        <w:rPr>
          <w:rFonts w:cs="Times New Roman"/>
          <w:szCs w:val="24"/>
        </w:rPr>
        <w:fldChar w:fldCharType="begin"/>
      </w:r>
      <w:r w:rsidRPr="000736F9">
        <w:rPr>
          <w:rFonts w:cs="Times New Roman"/>
          <w:szCs w:val="24"/>
        </w:rPr>
        <w:instrText xml:space="preserve"> REF _Ref45116510 \h  \* MERGEFORMAT </w:instrText>
      </w:r>
      <w:r w:rsidRPr="000736F9">
        <w:rPr>
          <w:rFonts w:cs="Times New Roman"/>
          <w:szCs w:val="24"/>
        </w:rPr>
      </w:r>
      <w:r w:rsidRPr="000736F9">
        <w:rPr>
          <w:rFonts w:cs="Times New Roman"/>
          <w:szCs w:val="24"/>
        </w:rPr>
        <w:fldChar w:fldCharType="separate"/>
      </w:r>
      <w:r w:rsidRPr="000736F9">
        <w:rPr>
          <w:rFonts w:cs="Times New Roman"/>
          <w:szCs w:val="24"/>
        </w:rPr>
        <w:t xml:space="preserve">Fig. </w:t>
      </w:r>
      <w:r w:rsidRPr="000736F9">
        <w:rPr>
          <w:rFonts w:cs="Times New Roman"/>
          <w:noProof/>
          <w:szCs w:val="24"/>
        </w:rPr>
        <w:t>5</w:t>
      </w:r>
      <w:r w:rsidRPr="000736F9">
        <w:rPr>
          <w:rFonts w:cs="Times New Roman"/>
          <w:szCs w:val="24"/>
        </w:rPr>
        <w:fldChar w:fldCharType="end"/>
      </w:r>
      <w:r w:rsidR="00EE7452">
        <w:rPr>
          <w:rFonts w:cs="Times New Roman"/>
          <w:szCs w:val="24"/>
        </w:rPr>
        <w:t>B</w:t>
      </w:r>
      <w:r w:rsidRPr="000736F9">
        <w:rPr>
          <w:rFonts w:cs="Times New Roman"/>
          <w:szCs w:val="24"/>
        </w:rPr>
        <w:t>).</w:t>
      </w:r>
      <w:r w:rsidR="00D538FF">
        <w:rPr>
          <w:rFonts w:cs="Times New Roman"/>
          <w:szCs w:val="24"/>
        </w:rPr>
        <w:t xml:space="preserve">  Combined with the observation that the change in CDR flexibility is not correlated with binding affinity, which could imply a more entropic component, formation of more antibody-antigen interactions in higher affinity antibodies suggest that antibody binding is more enthalpy-driven</w:t>
      </w:r>
      <w:r w:rsidR="005664DD">
        <w:rPr>
          <w:rFonts w:cs="Times New Roman"/>
          <w:szCs w:val="24"/>
        </w:rPr>
        <w:t>, although solvent-mediated entropic effects cannot be ruled out</w:t>
      </w:r>
      <w:r w:rsidR="00D538FF">
        <w:rPr>
          <w:rFonts w:cs="Times New Roman"/>
          <w:szCs w:val="24"/>
        </w:rPr>
        <w:t>.</w:t>
      </w:r>
    </w:p>
    <w:p w14:paraId="550AC947" w14:textId="6E2F1A2B" w:rsidR="000736F9" w:rsidRPr="000736F9" w:rsidRDefault="000736F9" w:rsidP="000736F9">
      <w:pPr>
        <w:rPr>
          <w:rFonts w:cs="Times New Roman"/>
          <w:szCs w:val="24"/>
        </w:rPr>
      </w:pPr>
      <w:r w:rsidRPr="000736F9">
        <w:rPr>
          <w:rFonts w:cs="Times New Roman"/>
          <w:szCs w:val="24"/>
        </w:rPr>
        <w:lastRenderedPageBreak/>
        <w:t>We have however identified that anti-LFA is different from the rest of the dataset.  Firstly, it is the only antibody where a non-solvent ion is part of the epitope.  Secondly, it has an experimental affinity of 4.7 µM, a 100-fold increase from the next lowest affinity of anti-MHC’s 46 nM, and the SPR was done using Mg</w:t>
      </w:r>
      <w:r w:rsidRPr="000736F9">
        <w:rPr>
          <w:rFonts w:cs="Times New Roman"/>
          <w:szCs w:val="24"/>
          <w:vertAlign w:val="superscript"/>
        </w:rPr>
        <w:t>2+</w:t>
      </w:r>
      <w:r w:rsidRPr="000736F9">
        <w:rPr>
          <w:rFonts w:cs="Times New Roman"/>
          <w:szCs w:val="24"/>
        </w:rPr>
        <w:t xml:space="preserve"> buffer as opposed to the crystal structure’s Mn</w:t>
      </w:r>
      <w:r w:rsidRPr="000736F9">
        <w:rPr>
          <w:rFonts w:cs="Times New Roman"/>
          <w:szCs w:val="24"/>
          <w:vertAlign w:val="superscript"/>
        </w:rPr>
        <w:t>2+</w:t>
      </w:r>
      <w:r w:rsidRPr="000736F9">
        <w:rPr>
          <w:rFonts w:cs="Times New Roman"/>
          <w:szCs w:val="24"/>
        </w:rPr>
        <w:t xml:space="preserve"> </w:t>
      </w:r>
      <w:r w:rsidRPr="000736F9">
        <w:rPr>
          <w:rFonts w:cs="Times New Roman"/>
          <w:szCs w:val="24"/>
        </w:rPr>
        <w:fldChar w:fldCharType="begin"/>
      </w:r>
      <w:r w:rsidR="00E9077D">
        <w:rPr>
          <w:rFonts w:cs="Times New Roman"/>
          <w:szCs w:val="24"/>
        </w:rPr>
        <w:instrText xml:space="preserve"> ADDIN ZOTERO_ITEM CSL_CITATION {"citationID":"9hUbRMXM","properties":{"formattedCitation":"(55,56)","plainCitation":"(55,56)","noteIndex":0},"citationItems":[{"id":22,"uris":["http://zotero.org/users/local/mmRtC3gY/items/AAVWKTFC"],"uri":["http://zotero.org/users/local/mmRtC3gY/items/AAVWKTFC"],"itemData":{"id":22,"type":"article-journal","abstract":"Affinity of integrin lymphocyte function-associated antigen 1 (LFA-1) is enhanced by conformational changes from the low-affinity closed form to the high-affinity (HA) open form of the ligand-binding inserted (I) domain as shown by work with purified I domains. However, affinity up-regulation of LFA-1 on the cell surface by physiological agonists such as chemokines has yet to be demonstrated by monovalent reagents. We characterize a mAb, AL-57 (activated LFA-1 clone 57), that has been developed by phage display that selectively targets the HA open conformation of the LFA-1 I domain. AL-57 discriminates among low-affinity, intermediate-affinity, and HA states of LFA-1. Furthermore, AL-57 functions as a ligand mimetic that binds only upon activation and requires Mg2+ for binding. Compared with the natural ligand intercellular adhesion molecule-1, AL-57 shows a tighter binding to the open I domain and a 250-fold slower off rate. Monovalent Fab AL-57 demonstrates affinity increases on a subset (≈10%) of lymphocyte cell surface LFA-1 molecules upon stimulation with CXCL-12 (CXC chemokine ligand 12). Affinity up-regulation correlates with global conformational changes of LFA-1 to the extended form. Affinity increase stimulated by CXCL-12 is transient and peaks 2 to 5 min after stimulation.","container-title":"Proceedings of the National Academy of Sciences","DOI":"10.1073/pnas.0605716103","issue":"38","journalAbbreviation":"Proc Natl Acad Sci USA","page":"13991","title":"AL-57, a ligand-mimetic antibody to integrin LFA-1, reveals chemokine-induced affinity up-regulation in lymphocytes","volume":"103","author":[{"family":"Shimaoka","given":"Motomu"},{"family":"Kim","given":"Minsoo"},{"family":"Cohen","given":"Edward H."},{"family":"Yang","given":"Wei"},{"family":"Astrof","given":"Nathan"},{"family":"Peer","given":"Dan"},{"family":"Salas","given":"Azucena"},{"family":"Ferrand","given":"Audrey"},{"family":"Springer","given":"Timothy A."}],"issued":{"date-parts":[["2006",9,19]]}}},{"id":5,"uris":["http://zotero.org/users/local/mmRtC3gY/items/V4YE9C4Q"],"uri":["http://zotero.org/users/local/mmRtC3gY/items/V4YE9C4Q"],"itemData":{"id":5,"type":"article-journal","abstract":"T-cell interaction with a target cell is a key event in the adaptive immune response and primarily driven by T-cell receptor (TCR) recognition of peptide-MHC (pMHC) complexes. TCR avidity for a given pMHC is determined by number of MHC molecules, availability of coreceptors, and TCR affinity for MHC or peptide, respectively, with peptide recognition being the most important factor to confer target specificity. Here we present high-resolution crystal structures of 2 Fab antibodies in complex with the immunodominant NY-ESO-1157–165 peptide analogue (SLLMWITQV) presented by HLA-A*0201 and compare them with a TCR recognizing the same pMHC. Binding to the central methionine-tryptophan peptide motif and orientation of binding were almost identical for Fabs and TCR. As the MW “peg” dominates the contacts between Fab and peptide, we estimated the contributions of individual amino acids between the Fab and peptide to provide the rational basis for a peptide-focused second-generation, high-affinity antibody library. The final Fab candidate achieved better peptide binding by 2 light-chain mutations, giving a 20-fold affinity improvement to 2–4 nM, exceeding the affinity of the TCR by 1,000-fold. The high-affinity Fab when grafted as recombinant TCR on T cells conferred specific killing of HLA-A*0201/NY-ESO-1157–165 target cells. In summary, we prove that affinity maturation of antibodies mimicking a TCR is possible and provide a strategy for engineering high-affinity antibodies that can be used in targeting specific pMHC complexes for diagnostic and therapeutic purposes.","container-title":"Proceedings of the National Academy of Sciences","DOI":"10.1073/pnas.0901425106","issue":"14","journalAbbreviation":"Proc Natl Acad Sci USA","page":"5784","title":"Rational development of high-affinity T-cell receptor-like antibodies","volume":"106","author":[{"family":"Stewart-Jones","given":"Guillaume"},{"family":"Wadle","given":"Andreas"},{"family":"Hombach","given":"Anja"},{"family":"Shenderov","given":"Eugene"},{"family":"Held","given":"Gerhard"},{"family":"Fischer","given":"Eliane"},{"family":"Kleber","given":"Sascha"},{"family":"Nuber","given":"Natko"},{"family":"Stenner-Liewen","given":"Frank"},{"family":"Bauer","given":"Stefan"},{"family":"McMichael","given":"Andrew"},{"family":"Knuth","given":"Alexander"},{"family":"Abken","given":"Hinrich"},{"family":"Hombach","given":"Andreas A."},{"family":"Cerundolo","given":"Vincenzo"},{"family":"Jones","given":"E. Yvonne"},{"family":"Renner","given":"Christoph"}],"issued":{"date-parts":[["2009",4,7]]}}}],"schema":"https://github.com/citation-style-language/schema/raw/master/csl-citation.json"} </w:instrText>
      </w:r>
      <w:r w:rsidRPr="000736F9">
        <w:rPr>
          <w:rFonts w:cs="Times New Roman"/>
          <w:szCs w:val="24"/>
        </w:rPr>
        <w:fldChar w:fldCharType="separate"/>
      </w:r>
      <w:r w:rsidR="00E9077D" w:rsidRPr="00E9077D">
        <w:rPr>
          <w:rFonts w:cs="Times New Roman"/>
        </w:rPr>
        <w:t>(55,56)</w:t>
      </w:r>
      <w:r w:rsidRPr="000736F9">
        <w:rPr>
          <w:rFonts w:cs="Times New Roman"/>
          <w:szCs w:val="24"/>
        </w:rPr>
        <w:fldChar w:fldCharType="end"/>
      </w:r>
      <w:r w:rsidRPr="000736F9">
        <w:rPr>
          <w:rFonts w:cs="Times New Roman"/>
          <w:szCs w:val="24"/>
        </w:rPr>
        <w:t xml:space="preserve">.  An attempt was made to include anti-LFA by plotting the non-solvent polar intermolecular interaction percentage, i.e. not </w:t>
      </w:r>
      <w:r w:rsidR="00A76D46">
        <w:rPr>
          <w:rFonts w:cs="Times New Roman"/>
          <w:szCs w:val="24"/>
        </w:rPr>
        <w:t xml:space="preserve">bulk </w:t>
      </w:r>
      <w:r w:rsidRPr="000736F9">
        <w:rPr>
          <w:rFonts w:cs="Times New Roman"/>
          <w:szCs w:val="24"/>
        </w:rPr>
        <w:t>solvent and not hydrophobic interactions, and this gives a slightly weaker R</w:t>
      </w:r>
      <w:r w:rsidRPr="000736F9">
        <w:rPr>
          <w:rFonts w:cs="Times New Roman"/>
          <w:szCs w:val="24"/>
          <w:vertAlign w:val="superscript"/>
        </w:rPr>
        <w:t>2</w:t>
      </w:r>
      <w:r w:rsidRPr="000736F9">
        <w:rPr>
          <w:rFonts w:cs="Times New Roman"/>
          <w:szCs w:val="24"/>
        </w:rPr>
        <w:t xml:space="preserve"> of 0.70 (</w:t>
      </w:r>
      <w:r w:rsidRPr="000736F9">
        <w:rPr>
          <w:rFonts w:cs="Times New Roman"/>
          <w:szCs w:val="24"/>
        </w:rPr>
        <w:fldChar w:fldCharType="begin"/>
      </w:r>
      <w:r w:rsidRPr="000736F9">
        <w:rPr>
          <w:rFonts w:cs="Times New Roman"/>
          <w:szCs w:val="24"/>
        </w:rPr>
        <w:instrText xml:space="preserve"> REF _Ref45116510 \h  \* MERGEFORMAT </w:instrText>
      </w:r>
      <w:r w:rsidRPr="000736F9">
        <w:rPr>
          <w:rFonts w:cs="Times New Roman"/>
          <w:szCs w:val="24"/>
        </w:rPr>
      </w:r>
      <w:r w:rsidRPr="000736F9">
        <w:rPr>
          <w:rFonts w:cs="Times New Roman"/>
          <w:szCs w:val="24"/>
        </w:rPr>
        <w:fldChar w:fldCharType="separate"/>
      </w:r>
      <w:r w:rsidRPr="000736F9">
        <w:rPr>
          <w:rFonts w:cs="Times New Roman"/>
          <w:szCs w:val="24"/>
        </w:rPr>
        <w:t xml:space="preserve">Fig. </w:t>
      </w:r>
      <w:r w:rsidRPr="000736F9">
        <w:rPr>
          <w:rFonts w:cs="Times New Roman"/>
          <w:noProof/>
          <w:szCs w:val="24"/>
        </w:rPr>
        <w:t>5</w:t>
      </w:r>
      <w:r w:rsidRPr="000736F9">
        <w:rPr>
          <w:rFonts w:cs="Times New Roman"/>
          <w:szCs w:val="24"/>
        </w:rPr>
        <w:fldChar w:fldCharType="end"/>
      </w:r>
      <w:r w:rsidR="00EE7452">
        <w:rPr>
          <w:rFonts w:cs="Times New Roman"/>
          <w:szCs w:val="24"/>
        </w:rPr>
        <w:t>C</w:t>
      </w:r>
      <w:r w:rsidRPr="000736F9">
        <w:rPr>
          <w:rFonts w:cs="Times New Roman"/>
          <w:szCs w:val="24"/>
        </w:rPr>
        <w:t>).  The interactions measured using fluctuating simulation interfaces further reveal that anti-LFA forms proportionally more hydrophobic interactions than the rest of the dataset (</w:t>
      </w:r>
      <w:r w:rsidRPr="000736F9">
        <w:rPr>
          <w:rFonts w:cs="Times New Roman"/>
          <w:szCs w:val="24"/>
        </w:rPr>
        <w:fldChar w:fldCharType="begin"/>
      </w:r>
      <w:r w:rsidRPr="000736F9">
        <w:rPr>
          <w:rFonts w:cs="Times New Roman"/>
          <w:szCs w:val="24"/>
        </w:rPr>
        <w:instrText xml:space="preserve"> REF _Ref45116510 \h  \* MERGEFORMAT </w:instrText>
      </w:r>
      <w:r w:rsidRPr="000736F9">
        <w:rPr>
          <w:rFonts w:cs="Times New Roman"/>
          <w:szCs w:val="24"/>
        </w:rPr>
      </w:r>
      <w:r w:rsidRPr="000736F9">
        <w:rPr>
          <w:rFonts w:cs="Times New Roman"/>
          <w:szCs w:val="24"/>
        </w:rPr>
        <w:fldChar w:fldCharType="separate"/>
      </w:r>
      <w:r w:rsidRPr="000736F9">
        <w:rPr>
          <w:rFonts w:cs="Times New Roman"/>
          <w:szCs w:val="24"/>
        </w:rPr>
        <w:t xml:space="preserve">Fig. </w:t>
      </w:r>
      <w:r w:rsidRPr="000736F9">
        <w:rPr>
          <w:rFonts w:cs="Times New Roman"/>
          <w:noProof/>
          <w:szCs w:val="24"/>
        </w:rPr>
        <w:t>5</w:t>
      </w:r>
      <w:r w:rsidRPr="000736F9">
        <w:rPr>
          <w:rFonts w:cs="Times New Roman"/>
          <w:szCs w:val="24"/>
        </w:rPr>
        <w:fldChar w:fldCharType="end"/>
      </w:r>
      <w:r w:rsidR="00EE7452">
        <w:rPr>
          <w:rFonts w:cs="Times New Roman"/>
          <w:szCs w:val="24"/>
        </w:rPr>
        <w:t>D</w:t>
      </w:r>
      <w:r w:rsidRPr="000736F9">
        <w:rPr>
          <w:rFonts w:cs="Times New Roman"/>
          <w:szCs w:val="24"/>
        </w:rPr>
        <w:t>).  We thus propose that anti-LFA’s interface may not be representative of a typical antibody, and affinity is more likely related to the number of specific antibody-antigen interactions.  From the remaining seven, an increased proportion of non-solvent interactions with the antigen may be enabling the increased rigidity of antigen bound CDRs</w:t>
      </w:r>
      <w:r w:rsidRPr="000736F9">
        <w:rPr>
          <w:rFonts w:cs="Times New Roman"/>
          <w:color w:val="000000"/>
          <w:szCs w:val="24"/>
        </w:rPr>
        <w:t>.</w:t>
      </w:r>
    </w:p>
    <w:p w14:paraId="2555AC78" w14:textId="139040F1" w:rsidR="00884ADE" w:rsidRDefault="00884ADE" w:rsidP="00884ADE">
      <w:pPr>
        <w:pStyle w:val="Heading1"/>
      </w:pPr>
      <w:r>
        <w:t>Discussion</w:t>
      </w:r>
    </w:p>
    <w:p w14:paraId="040FA797" w14:textId="4D1AF97D" w:rsidR="00C25845" w:rsidRPr="00C25845" w:rsidRDefault="00C25845" w:rsidP="00C25845">
      <w:pPr>
        <w:rPr>
          <w:rFonts w:cs="Times New Roman"/>
          <w:szCs w:val="24"/>
        </w:rPr>
      </w:pPr>
      <w:r w:rsidRPr="00C25845">
        <w:rPr>
          <w:rFonts w:cs="Times New Roman"/>
          <w:szCs w:val="24"/>
        </w:rPr>
        <w:t xml:space="preserve">In this work, we simulated </w:t>
      </w:r>
      <w:r w:rsidR="00526C2C">
        <w:rPr>
          <w:szCs w:val="24"/>
        </w:rPr>
        <w:t xml:space="preserve">nine </w:t>
      </w:r>
      <w:r w:rsidR="00526C2C" w:rsidRPr="00C25845">
        <w:rPr>
          <w:rFonts w:cs="Times New Roman"/>
          <w:szCs w:val="24"/>
        </w:rPr>
        <w:t>antibody</w:t>
      </w:r>
      <w:r w:rsidR="00526C2C">
        <w:rPr>
          <w:rFonts w:cs="Times New Roman"/>
          <w:szCs w:val="24"/>
        </w:rPr>
        <w:t>-antigen crystal</w:t>
      </w:r>
      <w:r w:rsidR="00526C2C" w:rsidRPr="00C25845">
        <w:rPr>
          <w:rFonts w:cs="Times New Roman"/>
          <w:szCs w:val="24"/>
        </w:rPr>
        <w:t xml:space="preserve"> structure</w:t>
      </w:r>
      <w:r w:rsidR="00526C2C">
        <w:rPr>
          <w:rFonts w:cs="Times New Roman"/>
          <w:szCs w:val="24"/>
        </w:rPr>
        <w:t xml:space="preserve"> pair</w:t>
      </w:r>
      <w:r w:rsidR="00526C2C" w:rsidRPr="00C25845">
        <w:rPr>
          <w:rFonts w:cs="Times New Roman"/>
          <w:szCs w:val="24"/>
        </w:rPr>
        <w:t>s</w:t>
      </w:r>
      <w:r w:rsidRPr="00C25845">
        <w:rPr>
          <w:rFonts w:cs="Times New Roman"/>
          <w:szCs w:val="24"/>
        </w:rPr>
        <w:t xml:space="preserve">, enhancing sampling of CDRs due to their large role in dictating binding.  By studying the types of interactions formed, we identified that the antibody-antigen interface had large numbers of waters.  Compared to crystal structures, simulated complexes tend to form more hydrogen bonds with water and fewer hydrophobic contacts.  </w:t>
      </w:r>
      <w:r w:rsidR="00783BE0">
        <w:rPr>
          <w:rFonts w:cs="Times New Roman"/>
          <w:szCs w:val="24"/>
        </w:rPr>
        <w:t xml:space="preserve">However, the work presented here only </w:t>
      </w:r>
      <w:r w:rsidR="00662F6B">
        <w:rPr>
          <w:rFonts w:cs="Times New Roman"/>
          <w:szCs w:val="24"/>
        </w:rPr>
        <w:t xml:space="preserve">specifically </w:t>
      </w:r>
      <w:r w:rsidR="00783BE0">
        <w:rPr>
          <w:rFonts w:cs="Times New Roman"/>
          <w:szCs w:val="24"/>
        </w:rPr>
        <w:t xml:space="preserve">increased CDR sampling, meaning that bridging water interactions were not </w:t>
      </w:r>
      <w:r w:rsidR="00662F6B">
        <w:rPr>
          <w:rFonts w:cs="Times New Roman"/>
          <w:szCs w:val="24"/>
        </w:rPr>
        <w:t xml:space="preserve">necessarily </w:t>
      </w:r>
      <w:r w:rsidR="00783BE0">
        <w:rPr>
          <w:rFonts w:cs="Times New Roman"/>
          <w:szCs w:val="24"/>
        </w:rPr>
        <w:t xml:space="preserve">explored as extensively.  </w:t>
      </w:r>
      <w:r w:rsidRPr="00C25845">
        <w:rPr>
          <w:rFonts w:cs="Times New Roman"/>
          <w:szCs w:val="24"/>
        </w:rPr>
        <w:t>The presence of water at these interfaces, and their potential role in facilitating interactions, has been identified in antibody crystal structures since the 1990s</w:t>
      </w:r>
      <w:r w:rsidR="003D66C4">
        <w:rPr>
          <w:rFonts w:cs="Times New Roman"/>
          <w:szCs w:val="24"/>
        </w:rPr>
        <w:t xml:space="preserve"> </w:t>
      </w:r>
      <w:r w:rsidRPr="00C25845">
        <w:rPr>
          <w:rFonts w:cs="Times New Roman"/>
          <w:szCs w:val="24"/>
        </w:rPr>
        <w:fldChar w:fldCharType="begin"/>
      </w:r>
      <w:r>
        <w:rPr>
          <w:rFonts w:cs="Times New Roman"/>
          <w:szCs w:val="24"/>
        </w:rPr>
        <w:instrText xml:space="preserve"> ADDIN ZOTERO_ITEM CSL_CITATION {"citationID":"a2p259mh3l7","properties":{"formattedCitation":"(57,58)","plainCitation":"(57,58)","noteIndex":0},"citationItems":[{"id":134,"uris":["http://zotero.org/users/local/mmRtC3gY/items/V9NZ5V6W"],"uri":["http://zotero.org/users/local/mmRtC3gY/items/V9NZ5V6W"],"itemData":{"id":134,"type":"article-journal","container-title":"Proceedings of the National Academy of Sciences","DOI":"10.1073/pnas.91.3.1089","issue":"3","note":"publisher: National Academy of Sciences","page":"1089-1093","title":"Bound water molecules and conformational stabilization help mediate an antigen-antibody association.","volume":"91","author":[{"family":"Bhat","given":"T N"},{"family":"Bentley","given":"G A"},{"family":"Boulot","given":"G"},{"family":"Greene","given":"M I"},{"family":"Tello","given":"D"},{"family":"Dall’Acqua","given":"W"},{"family":"Souchon","given":"H"},{"family":"Schwarz","given":"F P"},{"family":"Mariuzza","given":"R A"},{"family":"Poljak","given":"R J"}],"issued":{"date-parts":[["1994"]]}}},{"id":135,"uris":["http://zotero.org/users/local/mmRtC3gY/items/8IYFD273"],"uri":["http://zotero.org/users/local/mmRtC3gY/items/8IYFD273"],"itemData":{"id":135,"type":"article-journal","container-title":"Journal of Molecular Recognition","DOI":"10.1002/jmr.300080505","issue":"5","page":"317-325","title":"Conservation of water molecules in an antibody–antigen interaction","volume":"8","author":[{"family":"Braden","given":"Bradford C."},{"family":"Fields","given":"Barry A."},{"family":"Poljak","given":"Roberto J."}],"issued":{"date-parts":[["1995"]]}}}],"schema":"https://github.com/citation-style-language/schema/raw/master/csl-citation.json"} </w:instrText>
      </w:r>
      <w:r w:rsidRPr="00C25845">
        <w:rPr>
          <w:rFonts w:cs="Times New Roman"/>
          <w:szCs w:val="24"/>
        </w:rPr>
        <w:fldChar w:fldCharType="separate"/>
      </w:r>
      <w:r w:rsidRPr="00C25845">
        <w:rPr>
          <w:rFonts w:cs="Times New Roman"/>
        </w:rPr>
        <w:t>(57,58)</w:t>
      </w:r>
      <w:r w:rsidRPr="00C25845">
        <w:rPr>
          <w:rFonts w:cs="Times New Roman"/>
          <w:szCs w:val="24"/>
        </w:rPr>
        <w:fldChar w:fldCharType="end"/>
      </w:r>
      <w:r w:rsidRPr="00C25845">
        <w:rPr>
          <w:rFonts w:cs="Times New Roman"/>
          <w:szCs w:val="24"/>
        </w:rPr>
        <w:t>.  A more recent study on crystal structures of 145 protein-protein interfaces also concluded that when compared to non-antibody complexes, a mean of eleven more hydrogen bonds with waters are found at antibody-antigen interfaces</w:t>
      </w:r>
      <w:r w:rsidR="003D66C4">
        <w:rPr>
          <w:rFonts w:cs="Times New Roman"/>
          <w:szCs w:val="24"/>
        </w:rPr>
        <w:t xml:space="preserve"> </w:t>
      </w:r>
      <w:r w:rsidRPr="00C25845">
        <w:rPr>
          <w:rFonts w:cs="Times New Roman"/>
          <w:szCs w:val="24"/>
        </w:rPr>
        <w:fldChar w:fldCharType="begin"/>
      </w:r>
      <w:r>
        <w:rPr>
          <w:rFonts w:cs="Times New Roman"/>
          <w:szCs w:val="24"/>
        </w:rPr>
        <w:instrText xml:space="preserve"> ADDIN ZOTERO_ITEM CSL_CITATION {"citationID":"sVHCxAOr","properties":{"formattedCitation":"(59)","plainCitation":"(59)","noteIndex":0},"citationItems":[{"id":139,"uris":["http://zotero.org/users/local/mmRtC3gY/items/ICUDAGLR"],"uri":["http://zotero.org/users/local/mmRtC3gY/items/ICUDAGLR"],"itemData":{"id":139,"type":"article-journal","container-title":"Journal of Biomolecular Structure and Dynamics","DOI":"10.1080/07391102.2018.1453379","page":"1–16","title":"Dissecting water binding sites at protein – protein interfaces : a lesson from the atomic structures in the Protein Data Bank","volume":"1102","author":[{"family":"Mukherjee","given":"Sunandan"},{"family":"Nithin","given":"Chandran"},{"family":"Divakaruni","given":"Yasaswi"},{"family":"Prasad","given":"Ranjit"}],"issued":{"date-parts":[["2018"]]}}}],"schema":"https://github.com/citation-style-language/schema/raw/master/csl-citation.json"} </w:instrText>
      </w:r>
      <w:r w:rsidRPr="00C25845">
        <w:rPr>
          <w:rFonts w:cs="Times New Roman"/>
          <w:szCs w:val="24"/>
        </w:rPr>
        <w:fldChar w:fldCharType="separate"/>
      </w:r>
      <w:r w:rsidRPr="00C25845">
        <w:rPr>
          <w:rFonts w:cs="Times New Roman"/>
        </w:rPr>
        <w:t>(59)</w:t>
      </w:r>
      <w:r w:rsidRPr="00C25845">
        <w:rPr>
          <w:rFonts w:cs="Times New Roman"/>
          <w:szCs w:val="24"/>
        </w:rPr>
        <w:fldChar w:fldCharType="end"/>
      </w:r>
      <w:r w:rsidRPr="00C25845">
        <w:rPr>
          <w:rFonts w:cs="Times New Roman"/>
          <w:szCs w:val="24"/>
        </w:rPr>
        <w:t>.  These results on a dataset larger than ours support the idea that water-mediated antibody-antigen interactions are important.</w:t>
      </w:r>
    </w:p>
    <w:p w14:paraId="679CFC2C" w14:textId="2D759DF1" w:rsidR="00C25845" w:rsidRPr="00C25845" w:rsidRDefault="00C25845" w:rsidP="00C25845">
      <w:pPr>
        <w:rPr>
          <w:rFonts w:cs="Times New Roman"/>
          <w:szCs w:val="24"/>
        </w:rPr>
      </w:pPr>
      <w:r w:rsidRPr="00C25845">
        <w:rPr>
          <w:rFonts w:cs="Times New Roman"/>
          <w:szCs w:val="24"/>
        </w:rPr>
        <w:t>Further inspection of these interfaces revealed that higher affinity antibodies had a higher percentage of non-solvent interactions with their antigen (</w:t>
      </w:r>
      <w:r w:rsidRPr="00C25845">
        <w:rPr>
          <w:rFonts w:cs="Times New Roman"/>
          <w:szCs w:val="24"/>
        </w:rPr>
        <w:fldChar w:fldCharType="begin"/>
      </w:r>
      <w:r w:rsidRPr="00C25845">
        <w:rPr>
          <w:rFonts w:cs="Times New Roman"/>
          <w:szCs w:val="24"/>
        </w:rPr>
        <w:instrText xml:space="preserve"> REF _Ref45116510 \h  \* MERGEFORMAT </w:instrText>
      </w:r>
      <w:r w:rsidRPr="00C25845">
        <w:rPr>
          <w:rFonts w:cs="Times New Roman"/>
          <w:szCs w:val="24"/>
        </w:rPr>
      </w:r>
      <w:r w:rsidRPr="00C25845">
        <w:rPr>
          <w:rFonts w:cs="Times New Roman"/>
          <w:szCs w:val="24"/>
        </w:rPr>
        <w:fldChar w:fldCharType="separate"/>
      </w:r>
      <w:r w:rsidRPr="00C25845">
        <w:rPr>
          <w:rFonts w:cs="Times New Roman"/>
          <w:szCs w:val="24"/>
        </w:rPr>
        <w:t xml:space="preserve">Fig. </w:t>
      </w:r>
      <w:r w:rsidRPr="00C25845">
        <w:rPr>
          <w:rFonts w:cs="Times New Roman"/>
          <w:noProof/>
          <w:szCs w:val="24"/>
        </w:rPr>
        <w:t>5</w:t>
      </w:r>
      <w:r w:rsidRPr="00C25845">
        <w:rPr>
          <w:rFonts w:cs="Times New Roman"/>
          <w:szCs w:val="24"/>
        </w:rPr>
        <w:fldChar w:fldCharType="end"/>
      </w:r>
      <w:r w:rsidR="00EE7452">
        <w:rPr>
          <w:rFonts w:cs="Times New Roman"/>
          <w:szCs w:val="24"/>
        </w:rPr>
        <w:t>A</w:t>
      </w:r>
      <w:r w:rsidRPr="00C25845">
        <w:rPr>
          <w:rFonts w:cs="Times New Roman"/>
          <w:szCs w:val="24"/>
        </w:rPr>
        <w:t xml:space="preserve">).  This was only present when defined interfaces fluctuated with the simulation, as the equivalent plot using crystal structure interfaces showed a lower correlation with affinity (Supplementary Fig. 7).  Firstly, this demonstrates how simulation of antibody dynamics can provide new information to these interfaces.  Secondly, it suggests that water has an important role at the interface, as ‘non-solvent interactions’ included hydrogen bonds to bridging waters.  However, as previously mentioned, current computational design methods do not measure these interactions, as they rely on implicit solvation models.  Given </w:t>
      </w:r>
      <w:r w:rsidRPr="00C25845">
        <w:rPr>
          <w:rFonts w:cs="Times New Roman"/>
          <w:szCs w:val="24"/>
        </w:rPr>
        <w:fldChar w:fldCharType="begin"/>
      </w:r>
      <w:r w:rsidRPr="00C25845">
        <w:rPr>
          <w:rFonts w:cs="Times New Roman"/>
          <w:szCs w:val="24"/>
        </w:rPr>
        <w:instrText xml:space="preserve"> REF _Ref45116510 \h  \* MERGEFORMAT </w:instrText>
      </w:r>
      <w:r w:rsidRPr="00C25845">
        <w:rPr>
          <w:rFonts w:cs="Times New Roman"/>
          <w:szCs w:val="24"/>
        </w:rPr>
      </w:r>
      <w:r w:rsidRPr="00C25845">
        <w:rPr>
          <w:rFonts w:cs="Times New Roman"/>
          <w:szCs w:val="24"/>
        </w:rPr>
        <w:fldChar w:fldCharType="separate"/>
      </w:r>
      <w:r w:rsidRPr="00C25845">
        <w:rPr>
          <w:rFonts w:cs="Times New Roman"/>
          <w:szCs w:val="24"/>
        </w:rPr>
        <w:t xml:space="preserve">Fig. </w:t>
      </w:r>
      <w:r w:rsidRPr="00C25845">
        <w:rPr>
          <w:rFonts w:cs="Times New Roman"/>
          <w:noProof/>
          <w:szCs w:val="24"/>
        </w:rPr>
        <w:t>5</w:t>
      </w:r>
      <w:r w:rsidRPr="00C25845">
        <w:rPr>
          <w:rFonts w:cs="Times New Roman"/>
          <w:szCs w:val="24"/>
        </w:rPr>
        <w:fldChar w:fldCharType="end"/>
      </w:r>
      <w:r w:rsidR="00EE7452">
        <w:rPr>
          <w:rFonts w:cs="Times New Roman"/>
          <w:szCs w:val="24"/>
        </w:rPr>
        <w:t>A</w:t>
      </w:r>
      <w:r w:rsidRPr="00C25845">
        <w:rPr>
          <w:rFonts w:cs="Times New Roman"/>
          <w:szCs w:val="24"/>
        </w:rPr>
        <w:t>’s high R</w:t>
      </w:r>
      <w:r w:rsidRPr="00C25845">
        <w:rPr>
          <w:rFonts w:cs="Times New Roman"/>
          <w:szCs w:val="24"/>
          <w:vertAlign w:val="superscript"/>
        </w:rPr>
        <w:t>2</w:t>
      </w:r>
      <w:r w:rsidRPr="00C25845">
        <w:rPr>
          <w:rFonts w:cs="Times New Roman"/>
          <w:szCs w:val="24"/>
        </w:rPr>
        <w:t xml:space="preserve"> of 0.89 when excluding the anti-LFA anomaly, we suggest that explicit solvent would better capture antibody-antigen interactions </w:t>
      </w:r>
      <w:r w:rsidRPr="00C25845">
        <w:rPr>
          <w:rFonts w:cs="Times New Roman"/>
          <w:i/>
          <w:iCs/>
          <w:szCs w:val="24"/>
        </w:rPr>
        <w:t>in silico</w:t>
      </w:r>
      <w:r w:rsidRPr="00C25845">
        <w:rPr>
          <w:rFonts w:cs="Times New Roman"/>
          <w:szCs w:val="24"/>
        </w:rPr>
        <w:t>.</w:t>
      </w:r>
    </w:p>
    <w:p w14:paraId="0C830402" w14:textId="5C5FA279" w:rsidR="00C25845" w:rsidRPr="00C25845" w:rsidRDefault="00C25845" w:rsidP="00C25845">
      <w:pPr>
        <w:rPr>
          <w:rFonts w:cs="Times New Roman"/>
          <w:color w:val="00B050"/>
          <w:szCs w:val="24"/>
        </w:rPr>
      </w:pPr>
      <w:r w:rsidRPr="00C25845">
        <w:rPr>
          <w:rFonts w:cs="Times New Roman"/>
          <w:szCs w:val="24"/>
        </w:rPr>
        <w:t xml:space="preserve">We have also found that CDRs behave differently in the presence of their antigen.  Over half were equally flexible in antigen bound and unbound simulations, suggesting their </w:t>
      </w:r>
      <w:r w:rsidR="00C252A4" w:rsidRPr="00C25845">
        <w:rPr>
          <w:rFonts w:cs="Times New Roman"/>
          <w:szCs w:val="24"/>
        </w:rPr>
        <w:t>preorganization</w:t>
      </w:r>
      <w:r w:rsidRPr="00C25845">
        <w:rPr>
          <w:rFonts w:cs="Times New Roman"/>
          <w:szCs w:val="24"/>
        </w:rPr>
        <w:t xml:space="preserve"> for antigen binding.  This is in line with our observation of higher affinity antibodies having less flexible antigen bound CDRs, with R</w:t>
      </w:r>
      <w:r w:rsidRPr="00C25845">
        <w:rPr>
          <w:rFonts w:cs="Times New Roman"/>
          <w:szCs w:val="24"/>
          <w:vertAlign w:val="superscript"/>
        </w:rPr>
        <w:t>2</w:t>
      </w:r>
      <w:r w:rsidRPr="00C25845">
        <w:rPr>
          <w:rFonts w:cs="Times New Roman"/>
          <w:szCs w:val="24"/>
        </w:rPr>
        <w:t xml:space="preserve">s of 0.75 and 0.65 when dihedral and Cartesian clustering were respectively plotted against affinity.  </w:t>
      </w:r>
      <w:r w:rsidR="00C252A4" w:rsidRPr="00C25845">
        <w:rPr>
          <w:rFonts w:cs="Times New Roman"/>
          <w:szCs w:val="24"/>
        </w:rPr>
        <w:t>Preorganization</w:t>
      </w:r>
      <w:r w:rsidRPr="00C25845">
        <w:rPr>
          <w:rFonts w:cs="Times New Roman"/>
          <w:szCs w:val="24"/>
        </w:rPr>
        <w:t xml:space="preserve"> has been proposed as a method to reduce cross-reactivity</w:t>
      </w:r>
      <w:r w:rsidR="003D66C4">
        <w:rPr>
          <w:rFonts w:cs="Times New Roman"/>
          <w:szCs w:val="24"/>
        </w:rPr>
        <w:t xml:space="preserve"> </w:t>
      </w:r>
      <w:r w:rsidRPr="00C25845">
        <w:rPr>
          <w:rFonts w:cs="Times New Roman"/>
          <w:szCs w:val="24"/>
        </w:rPr>
        <w:fldChar w:fldCharType="begin"/>
      </w:r>
      <w:r>
        <w:rPr>
          <w:rFonts w:cs="Times New Roman"/>
          <w:szCs w:val="24"/>
        </w:rPr>
        <w:instrText xml:space="preserve"> ADDIN ZOTERO_ITEM CSL_CITATION {"citationID":"JVGF17fA","properties":{"formattedCitation":"(60\\uc0\\u8211{}63)","plainCitation":"(60–63)","noteIndex":0},"citationItems":[{"id":277,"uris":["http://zotero.org/users/local/mmRtC3gY/items/F9CDHAI7"],"uri":["http://zotero.org/users/local/mmRtC3gY/items/F9CDHAI7"],"itemData":{"id":277,"type":"article-journal","abstract":"The somatic mutations accumulated in variable and framework regions of antibodies produce structural changes that increase the affinity towards the antigen. This implies conformational and non covalent bonding changes at the paratope, as well as possible quaternary structure changes and rearrangements at the VH–VL interface. The consequences of the affinity maturation on the stability of the Fv domain were studied in a system composed of two closely related antibodies, F10.6.6 and D44.1, which recognize the same hen egg-white lysozyme (HEL) epitope. The mAb F10.6.6 has an affinity constant 700 times higher than D44.1, due to a higher surface complementarity to HEL. The structure of the free form of the Fab F10.6.6 presented here allows a comparative study of the conformational changes produced upon binding to antigen. By means of structural comparison, kinetics and thermodynamics of binding and stability studies on Fab and Fv fragments of both antibodies, we have determined that the affinity maturation process of anti-protein antibodies affects the shape of the combining site and the secondary structure content of the variable domain, stabilizes the VH–VL interaction, and consequently produces an increase of the Fv domain stability, improving the binding to antigen.","container-title":"Journal of Molecular Biology","DOI":"10.1016/j.jmb.2007.09.005","ISSN":"0022-2836","issue":"1","journalAbbreviation":"Journal of Molecular Biology","language":"en","page":"130-146","source":"ScienceDirect","title":"Affinity Maturation Increases the Stability and Plasticity of the Fv Domain of Anti-protein Antibodies","volume":"374","author":[{"family":"Acierno","given":"Juan Pablo"},{"family":"Braden","given":"Bradford C."},{"family":"Klinke","given":"Sebastián"},{"family":"Goldbaum","given":"Fernando A."},{"family":"Cauerhff","given":"Ana"}],"issued":{"date-parts":[["2007",11,16]]}}},{"id":280,"uris":["http://zotero.org/users/local/mmRtC3gY/items/HAWEQQDQ"],"uri":["http://zotero.org/users/local/mmRtC3gY/items/HAWEQQDQ"],"itemData":{"id":280,"type":"article-journal","abstract":"The crystal structures of a germline antibody Fab fragment and its complex with hapten have been solved at 2.1 Å resolution. These structures are compared with the corresponding crystal structures of the affinity-matured antibody, 48G7, which has a 30,000 times higher affinity for hapten as a result of nine replacement somatic mutations. Significant changes in the configuration of the combining site occur upon binding of hapten to the germline antibody, whereas hapten binds to the mature antibody by a lock-and-key fit mechanism. The reorganization of the combining site that was nucleated by hapten binding is further optimized by somatic mutations that occur up to 15 Å from bound hapten. These results suggest that the binding potential of the primary antibody repertoire may be significantly expanded by the ability of germline antibodies to adopt more than one combining-site configuration, with both antigen binding and somatic mutation stabilizing the configuration with optimal hapten complementarity.","container-title":"Science","DOI":"10.1126/science.276.5319.1665","ISSN":"0036-8075, 1095-9203","issue":"5319","language":"en","note":"publisher: American Association for the Advancement of Science\nsection: Research Article\nPMID: 9180069","page":"1665-1669","source":"science.sciencemag.org","title":"Structural Insights into the Evolution of an Antibody Combining Site","volume":"276","author":[{"family":"Wedemayer","given":"Gary J."},{"family":"Patten","given":"Phillip A."},{"family":"Wang","given":"Leo H."},{"family":"Schultz","given":"Peter G."},{"family":"Stevens","given":"Raymond C."}],"issued":{"date-parts":[["1997",6,13]]}}},{"id":284,"uris":["http://zotero.org/users/local/mmRtC3gY/items/8JJB4GUJ"],"uri":["http://zotero.org/users/local/mmRtC3gY/items/8JJB4GUJ"],"itemData":{"id":284,"type":"article-journal","abstract":"In an effort to gain greater insight into the evolution of the redox active, catalytic antibody 28B4, the germline genes used by the mouse to generate this antibody were cloned and expressed, and the X-ray crystal structures of the unliganded and hapten-bound germline Fab of antibody 28B4 were determined. Comparison with the previously determined structures of the unliganded and hapten-bound affinity-matured Fab [Hsieh-Wilson, L. C., Schultz, P. G., and Stevens, R. C. (1996) Proc. Natl. Acad. Sci. U.S.A. 93, 5363] shows that the germline antibody binds the p-nitrophenyl ring of hapten 3 in an orientation significantly different from that seen in the affinity-matured antibody, whereas the phosphonate moiety is bound in a similar mode by both antibodies. The affinity-matured antibody 28B4 has more electrostatic and hydrophobic interactions with hapten 3 than the germline antibody and binds the hapten in a lock-and-key fashion. In contrast, significant conformational changes occur in the loops of CDR H3 and CDR L1 upon hapten binding to the germline antibody, consistent with the notion of structural plasticity in the germline antibody-combining site [Wedemayer, G. J., Patten, P. A., Wang, L. H., Schultz, P. G., and Stevens, R. C. (1997) Science 276, 1665]. The structural differences are reflected in the differential binding affinities of the germline Fab (Kd = 25 μM) and 28B4 Fab (Kd = 37 nM) to hapten 3. Nine replacement mutations were found to accumulate in the affinity-matured antibody 28B4 compared to its germline precursor. The effects of each mutation on the binding affinity of the antibody to hapten 3 were characterized in detail in the contexts of both the germline and the affinity-matured antibodies. One of the mutations, Asp95HTrp, leads to a change in the orientation of the bound hapten, and its presence is a prerequisite for other somatic mutations to enhance the binding affinity of the germline antibody for hapten 3. Thus, the germline antibody of 28B4 acquired functionally important mutations in a stepwise manner, which fits into a multicycle mutation, affinity selection, and clonal expansion model for germline antibody evolution. Two other antibodies, 20-1 and NZA6, with very different antigen specificities were found to be highly homologous to the germline antibody of 28B4, consistent with the notion that certain germline variable-region gene combinations can give rise to polyspecific hapten binding sites [Romesberg, F. E., Spiller, B., Schultz, P. G., and Stevens, R. C. (1998) Science 279, 1929]. The ultimate specificity of the polyspecific germline antibody appears to be defined by CDR H3 variability and subsequent somatic mutation. Insights into the evolution of antibody-combining sites provided by this and other structural studies are discussed.","container-title":"Biochemistry","DOI":"10.1021/bi010536c","ISSN":"0006-2960","issue":"36","journalAbbreviation":"Biochemistry","note":"publisher: American Chemical Society","page":"10764-10773","source":"ACS Publications","title":"A Comparative Analysis of the Immunological Evolution of Antibody 28B4","volume":"40","author":[{"family":"Yin","given":"Jun"},{"family":"Mundorff","given":"Emily C."},{"family":"Yang","given":"Priscilla L."},{"family":"Wendt","given":"K. Ulrich"},{"family":"Hanway","given":"Denise"},{"family":"Stevens","given":"Raymond C."},{"family":"Schultz","given":"Peter G."}],"issued":{"date-parts":[["2001",9,1]]}}},{"id":287,"uris":["http://zotero.org/users/local/mmRtC3gY/items/4GRMLQJJ"],"uri":["http://zotero.org/users/local/mmRtC3gY/items/4GRMLQJJ"],"itemData":{"id":287,"type":"article-journal","abstract":"The evolution of proteins with novel function is thought to start from precursor proteins that are conformationally heterogeneous. The corresponding genes may be duplicated and then mutated to select and optimize a specific conformation. However, testing this idea has been difficult because of the challenge of quantifying protein flexibility and conformational heterogeneity as a function of evolution. Here, we report the characterization of protein heterogeneity and dynamics as a function of evolution for the antifluorescein antibody 4-4-20. Using nonlinear laser spectroscopy, surface plasmon resonance, and molecular dynamics simulations, we demonstrate that evolution localized the Ab-combining site from a heterogeneous ensemble of conformations to a single conformation by introducing mutations that act cooperatively and over significant distances to rigidify the protein. This study demonstrates how protein dynamics may be tailored by evolution and has important implications for our understanding of how novel protein functions are evolved.","container-title":"Proceedings of the National Academy of Sciences","DOI":"10.1073/pnas.0603282103","ISSN":"0027-8424, 1091-6490","issue":"37","journalAbbreviation":"PNAS","language":"en","note":"publisher: National Academy of Sciences\nsection: Biological Sciences\nPMID: 16954202","page":"13722-13727","source":"www.pnas.org","title":"Antibody evolution constrains conformational heterogeneity by tailoring protein dynamics","volume":"103","author":[{"family":"Zimmermann","given":"Jörg"},{"family":"Oakman","given":"Erin L."},{"family":"Thorpe","given":"Ian F."},{"family":"Shi","given":"Xinghua"},{"family":"Abbyad","given":"Paul"},{"family":"Brooks","given":"Charles L."},{"family":"Boxer","given":"Steven G."},{"family":"Romesberg","given":"Floyd E."}],"issued":{"date-parts":[["2006",9,12]]}}}],"schema":"https://github.com/citation-style-language/schema/raw/master/csl-citation.json"} </w:instrText>
      </w:r>
      <w:r w:rsidRPr="00C25845">
        <w:rPr>
          <w:rFonts w:cs="Times New Roman"/>
          <w:szCs w:val="24"/>
        </w:rPr>
        <w:fldChar w:fldCharType="separate"/>
      </w:r>
      <w:r w:rsidRPr="00C25845">
        <w:rPr>
          <w:rFonts w:cs="Times New Roman"/>
          <w:szCs w:val="24"/>
        </w:rPr>
        <w:t>(60–63)</w:t>
      </w:r>
      <w:r w:rsidRPr="00C25845">
        <w:rPr>
          <w:rFonts w:cs="Times New Roman"/>
          <w:szCs w:val="24"/>
        </w:rPr>
        <w:fldChar w:fldCharType="end"/>
      </w:r>
      <w:r w:rsidRPr="00C25845">
        <w:rPr>
          <w:rFonts w:cs="Times New Roman"/>
          <w:szCs w:val="24"/>
        </w:rPr>
        <w:t>, but this may be exaggerated</w:t>
      </w:r>
      <w:r w:rsidR="003D66C4">
        <w:rPr>
          <w:rFonts w:cs="Times New Roman"/>
          <w:szCs w:val="24"/>
        </w:rPr>
        <w:t xml:space="preserve"> </w:t>
      </w:r>
      <w:r w:rsidRPr="00C25845">
        <w:rPr>
          <w:rFonts w:cs="Times New Roman"/>
          <w:szCs w:val="24"/>
        </w:rPr>
        <w:fldChar w:fldCharType="begin"/>
      </w:r>
      <w:r>
        <w:rPr>
          <w:rFonts w:cs="Times New Roman"/>
          <w:szCs w:val="24"/>
        </w:rPr>
        <w:instrText xml:space="preserve"> ADDIN ZOTERO_ITEM CSL_CITATION {"citationID":"aw2OUmGr","properties":{"formattedCitation":"(64)","plainCitation":"(64)","noteIndex":0},"citationItems":[{"id":294,"uris":["http://zotero.org/users/local/mmRtC3gY/items/C4VIXTAW"],"uri":["http://zotero.org/users/local/mmRtC3gY/items/C4VIXTAW"],"itemData":{"id":294,"type":"article-journal","abstract":"Antibodies can rapidly evolve in specific response to antigens. Affinity maturation drives this evolution through cycles of mutation and selection leading to enhanced antibody specificity and affinity. Elucidating the biophysical mechanisms that underlie affinity maturation is fundamental to understanding B-cell immunity. An emergent hypothesis is that affinity maturation reduces the conformational flexibility of the antibody’s antigen-binding paratope to minimize entropic losses incurred upon binding. In recent years, computational and experimental approaches have tested this hypothesis on a small number of antibodies, often observing a decrease in the flexibility of the Complementarity Determining Region (CDR) loops that typically comprise the paratope and in particular the CDR-H3 loop, which contributes a plurality of antigen contacts. However, there were a few exceptions, and previous studies were limited to a small handful of cases. Here, we determined the structural flexibility of the CDR-H3 loop for thousands of recently-determined homology models of the human peripheral blood cell antibody repertoire using rigidity theory. We found no clear delineation in the flexibility of naïve and antigen-experienced antibodies. To account for possible sources of error, we additionally analyzed hundreds of human and mouse antibodies in the Protein Data Bank through both rigidity theory and B-factor analysis. By both metrics, we observed only a slight decrease in the CDR-H3 loop flexibility when comparing affinity-matured antibodies to naïve antibodies, and the decrease was not as drastic as previously reported. Further analysis, incorporating molecular dynamics (MD) simulations, revealed a spectrum of changes in flexibility. Our results suggest that rigidification may be just one of many biophysical mechanisms for increasing affinity.","container-title":"Frontiers in Immunology","DOI":"10.3389/fimmu.2018.00413","ISSN":"1664-3224","journalAbbreviation":"Front. Immunol.","language":"English","note":"publisher: Frontiers","source":"Frontiers","title":"Repertoire Analysis of Antibody CDR-H3 Loops Suggests Affinity Maturation Does Not Typically Result in Rigidification","URL":"https://www.frontiersin.org/articles/10.3389/fimmu.2018.00413/full","volume":"9","author":[{"family":"Jeliazkov","given":"Jeliazko R."},{"family":"Sljoka","given":"Adnan"},{"family":"Kuroda","given":"Daisuke"},{"family":"Tsuchimura","given":"Nobuyuki"},{"family":"Katoh","given":"Naoki"},{"family":"Tsumoto","given":"Kouhei"},{"family":"Gray","given":"Jeffrey J."}],"accessed":{"date-parts":[["2020",5,23]]},"issued":{"date-parts":[["2018"]]}}}],"schema":"https://github.com/citation-style-language/schema/raw/master/csl-citation.json"} </w:instrText>
      </w:r>
      <w:r w:rsidRPr="00C25845">
        <w:rPr>
          <w:rFonts w:cs="Times New Roman"/>
          <w:szCs w:val="24"/>
        </w:rPr>
        <w:fldChar w:fldCharType="separate"/>
      </w:r>
      <w:r w:rsidRPr="00C25845">
        <w:rPr>
          <w:rFonts w:cs="Times New Roman"/>
        </w:rPr>
        <w:t>(64)</w:t>
      </w:r>
      <w:r w:rsidRPr="00C25845">
        <w:rPr>
          <w:rFonts w:cs="Times New Roman"/>
          <w:szCs w:val="24"/>
        </w:rPr>
        <w:fldChar w:fldCharType="end"/>
      </w:r>
      <w:r w:rsidRPr="00C25845">
        <w:rPr>
          <w:rFonts w:cs="Times New Roman"/>
          <w:szCs w:val="24"/>
        </w:rPr>
        <w:t xml:space="preserve">.  This exaggeration could explain the poor correlation between affinity and the apo/holo overlap of an antibody’s CDR conformational population, as well as the CDRs where flexibility changes upon antigen binding.  If </w:t>
      </w:r>
      <w:r w:rsidR="00C252A4" w:rsidRPr="00C25845">
        <w:rPr>
          <w:rFonts w:cs="Times New Roman"/>
          <w:szCs w:val="24"/>
        </w:rPr>
        <w:t>preorganization</w:t>
      </w:r>
      <w:r w:rsidRPr="00C25845">
        <w:rPr>
          <w:rFonts w:cs="Times New Roman"/>
          <w:szCs w:val="24"/>
        </w:rPr>
        <w:t xml:space="preserve"> were important, a smaller difference between antigen bound and unbound sampling would be correlated with better affinity.  The lack of preorganization in some CDRs also has implications for </w:t>
      </w:r>
      <w:r w:rsidRPr="00C25845">
        <w:rPr>
          <w:rFonts w:cs="Times New Roman"/>
          <w:szCs w:val="24"/>
        </w:rPr>
        <w:lastRenderedPageBreak/>
        <w:t xml:space="preserve">scoring functions that assume identical CDR conformations when antigen bound and unbound; Liu </w:t>
      </w:r>
      <w:r w:rsidRPr="00C25845">
        <w:rPr>
          <w:rFonts w:cs="Times New Roman"/>
          <w:i/>
          <w:iCs/>
          <w:szCs w:val="24"/>
        </w:rPr>
        <w:t>et al</w:t>
      </w:r>
      <w:r w:rsidRPr="00C25845">
        <w:rPr>
          <w:rFonts w:cs="Times New Roman"/>
          <w:szCs w:val="24"/>
        </w:rPr>
        <w:t xml:space="preserve"> for example measured binding by the difference in system energy between bound and unbound antibody designs</w:t>
      </w:r>
      <w:r w:rsidR="003D66C4">
        <w:rPr>
          <w:rFonts w:cs="Times New Roman"/>
          <w:szCs w:val="24"/>
        </w:rPr>
        <w:t xml:space="preserve"> </w:t>
      </w:r>
      <w:r w:rsidRPr="00C25845">
        <w:rPr>
          <w:rFonts w:cs="Times New Roman"/>
          <w:szCs w:val="24"/>
        </w:rPr>
        <w:fldChar w:fldCharType="begin"/>
      </w:r>
      <w:r>
        <w:rPr>
          <w:rFonts w:cs="Times New Roman"/>
          <w:szCs w:val="24"/>
        </w:rPr>
        <w:instrText xml:space="preserve"> ADDIN ZOTERO_ITEM CSL_CITATION {"citationID":"abb69mbn9l","properties":{"formattedCitation":"(13)","plainCitation":"(13)","noteIndex":0},"citationItems":[{"id":76,"uris":["http://zotero.org/users/local/mmRtC3gY/items/ZMXARYMN"],"uri":["http://zotero.org/users/local/mmRtC3gY/items/ZMXARYMN"],"itemData":{"id":76,"type":"article-journal","container-title":"Scientific Reports","DOI":"10.1038/srep41306","issue":"January","note":"publisher: Nature Publishing Group","page":"41306","title":"Computational design of an epitope-specific Keap1 binding antibody using hotspot residues grafting and CDR loop swapping","volume":"7","author":[{"family":"Liu","given":"Xiaofeng"},{"family":"Taylor","given":"Richard D."},{"family":"Griffin","given":"Laura"},{"family":"Coker","given":"Shu-Fen"},{"family":"Adams","given":"Ralph"},{"family":"Ceska","given":"Tom"},{"family":"Shi","given":"Jiye"},{"family":"Lawson","given":"Alastair D. G."},{"family":"Baker","given":"Terry"}],"issued":{"date-parts":[["2017"]]}},"locator":"1"}],"schema":"https://github.com/citation-style-language/schema/raw/master/csl-citation.json"} </w:instrText>
      </w:r>
      <w:r w:rsidRPr="00C25845">
        <w:rPr>
          <w:rFonts w:cs="Times New Roman"/>
          <w:szCs w:val="24"/>
        </w:rPr>
        <w:fldChar w:fldCharType="separate"/>
      </w:r>
      <w:r w:rsidRPr="00C25845">
        <w:rPr>
          <w:rFonts w:cs="Times New Roman"/>
        </w:rPr>
        <w:t>(13)</w:t>
      </w:r>
      <w:r w:rsidRPr="00C25845">
        <w:rPr>
          <w:rFonts w:cs="Times New Roman"/>
          <w:szCs w:val="24"/>
        </w:rPr>
        <w:fldChar w:fldCharType="end"/>
      </w:r>
      <w:r w:rsidRPr="00C25845">
        <w:rPr>
          <w:rFonts w:cs="Times New Roman"/>
          <w:szCs w:val="24"/>
        </w:rPr>
        <w:t>.  This definition would not capture differences in binding state-specific flexibility and could be another reason for the presence of false positives.</w:t>
      </w:r>
    </w:p>
    <w:p w14:paraId="193D7E9F" w14:textId="06DD32B7" w:rsidR="00C25845" w:rsidRPr="00C25845" w:rsidRDefault="00C25845" w:rsidP="00C25845">
      <w:pPr>
        <w:rPr>
          <w:rFonts w:cs="Times New Roman"/>
          <w:szCs w:val="24"/>
        </w:rPr>
      </w:pPr>
      <w:r w:rsidRPr="00C25845">
        <w:rPr>
          <w:rFonts w:cs="Times New Roman"/>
          <w:szCs w:val="24"/>
        </w:rPr>
        <w:t>We also note that plotting affinity against the differences between apo and holo sampling give much lower R</w:t>
      </w:r>
      <w:r w:rsidRPr="00C25845">
        <w:rPr>
          <w:rFonts w:cs="Times New Roman"/>
          <w:szCs w:val="24"/>
          <w:vertAlign w:val="superscript"/>
        </w:rPr>
        <w:t>2</w:t>
      </w:r>
      <w:r w:rsidRPr="00C25845">
        <w:rPr>
          <w:rFonts w:cs="Times New Roman"/>
          <w:szCs w:val="24"/>
        </w:rPr>
        <w:t>s (Supplementary Fig. 4</w:t>
      </w:r>
      <w:r w:rsidR="00EE7452">
        <w:rPr>
          <w:rFonts w:cs="Times New Roman"/>
          <w:szCs w:val="24"/>
        </w:rPr>
        <w:t>E</w:t>
      </w:r>
      <w:r w:rsidRPr="00C25845">
        <w:rPr>
          <w:rFonts w:cs="Times New Roman"/>
          <w:szCs w:val="24"/>
        </w:rPr>
        <w:t xml:space="preserve"> and 4</w:t>
      </w:r>
      <w:r w:rsidR="00EE7452">
        <w:rPr>
          <w:rFonts w:cs="Times New Roman"/>
          <w:szCs w:val="24"/>
        </w:rPr>
        <w:t>F</w:t>
      </w:r>
      <w:r w:rsidRPr="00C25845">
        <w:rPr>
          <w:rFonts w:cs="Times New Roman"/>
          <w:szCs w:val="24"/>
        </w:rPr>
        <w:t>).  We thus cannot relate antibody affinity to entropically driven changes in CDR flexibility.  This does not exclude the possibility of entropic contributions by solvent.  Numerous studies have dissected the thermodynamic signature of antibody binding using isothermal titration calorimetry (ITC).  The majority propose that antibody binding is predominantly enthalpic</w:t>
      </w:r>
      <w:r w:rsidR="003D66C4">
        <w:rPr>
          <w:rFonts w:cs="Times New Roman"/>
          <w:szCs w:val="24"/>
        </w:rPr>
        <w:t xml:space="preserve"> </w:t>
      </w:r>
      <w:r w:rsidRPr="00C25845">
        <w:rPr>
          <w:rFonts w:cs="Times New Roman"/>
          <w:szCs w:val="24"/>
        </w:rPr>
        <w:fldChar w:fldCharType="begin"/>
      </w:r>
      <w:r>
        <w:rPr>
          <w:rFonts w:cs="Times New Roman"/>
          <w:szCs w:val="24"/>
        </w:rPr>
        <w:instrText xml:space="preserve"> ADDIN ZOTERO_ITEM CSL_CITATION {"citationID":"igDgs2DO","properties":{"formattedCitation":"(65\\uc0\\u8211{}67)","plainCitation":"(65–67)","noteIndex":0},"citationItems":[{"id":245,"uris":["http://zotero.org/users/local/mmRtC3gY/items/XMVNVFA6"],"uri":["http://zotero.org/users/local/mmRtC3gY/items/XMVNVFA6"],"itemData":{"id":245,"type":"article-journal","abstract":"The thermodynamics of a monoclonal antibody (mAb)-peptide interaction have been characterized by isothermal titration microcalorimetry. GCC:B10 mAb, generated against human guanylyl cyclase C, a membrane-associated receptor and a potential marker for metastatic colon cancer, recognizes the cognate peptide epitope HIPPENIFPLE and its two contiguous mimotopes, HIPPEN and ENIFPLE, specifically and reversibly. The exothermic binding reactions between 6.4 and 42 °C are driven by dominant favorable enthalpic contributions between 20 and 42 °C, with a large negative heat capacity (ΔC p) of −421 ± 27 cal mol−1 K−1. The unfavorable negative value of entropy (ΔS b 0) at 25 °C, an unusual feature among protein-protein interactions, becomes a positive one below an inversion temperature of 20.5 °C. Enthalpy-entropy compensation due to solvent reorganization accounts for an essentially unchanged free energy of interaction (ΔΔG b 0 </w:instrText>
      </w:r>
      <w:r>
        <w:rPr>
          <w:rFonts w:ascii="Cambria Math" w:hAnsi="Cambria Math" w:cs="Cambria Math"/>
          <w:szCs w:val="24"/>
        </w:rPr>
        <w:instrText>≅</w:instrText>
      </w:r>
      <w:r>
        <w:rPr>
          <w:rFonts w:cs="Times New Roman"/>
          <w:szCs w:val="24"/>
        </w:rPr>
        <w:instrText xml:space="preserve"> 0). The role of water molecules in the recognition process was tested by coupling an osmotic stress technique with isothermal titration microcalorimetry. The results provide direct and compelling evidence that GCC :B10 mAb recognizes the peptides HIPPENIFPLE, HIPPEN, and ENIFPLE differentially, with a concomitant release of variable and nonadditive numbers of water molecules (15, 7, and 3, respectively) from the vicinity of the binding site.","container-title":"Journal of Biological Chemistry","DOI":"10.1074/jbc.274.44.31272","ISSN":"0021-9258, 1083-351X","issue":"44","journalAbbreviation":"J. Biol. Chem.","language":"en","note":"publisher: American Society for Biochemistry and Molecular Biology\nPMID: 10531324","page":"31272-31278","source":"www.jbc.org","title":"Thermodynamic Analyses Reveal Role of Water Release in Epitope Recognition by a Monoclonal Antibody against the Human Guanylyl Cyclase C Receptor","volume":"274","author":[{"family":"Swaminathan","given":"Chittoor P."},{"family":"Nandi","given":"Animesh"},{"family":"Visweswariah","given":"Sandhya S."},{"family":"Surolia","given":"Avadhesha"}],"issued":{"date-parts":[["1999",10,29]]}}},{"id":249,"uris":["http://zotero.org/users/local/mmRtC3gY/items/QBG3XHLA"],"uri":["http://zotero.org/users/local/mmRtC3gY/items/QBG3XHLA"],"itemData":{"id":249,"type":"article-journal","abstract":"The third variable region (V3) of HIV-1 gp120 plays a key role in viral entry into host cells; thus, it is a potential target for vaccine design. Human monoclonal antibody (mAb) 447–52D is one of the most broadly and potently neutralizing anti-V3 mAbs. We further characterized the 447–52D epitope by determining a high-resolution crystal structure of the Fab fragment in complex with a cyclic V3 and interrogated the antigen–antibody interaction by a combination of site-specific mutagenesis, isothermal titration calorimetry (ITC) and neutralization assays. We found that 447–52D’s neutralization capability is correlated with its binding affinity and at 25 °C the Gibbs free binding energy is composed of a large enthalpic component and a small favorable entropic component. The large enthalpic contribution is due to (i) an extensive hydrogen bond network, (ii) a π–cation sandwiching the V3 crown apex residue Arg315, and (iii) a salt bridge between the 447–52D heavy chain residue AspH95 and Arg315. Arg315 is often harbored by clade B viruses; thus, our data explained why 447–52D preferentially neutralizes clade B viruses. Interrogation of the thermodynamic signatures of residues at the antigen binding interface gives key insights into their contributions in the antigen–antibody interaction.","container-title":"Biochemistry","DOI":"10.1021/bi400645e","ISSN":"0006-2960","issue":"36","journalAbbreviation":"Biochemistry","note":"publisher: American Chemical Society","page":"6249-6257","source":"ACS Publications","title":"Thermodynamic Signatures of the Antigen Binding Site of mAb 447–52D Targeting the Third Variable Region of HIV-1 gp120","volume":"52","author":[{"family":"Killikelly","given":"April"},{"family":"Zhang","given":"Hui-Tang"},{"family":"Spurrier","given":"Brett"},{"family":"Williams","given":"Constance"},{"family":"Gorny","given":"Miroslaw K."},{"family":"Zolla-Pazner","given":"Susan"},{"family":"Kong","given":"Xiang-Peng"}],"issued":{"date-parts":[["2013",9,10]]}}},{"id":254,"uris":["http://zotero.org/users/local/mmRtC3gY/items/BPDM4NLW"],"uri":["http://zotero.org/users/local/mmRtC3gY/items/BPDM4NLW"],"itemData":{"id":254,"type":"article-journal","abstract":"Single-domain antibodies (VHHs or nanobodies), developed from heavy chain-only antibodies of camelids, are gaining attention as next-generation therapeutic agents. Despite their small size, the high affinity and specificity displayed by VHHs for antigen molecules rival those of IgGs. How such small antibodies achieve that level of performance? Structural studies have revealed that VHHs tend to recognize concave surfaces of their antigens with high shape-complementarity. However, the energetic contribution of individual residues located at the binding interface has not been addressed in detail, obscuring the actual mechanism by which VHHs target the concave surfaces of proteins. Herein, we show that a VHH specific for hen egg lysozyme, D3-L11, not only displayed the characteristic binding of VHHs to a concave region of the surface of the antigen, but also exhibited a distribution of energetic hot-spots like those of IgGs and conventional protein-protein complexes. The highly preorganized and energetically compact interface of D3-L11 recognizes the concave epitope with high shape complementarity by the classical lock-and-key mechanism. Our results shed light on the fundamental basis by which a particular VHH accommodate to the concave surface of an antigens with high affinity in a specific manner, enriching the mechanistic landscape of VHHs.","container-title":"Scientific Reports","DOI":"10.1038/s41598-019-50722-y","ISSN":"2045-2322","issue":"1","language":"en","note":"number: 1\npublisher: Nature Publishing Group","page":"15481","source":"www.nature.com","title":"Structural and thermodynamic basis for the recognition of the substrate-binding cleft on hen egg lysozyme by a single-domain antibody","volume":"9","author":[{"family":"Akiba","given":"Hiroki"},{"family":"Tamura","given":"Hiroko"},{"family":"Kiyoshi","given":"Masato"},{"family":"Yanaka","given":"Saeko"},{"family":"Sugase","given":"Kenji"},{"family":"Caaveiro","given":"Jose M. M."},{"family":"Tsumoto","given":"Kouhei"}],"issued":{"date-parts":[["2019",10,29]]}}}],"schema":"https://github.com/citation-style-language/schema/raw/master/csl-citation.json"} </w:instrText>
      </w:r>
      <w:r w:rsidRPr="00C25845">
        <w:rPr>
          <w:rFonts w:cs="Times New Roman"/>
          <w:szCs w:val="24"/>
        </w:rPr>
        <w:fldChar w:fldCharType="separate"/>
      </w:r>
      <w:r w:rsidRPr="00C25845">
        <w:rPr>
          <w:rFonts w:cs="Times New Roman"/>
          <w:szCs w:val="24"/>
        </w:rPr>
        <w:t>(65–67)</w:t>
      </w:r>
      <w:r w:rsidRPr="00C25845">
        <w:rPr>
          <w:rFonts w:cs="Times New Roman"/>
          <w:szCs w:val="24"/>
        </w:rPr>
        <w:fldChar w:fldCharType="end"/>
      </w:r>
      <w:r w:rsidRPr="00C25845">
        <w:rPr>
          <w:rFonts w:cs="Times New Roman"/>
          <w:szCs w:val="24"/>
        </w:rPr>
        <w:t>, but two cases of entropy driven binding were also reported.  The first involved an antibody against a staphylococcal nuclease-derived peptide, where binding to the peptide was enthalpic but binding to the whole nuclease was entropic</w:t>
      </w:r>
      <w:r w:rsidR="003D66C4">
        <w:rPr>
          <w:rFonts w:cs="Times New Roman"/>
          <w:szCs w:val="24"/>
        </w:rPr>
        <w:t xml:space="preserve"> </w:t>
      </w:r>
      <w:r w:rsidRPr="00C25845">
        <w:rPr>
          <w:rFonts w:cs="Times New Roman"/>
          <w:szCs w:val="24"/>
        </w:rPr>
        <w:fldChar w:fldCharType="begin"/>
      </w:r>
      <w:r>
        <w:rPr>
          <w:rFonts w:cs="Times New Roman"/>
          <w:szCs w:val="24"/>
        </w:rPr>
        <w:instrText xml:space="preserve"> ADDIN ZOTERO_ITEM CSL_CITATION {"citationID":"5kkPQ1Dj","properties":{"formattedCitation":"(68)","plainCitation":"(68)","noteIndex":0},"citationItems":[{"id":257,"uris":["http://zotero.org/users/local/mmRtC3gY/items/B8B98KIR"],"uri":["http://zotero.org/users/local/mmRtC3gY/items/B8B98KIR"],"itemData":{"id":257,"type":"article-journal","abstract":"The mechanism by which antibodies elicited against protein-derived peptides achieve cross-reactivity with their cognate proteins remains unknown. To address this question, we have carried out the complete thermodynamic characterization of the association of a monoclonal antibody (260.33.12) raised against a peptide (SNpep) derived from staphylococcal nuclease (SNase) with both eliciting peptide and cognate protein. Although both ligands bind with similar affinity (Kd=0.42μM and 0.30μM for protein and peptide, respectively), protein and peptide binding have highly different thermodynamic signatures: peptide binding is characterized by a large enthalpic contribution (ΔH=−7.7kcal/mol) whereas protein binding is dominated by a large entropic contribution (−TΔS=−7.2kcal/mol). The structure of the SNpep:Fab complex, determined by X-ray diffraction, reveals that the bound conformation of the peptide differs from the conformation of the corresponding loop region in crystal structures of free SNase. The energy difference, estimated by molecular dynamics simulations between native SNase and a model in which the Ω-loop is built in the conformation of the Fab-bound peptide, shows that the energetic cost of adopting this conformation is compatible with the enthalpic cost of binding the protein vis-à-vis the peptide. These results are compatible with a mechanism by which the anti-peptide antibody recognizes the cognate protein: high affinity is maintained upon binding a non-native conformation by offsetting enthalpic penalties with reduced entropic losses. These findings provide potentially useful guidelines for the identification of linear epitopes within protein sequences that are well suited for the development of synthetic peptide vaccines.","container-title":"Journal of Molecular Biology","DOI":"10.1016/j.jmb.2013.02.031","ISSN":"0022-2836","issue":"11","journalAbbreviation":"Journal of Molecular Biology","language":"en","page":"2027-2038","source":"ScienceDirect","title":"Structural and Thermodynamic Insights into the Recognition of Native Proteins by Anti-Peptide Antibodies","volume":"425","author":[{"family":"Armstrong","given":"Anthony A."},{"family":"Hildreth","given":"James E. K."},{"family":"Amzel","given":"L. Mario"}],"issued":{"date-parts":[["2013",6,12]]}}}],"schema":"https://github.com/citation-style-language/schema/raw/master/csl-citation.json"} </w:instrText>
      </w:r>
      <w:r w:rsidRPr="00C25845">
        <w:rPr>
          <w:rFonts w:cs="Times New Roman"/>
          <w:szCs w:val="24"/>
        </w:rPr>
        <w:fldChar w:fldCharType="separate"/>
      </w:r>
      <w:r w:rsidRPr="00C25845">
        <w:rPr>
          <w:rFonts w:cs="Times New Roman"/>
        </w:rPr>
        <w:t>(68)</w:t>
      </w:r>
      <w:r w:rsidRPr="00C25845">
        <w:rPr>
          <w:rFonts w:cs="Times New Roman"/>
          <w:szCs w:val="24"/>
        </w:rPr>
        <w:fldChar w:fldCharType="end"/>
      </w:r>
      <w:r w:rsidRPr="00C25845">
        <w:rPr>
          <w:rFonts w:cs="Times New Roman"/>
          <w:szCs w:val="24"/>
        </w:rPr>
        <w:t>.  However, crystal structures suggested that the enzyme undergoes conformational change to achieve the peptide fragment’s antibody interactions, thereby making binding more entropically driven.  The second case did perform ITC against its intended antigen, and the nanobody with the longest and most hydrophobic CDR3 employed entropy driven binding</w:t>
      </w:r>
      <w:r w:rsidR="003D66C4">
        <w:rPr>
          <w:rFonts w:cs="Times New Roman"/>
          <w:szCs w:val="24"/>
        </w:rPr>
        <w:t xml:space="preserve"> </w:t>
      </w:r>
      <w:r w:rsidRPr="00C25845">
        <w:rPr>
          <w:rFonts w:cs="Times New Roman"/>
          <w:szCs w:val="24"/>
        </w:rPr>
        <w:fldChar w:fldCharType="begin"/>
      </w:r>
      <w:r>
        <w:rPr>
          <w:rFonts w:cs="Times New Roman"/>
          <w:szCs w:val="24"/>
        </w:rPr>
        <w:instrText xml:space="preserve"> ADDIN ZOTERO_ITEM CSL_CITATION {"citationID":"hSkYftNo","properties":{"formattedCitation":"(69)","plainCitation":"(69)","noteIndex":0},"citationItems":[{"id":260,"uris":["http://zotero.org/users/local/mmRtC3gY/items/87KHKUKR"],"uri":["http://zotero.org/users/local/mmRtC3gY/items/87KHKUKR"],"itemData":{"id":260,"type":"article-journal","abstract":"One of the hallmarks of cancer is the overproduction of growth factors such as EGF. Despite the clinical success achieved by EGFR-targeted therapies, their long-term efficacy is compromised by the onset of drug-resistant mutations. To address this issue, a family of camelid-derived single-domain antibodies (Nbs) were generated, obtaining the first direct EGF inhibitors that prevent EGFR phosphorylation and pathway activation through this new mechanism of action. The two best Nbs were subjected to a detailed investigation of their interaction mechanism that revealed important differences in their binding kinetics and equilibrium thermodynamics. These distinct behaviors at the biophysical level translate into an equally efficient inhibition of the cellular EGFR phosphorylation, thus proving the efficacy of these Nbs to turn off the initiation of this key oncogenic pathway in cancer cells.","container-title":"Angewandte Chemie International Edition","DOI":"10.1002/anie.201807736","ISSN":"1521-3773","issue":"42","language":"en","note":"_eprint: https://onlinelibrary.wiley.com/doi/pdf/10.1002/anie.201807736","page":"13843-13847","source":"Wiley Online Library","title":"Blocking EGFR Activation with Anti-EGF Nanobodies via Two Distinct Molecular Recognition Mechanisms","volume":"57","author":[{"family":"Guardiola","given":"Salvador"},{"family":"Varese","given":"Monica"},{"family":"Sánchez‐Navarro","given":"Macarena"},{"family":"Vincke","given":"Cécile"},{"family":"Teixidó","given":"Meritxell"},{"family":"García","given":"Jesús"},{"family":"Muyldermans","given":"Serge"},{"family":"Giralt","given":"Ernest"}],"issued":{"date-parts":[["2018"]]}}}],"schema":"https://github.com/citation-style-language/schema/raw/master/csl-citation.json"} </w:instrText>
      </w:r>
      <w:r w:rsidRPr="00C25845">
        <w:rPr>
          <w:rFonts w:cs="Times New Roman"/>
          <w:szCs w:val="24"/>
        </w:rPr>
        <w:fldChar w:fldCharType="separate"/>
      </w:r>
      <w:r w:rsidRPr="00C25845">
        <w:rPr>
          <w:rFonts w:cs="Times New Roman"/>
        </w:rPr>
        <w:t>(69)</w:t>
      </w:r>
      <w:r w:rsidRPr="00C25845">
        <w:rPr>
          <w:rFonts w:cs="Times New Roman"/>
          <w:szCs w:val="24"/>
        </w:rPr>
        <w:fldChar w:fldCharType="end"/>
      </w:r>
      <w:r w:rsidRPr="00C25845">
        <w:rPr>
          <w:rFonts w:cs="Times New Roman"/>
          <w:szCs w:val="24"/>
        </w:rPr>
        <w:t>.  Here, entropic binding could be attributed to antibody flexibility or solvent by the hydrophobic effect.</w:t>
      </w:r>
    </w:p>
    <w:p w14:paraId="672F4E96" w14:textId="6D140FD8" w:rsidR="00C25845" w:rsidRPr="00C25845" w:rsidRDefault="00C25845" w:rsidP="00C25845">
      <w:pPr>
        <w:rPr>
          <w:rFonts w:cs="Times New Roman"/>
          <w:szCs w:val="24"/>
        </w:rPr>
      </w:pPr>
      <w:r w:rsidRPr="00C25845">
        <w:rPr>
          <w:rFonts w:cs="Times New Roman"/>
          <w:szCs w:val="24"/>
        </w:rPr>
        <w:t>The correlations presented are not always clear, such as the R</w:t>
      </w:r>
      <w:r w:rsidRPr="00C25845">
        <w:rPr>
          <w:rFonts w:cs="Times New Roman"/>
          <w:szCs w:val="24"/>
          <w:vertAlign w:val="superscript"/>
        </w:rPr>
        <w:t>2</w:t>
      </w:r>
      <w:r w:rsidRPr="00C25845">
        <w:rPr>
          <w:rFonts w:cs="Times New Roman"/>
          <w:szCs w:val="24"/>
        </w:rPr>
        <w:t xml:space="preserve"> of 0.65 for numbers of holo PCA clusters against affinity.  These poorer correlations could be attributed to limitations in our study.  The majority of these were imposed by computational limits: a small dataset of only nine antibodies, simulating only the Fv region, and only 100 ns of REST2 simulation per structure.  Firstly, we imposed a number of strict criteria to obtain a high quality dataset with a range of affinities, minimal redundancy in antibody and antigen sequences, sufficiently high resolution structures for simulation, no missing Fv residues, and both antigen bound and unbound structures available.  For our choice of only simulating the Fv, our current setup already gave very large systems, and involved 40 µs of advanced molecular dynamics simulations using national level supercomputing services, not including preliminary work to </w:t>
      </w:r>
      <w:r w:rsidR="00C252A4" w:rsidRPr="00C25845">
        <w:rPr>
          <w:rFonts w:cs="Times New Roman"/>
          <w:szCs w:val="24"/>
        </w:rPr>
        <w:t>optimize</w:t>
      </w:r>
      <w:r w:rsidRPr="00C25845">
        <w:rPr>
          <w:rFonts w:cs="Times New Roman"/>
          <w:szCs w:val="24"/>
        </w:rPr>
        <w:t xml:space="preserve"> our protocols.  These large systems and usage of the REST2 technique heavily limited simulation lengths, and in certain cases the conformational populations of CDRs have not converged (Supplementary Fig. 8).  Additionally, the modelling of anti-LFA was suboptimal, due to a Mn</w:t>
      </w:r>
      <w:r w:rsidRPr="00C25845">
        <w:rPr>
          <w:rFonts w:cs="Times New Roman"/>
          <w:szCs w:val="24"/>
          <w:vertAlign w:val="superscript"/>
        </w:rPr>
        <w:t>2+</w:t>
      </w:r>
      <w:r w:rsidRPr="00C25845">
        <w:rPr>
          <w:rFonts w:cs="Times New Roman"/>
          <w:szCs w:val="24"/>
        </w:rPr>
        <w:t xml:space="preserve"> ion present in the epitope.  Simulation of metal ions by point charge models has long posed many challenges, and in the absence of quantum mechanics methods, the results regarding that structure may be less accurate than the rest of the dataset</w:t>
      </w:r>
      <w:r w:rsidR="00DA0DF1">
        <w:rPr>
          <w:rFonts w:cs="Times New Roman"/>
          <w:szCs w:val="24"/>
        </w:rPr>
        <w:t xml:space="preserve"> </w:t>
      </w:r>
      <w:r w:rsidRPr="00C25845">
        <w:rPr>
          <w:rFonts w:cs="Times New Roman"/>
          <w:szCs w:val="24"/>
        </w:rPr>
        <w:fldChar w:fldCharType="begin"/>
      </w:r>
      <w:r>
        <w:rPr>
          <w:rFonts w:cs="Times New Roman"/>
          <w:szCs w:val="24"/>
        </w:rPr>
        <w:instrText xml:space="preserve"> ADDIN ZOTERO_ITEM CSL_CITATION {"citationID":"p9cWS7ju","properties":{"formattedCitation":"(70)","plainCitation":"(70)","noteIndex":0},"citationItems":[{"id":302,"uris":["http://zotero.org/users/local/mmRtC3gY/items/JBEUNLPJ"],"uri":["http://zotero.org/users/local/mmRtC3gY/items/JBEUNLPJ"],"itemData":{"id":302,"type":"article-journal","abstract":"Metal ions play significant roles in numerous fields including chemistry, geochemistry, biochemistry, and materials science. With computational tools increasingly becoming important in chemical research, methods have emerged to effectively face the challenge of modeling metal ions in the gas, aqueous, and solid phases. Herein, we review both quantum and classical modeling strategies for metal ion-containing systems that have been developed over the past few decades. This Review focuses on classical metal ion modeling based on unpolarized models (including the nonbonded, bonded, cationic dummy atom, and combined models), polarizable models (e.g., the fluctuating charge, Drude oscillator, and the induced dipole models), the angular overlap model, and valence bond-based models. Quantum mechanical studies of metal ion-containing systems at the semiempirical, ab initio, and density functional levels of theory are reviewed as well with a particular focus on how these methods inform classical modeling efforts. Finally, conclusions and future prospects and directions are offered that will further enhance the classical modeling of metal ion-containing systems.","container-title":"Chemical Reviews","DOI":"10.1021/acs.chemrev.6b00440","ISSN":"0009-2665","issue":"3","journalAbbreviation":"Chem. Rev.","note":"publisher: American Chemical Society","page":"1564-1686","source":"ACS Publications","title":"Metal Ion Modeling Using Classical Mechanics","volume":"117","author":[{"family":"Li","given":"Pengfei"},{"family":"Merz","given":"Kenneth M."}],"issued":{"date-parts":[["2017",2,8]]}}}],"schema":"https://github.com/citation-style-language/schema/raw/master/csl-citation.json"} </w:instrText>
      </w:r>
      <w:r w:rsidRPr="00C25845">
        <w:rPr>
          <w:rFonts w:cs="Times New Roman"/>
          <w:szCs w:val="24"/>
        </w:rPr>
        <w:fldChar w:fldCharType="separate"/>
      </w:r>
      <w:r w:rsidRPr="00C25845">
        <w:rPr>
          <w:rFonts w:cs="Times New Roman"/>
        </w:rPr>
        <w:t>(70)</w:t>
      </w:r>
      <w:r w:rsidRPr="00C25845">
        <w:rPr>
          <w:rFonts w:cs="Times New Roman"/>
          <w:szCs w:val="24"/>
        </w:rPr>
        <w:fldChar w:fldCharType="end"/>
      </w:r>
      <w:r w:rsidRPr="00C25845">
        <w:rPr>
          <w:rFonts w:cs="Times New Roman"/>
          <w:szCs w:val="24"/>
        </w:rPr>
        <w:t>.  We acknowledge that this study, despite our best efforts, only offers a limited insight into these complexes.</w:t>
      </w:r>
      <w:r w:rsidR="00E85AEA">
        <w:rPr>
          <w:rFonts w:cs="Times New Roman"/>
          <w:szCs w:val="24"/>
        </w:rPr>
        <w:t xml:space="preserve">  Despite these limitations, the dataset presented here is the longest timescale simulation of antibodies to our knowledge</w:t>
      </w:r>
      <w:r w:rsidR="006B1CCA">
        <w:rPr>
          <w:rFonts w:cs="Times New Roman"/>
          <w:szCs w:val="24"/>
        </w:rPr>
        <w:t xml:space="preserve">.  </w:t>
      </w:r>
      <w:r w:rsidR="007A3F3F">
        <w:rPr>
          <w:rFonts w:cs="Times New Roman"/>
          <w:szCs w:val="24"/>
        </w:rPr>
        <w:t>Here we correlate</w:t>
      </w:r>
      <w:r w:rsidR="006B1CCA">
        <w:rPr>
          <w:rFonts w:cs="Times New Roman"/>
          <w:szCs w:val="24"/>
        </w:rPr>
        <w:t xml:space="preserve"> antibody dynamics </w:t>
      </w:r>
      <w:r w:rsidR="000049E3">
        <w:rPr>
          <w:rFonts w:cs="Times New Roman"/>
          <w:szCs w:val="24"/>
        </w:rPr>
        <w:t xml:space="preserve">with </w:t>
      </w:r>
      <w:r w:rsidR="0062719F">
        <w:rPr>
          <w:rFonts w:cs="Times New Roman"/>
          <w:szCs w:val="24"/>
        </w:rPr>
        <w:t xml:space="preserve">measured </w:t>
      </w:r>
      <w:r w:rsidR="00F861A2">
        <w:rPr>
          <w:rFonts w:cs="Times New Roman"/>
          <w:szCs w:val="24"/>
        </w:rPr>
        <w:t>binding</w:t>
      </w:r>
      <w:r w:rsidR="0062719F">
        <w:rPr>
          <w:rFonts w:cs="Times New Roman"/>
          <w:szCs w:val="24"/>
        </w:rPr>
        <w:t xml:space="preserve"> affinities</w:t>
      </w:r>
      <w:r w:rsidR="000049E3">
        <w:rPr>
          <w:rFonts w:cs="Times New Roman"/>
          <w:szCs w:val="24"/>
        </w:rPr>
        <w:t>, a</w:t>
      </w:r>
      <w:r w:rsidR="00877B54">
        <w:rPr>
          <w:rFonts w:cs="Times New Roman"/>
          <w:szCs w:val="24"/>
        </w:rPr>
        <w:t>nd the conclusions that higher affinity antibodies are more rigid and form more antigen interactions are not unexpected</w:t>
      </w:r>
      <w:r w:rsidR="00E85AEA">
        <w:rPr>
          <w:rFonts w:cs="Times New Roman"/>
          <w:szCs w:val="24"/>
        </w:rPr>
        <w:t>.</w:t>
      </w:r>
    </w:p>
    <w:p w14:paraId="1CE6AC82" w14:textId="1EE21843" w:rsidR="00C25845" w:rsidRPr="00C25845" w:rsidRDefault="00C25845" w:rsidP="00C25845">
      <w:pPr>
        <w:rPr>
          <w:rFonts w:cs="Times New Roman"/>
          <w:szCs w:val="24"/>
          <w:lang w:val="en-GB"/>
        </w:rPr>
      </w:pPr>
      <w:r w:rsidRPr="00C25845">
        <w:rPr>
          <w:rFonts w:cs="Times New Roman"/>
          <w:szCs w:val="24"/>
        </w:rPr>
        <w:t xml:space="preserve">To conclude, we have </w:t>
      </w:r>
      <w:r w:rsidR="00C252A4" w:rsidRPr="00C25845">
        <w:rPr>
          <w:rFonts w:cs="Times New Roman"/>
          <w:szCs w:val="24"/>
        </w:rPr>
        <w:t>analyzed</w:t>
      </w:r>
      <w:r w:rsidRPr="00C25845">
        <w:rPr>
          <w:rFonts w:cs="Times New Roman"/>
          <w:szCs w:val="24"/>
        </w:rPr>
        <w:t xml:space="preserve"> the antibody-antigen interface using extensive simulations of </w:t>
      </w:r>
      <w:r w:rsidR="00526C2C">
        <w:rPr>
          <w:szCs w:val="24"/>
        </w:rPr>
        <w:t xml:space="preserve">nine </w:t>
      </w:r>
      <w:r w:rsidR="00526C2C" w:rsidRPr="00C25845">
        <w:rPr>
          <w:rFonts w:cs="Times New Roman"/>
          <w:szCs w:val="24"/>
        </w:rPr>
        <w:t>antibody</w:t>
      </w:r>
      <w:r w:rsidR="00526C2C">
        <w:rPr>
          <w:rFonts w:cs="Times New Roman"/>
          <w:szCs w:val="24"/>
        </w:rPr>
        <w:t>-antigen crystal</w:t>
      </w:r>
      <w:r w:rsidR="00526C2C" w:rsidRPr="00C25845">
        <w:rPr>
          <w:rFonts w:cs="Times New Roman"/>
          <w:szCs w:val="24"/>
        </w:rPr>
        <w:t xml:space="preserve"> structure</w:t>
      </w:r>
      <w:r w:rsidR="00526C2C">
        <w:rPr>
          <w:rFonts w:cs="Times New Roman"/>
          <w:szCs w:val="24"/>
        </w:rPr>
        <w:t xml:space="preserve"> pair</w:t>
      </w:r>
      <w:r w:rsidR="00526C2C" w:rsidRPr="00C25845">
        <w:rPr>
          <w:rFonts w:cs="Times New Roman"/>
          <w:szCs w:val="24"/>
        </w:rPr>
        <w:t>s</w:t>
      </w:r>
      <w:r w:rsidRPr="00C25845">
        <w:rPr>
          <w:rFonts w:cs="Times New Roman"/>
          <w:szCs w:val="24"/>
        </w:rPr>
        <w:t>.  The analysis confirms that antibodies regularly interact with waters at the interface, a feature only captured by high resolution crystal structures.  Reduced interactions with solvent waters may facilitate rigidity of CDRs in antibody-antigen complexes, and these interlinked features could provide some indication of an antibody’s binding affinity.  Despite their importance, current protocols’ usage of implicit water models omits such interactions in affinity prediction methods.  We propose that incorporation of explicit waters may help improve scoring of rationally designed antibodies.</w:t>
      </w:r>
    </w:p>
    <w:p w14:paraId="5874ACCD" w14:textId="62C992BC" w:rsidR="00C25845" w:rsidRPr="00C25845" w:rsidRDefault="00C25845" w:rsidP="00C25845">
      <w:pPr>
        <w:rPr>
          <w:rFonts w:cs="Times New Roman"/>
          <w:szCs w:val="24"/>
        </w:rPr>
      </w:pPr>
      <w:r w:rsidRPr="00C25845">
        <w:rPr>
          <w:rFonts w:cs="Times New Roman"/>
          <w:szCs w:val="24"/>
        </w:rPr>
        <w:lastRenderedPageBreak/>
        <w:t xml:space="preserve">We have also computationally demonstrated enthalpy driven binding via analysis of CDR conformations.  Using two different metrics to measure CDR flexibility, we showed that some loops behave differently when antigen bound or unbound.  Furthermore, differences in CDR flexibility in the presence or absence of the antigen had no correlation with affinity.  Instead, some CDRs were </w:t>
      </w:r>
      <w:r w:rsidR="00C252A4" w:rsidRPr="00C25845">
        <w:rPr>
          <w:rFonts w:cs="Times New Roman"/>
          <w:szCs w:val="24"/>
        </w:rPr>
        <w:t>preorganized</w:t>
      </w:r>
      <w:r w:rsidRPr="00C25845">
        <w:rPr>
          <w:rFonts w:cs="Times New Roman"/>
          <w:szCs w:val="24"/>
        </w:rPr>
        <w:t xml:space="preserve"> for binding, and affinity was somewhat related to antigen bound sampling.  </w:t>
      </w:r>
      <w:r w:rsidR="007413BF">
        <w:rPr>
          <w:rFonts w:cs="Times New Roman"/>
          <w:szCs w:val="24"/>
        </w:rPr>
        <w:t>O</w:t>
      </w:r>
      <w:r w:rsidR="007413BF" w:rsidRPr="007413BF">
        <w:rPr>
          <w:rFonts w:cs="Times New Roman"/>
          <w:szCs w:val="24"/>
        </w:rPr>
        <w:t>ur calculations seem to confirm the observations by others that antibody</w:t>
      </w:r>
      <w:r w:rsidR="007413BF">
        <w:rPr>
          <w:rFonts w:cs="Times New Roman"/>
          <w:szCs w:val="24"/>
        </w:rPr>
        <w:t xml:space="preserve"> </w:t>
      </w:r>
      <w:r w:rsidR="007413BF" w:rsidRPr="007413BF">
        <w:rPr>
          <w:rFonts w:cs="Times New Roman"/>
          <w:szCs w:val="24"/>
        </w:rPr>
        <w:t>binding is enthalpy-driven rather than entropy-driven</w:t>
      </w:r>
      <w:r w:rsidRPr="00C25845">
        <w:rPr>
          <w:rFonts w:cs="Times New Roman"/>
          <w:szCs w:val="24"/>
        </w:rPr>
        <w:t>, and that CDR flexibility should be considered in computational design methods.</w:t>
      </w:r>
    </w:p>
    <w:p w14:paraId="201808F0" w14:textId="3973650B" w:rsidR="00C25845" w:rsidRPr="00C25845" w:rsidRDefault="00C25845" w:rsidP="00C25845">
      <w:pPr>
        <w:rPr>
          <w:rFonts w:cs="Times New Roman"/>
          <w:szCs w:val="24"/>
        </w:rPr>
      </w:pPr>
      <w:r w:rsidRPr="00C25845">
        <w:rPr>
          <w:rFonts w:cs="Times New Roman"/>
          <w:szCs w:val="24"/>
        </w:rPr>
        <w:t>Longer simulations combined with further annotation of flexibility and interface interactions would provide a clearer picture of antibody-antigen interactions in the future.  We anticipate this would allow better prediction of crucial residues for binding and how their mutation affects affinity.  Deeper understanding of these interfaces will enable computational methods to better complement generating antibodies experimentally, as well as improve the current state of the art of rational design against specific epitopes</w:t>
      </w:r>
      <w:r w:rsidRPr="00C25845">
        <w:rPr>
          <w:rFonts w:cs="Times New Roman"/>
          <w:color w:val="000000"/>
          <w:szCs w:val="24"/>
        </w:rPr>
        <w:t>.</w:t>
      </w:r>
    </w:p>
    <w:p w14:paraId="4D7649F0" w14:textId="77777777" w:rsidR="00CB43D5" w:rsidRPr="0030032A" w:rsidRDefault="00CB43D5" w:rsidP="00CB43D5">
      <w:pPr>
        <w:pStyle w:val="Heading1"/>
      </w:pPr>
      <w:r w:rsidRPr="0030032A">
        <w:t>Conflict of Interest</w:t>
      </w:r>
    </w:p>
    <w:p w14:paraId="6C3449C3" w14:textId="58A24D3F" w:rsidR="00C25845" w:rsidRPr="00C25845" w:rsidRDefault="00C25845" w:rsidP="00C25845">
      <w:pPr>
        <w:rPr>
          <w:rFonts w:cs="Times New Roman"/>
          <w:szCs w:val="24"/>
        </w:rPr>
      </w:pPr>
      <w:r w:rsidRPr="00C25845">
        <w:rPr>
          <w:rFonts w:cs="Times New Roman"/>
          <w:szCs w:val="24"/>
        </w:rPr>
        <w:t xml:space="preserve">MW’s studentship </w:t>
      </w:r>
      <w:r>
        <w:rPr>
          <w:rFonts w:cs="Times New Roman"/>
          <w:szCs w:val="24"/>
        </w:rPr>
        <w:t>wa</w:t>
      </w:r>
      <w:r w:rsidRPr="00C25845">
        <w:rPr>
          <w:rFonts w:cs="Times New Roman"/>
          <w:szCs w:val="24"/>
        </w:rPr>
        <w:t xml:space="preserve">s partially funded by UCB.  </w:t>
      </w:r>
      <w:r w:rsidR="004C530C">
        <w:rPr>
          <w:rFonts w:cs="Times New Roman"/>
          <w:szCs w:val="24"/>
        </w:rPr>
        <w:t xml:space="preserve">MW, </w:t>
      </w:r>
      <w:r w:rsidRPr="00C25845">
        <w:rPr>
          <w:rFonts w:cs="Times New Roman"/>
          <w:szCs w:val="24"/>
        </w:rPr>
        <w:t>SK</w:t>
      </w:r>
      <w:r w:rsidR="004C530C">
        <w:rPr>
          <w:rFonts w:cs="Times New Roman"/>
          <w:szCs w:val="24"/>
        </w:rPr>
        <w:t>,</w:t>
      </w:r>
      <w:r w:rsidRPr="00C25845">
        <w:rPr>
          <w:rFonts w:cs="Times New Roman"/>
          <w:szCs w:val="24"/>
        </w:rPr>
        <w:t xml:space="preserve"> and RT are employees of UCB.  XL and TB were former employees of </w:t>
      </w:r>
      <w:r w:rsidR="00C252A4" w:rsidRPr="00C25845">
        <w:rPr>
          <w:rFonts w:cs="Times New Roman"/>
          <w:szCs w:val="24"/>
        </w:rPr>
        <w:t>UCB,</w:t>
      </w:r>
      <w:r w:rsidRPr="00C25845">
        <w:rPr>
          <w:rFonts w:cs="Times New Roman"/>
          <w:szCs w:val="24"/>
        </w:rPr>
        <w:t xml:space="preserve"> and XL is a current employee of AngitiaBio.  JE’s research is partially funded by UCB.</w:t>
      </w:r>
    </w:p>
    <w:p w14:paraId="0D6553A8" w14:textId="77777777" w:rsidR="00045678" w:rsidRPr="0030032A" w:rsidRDefault="00045678" w:rsidP="00045678">
      <w:pPr>
        <w:pStyle w:val="Heading1"/>
      </w:pPr>
      <w:r w:rsidRPr="0030032A">
        <w:t>Author Contributions</w:t>
      </w:r>
    </w:p>
    <w:p w14:paraId="034708A3" w14:textId="59D5C549" w:rsidR="00045678" w:rsidRPr="0030032A" w:rsidRDefault="00C25845" w:rsidP="00265660">
      <w:r w:rsidRPr="00C25845">
        <w:rPr>
          <w:lang w:val="en-GB"/>
        </w:rPr>
        <w:t xml:space="preserve">SK, XL, RT, TB, and JE designed the research.  MW performed the research.  MW, SK, XL, RT, TB, and JE </w:t>
      </w:r>
      <w:r w:rsidRPr="00C252A4">
        <w:t>analyzed</w:t>
      </w:r>
      <w:r w:rsidRPr="00C25845">
        <w:rPr>
          <w:lang w:val="en-GB"/>
        </w:rPr>
        <w:t xml:space="preserve"> and interpreted the data.  </w:t>
      </w:r>
      <w:r w:rsidR="00FB242E">
        <w:rPr>
          <w:lang w:val="en-GB"/>
        </w:rPr>
        <w:t xml:space="preserve">MW </w:t>
      </w:r>
      <w:r w:rsidR="00FB242E" w:rsidRPr="00FB242E">
        <w:rPr>
          <w:lang w:val="en-GB"/>
        </w:rPr>
        <w:t>wrote the first draft of the manuscript.</w:t>
      </w:r>
      <w:r w:rsidR="00FB242E">
        <w:rPr>
          <w:lang w:val="en-GB"/>
        </w:rPr>
        <w:t xml:space="preserve">  </w:t>
      </w:r>
      <w:r w:rsidRPr="00C25845">
        <w:rPr>
          <w:lang w:val="en-GB"/>
        </w:rPr>
        <w:t xml:space="preserve">MW, SK, RT, TB, and JE </w:t>
      </w:r>
      <w:r w:rsidR="00FB242E" w:rsidRPr="00FB242E">
        <w:rPr>
          <w:lang w:val="en-GB"/>
        </w:rPr>
        <w:t>contributed to manuscript revision, read, and approved the submitted version</w:t>
      </w:r>
      <w:r w:rsidR="00045678" w:rsidRPr="0030032A">
        <w:t>.</w:t>
      </w:r>
    </w:p>
    <w:p w14:paraId="5722F5F5" w14:textId="77777777" w:rsidR="00AC3EA3" w:rsidRPr="0030032A" w:rsidRDefault="00AC3EA3" w:rsidP="00A53000">
      <w:pPr>
        <w:pStyle w:val="Heading1"/>
      </w:pPr>
      <w:r w:rsidRPr="0030032A">
        <w:t>Funding</w:t>
      </w:r>
    </w:p>
    <w:p w14:paraId="7342A04E" w14:textId="036F1B84" w:rsidR="00AC3EA3" w:rsidRPr="0030032A" w:rsidRDefault="00C25845" w:rsidP="00AC3EA3">
      <w:pPr>
        <w:rPr>
          <w:szCs w:val="24"/>
        </w:rPr>
      </w:pPr>
      <w:r w:rsidRPr="00C25845">
        <w:rPr>
          <w:szCs w:val="24"/>
        </w:rPr>
        <w:t>MW thanks the Biotechnology and Biological Sciences Research Council (</w:t>
      </w:r>
      <w:r w:rsidR="00E3129A">
        <w:rPr>
          <w:szCs w:val="24"/>
        </w:rPr>
        <w:t xml:space="preserve">grant no. </w:t>
      </w:r>
      <w:r w:rsidRPr="00C25845">
        <w:rPr>
          <w:szCs w:val="24"/>
        </w:rPr>
        <w:t>BB/P504713/1) and Union Chimique Belge for funding</w:t>
      </w:r>
      <w:r w:rsidR="00AC3EA3" w:rsidRPr="0030032A">
        <w:rPr>
          <w:szCs w:val="24"/>
        </w:rPr>
        <w:t>.</w:t>
      </w:r>
      <w:r>
        <w:rPr>
          <w:szCs w:val="24"/>
        </w:rPr>
        <w:t xml:space="preserve">  The ARCHER computing resource was </w:t>
      </w:r>
      <w:r w:rsidRPr="00C25845">
        <w:rPr>
          <w:szCs w:val="24"/>
          <w:shd w:val="clear" w:color="auto" w:fill="FFFFFF"/>
        </w:rPr>
        <w:t>supported by the Engineering and Physical Sciences Research Council (grant no. EP/R029407/1)</w:t>
      </w:r>
      <w:r>
        <w:rPr>
          <w:szCs w:val="24"/>
          <w:shd w:val="clear" w:color="auto" w:fill="FFFFFF"/>
        </w:rPr>
        <w:t>.</w:t>
      </w:r>
    </w:p>
    <w:p w14:paraId="5E0CBB2F" w14:textId="77777777" w:rsidR="006B2D5B" w:rsidRPr="0030032A" w:rsidRDefault="006B2D5B" w:rsidP="00A53000">
      <w:pPr>
        <w:pStyle w:val="Heading1"/>
      </w:pPr>
      <w:r w:rsidRPr="0030032A">
        <w:t>Acknowledgments</w:t>
      </w:r>
    </w:p>
    <w:p w14:paraId="2975D4D0" w14:textId="5C254178" w:rsidR="006D5B93" w:rsidRPr="0030032A" w:rsidRDefault="00C25845" w:rsidP="00A53000">
      <w:pPr>
        <w:rPr>
          <w:szCs w:val="24"/>
          <w:shd w:val="clear" w:color="auto" w:fill="FFFFFF"/>
        </w:rPr>
      </w:pPr>
      <w:r w:rsidRPr="00C25845">
        <w:rPr>
          <w:szCs w:val="24"/>
          <w:shd w:val="clear" w:color="auto" w:fill="FFFFFF"/>
        </w:rPr>
        <w:t>The authors acknowledge the use of two computing resources: the IRIDIS High Performance Computing Facility and associated support services at the University of Southampton; and ARCHER granted via the UK High-End Computing Consortium for Biomolecular Simulation (http://hecbiosim.ac.uk) in the completion of this work</w:t>
      </w:r>
      <w:r w:rsidR="006B2D5B" w:rsidRPr="0030032A">
        <w:rPr>
          <w:szCs w:val="24"/>
          <w:shd w:val="clear" w:color="auto" w:fill="FFFFFF"/>
        </w:rPr>
        <w:t xml:space="preserve">. </w:t>
      </w:r>
    </w:p>
    <w:p w14:paraId="28720821" w14:textId="10197E07" w:rsidR="00AC3EA3" w:rsidRPr="0030032A" w:rsidRDefault="00AC3EA3" w:rsidP="00AC3EA3">
      <w:pPr>
        <w:pStyle w:val="Heading1"/>
      </w:pPr>
      <w:r w:rsidRPr="0030032A">
        <w:t>Reference</w:t>
      </w:r>
      <w:r w:rsidR="00042E65" w:rsidRPr="0030032A">
        <w:t>s</w:t>
      </w:r>
    </w:p>
    <w:p w14:paraId="40C0199D" w14:textId="77777777" w:rsidR="00C25845" w:rsidRDefault="00E90651" w:rsidP="00C25845">
      <w:pPr>
        <w:pStyle w:val="Bibliography"/>
      </w:pPr>
      <w:r w:rsidRPr="0030032A">
        <w:fldChar w:fldCharType="begin"/>
      </w:r>
      <w:r w:rsidR="00C25845">
        <w:instrText xml:space="preserve"> ADDIN ZOTERO_BIBL {"uncited":[],"omitted":[],"custom":[]} CSL_BIBLIOGRAPHY </w:instrText>
      </w:r>
      <w:r w:rsidRPr="0030032A">
        <w:fldChar w:fldCharType="separate"/>
      </w:r>
      <w:r w:rsidR="00C25845">
        <w:t xml:space="preserve">1. </w:t>
      </w:r>
      <w:r w:rsidR="00C25845">
        <w:tab/>
        <w:t xml:space="preserve">Yang L, Liu W, Yu X, Wu M, Reichert JM, Ho M. COVID-19 antibody therapeutics tracker: a global online database of antibody therapeutics for the prevention and treatment of COVID-19. Antibody Ther. 2020 Jul 25;3(3):205–12. </w:t>
      </w:r>
    </w:p>
    <w:p w14:paraId="24A35FFF" w14:textId="77777777" w:rsidR="00C25845" w:rsidRDefault="00C25845" w:rsidP="00C25845">
      <w:pPr>
        <w:pStyle w:val="Bibliography"/>
      </w:pPr>
      <w:r>
        <w:t xml:space="preserve">2. </w:t>
      </w:r>
      <w:r>
        <w:tab/>
        <w:t>COVID-19 Map [Internet]. Johns Hopkins Coronavirus Resource Center. [cited 2022 Jan 20]. Available from: https://coronavirus.jhu.edu/map.html</w:t>
      </w:r>
    </w:p>
    <w:p w14:paraId="2AA689D0" w14:textId="77777777" w:rsidR="00C25845" w:rsidRDefault="00C25845" w:rsidP="00C25845">
      <w:pPr>
        <w:pStyle w:val="Bibliography"/>
      </w:pPr>
      <w:r>
        <w:lastRenderedPageBreak/>
        <w:t xml:space="preserve">3. </w:t>
      </w:r>
      <w:r>
        <w:tab/>
        <w:t xml:space="preserve">Wu TT, Kabat EA. An Analysis of the Sequences of the Variable Regions of Bence Jones Proteins and Myeloma Light Chains and their Implications for Antibody Complementarity. Journal of Experimental Medicine. 1970;132(2):211–50. </w:t>
      </w:r>
    </w:p>
    <w:p w14:paraId="5201B1AD" w14:textId="77777777" w:rsidR="00C25845" w:rsidRDefault="00C25845" w:rsidP="00C25845">
      <w:pPr>
        <w:pStyle w:val="Bibliography"/>
      </w:pPr>
      <w:r>
        <w:t xml:space="preserve">4. </w:t>
      </w:r>
      <w:r>
        <w:tab/>
        <w:t xml:space="preserve">Kabat EA, Wu TT, Foeller C, Perry HM, Gottesman KS. Sequences of proteins of immunological interest. DIANE publishing; 1992. </w:t>
      </w:r>
    </w:p>
    <w:p w14:paraId="260A0DC5" w14:textId="77777777" w:rsidR="00C25845" w:rsidRDefault="00C25845" w:rsidP="00C25845">
      <w:pPr>
        <w:pStyle w:val="Bibliography"/>
      </w:pPr>
      <w:r>
        <w:t xml:space="preserve">5. </w:t>
      </w:r>
      <w:r>
        <w:tab/>
        <w:t xml:space="preserve">Smith G. Filamentous fusion phage: novel expression vectors that display cloned antigens on the virion surface. Science. 1985;228(4705):1315–7. </w:t>
      </w:r>
    </w:p>
    <w:p w14:paraId="6ABF02D3" w14:textId="77777777" w:rsidR="00C25845" w:rsidRDefault="00C25845" w:rsidP="00C25845">
      <w:pPr>
        <w:pStyle w:val="Bibliography"/>
      </w:pPr>
      <w:r>
        <w:t xml:space="preserve">6. </w:t>
      </w:r>
      <w:r>
        <w:tab/>
        <w:t xml:space="preserve">McCafferty J, Griffiths AD, Winter G, Chiswell DJ. Phage antibodies: filamentous phage displaying antibody variable domains. Nature. 1990 Dec;348(6301):552–4. </w:t>
      </w:r>
    </w:p>
    <w:p w14:paraId="3CDC44B3" w14:textId="77777777" w:rsidR="00C25845" w:rsidRDefault="00C25845" w:rsidP="00C25845">
      <w:pPr>
        <w:pStyle w:val="Bibliography"/>
      </w:pPr>
      <w:r>
        <w:t xml:space="preserve">7. </w:t>
      </w:r>
      <w:r>
        <w:tab/>
        <w:t xml:space="preserve">Clackson T, Hoogenboom HR, Griffiths AD, Winter G. Making antibody fragments using phage display libraries. Nature. 1991 Aug;352(6336):624–8. </w:t>
      </w:r>
    </w:p>
    <w:p w14:paraId="69445E04" w14:textId="77777777" w:rsidR="00C25845" w:rsidRDefault="00C25845" w:rsidP="00C25845">
      <w:pPr>
        <w:pStyle w:val="Bibliography"/>
      </w:pPr>
      <w:r>
        <w:t xml:space="preserve">8. </w:t>
      </w:r>
      <w:r>
        <w:tab/>
        <w:t xml:space="preserve">Sormanni P, Aprile FA, Vendruscolo M. Rational design of antibodies targeting specific epitopes within intrinsically disordered proteins. Proceedings of the National Academy of Sciences. 2015;112(32):9902–7. </w:t>
      </w:r>
    </w:p>
    <w:p w14:paraId="7ED7BB3B" w14:textId="77777777" w:rsidR="00C25845" w:rsidRDefault="00C25845" w:rsidP="00C25845">
      <w:pPr>
        <w:pStyle w:val="Bibliography"/>
      </w:pPr>
      <w:r>
        <w:t xml:space="preserve">9. </w:t>
      </w:r>
      <w:r>
        <w:tab/>
        <w:t xml:space="preserve">Aprile FA, Sormanni P, Perni M, Arosio P, Linse S, Knowles TPJ, et al. Selective targeting of primary and secondary nucleation pathways in Aβ42 aggregation using a rational antibody scanning method. Science Advances. 2017;3(6). </w:t>
      </w:r>
    </w:p>
    <w:p w14:paraId="3536C956" w14:textId="77777777" w:rsidR="00C25845" w:rsidRDefault="00C25845" w:rsidP="00C25845">
      <w:pPr>
        <w:pStyle w:val="Bibliography"/>
      </w:pPr>
      <w:r>
        <w:t xml:space="preserve">10. </w:t>
      </w:r>
      <w:r>
        <w:tab/>
        <w:t>Adams R, Maroof A, Baker T, Lawson ADG, Oliver R, Paveley R, et al. Bimekizumab, a Novel Humanized IgG1 Antibody That Neutralizes Both IL-17A and IL-17F. Front Immunol [Internet]. 2020 [cited 2020 Sep 7];11. Available from: https://www.frontiersin.org/articles/10.3389/fimmu.2020.01894/full</w:t>
      </w:r>
    </w:p>
    <w:p w14:paraId="11D6A84F" w14:textId="77777777" w:rsidR="00C25845" w:rsidRDefault="00C25845" w:rsidP="00C25845">
      <w:pPr>
        <w:pStyle w:val="Bibliography"/>
      </w:pPr>
      <w:r>
        <w:t xml:space="preserve">11. </w:t>
      </w:r>
      <w:r>
        <w:tab/>
        <w:t xml:space="preserve">Li T, Pantazes RJ, Maranas CD. OptMAVEn - A new framework for the de novo design of antibody variable region models targeting specific antigen epitopes. PLoS ONE. 2014;9(8). </w:t>
      </w:r>
    </w:p>
    <w:p w14:paraId="73039DC9" w14:textId="77777777" w:rsidR="00C25845" w:rsidRDefault="00C25845" w:rsidP="00C25845">
      <w:pPr>
        <w:pStyle w:val="Bibliography"/>
      </w:pPr>
      <w:r>
        <w:t xml:space="preserve">12. </w:t>
      </w:r>
      <w:r>
        <w:tab/>
        <w:t xml:space="preserve">Lapidoth GD, Baran D, Pszolla GM, Norn C, Alon A, Tyka MD, et al. AbDesign: An algorithm for combinatorial backbone design guided by natural conformations and sequences. Proteins: Structure, Function and Bioinformatics. 2015;83(8):1385–406. </w:t>
      </w:r>
    </w:p>
    <w:p w14:paraId="6CC925F9" w14:textId="77777777" w:rsidR="00C25845" w:rsidRDefault="00C25845" w:rsidP="00C25845">
      <w:pPr>
        <w:pStyle w:val="Bibliography"/>
      </w:pPr>
      <w:r>
        <w:t xml:space="preserve">13. </w:t>
      </w:r>
      <w:r>
        <w:tab/>
        <w:t xml:space="preserve">Liu X, Taylor RD, Griffin L, Coker S-F, Adams R, Ceska T, et al. Computational design of an epitope-specific Keap1 binding antibody using hotspot residues grafting and CDR loop swapping. Scientific Reports. 2017;7(January):41306. </w:t>
      </w:r>
    </w:p>
    <w:p w14:paraId="7BC2A855" w14:textId="77777777" w:rsidR="00C25845" w:rsidRDefault="00C25845" w:rsidP="00C25845">
      <w:pPr>
        <w:pStyle w:val="Bibliography"/>
      </w:pPr>
      <w:r>
        <w:t xml:space="preserve">14. </w:t>
      </w:r>
      <w:r>
        <w:tab/>
        <w:t xml:space="preserve">Nimrod G, Fischman S, Austin M, Herman A, Keyes F, Leiderman O, et al. Computational Design of Epitope-Specific Functional Antibodies. Cell Reports. 2018 Nov 20;25(8):2121-2131.e5. </w:t>
      </w:r>
    </w:p>
    <w:p w14:paraId="75C0ADDA" w14:textId="77777777" w:rsidR="00C25845" w:rsidRDefault="00C25845" w:rsidP="00C25845">
      <w:pPr>
        <w:pStyle w:val="Bibliography"/>
      </w:pPr>
      <w:r>
        <w:t xml:space="preserve">15. </w:t>
      </w:r>
      <w:r>
        <w:tab/>
        <w:t xml:space="preserve">Poosarla VG, Li T, Goh BC, Schulten K, Wood TK, Maranas CD. Computational de novo design of antibodies binding to a peptide with high affinity. Biotechnology and Bioengineering. 2017;114(6):1331–42. </w:t>
      </w:r>
    </w:p>
    <w:p w14:paraId="7BDA7077" w14:textId="77777777" w:rsidR="00C25845" w:rsidRDefault="00C25845" w:rsidP="00C25845">
      <w:pPr>
        <w:pStyle w:val="Bibliography"/>
      </w:pPr>
      <w:r>
        <w:lastRenderedPageBreak/>
        <w:t xml:space="preserve">16. </w:t>
      </w:r>
      <w:r>
        <w:tab/>
        <w:t xml:space="preserve">Baran D, Pszolla MG, Lapidoth GD, Norn C, Dym O, Unger T, et al. Principles for computational design of binding antibodies. Proceedings of the National Academy of Sciences. 2017;201707171. </w:t>
      </w:r>
    </w:p>
    <w:p w14:paraId="06197135" w14:textId="77777777" w:rsidR="00C25845" w:rsidRDefault="00C25845" w:rsidP="00C25845">
      <w:pPr>
        <w:pStyle w:val="Bibliography"/>
      </w:pPr>
      <w:r>
        <w:t xml:space="preserve">17. </w:t>
      </w:r>
      <w:r>
        <w:tab/>
        <w:t xml:space="preserve">Lazaridis T, Karplus M. Effective energy function for proteins in solution. Proteins: Structure, Function and Genetics. 1999;35(2):133–52. </w:t>
      </w:r>
    </w:p>
    <w:p w14:paraId="1918A7FE" w14:textId="77777777" w:rsidR="00C25845" w:rsidRDefault="00C25845" w:rsidP="00C25845">
      <w:pPr>
        <w:pStyle w:val="Bibliography"/>
      </w:pPr>
      <w:r>
        <w:t xml:space="preserve">18. </w:t>
      </w:r>
      <w:r>
        <w:tab/>
        <w:t xml:space="preserve">Lee MS, Feig M, Salsbury FR, Brooks CL. New analytic approximation to the standard molecular volume definition and its application to generalized Born calculations. Journal of Computational Chemistry. 2003;24(11):1348–56. </w:t>
      </w:r>
    </w:p>
    <w:p w14:paraId="61F1756B" w14:textId="77777777" w:rsidR="00C25845" w:rsidRDefault="00C25845" w:rsidP="00C25845">
      <w:pPr>
        <w:pStyle w:val="Bibliography"/>
      </w:pPr>
      <w:r>
        <w:t xml:space="preserve">19. </w:t>
      </w:r>
      <w:r>
        <w:tab/>
        <w:t xml:space="preserve">Sela-Culang I, Alon S, Ofran Y. A Systematic Comparison of Free and Bound Antibodies Reveals Binding-Related Conformational Changes. Journal of Immunology. 2012;189(10):4890–9. </w:t>
      </w:r>
    </w:p>
    <w:p w14:paraId="073261EA" w14:textId="77777777" w:rsidR="00C25845" w:rsidRDefault="00C25845" w:rsidP="00C25845">
      <w:pPr>
        <w:pStyle w:val="Bibliography"/>
      </w:pPr>
      <w:r>
        <w:t xml:space="preserve">20. </w:t>
      </w:r>
      <w:r>
        <w:tab/>
        <w:t xml:space="preserve">Shimba N, Kamiya N, Nakamura H. Model Building of Antibody-Antigen Complex Structures Using GBSA Scores. Journal of Chemical Information and Modeling. 2016;56(10):2005–12. </w:t>
      </w:r>
    </w:p>
    <w:p w14:paraId="32E311E5" w14:textId="77777777" w:rsidR="00C25845" w:rsidRDefault="00C25845" w:rsidP="00C25845">
      <w:pPr>
        <w:pStyle w:val="Bibliography"/>
      </w:pPr>
      <w:r>
        <w:t xml:space="preserve">21. </w:t>
      </w:r>
      <w:r>
        <w:tab/>
        <w:t xml:space="preserve">Leong P, Amaro RE, Li WW. Molecular Dynamics Analysis of Antibody Recognition and Escape by Human H1N1 Influenza Hemagglutinin. Biophysical Journal. 2015;108(11):2704–12. </w:t>
      </w:r>
    </w:p>
    <w:p w14:paraId="4C324765" w14:textId="77777777" w:rsidR="00C25845" w:rsidRDefault="00C25845" w:rsidP="00C25845">
      <w:pPr>
        <w:pStyle w:val="Bibliography"/>
      </w:pPr>
      <w:r>
        <w:t xml:space="preserve">22. </w:t>
      </w:r>
      <w:r>
        <w:tab/>
        <w:t xml:space="preserve">Clark AJ, Gindin T, Zhang B, Wang L, Abel R, Murret CS, et al. Free Energy Perturbation Calculation of Relative Binding Free Energy between Broadly Neutralizing Antibodies and the gp120 Glycoprotein of HIV-1. Journal of Molecular Biology. 2017;429(7):930–47. </w:t>
      </w:r>
    </w:p>
    <w:p w14:paraId="3FE9D94A" w14:textId="77777777" w:rsidR="00C25845" w:rsidRDefault="00C25845" w:rsidP="00C25845">
      <w:pPr>
        <w:pStyle w:val="Bibliography"/>
      </w:pPr>
      <w:r>
        <w:t xml:space="preserve">23. </w:t>
      </w:r>
      <w:r>
        <w:tab/>
        <w:t xml:space="preserve">Fernández-Quintero ML, Loeffler JR, Kraml J, Kahler U, Kamenik AS, Liedl KR. Characterizing the Diversity of the CDR-H3 Loop Conformational Ensembles in Relationship to Antibody Binding Properties. Frontiers in Immunology. 2019;9:3065. </w:t>
      </w:r>
    </w:p>
    <w:p w14:paraId="0941BF6E" w14:textId="77777777" w:rsidR="00C25845" w:rsidRDefault="00C25845" w:rsidP="00C25845">
      <w:pPr>
        <w:pStyle w:val="Bibliography"/>
      </w:pPr>
      <w:r>
        <w:t xml:space="preserve">24. </w:t>
      </w:r>
      <w:r>
        <w:tab/>
        <w:t xml:space="preserve">Fernández-Quintero ML, Heiss MC, Pomarici ND, Math BA, Liedl KR. Antibody CDR loops as ensembles in solution vs. canonical clusters from X-ray structures. mAbs. 2020 Jan 1;12(1):1744328. </w:t>
      </w:r>
    </w:p>
    <w:p w14:paraId="3A59A6BE" w14:textId="77777777" w:rsidR="00C25845" w:rsidRDefault="00C25845" w:rsidP="00C25845">
      <w:pPr>
        <w:pStyle w:val="Bibliography"/>
      </w:pPr>
      <w:r>
        <w:t xml:space="preserve">25. </w:t>
      </w:r>
      <w:r>
        <w:tab/>
        <w:t xml:space="preserve">Wang L, Friesner RA, Berne BJ. Replica exchange with solute scaling: A more efficient version of replica exchange with solute tempering (REST2). Journal of Physical Chemistry B. 2011;115(30):9431–8. </w:t>
      </w:r>
    </w:p>
    <w:p w14:paraId="1C5EA151" w14:textId="77777777" w:rsidR="00C25845" w:rsidRDefault="00C25845" w:rsidP="00C25845">
      <w:pPr>
        <w:pStyle w:val="Bibliography"/>
      </w:pPr>
      <w:r>
        <w:t xml:space="preserve">26. </w:t>
      </w:r>
      <w:r>
        <w:tab/>
        <w:t xml:space="preserve">Dunbar J, Krawczyk K, Leem J, Baker T, Fuchs A, Georges G, et al. SAbDab: the structural antibody database. Nucleic Acids Research. 2014;42(D1):D1140–6. </w:t>
      </w:r>
    </w:p>
    <w:p w14:paraId="755F4F2E" w14:textId="77777777" w:rsidR="00C25845" w:rsidRDefault="00C25845" w:rsidP="00C25845">
      <w:pPr>
        <w:pStyle w:val="Bibliography"/>
      </w:pPr>
      <w:r>
        <w:t xml:space="preserve">27. </w:t>
      </w:r>
      <w:r>
        <w:tab/>
        <w:t xml:space="preserve">Webb B, Sali A. Comparative Protein Structure Modeling Using MODELLER. Current Protocols in Bioinformatics. 2016;54(1):5.6.1-5.6.37. </w:t>
      </w:r>
    </w:p>
    <w:p w14:paraId="646D7EBC" w14:textId="77777777" w:rsidR="00C25845" w:rsidRDefault="00C25845" w:rsidP="00C25845">
      <w:pPr>
        <w:pStyle w:val="Bibliography"/>
      </w:pPr>
      <w:r>
        <w:t xml:space="preserve">28. </w:t>
      </w:r>
      <w:r>
        <w:tab/>
        <w:t xml:space="preserve">Doerr S, Harvey MJ, Noé F, De Fabritiis G. HTMD: High-Throughput Molecular Dynamics for Molecular Discovery. J Chem Theory Comput. 2016 Apr 12;12(4):1845–52. </w:t>
      </w:r>
    </w:p>
    <w:p w14:paraId="57A3E935" w14:textId="77777777" w:rsidR="00C25845" w:rsidRDefault="00C25845" w:rsidP="00C25845">
      <w:pPr>
        <w:pStyle w:val="Bibliography"/>
      </w:pPr>
      <w:r>
        <w:t xml:space="preserve">29. </w:t>
      </w:r>
      <w:r>
        <w:tab/>
        <w:t xml:space="preserve">Berendsen HJC, Spoel D van der, Drunen R van. GROMACS : A message-passing parallel molecular dynamics implementation. Computer Physics Communications. 1995 Sep;91(1–3):43–56. </w:t>
      </w:r>
    </w:p>
    <w:p w14:paraId="46367A35" w14:textId="77777777" w:rsidR="00C25845" w:rsidRDefault="00C25845" w:rsidP="00C25845">
      <w:pPr>
        <w:pStyle w:val="Bibliography"/>
      </w:pPr>
      <w:r>
        <w:lastRenderedPageBreak/>
        <w:t xml:space="preserve">30. </w:t>
      </w:r>
      <w:r>
        <w:tab/>
        <w:t xml:space="preserve">Abraham MJ, Murtola T, Schulz R, Páll S, Smith JC, Hess B, et al. GROMACS: High performance molecular simulations through multi-level parallelism from laptops to supercomputers. SoftwareX. 2015;1–2:19–25. </w:t>
      </w:r>
    </w:p>
    <w:p w14:paraId="32FB28EF" w14:textId="77777777" w:rsidR="00C25845" w:rsidRDefault="00C25845" w:rsidP="00C25845">
      <w:pPr>
        <w:pStyle w:val="Bibliography"/>
      </w:pPr>
      <w:r>
        <w:t xml:space="preserve">31. </w:t>
      </w:r>
      <w:r>
        <w:tab/>
        <w:t xml:space="preserve">Bonomi M, Bussi G, Camilloni C, Tribello GA, Banáš P, Barducci A, et al. Promoting transparency and reproducibility in enhanced molecular simulations. Nature Methods. 2019 Aug;16(8):670–3. </w:t>
      </w:r>
    </w:p>
    <w:p w14:paraId="685E1EF4" w14:textId="77777777" w:rsidR="00C25845" w:rsidRDefault="00C25845" w:rsidP="00C25845">
      <w:pPr>
        <w:pStyle w:val="Bibliography"/>
      </w:pPr>
      <w:r>
        <w:t xml:space="preserve">32. </w:t>
      </w:r>
      <w:r>
        <w:tab/>
        <w:t xml:space="preserve">Tribello GA, Bonomi M, Branduardi D, Camilloni C, Bussi G. PLUMED 2: New feathers for an old bird. Computer Physics Communications. 2014 Feb 1;185(2):604–13. </w:t>
      </w:r>
    </w:p>
    <w:p w14:paraId="7DD67770" w14:textId="77777777" w:rsidR="00C25845" w:rsidRDefault="00C25845" w:rsidP="00C25845">
      <w:pPr>
        <w:pStyle w:val="Bibliography"/>
      </w:pPr>
      <w:r>
        <w:t xml:space="preserve">33. </w:t>
      </w:r>
      <w:r>
        <w:tab/>
        <w:t xml:space="preserve">Maier JA, Martinez C, Kasavajhala K, Wickstrom L, Hauser KE, Simmerling C. ff14SB: Improving the Accuracy of Protein Side Chain and Backbone Parameters from ff99SB. J Chem Theory Comput. 2015 Aug 11;11(8):3696–713. </w:t>
      </w:r>
    </w:p>
    <w:p w14:paraId="27B10D1C" w14:textId="77777777" w:rsidR="00C25845" w:rsidRDefault="00C25845" w:rsidP="00C25845">
      <w:pPr>
        <w:pStyle w:val="Bibliography"/>
      </w:pPr>
      <w:r>
        <w:t xml:space="preserve">34. </w:t>
      </w:r>
      <w:r>
        <w:tab/>
        <w:t xml:space="preserve">Bradbrook GM, Gleichmann T, Harrop SJ, Habash J, Raftery J, Kalb (Gilboa) J, et al. X-Ray and molecular dynamics studies of concanavalin-A glucoside and mannoside complexes Relating structure to thermodynamics of binding. J Chem Soc, Faraday Trans. 1998 Jan 1;94(11):1603–11. </w:t>
      </w:r>
    </w:p>
    <w:p w14:paraId="4E50A3BE" w14:textId="77777777" w:rsidR="00C25845" w:rsidRDefault="00C25845" w:rsidP="00C25845">
      <w:pPr>
        <w:pStyle w:val="Bibliography"/>
      </w:pPr>
      <w:r>
        <w:t xml:space="preserve">35. </w:t>
      </w:r>
      <w:r>
        <w:tab/>
        <w:t xml:space="preserve">Jorgensen WL, Chandrasekhar J, Madura JD, Impey RW, Klein ML. Comparison of simple potential functions for simulating liquid water. J Chem Phys. 1983 Jul 15;79(2):926–35. </w:t>
      </w:r>
    </w:p>
    <w:p w14:paraId="06A68F30" w14:textId="77777777" w:rsidR="00C25845" w:rsidRDefault="00C25845" w:rsidP="00C25845">
      <w:pPr>
        <w:pStyle w:val="Bibliography"/>
      </w:pPr>
      <w:r>
        <w:t xml:space="preserve">36. </w:t>
      </w:r>
      <w:r>
        <w:tab/>
        <w:t xml:space="preserve">Bussi G, Donadio D, Parrinello M. Canonical sampling through velocity rescaling. J Chem Phys. 2007 Jan 3;126(1):014101. </w:t>
      </w:r>
    </w:p>
    <w:p w14:paraId="3ECFCBC6" w14:textId="77777777" w:rsidR="00C25845" w:rsidRDefault="00C25845" w:rsidP="00C25845">
      <w:pPr>
        <w:pStyle w:val="Bibliography"/>
      </w:pPr>
      <w:r>
        <w:t xml:space="preserve">37. </w:t>
      </w:r>
      <w:r>
        <w:tab/>
        <w:t xml:space="preserve">Berendsen HJC, Postma JPM, van Gunsteren WF, DiNola A, Haak JR. Molecular dynamics with coupling to an external bath. J Chem Phys. 1984 Oct 15;81(8):3684–90. </w:t>
      </w:r>
    </w:p>
    <w:p w14:paraId="44C952A1" w14:textId="77777777" w:rsidR="00C25845" w:rsidRDefault="00C25845" w:rsidP="00C25845">
      <w:pPr>
        <w:pStyle w:val="Bibliography"/>
      </w:pPr>
      <w:r>
        <w:t xml:space="preserve">38. </w:t>
      </w:r>
      <w:r>
        <w:tab/>
        <w:t xml:space="preserve">Amini M, Eastwood JW, Hockney RW. Time integration in particle models. Computer Physics Communications. 1987 Apr 1;44(1):83–93. </w:t>
      </w:r>
    </w:p>
    <w:p w14:paraId="7A73D34F" w14:textId="77777777" w:rsidR="00C25845" w:rsidRDefault="00C25845" w:rsidP="00C25845">
      <w:pPr>
        <w:pStyle w:val="Bibliography"/>
      </w:pPr>
      <w:r>
        <w:t xml:space="preserve">39. </w:t>
      </w:r>
      <w:r>
        <w:tab/>
        <w:t>Darden T, York D, Pedersen L. Particle mesh Ewald: An N</w:t>
      </w:r>
      <w:r>
        <w:rPr>
          <w:rFonts w:ascii="Cambria Math" w:hAnsi="Cambria Math" w:cs="Cambria Math"/>
        </w:rPr>
        <w:t>⋅</w:t>
      </w:r>
      <w:r>
        <w:t xml:space="preserve">log(N) method for Ewald sums in large systems. J Chem Phys. 1993 Jun 15;98(12):10089–92. </w:t>
      </w:r>
    </w:p>
    <w:p w14:paraId="487E8252" w14:textId="77777777" w:rsidR="00C25845" w:rsidRDefault="00C25845" w:rsidP="00C25845">
      <w:pPr>
        <w:pStyle w:val="Bibliography"/>
      </w:pPr>
      <w:r>
        <w:t xml:space="preserve">40. </w:t>
      </w:r>
      <w:r>
        <w:tab/>
        <w:t xml:space="preserve">Hess B, Bekker H, Berendsen HJC, Fraaije JGEM. LINCS: A linear constraint solver for molecular simulations. Journal of Computational Chemistry. 1997;18(12):1463–72. </w:t>
      </w:r>
    </w:p>
    <w:p w14:paraId="385A711C" w14:textId="77777777" w:rsidR="00C25845" w:rsidRDefault="00C25845" w:rsidP="00C25845">
      <w:pPr>
        <w:pStyle w:val="Bibliography"/>
      </w:pPr>
      <w:r>
        <w:t xml:space="preserve">41. </w:t>
      </w:r>
      <w:r>
        <w:tab/>
        <w:t>Ferdous S, Martin ACR. AbDb: antibody structure database—a database of PDB-derived antibody structures. Database (Oxford) [Internet]. 2018 Jan 1 [cited 2020 Feb 5];2018. Available from: https://academic.oup.com/database/article/doi/10.1093/database/bay040/4989324</w:t>
      </w:r>
    </w:p>
    <w:p w14:paraId="00B2198A" w14:textId="77777777" w:rsidR="00C25845" w:rsidRDefault="00C25845" w:rsidP="00C25845">
      <w:pPr>
        <w:pStyle w:val="Bibliography"/>
      </w:pPr>
      <w:r>
        <w:t xml:space="preserve">42. </w:t>
      </w:r>
      <w:r>
        <w:tab/>
        <w:t xml:space="preserve">Bussi G. Hamiltonian replica exchange in GROMACS: A flexible implementation. Molecular Physics. 2014;112(3–4):379–84. </w:t>
      </w:r>
    </w:p>
    <w:p w14:paraId="4B8A78DB" w14:textId="77777777" w:rsidR="00C25845" w:rsidRDefault="00C25845" w:rsidP="00C25845">
      <w:pPr>
        <w:pStyle w:val="Bibliography"/>
      </w:pPr>
      <w:r>
        <w:t xml:space="preserve">43. </w:t>
      </w:r>
      <w:r>
        <w:tab/>
        <w:t xml:space="preserve">Nosé S. A unified formulation of the constant temperature molecular dynamics methods. J Chem Phys. 1984 Jul 1;81(1):511–9. </w:t>
      </w:r>
    </w:p>
    <w:p w14:paraId="1A4B4C78" w14:textId="77777777" w:rsidR="00C25845" w:rsidRDefault="00C25845" w:rsidP="00C25845">
      <w:pPr>
        <w:pStyle w:val="Bibliography"/>
      </w:pPr>
      <w:r>
        <w:lastRenderedPageBreak/>
        <w:t xml:space="preserve">44. </w:t>
      </w:r>
      <w:r>
        <w:tab/>
        <w:t xml:space="preserve">Hoover WG. Canonical dynamics: Equilibrium phase-space distributions. Phys Rev A. 1985 Mar 1;31(3):1695–7. </w:t>
      </w:r>
    </w:p>
    <w:p w14:paraId="55C14D8B" w14:textId="77777777" w:rsidR="00C25845" w:rsidRDefault="00C25845" w:rsidP="00C25845">
      <w:pPr>
        <w:pStyle w:val="Bibliography"/>
      </w:pPr>
      <w:r>
        <w:t xml:space="preserve">45. </w:t>
      </w:r>
      <w:r>
        <w:tab/>
        <w:t xml:space="preserve">Michaud-Agrawal N, Denning EJ, Woolf TB, Beckstein O. MDAnalysis: A Toolkit for the Analysis of Molecular Dynamics Simulations. Journal of computational chemistry. 2011;32(10):2319–27. </w:t>
      </w:r>
    </w:p>
    <w:p w14:paraId="73C89EF1" w14:textId="77777777" w:rsidR="00C25845" w:rsidRDefault="00C25845" w:rsidP="00C25845">
      <w:pPr>
        <w:pStyle w:val="Bibliography"/>
      </w:pPr>
      <w:r>
        <w:t xml:space="preserve">46. </w:t>
      </w:r>
      <w:r>
        <w:tab/>
        <w:t xml:space="preserve">Gowers RJ, Linke M, Barnoud J, Reddy TJE, Melo MN, Seyler SL, et al. MDAnalysis: A Python Package for the Rapid Analysis of Molecular Dynamics Simulations. Proceedings of the 15th Python in Science Conference. 2016;(Scipy):98–105. </w:t>
      </w:r>
    </w:p>
    <w:p w14:paraId="72866E65" w14:textId="77777777" w:rsidR="00C25845" w:rsidRDefault="00C25845" w:rsidP="00C25845">
      <w:pPr>
        <w:pStyle w:val="Bibliography"/>
      </w:pPr>
      <w:r>
        <w:t xml:space="preserve">47. </w:t>
      </w:r>
      <w:r>
        <w:tab/>
        <w:t xml:space="preserve">Jubb HC, Higueruelo AP, Ochoa-Montaño B, Pitt WR, Ascher DB, Blundell TL. Arpeggio: A Web Server for Calculating and Visualising Interatomic Interactions in Protein Structures. Journal of Molecular Biology. 2017 Feb 3;429(3):365–71. </w:t>
      </w:r>
    </w:p>
    <w:p w14:paraId="2A4619CB" w14:textId="77777777" w:rsidR="00C25845" w:rsidRDefault="00C25845" w:rsidP="00C25845">
      <w:pPr>
        <w:pStyle w:val="Bibliography"/>
      </w:pPr>
      <w:r>
        <w:t xml:space="preserve">48. </w:t>
      </w:r>
      <w:r>
        <w:tab/>
        <w:t xml:space="preserve">Contreras-Riquelme S, Garate J-A, Perez-Acle T, Martin AJM. RIP-MD: a tool to study residue interaction networks in protein molecular dynamics. PeerJ. 2018 Dec 7;6:e5998. </w:t>
      </w:r>
    </w:p>
    <w:p w14:paraId="5E585962" w14:textId="77777777" w:rsidR="00C25845" w:rsidRDefault="00C25845" w:rsidP="00C25845">
      <w:pPr>
        <w:pStyle w:val="Bibliography"/>
      </w:pPr>
      <w:r>
        <w:t xml:space="preserve">49. </w:t>
      </w:r>
      <w:r>
        <w:tab/>
        <w:t xml:space="preserve">Salt DW, Hudson BD, Banting L, Ellis MJ, Ford MG. DASH: a novel analysis method for molecular dynamics simulation data. Analysis of ligands of PPAR-gamma. Journal of medicinal chemistry. 2005;48(9):3214–20. </w:t>
      </w:r>
    </w:p>
    <w:p w14:paraId="7E6A003B" w14:textId="77777777" w:rsidR="00C25845" w:rsidRDefault="00C25845" w:rsidP="00C25845">
      <w:pPr>
        <w:pStyle w:val="Bibliography"/>
      </w:pPr>
      <w:r>
        <w:t xml:space="preserve">50. </w:t>
      </w:r>
      <w:r>
        <w:tab/>
        <w:t xml:space="preserve">Haensele E, Mele N, Miljak M, Read CM, Whitley DC, Banting L, et al. Conformation and Dynamics of Human Urotensin II and Urotensin Related Peptide in Aqueous Solution. Journal of Chemical Information and Modeling. 2017;57(2):298–310. </w:t>
      </w:r>
    </w:p>
    <w:p w14:paraId="4397CC66" w14:textId="77777777" w:rsidR="00C25845" w:rsidRDefault="00C25845" w:rsidP="00C25845">
      <w:pPr>
        <w:pStyle w:val="Bibliography"/>
      </w:pPr>
      <w:r>
        <w:t xml:space="preserve">51. </w:t>
      </w:r>
      <w:r>
        <w:tab/>
        <w:t xml:space="preserve">David CC, Jacobs DJ. Principal Component Analysis: A Method for Determining the Essential Dynamics of Proteins. Vol. 1084, Protein Dynamics. Methods in Molecular Biology (Methods and Protocols). Humana Press, Totowa, NJ; 2014. 193–226 p. </w:t>
      </w:r>
    </w:p>
    <w:p w14:paraId="31892D5D" w14:textId="77777777" w:rsidR="00C25845" w:rsidRDefault="00C25845" w:rsidP="00C25845">
      <w:pPr>
        <w:pStyle w:val="Bibliography"/>
      </w:pPr>
      <w:r>
        <w:t xml:space="preserve">52. </w:t>
      </w:r>
      <w:r>
        <w:tab/>
        <w:t xml:space="preserve">Pedregosa F, Varoquaux G, Gramfort A, Michel V, Thirion B, Grisel O, et al. Scikit-learn: Machine Learning in Python. Journal of Machine Learning Research. 2011;12(85):2825–30. </w:t>
      </w:r>
    </w:p>
    <w:p w14:paraId="769E071F" w14:textId="77777777" w:rsidR="00C25845" w:rsidRDefault="00C25845" w:rsidP="00C25845">
      <w:pPr>
        <w:pStyle w:val="Bibliography"/>
      </w:pPr>
      <w:r>
        <w:t xml:space="preserve">53. </w:t>
      </w:r>
      <w:r>
        <w:tab/>
        <w:t xml:space="preserve">Lindorff-Larsen K, Ferkinghoff-Borg J. Similarity Measures for Protein Ensembles. PLOS ONE. 2009 Jan 15;4(1):e4203. </w:t>
      </w:r>
    </w:p>
    <w:p w14:paraId="27843543" w14:textId="77777777" w:rsidR="00C25845" w:rsidRDefault="00C25845" w:rsidP="00C25845">
      <w:pPr>
        <w:pStyle w:val="Bibliography"/>
      </w:pPr>
      <w:r>
        <w:t xml:space="preserve">54. </w:t>
      </w:r>
      <w:r>
        <w:tab/>
        <w:t xml:space="preserve">Tiberti M, Papaleo E, Bengtsen T, Boomsma W, Lindorff-Larsen K. ENCORE: Software for Quantitative Ensemble Comparison. PLOS Computational Biology. 2015 Oct 27;11(10):e1004415. </w:t>
      </w:r>
    </w:p>
    <w:p w14:paraId="15FC0EB4" w14:textId="77777777" w:rsidR="00C25845" w:rsidRDefault="00C25845" w:rsidP="00C25845">
      <w:pPr>
        <w:pStyle w:val="Bibliography"/>
      </w:pPr>
      <w:r>
        <w:t xml:space="preserve">55. </w:t>
      </w:r>
      <w:r>
        <w:tab/>
        <w:t xml:space="preserve">Shimaoka M, Kim M, Cohen EH, Yang W, Astrof N, Peer D, et al. AL-57, a ligand-mimetic antibody to integrin LFA-1, reveals chemokine-induced affinity up-regulation in lymphocytes. Proc Natl Acad Sci USA. 2006 Sep 19;103(38):13991. </w:t>
      </w:r>
    </w:p>
    <w:p w14:paraId="01CCCE2F" w14:textId="77777777" w:rsidR="00C25845" w:rsidRDefault="00C25845" w:rsidP="00C25845">
      <w:pPr>
        <w:pStyle w:val="Bibliography"/>
      </w:pPr>
      <w:r>
        <w:t xml:space="preserve">56. </w:t>
      </w:r>
      <w:r>
        <w:tab/>
        <w:t xml:space="preserve">Stewart-Jones G, Wadle A, Hombach A, Shenderov E, Held G, Fischer E, et al. Rational development of high-affinity T-cell receptor-like antibodies. Proc Natl Acad Sci USA. 2009 Apr 7;106(14):5784. </w:t>
      </w:r>
    </w:p>
    <w:p w14:paraId="290E9CCB" w14:textId="77777777" w:rsidR="00C25845" w:rsidRDefault="00C25845" w:rsidP="00C25845">
      <w:pPr>
        <w:pStyle w:val="Bibliography"/>
      </w:pPr>
      <w:r>
        <w:lastRenderedPageBreak/>
        <w:t xml:space="preserve">57. </w:t>
      </w:r>
      <w:r>
        <w:tab/>
        <w:t xml:space="preserve">Bhat TN, Bentley GA, Boulot G, Greene MI, Tello D, Dall’Acqua W, et al. Bound water molecules and conformational stabilization help mediate an antigen-antibody association. Proceedings of the National Academy of Sciences. 1994;91(3):1089–93. </w:t>
      </w:r>
    </w:p>
    <w:p w14:paraId="30A1E8AC" w14:textId="77777777" w:rsidR="00C25845" w:rsidRDefault="00C25845" w:rsidP="00C25845">
      <w:pPr>
        <w:pStyle w:val="Bibliography"/>
      </w:pPr>
      <w:r>
        <w:t xml:space="preserve">58. </w:t>
      </w:r>
      <w:r>
        <w:tab/>
        <w:t xml:space="preserve">Braden BC, Fields BA, Poljak RJ. Conservation of water molecules in an antibody–antigen interaction. Journal of Molecular Recognition. 1995;8(5):317–25. </w:t>
      </w:r>
    </w:p>
    <w:p w14:paraId="4E67DF8E" w14:textId="77777777" w:rsidR="00C25845" w:rsidRDefault="00C25845" w:rsidP="00C25845">
      <w:pPr>
        <w:pStyle w:val="Bibliography"/>
      </w:pPr>
      <w:r>
        <w:t xml:space="preserve">59. </w:t>
      </w:r>
      <w:r>
        <w:tab/>
        <w:t xml:space="preserve">Mukherjee S, Nithin C, Divakaruni Y, Prasad R. Dissecting water binding sites at protein – protein interfaces : a lesson from the atomic structures in the Protein Data Bank. Journal of Biomolecular Structure and Dynamics. 2018;1102:1–16. </w:t>
      </w:r>
    </w:p>
    <w:p w14:paraId="01F838F6" w14:textId="77777777" w:rsidR="00C25845" w:rsidRDefault="00C25845" w:rsidP="00C25845">
      <w:pPr>
        <w:pStyle w:val="Bibliography"/>
      </w:pPr>
      <w:r>
        <w:t xml:space="preserve">60. </w:t>
      </w:r>
      <w:r>
        <w:tab/>
        <w:t xml:space="preserve">Acierno JP, Braden BC, Klinke S, Goldbaum FA, Cauerhff A. Affinity Maturation Increases the Stability and Plasticity of the Fv Domain of Anti-protein Antibodies. Journal of Molecular Biology. 2007 Nov 16;374(1):130–46. </w:t>
      </w:r>
    </w:p>
    <w:p w14:paraId="2AADD7D6" w14:textId="77777777" w:rsidR="00C25845" w:rsidRDefault="00C25845" w:rsidP="00C25845">
      <w:pPr>
        <w:pStyle w:val="Bibliography"/>
      </w:pPr>
      <w:r>
        <w:t xml:space="preserve">61. </w:t>
      </w:r>
      <w:r>
        <w:tab/>
        <w:t xml:space="preserve">Wedemayer GJ, Patten PA, Wang LH, Schultz PG, Stevens RC. Structural Insights into the Evolution of an Antibody Combining Site. Science. 1997 Jun 13;276(5319):1665–9. </w:t>
      </w:r>
    </w:p>
    <w:p w14:paraId="6A3DF57F" w14:textId="77777777" w:rsidR="00C25845" w:rsidRDefault="00C25845" w:rsidP="00C25845">
      <w:pPr>
        <w:pStyle w:val="Bibliography"/>
      </w:pPr>
      <w:r>
        <w:t xml:space="preserve">62. </w:t>
      </w:r>
      <w:r>
        <w:tab/>
        <w:t xml:space="preserve">Yin J, Mundorff EC, Yang PL, Wendt KU, Hanway D, Stevens RC, et al. A Comparative Analysis of the Immunological Evolution of Antibody 28B4. Biochemistry. 2001 Sep 1;40(36):10764–73. </w:t>
      </w:r>
    </w:p>
    <w:p w14:paraId="6600084A" w14:textId="77777777" w:rsidR="00C25845" w:rsidRDefault="00C25845" w:rsidP="00C25845">
      <w:pPr>
        <w:pStyle w:val="Bibliography"/>
      </w:pPr>
      <w:r>
        <w:t xml:space="preserve">63. </w:t>
      </w:r>
      <w:r>
        <w:tab/>
        <w:t xml:space="preserve">Zimmermann J, Oakman EL, Thorpe IF, Shi X, Abbyad P, Brooks CL, et al. Antibody evolution constrains conformational heterogeneity by tailoring protein dynamics. PNAS. 2006 Sep 12;103(37):13722–7. </w:t>
      </w:r>
    </w:p>
    <w:p w14:paraId="2A4AE217" w14:textId="77777777" w:rsidR="00C25845" w:rsidRDefault="00C25845" w:rsidP="00C25845">
      <w:pPr>
        <w:pStyle w:val="Bibliography"/>
      </w:pPr>
      <w:r>
        <w:t xml:space="preserve">64. </w:t>
      </w:r>
      <w:r>
        <w:tab/>
        <w:t>Jeliazkov JR, Sljoka A, Kuroda D, Tsuchimura N, Katoh N, Tsumoto K, et al. Repertoire Analysis of Antibody CDR-H3 Loops Suggests Affinity Maturation Does Not Typically Result in Rigidification. Front Immunol [Internet]. 2018 [cited 2020 May 23];9. Available from: https://www.frontiersin.org/articles/10.3389/fimmu.2018.00413/full</w:t>
      </w:r>
    </w:p>
    <w:p w14:paraId="15D052B7" w14:textId="77777777" w:rsidR="00C25845" w:rsidRDefault="00C25845" w:rsidP="00C25845">
      <w:pPr>
        <w:pStyle w:val="Bibliography"/>
      </w:pPr>
      <w:r>
        <w:t xml:space="preserve">65. </w:t>
      </w:r>
      <w:r>
        <w:tab/>
        <w:t xml:space="preserve">Swaminathan CP, Nandi A, Visweswariah SS, Surolia A. Thermodynamic Analyses Reveal Role of Water Release in Epitope Recognition by a Monoclonal Antibody against the Human Guanylyl Cyclase C Receptor. J Biol Chem. 1999 Oct 29;274(44):31272–8. </w:t>
      </w:r>
    </w:p>
    <w:p w14:paraId="7401FF75" w14:textId="77777777" w:rsidR="00C25845" w:rsidRDefault="00C25845" w:rsidP="00C25845">
      <w:pPr>
        <w:pStyle w:val="Bibliography"/>
      </w:pPr>
      <w:r>
        <w:t xml:space="preserve">66. </w:t>
      </w:r>
      <w:r>
        <w:tab/>
        <w:t xml:space="preserve">Killikelly A, Zhang H-T, Spurrier B, Williams C, Gorny MK, Zolla-Pazner S, et al. Thermodynamic Signatures of the Antigen Binding Site of mAb 447–52D Targeting the Third Variable Region of HIV-1 gp120. Biochemistry. 2013 Sep 10;52(36):6249–57. </w:t>
      </w:r>
    </w:p>
    <w:p w14:paraId="0BB22890" w14:textId="77777777" w:rsidR="00C25845" w:rsidRDefault="00C25845" w:rsidP="00C25845">
      <w:pPr>
        <w:pStyle w:val="Bibliography"/>
      </w:pPr>
      <w:r>
        <w:t xml:space="preserve">67. </w:t>
      </w:r>
      <w:r>
        <w:tab/>
        <w:t xml:space="preserve">Akiba H, Tamura H, Kiyoshi M, Yanaka S, Sugase K, Caaveiro JMM, et al. Structural and thermodynamic basis for the recognition of the substrate-binding cleft on hen egg lysozyme by a single-domain antibody. Scientific Reports. 2019 Oct 29;9(1):15481. </w:t>
      </w:r>
    </w:p>
    <w:p w14:paraId="4CCAD5EF" w14:textId="77777777" w:rsidR="00C25845" w:rsidRDefault="00C25845" w:rsidP="00C25845">
      <w:pPr>
        <w:pStyle w:val="Bibliography"/>
      </w:pPr>
      <w:r>
        <w:t xml:space="preserve">68. </w:t>
      </w:r>
      <w:r>
        <w:tab/>
        <w:t xml:space="preserve">Armstrong AA, Hildreth JEK, Amzel LM. Structural and Thermodynamic Insights into the Recognition of Native Proteins by Anti-Peptide Antibodies. Journal of Molecular Biology. 2013 Jun 12;425(11):2027–38. </w:t>
      </w:r>
    </w:p>
    <w:p w14:paraId="1C7DFF74" w14:textId="77777777" w:rsidR="00C25845" w:rsidRDefault="00C25845" w:rsidP="00C25845">
      <w:pPr>
        <w:pStyle w:val="Bibliography"/>
      </w:pPr>
      <w:r>
        <w:t xml:space="preserve">69. </w:t>
      </w:r>
      <w:r>
        <w:tab/>
        <w:t xml:space="preserve">Guardiola S, Varese M, Sánchez‐Navarro M, Vincke C, Teixidó M, García J, et al. Blocking EGFR Activation with Anti-EGF Nanobodies via Two Distinct Molecular Recognition Mechanisms. Angewandte Chemie International Edition. 2018;57(42):13843–7. </w:t>
      </w:r>
    </w:p>
    <w:p w14:paraId="28BDBF83" w14:textId="77777777" w:rsidR="00C25845" w:rsidRDefault="00C25845" w:rsidP="00C25845">
      <w:pPr>
        <w:pStyle w:val="Bibliography"/>
      </w:pPr>
      <w:r>
        <w:lastRenderedPageBreak/>
        <w:t xml:space="preserve">70. </w:t>
      </w:r>
      <w:r>
        <w:tab/>
        <w:t xml:space="preserve">Li P, Merz KM. Metal Ion Modeling Using Classical Mechanics. Chem Rev. 2017 Feb 8;117(3):1564–686. </w:t>
      </w:r>
    </w:p>
    <w:p w14:paraId="1268CB2D" w14:textId="77777777" w:rsidR="00C25845" w:rsidRDefault="00C25845" w:rsidP="00C25845">
      <w:pPr>
        <w:pStyle w:val="Bibliography"/>
      </w:pPr>
      <w:r>
        <w:t xml:space="preserve">71. </w:t>
      </w:r>
      <w:r>
        <w:tab/>
        <w:t xml:space="preserve">Hong M, Lee PS, Hoffman RMB, Zhu X, Krause JC, Laursen NS, et al. Antibody Recognition of the Pandemic H1N1 Influenza Virus Hemagglutinin Receptor Binding Site. J Virol. 2013 Nov 15;87(22):12471. </w:t>
      </w:r>
    </w:p>
    <w:p w14:paraId="594734DE" w14:textId="77777777" w:rsidR="00C25845" w:rsidRDefault="00C25845" w:rsidP="00C25845">
      <w:pPr>
        <w:pStyle w:val="Bibliography"/>
      </w:pPr>
      <w:r>
        <w:t xml:space="preserve">72. </w:t>
      </w:r>
      <w:r>
        <w:tab/>
        <w:t xml:space="preserve">Krause JC, Tsibane T, Tumpey TM, Huffman CJ, Basler CF, Crowe JE. A Broadly Neutralizing Human Monoclonal Antibody That Recognizes a Conserved, Novel Epitope on the Globular Head of the Influenza H1N1 Virus Hemagglutinin. Journal of Virology. 2011 Oct 15;85(20):10905–8. </w:t>
      </w:r>
    </w:p>
    <w:p w14:paraId="1BC41958" w14:textId="77777777" w:rsidR="00C25845" w:rsidRDefault="00C25845" w:rsidP="00C25845">
      <w:pPr>
        <w:pStyle w:val="Bibliography"/>
      </w:pPr>
      <w:r>
        <w:t xml:space="preserve">73. </w:t>
      </w:r>
      <w:r>
        <w:tab/>
        <w:t xml:space="preserve">Argiriadi MA, Xiang T, Wu C, Ghayur T, Borhani DW. Unusual Water-mediated Antigenic Recognition of the Proinflammatory Cytokine Interleukin-18. Journal of Biological Chemistry. 2009 Sep 4;284(36):24478–89. </w:t>
      </w:r>
    </w:p>
    <w:p w14:paraId="4D0CFFA3" w14:textId="77777777" w:rsidR="00C25845" w:rsidRDefault="00C25845" w:rsidP="00C25845">
      <w:pPr>
        <w:pStyle w:val="Bibliography"/>
      </w:pPr>
      <w:r>
        <w:t xml:space="preserve">74. </w:t>
      </w:r>
      <w:r>
        <w:tab/>
        <w:t xml:space="preserve">Wu C, Sakorafas P, Miller R, McCarthy D, Scesney S, Dixon R, et al. IL-18 Receptor β-Induced Changes in the Presentation of IL-18 Binding Sites Affect Ligand Binding and Signal Transduction. J Immunol. 2003 Jun 1;170(11):5571. </w:t>
      </w:r>
    </w:p>
    <w:p w14:paraId="06B7F2AD" w14:textId="77777777" w:rsidR="00C25845" w:rsidRDefault="00C25845" w:rsidP="00C25845">
      <w:pPr>
        <w:pStyle w:val="Bibliography"/>
      </w:pPr>
      <w:r>
        <w:t xml:space="preserve">75. </w:t>
      </w:r>
      <w:r>
        <w:tab/>
        <w:t xml:space="preserve">Zhang H, Liu J, Yang W, Springer T, Shimaoka M, Wang J. Structural basis of activation-dependent binding of ligand-mimetic antibody AL-57 to integrin LFA-1. Proc Natl Acad Sci USA. 2009 Oct 27;106(43):18345. </w:t>
      </w:r>
    </w:p>
    <w:p w14:paraId="59E57DE2" w14:textId="77777777" w:rsidR="00C25845" w:rsidRDefault="00C25845" w:rsidP="00C25845">
      <w:pPr>
        <w:pStyle w:val="Bibliography"/>
      </w:pPr>
      <w:r>
        <w:t xml:space="preserve">76. </w:t>
      </w:r>
      <w:r>
        <w:tab/>
        <w:t xml:space="preserve">Carpenter B, Hemsworth GR, Wu Z, Maamra M, Strasburger CJ, Ross RJ, et al. Structure of the Human Obesity Receptor Leptin-Binding Domain Reveals the Mechanism of Leptin Antagonism by a Monoclonal Antibody. Structure. 2012 Mar 7;20(3):487–97. </w:t>
      </w:r>
    </w:p>
    <w:p w14:paraId="541B394B" w14:textId="77777777" w:rsidR="00C25845" w:rsidRDefault="00C25845" w:rsidP="00C25845">
      <w:pPr>
        <w:pStyle w:val="Bibliography"/>
      </w:pPr>
      <w:r>
        <w:t xml:space="preserve">77. </w:t>
      </w:r>
      <w:r>
        <w:tab/>
        <w:t xml:space="preserve">Blech M, Peter D, Fischer P, Bauer MMT, Hafner M, Zeeb M, et al. One Target—Two Different Binding Modes: Structural Insights into Gevokizumab and Canakinumab Interactions to Interleukin-1β. Journal of Molecular Biology. 2013 Jan 9;425(1):94–111. </w:t>
      </w:r>
    </w:p>
    <w:p w14:paraId="3371C531" w14:textId="77777777" w:rsidR="00C25845" w:rsidRDefault="00C25845" w:rsidP="00C25845">
      <w:pPr>
        <w:pStyle w:val="Bibliography"/>
      </w:pPr>
      <w:r>
        <w:t xml:space="preserve">78. </w:t>
      </w:r>
      <w:r>
        <w:tab/>
        <w:t>Lowe P, Gram H, Jung T, Wright T, Mundel T. Novel use of il-1beta compounds [Internet]. WO2007050607A2, 2007 [cited 2020 Feb 5]. Available from: https://patents.google.com/patent/WO2007050607A2/en?oq=WO+2007%2f050607</w:t>
      </w:r>
    </w:p>
    <w:p w14:paraId="2EA6C590" w14:textId="77777777" w:rsidR="00C25845" w:rsidRDefault="00C25845" w:rsidP="00C25845">
      <w:pPr>
        <w:pStyle w:val="Bibliography"/>
      </w:pPr>
      <w:r>
        <w:t xml:space="preserve">79. </w:t>
      </w:r>
      <w:r>
        <w:tab/>
        <w:t xml:space="preserve">Lee JU, Shin W, Son JY, Yoo K-Y, Heo Y-S. Molecular Basis for the Neutralization of Tumor Necrosis Factor α by Certolizumab Pegol in the Treatment of Inflammatory Autoimmune Diseases. International Journal of Molecular Sciences. 2017 Jan;18(1):228. </w:t>
      </w:r>
    </w:p>
    <w:p w14:paraId="4EF5FA35" w14:textId="77777777" w:rsidR="00C25845" w:rsidRDefault="00C25845" w:rsidP="00C25845">
      <w:pPr>
        <w:pStyle w:val="Bibliography"/>
      </w:pPr>
      <w:r>
        <w:t xml:space="preserve">80. </w:t>
      </w:r>
      <w:r>
        <w:tab/>
        <w:t>Cimzia : EPAR - Product Information [Internet]. European Medicines Agency; 2019. Available from: https://www.ema.europa.eu/en/documents/product-information/cimzia-epar-product-information_en.pdf</w:t>
      </w:r>
    </w:p>
    <w:p w14:paraId="4D8C9560" w14:textId="77777777" w:rsidR="00C25845" w:rsidRDefault="00C25845" w:rsidP="00C25845">
      <w:pPr>
        <w:pStyle w:val="Bibliography"/>
      </w:pPr>
      <w:r>
        <w:t xml:space="preserve">81. </w:t>
      </w:r>
      <w:r>
        <w:tab/>
        <w:t xml:space="preserve">Owyang AM, Issafras H, Corbin J, Ahluwalia K, Larsen P, Pongo E, et al. XOMA 052, a potent, high-affinity monoclonal antibody for the treatment of IL-1β-mediated diseases. mAbs. 2011 Jan 1;3(1):49–60. </w:t>
      </w:r>
    </w:p>
    <w:p w14:paraId="254B60B7" w14:textId="77777777" w:rsidR="00C25845" w:rsidRDefault="00C25845" w:rsidP="00C25845">
      <w:pPr>
        <w:pStyle w:val="Bibliography"/>
      </w:pPr>
      <w:r>
        <w:lastRenderedPageBreak/>
        <w:t xml:space="preserve">82. </w:t>
      </w:r>
      <w:r>
        <w:tab/>
        <w:t xml:space="preserve">Lee JY, Lee HT, Shin W, Chae J, Choi J, Kim SH, et al. Structural basis of checkpoint blockade by monoclonal antibodies in cancer immunotherapy. Nature Communications. 2016 Oct 31;7(1):1–10. </w:t>
      </w:r>
    </w:p>
    <w:p w14:paraId="57CA01FA" w14:textId="77777777" w:rsidR="00C25845" w:rsidRDefault="00C25845" w:rsidP="00C25845">
      <w:pPr>
        <w:pStyle w:val="Bibliography"/>
      </w:pPr>
      <w:r>
        <w:t xml:space="preserve">83. </w:t>
      </w:r>
      <w:r>
        <w:tab/>
        <w:t xml:space="preserve">Scapin G, Yang X, Prosise WW, McCoy M, Reichert P, Johnston JM, et al. Structure of full-length human anti-PD1 therapeutic IgG4 antibody pembrolizumab. Nature Structural &amp; Molecular Biology. 2015 Dec;22(12):953–8. </w:t>
      </w:r>
    </w:p>
    <w:p w14:paraId="7BBAC82E" w14:textId="55FB0595" w:rsidR="007301D8" w:rsidRDefault="00C25845" w:rsidP="00C25845">
      <w:pPr>
        <w:pStyle w:val="Bibliography"/>
      </w:pPr>
      <w:r>
        <w:t xml:space="preserve">84. </w:t>
      </w:r>
      <w:r>
        <w:tab/>
        <w:t>Keytruda: EPAR - Assessment Report [Internet]. European Medicines Agency; 2015. Available from: https://www.ema.europa.eu/en/documents/assessment-report/keytruda-epar-public-assessment-report_en.pdf</w:t>
      </w:r>
    </w:p>
    <w:p w14:paraId="1888DFB6" w14:textId="414B77C7" w:rsidR="00C25845" w:rsidRDefault="007301D8" w:rsidP="007301D8">
      <w:pPr>
        <w:spacing w:before="0" w:after="200" w:line="276" w:lineRule="auto"/>
      </w:pPr>
      <w:r>
        <w:br w:type="page"/>
      </w:r>
    </w:p>
    <w:p w14:paraId="4929C222" w14:textId="291218DD" w:rsidR="008D6C8D" w:rsidRDefault="00E90651" w:rsidP="00E9077D">
      <w:pPr>
        <w:pStyle w:val="Heading1"/>
      </w:pPr>
      <w:r w:rsidRPr="0030032A">
        <w:lastRenderedPageBreak/>
        <w:fldChar w:fldCharType="end"/>
      </w:r>
      <w:r w:rsidR="00E9077D">
        <w:t>Figure Captions</w:t>
      </w:r>
    </w:p>
    <w:p w14:paraId="3A0538A1" w14:textId="483F5817" w:rsidR="00E9077D" w:rsidRPr="00C25845" w:rsidRDefault="00E9077D" w:rsidP="00E9077D">
      <w:pPr>
        <w:pStyle w:val="Caption"/>
        <w:rPr>
          <w:b w:val="0"/>
          <w:bCs w:val="0"/>
          <w:i/>
          <w:iCs/>
        </w:rPr>
      </w:pPr>
      <w:bookmarkStart w:id="5" w:name="_Ref40100422"/>
      <w:r w:rsidRPr="000736F9">
        <w:t xml:space="preserve">Figure </w:t>
      </w:r>
      <w:fldSimple w:instr=" SEQ Figure \* ARABIC ">
        <w:r w:rsidRPr="000736F9">
          <w:rPr>
            <w:noProof/>
          </w:rPr>
          <w:t>1</w:t>
        </w:r>
      </w:fldSimple>
      <w:bookmarkEnd w:id="5"/>
      <w:r w:rsidRPr="000736F9">
        <w:t xml:space="preserve">.  Interface interactions of the antibody-antigen dataset.  </w:t>
      </w:r>
      <w:r w:rsidRPr="00C25845">
        <w:rPr>
          <w:b w:val="0"/>
          <w:bCs w:val="0"/>
        </w:rPr>
        <w:t xml:space="preserve">Error bars show one standard deviation of the mean total.  Graphs for individual antibodies are in Supplementary Fig. 1.  </w:t>
      </w:r>
      <w:r w:rsidR="00EE7452">
        <w:rPr>
          <w:b w:val="0"/>
          <w:bCs w:val="0"/>
        </w:rPr>
        <w:t>(A</w:t>
      </w:r>
      <w:r w:rsidRPr="00C25845">
        <w:rPr>
          <w:b w:val="0"/>
          <w:bCs w:val="0"/>
        </w:rPr>
        <w:t xml:space="preserve">) Mean intermolecular interactions for REST2 simulations and crystal structures.  </w:t>
      </w:r>
      <w:r w:rsidR="00EE7452">
        <w:rPr>
          <w:b w:val="0"/>
          <w:bCs w:val="0"/>
        </w:rPr>
        <w:t>(B</w:t>
      </w:r>
      <w:r w:rsidRPr="00C25845">
        <w:rPr>
          <w:b w:val="0"/>
          <w:bCs w:val="0"/>
        </w:rPr>
        <w:t>) Mean intramolecular interactions for REST2 simulations and crystal structures.</w:t>
      </w:r>
    </w:p>
    <w:p w14:paraId="7C81D7DF" w14:textId="26C581C1" w:rsidR="00E9077D" w:rsidRPr="00C25845" w:rsidRDefault="00E9077D" w:rsidP="00E9077D">
      <w:pPr>
        <w:pStyle w:val="Caption"/>
        <w:spacing w:after="0"/>
        <w:rPr>
          <w:b w:val="0"/>
          <w:bCs w:val="0"/>
          <w:i/>
          <w:iCs/>
        </w:rPr>
      </w:pPr>
      <w:bookmarkStart w:id="6" w:name="_Ref45037605"/>
      <w:r w:rsidRPr="000736F9">
        <w:t xml:space="preserve">Figure </w:t>
      </w:r>
      <w:fldSimple w:instr=" SEQ Figure \* ARABIC ">
        <w:r w:rsidRPr="000736F9">
          <w:rPr>
            <w:noProof/>
          </w:rPr>
          <w:t>2</w:t>
        </w:r>
      </w:fldSimple>
      <w:bookmarkEnd w:id="6"/>
      <w:r w:rsidRPr="000736F9">
        <w:t xml:space="preserve">.  Hydrogen bonding with water in the dataset.  </w:t>
      </w:r>
      <w:r w:rsidRPr="00C25845">
        <w:rPr>
          <w:b w:val="0"/>
          <w:bCs w:val="0"/>
        </w:rPr>
        <w:t xml:space="preserve">Mean numbers of </w:t>
      </w:r>
      <w:r w:rsidR="00EE7452">
        <w:rPr>
          <w:b w:val="0"/>
          <w:bCs w:val="0"/>
        </w:rPr>
        <w:t>(A</w:t>
      </w:r>
      <w:r w:rsidRPr="00C25845">
        <w:rPr>
          <w:b w:val="0"/>
          <w:bCs w:val="0"/>
        </w:rPr>
        <w:t xml:space="preserve">) antibody-solvent hydrogen bonds and </w:t>
      </w:r>
      <w:r w:rsidR="00EE7452">
        <w:rPr>
          <w:b w:val="0"/>
          <w:bCs w:val="0"/>
        </w:rPr>
        <w:t>(B</w:t>
      </w:r>
      <w:r w:rsidRPr="00C25845">
        <w:rPr>
          <w:b w:val="0"/>
          <w:bCs w:val="0"/>
        </w:rPr>
        <w:t xml:space="preserve">) antibody-bridging water hydrogen bonds formed by the dataset’s holo complexes, for both their static crystal structures and when simulated.  Error bars for the simulation means are given to one standard deviation.  </w:t>
      </w:r>
      <w:r w:rsidR="00EE7452">
        <w:rPr>
          <w:b w:val="0"/>
          <w:bCs w:val="0"/>
        </w:rPr>
        <w:t>(C</w:t>
      </w:r>
      <w:r w:rsidRPr="00C25845">
        <w:rPr>
          <w:b w:val="0"/>
          <w:bCs w:val="0"/>
        </w:rPr>
        <w:t>) Anti-IL-1βa’s bridging waters (red spheres) in a representative simulation frame (left) and in the crystal structure (right).  The Fv is in blue and the antigen in green.</w:t>
      </w:r>
    </w:p>
    <w:p w14:paraId="41003321" w14:textId="25278AC3" w:rsidR="00E9077D" w:rsidRPr="00C25845" w:rsidRDefault="00E9077D" w:rsidP="00E9077D">
      <w:pPr>
        <w:pStyle w:val="Caption"/>
        <w:spacing w:after="0"/>
        <w:rPr>
          <w:b w:val="0"/>
          <w:bCs w:val="0"/>
          <w:i/>
          <w:iCs/>
        </w:rPr>
      </w:pPr>
      <w:bookmarkStart w:id="7" w:name="_Ref40198200"/>
      <w:r w:rsidRPr="000736F9">
        <w:t xml:space="preserve">Figure </w:t>
      </w:r>
      <w:fldSimple w:instr=" SEQ Figure \* ARABIC ">
        <w:r w:rsidRPr="000736F9">
          <w:rPr>
            <w:noProof/>
          </w:rPr>
          <w:t>3</w:t>
        </w:r>
      </w:fldSimple>
      <w:bookmarkEnd w:id="7"/>
      <w:r w:rsidRPr="000736F9">
        <w:t xml:space="preserve">.  Anti-MHC PCA and DASH examples.  </w:t>
      </w:r>
      <w:r w:rsidRPr="00C25845">
        <w:rPr>
          <w:b w:val="0"/>
          <w:bCs w:val="0"/>
        </w:rPr>
        <w:t xml:space="preserve">The Fv is in blue and the antigen in green on the right subfigures.  </w:t>
      </w:r>
      <w:r w:rsidR="00EE7452">
        <w:rPr>
          <w:b w:val="0"/>
          <w:bCs w:val="0"/>
        </w:rPr>
        <w:t>(A</w:t>
      </w:r>
      <w:r w:rsidRPr="00C25845">
        <w:rPr>
          <w:b w:val="0"/>
          <w:bCs w:val="0"/>
        </w:rPr>
        <w:t xml:space="preserve">) Apo and holo anti-MHC frames projected along the first three PCs of L1, with frames </w:t>
      </w:r>
      <w:r w:rsidR="00C252A4" w:rsidRPr="00C25845">
        <w:rPr>
          <w:b w:val="0"/>
          <w:bCs w:val="0"/>
        </w:rPr>
        <w:t>colored</w:t>
      </w:r>
      <w:r w:rsidRPr="00C25845">
        <w:rPr>
          <w:b w:val="0"/>
          <w:bCs w:val="0"/>
        </w:rPr>
        <w:t xml:space="preserve"> by RMSD with respect to their crystal structure conformation.  </w:t>
      </w:r>
      <w:r w:rsidR="00EE7452">
        <w:rPr>
          <w:b w:val="0"/>
          <w:bCs w:val="0"/>
        </w:rPr>
        <w:t>(B</w:t>
      </w:r>
      <w:r w:rsidRPr="00C25845">
        <w:rPr>
          <w:b w:val="0"/>
          <w:bCs w:val="0"/>
        </w:rPr>
        <w:t xml:space="preserve">) Representative structures of L1 conformations, with </w:t>
      </w:r>
      <w:r w:rsidR="00C252A4" w:rsidRPr="00C25845">
        <w:rPr>
          <w:b w:val="0"/>
          <w:bCs w:val="0"/>
        </w:rPr>
        <w:t>colors</w:t>
      </w:r>
      <w:r w:rsidRPr="00C25845">
        <w:rPr>
          <w:b w:val="0"/>
          <w:bCs w:val="0"/>
        </w:rPr>
        <w:t xml:space="preserve"> corresponding to the circles in </w:t>
      </w:r>
      <w:r w:rsidRPr="00C25845">
        <w:rPr>
          <w:b w:val="0"/>
          <w:bCs w:val="0"/>
          <w:i/>
          <w:iCs/>
        </w:rPr>
        <w:fldChar w:fldCharType="begin"/>
      </w:r>
      <w:r w:rsidRPr="00C25845">
        <w:rPr>
          <w:b w:val="0"/>
          <w:bCs w:val="0"/>
        </w:rPr>
        <w:instrText xml:space="preserve"> REF _Ref40198200 \h  \* MERGEFORMAT </w:instrText>
      </w:r>
      <w:r w:rsidRPr="00C25845">
        <w:rPr>
          <w:b w:val="0"/>
          <w:bCs w:val="0"/>
          <w:i/>
          <w:iCs/>
        </w:rPr>
      </w:r>
      <w:r w:rsidRPr="00C25845">
        <w:rPr>
          <w:b w:val="0"/>
          <w:bCs w:val="0"/>
          <w:i/>
          <w:iCs/>
        </w:rPr>
        <w:fldChar w:fldCharType="separate"/>
      </w:r>
      <w:r w:rsidRPr="00C25845">
        <w:rPr>
          <w:b w:val="0"/>
          <w:bCs w:val="0"/>
        </w:rPr>
        <w:t xml:space="preserve">Fig. </w:t>
      </w:r>
      <w:r w:rsidRPr="00C25845">
        <w:rPr>
          <w:b w:val="0"/>
          <w:bCs w:val="0"/>
          <w:noProof/>
        </w:rPr>
        <w:t>3</w:t>
      </w:r>
      <w:r w:rsidRPr="00C25845">
        <w:rPr>
          <w:b w:val="0"/>
          <w:bCs w:val="0"/>
          <w:i/>
          <w:iCs/>
        </w:rPr>
        <w:fldChar w:fldCharType="end"/>
      </w:r>
      <w:r w:rsidR="00F0058A">
        <w:rPr>
          <w:b w:val="0"/>
          <w:bCs w:val="0"/>
        </w:rPr>
        <w:t>A</w:t>
      </w:r>
      <w:r w:rsidRPr="00C25845">
        <w:rPr>
          <w:b w:val="0"/>
          <w:bCs w:val="0"/>
        </w:rPr>
        <w:t xml:space="preserve">.  </w:t>
      </w:r>
      <w:r w:rsidR="00EE7452">
        <w:rPr>
          <w:b w:val="0"/>
          <w:bCs w:val="0"/>
        </w:rPr>
        <w:t>(C</w:t>
      </w:r>
      <w:r w:rsidRPr="00C25845">
        <w:rPr>
          <w:b w:val="0"/>
          <w:bCs w:val="0"/>
        </w:rPr>
        <w:t xml:space="preserve">) Percentage of each CDR’s trajectory classified as rare in DASH, showing H2 with more rare conformations in its holo state.  </w:t>
      </w:r>
      <w:r w:rsidR="00EE7452">
        <w:rPr>
          <w:b w:val="0"/>
          <w:bCs w:val="0"/>
        </w:rPr>
        <w:t>(D</w:t>
      </w:r>
      <w:r w:rsidRPr="00C25845">
        <w:rPr>
          <w:b w:val="0"/>
          <w:bCs w:val="0"/>
        </w:rPr>
        <w:t>) Representative structures for H2’s apo-unique (cyan), holo-unique (red), and matched conformations present in both trajectories (yellow).</w:t>
      </w:r>
    </w:p>
    <w:p w14:paraId="337D1530" w14:textId="655F7B83" w:rsidR="00E9077D" w:rsidRPr="00C25845" w:rsidRDefault="00E9077D" w:rsidP="00E9077D">
      <w:pPr>
        <w:pStyle w:val="Caption"/>
        <w:spacing w:after="0"/>
        <w:rPr>
          <w:b w:val="0"/>
          <w:bCs w:val="0"/>
          <w:i/>
          <w:iCs/>
        </w:rPr>
      </w:pPr>
      <w:bookmarkStart w:id="8" w:name="_Ref40702503"/>
      <w:r w:rsidRPr="000736F9">
        <w:t xml:space="preserve">Figure </w:t>
      </w:r>
      <w:fldSimple w:instr=" SEQ Figure \* ARABIC ">
        <w:r w:rsidRPr="000736F9">
          <w:rPr>
            <w:noProof/>
          </w:rPr>
          <w:t>4</w:t>
        </w:r>
      </w:fldSimple>
      <w:bookmarkEnd w:id="8"/>
      <w:r w:rsidRPr="000736F9">
        <w:t xml:space="preserve">.  Antigen bound CDR sampling and affinity.  </w:t>
      </w:r>
      <w:r w:rsidRPr="00C25845">
        <w:rPr>
          <w:b w:val="0"/>
          <w:bCs w:val="0"/>
        </w:rPr>
        <w:t xml:space="preserve">The mean number of </w:t>
      </w:r>
      <w:r w:rsidR="00EE7452">
        <w:rPr>
          <w:b w:val="0"/>
          <w:bCs w:val="0"/>
        </w:rPr>
        <w:t>(A</w:t>
      </w:r>
      <w:r w:rsidRPr="00C25845">
        <w:rPr>
          <w:b w:val="0"/>
          <w:bCs w:val="0"/>
        </w:rPr>
        <w:t xml:space="preserve">) holo PCA clusters and </w:t>
      </w:r>
      <w:r w:rsidR="00EE7452">
        <w:rPr>
          <w:b w:val="0"/>
          <w:bCs w:val="0"/>
        </w:rPr>
        <w:t>(B</w:t>
      </w:r>
      <w:r w:rsidRPr="00C25845">
        <w:rPr>
          <w:b w:val="0"/>
          <w:bCs w:val="0"/>
        </w:rPr>
        <w:t xml:space="preserve">) holo DASH conformations across all six CDRs is plotted for each antibody.  Note that two points overlap in subfigure </w:t>
      </w:r>
      <w:r w:rsidR="00F0058A">
        <w:rPr>
          <w:b w:val="0"/>
          <w:bCs w:val="0"/>
        </w:rPr>
        <w:t>B</w:t>
      </w:r>
      <w:r w:rsidRPr="00C25845">
        <w:rPr>
          <w:b w:val="0"/>
          <w:bCs w:val="0"/>
        </w:rPr>
        <w:t xml:space="preserve"> at ln(K</w:t>
      </w:r>
      <w:r w:rsidRPr="00C25845">
        <w:rPr>
          <w:b w:val="0"/>
          <w:bCs w:val="0"/>
          <w:vertAlign w:val="subscript"/>
        </w:rPr>
        <w:t>d</w:t>
      </w:r>
      <w:r w:rsidRPr="00C25845">
        <w:rPr>
          <w:b w:val="0"/>
          <w:bCs w:val="0"/>
        </w:rPr>
        <w:t>) = -3.5.  ln(K</w:t>
      </w:r>
      <w:r w:rsidRPr="00C25845">
        <w:rPr>
          <w:b w:val="0"/>
          <w:bCs w:val="0"/>
          <w:vertAlign w:val="subscript"/>
        </w:rPr>
        <w:t>d</w:t>
      </w:r>
      <w:r w:rsidRPr="00C25845">
        <w:rPr>
          <w:b w:val="0"/>
          <w:bCs w:val="0"/>
        </w:rPr>
        <w:t>) is used as a proxy for affinity due to the Gibbs free energy equation of ΔG</w:t>
      </w:r>
      <w:r w:rsidRPr="00C25845">
        <w:rPr>
          <w:b w:val="0"/>
          <w:bCs w:val="0"/>
          <w:vertAlign w:val="superscript"/>
        </w:rPr>
        <w:t>o</w:t>
      </w:r>
      <w:r w:rsidRPr="00C25845">
        <w:rPr>
          <w:b w:val="0"/>
          <w:bCs w:val="0"/>
        </w:rPr>
        <w:t xml:space="preserve"> = -RTln(K</w:t>
      </w:r>
      <w:r w:rsidRPr="00C25845">
        <w:rPr>
          <w:b w:val="0"/>
          <w:bCs w:val="0"/>
          <w:vertAlign w:val="subscript"/>
        </w:rPr>
        <w:t>eq</w:t>
      </w:r>
      <w:r w:rsidRPr="00C25845">
        <w:rPr>
          <w:b w:val="0"/>
          <w:bCs w:val="0"/>
        </w:rPr>
        <w:t>), and natural logarithms of K</w:t>
      </w:r>
      <w:r w:rsidRPr="00C25845">
        <w:rPr>
          <w:b w:val="0"/>
          <w:bCs w:val="0"/>
          <w:vertAlign w:val="subscript"/>
        </w:rPr>
        <w:t>d</w:t>
      </w:r>
      <w:r w:rsidRPr="00C25845">
        <w:rPr>
          <w:b w:val="0"/>
          <w:bCs w:val="0"/>
          <w:vertAlign w:val="subscript"/>
        </w:rPr>
        <w:softHyphen/>
      </w:r>
      <w:r w:rsidRPr="00C25845">
        <w:rPr>
          <w:b w:val="0"/>
          <w:bCs w:val="0"/>
        </w:rPr>
        <w:t xml:space="preserve"> values in nM are used (see </w:t>
      </w:r>
      <w:r w:rsidRPr="00C25845">
        <w:rPr>
          <w:b w:val="0"/>
          <w:bCs w:val="0"/>
          <w:i/>
          <w:iCs/>
        </w:rPr>
        <w:fldChar w:fldCharType="begin"/>
      </w:r>
      <w:r w:rsidRPr="00C25845">
        <w:rPr>
          <w:b w:val="0"/>
          <w:bCs w:val="0"/>
        </w:rPr>
        <w:instrText xml:space="preserve"> REF _Ref31717274 \h  \* MERGEFORMAT </w:instrText>
      </w:r>
      <w:r w:rsidRPr="00C25845">
        <w:rPr>
          <w:b w:val="0"/>
          <w:bCs w:val="0"/>
          <w:i/>
          <w:iCs/>
        </w:rPr>
      </w:r>
      <w:r w:rsidRPr="00C25845">
        <w:rPr>
          <w:b w:val="0"/>
          <w:bCs w:val="0"/>
          <w:i/>
          <w:iCs/>
        </w:rPr>
        <w:fldChar w:fldCharType="separate"/>
      </w:r>
      <w:r w:rsidRPr="00C25845">
        <w:rPr>
          <w:b w:val="0"/>
          <w:bCs w:val="0"/>
        </w:rPr>
        <w:t xml:space="preserve">Table </w:t>
      </w:r>
      <w:r w:rsidRPr="00C25845">
        <w:rPr>
          <w:b w:val="0"/>
          <w:bCs w:val="0"/>
          <w:noProof/>
        </w:rPr>
        <w:t>1</w:t>
      </w:r>
      <w:r w:rsidRPr="00C25845">
        <w:rPr>
          <w:b w:val="0"/>
          <w:bCs w:val="0"/>
          <w:i/>
          <w:iCs/>
        </w:rPr>
        <w:fldChar w:fldCharType="end"/>
      </w:r>
      <w:r w:rsidRPr="00C25845">
        <w:rPr>
          <w:b w:val="0"/>
          <w:bCs w:val="0"/>
        </w:rPr>
        <w:t>).</w:t>
      </w:r>
    </w:p>
    <w:p w14:paraId="58C7115B" w14:textId="69797808" w:rsidR="00AA1442" w:rsidRDefault="00E9077D" w:rsidP="00E9077D">
      <w:pPr>
        <w:pStyle w:val="Caption"/>
        <w:spacing w:after="0"/>
        <w:rPr>
          <w:b w:val="0"/>
          <w:bCs w:val="0"/>
        </w:rPr>
      </w:pPr>
      <w:bookmarkStart w:id="9" w:name="_Ref45116510"/>
      <w:bookmarkStart w:id="10" w:name="_Ref50554212"/>
      <w:r w:rsidRPr="000736F9">
        <w:t xml:space="preserve">Figure </w:t>
      </w:r>
      <w:fldSimple w:instr=" SEQ Figure \* ARABIC ">
        <w:r w:rsidRPr="000736F9">
          <w:rPr>
            <w:noProof/>
          </w:rPr>
          <w:t>5</w:t>
        </w:r>
      </w:fldSimple>
      <w:bookmarkEnd w:id="9"/>
      <w:r w:rsidRPr="000736F9">
        <w:t xml:space="preserve">.  </w:t>
      </w:r>
      <w:r w:rsidRPr="002429C0">
        <w:t>Interactions and affinity.</w:t>
      </w:r>
      <w:r w:rsidRPr="00C25845">
        <w:rPr>
          <w:b w:val="0"/>
          <w:bCs w:val="0"/>
        </w:rPr>
        <w:t xml:space="preserve">  The anti-LFA outlier is marked with a black circle, and natural logarithms of K</w:t>
      </w:r>
      <w:r w:rsidRPr="00C25845">
        <w:rPr>
          <w:b w:val="0"/>
          <w:bCs w:val="0"/>
          <w:vertAlign w:val="subscript"/>
        </w:rPr>
        <w:t>d</w:t>
      </w:r>
      <w:r w:rsidRPr="00C25845">
        <w:rPr>
          <w:b w:val="0"/>
          <w:bCs w:val="0"/>
          <w:vertAlign w:val="subscript"/>
        </w:rPr>
        <w:softHyphen/>
      </w:r>
      <w:r w:rsidRPr="00C25845">
        <w:rPr>
          <w:b w:val="0"/>
          <w:bCs w:val="0"/>
        </w:rPr>
        <w:t xml:space="preserve"> values in nM are used (see </w:t>
      </w:r>
      <w:r w:rsidRPr="00C25845">
        <w:rPr>
          <w:b w:val="0"/>
          <w:bCs w:val="0"/>
          <w:i/>
          <w:iCs/>
        </w:rPr>
        <w:fldChar w:fldCharType="begin"/>
      </w:r>
      <w:r w:rsidRPr="00C25845">
        <w:rPr>
          <w:b w:val="0"/>
          <w:bCs w:val="0"/>
        </w:rPr>
        <w:instrText xml:space="preserve"> REF _Ref31717274 \h  \* MERGEFORMAT </w:instrText>
      </w:r>
      <w:r w:rsidRPr="00C25845">
        <w:rPr>
          <w:b w:val="0"/>
          <w:bCs w:val="0"/>
          <w:i/>
          <w:iCs/>
        </w:rPr>
      </w:r>
      <w:r w:rsidRPr="00C25845">
        <w:rPr>
          <w:b w:val="0"/>
          <w:bCs w:val="0"/>
          <w:i/>
          <w:iCs/>
        </w:rPr>
        <w:fldChar w:fldCharType="separate"/>
      </w:r>
      <w:r w:rsidRPr="00C25845">
        <w:rPr>
          <w:b w:val="0"/>
          <w:bCs w:val="0"/>
        </w:rPr>
        <w:t xml:space="preserve">Table </w:t>
      </w:r>
      <w:r w:rsidRPr="00C25845">
        <w:rPr>
          <w:b w:val="0"/>
          <w:bCs w:val="0"/>
          <w:noProof/>
        </w:rPr>
        <w:t>1</w:t>
      </w:r>
      <w:r w:rsidRPr="00C25845">
        <w:rPr>
          <w:b w:val="0"/>
          <w:bCs w:val="0"/>
          <w:i/>
          <w:iCs/>
        </w:rPr>
        <w:fldChar w:fldCharType="end"/>
      </w:r>
      <w:r w:rsidRPr="00C25845">
        <w:rPr>
          <w:b w:val="0"/>
          <w:bCs w:val="0"/>
        </w:rPr>
        <w:t xml:space="preserve">).  </w:t>
      </w:r>
      <w:r w:rsidR="00EE7452">
        <w:rPr>
          <w:b w:val="0"/>
          <w:bCs w:val="0"/>
        </w:rPr>
        <w:t>(A</w:t>
      </w:r>
      <w:r w:rsidRPr="00C25845">
        <w:rPr>
          <w:b w:val="0"/>
          <w:bCs w:val="0"/>
        </w:rPr>
        <w:t>) ln(K</w:t>
      </w:r>
      <w:r w:rsidRPr="00C25845">
        <w:rPr>
          <w:b w:val="0"/>
          <w:bCs w:val="0"/>
          <w:vertAlign w:val="subscript"/>
        </w:rPr>
        <w:t>d</w:t>
      </w:r>
      <w:r w:rsidRPr="00C25845">
        <w:rPr>
          <w:b w:val="0"/>
          <w:bCs w:val="0"/>
        </w:rPr>
        <w:t xml:space="preserve">) and </w:t>
      </w:r>
      <w:r w:rsidR="00EE7452">
        <w:rPr>
          <w:b w:val="0"/>
          <w:bCs w:val="0"/>
        </w:rPr>
        <w:t>(B</w:t>
      </w:r>
      <w:r w:rsidRPr="00C25845">
        <w:rPr>
          <w:b w:val="0"/>
          <w:bCs w:val="0"/>
        </w:rPr>
        <w:t>) ln(k</w:t>
      </w:r>
      <w:r w:rsidRPr="00C25845">
        <w:rPr>
          <w:b w:val="0"/>
          <w:bCs w:val="0"/>
          <w:vertAlign w:val="subscript"/>
        </w:rPr>
        <w:t>off</w:t>
      </w:r>
      <w:r w:rsidRPr="00C25845">
        <w:rPr>
          <w:b w:val="0"/>
          <w:bCs w:val="0"/>
        </w:rPr>
        <w:t xml:space="preserve">) are plotted against the percentage of intermolecular interactions that are not formed with </w:t>
      </w:r>
      <w:r w:rsidR="00A70F52">
        <w:rPr>
          <w:b w:val="0"/>
          <w:bCs w:val="0"/>
        </w:rPr>
        <w:t xml:space="preserve">bulk </w:t>
      </w:r>
      <w:r w:rsidRPr="00C25845">
        <w:rPr>
          <w:b w:val="0"/>
          <w:bCs w:val="0"/>
        </w:rPr>
        <w:t>solvent</w:t>
      </w:r>
      <w:bookmarkEnd w:id="10"/>
      <w:r w:rsidRPr="00C25845">
        <w:rPr>
          <w:b w:val="0"/>
          <w:bCs w:val="0"/>
        </w:rPr>
        <w:t xml:space="preserve">.  </w:t>
      </w:r>
      <w:r w:rsidR="00EE7452">
        <w:rPr>
          <w:b w:val="0"/>
          <w:bCs w:val="0"/>
        </w:rPr>
        <w:t>(C</w:t>
      </w:r>
      <w:r w:rsidRPr="00C25845">
        <w:rPr>
          <w:b w:val="0"/>
          <w:bCs w:val="0"/>
        </w:rPr>
        <w:t>) ln(K</w:t>
      </w:r>
      <w:r w:rsidRPr="00C25845">
        <w:rPr>
          <w:b w:val="0"/>
          <w:bCs w:val="0"/>
          <w:vertAlign w:val="subscript"/>
        </w:rPr>
        <w:t>d</w:t>
      </w:r>
      <w:r w:rsidRPr="00C25845">
        <w:rPr>
          <w:b w:val="0"/>
          <w:bCs w:val="0"/>
        </w:rPr>
        <w:t xml:space="preserve">) against the percentage of intermolecular interactions that are neither </w:t>
      </w:r>
      <w:r w:rsidR="00A70F52">
        <w:rPr>
          <w:b w:val="0"/>
          <w:bCs w:val="0"/>
        </w:rPr>
        <w:t xml:space="preserve">bulk </w:t>
      </w:r>
      <w:r w:rsidRPr="00C25845">
        <w:rPr>
          <w:b w:val="0"/>
          <w:bCs w:val="0"/>
        </w:rPr>
        <w:t xml:space="preserve">solvent nor hydrophobic contacts.  </w:t>
      </w:r>
      <w:r w:rsidR="00EE7452">
        <w:rPr>
          <w:b w:val="0"/>
          <w:bCs w:val="0"/>
        </w:rPr>
        <w:t>(D</w:t>
      </w:r>
      <w:r w:rsidRPr="00C25845">
        <w:rPr>
          <w:b w:val="0"/>
          <w:bCs w:val="0"/>
        </w:rPr>
        <w:t>) Mean percentage of intermolecular interactions that are hydrophobic in the dataset’s simulated holo complexes.</w:t>
      </w:r>
    </w:p>
    <w:p w14:paraId="73FEC3EA" w14:textId="77777777" w:rsidR="00AA1442" w:rsidRDefault="00AA1442">
      <w:pPr>
        <w:spacing w:before="0" w:after="200" w:line="276" w:lineRule="auto"/>
        <w:rPr>
          <w:rFonts w:cs="Times New Roman"/>
          <w:szCs w:val="24"/>
        </w:rPr>
      </w:pPr>
      <w:r>
        <w:rPr>
          <w:b/>
          <w:bCs/>
        </w:rPr>
        <w:br w:type="page"/>
      </w:r>
    </w:p>
    <w:p w14:paraId="5B97CBFC" w14:textId="77777777" w:rsidR="00E9077D" w:rsidRPr="00C25845" w:rsidRDefault="00E9077D" w:rsidP="00E9077D">
      <w:pPr>
        <w:pStyle w:val="Caption"/>
        <w:spacing w:after="0"/>
        <w:rPr>
          <w:b w:val="0"/>
          <w:bCs w:val="0"/>
          <w:i/>
          <w:iCs/>
        </w:rPr>
      </w:pPr>
    </w:p>
    <w:p w14:paraId="62096AD7" w14:textId="079DF0F1" w:rsidR="00C6324C" w:rsidRDefault="0030032A" w:rsidP="00A53000">
      <w:pPr>
        <w:pStyle w:val="Heading1"/>
      </w:pPr>
      <w:r>
        <w:t>Tables</w:t>
      </w:r>
    </w:p>
    <w:p w14:paraId="56CD5EFE" w14:textId="26F37F78" w:rsidR="0030032A" w:rsidRPr="0030032A" w:rsidRDefault="0030032A" w:rsidP="0030032A">
      <w:pPr>
        <w:pStyle w:val="Caption"/>
        <w:rPr>
          <w:i/>
          <w:iCs/>
          <w:noProof/>
        </w:rPr>
      </w:pPr>
      <w:bookmarkStart w:id="11" w:name="_Ref31717274"/>
      <w:bookmarkStart w:id="12" w:name="_Ref31717217"/>
      <w:r w:rsidRPr="0030032A">
        <w:t xml:space="preserve">Table </w:t>
      </w:r>
      <w:fldSimple w:instr=" SEQ Table \* ARABIC ">
        <w:r>
          <w:rPr>
            <w:noProof/>
          </w:rPr>
          <w:t>1</w:t>
        </w:r>
      </w:fldSimple>
      <w:bookmarkEnd w:id="11"/>
      <w:bookmarkEnd w:id="12"/>
      <w:r w:rsidRPr="0030032A">
        <w:rPr>
          <w:noProof/>
        </w:rPr>
        <w:t xml:space="preserve">.  Antibody-antigen dataset structures.  </w:t>
      </w:r>
      <w:r w:rsidRPr="0030032A">
        <w:rPr>
          <w:b w:val="0"/>
          <w:bCs w:val="0"/>
          <w:noProof/>
        </w:rPr>
        <w:t>Names for referring to antibodies in the results and discussion are given in parentheses.</w:t>
      </w:r>
    </w:p>
    <w:tbl>
      <w:tblPr>
        <w:tblStyle w:val="TableGrid"/>
        <w:tblW w:w="5003" w:type="pct"/>
        <w:tblLook w:val="04A0" w:firstRow="1" w:lastRow="0" w:firstColumn="1" w:lastColumn="0" w:noHBand="0" w:noVBand="1"/>
      </w:tblPr>
      <w:tblGrid>
        <w:gridCol w:w="3064"/>
        <w:gridCol w:w="2237"/>
        <w:gridCol w:w="2236"/>
        <w:gridCol w:w="2236"/>
      </w:tblGrid>
      <w:tr w:rsidR="0030032A" w:rsidRPr="0030032A" w14:paraId="669FE0CE" w14:textId="77777777" w:rsidTr="00E9077D">
        <w:tc>
          <w:tcPr>
            <w:tcW w:w="1567" w:type="pct"/>
            <w:vAlign w:val="center"/>
          </w:tcPr>
          <w:p w14:paraId="1FC218BB" w14:textId="77777777" w:rsidR="0030032A" w:rsidRPr="0030032A" w:rsidRDefault="0030032A" w:rsidP="00E9077D">
            <w:pPr>
              <w:jc w:val="center"/>
              <w:rPr>
                <w:rFonts w:cs="Times New Roman"/>
                <w:szCs w:val="24"/>
              </w:rPr>
            </w:pPr>
            <w:r w:rsidRPr="0030032A">
              <w:rPr>
                <w:rFonts w:cs="Times New Roman"/>
                <w:szCs w:val="24"/>
              </w:rPr>
              <w:t>Antibody</w:t>
            </w:r>
          </w:p>
        </w:tc>
        <w:tc>
          <w:tcPr>
            <w:tcW w:w="1144" w:type="pct"/>
            <w:vAlign w:val="center"/>
          </w:tcPr>
          <w:p w14:paraId="743B8B55" w14:textId="77777777" w:rsidR="0030032A" w:rsidRPr="0030032A" w:rsidRDefault="0030032A" w:rsidP="00E9077D">
            <w:pPr>
              <w:jc w:val="center"/>
              <w:rPr>
                <w:rFonts w:cs="Times New Roman"/>
                <w:szCs w:val="24"/>
              </w:rPr>
            </w:pPr>
            <w:r w:rsidRPr="0030032A">
              <w:rPr>
                <w:rFonts w:cs="Times New Roman"/>
                <w:szCs w:val="24"/>
              </w:rPr>
              <w:t>Antibody-Antigen PDB</w:t>
            </w:r>
          </w:p>
        </w:tc>
        <w:tc>
          <w:tcPr>
            <w:tcW w:w="1144" w:type="pct"/>
            <w:vAlign w:val="center"/>
          </w:tcPr>
          <w:p w14:paraId="2B5D2E12" w14:textId="77777777" w:rsidR="0030032A" w:rsidRPr="0030032A" w:rsidRDefault="0030032A" w:rsidP="00E9077D">
            <w:pPr>
              <w:jc w:val="center"/>
              <w:rPr>
                <w:rFonts w:cs="Times New Roman"/>
                <w:szCs w:val="24"/>
              </w:rPr>
            </w:pPr>
            <w:r w:rsidRPr="0030032A">
              <w:rPr>
                <w:rFonts w:cs="Times New Roman"/>
                <w:szCs w:val="24"/>
              </w:rPr>
              <w:t>Antibody only PDB</w:t>
            </w:r>
          </w:p>
        </w:tc>
        <w:tc>
          <w:tcPr>
            <w:tcW w:w="1144" w:type="pct"/>
            <w:vAlign w:val="center"/>
          </w:tcPr>
          <w:p w14:paraId="30BD3B7C" w14:textId="77777777" w:rsidR="0030032A" w:rsidRPr="0030032A" w:rsidRDefault="0030032A" w:rsidP="00E9077D">
            <w:pPr>
              <w:jc w:val="center"/>
              <w:rPr>
                <w:rFonts w:cs="Times New Roman"/>
                <w:szCs w:val="24"/>
              </w:rPr>
            </w:pPr>
            <w:r w:rsidRPr="0030032A">
              <w:rPr>
                <w:rFonts w:cs="Times New Roman"/>
                <w:szCs w:val="24"/>
              </w:rPr>
              <w:t>K</w:t>
            </w:r>
            <w:r w:rsidRPr="0030032A">
              <w:rPr>
                <w:rFonts w:cs="Times New Roman"/>
                <w:szCs w:val="24"/>
                <w:vertAlign w:val="subscript"/>
              </w:rPr>
              <w:t>d</w:t>
            </w:r>
            <w:r w:rsidRPr="0030032A">
              <w:rPr>
                <w:rFonts w:cs="Times New Roman"/>
                <w:szCs w:val="24"/>
              </w:rPr>
              <w:t xml:space="preserve"> (nM)</w:t>
            </w:r>
          </w:p>
        </w:tc>
      </w:tr>
      <w:tr w:rsidR="0030032A" w:rsidRPr="0030032A" w14:paraId="412D4582" w14:textId="77777777" w:rsidTr="00E9077D">
        <w:tc>
          <w:tcPr>
            <w:tcW w:w="1567" w:type="pct"/>
          </w:tcPr>
          <w:p w14:paraId="1E803A18" w14:textId="77777777" w:rsidR="0030032A" w:rsidRPr="0030032A" w:rsidRDefault="0030032A" w:rsidP="00E9077D">
            <w:pPr>
              <w:rPr>
                <w:rFonts w:cs="Times New Roman"/>
                <w:szCs w:val="24"/>
              </w:rPr>
            </w:pPr>
            <w:r w:rsidRPr="0030032A">
              <w:rPr>
                <w:rFonts w:cs="Times New Roman"/>
                <w:szCs w:val="24"/>
              </w:rPr>
              <w:t>5J8 (Anti-H1N1)</w:t>
            </w:r>
          </w:p>
        </w:tc>
        <w:tc>
          <w:tcPr>
            <w:tcW w:w="1144" w:type="pct"/>
          </w:tcPr>
          <w:p w14:paraId="38417CD7" w14:textId="6D01CC22" w:rsidR="0030032A" w:rsidRPr="0030032A" w:rsidRDefault="0030032A" w:rsidP="00E9077D">
            <w:pPr>
              <w:rPr>
                <w:rFonts w:cs="Times New Roman"/>
                <w:szCs w:val="24"/>
              </w:rPr>
            </w:pPr>
            <w:r w:rsidRPr="0030032A">
              <w:rPr>
                <w:rFonts w:cs="Times New Roman"/>
                <w:szCs w:val="24"/>
              </w:rPr>
              <w:t xml:space="preserve">4m5z </w:t>
            </w:r>
            <w:r w:rsidRPr="0030032A">
              <w:rPr>
                <w:rFonts w:cs="Times New Roman"/>
                <w:szCs w:val="24"/>
              </w:rPr>
              <w:fldChar w:fldCharType="begin"/>
            </w:r>
            <w:r w:rsidR="00C25845">
              <w:rPr>
                <w:rFonts w:cs="Times New Roman"/>
                <w:szCs w:val="24"/>
              </w:rPr>
              <w:instrText xml:space="preserve"> ADDIN ZOTERO_ITEM CSL_CITATION {"citationID":"3qYEncu3","properties":{"formattedCitation":"(71)","plainCitation":"(71)","noteIndex":0},"citationItems":[{"id":2,"uris":["http://zotero.org/users/local/mmRtC3gY/items/IIG9QXEA"],"uri":["http://zotero.org/users/local/mmRtC3gY/items/IIG9QXEA"],"itemData":{"id":2,"type":"article-journal","abstract":"Influenza virus is a global health concern due to its unpredictable pandemic potential. This potential threat was realized in 2009 when an H1N1 virus emerged that resembled the 1918 virus in antigenicity but fortunately was not nearly as deadly. 5J8 is a human antibody that potently neutralizes a broad spectrum of H1N1 viruses, including the 1918 and 2009 pandemic viruses. Here, we present the crystal structure of 5J8 Fab in complex with a bacterially expressed and refolded globular head domain from the hemagglutinin (HA) of the A/California/07/2009 (H1N1) pandemic virus. 5J8 recognizes a conserved epitope in and around the receptor binding site (RBS), and its HCDR3 closely mimics interactions of the sialic acid receptor. Electron microscopy (EM) reconstructions of 5J8 Fab in complex with an HA trimer from a 1986 H1 strain and with an engineered stabilized HA trimer from the 2009 H1 pandemic virus showed a similar mode of binding. As for other characterized RBS-targeted antibodies, 5J8 uses avidity to extend its breadth and affinity against divergent H1 strains. 5J8 selectively interacts with HA insertion residue 133a, which is conserved in pandemic H1 strains and has precluded binding of other RBS-targeted antibodies. Thus, the RBS of divergent HAs is targeted by 5J8 and adds to the growing arsenal of common recognition motifs for design of therapeutics and vaccines. Moreover, consistent with previous studies, the bacterially expressed H1 HA properly refolds, retaining its antigenic structure, and presents a low-cost and rapid alternative for engineering and manufacturing candidate flu vaccines.","container-title":"Journal of Virology","DOI":"10.1128/JVI.01388-13","issue":"22","journalAbbreviation":"J. Virol.","page":"12471","title":"Antibody Recognition of the Pandemic H1N1 Influenza Virus Hemagglutinin Receptor Binding Site","volume":"87","author":[{"family":"Hong","given":"Minsun"},{"family":"Lee","given":"Peter S."},{"family":"Hoffman","given":"Ryan M. B."},{"family":"Zhu","given":"Xueyong"},{"family":"Krause","given":"Jens C."},{"family":"Laursen","given":"Nick S."},{"family":"Yoon","given":"Sung-il"},{"family":"Song","given":"Langzhou"},{"family":"Tussey","given":"Lynda"},{"family":"Crowe","given":"James E."},{"family":"Ward","given":"Andrew B."},{"family":"Wilson","given":"Ian A."}],"issued":{"date-parts":[["2013",11,15]]}}}],"schema":"https://github.com/citation-style-language/schema/raw/master/csl-citation.json"} </w:instrText>
            </w:r>
            <w:r w:rsidRPr="0030032A">
              <w:rPr>
                <w:rFonts w:cs="Times New Roman"/>
                <w:szCs w:val="24"/>
              </w:rPr>
              <w:fldChar w:fldCharType="separate"/>
            </w:r>
            <w:r w:rsidR="00C25845" w:rsidRPr="00C25845">
              <w:rPr>
                <w:rFonts w:cs="Times New Roman"/>
              </w:rPr>
              <w:t>(71)</w:t>
            </w:r>
            <w:r w:rsidRPr="0030032A">
              <w:rPr>
                <w:rFonts w:cs="Times New Roman"/>
                <w:szCs w:val="24"/>
              </w:rPr>
              <w:fldChar w:fldCharType="end"/>
            </w:r>
          </w:p>
        </w:tc>
        <w:tc>
          <w:tcPr>
            <w:tcW w:w="1144" w:type="pct"/>
          </w:tcPr>
          <w:p w14:paraId="435F20F1" w14:textId="51A6EC2F" w:rsidR="0030032A" w:rsidRPr="0030032A" w:rsidRDefault="0030032A" w:rsidP="00E9077D">
            <w:pPr>
              <w:rPr>
                <w:rFonts w:cs="Times New Roman"/>
                <w:szCs w:val="24"/>
              </w:rPr>
            </w:pPr>
            <w:r w:rsidRPr="0030032A">
              <w:rPr>
                <w:rFonts w:cs="Times New Roman"/>
                <w:szCs w:val="24"/>
              </w:rPr>
              <w:t xml:space="preserve">4m5y </w:t>
            </w:r>
            <w:r w:rsidRPr="0030032A">
              <w:rPr>
                <w:rFonts w:cs="Times New Roman"/>
                <w:szCs w:val="24"/>
              </w:rPr>
              <w:fldChar w:fldCharType="begin"/>
            </w:r>
            <w:r w:rsidR="00C25845">
              <w:rPr>
                <w:rFonts w:cs="Times New Roman"/>
                <w:szCs w:val="24"/>
              </w:rPr>
              <w:instrText xml:space="preserve"> ADDIN ZOTERO_ITEM CSL_CITATION {"citationID":"f80E1zFy","properties":{"formattedCitation":"(71)","plainCitation":"(71)","noteIndex":0},"citationItems":[{"id":2,"uris":["http://zotero.org/users/local/mmRtC3gY/items/IIG9QXEA"],"uri":["http://zotero.org/users/local/mmRtC3gY/items/IIG9QXEA"],"itemData":{"id":2,"type":"article-journal","abstract":"Influenza virus is a global health concern due to its unpredictable pandemic potential. This potential threat was realized in 2009 when an H1N1 virus emerged that resembled the 1918 virus in antigenicity but fortunately was not nearly as deadly. 5J8 is a human antibody that potently neutralizes a broad spectrum of H1N1 viruses, including the 1918 and 2009 pandemic viruses. Here, we present the crystal structure of 5J8 Fab in complex with a bacterially expressed and refolded globular head domain from the hemagglutinin (HA) of the A/California/07/2009 (H1N1) pandemic virus. 5J8 recognizes a conserved epitope in and around the receptor binding site (RBS), and its HCDR3 closely mimics interactions of the sialic acid receptor. Electron microscopy (EM) reconstructions of 5J8 Fab in complex with an HA trimer from a 1986 H1 strain and with an engineered stabilized HA trimer from the 2009 H1 pandemic virus showed a similar mode of binding. As for other characterized RBS-targeted antibodies, 5J8 uses avidity to extend its breadth and affinity against divergent H1 strains. 5J8 selectively interacts with HA insertion residue 133a, which is conserved in pandemic H1 strains and has precluded binding of other RBS-targeted antibodies. Thus, the RBS of divergent HAs is targeted by 5J8 and adds to the growing arsenal of common recognition motifs for design of therapeutics and vaccines. Moreover, consistent with previous studies, the bacterially expressed H1 HA properly refolds, retaining its antigenic structure, and presents a low-cost and rapid alternative for engineering and manufacturing candidate flu vaccines.","container-title":"Journal of Virology","DOI":"10.1128/JVI.01388-13","issue":"22","journalAbbreviation":"J. Virol.","page":"12471","title":"Antibody Recognition of the Pandemic H1N1 Influenza Virus Hemagglutinin Receptor Binding Site","volume":"87","author":[{"family":"Hong","given":"Minsun"},{"family":"Lee","given":"Peter S."},{"family":"Hoffman","given":"Ryan M. B."},{"family":"Zhu","given":"Xueyong"},{"family":"Krause","given":"Jens C."},{"family":"Laursen","given":"Nick S."},{"family":"Yoon","given":"Sung-il"},{"family":"Song","given":"Langzhou"},{"family":"Tussey","given":"Lynda"},{"family":"Crowe","given":"James E."},{"family":"Ward","given":"Andrew B."},{"family":"Wilson","given":"Ian A."}],"issued":{"date-parts":[["2013",11,15]]}}}],"schema":"https://github.com/citation-style-language/schema/raw/master/csl-citation.json"} </w:instrText>
            </w:r>
            <w:r w:rsidRPr="0030032A">
              <w:rPr>
                <w:rFonts w:cs="Times New Roman"/>
                <w:szCs w:val="24"/>
              </w:rPr>
              <w:fldChar w:fldCharType="separate"/>
            </w:r>
            <w:r w:rsidR="00C25845" w:rsidRPr="00C25845">
              <w:rPr>
                <w:rFonts w:cs="Times New Roman"/>
              </w:rPr>
              <w:t>(71)</w:t>
            </w:r>
            <w:r w:rsidRPr="0030032A">
              <w:rPr>
                <w:rFonts w:cs="Times New Roman"/>
                <w:szCs w:val="24"/>
              </w:rPr>
              <w:fldChar w:fldCharType="end"/>
            </w:r>
          </w:p>
        </w:tc>
        <w:tc>
          <w:tcPr>
            <w:tcW w:w="1144" w:type="pct"/>
          </w:tcPr>
          <w:p w14:paraId="337F996A" w14:textId="62B00982" w:rsidR="0030032A" w:rsidRPr="0030032A" w:rsidRDefault="0030032A" w:rsidP="00E9077D">
            <w:pPr>
              <w:rPr>
                <w:rFonts w:cs="Times New Roman"/>
                <w:szCs w:val="24"/>
              </w:rPr>
            </w:pPr>
            <w:r w:rsidRPr="0030032A">
              <w:rPr>
                <w:rFonts w:cs="Times New Roman"/>
                <w:szCs w:val="24"/>
              </w:rPr>
              <w:t xml:space="preserve">26 </w:t>
            </w:r>
            <w:r w:rsidRPr="0030032A">
              <w:rPr>
                <w:rFonts w:cs="Times New Roman"/>
                <w:szCs w:val="24"/>
              </w:rPr>
              <w:fldChar w:fldCharType="begin"/>
            </w:r>
            <w:r w:rsidR="00C25845">
              <w:rPr>
                <w:rFonts w:cs="Times New Roman"/>
                <w:szCs w:val="24"/>
              </w:rPr>
              <w:instrText xml:space="preserve"> ADDIN ZOTERO_ITEM CSL_CITATION {"citationID":"33I2zrNR","properties":{"formattedCitation":"(72)","plainCitation":"(72)","noteIndex":0},"citationItems":[{"id":17,"uris":["http://zotero.org/users/local/mmRtC3gY/items/WSDJYFXN"],"uri":["http://zotero.org/users/local/mmRtC3gY/items/WSDJYFXN"],"itemData":{"id":17,"type":"article-journal","abstract":"The conserved influenza virus hemagglutinin (HA) stem domain elicits cross-reactive antibodies, but epitopes in the globular head typically elicit strain-specific responses because of the hypervariability of this region. We isolated human monoclonal antibody 5J8, which neutralized a broad spectrum of 20th century H1N1 viruses and the 2009 pandemic H1N1 virus. Fine mapping of the interaction unexpectedly revealed a novel epitope between the receptor-binding pocket and the Ca2 antigenic site on HA. This antibody exposes a new mechanism underlying broad immunity against H1N1 influenza viruses and identifies a conserved epitope that might be incorporated into engineered H1 virus vaccines.","container-title":"Journal of Virology","DOI":"10.1128/JVI.00700-11","ISSN":"0022-538X, 1098-5514","issue":"20","language":"en","note":"PMID: 21849447","page":"10905-10908","source":"jvi.asm.org","title":"A Broadly Neutralizing Human Monoclonal Antibody That Recognizes a Conserved, Novel Epitope on the Globular Head of the Influenza H1N1 Virus Hemagglutinin","volume":"85","author":[{"family":"Krause","given":"Jens C."},{"family":"Tsibane","given":"Tshidi"},{"family":"Tumpey","given":"Terrence M."},{"family":"Huffman","given":"Chelsey J."},{"family":"Basler","given":"Christopher F."},{"family":"Crowe","given":"James E."}],"issued":{"date-parts":[["2011",10,15]]}}}],"schema":"https://github.com/citation-style-language/schema/raw/master/csl-citation.json"} </w:instrText>
            </w:r>
            <w:r w:rsidRPr="0030032A">
              <w:rPr>
                <w:rFonts w:cs="Times New Roman"/>
                <w:szCs w:val="24"/>
              </w:rPr>
              <w:fldChar w:fldCharType="separate"/>
            </w:r>
            <w:r w:rsidR="00C25845" w:rsidRPr="00C25845">
              <w:rPr>
                <w:rFonts w:cs="Times New Roman"/>
              </w:rPr>
              <w:t>(72)</w:t>
            </w:r>
            <w:r w:rsidRPr="0030032A">
              <w:rPr>
                <w:rFonts w:cs="Times New Roman"/>
                <w:szCs w:val="24"/>
              </w:rPr>
              <w:fldChar w:fldCharType="end"/>
            </w:r>
          </w:p>
        </w:tc>
      </w:tr>
      <w:tr w:rsidR="0030032A" w:rsidRPr="0030032A" w14:paraId="32262165" w14:textId="77777777" w:rsidTr="00E9077D">
        <w:tc>
          <w:tcPr>
            <w:tcW w:w="1567" w:type="pct"/>
          </w:tcPr>
          <w:p w14:paraId="00D06971" w14:textId="77777777" w:rsidR="0030032A" w:rsidRPr="0030032A" w:rsidRDefault="0030032A" w:rsidP="00E9077D">
            <w:pPr>
              <w:rPr>
                <w:rFonts w:cs="Times New Roman"/>
                <w:szCs w:val="24"/>
              </w:rPr>
            </w:pPr>
            <w:r w:rsidRPr="0030032A">
              <w:rPr>
                <w:rFonts w:cs="Times New Roman"/>
                <w:szCs w:val="24"/>
              </w:rPr>
              <w:t>125-2H (Anti-IL-18)</w:t>
            </w:r>
          </w:p>
        </w:tc>
        <w:tc>
          <w:tcPr>
            <w:tcW w:w="1144" w:type="pct"/>
          </w:tcPr>
          <w:p w14:paraId="5669C607" w14:textId="7C29C941" w:rsidR="0030032A" w:rsidRPr="0030032A" w:rsidRDefault="0030032A" w:rsidP="00E9077D">
            <w:pPr>
              <w:rPr>
                <w:rFonts w:cs="Times New Roman"/>
                <w:szCs w:val="24"/>
              </w:rPr>
            </w:pPr>
            <w:r w:rsidRPr="0030032A">
              <w:rPr>
                <w:rFonts w:cs="Times New Roman"/>
                <w:szCs w:val="24"/>
              </w:rPr>
              <w:t xml:space="preserve">2vxt </w:t>
            </w:r>
            <w:r w:rsidRPr="0030032A">
              <w:rPr>
                <w:rFonts w:cs="Times New Roman"/>
                <w:szCs w:val="24"/>
              </w:rPr>
              <w:fldChar w:fldCharType="begin"/>
            </w:r>
            <w:r w:rsidR="00C25845">
              <w:rPr>
                <w:rFonts w:cs="Times New Roman"/>
                <w:szCs w:val="24"/>
              </w:rPr>
              <w:instrText xml:space="preserve"> ADDIN ZOTERO_ITEM CSL_CITATION {"citationID":"GuUml0Ss","properties":{"formattedCitation":"(73)","plainCitation":"(73)","noteIndex":0},"citationItems":[{"id":3,"uris":["http://zotero.org/users/local/mmRtC3gY/items/FC6EDD4T"],"uri":["http://zotero.org/users/local/mmRtC3gY/items/FC6EDD4T"],"itemData":{"id":3,"type":"article-journal","abstract":"The unique cytokine interleukin-18 (IL-18) acts synergistically with IL-12 to regulate T-helper 1 and 2 lymphocytes and, as such, seems to underlie the pathogenesis of various autoimmune and allergic diseases. Several anti-IL-18 agents are in clinical development, including the recombinant human antibody ABT-325, which is entering trials for autoimmune diseases. Given competing cytokine/receptor and cytokine/receptor decoy interactions, understanding the structural basis for recognition is critical for effective development of anti-cytokine therapies. Here we report three crystal structures: the murine antibody 125-2H Fab fragment bound to human IL-18, at 1.5 Å resolution; the 125-2H Fab (2.3 Å); and the ABT-325 Fab (1.5 Å). These structures, along with human/mouse IL-18 chimera binding data, allow us to make three key observations relevant to the biology and antigenic recognition of IL-18 and related cytokines. First, several IL-18 residues shift dramatically (&gt;10 Å) upon binding 125-2H, compared with unbound IL-18 (Kato, Z., Jee, J., Shikano, H., Mishima, M., Ohki, I., Ohnishi, H., Li, A., Hashimoto, K., Matsukuma, E., Omoya, K., Yamamoto, Y., Yoneda, T., Hara, T., Kondo, N., and Shirakawa, M. (2003) Nat. Struct. Biol. 10, 966–971). IL-18 thus exhibits plasticity that may be common to its interactions with other receptors. Related cytokines may exhibit similar plasticity. Second, ABT-325 and 125-2H differ significantly in combining site character and architecture, thus explaining their ability to bind IL-18 simultaneously at distinct epitopes. These data allow us to define the likely ABT-325 epitope and thereby explain the distinct neutralizing mechanisms of both antibodies. Third, given the high 125-2H potency, 10 well ordered water molecules are trapped upon complex formation in a cavity between two IL-18 loops and all six 125-2H complementarity-determining regions. Thus, counterintuitively, tight and specific antibody binding may in some cases be water-mediated.","container-title":"Journal of Biological Chemistry","DOI":"10.1074/jbc.M109.023887","issue":"36","journalAbbreviation":"Journal of Biological Chemistry","page":"24478-24489","title":"Unusual Water-mediated Antigenic Recognition of the Proinflammatory Cytokine Interleukin-18","volume":"284","author":[{"family":"Argiriadi","given":"Maria A."},{"family":"Xiang","given":"Tao"},{"family":"Wu","given":"Chengbin"},{"family":"Ghayur","given":"Tariq"},{"family":"Borhani","given":"David W."}],"issued":{"date-parts":[["2009",9,4]]}}}],"schema":"https://github.com/citation-style-language/schema/raw/master/csl-citation.json"} </w:instrText>
            </w:r>
            <w:r w:rsidRPr="0030032A">
              <w:rPr>
                <w:rFonts w:cs="Times New Roman"/>
                <w:szCs w:val="24"/>
              </w:rPr>
              <w:fldChar w:fldCharType="separate"/>
            </w:r>
            <w:r w:rsidR="00C25845" w:rsidRPr="00C25845">
              <w:rPr>
                <w:rFonts w:cs="Times New Roman"/>
              </w:rPr>
              <w:t>(73)</w:t>
            </w:r>
            <w:r w:rsidRPr="0030032A">
              <w:rPr>
                <w:rFonts w:cs="Times New Roman"/>
                <w:szCs w:val="24"/>
              </w:rPr>
              <w:fldChar w:fldCharType="end"/>
            </w:r>
          </w:p>
        </w:tc>
        <w:tc>
          <w:tcPr>
            <w:tcW w:w="1144" w:type="pct"/>
          </w:tcPr>
          <w:p w14:paraId="32DEDA4E" w14:textId="36719821" w:rsidR="0030032A" w:rsidRPr="0030032A" w:rsidRDefault="0030032A" w:rsidP="00E9077D">
            <w:pPr>
              <w:rPr>
                <w:rFonts w:cs="Times New Roman"/>
                <w:szCs w:val="24"/>
              </w:rPr>
            </w:pPr>
            <w:r w:rsidRPr="0030032A">
              <w:rPr>
                <w:rFonts w:cs="Times New Roman"/>
                <w:szCs w:val="24"/>
              </w:rPr>
              <w:t xml:space="preserve">2vxu </w:t>
            </w:r>
            <w:r w:rsidRPr="0030032A">
              <w:rPr>
                <w:rFonts w:cs="Times New Roman"/>
                <w:szCs w:val="24"/>
              </w:rPr>
              <w:fldChar w:fldCharType="begin"/>
            </w:r>
            <w:r w:rsidR="00C25845">
              <w:rPr>
                <w:rFonts w:cs="Times New Roman"/>
                <w:szCs w:val="24"/>
              </w:rPr>
              <w:instrText xml:space="preserve"> ADDIN ZOTERO_ITEM CSL_CITATION {"citationID":"PtdEHiD3","properties":{"formattedCitation":"(73)","plainCitation":"(73)","noteIndex":0},"citationItems":[{"id":3,"uris":["http://zotero.org/users/local/mmRtC3gY/items/FC6EDD4T"],"uri":["http://zotero.org/users/local/mmRtC3gY/items/FC6EDD4T"],"itemData":{"id":3,"type":"article-journal","abstract":"The unique cytokine interleukin-18 (IL-18) acts synergistically with IL-12 to regulate T-helper 1 and 2 lymphocytes and, as such, seems to underlie the pathogenesis of various autoimmune and allergic diseases. Several anti-IL-18 agents are in clinical development, including the recombinant human antibody ABT-325, which is entering trials for autoimmune diseases. Given competing cytokine/receptor and cytokine/receptor decoy interactions, understanding the structural basis for recognition is critical for effective development of anti-cytokine therapies. Here we report three crystal structures: the murine antibody 125-2H Fab fragment bound to human IL-18, at 1.5 Å resolution; the 125-2H Fab (2.3 Å); and the ABT-325 Fab (1.5 Å). These structures, along with human/mouse IL-18 chimera binding data, allow us to make three key observations relevant to the biology and antigenic recognition of IL-18 and related cytokines. First, several IL-18 residues shift dramatically (&gt;10 Å) upon binding 125-2H, compared with unbound IL-18 (Kato, Z., Jee, J., Shikano, H., Mishima, M., Ohki, I., Ohnishi, H., Li, A., Hashimoto, K., Matsukuma, E., Omoya, K., Yamamoto, Y., Yoneda, T., Hara, T., Kondo, N., and Shirakawa, M. (2003) Nat. Struct. Biol. 10, 966–971). IL-18 thus exhibits plasticity that may be common to its interactions with other receptors. Related cytokines may exhibit similar plasticity. Second, ABT-325 and 125-2H differ significantly in combining site character and architecture, thus explaining their ability to bind IL-18 simultaneously at distinct epitopes. These data allow us to define the likely ABT-325 epitope and thereby explain the distinct neutralizing mechanisms of both antibodies. Third, given the high 125-2H potency, 10 well ordered water molecules are trapped upon complex formation in a cavity between two IL-18 loops and all six 125-2H complementarity-determining regions. Thus, counterintuitively, tight and specific antibody binding may in some cases be water-mediated.","container-title":"Journal of Biological Chemistry","DOI":"10.1074/jbc.M109.023887","issue":"36","journalAbbreviation":"Journal of Biological Chemistry","page":"24478-24489","title":"Unusual Water-mediated Antigenic Recognition of the Proinflammatory Cytokine Interleukin-18","volume":"284","author":[{"family":"Argiriadi","given":"Maria A."},{"family":"Xiang","given":"Tao"},{"family":"Wu","given":"Chengbin"},{"family":"Ghayur","given":"Tariq"},{"family":"Borhani","given":"David W."}],"issued":{"date-parts":[["2009",9,4]]}}}],"schema":"https://github.com/citation-style-language/schema/raw/master/csl-citation.json"} </w:instrText>
            </w:r>
            <w:r w:rsidRPr="0030032A">
              <w:rPr>
                <w:rFonts w:cs="Times New Roman"/>
                <w:szCs w:val="24"/>
              </w:rPr>
              <w:fldChar w:fldCharType="separate"/>
            </w:r>
            <w:r w:rsidR="00C25845" w:rsidRPr="00C25845">
              <w:rPr>
                <w:rFonts w:cs="Times New Roman"/>
              </w:rPr>
              <w:t>(73)</w:t>
            </w:r>
            <w:r w:rsidRPr="0030032A">
              <w:rPr>
                <w:rFonts w:cs="Times New Roman"/>
                <w:szCs w:val="24"/>
              </w:rPr>
              <w:fldChar w:fldCharType="end"/>
            </w:r>
          </w:p>
        </w:tc>
        <w:tc>
          <w:tcPr>
            <w:tcW w:w="1144" w:type="pct"/>
          </w:tcPr>
          <w:p w14:paraId="2A69A686" w14:textId="632E73A3" w:rsidR="0030032A" w:rsidRPr="0030032A" w:rsidRDefault="0030032A" w:rsidP="00E9077D">
            <w:pPr>
              <w:rPr>
                <w:rFonts w:cs="Times New Roman"/>
                <w:szCs w:val="24"/>
              </w:rPr>
            </w:pPr>
            <w:r w:rsidRPr="0030032A">
              <w:rPr>
                <w:rFonts w:cs="Times New Roman"/>
                <w:szCs w:val="24"/>
              </w:rPr>
              <w:t xml:space="preserve">0.533 </w:t>
            </w:r>
            <w:r w:rsidRPr="0030032A">
              <w:rPr>
                <w:rFonts w:cs="Times New Roman"/>
                <w:szCs w:val="24"/>
              </w:rPr>
              <w:fldChar w:fldCharType="begin"/>
            </w:r>
            <w:r w:rsidR="00C25845">
              <w:rPr>
                <w:rFonts w:cs="Times New Roman"/>
                <w:szCs w:val="24"/>
              </w:rPr>
              <w:instrText xml:space="preserve"> ADDIN ZOTERO_ITEM CSL_CITATION {"citationID":"X0lanYuM","properties":{"formattedCitation":"(74)","plainCitation":"(74)","noteIndex":0},"citationItems":[{"id":21,"uris":["http://zotero.org/users/local/mmRtC3gY/items/WWY6DE3I"],"uri":["http://zotero.org/users/local/mmRtC3gY/items/WWY6DE3I"],"itemData":{"id":21,"type":"article-journal","abstract":"IL-18 is a pleiotropic proinflammatory cytokine that is involved in induction of inflammatory mediators, regulation of the cytotoxic activity of NK cells and T cells, and differentiation and activation of both Th1 and Th2 cells. IL-18 signals through its specific cell surface receptor IL-18R, which comprises two subunits: IL-18Rα and IL-18Rβ. IL-18Rα alone has a weak affinity for IL-18 binding, while the IL-18Rα/β complex has a high affinity. By using several anti-IL-18 mAbs and IL-18 binding protein, we have examined whether these site-specific inhibitors could block the binding of IL-18 to IL-18Rα and to the IL-18Rα/β complex. Here we show that IL-18 binding to IL-18Rα was inhibited by a neutralizing mAb, 125-2H, while binding of IL-18 to the α/β receptor complex was not. This suggests that IL-18Rβ-induced conformational changes may occur in IL-18Rα upon dimerization, leading to changes in the presentation of IL-18 binding sites. Epitope mapping of 125-2H using human-mouse IL-18 chimeras identified a region in IL-18 that was required for 125-2H recognition. This region, as examined by IL-18R binding and functional analysis, appeared to be critical for triggering signal transduction through the heterodimeric receptor.","container-title":"Journal of Immunology","DOI":"10.4049/jimmunol.170.11.5571","issue":"11","journalAbbreviation":"J. Immunol.","page":"5571","title":"IL-18 Receptor β-Induced Changes in the Presentation of IL-18 Binding Sites Affect Ligand Binding and Signal Transduction","volume":"170","author":[{"family":"Wu","given":"Chengbin"},{"family":"Sakorafas","given":"Paul"},{"family":"Miller","given":"Renee"},{"family":"McCarthy","given":"Donna"},{"family":"Scesney","given":"Susanne"},{"family":"Dixon","given":"Richard"},{"family":"Ghayur","given":"Tariq"}],"issued":{"date-parts":[["2003",6,1]]}}}],"schema":"https://github.com/citation-style-language/schema/raw/master/csl-citation.json"} </w:instrText>
            </w:r>
            <w:r w:rsidRPr="0030032A">
              <w:rPr>
                <w:rFonts w:cs="Times New Roman"/>
                <w:szCs w:val="24"/>
              </w:rPr>
              <w:fldChar w:fldCharType="separate"/>
            </w:r>
            <w:r w:rsidR="00C25845" w:rsidRPr="00C25845">
              <w:rPr>
                <w:rFonts w:cs="Times New Roman"/>
              </w:rPr>
              <w:t>(74)</w:t>
            </w:r>
            <w:r w:rsidRPr="0030032A">
              <w:rPr>
                <w:rFonts w:cs="Times New Roman"/>
                <w:szCs w:val="24"/>
              </w:rPr>
              <w:fldChar w:fldCharType="end"/>
            </w:r>
          </w:p>
        </w:tc>
      </w:tr>
      <w:tr w:rsidR="0030032A" w:rsidRPr="0030032A" w14:paraId="544575E4" w14:textId="77777777" w:rsidTr="00E9077D">
        <w:tc>
          <w:tcPr>
            <w:tcW w:w="1567" w:type="pct"/>
          </w:tcPr>
          <w:p w14:paraId="7BDBFACD" w14:textId="77777777" w:rsidR="0030032A" w:rsidRPr="0030032A" w:rsidRDefault="0030032A" w:rsidP="00E9077D">
            <w:pPr>
              <w:rPr>
                <w:rFonts w:cs="Times New Roman"/>
                <w:szCs w:val="24"/>
              </w:rPr>
            </w:pPr>
            <w:r w:rsidRPr="0030032A">
              <w:rPr>
                <w:rFonts w:cs="Times New Roman"/>
                <w:szCs w:val="24"/>
              </w:rPr>
              <w:t>AL-57 (Anti-LFA)</w:t>
            </w:r>
          </w:p>
        </w:tc>
        <w:tc>
          <w:tcPr>
            <w:tcW w:w="1144" w:type="pct"/>
          </w:tcPr>
          <w:p w14:paraId="413185E1" w14:textId="1CB1B614" w:rsidR="0030032A" w:rsidRPr="0030032A" w:rsidRDefault="0030032A" w:rsidP="00E9077D">
            <w:pPr>
              <w:rPr>
                <w:rFonts w:cs="Times New Roman"/>
                <w:szCs w:val="24"/>
              </w:rPr>
            </w:pPr>
            <w:r w:rsidRPr="0030032A">
              <w:rPr>
                <w:rFonts w:cs="Times New Roman"/>
                <w:szCs w:val="24"/>
              </w:rPr>
              <w:t xml:space="preserve">3hi6 </w:t>
            </w:r>
            <w:r w:rsidRPr="0030032A">
              <w:rPr>
                <w:rFonts w:cs="Times New Roman"/>
                <w:szCs w:val="24"/>
              </w:rPr>
              <w:fldChar w:fldCharType="begin"/>
            </w:r>
            <w:r w:rsidR="00C25845">
              <w:rPr>
                <w:rFonts w:cs="Times New Roman"/>
                <w:szCs w:val="24"/>
              </w:rPr>
              <w:instrText xml:space="preserve"> ADDIN ZOTERO_ITEM CSL_CITATION {"citationID":"HCG0F1vr","properties":{"formattedCitation":"(75)","plainCitation":"(75)","noteIndex":0},"citationItems":[{"id":4,"uris":["http://zotero.org/users/local/mmRtC3gY/items/27WW9ZN3"],"uri":["http://zotero.org/users/local/mmRtC3gY/items/27WW9ZN3"],"itemData":{"id":4,"type":"article-journal","abstract":"The activity of integrin LFA-1 (αLβ2) to its ligand ICAM-1 is regulated through the conformational changes of its ligand-binding domain, the I domain of αL chain, from an inactive, low-affinity closed form (LA), to an intermediate-affinity form (IA), and then finally, to a high-affinity open form (HA). A ligand-mimetic human monoclonal antibody AL-57 (activated LFA-1 clone 57) was identified by phage display to specifically recognize the affinity-upregulated I domain. Here, we describe the crystal structures of the Fab fragment of AL-57 in complex with IA, as well as in its unligated form. We discuss the structural features conferring AL-57's strong selectivity for the high affinity, open conformation of the I domain. The AL-57-binding site overlaps the ICAM-1 binding site on the I domain. Furthermore, an antibody Asp mimics an ICAM Glu by forming a coordination to the metal-ion dependent adhesion site (MIDAS). The structure also reveals better shape complementarity and a more hydrophobic interacting interface in AL-57 binding than in ICAM-1 binding. The results explain AL-57's antagonistic mimicry of LFA-1's natural ligands, the ICAM molecules.","container-title":"Proceedings of the National Academy of Sciences","DOI":"10.1073/pnas.0909301106","issue":"43","journalAbbreviation":"Proc Natl Acad Sci USA","page":"18345","title":"Structural basis of activation-dependent binding of ligand-mimetic antibody AL-57 to integrin LFA-1","volume":"106","author":[{"family":"Zhang","given":"Hongmin"},{"family":"Liu","given":"Jin-huan"},{"family":"Yang","given":"Wei"},{"family":"Springer","given":"Timothy"},{"family":"Shimaoka","given":"Motomu"},{"family":"Wang","given":"Jia-huai"}],"issued":{"date-parts":[["2009",10,27]]}},"locator":"-57"}],"schema":"https://github.com/citation-style-language/schema/raw/master/csl-citation.json"} </w:instrText>
            </w:r>
            <w:r w:rsidRPr="0030032A">
              <w:rPr>
                <w:rFonts w:cs="Times New Roman"/>
                <w:szCs w:val="24"/>
              </w:rPr>
              <w:fldChar w:fldCharType="separate"/>
            </w:r>
            <w:r w:rsidR="00C25845" w:rsidRPr="00C25845">
              <w:rPr>
                <w:rFonts w:cs="Times New Roman"/>
              </w:rPr>
              <w:t>(75)</w:t>
            </w:r>
            <w:r w:rsidRPr="0030032A">
              <w:rPr>
                <w:rFonts w:cs="Times New Roman"/>
                <w:szCs w:val="24"/>
              </w:rPr>
              <w:fldChar w:fldCharType="end"/>
            </w:r>
          </w:p>
        </w:tc>
        <w:tc>
          <w:tcPr>
            <w:tcW w:w="1144" w:type="pct"/>
          </w:tcPr>
          <w:p w14:paraId="23E9E8E0" w14:textId="2A670407" w:rsidR="0030032A" w:rsidRPr="0030032A" w:rsidRDefault="0030032A" w:rsidP="00E9077D">
            <w:pPr>
              <w:rPr>
                <w:rFonts w:cs="Times New Roman"/>
                <w:szCs w:val="24"/>
              </w:rPr>
            </w:pPr>
            <w:r w:rsidRPr="0030032A">
              <w:rPr>
                <w:rFonts w:cs="Times New Roman"/>
                <w:szCs w:val="24"/>
              </w:rPr>
              <w:t xml:space="preserve">3hi5 </w:t>
            </w:r>
            <w:r w:rsidRPr="0030032A">
              <w:rPr>
                <w:rFonts w:cs="Times New Roman"/>
                <w:szCs w:val="24"/>
              </w:rPr>
              <w:fldChar w:fldCharType="begin"/>
            </w:r>
            <w:r w:rsidR="00C25845">
              <w:rPr>
                <w:rFonts w:cs="Times New Roman"/>
                <w:szCs w:val="24"/>
              </w:rPr>
              <w:instrText xml:space="preserve"> ADDIN ZOTERO_ITEM CSL_CITATION {"citationID":"GoyOd7ya","properties":{"formattedCitation":"(75)","plainCitation":"(75)","noteIndex":0},"citationItems":[{"id":4,"uris":["http://zotero.org/users/local/mmRtC3gY/items/27WW9ZN3"],"uri":["http://zotero.org/users/local/mmRtC3gY/items/27WW9ZN3"],"itemData":{"id":4,"type":"article-journal","abstract":"The activity of integrin LFA-1 (αLβ2) to its ligand ICAM-1 is regulated through the conformational changes of its ligand-binding domain, the I domain of αL chain, from an inactive, low-affinity closed form (LA), to an intermediate-affinity form (IA), and then finally, to a high-affinity open form (HA). A ligand-mimetic human monoclonal antibody AL-57 (activated LFA-1 clone 57) was identified by phage display to specifically recognize the affinity-upregulated I domain. Here, we describe the crystal structures of the Fab fragment of AL-57 in complex with IA, as well as in its unligated form. We discuss the structural features conferring AL-57's strong selectivity for the high affinity, open conformation of the I domain. The AL-57-binding site overlaps the ICAM-1 binding site on the I domain. Furthermore, an antibody Asp mimics an ICAM Glu by forming a coordination to the metal-ion dependent adhesion site (MIDAS). The structure also reveals better shape complementarity and a more hydrophobic interacting interface in AL-57 binding than in ICAM-1 binding. The results explain AL-57's antagonistic mimicry of LFA-1's natural ligands, the ICAM molecules.","container-title":"Proceedings of the National Academy of Sciences","DOI":"10.1073/pnas.0909301106","issue":"43","journalAbbreviation":"Proc Natl Acad Sci USA","page":"18345","title":"Structural basis of activation-dependent binding of ligand-mimetic antibody AL-57 to integrin LFA-1","volume":"106","author":[{"family":"Zhang","given":"Hongmin"},{"family":"Liu","given":"Jin-huan"},{"family":"Yang","given":"Wei"},{"family":"Springer","given":"Timothy"},{"family":"Shimaoka","given":"Motomu"},{"family":"Wang","given":"Jia-huai"}],"issued":{"date-parts":[["2009",10,27]]}},"locator":"-57"}],"schema":"https://github.com/citation-style-language/schema/raw/master/csl-citation.json"} </w:instrText>
            </w:r>
            <w:r w:rsidRPr="0030032A">
              <w:rPr>
                <w:rFonts w:cs="Times New Roman"/>
                <w:szCs w:val="24"/>
              </w:rPr>
              <w:fldChar w:fldCharType="separate"/>
            </w:r>
            <w:r w:rsidR="00C25845" w:rsidRPr="00C25845">
              <w:rPr>
                <w:rFonts w:cs="Times New Roman"/>
              </w:rPr>
              <w:t>(75)</w:t>
            </w:r>
            <w:r w:rsidRPr="0030032A">
              <w:rPr>
                <w:rFonts w:cs="Times New Roman"/>
                <w:szCs w:val="24"/>
              </w:rPr>
              <w:fldChar w:fldCharType="end"/>
            </w:r>
          </w:p>
        </w:tc>
        <w:tc>
          <w:tcPr>
            <w:tcW w:w="1144" w:type="pct"/>
          </w:tcPr>
          <w:p w14:paraId="5F978E93" w14:textId="4E955123" w:rsidR="0030032A" w:rsidRPr="0030032A" w:rsidRDefault="0030032A" w:rsidP="00E9077D">
            <w:pPr>
              <w:rPr>
                <w:rFonts w:cs="Times New Roman"/>
                <w:szCs w:val="24"/>
              </w:rPr>
            </w:pPr>
            <w:r w:rsidRPr="0030032A">
              <w:rPr>
                <w:rFonts w:cs="Times New Roman"/>
                <w:szCs w:val="24"/>
              </w:rPr>
              <w:t xml:space="preserve">4700 </w:t>
            </w:r>
            <w:r w:rsidRPr="0030032A">
              <w:rPr>
                <w:rFonts w:cs="Times New Roman"/>
                <w:szCs w:val="24"/>
              </w:rPr>
              <w:fldChar w:fldCharType="begin"/>
            </w:r>
            <w:r w:rsidR="00E9077D">
              <w:rPr>
                <w:rFonts w:cs="Times New Roman"/>
                <w:szCs w:val="24"/>
              </w:rPr>
              <w:instrText xml:space="preserve"> ADDIN ZOTERO_ITEM CSL_CITATION {"citationID":"EL7xLe6n","properties":{"formattedCitation":"(55)","plainCitation":"(55)","noteIndex":0},"citationItems":[{"id":22,"uris":["http://zotero.org/users/local/mmRtC3gY/items/AAVWKTFC"],"uri":["http://zotero.org/users/local/mmRtC3gY/items/AAVWKTFC"],"itemData":{"id":22,"type":"article-journal","abstract":"Affinity of integrin lymphocyte function-associated antigen 1 (LFA-1) is enhanced by conformational changes from the low-affinity closed form to the high-affinity (HA) open form of the ligand-binding inserted (I) domain as shown by work with purified I domains. However, affinity up-regulation of LFA-1 on the cell surface by physiological agonists such as chemokines has yet to be demonstrated by monovalent reagents. We characterize a mAb, AL-57 (activated LFA-1 clone 57), that has been developed by phage display that selectively targets the HA open conformation of the LFA-1 I domain. AL-57 discriminates among low-affinity, intermediate-affinity, and HA states of LFA-1. Furthermore, AL-57 functions as a ligand mimetic that binds only upon activation and requires Mg2+ for binding. Compared with the natural ligand intercellular adhesion molecule-1, AL-57 shows a tighter binding to the open I domain and a 250-fold slower off rate. Monovalent Fab AL-57 demonstrates affinity increases on a subset (≈10%) of lymphocyte cell surface LFA-1 molecules upon stimulation with CXCL-12 (CXC chemokine ligand 12). Affinity up-regulation correlates with global conformational changes of LFA-1 to the extended form. Affinity increase stimulated by CXCL-12 is transient and peaks 2 to 5 min after stimulation.","container-title":"Proceedings of the National Academy of Sciences","DOI":"10.1073/pnas.0605716103","issue":"38","journalAbbreviation":"Proc Natl Acad Sci USA","page":"13991","title":"AL-57, a ligand-mimetic antibody to integrin LFA-1, reveals chemokine-induced affinity up-regulation in lymphocytes","volume":"103","author":[{"family":"Shimaoka","given":"Motomu"},{"family":"Kim","given":"Minsoo"},{"family":"Cohen","given":"Edward H."},{"family":"Yang","given":"Wei"},{"family":"Astrof","given":"Nathan"},{"family":"Peer","given":"Dan"},{"family":"Salas","given":"Azucena"},{"family":"Ferrand","given":"Audrey"},{"family":"Springer","given":"Timothy A."}],"issued":{"date-parts":[["2006",9,19]]}}}],"schema":"https://github.com/citation-style-language/schema/raw/master/csl-citation.json"} </w:instrText>
            </w:r>
            <w:r w:rsidRPr="0030032A">
              <w:rPr>
                <w:rFonts w:cs="Times New Roman"/>
                <w:szCs w:val="24"/>
              </w:rPr>
              <w:fldChar w:fldCharType="separate"/>
            </w:r>
            <w:r w:rsidR="00E9077D" w:rsidRPr="00E9077D">
              <w:rPr>
                <w:rFonts w:cs="Times New Roman"/>
              </w:rPr>
              <w:t>(55)</w:t>
            </w:r>
            <w:r w:rsidRPr="0030032A">
              <w:rPr>
                <w:rFonts w:cs="Times New Roman"/>
                <w:szCs w:val="24"/>
              </w:rPr>
              <w:fldChar w:fldCharType="end"/>
            </w:r>
          </w:p>
        </w:tc>
      </w:tr>
      <w:tr w:rsidR="0030032A" w:rsidRPr="0030032A" w14:paraId="18302D17" w14:textId="77777777" w:rsidTr="00E9077D">
        <w:tc>
          <w:tcPr>
            <w:tcW w:w="1567" w:type="pct"/>
          </w:tcPr>
          <w:p w14:paraId="07C89987" w14:textId="77777777" w:rsidR="0030032A" w:rsidRPr="0030032A" w:rsidRDefault="0030032A" w:rsidP="00E9077D">
            <w:pPr>
              <w:rPr>
                <w:rFonts w:cs="Times New Roman"/>
                <w:szCs w:val="24"/>
              </w:rPr>
            </w:pPr>
            <w:r w:rsidRPr="0030032A">
              <w:rPr>
                <w:rFonts w:cs="Times New Roman"/>
                <w:szCs w:val="24"/>
              </w:rPr>
              <w:t>3M4E5 (Anti-MHC)</w:t>
            </w:r>
          </w:p>
        </w:tc>
        <w:tc>
          <w:tcPr>
            <w:tcW w:w="1144" w:type="pct"/>
          </w:tcPr>
          <w:p w14:paraId="35B68086" w14:textId="0E62FC5F" w:rsidR="0030032A" w:rsidRPr="0030032A" w:rsidRDefault="0030032A" w:rsidP="00E9077D">
            <w:pPr>
              <w:rPr>
                <w:rFonts w:cs="Times New Roman"/>
                <w:szCs w:val="24"/>
              </w:rPr>
            </w:pPr>
            <w:r w:rsidRPr="0030032A">
              <w:rPr>
                <w:rFonts w:cs="Times New Roman"/>
                <w:szCs w:val="24"/>
              </w:rPr>
              <w:t xml:space="preserve">3gjf </w:t>
            </w:r>
            <w:r w:rsidRPr="0030032A">
              <w:rPr>
                <w:rFonts w:cs="Times New Roman"/>
                <w:szCs w:val="24"/>
              </w:rPr>
              <w:fldChar w:fldCharType="begin"/>
            </w:r>
            <w:r w:rsidR="00E9077D">
              <w:rPr>
                <w:rFonts w:cs="Times New Roman"/>
                <w:szCs w:val="24"/>
              </w:rPr>
              <w:instrText xml:space="preserve"> ADDIN ZOTERO_ITEM CSL_CITATION {"citationID":"xJ8GBv6S","properties":{"formattedCitation":"(56)","plainCitation":"(56)","noteIndex":0},"citationItems":[{"id":5,"uris":["http://zotero.org/users/local/mmRtC3gY/items/V4YE9C4Q"],"uri":["http://zotero.org/users/local/mmRtC3gY/items/V4YE9C4Q"],"itemData":{"id":5,"type":"article-journal","abstract":"T-cell interaction with a target cell is a key event in the adaptive immune response and primarily driven by T-cell receptor (TCR) recognition of peptide-MHC (pMHC) complexes. TCR avidity for a given pMHC is determined by number of MHC molecules, availability of coreceptors, and TCR affinity for MHC or peptide, respectively, with peptide recognition being the most important factor to confer target specificity. Here we present high-resolution crystal structures of 2 Fab antibodies in complex with the immunodominant NY-ESO-1157–165 peptide analogue (SLLMWITQV) presented by HLA-A*0201 and compare them with a TCR recognizing the same pMHC. Binding to the central methionine-tryptophan peptide motif and orientation of binding were almost identical for Fabs and TCR. As the MW “peg” dominates the contacts between Fab and peptide, we estimated the contributions of individual amino acids between the Fab and peptide to provide the rational basis for a peptide-focused second-generation, high-affinity antibody library. The final Fab candidate achieved better peptide binding by 2 light-chain mutations, giving a 20-fold affinity improvement to 2–4 nM, exceeding the affinity of the TCR by 1,000-fold. The high-affinity Fab when grafted as recombinant TCR on T cells conferred specific killing of HLA-A*0201/NY-ESO-1157–165 target cells. In summary, we prove that affinity maturation of antibodies mimicking a TCR is possible and provide a strategy for engineering high-affinity antibodies that can be used in targeting specific pMHC complexes for diagnostic and therapeutic purposes.","container-title":"Proceedings of the National Academy of Sciences","DOI":"10.1073/pnas.0901425106","issue":"14","journalAbbreviation":"Proc Natl Acad Sci USA","page":"5784","title":"Rational development of high-affinity T-cell receptor-like antibodies","volume":"106","author":[{"family":"Stewart-Jones","given":"Guillaume"},{"family":"Wadle","given":"Andreas"},{"family":"Hombach","given":"Anja"},{"family":"Shenderov","given":"Eugene"},{"family":"Held","given":"Gerhard"},{"family":"Fischer","given":"Eliane"},{"family":"Kleber","given":"Sascha"},{"family":"Nuber","given":"Natko"},{"family":"Stenner-Liewen","given":"Frank"},{"family":"Bauer","given":"Stefan"},{"family":"McMichael","given":"Andrew"},{"family":"Knuth","given":"Alexander"},{"family":"Abken","given":"Hinrich"},{"family":"Hombach","given":"Andreas A."},{"family":"Cerundolo","given":"Vincenzo"},{"family":"Jones","given":"E. Yvonne"},{"family":"Renner","given":"Christoph"}],"issued":{"date-parts":[["2009",4,7]]}}}],"schema":"https://github.com/citation-style-language/schema/raw/master/csl-citation.json"} </w:instrText>
            </w:r>
            <w:r w:rsidRPr="0030032A">
              <w:rPr>
                <w:rFonts w:cs="Times New Roman"/>
                <w:szCs w:val="24"/>
              </w:rPr>
              <w:fldChar w:fldCharType="separate"/>
            </w:r>
            <w:r w:rsidR="00E9077D" w:rsidRPr="00E9077D">
              <w:rPr>
                <w:rFonts w:cs="Times New Roman"/>
              </w:rPr>
              <w:t>(56)</w:t>
            </w:r>
            <w:r w:rsidRPr="0030032A">
              <w:rPr>
                <w:rFonts w:cs="Times New Roman"/>
                <w:szCs w:val="24"/>
              </w:rPr>
              <w:fldChar w:fldCharType="end"/>
            </w:r>
          </w:p>
        </w:tc>
        <w:tc>
          <w:tcPr>
            <w:tcW w:w="1144" w:type="pct"/>
          </w:tcPr>
          <w:p w14:paraId="356D5C2A" w14:textId="0EE1C213" w:rsidR="0030032A" w:rsidRPr="0030032A" w:rsidRDefault="0030032A" w:rsidP="00E9077D">
            <w:pPr>
              <w:rPr>
                <w:rFonts w:cs="Times New Roman"/>
                <w:szCs w:val="24"/>
              </w:rPr>
            </w:pPr>
            <w:r w:rsidRPr="0030032A">
              <w:rPr>
                <w:rFonts w:cs="Times New Roman"/>
                <w:szCs w:val="24"/>
              </w:rPr>
              <w:t xml:space="preserve">3gje </w:t>
            </w:r>
            <w:r w:rsidRPr="0030032A">
              <w:rPr>
                <w:rFonts w:cs="Times New Roman"/>
                <w:szCs w:val="24"/>
              </w:rPr>
              <w:fldChar w:fldCharType="begin"/>
            </w:r>
            <w:r w:rsidR="00E9077D">
              <w:rPr>
                <w:rFonts w:cs="Times New Roman"/>
                <w:szCs w:val="24"/>
              </w:rPr>
              <w:instrText xml:space="preserve"> ADDIN ZOTERO_ITEM CSL_CITATION {"citationID":"B5Ol4ga5","properties":{"formattedCitation":"(56)","plainCitation":"(56)","noteIndex":0},"citationItems":[{"id":5,"uris":["http://zotero.org/users/local/mmRtC3gY/items/V4YE9C4Q"],"uri":["http://zotero.org/users/local/mmRtC3gY/items/V4YE9C4Q"],"itemData":{"id":5,"type":"article-journal","abstract":"T-cell interaction with a target cell is a key event in the adaptive immune response and primarily driven by T-cell receptor (TCR) recognition of peptide-MHC (pMHC) complexes. TCR avidity for a given pMHC is determined by number of MHC molecules, availability of coreceptors, and TCR affinity for MHC or peptide, respectively, with peptide recognition being the most important factor to confer target specificity. Here we present high-resolution crystal structures of 2 Fab antibodies in complex with the immunodominant NY-ESO-1157–165 peptide analogue (SLLMWITQV) presented by HLA-A*0201 and compare them with a TCR recognizing the same pMHC. Binding to the central methionine-tryptophan peptide motif and orientation of binding were almost identical for Fabs and TCR. As the MW “peg” dominates the contacts between Fab and peptide, we estimated the contributions of individual amino acids between the Fab and peptide to provide the rational basis for a peptide-focused second-generation, high-affinity antibody library. The final Fab candidate achieved better peptide binding by 2 light-chain mutations, giving a 20-fold affinity improvement to 2–4 nM, exceeding the affinity of the TCR by 1,000-fold. The high-affinity Fab when grafted as recombinant TCR on T cells conferred specific killing of HLA-A*0201/NY-ESO-1157–165 target cells. In summary, we prove that affinity maturation of antibodies mimicking a TCR is possible and provide a strategy for engineering high-affinity antibodies that can be used in targeting specific pMHC complexes for diagnostic and therapeutic purposes.","container-title":"Proceedings of the National Academy of Sciences","DOI":"10.1073/pnas.0901425106","issue":"14","journalAbbreviation":"Proc Natl Acad Sci USA","page":"5784","title":"Rational development of high-affinity T-cell receptor-like antibodies","volume":"106","author":[{"family":"Stewart-Jones","given":"Guillaume"},{"family":"Wadle","given":"Andreas"},{"family":"Hombach","given":"Anja"},{"family":"Shenderov","given":"Eugene"},{"family":"Held","given":"Gerhard"},{"family":"Fischer","given":"Eliane"},{"family":"Kleber","given":"Sascha"},{"family":"Nuber","given":"Natko"},{"family":"Stenner-Liewen","given":"Frank"},{"family":"Bauer","given":"Stefan"},{"family":"McMichael","given":"Andrew"},{"family":"Knuth","given":"Alexander"},{"family":"Abken","given":"Hinrich"},{"family":"Hombach","given":"Andreas A."},{"family":"Cerundolo","given":"Vincenzo"},{"family":"Jones","given":"E. Yvonne"},{"family":"Renner","given":"Christoph"}],"issued":{"date-parts":[["2009",4,7]]}}}],"schema":"https://github.com/citation-style-language/schema/raw/master/csl-citation.json"} </w:instrText>
            </w:r>
            <w:r w:rsidRPr="0030032A">
              <w:rPr>
                <w:rFonts w:cs="Times New Roman"/>
                <w:szCs w:val="24"/>
              </w:rPr>
              <w:fldChar w:fldCharType="separate"/>
            </w:r>
            <w:r w:rsidR="00E9077D" w:rsidRPr="00E9077D">
              <w:rPr>
                <w:rFonts w:cs="Times New Roman"/>
              </w:rPr>
              <w:t>(56)</w:t>
            </w:r>
            <w:r w:rsidRPr="0030032A">
              <w:rPr>
                <w:rFonts w:cs="Times New Roman"/>
                <w:szCs w:val="24"/>
              </w:rPr>
              <w:fldChar w:fldCharType="end"/>
            </w:r>
          </w:p>
        </w:tc>
        <w:tc>
          <w:tcPr>
            <w:tcW w:w="1144" w:type="pct"/>
          </w:tcPr>
          <w:p w14:paraId="3F7575AC" w14:textId="0394150C" w:rsidR="0030032A" w:rsidRPr="0030032A" w:rsidRDefault="0030032A" w:rsidP="00E9077D">
            <w:pPr>
              <w:rPr>
                <w:rFonts w:cs="Times New Roman"/>
                <w:szCs w:val="24"/>
              </w:rPr>
            </w:pPr>
            <w:r w:rsidRPr="0030032A">
              <w:rPr>
                <w:rFonts w:cs="Times New Roman"/>
                <w:szCs w:val="24"/>
              </w:rPr>
              <w:t xml:space="preserve">46 </w:t>
            </w:r>
            <w:r w:rsidRPr="0030032A">
              <w:rPr>
                <w:rFonts w:cs="Times New Roman"/>
                <w:szCs w:val="24"/>
              </w:rPr>
              <w:fldChar w:fldCharType="begin"/>
            </w:r>
            <w:r w:rsidR="00E9077D">
              <w:rPr>
                <w:rFonts w:cs="Times New Roman"/>
                <w:szCs w:val="24"/>
              </w:rPr>
              <w:instrText xml:space="preserve"> ADDIN ZOTERO_ITEM CSL_CITATION {"citationID":"tRlTwY2Y","properties":{"formattedCitation":"(56)","plainCitation":"(56)","noteIndex":0},"citationItems":[{"id":5,"uris":["http://zotero.org/users/local/mmRtC3gY/items/V4YE9C4Q"],"uri":["http://zotero.org/users/local/mmRtC3gY/items/V4YE9C4Q"],"itemData":{"id":5,"type":"article-journal","abstract":"T-cell interaction with a target cell is a key event in the adaptive immune response and primarily driven by T-cell receptor (TCR) recognition of peptide-MHC (pMHC) complexes. TCR avidity for a given pMHC is determined by number of MHC molecules, availability of coreceptors, and TCR affinity for MHC or peptide, respectively, with peptide recognition being the most important factor to confer target specificity. Here we present high-resolution crystal structures of 2 Fab antibodies in complex with the immunodominant NY-ESO-1157–165 peptide analogue (SLLMWITQV) presented by HLA-A*0201 and compare them with a TCR recognizing the same pMHC. Binding to the central methionine-tryptophan peptide motif and orientation of binding were almost identical for Fabs and TCR. As the MW “peg” dominates the contacts between Fab and peptide, we estimated the contributions of individual amino acids between the Fab and peptide to provide the rational basis for a peptide-focused second-generation, high-affinity antibody library. The final Fab candidate achieved better peptide binding by 2 light-chain mutations, giving a 20-fold affinity improvement to 2–4 nM, exceeding the affinity of the TCR by 1,000-fold. The high-affinity Fab when grafted as recombinant TCR on T cells conferred specific killing of HLA-A*0201/NY-ESO-1157–165 target cells. In summary, we prove that affinity maturation of antibodies mimicking a TCR is possible and provide a strategy for engineering high-affinity antibodies that can be used in targeting specific pMHC complexes for diagnostic and therapeutic purposes.","container-title":"Proceedings of the National Academy of Sciences","DOI":"10.1073/pnas.0901425106","issue":"14","journalAbbreviation":"Proc Natl Acad Sci USA","page":"5784","title":"Rational development of high-affinity T-cell receptor-like antibodies","volume":"106","author":[{"family":"Stewart-Jones","given":"Guillaume"},{"family":"Wadle","given":"Andreas"},{"family":"Hombach","given":"Anja"},{"family":"Shenderov","given":"Eugene"},{"family":"Held","given":"Gerhard"},{"family":"Fischer","given":"Eliane"},{"family":"Kleber","given":"Sascha"},{"family":"Nuber","given":"Natko"},{"family":"Stenner-Liewen","given":"Frank"},{"family":"Bauer","given":"Stefan"},{"family":"McMichael","given":"Andrew"},{"family":"Knuth","given":"Alexander"},{"family":"Abken","given":"Hinrich"},{"family":"Hombach","given":"Andreas A."},{"family":"Cerundolo","given":"Vincenzo"},{"family":"Jones","given":"E. Yvonne"},{"family":"Renner","given":"Christoph"}],"issued":{"date-parts":[["2009",4,7]]}}}],"schema":"https://github.com/citation-style-language/schema/raw/master/csl-citation.json"} </w:instrText>
            </w:r>
            <w:r w:rsidRPr="0030032A">
              <w:rPr>
                <w:rFonts w:cs="Times New Roman"/>
                <w:szCs w:val="24"/>
              </w:rPr>
              <w:fldChar w:fldCharType="separate"/>
            </w:r>
            <w:r w:rsidR="00E9077D" w:rsidRPr="00E9077D">
              <w:rPr>
                <w:rFonts w:cs="Times New Roman"/>
              </w:rPr>
              <w:t>(56)</w:t>
            </w:r>
            <w:r w:rsidRPr="0030032A">
              <w:rPr>
                <w:rFonts w:cs="Times New Roman"/>
                <w:szCs w:val="24"/>
              </w:rPr>
              <w:fldChar w:fldCharType="end"/>
            </w:r>
          </w:p>
        </w:tc>
      </w:tr>
      <w:tr w:rsidR="0030032A" w:rsidRPr="0030032A" w14:paraId="3A87AB07" w14:textId="77777777" w:rsidTr="00E9077D">
        <w:tc>
          <w:tcPr>
            <w:tcW w:w="1567" w:type="pct"/>
          </w:tcPr>
          <w:p w14:paraId="0B3E8A86" w14:textId="77777777" w:rsidR="0030032A" w:rsidRPr="0030032A" w:rsidRDefault="0030032A" w:rsidP="00E9077D">
            <w:pPr>
              <w:rPr>
                <w:rFonts w:cs="Times New Roman"/>
                <w:szCs w:val="24"/>
              </w:rPr>
            </w:pPr>
            <w:r w:rsidRPr="0030032A">
              <w:rPr>
                <w:rFonts w:cs="Times New Roman"/>
                <w:szCs w:val="24"/>
              </w:rPr>
              <w:t>9F8 (Anti-ObR)</w:t>
            </w:r>
          </w:p>
        </w:tc>
        <w:tc>
          <w:tcPr>
            <w:tcW w:w="1144" w:type="pct"/>
          </w:tcPr>
          <w:p w14:paraId="7954EEDF" w14:textId="0CCFFF1F" w:rsidR="0030032A" w:rsidRPr="0030032A" w:rsidRDefault="0030032A" w:rsidP="00E9077D">
            <w:pPr>
              <w:rPr>
                <w:rFonts w:cs="Times New Roman"/>
                <w:szCs w:val="24"/>
              </w:rPr>
            </w:pPr>
            <w:r w:rsidRPr="0030032A">
              <w:rPr>
                <w:rFonts w:cs="Times New Roman"/>
                <w:szCs w:val="24"/>
              </w:rPr>
              <w:t xml:space="preserve">3v6o </w:t>
            </w:r>
            <w:r w:rsidRPr="0030032A">
              <w:rPr>
                <w:rFonts w:cs="Times New Roman"/>
                <w:szCs w:val="24"/>
              </w:rPr>
              <w:fldChar w:fldCharType="begin"/>
            </w:r>
            <w:r w:rsidR="00C25845">
              <w:rPr>
                <w:rFonts w:cs="Times New Roman"/>
                <w:szCs w:val="24"/>
              </w:rPr>
              <w:instrText xml:space="preserve"> ADDIN ZOTERO_ITEM CSL_CITATION {"citationID":"J0xEkiN0","properties":{"formattedCitation":"(76)","plainCitation":"(76)","noteIndex":0},"citationItems":[{"id":6,"uris":["http://zotero.org/users/local/mmRtC3gY/items/854BF3K5"],"uri":["http://zotero.org/users/local/mmRtC3gY/items/854BF3K5"],"itemData":{"id":6,"type":"article-journal","abstract":"Summary\nLeptin regulates energy homeostasis, fertility, and the immune system, making it an important drug target. However, due to a complete lack of structural data for the obesity receptor (ObR), leptin's mechanism of receptor activation remains poorly understood. We have crystallized the Fab fragment of a leptin-blocking monoclonal antibody (9F8), both in its uncomplexed state and bound to the leptin-binding domain (LBD) of human ObR. We describe the structure of the LBD-9F8 Fab complex and the conformational changes in 9F8 associated with LBD binding. A molecular model of the putative leptin-LBD complex reveals that 9F8 Fab blocks leptin binding through only a small (10%) overlap in their binding sites, and that leptin binding is likely to involve an induced fit mechanism. This crystal structure of the leptin-binding domain of the obesity receptor will facilitate the design of therapeutics to modulate leptin signaling.","container-title":"Structure","DOI":"10.1016/j.str.2012.01.019","ISSN":"0969-2126","issue":"3","journalAbbreviation":"Structure","page":"487-497","title":"Structure of the Human Obesity Receptor Leptin-Binding Domain Reveals the Mechanism of Leptin Antagonism by a Monoclonal Antibody","volume":"20","author":[{"family":"Carpenter","given":"Byron"},{"family":"Hemsworth","given":"Glyn R."},{"family":"Wu","given":"Zida"},{"family":"Maamra","given":"Mabrouka"},{"family":"Strasburger","given":"Christian J."},{"family":"Ross","given":"Richard J."},{"family":"Artymiuk","given":"Peter J."}],"issued":{"date-parts":[["2012",3,7]]}}}],"schema":"https://github.com/citation-style-language/schema/raw/master/csl-citation.json"} </w:instrText>
            </w:r>
            <w:r w:rsidRPr="0030032A">
              <w:rPr>
                <w:rFonts w:cs="Times New Roman"/>
                <w:szCs w:val="24"/>
              </w:rPr>
              <w:fldChar w:fldCharType="separate"/>
            </w:r>
            <w:r w:rsidR="00C25845" w:rsidRPr="00C25845">
              <w:rPr>
                <w:rFonts w:cs="Times New Roman"/>
              </w:rPr>
              <w:t>(76)</w:t>
            </w:r>
            <w:r w:rsidRPr="0030032A">
              <w:rPr>
                <w:rFonts w:cs="Times New Roman"/>
                <w:szCs w:val="24"/>
              </w:rPr>
              <w:fldChar w:fldCharType="end"/>
            </w:r>
          </w:p>
        </w:tc>
        <w:tc>
          <w:tcPr>
            <w:tcW w:w="1144" w:type="pct"/>
          </w:tcPr>
          <w:p w14:paraId="4A5CEA0E" w14:textId="0D63ED38" w:rsidR="0030032A" w:rsidRPr="0030032A" w:rsidRDefault="0030032A" w:rsidP="00E9077D">
            <w:pPr>
              <w:rPr>
                <w:rFonts w:cs="Times New Roman"/>
                <w:szCs w:val="24"/>
              </w:rPr>
            </w:pPr>
            <w:r w:rsidRPr="0030032A">
              <w:rPr>
                <w:rFonts w:cs="Times New Roman"/>
                <w:szCs w:val="24"/>
              </w:rPr>
              <w:t xml:space="preserve">3vg0 </w:t>
            </w:r>
            <w:r w:rsidRPr="0030032A">
              <w:rPr>
                <w:rFonts w:cs="Times New Roman"/>
                <w:szCs w:val="24"/>
              </w:rPr>
              <w:fldChar w:fldCharType="begin"/>
            </w:r>
            <w:r w:rsidR="00C25845">
              <w:rPr>
                <w:rFonts w:cs="Times New Roman"/>
                <w:szCs w:val="24"/>
              </w:rPr>
              <w:instrText xml:space="preserve"> ADDIN ZOTERO_ITEM CSL_CITATION {"citationID":"yXXLtUVy","properties":{"formattedCitation":"(76)","plainCitation":"(76)","noteIndex":0},"citationItems":[{"id":6,"uris":["http://zotero.org/users/local/mmRtC3gY/items/854BF3K5"],"uri":["http://zotero.org/users/local/mmRtC3gY/items/854BF3K5"],"itemData":{"id":6,"type":"article-journal","abstract":"Summary\nLeptin regulates energy homeostasis, fertility, and the immune system, making it an important drug target. However, due to a complete lack of structural data for the obesity receptor (ObR), leptin's mechanism of receptor activation remains poorly understood. We have crystallized the Fab fragment of a leptin-blocking monoclonal antibody (9F8), both in its uncomplexed state and bound to the leptin-binding domain (LBD) of human ObR. We describe the structure of the LBD-9F8 Fab complex and the conformational changes in 9F8 associated with LBD binding. A molecular model of the putative leptin-LBD complex reveals that 9F8 Fab blocks leptin binding through only a small (10%) overlap in their binding sites, and that leptin binding is likely to involve an induced fit mechanism. This crystal structure of the leptin-binding domain of the obesity receptor will facilitate the design of therapeutics to modulate leptin signaling.","container-title":"Structure","DOI":"10.1016/j.str.2012.01.019","ISSN":"0969-2126","issue":"3","journalAbbreviation":"Structure","page":"487-497","title":"Structure of the Human Obesity Receptor Leptin-Binding Domain Reveals the Mechanism of Leptin Antagonism by a Monoclonal Antibody","volume":"20","author":[{"family":"Carpenter","given":"Byron"},{"family":"Hemsworth","given":"Glyn R."},{"family":"Wu","given":"Zida"},{"family":"Maamra","given":"Mabrouka"},{"family":"Strasburger","given":"Christian J."},{"family":"Ross","given":"Richard J."},{"family":"Artymiuk","given":"Peter J."}],"issued":{"date-parts":[["2012",3,7]]}}}],"schema":"https://github.com/citation-style-language/schema/raw/master/csl-citation.json"} </w:instrText>
            </w:r>
            <w:r w:rsidRPr="0030032A">
              <w:rPr>
                <w:rFonts w:cs="Times New Roman"/>
                <w:szCs w:val="24"/>
              </w:rPr>
              <w:fldChar w:fldCharType="separate"/>
            </w:r>
            <w:r w:rsidR="00C25845" w:rsidRPr="00C25845">
              <w:rPr>
                <w:rFonts w:cs="Times New Roman"/>
              </w:rPr>
              <w:t>(76)</w:t>
            </w:r>
            <w:r w:rsidRPr="0030032A">
              <w:rPr>
                <w:rFonts w:cs="Times New Roman"/>
                <w:szCs w:val="24"/>
              </w:rPr>
              <w:fldChar w:fldCharType="end"/>
            </w:r>
          </w:p>
        </w:tc>
        <w:tc>
          <w:tcPr>
            <w:tcW w:w="1144" w:type="pct"/>
          </w:tcPr>
          <w:p w14:paraId="698BFD77" w14:textId="77777777" w:rsidR="0030032A" w:rsidRPr="0030032A" w:rsidRDefault="0030032A" w:rsidP="00E9077D">
            <w:pPr>
              <w:rPr>
                <w:rFonts w:cs="Times New Roman"/>
                <w:szCs w:val="24"/>
              </w:rPr>
            </w:pPr>
            <w:r w:rsidRPr="0030032A">
              <w:rPr>
                <w:rFonts w:cs="Times New Roman"/>
                <w:szCs w:val="24"/>
              </w:rPr>
              <w:t>Not available</w:t>
            </w:r>
          </w:p>
        </w:tc>
      </w:tr>
      <w:tr w:rsidR="0030032A" w:rsidRPr="0030032A" w14:paraId="1F4F8D4C" w14:textId="77777777" w:rsidTr="00E9077D">
        <w:tc>
          <w:tcPr>
            <w:tcW w:w="1567" w:type="pct"/>
          </w:tcPr>
          <w:p w14:paraId="01B8FB7F" w14:textId="77777777" w:rsidR="0030032A" w:rsidRPr="0030032A" w:rsidRDefault="0030032A" w:rsidP="00E9077D">
            <w:pPr>
              <w:rPr>
                <w:rFonts w:cs="Times New Roman"/>
                <w:szCs w:val="24"/>
              </w:rPr>
            </w:pPr>
            <w:r w:rsidRPr="0030032A">
              <w:rPr>
                <w:rFonts w:cs="Times New Roman"/>
                <w:szCs w:val="24"/>
              </w:rPr>
              <w:t>Canakinumab (Anti-IL-1βa)</w:t>
            </w:r>
          </w:p>
        </w:tc>
        <w:tc>
          <w:tcPr>
            <w:tcW w:w="1144" w:type="pct"/>
          </w:tcPr>
          <w:p w14:paraId="3094E358" w14:textId="5440563B" w:rsidR="0030032A" w:rsidRPr="0030032A" w:rsidRDefault="0030032A" w:rsidP="00E9077D">
            <w:pPr>
              <w:rPr>
                <w:rFonts w:cs="Times New Roman"/>
                <w:szCs w:val="24"/>
              </w:rPr>
            </w:pPr>
            <w:r w:rsidRPr="0030032A">
              <w:rPr>
                <w:rFonts w:cs="Times New Roman"/>
                <w:szCs w:val="24"/>
              </w:rPr>
              <w:t xml:space="preserve">4g6j </w:t>
            </w:r>
            <w:r w:rsidRPr="0030032A">
              <w:rPr>
                <w:rFonts w:cs="Times New Roman"/>
                <w:szCs w:val="24"/>
              </w:rPr>
              <w:fldChar w:fldCharType="begin"/>
            </w:r>
            <w:r w:rsidR="00C25845">
              <w:rPr>
                <w:rFonts w:cs="Times New Roman"/>
                <w:szCs w:val="24"/>
              </w:rPr>
              <w:instrText xml:space="preserve"> ADDIN ZOTERO_ITEM CSL_CITATION {"citationID":"VCxQBm9q","properties":{"formattedCitation":"(77)","plainCitation":"(77)","noteIndex":0},"citationItems":[{"id":7,"uris":["http://zotero.org/users/local/mmRtC3gY/items/5UZ3YSDG"],"uri":["http://zotero.org/users/local/mmRtC3gY/items/5UZ3YSDG"],"itemData":{"id":7,"type":"article-journal","abstract":"Interleukin-1β (IL-1β) is a key orchestrator in inflammatory and several immune responses. IL-1β exerts its effects through interleukin-1 receptor type I (IL-1RI) and interleukin-1 receptor accessory protein (IL-1RAcP), which together form a heterotrimeric signaling-competent complex. Canakinumab and gevokizumab are highly specific IL-1β monoclonal antibodies. Canakinumab is known to neutralize IL-1β by competing for binding to IL-1R and therefore blocking signaling by the antigen:antibody complex. Gevokizumab is claimed to be a regulatory therapeutic antibody that modulates IL-1β bioactivity by reducing the affinity for its IL-1RI:IL-1RAcP signaling complex. How IL-1β signaling is affected by both canakinumab and gevokizumab was not yet experimentally determined. We have analyzed the crystal structures of canakinumab and gevokizumab antibody binding fragment (Fab) as well as of their binary complexes with IL-1β. Furthermore, we characterized the epitopes on IL-1β employed by the antibodies by NMR epitope mapping studies. The direct comparison of NMR and X-ray data shows that the epitope defined by the crystal structure encompasses predominantly those residues whose NMR resonances are severely perturbed upon complex formation. The antigen:Fab co-structures confirm the previously identified key contact residues on IL-1β and provide insight into the mechanisms leading to their distinct modulation of IL-1β signaling. A significant steric overlap of the binding interfaces of IL-1R and canakinumab on IL-1β causes competitive inhibition of the association of IL-1β and its receptor. In contrast, gevokizumab occupies an allosteric site on IL-1β and complex formation results in a minor reduction of binding affinity to IL-1RI. This suggests two different mechanisms of IL-1β pathway attenuation.","container-title":"Journal of Molecular Biology","DOI":"10.1016/j.jmb.2012.09.021","ISSN":"0022-2836","issue":"1","journalAbbreviation":"Journal of Molecular Biology","page":"94-111","title":"One Target—Two Different Binding Modes: Structural Insights into Gevokizumab and Canakinumab Interactions to Interleukin-1β","volume":"425","author":[{"family":"Blech","given":"Michaela"},{"family":"Peter","given":"Daniel"},{"family":"Fischer","given":"Peter"},{"family":"Bauer","given":"Margit M.T."},{"family":"Hafner","given":"Mathias"},{"family":"Zeeb","given":"Markus"},{"family":"Nar","given":"Herbert"}],"issued":{"date-parts":[["2013",1,9]]}}}],"schema":"https://github.com/citation-style-language/schema/raw/master/csl-citation.json"} </w:instrText>
            </w:r>
            <w:r w:rsidRPr="0030032A">
              <w:rPr>
                <w:rFonts w:cs="Times New Roman"/>
                <w:szCs w:val="24"/>
              </w:rPr>
              <w:fldChar w:fldCharType="separate"/>
            </w:r>
            <w:r w:rsidR="00C25845" w:rsidRPr="00C25845">
              <w:rPr>
                <w:rFonts w:cs="Times New Roman"/>
              </w:rPr>
              <w:t>(77)</w:t>
            </w:r>
            <w:r w:rsidRPr="0030032A">
              <w:rPr>
                <w:rFonts w:cs="Times New Roman"/>
                <w:szCs w:val="24"/>
              </w:rPr>
              <w:fldChar w:fldCharType="end"/>
            </w:r>
          </w:p>
        </w:tc>
        <w:tc>
          <w:tcPr>
            <w:tcW w:w="1144" w:type="pct"/>
          </w:tcPr>
          <w:p w14:paraId="5AE28741" w14:textId="2236708A" w:rsidR="0030032A" w:rsidRPr="0030032A" w:rsidRDefault="0030032A" w:rsidP="00E9077D">
            <w:pPr>
              <w:rPr>
                <w:rFonts w:cs="Times New Roman"/>
                <w:szCs w:val="24"/>
              </w:rPr>
            </w:pPr>
            <w:r w:rsidRPr="0030032A">
              <w:rPr>
                <w:rFonts w:cs="Times New Roman"/>
                <w:szCs w:val="24"/>
              </w:rPr>
              <w:t xml:space="preserve">4g5z </w:t>
            </w:r>
            <w:r w:rsidRPr="0030032A">
              <w:rPr>
                <w:rFonts w:cs="Times New Roman"/>
                <w:szCs w:val="24"/>
              </w:rPr>
              <w:fldChar w:fldCharType="begin"/>
            </w:r>
            <w:r w:rsidR="00C25845">
              <w:rPr>
                <w:rFonts w:cs="Times New Roman"/>
                <w:szCs w:val="24"/>
              </w:rPr>
              <w:instrText xml:space="preserve"> ADDIN ZOTERO_ITEM CSL_CITATION {"citationID":"i3T4G3jN","properties":{"formattedCitation":"(77)","plainCitation":"(77)","noteIndex":0},"citationItems":[{"id":7,"uris":["http://zotero.org/users/local/mmRtC3gY/items/5UZ3YSDG"],"uri":["http://zotero.org/users/local/mmRtC3gY/items/5UZ3YSDG"],"itemData":{"id":7,"type":"article-journal","abstract":"Interleukin-1β (IL-1β) is a key orchestrator in inflammatory and several immune responses. IL-1β exerts its effects through interleukin-1 receptor type I (IL-1RI) and interleukin-1 receptor accessory protein (IL-1RAcP), which together form a heterotrimeric signaling-competent complex. Canakinumab and gevokizumab are highly specific IL-1β monoclonal antibodies. Canakinumab is known to neutralize IL-1β by competing for binding to IL-1R and therefore blocking signaling by the antigen:antibody complex. Gevokizumab is claimed to be a regulatory therapeutic antibody that modulates IL-1β bioactivity by reducing the affinity for its IL-1RI:IL-1RAcP signaling complex. How IL-1β signaling is affected by both canakinumab and gevokizumab was not yet experimentally determined. We have analyzed the crystal structures of canakinumab and gevokizumab antibody binding fragment (Fab) as well as of their binary complexes with IL-1β. Furthermore, we characterized the epitopes on IL-1β employed by the antibodies by NMR epitope mapping studies. The direct comparison of NMR and X-ray data shows that the epitope defined by the crystal structure encompasses predominantly those residues whose NMR resonances are severely perturbed upon complex formation. The antigen:Fab co-structures confirm the previously identified key contact residues on IL-1β and provide insight into the mechanisms leading to their distinct modulation of IL-1β signaling. A significant steric overlap of the binding interfaces of IL-1R and canakinumab on IL-1β causes competitive inhibition of the association of IL-1β and its receptor. In contrast, gevokizumab occupies an allosteric site on IL-1β and complex formation results in a minor reduction of binding affinity to IL-1RI. This suggests two different mechanisms of IL-1β pathway attenuation.","container-title":"Journal of Molecular Biology","DOI":"10.1016/j.jmb.2012.09.021","ISSN":"0022-2836","issue":"1","journalAbbreviation":"Journal of Molecular Biology","page":"94-111","title":"One Target—Two Different Binding Modes: Structural Insights into Gevokizumab and Canakinumab Interactions to Interleukin-1β","volume":"425","author":[{"family":"Blech","given":"Michaela"},{"family":"Peter","given":"Daniel"},{"family":"Fischer","given":"Peter"},{"family":"Bauer","given":"Margit M.T."},{"family":"Hafner","given":"Mathias"},{"family":"Zeeb","given":"Markus"},{"family":"Nar","given":"Herbert"}],"issued":{"date-parts":[["2013",1,9]]}}}],"schema":"https://github.com/citation-style-language/schema/raw/master/csl-citation.json"} </w:instrText>
            </w:r>
            <w:r w:rsidRPr="0030032A">
              <w:rPr>
                <w:rFonts w:cs="Times New Roman"/>
                <w:szCs w:val="24"/>
              </w:rPr>
              <w:fldChar w:fldCharType="separate"/>
            </w:r>
            <w:r w:rsidR="00C25845" w:rsidRPr="00C25845">
              <w:rPr>
                <w:rFonts w:cs="Times New Roman"/>
              </w:rPr>
              <w:t>(77)</w:t>
            </w:r>
            <w:r w:rsidRPr="0030032A">
              <w:rPr>
                <w:rFonts w:cs="Times New Roman"/>
                <w:szCs w:val="24"/>
              </w:rPr>
              <w:fldChar w:fldCharType="end"/>
            </w:r>
          </w:p>
        </w:tc>
        <w:tc>
          <w:tcPr>
            <w:tcW w:w="1144" w:type="pct"/>
          </w:tcPr>
          <w:p w14:paraId="3F6BA2C1" w14:textId="0651B75B" w:rsidR="0030032A" w:rsidRPr="0030032A" w:rsidRDefault="0030032A" w:rsidP="00E9077D">
            <w:pPr>
              <w:rPr>
                <w:rFonts w:cs="Times New Roman"/>
                <w:szCs w:val="24"/>
              </w:rPr>
            </w:pPr>
            <w:r w:rsidRPr="0030032A">
              <w:rPr>
                <w:rFonts w:cs="Times New Roman"/>
                <w:szCs w:val="24"/>
              </w:rPr>
              <w:t xml:space="preserve">0.0305 </w:t>
            </w:r>
            <w:r w:rsidRPr="0030032A">
              <w:rPr>
                <w:rFonts w:cs="Times New Roman"/>
                <w:szCs w:val="24"/>
              </w:rPr>
              <w:fldChar w:fldCharType="begin"/>
            </w:r>
            <w:r w:rsidR="00C25845">
              <w:rPr>
                <w:rFonts w:cs="Times New Roman"/>
                <w:szCs w:val="24"/>
              </w:rPr>
              <w:instrText xml:space="preserve"> ADDIN ZOTERO_ITEM CSL_CITATION {"citationID":"wrIydTB5","properties":{"formattedCitation":"(78)","plainCitation":"(78)","noteIndex":0},"citationItems":[{"id":24,"uris":["http://zotero.org/users/local/mmRtC3gY/items/LLBWSRR9"],"uri":["http://zotero.org/users/local/mmRtC3gY/items/LLBWSRR9"],"itemData":{"id":24,"type":"patent","abstract":"This application relates to a use of IL-lβ ;-ligand/IL-l receptor disrupting compounds (herein referred to as 'IL-lbeta Compounds') ; such as small molecular compounds disrupting IL-lβ; ligand - IL-I receptor interaction, IL-lβ; antibodies or IL-I receptor antibodies, e.g. IL-lβ; binding molecules described herein, e.g. antibodies disclosed herein, e.g. IL-lβ; binding compounds or IL-I receptor binding compounds, and/or RNA compounds decreasing either IL-lβ; ligands or IL-I receptor protein levels, in the treatment and/or prevention of auto-inflammatory syndromes, e.g. Juvenile rheumatoid arthritis or adult rheumatoid arthritis syndrome and to methods of treating and/or preventing auto-inflammatory syndromes, e.g. Juvenile rheumatoid arthritis or adult rheumatoid arthritis syndrome, in mammals, particularly humans .","authority":"World Intellectual Property Organization","call-number":"PCT/US2006/041479","language":"en","number":"WO2007050607A2","title":"Novel use of il-1beta compounds","URL":"https://patents.google.com/patent/WO2007050607A2/en?oq=WO+2007%2f050607","author":[{"family":"Lowe","given":"Phil"},{"family":"Gram","given":"Hermann"},{"family":"Jung","given":"Thomas"},{"family":"Wright","given":"Timothy"},{"family":"Mundel","given":"Trevor"}],"accessed":{"date-parts":[["2020",2,5]]},"issued":{"date-parts":[["2007",5,3]]},"submitted":{"date-parts":[["2006",10,24]]}}}],"schema":"https://github.com/citation-style-language/schema/raw/master/csl-citation.json"} </w:instrText>
            </w:r>
            <w:r w:rsidRPr="0030032A">
              <w:rPr>
                <w:rFonts w:cs="Times New Roman"/>
                <w:szCs w:val="24"/>
              </w:rPr>
              <w:fldChar w:fldCharType="separate"/>
            </w:r>
            <w:r w:rsidR="00C25845" w:rsidRPr="00C25845">
              <w:rPr>
                <w:rFonts w:cs="Times New Roman"/>
              </w:rPr>
              <w:t>(78)</w:t>
            </w:r>
            <w:r w:rsidRPr="0030032A">
              <w:rPr>
                <w:rFonts w:cs="Times New Roman"/>
                <w:szCs w:val="24"/>
              </w:rPr>
              <w:fldChar w:fldCharType="end"/>
            </w:r>
          </w:p>
        </w:tc>
      </w:tr>
      <w:tr w:rsidR="0030032A" w:rsidRPr="0030032A" w14:paraId="13EB2632" w14:textId="77777777" w:rsidTr="00E9077D">
        <w:tc>
          <w:tcPr>
            <w:tcW w:w="1567" w:type="pct"/>
          </w:tcPr>
          <w:p w14:paraId="49EC6584" w14:textId="77777777" w:rsidR="0030032A" w:rsidRPr="0030032A" w:rsidRDefault="0030032A" w:rsidP="00E9077D">
            <w:pPr>
              <w:rPr>
                <w:rFonts w:cs="Times New Roman"/>
                <w:szCs w:val="24"/>
              </w:rPr>
            </w:pPr>
            <w:r w:rsidRPr="0030032A">
              <w:rPr>
                <w:rFonts w:cs="Times New Roman"/>
                <w:szCs w:val="24"/>
              </w:rPr>
              <w:t>Certolizumab (Anti-TNFα)</w:t>
            </w:r>
          </w:p>
        </w:tc>
        <w:tc>
          <w:tcPr>
            <w:tcW w:w="1144" w:type="pct"/>
          </w:tcPr>
          <w:p w14:paraId="0CFF48AE" w14:textId="54E58371" w:rsidR="0030032A" w:rsidRPr="0030032A" w:rsidRDefault="0030032A" w:rsidP="00E9077D">
            <w:pPr>
              <w:rPr>
                <w:rFonts w:cs="Times New Roman"/>
                <w:szCs w:val="24"/>
              </w:rPr>
            </w:pPr>
            <w:r w:rsidRPr="0030032A">
              <w:rPr>
                <w:rFonts w:cs="Times New Roman"/>
                <w:szCs w:val="24"/>
              </w:rPr>
              <w:t xml:space="preserve">5wux </w:t>
            </w:r>
            <w:r w:rsidRPr="0030032A">
              <w:rPr>
                <w:rFonts w:cs="Times New Roman"/>
                <w:szCs w:val="24"/>
              </w:rPr>
              <w:fldChar w:fldCharType="begin"/>
            </w:r>
            <w:r w:rsidR="00C25845">
              <w:rPr>
                <w:rFonts w:cs="Times New Roman"/>
                <w:szCs w:val="24"/>
              </w:rPr>
              <w:instrText xml:space="preserve"> ADDIN ZOTERO_ITEM CSL_CITATION {"citationID":"g5FhcAJu","properties":{"formattedCitation":"(79)","plainCitation":"(79)","noteIndex":0},"citationItems":[{"id":8,"uris":["http://zotero.org/users/local/mmRtC3gY/items/WGLGPAZH"],"uri":["http://zotero.org/users/local/mmRtC3gY/items/WGLGPAZH"],"itemData":{"id":8,"type":"article-journal","abstract":"Monoclonal antibodies against TNFα, including infliximab, adalimumab, golimumab, and certolizumab pegol, are widely used for the treatment of the inflammatory diseases such as rheumatoid arthritis and inflammatory bowel disease. Recently, the crystal structures of TNFα, in complex with the Fab fragments of infliximab and adalimumab, have revealed the molecular mechanisms of these antibody drugs. Here, we report the crystal structure of TNFα in complex with the Fab fragment of certolizumab pegol to clarify the precise antigen-antibody interactions and the structural basis for the neutralization of TNFα by this therapeutic antibody. The structural analysis and the mutagenesis study revealed that the epitope is limited to a single protomer of the TNFα trimer. Additionally, the DE loop and the GH loop of TNFα play critical roles in the interaction with certolizumab, suggesting that this drug exerts its effects by partially occupying the receptor binding site of TNFα. In addition, a conformational change of the DE loop was induced by certolizumab binding, thereby interrupting the TNFα-receptor interaction. A comprehensive comparison of the interactions of TNFα blockers with TNFα revealed the epitope diversity on the surface of TNFα, providing a better understanding of the molecular mechanism of TNFα blockers. The accumulation of these structural studies can provide a basis for the improvement of therapeutic antibodies against TNFα.","container-title":"International Journal of Molecular Sciences","DOI":"10.3390/ijms18010228","issue":"1","language":"en","page":"228","source":"www.mdpi.com","title":"Molecular Basis for the Neutralization of Tumor Necrosis Factor α by Certolizumab Pegol in the Treatment of Inflammatory Autoimmune Diseases","volume":"18","author":[{"family":"Lee","given":"Jee Un"},{"family":"Shin","given":"Woori"},{"family":"Son","given":"Ji Young"},{"family":"Yoo","given":"Ki-Young"},{"family":"Heo","given":"Yong-Seok"}],"issued":{"date-parts":[["2017",1]]}}}],"schema":"https://github.com/citation-style-language/schema/raw/master/csl-citation.json"} </w:instrText>
            </w:r>
            <w:r w:rsidRPr="0030032A">
              <w:rPr>
                <w:rFonts w:cs="Times New Roman"/>
                <w:szCs w:val="24"/>
              </w:rPr>
              <w:fldChar w:fldCharType="separate"/>
            </w:r>
            <w:r w:rsidR="00C25845" w:rsidRPr="00C25845">
              <w:rPr>
                <w:rFonts w:cs="Times New Roman"/>
              </w:rPr>
              <w:t>(79)</w:t>
            </w:r>
            <w:r w:rsidRPr="0030032A">
              <w:rPr>
                <w:rFonts w:cs="Times New Roman"/>
                <w:szCs w:val="24"/>
              </w:rPr>
              <w:fldChar w:fldCharType="end"/>
            </w:r>
          </w:p>
        </w:tc>
        <w:tc>
          <w:tcPr>
            <w:tcW w:w="1144" w:type="pct"/>
          </w:tcPr>
          <w:p w14:paraId="3893F8E1" w14:textId="5C98EE05" w:rsidR="0030032A" w:rsidRPr="0030032A" w:rsidRDefault="0030032A" w:rsidP="00E9077D">
            <w:pPr>
              <w:rPr>
                <w:rFonts w:cs="Times New Roman"/>
                <w:szCs w:val="24"/>
              </w:rPr>
            </w:pPr>
            <w:r w:rsidRPr="0030032A">
              <w:rPr>
                <w:rFonts w:cs="Times New Roman"/>
                <w:szCs w:val="24"/>
              </w:rPr>
              <w:t xml:space="preserve">5wuv </w:t>
            </w:r>
            <w:r w:rsidRPr="0030032A">
              <w:rPr>
                <w:rFonts w:cs="Times New Roman"/>
                <w:szCs w:val="24"/>
              </w:rPr>
              <w:fldChar w:fldCharType="begin"/>
            </w:r>
            <w:r w:rsidR="00C25845">
              <w:rPr>
                <w:rFonts w:cs="Times New Roman"/>
                <w:szCs w:val="24"/>
              </w:rPr>
              <w:instrText xml:space="preserve"> ADDIN ZOTERO_ITEM CSL_CITATION {"citationID":"4X6GYAQm","properties":{"formattedCitation":"(79)","plainCitation":"(79)","noteIndex":0},"citationItems":[{"id":8,"uris":["http://zotero.org/users/local/mmRtC3gY/items/WGLGPAZH"],"uri":["http://zotero.org/users/local/mmRtC3gY/items/WGLGPAZH"],"itemData":{"id":8,"type":"article-journal","abstract":"Monoclonal antibodies against TNFα, including infliximab, adalimumab, golimumab, and certolizumab pegol, are widely used for the treatment of the inflammatory diseases such as rheumatoid arthritis and inflammatory bowel disease. Recently, the crystal structures of TNFα, in complex with the Fab fragments of infliximab and adalimumab, have revealed the molecular mechanisms of these antibody drugs. Here, we report the crystal structure of TNFα in complex with the Fab fragment of certolizumab pegol to clarify the precise antigen-antibody interactions and the structural basis for the neutralization of TNFα by this therapeutic antibody. The structural analysis and the mutagenesis study revealed that the epitope is limited to a single protomer of the TNFα trimer. Additionally, the DE loop and the GH loop of TNFα play critical roles in the interaction with certolizumab, suggesting that this drug exerts its effects by partially occupying the receptor binding site of TNFα. In addition, a conformational change of the DE loop was induced by certolizumab binding, thereby interrupting the TNFα-receptor interaction. A comprehensive comparison of the interactions of TNFα blockers with TNFα revealed the epitope diversity on the surface of TNFα, providing a better understanding of the molecular mechanism of TNFα blockers. The accumulation of these structural studies can provide a basis for the improvement of therapeutic antibodies against TNFα.","container-title":"International Journal of Molecular Sciences","DOI":"10.3390/ijms18010228","issue":"1","language":"en","page":"228","source":"www.mdpi.com","title":"Molecular Basis for the Neutralization of Tumor Necrosis Factor α by Certolizumab Pegol in the Treatment of Inflammatory Autoimmune Diseases","volume":"18","author":[{"family":"Lee","given":"Jee Un"},{"family":"Shin","given":"Woori"},{"family":"Son","given":"Ji Young"},{"family":"Yoo","given":"Ki-Young"},{"family":"Heo","given":"Yong-Seok"}],"issued":{"date-parts":[["2017",1]]}}}],"schema":"https://github.com/citation-style-language/schema/raw/master/csl-citation.json"} </w:instrText>
            </w:r>
            <w:r w:rsidRPr="0030032A">
              <w:rPr>
                <w:rFonts w:cs="Times New Roman"/>
                <w:szCs w:val="24"/>
              </w:rPr>
              <w:fldChar w:fldCharType="separate"/>
            </w:r>
            <w:r w:rsidR="00C25845" w:rsidRPr="00C25845">
              <w:rPr>
                <w:rFonts w:cs="Times New Roman"/>
              </w:rPr>
              <w:t>(79)</w:t>
            </w:r>
            <w:r w:rsidRPr="0030032A">
              <w:rPr>
                <w:rFonts w:cs="Times New Roman"/>
                <w:szCs w:val="24"/>
              </w:rPr>
              <w:fldChar w:fldCharType="end"/>
            </w:r>
          </w:p>
        </w:tc>
        <w:tc>
          <w:tcPr>
            <w:tcW w:w="1144" w:type="pct"/>
          </w:tcPr>
          <w:p w14:paraId="1FBF9606" w14:textId="6F91A892" w:rsidR="0030032A" w:rsidRPr="0030032A" w:rsidRDefault="0030032A" w:rsidP="00E9077D">
            <w:pPr>
              <w:rPr>
                <w:rFonts w:cs="Times New Roman"/>
                <w:szCs w:val="24"/>
              </w:rPr>
            </w:pPr>
            <w:r w:rsidRPr="0030032A">
              <w:rPr>
                <w:rFonts w:cs="Times New Roman"/>
                <w:szCs w:val="24"/>
              </w:rPr>
              <w:t xml:space="preserve">0.09 </w:t>
            </w:r>
            <w:r w:rsidRPr="0030032A">
              <w:rPr>
                <w:rFonts w:cs="Times New Roman"/>
                <w:szCs w:val="24"/>
              </w:rPr>
              <w:fldChar w:fldCharType="begin"/>
            </w:r>
            <w:r w:rsidR="00C25845">
              <w:rPr>
                <w:rFonts w:cs="Times New Roman"/>
                <w:szCs w:val="24"/>
              </w:rPr>
              <w:instrText xml:space="preserve"> ADDIN ZOTERO_ITEM CSL_CITATION {"citationID":"LQQ9dmgD","properties":{"formattedCitation":"(80)","plainCitation":"(80)","noteIndex":0},"citationItems":[{"id":29,"uris":["http://zotero.org/users/local/mmRtC3gY/items/SEJPWZTQ"],"uri":["http://zotero.org/users/local/mmRtC3gY/items/SEJPWZTQ"],"itemData":{"id":29,"type":"article","publisher":"European Medicines Agency","source":"EMEA/H/C/001037","title":"Cimzia : EPAR - Product Information","URL":"https://www.ema.europa.eu/en/documents/product-information/cimzia-epar-product-information_en.pdf","issued":{"date-parts":[["2019",6,27]]}}}],"schema":"https://github.com/citation-style-language/schema/raw/master/csl-citation.json"} </w:instrText>
            </w:r>
            <w:r w:rsidRPr="0030032A">
              <w:rPr>
                <w:rFonts w:cs="Times New Roman"/>
                <w:szCs w:val="24"/>
              </w:rPr>
              <w:fldChar w:fldCharType="separate"/>
            </w:r>
            <w:r w:rsidR="00C25845" w:rsidRPr="00C25845">
              <w:rPr>
                <w:rFonts w:cs="Times New Roman"/>
              </w:rPr>
              <w:t>(80)</w:t>
            </w:r>
            <w:r w:rsidRPr="0030032A">
              <w:rPr>
                <w:rFonts w:cs="Times New Roman"/>
                <w:szCs w:val="24"/>
              </w:rPr>
              <w:fldChar w:fldCharType="end"/>
            </w:r>
          </w:p>
        </w:tc>
      </w:tr>
      <w:tr w:rsidR="0030032A" w:rsidRPr="0030032A" w14:paraId="0D0EEF64" w14:textId="77777777" w:rsidTr="00E9077D">
        <w:tc>
          <w:tcPr>
            <w:tcW w:w="1567" w:type="pct"/>
          </w:tcPr>
          <w:p w14:paraId="3F25009D" w14:textId="77777777" w:rsidR="0030032A" w:rsidRPr="0030032A" w:rsidRDefault="0030032A" w:rsidP="00E9077D">
            <w:pPr>
              <w:rPr>
                <w:rFonts w:cs="Times New Roman"/>
                <w:szCs w:val="24"/>
              </w:rPr>
            </w:pPr>
            <w:r w:rsidRPr="0030032A">
              <w:rPr>
                <w:rFonts w:cs="Times New Roman"/>
                <w:szCs w:val="24"/>
              </w:rPr>
              <w:t>Gevokizumab (Anti-IL-1βb)</w:t>
            </w:r>
          </w:p>
        </w:tc>
        <w:tc>
          <w:tcPr>
            <w:tcW w:w="1144" w:type="pct"/>
          </w:tcPr>
          <w:p w14:paraId="09956693" w14:textId="1374EA0F" w:rsidR="0030032A" w:rsidRPr="0030032A" w:rsidRDefault="0030032A" w:rsidP="00E9077D">
            <w:pPr>
              <w:rPr>
                <w:rFonts w:cs="Times New Roman"/>
                <w:szCs w:val="24"/>
              </w:rPr>
            </w:pPr>
            <w:r w:rsidRPr="0030032A">
              <w:rPr>
                <w:rFonts w:cs="Times New Roman"/>
                <w:szCs w:val="24"/>
              </w:rPr>
              <w:t xml:space="preserve">4g6m </w:t>
            </w:r>
            <w:r w:rsidRPr="0030032A">
              <w:rPr>
                <w:rFonts w:cs="Times New Roman"/>
                <w:szCs w:val="24"/>
              </w:rPr>
              <w:fldChar w:fldCharType="begin"/>
            </w:r>
            <w:r w:rsidR="00C25845">
              <w:rPr>
                <w:rFonts w:cs="Times New Roman"/>
                <w:szCs w:val="24"/>
              </w:rPr>
              <w:instrText xml:space="preserve"> ADDIN ZOTERO_ITEM CSL_CITATION {"citationID":"zZNJNXq6","properties":{"formattedCitation":"(77)","plainCitation":"(77)","noteIndex":0},"citationItems":[{"id":7,"uris":["http://zotero.org/users/local/mmRtC3gY/items/5UZ3YSDG"],"uri":["http://zotero.org/users/local/mmRtC3gY/items/5UZ3YSDG"],"itemData":{"id":7,"type":"article-journal","abstract":"Interleukin-1β (IL-1β) is a key orchestrator in inflammatory and several immune responses. IL-1β exerts its effects through interleukin-1 receptor type I (IL-1RI) and interleukin-1 receptor accessory protein (IL-1RAcP), which together form a heterotrimeric signaling-competent complex. Canakinumab and gevokizumab are highly specific IL-1β monoclonal antibodies. Canakinumab is known to neutralize IL-1β by competing for binding to IL-1R and therefore blocking signaling by the antigen:antibody complex. Gevokizumab is claimed to be a regulatory therapeutic antibody that modulates IL-1β bioactivity by reducing the affinity for its IL-1RI:IL-1RAcP signaling complex. How IL-1β signaling is affected by both canakinumab and gevokizumab was not yet experimentally determined. We have analyzed the crystal structures of canakinumab and gevokizumab antibody binding fragment (Fab) as well as of their binary complexes with IL-1β. Furthermore, we characterized the epitopes on IL-1β employed by the antibodies by NMR epitope mapping studies. The direct comparison of NMR and X-ray data shows that the epitope defined by the crystal structure encompasses predominantly those residues whose NMR resonances are severely perturbed upon complex formation. The antigen:Fab co-structures confirm the previously identified key contact residues on IL-1β and provide insight into the mechanisms leading to their distinct modulation of IL-1β signaling. A significant steric overlap of the binding interfaces of IL-1R and canakinumab on IL-1β causes competitive inhibition of the association of IL-1β and its receptor. In contrast, gevokizumab occupies an allosteric site on IL-1β and complex formation results in a minor reduction of binding affinity to IL-1RI. This suggests two different mechanisms of IL-1β pathway attenuation.","container-title":"Journal of Molecular Biology","DOI":"10.1016/j.jmb.2012.09.021","ISSN":"0022-2836","issue":"1","journalAbbreviation":"Journal of Molecular Biology","page":"94-111","title":"One Target—Two Different Binding Modes: Structural Insights into Gevokizumab and Canakinumab Interactions to Interleukin-1β","volume":"425","author":[{"family":"Blech","given":"Michaela"},{"family":"Peter","given":"Daniel"},{"family":"Fischer","given":"Peter"},{"family":"Bauer","given":"Margit M.T."},{"family":"Hafner","given":"Mathias"},{"family":"Zeeb","given":"Markus"},{"family":"Nar","given":"Herbert"}],"issued":{"date-parts":[["2013",1,9]]}}}],"schema":"https://github.com/citation-style-language/schema/raw/master/csl-citation.json"} </w:instrText>
            </w:r>
            <w:r w:rsidRPr="0030032A">
              <w:rPr>
                <w:rFonts w:cs="Times New Roman"/>
                <w:szCs w:val="24"/>
              </w:rPr>
              <w:fldChar w:fldCharType="separate"/>
            </w:r>
            <w:r w:rsidR="00C25845" w:rsidRPr="00C25845">
              <w:rPr>
                <w:rFonts w:cs="Times New Roman"/>
              </w:rPr>
              <w:t>(77)</w:t>
            </w:r>
            <w:r w:rsidRPr="0030032A">
              <w:rPr>
                <w:rFonts w:cs="Times New Roman"/>
                <w:szCs w:val="24"/>
              </w:rPr>
              <w:fldChar w:fldCharType="end"/>
            </w:r>
          </w:p>
        </w:tc>
        <w:tc>
          <w:tcPr>
            <w:tcW w:w="1144" w:type="pct"/>
          </w:tcPr>
          <w:p w14:paraId="438CB938" w14:textId="1E01E7ED" w:rsidR="0030032A" w:rsidRPr="0030032A" w:rsidRDefault="0030032A" w:rsidP="00E9077D">
            <w:pPr>
              <w:rPr>
                <w:rFonts w:cs="Times New Roman"/>
                <w:szCs w:val="24"/>
              </w:rPr>
            </w:pPr>
            <w:r w:rsidRPr="0030032A">
              <w:rPr>
                <w:rFonts w:cs="Times New Roman"/>
                <w:szCs w:val="24"/>
              </w:rPr>
              <w:t xml:space="preserve">4g6k </w:t>
            </w:r>
            <w:r w:rsidRPr="0030032A">
              <w:rPr>
                <w:rFonts w:cs="Times New Roman"/>
                <w:szCs w:val="24"/>
              </w:rPr>
              <w:fldChar w:fldCharType="begin"/>
            </w:r>
            <w:r w:rsidR="00C25845">
              <w:rPr>
                <w:rFonts w:cs="Times New Roman"/>
                <w:szCs w:val="24"/>
              </w:rPr>
              <w:instrText xml:space="preserve"> ADDIN ZOTERO_ITEM CSL_CITATION {"citationID":"OCgBS0sL","properties":{"formattedCitation":"(77)","plainCitation":"(77)","noteIndex":0},"citationItems":[{"id":7,"uris":["http://zotero.org/users/local/mmRtC3gY/items/5UZ3YSDG"],"uri":["http://zotero.org/users/local/mmRtC3gY/items/5UZ3YSDG"],"itemData":{"id":7,"type":"article-journal","abstract":"Interleukin-1β (IL-1β) is a key orchestrator in inflammatory and several immune responses. IL-1β exerts its effects through interleukin-1 receptor type I (IL-1RI) and interleukin-1 receptor accessory protein (IL-1RAcP), which together form a heterotrimeric signaling-competent complex. Canakinumab and gevokizumab are highly specific IL-1β monoclonal antibodies. Canakinumab is known to neutralize IL-1β by competing for binding to IL-1R and therefore blocking signaling by the antigen:antibody complex. Gevokizumab is claimed to be a regulatory therapeutic antibody that modulates IL-1β bioactivity by reducing the affinity for its IL-1RI:IL-1RAcP signaling complex. How IL-1β signaling is affected by both canakinumab and gevokizumab was not yet experimentally determined. We have analyzed the crystal structures of canakinumab and gevokizumab antibody binding fragment (Fab) as well as of their binary complexes with IL-1β. Furthermore, we characterized the epitopes on IL-1β employed by the antibodies by NMR epitope mapping studies. The direct comparison of NMR and X-ray data shows that the epitope defined by the crystal structure encompasses predominantly those residues whose NMR resonances are severely perturbed upon complex formation. The antigen:Fab co-structures confirm the previously identified key contact residues on IL-1β and provide insight into the mechanisms leading to their distinct modulation of IL-1β signaling. A significant steric overlap of the binding interfaces of IL-1R and canakinumab on IL-1β causes competitive inhibition of the association of IL-1β and its receptor. In contrast, gevokizumab occupies an allosteric site on IL-1β and complex formation results in a minor reduction of binding affinity to IL-1RI. This suggests two different mechanisms of IL-1β pathway attenuation.","container-title":"Journal of Molecular Biology","DOI":"10.1016/j.jmb.2012.09.021","ISSN":"0022-2836","issue":"1","journalAbbreviation":"Journal of Molecular Biology","page":"94-111","title":"One Target—Two Different Binding Modes: Structural Insights into Gevokizumab and Canakinumab Interactions to Interleukin-1β","volume":"425","author":[{"family":"Blech","given":"Michaela"},{"family":"Peter","given":"Daniel"},{"family":"Fischer","given":"Peter"},{"family":"Bauer","given":"Margit M.T."},{"family":"Hafner","given":"Mathias"},{"family":"Zeeb","given":"Markus"},{"family":"Nar","given":"Herbert"}],"issued":{"date-parts":[["2013",1,9]]}}}],"schema":"https://github.com/citation-style-language/schema/raw/master/csl-citation.json"} </w:instrText>
            </w:r>
            <w:r w:rsidRPr="0030032A">
              <w:rPr>
                <w:rFonts w:cs="Times New Roman"/>
                <w:szCs w:val="24"/>
              </w:rPr>
              <w:fldChar w:fldCharType="separate"/>
            </w:r>
            <w:r w:rsidR="00C25845" w:rsidRPr="00C25845">
              <w:rPr>
                <w:rFonts w:cs="Times New Roman"/>
              </w:rPr>
              <w:t>(77)</w:t>
            </w:r>
            <w:r w:rsidRPr="0030032A">
              <w:rPr>
                <w:rFonts w:cs="Times New Roman"/>
                <w:szCs w:val="24"/>
              </w:rPr>
              <w:fldChar w:fldCharType="end"/>
            </w:r>
          </w:p>
        </w:tc>
        <w:tc>
          <w:tcPr>
            <w:tcW w:w="1144" w:type="pct"/>
          </w:tcPr>
          <w:p w14:paraId="08AA6C71" w14:textId="35261841" w:rsidR="0030032A" w:rsidRPr="0030032A" w:rsidRDefault="0030032A" w:rsidP="00E9077D">
            <w:pPr>
              <w:rPr>
                <w:rFonts w:cs="Times New Roman"/>
                <w:szCs w:val="24"/>
              </w:rPr>
            </w:pPr>
            <w:r w:rsidRPr="0030032A">
              <w:rPr>
                <w:rFonts w:cs="Times New Roman"/>
                <w:szCs w:val="24"/>
              </w:rPr>
              <w:t xml:space="preserve">0.0003 </w:t>
            </w:r>
            <w:r w:rsidRPr="0030032A">
              <w:rPr>
                <w:rFonts w:cs="Times New Roman"/>
                <w:szCs w:val="24"/>
              </w:rPr>
              <w:fldChar w:fldCharType="begin"/>
            </w:r>
            <w:r w:rsidR="00C25845">
              <w:rPr>
                <w:rFonts w:cs="Times New Roman"/>
                <w:szCs w:val="24"/>
              </w:rPr>
              <w:instrText xml:space="preserve"> ADDIN ZOTERO_ITEM CSL_CITATION {"citationID":"a1cigbp07l2","properties":{"formattedCitation":"(81)","plainCitation":"(81)","noteIndex":0},"citationItems":[{"id":494,"uris":["http://zotero.org/users/local/mmRtC3gY/items/N25YQMS4"],"uri":["http://zotero.org/users/local/mmRtC3gY/items/N25YQMS4"],"itemData":{"id":494,"type":"article-journal","abstract":"Interleukin-1β (IL-1β) is a potent mediator of inflammatory responses and plays a role in the differentiation of a number of lymphoid cells. In several inflammatory and autoimmune diseases, serum levels of IL-1β are elevated and correlate with disease development and severity. The central role of the IL-1 pathway in several diseases has been validated by inhibitors currently in clinical development or approved by the FDA. However, the need to effectively modulate IL-1β-mediated local inflammation with the systemic delivery of an efficacious, safe and convenient drug still exists. To meet these challenges, we developed XOMA 052 (gevokizumab), a potent anti-IL-1β neutralizing antibody that was designed in silico and humanized using Human Engineering™ technology. XOMA 052 has a 300 femtomolar binding affinity for human IL-1β and an in vitro potency in the low picomolar range. XOMA 052 binds to a unique IL-1β epitope where residues critical for binding have been identified. We have previously reported that XOMA 052 is efficacious in vivo in a diet-induced obesity mouse model thought to be driven by low levels of chronic inflammation. We report here that XOMA 052 also reduces acute inflammation in vivo, neutralizing the effect of exogenously administered human IL-1β and blocking peritonitis in a mouse model of acute gout. Based on its high potency, novel mechanism of action, long half-life, and high affinity, XOMA 052 provides a new strategy for the treatment of a number of inflammatory, autoimmune and metabolic diseases in which the role of IL-1β is central to pathogenesis.","container-title":"mAbs","DOI":"10.4161/mabs.3.1.13989","ISSN":"1942-0862","issue":"1","note":"publisher: Taylor &amp; Francis\n_eprint: https://doi.org/10.4161/mabs.3.1.13989\nPMID: 21048425","page":"49-60","source":"Taylor and Francis+NEJM","title":"XOMA 052, a potent, high-affinity monoclonal antibody for the treatment of IL-1β-mediated diseases","volume":"3","author":[{"family":"Owyang","given":"Alexander M."},{"family":"Issafras","given":"Hassan"},{"family":"Corbin","given":"John"},{"family":"Ahluwalia","given":"Kiran"},{"family":"Larsen","given":"Paul"},{"family":"Pongo","given":"Elizabeth"},{"family":"Handa","given":"Masahisa"},{"family":"Horwitz","given":"Arnold H."},{"family":"Roell","given":"Marina K."},{"family":"Haak-Frendscho","given":"Mary"},{"family":"Masat","given":"Linda"}],"issued":{"date-parts":[["2011",1,1]]}}}],"schema":"https://github.com/citation-style-language/schema/raw/master/csl-citation.json"} </w:instrText>
            </w:r>
            <w:r w:rsidRPr="0030032A">
              <w:rPr>
                <w:rFonts w:cs="Times New Roman"/>
                <w:szCs w:val="24"/>
              </w:rPr>
              <w:fldChar w:fldCharType="separate"/>
            </w:r>
            <w:r w:rsidR="00C25845" w:rsidRPr="00C25845">
              <w:rPr>
                <w:rFonts w:cs="Times New Roman"/>
              </w:rPr>
              <w:t>(81)</w:t>
            </w:r>
            <w:r w:rsidRPr="0030032A">
              <w:rPr>
                <w:rFonts w:cs="Times New Roman"/>
                <w:szCs w:val="24"/>
              </w:rPr>
              <w:fldChar w:fldCharType="end"/>
            </w:r>
          </w:p>
        </w:tc>
      </w:tr>
      <w:tr w:rsidR="0030032A" w:rsidRPr="0030032A" w14:paraId="082DE9F0" w14:textId="77777777" w:rsidTr="00E9077D">
        <w:tc>
          <w:tcPr>
            <w:tcW w:w="1567" w:type="pct"/>
          </w:tcPr>
          <w:p w14:paraId="1102759F" w14:textId="77777777" w:rsidR="0030032A" w:rsidRPr="0030032A" w:rsidRDefault="0030032A" w:rsidP="00E9077D">
            <w:pPr>
              <w:rPr>
                <w:rFonts w:cs="Times New Roman"/>
                <w:szCs w:val="24"/>
              </w:rPr>
            </w:pPr>
            <w:r w:rsidRPr="0030032A">
              <w:rPr>
                <w:rFonts w:cs="Times New Roman"/>
                <w:szCs w:val="24"/>
              </w:rPr>
              <w:t>Pembrolizumab (Anti-PD)</w:t>
            </w:r>
          </w:p>
        </w:tc>
        <w:tc>
          <w:tcPr>
            <w:tcW w:w="1144" w:type="pct"/>
          </w:tcPr>
          <w:p w14:paraId="26670145" w14:textId="642FC8A9" w:rsidR="0030032A" w:rsidRPr="0030032A" w:rsidRDefault="0030032A" w:rsidP="00E9077D">
            <w:pPr>
              <w:rPr>
                <w:rFonts w:cs="Times New Roman"/>
                <w:szCs w:val="24"/>
              </w:rPr>
            </w:pPr>
            <w:r w:rsidRPr="0030032A">
              <w:rPr>
                <w:rFonts w:cs="Times New Roman"/>
                <w:szCs w:val="24"/>
              </w:rPr>
              <w:t xml:space="preserve">5ggs </w:t>
            </w:r>
            <w:r w:rsidRPr="0030032A">
              <w:rPr>
                <w:rFonts w:cs="Times New Roman"/>
                <w:szCs w:val="24"/>
              </w:rPr>
              <w:fldChar w:fldCharType="begin"/>
            </w:r>
            <w:r w:rsidR="00C25845">
              <w:rPr>
                <w:rFonts w:cs="Times New Roman"/>
                <w:szCs w:val="24"/>
              </w:rPr>
              <w:instrText xml:space="preserve"> ADDIN ZOTERO_ITEM CSL_CITATION {"citationID":"mKEYqCxb","properties":{"formattedCitation":"(82)","plainCitation":"(82)","noteIndex":0},"citationItems":[{"id":14,"uris":["http://zotero.org/users/local/mmRtC3gY/items/ZJDCG9M4"],"uri":["http://zotero.org/users/local/mmRtC3gY/items/ZJDCG9M4"],"itemData":{"id":14,"type":"article-journal","abstract":"Immunotherapy is offering patients with cancer new therapy options. Here, the authors report on the crystal structures of some of these therapies bound to their targets.","container-title":"Nature Communications","DOI":"10.1038/ncomms13354","ISSN":"2041-1723","issue":"1","language":"en","page":"1-10","source":"www.nature.com","title":"Structural basis of checkpoint blockade by monoclonal antibodies in cancer immunotherapy","volume":"7","author":[{"family":"Lee","given":"Ju Yeon"},{"family":"Lee","given":"Hyun Tae"},{"family":"Shin","given":"Woori"},{"family":"Chae","given":"Jongseok"},{"family":"Choi","given":"Jaemo"},{"family":"Kim","given":"Sung Hyun"},{"family":"Lim","given":"Heejin"},{"family":"Won Heo","given":"Tae"},{"family":"Park","given":"Kyeong Young"},{"family":"Lee","given":"Yeon Ji"},{"family":"Ryu","given":"Seong Eon"},{"family":"Son","given":"Ji Young"},{"family":"Lee","given":"Jee Un"},{"family":"Heo","given":"Yong-Seok"}],"issued":{"date-parts":[["2016",10,31]]}}}],"schema":"https://github.com/citation-style-language/schema/raw/master/csl-citation.json"} </w:instrText>
            </w:r>
            <w:r w:rsidRPr="0030032A">
              <w:rPr>
                <w:rFonts w:cs="Times New Roman"/>
                <w:szCs w:val="24"/>
              </w:rPr>
              <w:fldChar w:fldCharType="separate"/>
            </w:r>
            <w:r w:rsidR="00C25845" w:rsidRPr="00C25845">
              <w:rPr>
                <w:rFonts w:cs="Times New Roman"/>
              </w:rPr>
              <w:t>(82)</w:t>
            </w:r>
            <w:r w:rsidRPr="0030032A">
              <w:rPr>
                <w:rFonts w:cs="Times New Roman"/>
                <w:szCs w:val="24"/>
              </w:rPr>
              <w:fldChar w:fldCharType="end"/>
            </w:r>
          </w:p>
        </w:tc>
        <w:tc>
          <w:tcPr>
            <w:tcW w:w="1144" w:type="pct"/>
          </w:tcPr>
          <w:p w14:paraId="58A889DC" w14:textId="7EDF9215" w:rsidR="0030032A" w:rsidRPr="0030032A" w:rsidRDefault="0030032A" w:rsidP="00E9077D">
            <w:pPr>
              <w:rPr>
                <w:rFonts w:cs="Times New Roman"/>
                <w:szCs w:val="24"/>
              </w:rPr>
            </w:pPr>
            <w:r w:rsidRPr="0030032A">
              <w:rPr>
                <w:rFonts w:cs="Times New Roman"/>
                <w:szCs w:val="24"/>
              </w:rPr>
              <w:t xml:space="preserve">5dk3 </w:t>
            </w:r>
            <w:r w:rsidRPr="0030032A">
              <w:rPr>
                <w:rFonts w:cs="Times New Roman"/>
                <w:szCs w:val="24"/>
              </w:rPr>
              <w:fldChar w:fldCharType="begin"/>
            </w:r>
            <w:r w:rsidR="00C25845">
              <w:rPr>
                <w:rFonts w:cs="Times New Roman"/>
                <w:szCs w:val="24"/>
              </w:rPr>
              <w:instrText xml:space="preserve"> ADDIN ZOTERO_ITEM CSL_CITATION {"citationID":"OkP82vHo","properties":{"formattedCitation":"(83)","plainCitation":"(83)","noteIndex":0},"citationItems":[{"id":31,"uris":["http://zotero.org/users/local/mmRtC3gY/items/DMXSVKYT"],"uri":["http://zotero.org/users/local/mmRtC3gY/items/DMXSVKYT"],"itemData":{"id":31,"type":"article-journal","abstract":"IgG4 antibodies can exchange Fab arms and show different affinities for Fc receptors than do other IgG subclasses. The structure of full-length pembrolizumab, a human IgG4 approved to treat advanced melanoma, provides a framework to understand IgG4's properties.","container-title":"Nature Structural &amp; Molecular Biology","DOI":"10.1038/nsmb.3129","ISSN":"1545-9985","issue":"12","language":"en","page":"953-958","source":"www.nature.com","title":"Structure of full-length human anti-PD1 therapeutic IgG4 antibody pembrolizumab","volume":"22","author":[{"family":"Scapin","given":"Giovanna"},{"family":"Yang","given":"Xiaoyu"},{"family":"Prosise","given":"Winifred W."},{"family":"McCoy","given":"Mark"},{"family":"Reichert","given":"Paul"},{"family":"Johnston","given":"Jennifer M."},{"family":"Kashi","given":"Ramesh S."},{"family":"Strickland","given":"Corey"}],"issued":{"date-parts":[["2015",12]]}}}],"schema":"https://github.com/citation-style-language/schema/raw/master/csl-citation.json"} </w:instrText>
            </w:r>
            <w:r w:rsidRPr="0030032A">
              <w:rPr>
                <w:rFonts w:cs="Times New Roman"/>
                <w:szCs w:val="24"/>
              </w:rPr>
              <w:fldChar w:fldCharType="separate"/>
            </w:r>
            <w:r w:rsidR="00C25845" w:rsidRPr="00C25845">
              <w:rPr>
                <w:rFonts w:cs="Times New Roman"/>
              </w:rPr>
              <w:t>(83)</w:t>
            </w:r>
            <w:r w:rsidRPr="0030032A">
              <w:rPr>
                <w:rFonts w:cs="Times New Roman"/>
                <w:szCs w:val="24"/>
              </w:rPr>
              <w:fldChar w:fldCharType="end"/>
            </w:r>
          </w:p>
        </w:tc>
        <w:tc>
          <w:tcPr>
            <w:tcW w:w="1144" w:type="pct"/>
          </w:tcPr>
          <w:p w14:paraId="54BD95F0" w14:textId="265A9B07" w:rsidR="0030032A" w:rsidRPr="0030032A" w:rsidRDefault="0030032A" w:rsidP="00E9077D">
            <w:pPr>
              <w:keepNext/>
              <w:rPr>
                <w:rFonts w:cs="Times New Roman"/>
                <w:szCs w:val="24"/>
              </w:rPr>
            </w:pPr>
            <w:r w:rsidRPr="0030032A">
              <w:rPr>
                <w:rFonts w:cs="Times New Roman"/>
                <w:szCs w:val="24"/>
              </w:rPr>
              <w:t xml:space="preserve">0.029 </w:t>
            </w:r>
            <w:r w:rsidRPr="0030032A">
              <w:rPr>
                <w:rFonts w:cs="Times New Roman"/>
                <w:szCs w:val="24"/>
              </w:rPr>
              <w:fldChar w:fldCharType="begin"/>
            </w:r>
            <w:r w:rsidR="00C25845">
              <w:rPr>
                <w:rFonts w:cs="Times New Roman"/>
                <w:szCs w:val="24"/>
              </w:rPr>
              <w:instrText xml:space="preserve"> ADDIN ZOTERO_ITEM CSL_CITATION {"citationID":"0bMOprmD","properties":{"formattedCitation":"(84)","plainCitation":"(84)","noteIndex":0},"citationItems":[{"id":30,"uris":["http://zotero.org/users/local/mmRtC3gY/items/BBGMDZJ4"],"uri":["http://zotero.org/users/local/mmRtC3gY/items/BBGMDZJ4"],"itemData":{"id":30,"type":"article","publisher":"European Medicines Agency","source":"EMA/444458/2015","title":"Keytruda: EPAR - Assessment Report","URL":"https://www.ema.europa.eu/en/documents/assessment-report/keytruda-epar-public-assessment-report_en.pdf","issued":{"date-parts":[["2015",5,21]]}}}],"schema":"https://github.com/citation-style-language/schema/raw/master/csl-citation.json"} </w:instrText>
            </w:r>
            <w:r w:rsidRPr="0030032A">
              <w:rPr>
                <w:rFonts w:cs="Times New Roman"/>
                <w:szCs w:val="24"/>
              </w:rPr>
              <w:fldChar w:fldCharType="separate"/>
            </w:r>
            <w:r w:rsidR="00C25845" w:rsidRPr="00C25845">
              <w:rPr>
                <w:rFonts w:cs="Times New Roman"/>
              </w:rPr>
              <w:t>(84)</w:t>
            </w:r>
            <w:r w:rsidRPr="0030032A">
              <w:rPr>
                <w:rFonts w:cs="Times New Roman"/>
                <w:szCs w:val="24"/>
              </w:rPr>
              <w:fldChar w:fldCharType="end"/>
            </w:r>
          </w:p>
        </w:tc>
      </w:tr>
    </w:tbl>
    <w:p w14:paraId="2EC41D0C" w14:textId="282C7EEF" w:rsidR="0030032A" w:rsidRDefault="0030032A" w:rsidP="00AA1442">
      <w:pPr>
        <w:spacing w:before="0" w:after="200" w:line="276" w:lineRule="auto"/>
        <w:rPr>
          <w:rFonts w:cs="Times New Roman"/>
          <w:b/>
          <w:bCs/>
          <w:szCs w:val="24"/>
        </w:rPr>
      </w:pPr>
      <w:bookmarkStart w:id="13" w:name="_Ref45143854"/>
    </w:p>
    <w:p w14:paraId="595D55F5" w14:textId="77777777" w:rsidR="00AA1442" w:rsidRDefault="00AA1442">
      <w:pPr>
        <w:spacing w:before="0" w:after="200" w:line="276" w:lineRule="auto"/>
        <w:rPr>
          <w:rFonts w:cs="Times New Roman"/>
          <w:b/>
          <w:bCs/>
          <w:szCs w:val="24"/>
        </w:rPr>
      </w:pPr>
      <w:r>
        <w:rPr>
          <w:rFonts w:cs="Times New Roman"/>
          <w:b/>
          <w:bCs/>
          <w:szCs w:val="24"/>
        </w:rPr>
        <w:br w:type="page"/>
      </w:r>
    </w:p>
    <w:p w14:paraId="1FE28CB1" w14:textId="62E07E62" w:rsidR="0030032A" w:rsidRPr="0030032A" w:rsidRDefault="0030032A" w:rsidP="0030032A">
      <w:pPr>
        <w:rPr>
          <w:rFonts w:cs="Times New Roman"/>
          <w:szCs w:val="24"/>
        </w:rPr>
      </w:pPr>
      <w:r w:rsidRPr="0030032A">
        <w:rPr>
          <w:rFonts w:cs="Times New Roman"/>
          <w:b/>
          <w:bCs/>
          <w:szCs w:val="24"/>
        </w:rPr>
        <w:lastRenderedPageBreak/>
        <w:t xml:space="preserve">Table </w:t>
      </w:r>
      <w:r w:rsidRPr="0030032A">
        <w:rPr>
          <w:rFonts w:cs="Times New Roman"/>
          <w:b/>
          <w:bCs/>
          <w:szCs w:val="24"/>
        </w:rPr>
        <w:fldChar w:fldCharType="begin"/>
      </w:r>
      <w:r w:rsidRPr="0030032A">
        <w:rPr>
          <w:rFonts w:cs="Times New Roman"/>
          <w:b/>
          <w:bCs/>
          <w:szCs w:val="24"/>
        </w:rPr>
        <w:instrText xml:space="preserve"> SEQ Table \* ARABIC </w:instrText>
      </w:r>
      <w:r w:rsidRPr="0030032A">
        <w:rPr>
          <w:rFonts w:cs="Times New Roman"/>
          <w:b/>
          <w:bCs/>
          <w:szCs w:val="24"/>
        </w:rPr>
        <w:fldChar w:fldCharType="separate"/>
      </w:r>
      <w:r>
        <w:rPr>
          <w:rFonts w:cs="Times New Roman"/>
          <w:b/>
          <w:bCs/>
          <w:noProof/>
          <w:szCs w:val="24"/>
        </w:rPr>
        <w:t>2</w:t>
      </w:r>
      <w:r w:rsidRPr="0030032A">
        <w:rPr>
          <w:rFonts w:cs="Times New Roman"/>
          <w:b/>
          <w:bCs/>
          <w:szCs w:val="24"/>
        </w:rPr>
        <w:fldChar w:fldCharType="end"/>
      </w:r>
      <w:bookmarkEnd w:id="13"/>
      <w:r w:rsidRPr="0030032A">
        <w:rPr>
          <w:rFonts w:cs="Times New Roman"/>
          <w:b/>
          <w:bCs/>
          <w:szCs w:val="24"/>
        </w:rPr>
        <w:t xml:space="preserve">. </w:t>
      </w:r>
      <w:r w:rsidRPr="0030032A">
        <w:rPr>
          <w:rFonts w:cs="Times New Roman"/>
          <w:szCs w:val="24"/>
        </w:rPr>
        <w:t xml:space="preserve"> Distance and angle criteria for identification of antibody interface interactions.</w:t>
      </w:r>
    </w:p>
    <w:tbl>
      <w:tblPr>
        <w:tblStyle w:val="TableGrid"/>
        <w:tblW w:w="0" w:type="auto"/>
        <w:tblLook w:val="04A0" w:firstRow="1" w:lastRow="0" w:firstColumn="1" w:lastColumn="0" w:noHBand="0" w:noVBand="1"/>
      </w:tblPr>
      <w:tblGrid>
        <w:gridCol w:w="2405"/>
        <w:gridCol w:w="6611"/>
      </w:tblGrid>
      <w:tr w:rsidR="0030032A" w:rsidRPr="0030032A" w14:paraId="4539F51A" w14:textId="77777777" w:rsidTr="00E9077D">
        <w:tc>
          <w:tcPr>
            <w:tcW w:w="2405" w:type="dxa"/>
          </w:tcPr>
          <w:p w14:paraId="513C3133" w14:textId="77777777" w:rsidR="0030032A" w:rsidRPr="0030032A" w:rsidRDefault="0030032A" w:rsidP="00E9077D">
            <w:pPr>
              <w:rPr>
                <w:rFonts w:cs="Times New Roman"/>
                <w:szCs w:val="24"/>
              </w:rPr>
            </w:pPr>
            <w:r w:rsidRPr="0030032A">
              <w:rPr>
                <w:rFonts w:cs="Times New Roman"/>
                <w:szCs w:val="24"/>
              </w:rPr>
              <w:t>Interaction type</w:t>
            </w:r>
          </w:p>
        </w:tc>
        <w:tc>
          <w:tcPr>
            <w:tcW w:w="6611" w:type="dxa"/>
          </w:tcPr>
          <w:p w14:paraId="0D3855A3" w14:textId="77777777" w:rsidR="0030032A" w:rsidRPr="0030032A" w:rsidRDefault="0030032A" w:rsidP="00E9077D">
            <w:pPr>
              <w:rPr>
                <w:rFonts w:cs="Times New Roman"/>
                <w:szCs w:val="24"/>
              </w:rPr>
            </w:pPr>
            <w:r w:rsidRPr="0030032A">
              <w:rPr>
                <w:rFonts w:cs="Times New Roman"/>
                <w:szCs w:val="24"/>
              </w:rPr>
              <w:t>Criteria</w:t>
            </w:r>
          </w:p>
        </w:tc>
      </w:tr>
      <w:tr w:rsidR="0030032A" w:rsidRPr="0030032A" w14:paraId="48709136" w14:textId="77777777" w:rsidTr="00E9077D">
        <w:tc>
          <w:tcPr>
            <w:tcW w:w="2405" w:type="dxa"/>
          </w:tcPr>
          <w:p w14:paraId="5B7CCAB3" w14:textId="77777777" w:rsidR="0030032A" w:rsidRPr="0030032A" w:rsidRDefault="0030032A" w:rsidP="00E9077D">
            <w:pPr>
              <w:rPr>
                <w:rFonts w:cs="Times New Roman"/>
                <w:szCs w:val="24"/>
              </w:rPr>
            </w:pPr>
            <w:r w:rsidRPr="0030032A">
              <w:rPr>
                <w:rFonts w:cs="Times New Roman"/>
                <w:szCs w:val="24"/>
              </w:rPr>
              <w:t>Hydrogen bonds</w:t>
            </w:r>
          </w:p>
        </w:tc>
        <w:tc>
          <w:tcPr>
            <w:tcW w:w="6611" w:type="dxa"/>
          </w:tcPr>
          <w:p w14:paraId="5D791037" w14:textId="77777777" w:rsidR="0030032A" w:rsidRPr="0030032A" w:rsidRDefault="0030032A" w:rsidP="00E9077D">
            <w:pPr>
              <w:rPr>
                <w:rFonts w:cs="Times New Roman"/>
                <w:szCs w:val="24"/>
              </w:rPr>
            </w:pPr>
            <w:r w:rsidRPr="0030032A">
              <w:rPr>
                <w:rFonts w:cs="Times New Roman"/>
                <w:szCs w:val="24"/>
              </w:rPr>
              <w:t>Heavy atom donor-acceptor distance ≤ 3.5 Å</w:t>
            </w:r>
          </w:p>
          <w:p w14:paraId="086FE9FF" w14:textId="77777777" w:rsidR="0030032A" w:rsidRPr="0030032A" w:rsidRDefault="0030032A" w:rsidP="00E9077D">
            <w:pPr>
              <w:rPr>
                <w:rFonts w:cs="Times New Roman"/>
                <w:szCs w:val="24"/>
              </w:rPr>
            </w:pPr>
            <w:r w:rsidRPr="0030032A">
              <w:rPr>
                <w:rFonts w:cs="Times New Roman"/>
                <w:szCs w:val="24"/>
              </w:rPr>
              <w:t>Donor-hydrogen-acceptor angle between 120</w:t>
            </w:r>
            <w:r w:rsidRPr="0030032A">
              <w:rPr>
                <w:rFonts w:cs="Times New Roman"/>
                <w:szCs w:val="24"/>
                <w:vertAlign w:val="superscript"/>
              </w:rPr>
              <w:t>o</w:t>
            </w:r>
            <w:r w:rsidRPr="0030032A">
              <w:rPr>
                <w:rFonts w:cs="Times New Roman"/>
                <w:szCs w:val="24"/>
              </w:rPr>
              <w:t xml:space="preserve"> and 180</w:t>
            </w:r>
            <w:r w:rsidRPr="0030032A">
              <w:rPr>
                <w:rFonts w:cs="Times New Roman"/>
                <w:szCs w:val="24"/>
                <w:vertAlign w:val="superscript"/>
              </w:rPr>
              <w:t>o</w:t>
            </w:r>
          </w:p>
        </w:tc>
      </w:tr>
      <w:tr w:rsidR="0030032A" w:rsidRPr="0030032A" w14:paraId="71855EB4" w14:textId="77777777" w:rsidTr="00E9077D">
        <w:tc>
          <w:tcPr>
            <w:tcW w:w="2405" w:type="dxa"/>
          </w:tcPr>
          <w:p w14:paraId="217F9997" w14:textId="77777777" w:rsidR="0030032A" w:rsidRPr="0030032A" w:rsidRDefault="0030032A" w:rsidP="00E9077D">
            <w:pPr>
              <w:rPr>
                <w:rFonts w:cs="Times New Roman"/>
                <w:szCs w:val="24"/>
              </w:rPr>
            </w:pPr>
            <w:r w:rsidRPr="0030032A">
              <w:rPr>
                <w:rFonts w:cs="Times New Roman"/>
                <w:szCs w:val="24"/>
              </w:rPr>
              <w:t>Salt bridges</w:t>
            </w:r>
          </w:p>
        </w:tc>
        <w:tc>
          <w:tcPr>
            <w:tcW w:w="6611" w:type="dxa"/>
          </w:tcPr>
          <w:p w14:paraId="3733E895" w14:textId="77777777" w:rsidR="0030032A" w:rsidRPr="0030032A" w:rsidRDefault="0030032A" w:rsidP="00E9077D">
            <w:pPr>
              <w:rPr>
                <w:rFonts w:cs="Times New Roman"/>
                <w:szCs w:val="24"/>
              </w:rPr>
            </w:pPr>
            <w:r w:rsidRPr="0030032A">
              <w:rPr>
                <w:rFonts w:cs="Times New Roman"/>
                <w:szCs w:val="24"/>
              </w:rPr>
              <w:t xml:space="preserve">Side chain oxygen/nitrogen atom pairs from charged residues </w:t>
            </w:r>
          </w:p>
          <w:p w14:paraId="5D6E74D8" w14:textId="77777777" w:rsidR="0030032A" w:rsidRPr="0030032A" w:rsidRDefault="0030032A" w:rsidP="00E9077D">
            <w:pPr>
              <w:rPr>
                <w:rFonts w:cs="Times New Roman"/>
                <w:szCs w:val="24"/>
              </w:rPr>
            </w:pPr>
            <w:r w:rsidRPr="0030032A">
              <w:rPr>
                <w:rFonts w:cs="Times New Roman"/>
                <w:szCs w:val="24"/>
              </w:rPr>
              <w:t>Atom pair distance ≤ 4.5 Å</w:t>
            </w:r>
          </w:p>
        </w:tc>
      </w:tr>
      <w:tr w:rsidR="0030032A" w:rsidRPr="0030032A" w14:paraId="406033C9" w14:textId="77777777" w:rsidTr="00E9077D">
        <w:tc>
          <w:tcPr>
            <w:tcW w:w="2405" w:type="dxa"/>
          </w:tcPr>
          <w:p w14:paraId="248F103C" w14:textId="77777777" w:rsidR="0030032A" w:rsidRPr="0030032A" w:rsidRDefault="0030032A" w:rsidP="00E9077D">
            <w:pPr>
              <w:rPr>
                <w:rFonts w:cs="Times New Roman"/>
                <w:szCs w:val="24"/>
              </w:rPr>
            </w:pPr>
            <w:r w:rsidRPr="0030032A">
              <w:rPr>
                <w:rFonts w:cs="Times New Roman"/>
                <w:szCs w:val="24"/>
              </w:rPr>
              <w:t>Cation-π interactions</w:t>
            </w:r>
          </w:p>
        </w:tc>
        <w:tc>
          <w:tcPr>
            <w:tcW w:w="6611" w:type="dxa"/>
          </w:tcPr>
          <w:p w14:paraId="1F6E968E" w14:textId="77777777" w:rsidR="0030032A" w:rsidRPr="0030032A" w:rsidRDefault="0030032A" w:rsidP="00E9077D">
            <w:pPr>
              <w:rPr>
                <w:rFonts w:cs="Times New Roman"/>
                <w:szCs w:val="24"/>
              </w:rPr>
            </w:pPr>
            <w:r w:rsidRPr="0030032A">
              <w:rPr>
                <w:rFonts w:cs="Times New Roman"/>
                <w:szCs w:val="24"/>
              </w:rPr>
              <w:t>Between positively charged atom and aromatic ring</w:t>
            </w:r>
          </w:p>
          <w:p w14:paraId="7092875F" w14:textId="77777777" w:rsidR="0030032A" w:rsidRPr="0030032A" w:rsidRDefault="0030032A" w:rsidP="00E9077D">
            <w:pPr>
              <w:rPr>
                <w:rFonts w:cs="Times New Roman"/>
                <w:szCs w:val="24"/>
              </w:rPr>
            </w:pPr>
            <w:r w:rsidRPr="0030032A">
              <w:rPr>
                <w:rFonts w:cs="Times New Roman"/>
                <w:szCs w:val="24"/>
              </w:rPr>
              <w:t>Aromatic ring centroid-charged atom distance ≤ 6 Å</w:t>
            </w:r>
            <w:r w:rsidRPr="0030032A">
              <w:rPr>
                <w:rFonts w:cs="Times New Roman"/>
                <w:szCs w:val="24"/>
              </w:rPr>
              <w:br/>
              <w:t>Angle between ring centroid-cation vector and normal vector of the ring is either between 0-60</w:t>
            </w:r>
            <w:r w:rsidRPr="0030032A">
              <w:rPr>
                <w:rFonts w:cs="Times New Roman"/>
                <w:szCs w:val="24"/>
                <w:vertAlign w:val="superscript"/>
              </w:rPr>
              <w:t>o</w:t>
            </w:r>
            <w:r w:rsidRPr="0030032A">
              <w:rPr>
                <w:rFonts w:cs="Times New Roman"/>
                <w:szCs w:val="24"/>
              </w:rPr>
              <w:t xml:space="preserve"> or 120-180</w:t>
            </w:r>
            <w:r w:rsidRPr="0030032A">
              <w:rPr>
                <w:rFonts w:cs="Times New Roman"/>
                <w:szCs w:val="24"/>
                <w:vertAlign w:val="superscript"/>
              </w:rPr>
              <w:t>o</w:t>
            </w:r>
          </w:p>
        </w:tc>
      </w:tr>
      <w:tr w:rsidR="0030032A" w:rsidRPr="0030032A" w14:paraId="00E5AE22" w14:textId="77777777" w:rsidTr="00E9077D">
        <w:tc>
          <w:tcPr>
            <w:tcW w:w="2405" w:type="dxa"/>
          </w:tcPr>
          <w:p w14:paraId="45AF6BA1" w14:textId="77777777" w:rsidR="0030032A" w:rsidRPr="0030032A" w:rsidRDefault="0030032A" w:rsidP="00E9077D">
            <w:pPr>
              <w:rPr>
                <w:rFonts w:cs="Times New Roman"/>
                <w:szCs w:val="24"/>
              </w:rPr>
            </w:pPr>
            <w:r w:rsidRPr="0030032A">
              <w:rPr>
                <w:rFonts w:cs="Times New Roman"/>
                <w:szCs w:val="24"/>
              </w:rPr>
              <w:t>π-stacking</w:t>
            </w:r>
          </w:p>
        </w:tc>
        <w:tc>
          <w:tcPr>
            <w:tcW w:w="6611" w:type="dxa"/>
          </w:tcPr>
          <w:p w14:paraId="75C0CF82" w14:textId="77777777" w:rsidR="0030032A" w:rsidRPr="0030032A" w:rsidRDefault="0030032A" w:rsidP="00E9077D">
            <w:pPr>
              <w:rPr>
                <w:rFonts w:cs="Times New Roman"/>
                <w:szCs w:val="24"/>
              </w:rPr>
            </w:pPr>
            <w:r w:rsidRPr="0030032A">
              <w:rPr>
                <w:rFonts w:cs="Times New Roman"/>
                <w:szCs w:val="24"/>
              </w:rPr>
              <w:t>Distance between two aromatic ring centroids ≤ 6 Å</w:t>
            </w:r>
          </w:p>
        </w:tc>
      </w:tr>
      <w:tr w:rsidR="0030032A" w:rsidRPr="0030032A" w14:paraId="18AEC854" w14:textId="77777777" w:rsidTr="00E9077D">
        <w:tc>
          <w:tcPr>
            <w:tcW w:w="2405" w:type="dxa"/>
          </w:tcPr>
          <w:p w14:paraId="0656043B" w14:textId="77777777" w:rsidR="0030032A" w:rsidRPr="0030032A" w:rsidRDefault="0030032A" w:rsidP="00E9077D">
            <w:pPr>
              <w:rPr>
                <w:rFonts w:cs="Times New Roman"/>
                <w:szCs w:val="24"/>
              </w:rPr>
            </w:pPr>
            <w:r w:rsidRPr="0030032A">
              <w:rPr>
                <w:rFonts w:cs="Times New Roman"/>
                <w:szCs w:val="24"/>
              </w:rPr>
              <w:t>General hydrophobic contacts</w:t>
            </w:r>
          </w:p>
        </w:tc>
        <w:tc>
          <w:tcPr>
            <w:tcW w:w="6611" w:type="dxa"/>
          </w:tcPr>
          <w:p w14:paraId="2CECEF8D" w14:textId="77777777" w:rsidR="0030032A" w:rsidRPr="0030032A" w:rsidRDefault="0030032A" w:rsidP="00E9077D">
            <w:pPr>
              <w:rPr>
                <w:rFonts w:cs="Times New Roman"/>
                <w:szCs w:val="24"/>
              </w:rPr>
            </w:pPr>
            <w:r w:rsidRPr="0030032A">
              <w:rPr>
                <w:rFonts w:cs="Times New Roman"/>
                <w:szCs w:val="24"/>
              </w:rPr>
              <w:t>Distance between two hydrophobic atoms ≤ 4.5 Å</w:t>
            </w:r>
          </w:p>
        </w:tc>
      </w:tr>
    </w:tbl>
    <w:p w14:paraId="1700B00E" w14:textId="33206A3C" w:rsidR="000736F9" w:rsidRPr="000736F9" w:rsidRDefault="000736F9" w:rsidP="000736F9">
      <w:pPr>
        <w:pStyle w:val="Caption"/>
        <w:rPr>
          <w:i/>
          <w:iCs/>
        </w:rPr>
      </w:pPr>
      <w:bookmarkStart w:id="14" w:name="_Ref54963325"/>
      <w:r w:rsidRPr="000736F9">
        <w:t xml:space="preserve">Table </w:t>
      </w:r>
      <w:fldSimple w:instr=" SEQ Table \* ARABIC ">
        <w:r>
          <w:rPr>
            <w:noProof/>
          </w:rPr>
          <w:t>3</w:t>
        </w:r>
      </w:fldSimple>
      <w:bookmarkEnd w:id="14"/>
      <w:r w:rsidRPr="000736F9">
        <w:t>.  Comparison of PCA clusters and DASH conformations for each CDR from the dataset.  Percentages are rounded to one decimal place.</w:t>
      </w:r>
    </w:p>
    <w:tbl>
      <w:tblPr>
        <w:tblStyle w:val="TableGrid"/>
        <w:tblW w:w="5000" w:type="pct"/>
        <w:tblLook w:val="04A0" w:firstRow="1" w:lastRow="0" w:firstColumn="1" w:lastColumn="0" w:noHBand="0" w:noVBand="1"/>
        <w:tblCaption w:val=""/>
        <w:tblDescription w:val=""/>
      </w:tblPr>
      <w:tblGrid>
        <w:gridCol w:w="2977"/>
        <w:gridCol w:w="2264"/>
        <w:gridCol w:w="2264"/>
        <w:gridCol w:w="2262"/>
      </w:tblGrid>
      <w:tr w:rsidR="000736F9" w:rsidRPr="000736F9" w14:paraId="2063A1BB" w14:textId="77777777" w:rsidTr="00E9077D">
        <w:trPr>
          <w:trHeight w:val="320"/>
        </w:trPr>
        <w:tc>
          <w:tcPr>
            <w:tcW w:w="1524" w:type="pct"/>
            <w:vMerge w:val="restart"/>
            <w:noWrap/>
            <w:vAlign w:val="center"/>
          </w:tcPr>
          <w:p w14:paraId="106ECFE5" w14:textId="77777777" w:rsidR="000736F9" w:rsidRPr="000736F9" w:rsidRDefault="000736F9" w:rsidP="00E9077D">
            <w:pPr>
              <w:jc w:val="center"/>
              <w:rPr>
                <w:rFonts w:eastAsia="Times New Roman" w:cs="Times New Roman"/>
                <w:color w:val="000000"/>
                <w:szCs w:val="24"/>
                <w:lang w:eastAsia="en-GB"/>
              </w:rPr>
            </w:pPr>
            <w:r w:rsidRPr="000736F9">
              <w:rPr>
                <w:rFonts w:eastAsia="Times New Roman" w:cs="Times New Roman"/>
                <w:color w:val="000000"/>
                <w:szCs w:val="24"/>
                <w:lang w:eastAsia="en-GB"/>
              </w:rPr>
              <w:t>Method</w:t>
            </w:r>
          </w:p>
        </w:tc>
        <w:tc>
          <w:tcPr>
            <w:tcW w:w="3476" w:type="pct"/>
            <w:gridSpan w:val="3"/>
            <w:noWrap/>
            <w:vAlign w:val="center"/>
          </w:tcPr>
          <w:p w14:paraId="062A509F" w14:textId="77777777" w:rsidR="000736F9" w:rsidRPr="000736F9" w:rsidRDefault="000736F9" w:rsidP="00E9077D">
            <w:pPr>
              <w:jc w:val="center"/>
              <w:rPr>
                <w:rFonts w:eastAsia="Times New Roman" w:cs="Times New Roman"/>
                <w:color w:val="000000"/>
                <w:szCs w:val="24"/>
                <w:lang w:eastAsia="en-GB"/>
              </w:rPr>
            </w:pPr>
            <w:r w:rsidRPr="000736F9">
              <w:rPr>
                <w:rFonts w:eastAsia="Times New Roman" w:cs="Times New Roman"/>
                <w:color w:val="000000"/>
                <w:szCs w:val="24"/>
                <w:lang w:eastAsia="en-GB"/>
              </w:rPr>
              <w:t>% of CDRs</w:t>
            </w:r>
          </w:p>
        </w:tc>
      </w:tr>
      <w:tr w:rsidR="000736F9" w:rsidRPr="000736F9" w14:paraId="5D025B61" w14:textId="77777777" w:rsidTr="00E9077D">
        <w:trPr>
          <w:trHeight w:val="320"/>
        </w:trPr>
        <w:tc>
          <w:tcPr>
            <w:tcW w:w="1524" w:type="pct"/>
            <w:vMerge/>
            <w:noWrap/>
            <w:vAlign w:val="center"/>
            <w:hideMark/>
          </w:tcPr>
          <w:p w14:paraId="29403EBA" w14:textId="77777777" w:rsidR="000736F9" w:rsidRPr="000736F9" w:rsidRDefault="000736F9" w:rsidP="00E9077D">
            <w:pPr>
              <w:jc w:val="center"/>
              <w:rPr>
                <w:rFonts w:eastAsia="Times New Roman" w:cs="Times New Roman"/>
                <w:color w:val="000000"/>
                <w:szCs w:val="24"/>
                <w:lang w:eastAsia="en-GB"/>
              </w:rPr>
            </w:pPr>
          </w:p>
        </w:tc>
        <w:tc>
          <w:tcPr>
            <w:tcW w:w="1159" w:type="pct"/>
            <w:noWrap/>
            <w:vAlign w:val="center"/>
            <w:hideMark/>
          </w:tcPr>
          <w:p w14:paraId="20B33D77" w14:textId="77777777" w:rsidR="000736F9" w:rsidRPr="000736F9" w:rsidRDefault="000736F9" w:rsidP="00E9077D">
            <w:pPr>
              <w:jc w:val="center"/>
              <w:rPr>
                <w:rFonts w:eastAsia="Times New Roman" w:cs="Times New Roman"/>
                <w:color w:val="000000"/>
                <w:szCs w:val="24"/>
                <w:lang w:eastAsia="en-GB"/>
              </w:rPr>
            </w:pPr>
            <w:r w:rsidRPr="000736F9">
              <w:rPr>
                <w:rFonts w:eastAsia="Times New Roman" w:cs="Times New Roman"/>
                <w:color w:val="000000"/>
                <w:szCs w:val="24"/>
                <w:lang w:eastAsia="en-GB"/>
              </w:rPr>
              <w:t>More apo sampling</w:t>
            </w:r>
          </w:p>
        </w:tc>
        <w:tc>
          <w:tcPr>
            <w:tcW w:w="1159" w:type="pct"/>
            <w:noWrap/>
            <w:vAlign w:val="center"/>
            <w:hideMark/>
          </w:tcPr>
          <w:p w14:paraId="1749B42F" w14:textId="77777777" w:rsidR="000736F9" w:rsidRPr="000736F9" w:rsidRDefault="000736F9" w:rsidP="00E9077D">
            <w:pPr>
              <w:jc w:val="center"/>
              <w:rPr>
                <w:rFonts w:eastAsia="Times New Roman" w:cs="Times New Roman"/>
                <w:color w:val="000000"/>
                <w:szCs w:val="24"/>
                <w:lang w:eastAsia="en-GB"/>
              </w:rPr>
            </w:pPr>
            <w:r w:rsidRPr="000736F9">
              <w:rPr>
                <w:rFonts w:eastAsia="Times New Roman" w:cs="Times New Roman"/>
                <w:color w:val="000000"/>
                <w:szCs w:val="24"/>
                <w:lang w:eastAsia="en-GB"/>
              </w:rPr>
              <w:t>Equal sampling</w:t>
            </w:r>
          </w:p>
        </w:tc>
        <w:tc>
          <w:tcPr>
            <w:tcW w:w="1159" w:type="pct"/>
            <w:noWrap/>
            <w:vAlign w:val="center"/>
            <w:hideMark/>
          </w:tcPr>
          <w:p w14:paraId="01921A2A" w14:textId="77777777" w:rsidR="000736F9" w:rsidRPr="000736F9" w:rsidRDefault="000736F9" w:rsidP="00E9077D">
            <w:pPr>
              <w:jc w:val="center"/>
              <w:rPr>
                <w:rFonts w:eastAsia="Times New Roman" w:cs="Times New Roman"/>
                <w:color w:val="000000"/>
                <w:szCs w:val="24"/>
                <w:lang w:eastAsia="en-GB"/>
              </w:rPr>
            </w:pPr>
            <w:r w:rsidRPr="000736F9">
              <w:rPr>
                <w:rFonts w:eastAsia="Times New Roman" w:cs="Times New Roman"/>
                <w:color w:val="000000"/>
                <w:szCs w:val="24"/>
                <w:lang w:eastAsia="en-GB"/>
              </w:rPr>
              <w:t>More holo sampling</w:t>
            </w:r>
          </w:p>
        </w:tc>
      </w:tr>
      <w:tr w:rsidR="000736F9" w:rsidRPr="000736F9" w14:paraId="7DF3D5BC" w14:textId="77777777" w:rsidTr="00E9077D">
        <w:trPr>
          <w:trHeight w:val="320"/>
        </w:trPr>
        <w:tc>
          <w:tcPr>
            <w:tcW w:w="1524" w:type="pct"/>
            <w:noWrap/>
            <w:hideMark/>
          </w:tcPr>
          <w:p w14:paraId="3E7872D4" w14:textId="77777777" w:rsidR="000736F9" w:rsidRPr="000736F9" w:rsidRDefault="000736F9" w:rsidP="00E9077D">
            <w:pPr>
              <w:rPr>
                <w:rFonts w:eastAsia="Times New Roman" w:cs="Times New Roman"/>
                <w:color w:val="000000"/>
                <w:szCs w:val="24"/>
                <w:lang w:eastAsia="en-GB"/>
              </w:rPr>
            </w:pPr>
            <w:r w:rsidRPr="000736F9">
              <w:rPr>
                <w:rFonts w:eastAsia="Times New Roman" w:cs="Times New Roman"/>
                <w:color w:val="000000"/>
                <w:szCs w:val="24"/>
                <w:lang w:eastAsia="en-GB"/>
              </w:rPr>
              <w:t>PCA (Cartesian analysis)</w:t>
            </w:r>
          </w:p>
        </w:tc>
        <w:tc>
          <w:tcPr>
            <w:tcW w:w="1159" w:type="pct"/>
            <w:noWrap/>
            <w:vAlign w:val="center"/>
          </w:tcPr>
          <w:p w14:paraId="2DDA051C" w14:textId="77777777" w:rsidR="000736F9" w:rsidRPr="000736F9" w:rsidRDefault="000736F9" w:rsidP="00E9077D">
            <w:pPr>
              <w:rPr>
                <w:rFonts w:eastAsia="Times New Roman" w:cs="Times New Roman"/>
                <w:color w:val="000000"/>
                <w:szCs w:val="24"/>
                <w:lang w:eastAsia="en-GB"/>
              </w:rPr>
            </w:pPr>
            <w:r w:rsidRPr="000736F9">
              <w:rPr>
                <w:rFonts w:eastAsia="Times New Roman" w:cs="Times New Roman"/>
                <w:color w:val="000000"/>
                <w:szCs w:val="24"/>
                <w:lang w:eastAsia="en-GB"/>
              </w:rPr>
              <w:t>38.9</w:t>
            </w:r>
          </w:p>
        </w:tc>
        <w:tc>
          <w:tcPr>
            <w:tcW w:w="1159" w:type="pct"/>
            <w:noWrap/>
            <w:vAlign w:val="center"/>
          </w:tcPr>
          <w:p w14:paraId="2002D1B3" w14:textId="77777777" w:rsidR="000736F9" w:rsidRPr="000736F9" w:rsidRDefault="000736F9" w:rsidP="00E9077D">
            <w:pPr>
              <w:rPr>
                <w:rFonts w:eastAsia="Times New Roman" w:cs="Times New Roman"/>
                <w:color w:val="000000"/>
                <w:szCs w:val="24"/>
                <w:lang w:eastAsia="en-GB"/>
              </w:rPr>
            </w:pPr>
            <w:r w:rsidRPr="000736F9">
              <w:rPr>
                <w:rFonts w:eastAsia="Times New Roman" w:cs="Times New Roman"/>
                <w:color w:val="000000"/>
                <w:szCs w:val="24"/>
                <w:lang w:eastAsia="en-GB"/>
              </w:rPr>
              <w:t>57.4</w:t>
            </w:r>
          </w:p>
        </w:tc>
        <w:tc>
          <w:tcPr>
            <w:tcW w:w="1159" w:type="pct"/>
            <w:noWrap/>
            <w:vAlign w:val="center"/>
          </w:tcPr>
          <w:p w14:paraId="2733814B" w14:textId="77777777" w:rsidR="000736F9" w:rsidRPr="000736F9" w:rsidRDefault="000736F9" w:rsidP="00E9077D">
            <w:pPr>
              <w:rPr>
                <w:rFonts w:eastAsia="Times New Roman" w:cs="Times New Roman"/>
                <w:color w:val="000000"/>
                <w:szCs w:val="24"/>
                <w:lang w:eastAsia="en-GB"/>
              </w:rPr>
            </w:pPr>
            <w:r w:rsidRPr="000736F9">
              <w:rPr>
                <w:rFonts w:eastAsia="Times New Roman" w:cs="Times New Roman"/>
                <w:color w:val="000000"/>
                <w:szCs w:val="24"/>
                <w:lang w:eastAsia="en-GB"/>
              </w:rPr>
              <w:t>3.7</w:t>
            </w:r>
          </w:p>
        </w:tc>
      </w:tr>
      <w:tr w:rsidR="000736F9" w:rsidRPr="000736F9" w14:paraId="15ED8C78" w14:textId="77777777" w:rsidTr="00E9077D">
        <w:trPr>
          <w:trHeight w:val="320"/>
        </w:trPr>
        <w:tc>
          <w:tcPr>
            <w:tcW w:w="1524" w:type="pct"/>
            <w:noWrap/>
            <w:hideMark/>
          </w:tcPr>
          <w:p w14:paraId="0E5B960B" w14:textId="77777777" w:rsidR="000736F9" w:rsidRPr="000736F9" w:rsidRDefault="000736F9" w:rsidP="00E9077D">
            <w:pPr>
              <w:rPr>
                <w:rFonts w:eastAsia="Times New Roman" w:cs="Times New Roman"/>
                <w:color w:val="000000"/>
                <w:szCs w:val="24"/>
                <w:lang w:eastAsia="en-GB"/>
              </w:rPr>
            </w:pPr>
            <w:r w:rsidRPr="000736F9">
              <w:rPr>
                <w:rFonts w:eastAsia="Times New Roman" w:cs="Times New Roman"/>
                <w:color w:val="000000"/>
                <w:szCs w:val="24"/>
                <w:lang w:eastAsia="en-GB"/>
              </w:rPr>
              <w:t>DASH (dihedral analysis)</w:t>
            </w:r>
          </w:p>
        </w:tc>
        <w:tc>
          <w:tcPr>
            <w:tcW w:w="1159" w:type="pct"/>
            <w:noWrap/>
          </w:tcPr>
          <w:p w14:paraId="6A97EA80" w14:textId="77777777" w:rsidR="000736F9" w:rsidRPr="000736F9" w:rsidRDefault="000736F9" w:rsidP="00E9077D">
            <w:pPr>
              <w:rPr>
                <w:rFonts w:eastAsia="Times New Roman" w:cs="Times New Roman"/>
                <w:color w:val="000000"/>
                <w:szCs w:val="24"/>
                <w:lang w:eastAsia="en-GB"/>
              </w:rPr>
            </w:pPr>
            <w:r w:rsidRPr="000736F9">
              <w:rPr>
                <w:rFonts w:eastAsia="Times New Roman" w:cs="Times New Roman"/>
                <w:color w:val="000000"/>
                <w:szCs w:val="24"/>
                <w:lang w:eastAsia="en-GB"/>
              </w:rPr>
              <w:t>22.2</w:t>
            </w:r>
          </w:p>
        </w:tc>
        <w:tc>
          <w:tcPr>
            <w:tcW w:w="1159" w:type="pct"/>
            <w:noWrap/>
          </w:tcPr>
          <w:p w14:paraId="610C2DC7" w14:textId="77777777" w:rsidR="000736F9" w:rsidRPr="000736F9" w:rsidRDefault="000736F9" w:rsidP="00E9077D">
            <w:pPr>
              <w:rPr>
                <w:rFonts w:eastAsia="Times New Roman" w:cs="Times New Roman"/>
                <w:color w:val="000000"/>
                <w:szCs w:val="24"/>
                <w:lang w:eastAsia="en-GB"/>
              </w:rPr>
            </w:pPr>
            <w:r w:rsidRPr="000736F9">
              <w:rPr>
                <w:rFonts w:eastAsia="Times New Roman" w:cs="Times New Roman"/>
                <w:color w:val="000000"/>
                <w:szCs w:val="24"/>
                <w:lang w:eastAsia="en-GB"/>
              </w:rPr>
              <w:t>75.9</w:t>
            </w:r>
          </w:p>
        </w:tc>
        <w:tc>
          <w:tcPr>
            <w:tcW w:w="1159" w:type="pct"/>
            <w:noWrap/>
          </w:tcPr>
          <w:p w14:paraId="2B45201C" w14:textId="77777777" w:rsidR="000736F9" w:rsidRPr="000736F9" w:rsidRDefault="000736F9" w:rsidP="00E9077D">
            <w:pPr>
              <w:rPr>
                <w:rFonts w:eastAsia="Times New Roman" w:cs="Times New Roman"/>
                <w:color w:val="000000"/>
                <w:szCs w:val="24"/>
                <w:lang w:eastAsia="en-GB"/>
              </w:rPr>
            </w:pPr>
            <w:r w:rsidRPr="000736F9">
              <w:rPr>
                <w:rFonts w:eastAsia="Times New Roman" w:cs="Times New Roman"/>
                <w:color w:val="000000"/>
                <w:szCs w:val="24"/>
                <w:lang w:eastAsia="en-GB"/>
              </w:rPr>
              <w:t>1.9</w:t>
            </w:r>
          </w:p>
        </w:tc>
      </w:tr>
    </w:tbl>
    <w:p w14:paraId="33DE3510" w14:textId="4B7429E2" w:rsidR="0088513A" w:rsidRPr="0030032A" w:rsidRDefault="0088513A" w:rsidP="008F406F">
      <w:pPr>
        <w:rPr>
          <w:rFonts w:cs="Times New Roman"/>
          <w:szCs w:val="24"/>
        </w:rPr>
      </w:pPr>
    </w:p>
    <w:sectPr w:rsidR="0088513A" w:rsidRPr="0030032A" w:rsidSect="00D537FA">
      <w:headerReference w:type="even" r:id="rId12"/>
      <w:headerReference w:type="default" r:id="rId13"/>
      <w:footerReference w:type="even" r:id="rId14"/>
      <w:footerReference w:type="default" r:id="rId15"/>
      <w:headerReference w:type="first" r:id="rId16"/>
      <w:pgSz w:w="12240" w:h="15840"/>
      <w:pgMar w:top="1138" w:right="1181" w:bottom="1138" w:left="1282" w:header="283" w:footer="51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00A77" w14:textId="77777777" w:rsidR="000A5B51" w:rsidRDefault="000A5B51" w:rsidP="00117666">
      <w:pPr>
        <w:spacing w:after="0"/>
      </w:pPr>
      <w:r>
        <w:separator/>
      </w:r>
    </w:p>
  </w:endnote>
  <w:endnote w:type="continuationSeparator" w:id="0">
    <w:p w14:paraId="64C39D4B" w14:textId="77777777" w:rsidR="000A5B51" w:rsidRDefault="000A5B51"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3D87" w14:textId="77777777" w:rsidR="0006463E" w:rsidRPr="00577C4C" w:rsidRDefault="0006463E">
    <w:pPr>
      <w:pStyle w:val="Footer"/>
      <w:rPr>
        <w:color w:val="C00000"/>
        <w:szCs w:val="24"/>
      </w:rPr>
    </w:pPr>
    <w:r w:rsidRPr="00577C4C">
      <w:rPr>
        <w:noProof/>
        <w:color w:val="C00000"/>
        <w:szCs w:val="24"/>
        <w:lang w:val="en-GB" w:eastAsia="en-GB"/>
      </w:rPr>
      <mc:AlternateContent>
        <mc:Choice Requires="wps">
          <w:drawing>
            <wp:anchor distT="0" distB="0" distL="114300" distR="114300" simplePos="0" relativeHeight="251683840" behindDoc="0" locked="0" layoutInCell="1" allowOverlap="1" wp14:anchorId="31D8D0F9" wp14:editId="65D5B02E">
              <wp:simplePos x="0" y="0"/>
              <wp:positionH relativeFrom="column">
                <wp:posOffset>-108280</wp:posOffset>
              </wp:positionH>
              <wp:positionV relativeFrom="paragraph">
                <wp:posOffset>-58420</wp:posOffset>
              </wp:positionV>
              <wp:extent cx="3672231" cy="1403985"/>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31" cy="1403985"/>
                      </a:xfrm>
                      <a:prstGeom prst="rect">
                        <a:avLst/>
                      </a:prstGeom>
                      <a:solidFill>
                        <a:srgbClr val="FFFFFF"/>
                      </a:solidFill>
                      <a:ln w="9525">
                        <a:noFill/>
                        <a:miter lim="800000"/>
                        <a:headEnd/>
                        <a:tailEnd/>
                      </a:ln>
                    </wps:spPr>
                    <wps:txbx>
                      <w:txbxContent>
                        <w:p w14:paraId="462EE841" w14:textId="77777777" w:rsidR="0006463E" w:rsidRPr="00E9561B" w:rsidRDefault="0006463E">
                          <w:pPr>
                            <w:rPr>
                              <w:color w:val="C00000"/>
                            </w:rPr>
                          </w:pPr>
                          <w:r w:rsidRPr="00E9561B">
                            <w:rPr>
                              <w:color w:val="C00000"/>
                            </w:rPr>
                            <w:t>This is a provisional file, not the final typeset article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D8D0F9" id="_x0000_t202" coordsize="21600,21600" o:spt="202" path="m,l,21600r21600,l21600,xe">
              <v:stroke joinstyle="miter"/>
              <v:path gradientshapeok="t" o:connecttype="rect"/>
            </v:shapetype>
            <v:shape id="Text Box 2" o:spid="_x0000_s1026" type="#_x0000_t202" style="position:absolute;margin-left:-8.55pt;margin-top:-4.6pt;width:289.1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" stroked="f">
              <v:textbox style="mso-fit-shape-to-text:t">
                <w:txbxContent>
                  <w:p w14:paraId="462EE841" w14:textId="77777777" w:rsidR="0006463E" w:rsidRPr="00E9561B" w:rsidRDefault="0006463E">
                    <w:pPr>
                      <w:rPr>
                        <w:color w:val="C00000"/>
                      </w:rPr>
                    </w:pPr>
                    <w:r w:rsidRPr="00E9561B">
                      <w:rPr>
                        <w:color w:val="C00000"/>
                      </w:rPr>
                      <w:t>This is a provisional file, not the final typeset article</w:t>
                    </w:r>
                  </w:p>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51D4B8BD" wp14:editId="68C0174E">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14951C5" w14:textId="77777777" w:rsidR="0006463E" w:rsidRPr="00577C4C" w:rsidRDefault="0006463E">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88513A">
                            <w:rPr>
                              <w:noProof/>
                              <w:color w:val="000000" w:themeColor="text1"/>
                              <w:sz w:val="22"/>
                              <w:szCs w:val="40"/>
                            </w:rPr>
                            <w:t>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1D4B8BD" id="Text Box 1" o:spid="_x0000_s1027" type="#_x0000_t202" style="position:absolute;margin-left:67.6pt;margin-top:0;width:118.8pt;height:31.1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MjG5lo1AgAAZgQAAA4AAAAAAAAAAAAAAAAALgIA&#10;AGRycy9lMm9Eb2MueG1sUEsBAi0AFAAGAAgAAAAhADiwEsPZAAAABAEAAA8AAAAAAAAAAAAAAAAA&#10;jwQAAGRycy9kb3ducmV2LnhtbFBLBQYAAAAABAAEAPMAAACVBQAAAAA=&#10;" filled="f" stroked="f" strokeweight=".5pt">
              <v:textbox style="mso-fit-shape-to-text:t">
                <w:txbxContent>
                  <w:p w14:paraId="214951C5" w14:textId="77777777" w:rsidR="0006463E" w:rsidRPr="00577C4C" w:rsidRDefault="0006463E">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88513A">
                      <w:rPr>
                        <w:noProof/>
                        <w:color w:val="000000" w:themeColor="text1"/>
                        <w:sz w:val="22"/>
                        <w:szCs w:val="40"/>
                      </w:rPr>
                      <w:t>4</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BFF2" w14:textId="77777777" w:rsidR="0006463E" w:rsidRPr="00577C4C" w:rsidRDefault="0006463E">
    <w:pPr>
      <w:pStyle w:val="Foote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2C4AF3B6" wp14:editId="527467E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4D070C5" w14:textId="77777777" w:rsidR="0006463E" w:rsidRPr="00577C4C" w:rsidRDefault="0006463E">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88513A">
                            <w:rPr>
                              <w:noProof/>
                              <w:color w:val="000000" w:themeColor="text1"/>
                              <w:sz w:val="22"/>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C4AF3B6" id="_x0000_t202" coordsize="21600,21600" o:spt="202" path="m,l,21600r21600,l21600,xe">
              <v:stroke joinstyle="miter"/>
              <v:path gradientshapeok="t" o:connecttype="rect"/>
            </v:shapetype>
            <v:shape id="Text Box 56" o:spid="_x0000_s1028"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" filled="f" stroked="f" strokeweight=".5pt">
              <v:textbox style="mso-fit-shape-to-text:t">
                <w:txbxContent>
                  <w:p w14:paraId="74D070C5" w14:textId="77777777" w:rsidR="0006463E" w:rsidRPr="00577C4C" w:rsidRDefault="0006463E">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88513A">
                      <w:rPr>
                        <w:noProof/>
                        <w:color w:val="000000" w:themeColor="text1"/>
                        <w:sz w:val="22"/>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83771" w14:textId="77777777" w:rsidR="000A5B51" w:rsidRDefault="000A5B51" w:rsidP="00117666">
      <w:pPr>
        <w:spacing w:after="0"/>
      </w:pPr>
      <w:r>
        <w:separator/>
      </w:r>
    </w:p>
  </w:footnote>
  <w:footnote w:type="continuationSeparator" w:id="0">
    <w:p w14:paraId="60455015" w14:textId="77777777" w:rsidR="000A5B51" w:rsidRDefault="000A5B51"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3A34" w14:textId="7FF7F5C4" w:rsidR="0006463E" w:rsidRPr="007E3148" w:rsidRDefault="0006463E" w:rsidP="002E3492">
    <w:pPr>
      <w:pStyle w:val="Header"/>
      <w:jc w:val="right"/>
    </w:pPr>
    <w:r w:rsidRPr="007E3148">
      <w:ptab w:relativeTo="margin" w:alignment="center" w:leader="none"/>
    </w:r>
    <w:r w:rsidR="002E28B0">
      <w:t xml:space="preserve">Increased Antibody </w:t>
    </w:r>
    <w:r w:rsidR="002E3492">
      <w:t>Interaction</w:t>
    </w:r>
    <w:r w:rsidR="002E28B0">
      <w:t>s Improve Binding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A4BC" w14:textId="08C77650" w:rsidR="0006463E" w:rsidRPr="00A53000" w:rsidRDefault="0006463E" w:rsidP="002E3492">
    <w:pPr>
      <w:pStyle w:val="Header"/>
      <w:jc w:val="right"/>
    </w:pPr>
    <w:r w:rsidRPr="007E3148">
      <w:ptab w:relativeTo="margin" w:alignment="center" w:leader="none"/>
    </w:r>
    <w:r w:rsidR="002E3492" w:rsidRPr="002E3492">
      <w:t xml:space="preserve"> </w:t>
    </w:r>
    <w:r w:rsidR="002E3492">
      <w:t>Increased Antibody Interactions Improve Binding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27F1" w14:textId="77777777" w:rsidR="0006463E" w:rsidRDefault="0006463E" w:rsidP="00A53000">
    <w:pPr>
      <w:pStyle w:val="Header"/>
    </w:pPr>
    <w:r w:rsidRPr="005A1D84">
      <w:rPr>
        <w:noProof/>
        <w:color w:val="A6A6A6" w:themeColor="background1" w:themeShade="A6"/>
        <w:lang w:val="en-GB" w:eastAsia="en-GB"/>
      </w:rPr>
      <w:drawing>
        <wp:inline distT="0" distB="0" distL="0" distR="0" wp14:anchorId="56C3F4FE" wp14:editId="369AA4D1">
          <wp:extent cx="1382534" cy="497091"/>
          <wp:effectExtent l="0" t="0" r="0" b="0"/>
          <wp:docPr id="6" name="Picture 6"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1"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5"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02A7CAC"/>
    <w:multiLevelType w:val="multilevel"/>
    <w:tmpl w:val="C6A8CCEA"/>
    <w:numStyleLink w:val="Headings"/>
  </w:abstractNum>
  <w:abstractNum w:abstractNumId="7"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BC6F29"/>
    <w:multiLevelType w:val="multilevel"/>
    <w:tmpl w:val="C6A8CCEA"/>
    <w:numStyleLink w:val="Headings"/>
  </w:abstractNum>
  <w:abstractNum w:abstractNumId="18"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15949984">
    <w:abstractNumId w:val="1"/>
  </w:num>
  <w:num w:numId="2" w16cid:durableId="2059283776">
    <w:abstractNumId w:val="14"/>
  </w:num>
  <w:num w:numId="3" w16cid:durableId="689264705">
    <w:abstractNumId w:val="2"/>
  </w:num>
  <w:num w:numId="4" w16cid:durableId="2027781855">
    <w:abstractNumId w:val="16"/>
  </w:num>
  <w:num w:numId="5" w16cid:durableId="15747769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549870">
    <w:abstractNumId w:val="11"/>
  </w:num>
  <w:num w:numId="7" w16cid:durableId="1043673046">
    <w:abstractNumId w:val="9"/>
  </w:num>
  <w:num w:numId="8" w16cid:durableId="1672559391">
    <w:abstractNumId w:val="7"/>
  </w:num>
  <w:num w:numId="9" w16cid:durableId="1202135906">
    <w:abstractNumId w:val="10"/>
  </w:num>
  <w:num w:numId="10" w16cid:durableId="1650790952">
    <w:abstractNumId w:val="8"/>
  </w:num>
  <w:num w:numId="11" w16cid:durableId="830296943">
    <w:abstractNumId w:val="3"/>
  </w:num>
  <w:num w:numId="12" w16cid:durableId="1470979395">
    <w:abstractNumId w:val="18"/>
  </w:num>
  <w:num w:numId="13" w16cid:durableId="985009438">
    <w:abstractNumId w:val="13"/>
  </w:num>
  <w:num w:numId="14" w16cid:durableId="155341897">
    <w:abstractNumId w:val="5"/>
  </w:num>
  <w:num w:numId="15" w16cid:durableId="1535339529">
    <w:abstractNumId w:val="12"/>
  </w:num>
  <w:num w:numId="16" w16cid:durableId="1580213447">
    <w:abstractNumId w:val="15"/>
  </w:num>
  <w:num w:numId="17" w16cid:durableId="1299188443">
    <w:abstractNumId w:val="4"/>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18" w16cid:durableId="12993834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52144351">
    <w:abstractNumId w:val="6"/>
  </w:num>
  <w:num w:numId="20" w16cid:durableId="1079640145">
    <w:abstractNumId w:val="17"/>
  </w:num>
  <w:num w:numId="21" w16cid:durableId="524950899">
    <w:abstractNumId w:val="4"/>
  </w:num>
  <w:num w:numId="22" w16cid:durableId="1917668850">
    <w:abstractNumId w:val="4"/>
    <w:lvlOverride w:ilvl="0">
      <w:startOverride w:val="1"/>
      <w:lvl w:ilvl="0">
        <w:start w:val="1"/>
        <w:numFmt w:val="decimal"/>
        <w:pStyle w:val="Heading1"/>
        <w:lvlText w:val="%1"/>
        <w:lvlJc w:val="left"/>
        <w:pPr>
          <w:tabs>
            <w:tab w:val="num" w:pos="567"/>
          </w:tabs>
          <w:ind w:left="567" w:hanging="567"/>
        </w:pPr>
      </w:lvl>
    </w:lvlOverride>
    <w:lvlOverride w:ilvl="1">
      <w:startOverride w:val="1"/>
      <w:lvl w:ilvl="1">
        <w:start w:val="1"/>
        <w:numFmt w:val="decimal"/>
        <w:pStyle w:val="Heading2"/>
        <w:lvlText w:val="%1.%2"/>
        <w:lvlJc w:val="left"/>
        <w:pPr>
          <w:tabs>
            <w:tab w:val="num" w:pos="567"/>
          </w:tabs>
          <w:ind w:left="567" w:hanging="567"/>
        </w:pPr>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16cid:durableId="95368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821"/>
    <w:rsid w:val="000049E3"/>
    <w:rsid w:val="00034304"/>
    <w:rsid w:val="00035434"/>
    <w:rsid w:val="00042E65"/>
    <w:rsid w:val="00045678"/>
    <w:rsid w:val="000458C0"/>
    <w:rsid w:val="000458E4"/>
    <w:rsid w:val="00063D84"/>
    <w:rsid w:val="0006463E"/>
    <w:rsid w:val="0006636D"/>
    <w:rsid w:val="000736F9"/>
    <w:rsid w:val="00077D53"/>
    <w:rsid w:val="00081394"/>
    <w:rsid w:val="000A5B51"/>
    <w:rsid w:val="000B34BD"/>
    <w:rsid w:val="000C7E2A"/>
    <w:rsid w:val="000E6417"/>
    <w:rsid w:val="000F4CFB"/>
    <w:rsid w:val="00117666"/>
    <w:rsid w:val="001223A7"/>
    <w:rsid w:val="00134256"/>
    <w:rsid w:val="00136B62"/>
    <w:rsid w:val="00147395"/>
    <w:rsid w:val="001552C9"/>
    <w:rsid w:val="00177D84"/>
    <w:rsid w:val="001964EF"/>
    <w:rsid w:val="001B1A2C"/>
    <w:rsid w:val="001D5C23"/>
    <w:rsid w:val="001F4C07"/>
    <w:rsid w:val="00213CDB"/>
    <w:rsid w:val="00220AEA"/>
    <w:rsid w:val="00226954"/>
    <w:rsid w:val="002429C0"/>
    <w:rsid w:val="00245F78"/>
    <w:rsid w:val="002629A3"/>
    <w:rsid w:val="00265660"/>
    <w:rsid w:val="00267D18"/>
    <w:rsid w:val="002706C8"/>
    <w:rsid w:val="002868E2"/>
    <w:rsid w:val="002869C3"/>
    <w:rsid w:val="002936E4"/>
    <w:rsid w:val="00296B88"/>
    <w:rsid w:val="002C74CA"/>
    <w:rsid w:val="002E28B0"/>
    <w:rsid w:val="002E3492"/>
    <w:rsid w:val="002F744D"/>
    <w:rsid w:val="0030032A"/>
    <w:rsid w:val="00303DE6"/>
    <w:rsid w:val="00310124"/>
    <w:rsid w:val="00336C51"/>
    <w:rsid w:val="003544FB"/>
    <w:rsid w:val="00365D63"/>
    <w:rsid w:val="0036793B"/>
    <w:rsid w:val="00372682"/>
    <w:rsid w:val="00376CC5"/>
    <w:rsid w:val="0039693B"/>
    <w:rsid w:val="003B62E2"/>
    <w:rsid w:val="003D2F2D"/>
    <w:rsid w:val="003D66C4"/>
    <w:rsid w:val="00401590"/>
    <w:rsid w:val="00422C94"/>
    <w:rsid w:val="0045137B"/>
    <w:rsid w:val="00463E3D"/>
    <w:rsid w:val="004645AE"/>
    <w:rsid w:val="00477A6B"/>
    <w:rsid w:val="004C530C"/>
    <w:rsid w:val="004D3E33"/>
    <w:rsid w:val="005232AA"/>
    <w:rsid w:val="005250F2"/>
    <w:rsid w:val="00526C2C"/>
    <w:rsid w:val="005664DD"/>
    <w:rsid w:val="005A1B84"/>
    <w:rsid w:val="005A1D84"/>
    <w:rsid w:val="005A70EA"/>
    <w:rsid w:val="005C3963"/>
    <w:rsid w:val="005D1840"/>
    <w:rsid w:val="005D35E4"/>
    <w:rsid w:val="005D5A34"/>
    <w:rsid w:val="005D7910"/>
    <w:rsid w:val="006159D7"/>
    <w:rsid w:val="006177C0"/>
    <w:rsid w:val="0062154F"/>
    <w:rsid w:val="0062719F"/>
    <w:rsid w:val="00631A8C"/>
    <w:rsid w:val="00651CA2"/>
    <w:rsid w:val="00653D60"/>
    <w:rsid w:val="00660D05"/>
    <w:rsid w:val="00662F6B"/>
    <w:rsid w:val="00671D9A"/>
    <w:rsid w:val="00673952"/>
    <w:rsid w:val="00681821"/>
    <w:rsid w:val="00686C9D"/>
    <w:rsid w:val="006A734C"/>
    <w:rsid w:val="006B1CCA"/>
    <w:rsid w:val="006B2D5B"/>
    <w:rsid w:val="006B7D14"/>
    <w:rsid w:val="006D5B93"/>
    <w:rsid w:val="007134C1"/>
    <w:rsid w:val="00725A7D"/>
    <w:rsid w:val="007301D8"/>
    <w:rsid w:val="0073085C"/>
    <w:rsid w:val="00733784"/>
    <w:rsid w:val="007413BF"/>
    <w:rsid w:val="00746505"/>
    <w:rsid w:val="00783BE0"/>
    <w:rsid w:val="00790BB3"/>
    <w:rsid w:val="00792043"/>
    <w:rsid w:val="00797EDD"/>
    <w:rsid w:val="007A3F3F"/>
    <w:rsid w:val="007B0322"/>
    <w:rsid w:val="007B467D"/>
    <w:rsid w:val="007C0E3F"/>
    <w:rsid w:val="007C206C"/>
    <w:rsid w:val="007C5729"/>
    <w:rsid w:val="007D200A"/>
    <w:rsid w:val="008111E4"/>
    <w:rsid w:val="0081301C"/>
    <w:rsid w:val="00817DD6"/>
    <w:rsid w:val="008629A9"/>
    <w:rsid w:val="00877B54"/>
    <w:rsid w:val="00884ADE"/>
    <w:rsid w:val="0088513A"/>
    <w:rsid w:val="00893C19"/>
    <w:rsid w:val="008C37BB"/>
    <w:rsid w:val="008D6C8D"/>
    <w:rsid w:val="008E2B54"/>
    <w:rsid w:val="008E4404"/>
    <w:rsid w:val="008E58C7"/>
    <w:rsid w:val="008F406F"/>
    <w:rsid w:val="008F5021"/>
    <w:rsid w:val="00943573"/>
    <w:rsid w:val="009510A8"/>
    <w:rsid w:val="00971B61"/>
    <w:rsid w:val="00980C31"/>
    <w:rsid w:val="009955FF"/>
    <w:rsid w:val="009D259D"/>
    <w:rsid w:val="00A50D9D"/>
    <w:rsid w:val="00A53000"/>
    <w:rsid w:val="00A545C6"/>
    <w:rsid w:val="00A652D0"/>
    <w:rsid w:val="00A70F52"/>
    <w:rsid w:val="00A75F87"/>
    <w:rsid w:val="00A76D46"/>
    <w:rsid w:val="00A91E33"/>
    <w:rsid w:val="00A95D8B"/>
    <w:rsid w:val="00AA1442"/>
    <w:rsid w:val="00AB2CEA"/>
    <w:rsid w:val="00AC0270"/>
    <w:rsid w:val="00AC3EA3"/>
    <w:rsid w:val="00AC792D"/>
    <w:rsid w:val="00B657B8"/>
    <w:rsid w:val="00B67E19"/>
    <w:rsid w:val="00B84920"/>
    <w:rsid w:val="00B8556A"/>
    <w:rsid w:val="00C012A3"/>
    <w:rsid w:val="00C16F19"/>
    <w:rsid w:val="00C252A4"/>
    <w:rsid w:val="00C25845"/>
    <w:rsid w:val="00C5139A"/>
    <w:rsid w:val="00C52A7B"/>
    <w:rsid w:val="00C6324C"/>
    <w:rsid w:val="00C679AA"/>
    <w:rsid w:val="00C724CF"/>
    <w:rsid w:val="00C75972"/>
    <w:rsid w:val="00C82792"/>
    <w:rsid w:val="00C8291A"/>
    <w:rsid w:val="00C948FD"/>
    <w:rsid w:val="00CB43D5"/>
    <w:rsid w:val="00CB57A5"/>
    <w:rsid w:val="00CC76F9"/>
    <w:rsid w:val="00CD066B"/>
    <w:rsid w:val="00CD46E2"/>
    <w:rsid w:val="00D00D0B"/>
    <w:rsid w:val="00D04B69"/>
    <w:rsid w:val="00D537FA"/>
    <w:rsid w:val="00D538FF"/>
    <w:rsid w:val="00D5547D"/>
    <w:rsid w:val="00D80D99"/>
    <w:rsid w:val="00D9503C"/>
    <w:rsid w:val="00DA0DF1"/>
    <w:rsid w:val="00DD73EF"/>
    <w:rsid w:val="00DE23E8"/>
    <w:rsid w:val="00E0128B"/>
    <w:rsid w:val="00E23E0D"/>
    <w:rsid w:val="00E3129A"/>
    <w:rsid w:val="00E64E17"/>
    <w:rsid w:val="00E85AEA"/>
    <w:rsid w:val="00E90651"/>
    <w:rsid w:val="00E9077D"/>
    <w:rsid w:val="00EA3D3C"/>
    <w:rsid w:val="00EC1B9C"/>
    <w:rsid w:val="00EC7CC3"/>
    <w:rsid w:val="00EE7452"/>
    <w:rsid w:val="00F0058A"/>
    <w:rsid w:val="00F46494"/>
    <w:rsid w:val="00F558AB"/>
    <w:rsid w:val="00F60314"/>
    <w:rsid w:val="00F61D89"/>
    <w:rsid w:val="00F861A2"/>
    <w:rsid w:val="00F86ABB"/>
    <w:rsid w:val="00FB242E"/>
    <w:rsid w:val="00FC7EE8"/>
    <w:rsid w:val="00FD7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A59A7"/>
  <w15:docId w15:val="{B98209AD-3451-4824-82E1-1DFAFFB1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D99"/>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D80D99"/>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D80D99"/>
    <w:pPr>
      <w:numPr>
        <w:ilvl w:val="1"/>
      </w:numPr>
      <w:spacing w:after="200"/>
      <w:outlineLvl w:val="1"/>
    </w:pPr>
  </w:style>
  <w:style w:type="paragraph" w:styleId="Heading3">
    <w:name w:val="heading 3"/>
    <w:basedOn w:val="Normal"/>
    <w:next w:val="Normal"/>
    <w:link w:val="Heading3Char"/>
    <w:uiPriority w:val="2"/>
    <w:qFormat/>
    <w:rsid w:val="00D80D99"/>
    <w:pPr>
      <w:keepNext/>
      <w:keepLines/>
      <w:numPr>
        <w:ilvl w:val="2"/>
        <w:numId w:val="17"/>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3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unhideWhenUsed/>
    <w:rsid w:val="00725A7D"/>
    <w:rPr>
      <w:sz w:val="20"/>
      <w:szCs w:val="20"/>
    </w:rPr>
  </w:style>
  <w:style w:type="character" w:customStyle="1" w:styleId="CommentTextChar">
    <w:name w:val="Comment Text Char"/>
    <w:basedOn w:val="DefaultParagraphFont"/>
    <w:link w:val="CommentText"/>
    <w:uiPriority w:val="99"/>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paragraph" w:styleId="Bibliography">
    <w:name w:val="Bibliography"/>
    <w:basedOn w:val="Normal"/>
    <w:next w:val="Normal"/>
    <w:uiPriority w:val="37"/>
    <w:unhideWhenUsed/>
    <w:rsid w:val="00E90651"/>
    <w:pPr>
      <w:tabs>
        <w:tab w:val="left" w:pos="504"/>
      </w:tabs>
      <w:ind w:left="504" w:hanging="504"/>
    </w:pPr>
  </w:style>
  <w:style w:type="character" w:customStyle="1" w:styleId="nc">
    <w:name w:val="nc"/>
    <w:basedOn w:val="DefaultParagraphFont"/>
    <w:rsid w:val="0030032A"/>
  </w:style>
  <w:style w:type="paragraph" w:styleId="ListNumber2">
    <w:name w:val="List Number 2"/>
    <w:basedOn w:val="Normal"/>
    <w:semiHidden/>
    <w:rsid w:val="0030032A"/>
    <w:pPr>
      <w:numPr>
        <w:numId w:val="23"/>
      </w:numPr>
      <w:spacing w:before="0" w:after="0"/>
      <w:contextualSpacing/>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368335732">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w.essex@soton.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Frontier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9F4F3B60ED1C439B9FF0E0F23AACE4" ma:contentTypeVersion="4" ma:contentTypeDescription="Create a new document." ma:contentTypeScope="" ma:versionID="e270486ccaca1dc6a14db1bf9a8313e0">
  <xsd:schema xmlns:xsd="http://www.w3.org/2001/XMLSchema" xmlns:xs="http://www.w3.org/2001/XMLSchema" xmlns:p="http://schemas.microsoft.com/office/2006/metadata/properties" xmlns:ns3="ce115dfe-6a9b-4fa6-aa90-766792512324" targetNamespace="http://schemas.microsoft.com/office/2006/metadata/properties" ma:root="true" ma:fieldsID="0ad5b8c401e6042ec5204f4cca0d7956" ns3:_="">
    <xsd:import namespace="ce115dfe-6a9b-4fa6-aa90-7667925123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15dfe-6a9b-4fa6-aa90-766792512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8B29C5-C39B-41C8-9567-444369AD2B7B}">
  <ds:schemaRefs>
    <ds:schemaRef ds:uri="http://schemas.openxmlformats.org/officeDocument/2006/bibliography"/>
  </ds:schemaRefs>
</ds:datastoreItem>
</file>

<file path=customXml/itemProps2.xml><?xml version="1.0" encoding="utf-8"?>
<ds:datastoreItem xmlns:ds="http://schemas.openxmlformats.org/officeDocument/2006/customXml" ds:itemID="{C7080EF9-981E-4E7F-9F17-42402FBE99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57C4E5-3CB9-4BC9-9C1D-C6E37E9D26B1}">
  <ds:schemaRefs>
    <ds:schemaRef ds:uri="http://schemas.microsoft.com/sharepoint/v3/contenttype/forms"/>
  </ds:schemaRefs>
</ds:datastoreItem>
</file>

<file path=customXml/itemProps4.xml><?xml version="1.0" encoding="utf-8"?>
<ds:datastoreItem xmlns:ds="http://schemas.openxmlformats.org/officeDocument/2006/customXml" ds:itemID="{5BBC7E7C-C9FB-49F4-AE94-1F46DB8E0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15dfe-6a9b-4fa6-aa90-766792512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Frontiers_template.dotx</Template>
  <TotalTime>11</TotalTime>
  <Pages>21</Pages>
  <Words>36551</Words>
  <Characters>208341</Characters>
  <Application>Microsoft Office Word</Application>
  <DocSecurity>0</DocSecurity>
  <Lines>1736</Lines>
  <Paragraphs>488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Mabel Wong</dc:creator>
  <cp:keywords/>
  <dc:description/>
  <cp:lastModifiedBy>Janice Sumner</cp:lastModifiedBy>
  <cp:revision>2</cp:revision>
  <cp:lastPrinted>2013-10-03T12:51:00Z</cp:lastPrinted>
  <dcterms:created xsi:type="dcterms:W3CDTF">2022-11-11T12:15:00Z</dcterms:created>
  <dcterms:modified xsi:type="dcterms:W3CDTF">2022-11-11T12:15:00Z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id="4xYyYIWT"/&gt;&lt;style id="http://www.zotero.org/styles/vancouver" locale="en-US" hasBibliography="1" bibliographyStyleHasBeenSet="1"/&gt;&lt;prefs&gt;&lt;pref name="fieldType" value="Field"/&gt;&lt;/prefs&gt;&lt;/data&gt;</vt:lpwstr>
  </property>
  <property fmtid="{D5CDD505-2E9C-101B-9397-08002B2CF9AE}" pid="3" name="ContentTypeId">
    <vt:lpwstr>0x0101006F9F4F3B60ED1C439B9FF0E0F23AACE4</vt:lpwstr>
  </property>
</Properties>
</file>