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AF09" w14:textId="77777777" w:rsidR="000C56BD" w:rsidRPr="000C56BD" w:rsidRDefault="000C56BD" w:rsidP="000C56BD">
      <w:pPr>
        <w:pStyle w:val="NormalWeb"/>
        <w:jc w:val="center"/>
        <w:rPr>
          <w:b/>
          <w:bCs/>
          <w:color w:val="000000"/>
          <w:sz w:val="27"/>
          <w:szCs w:val="27"/>
        </w:rPr>
      </w:pPr>
      <w:bookmarkStart w:id="0" w:name="_Hlk90042371"/>
      <w:r w:rsidRPr="000C56BD">
        <w:rPr>
          <w:b/>
          <w:bCs/>
          <w:color w:val="000000"/>
          <w:sz w:val="27"/>
          <w:szCs w:val="27"/>
        </w:rPr>
        <w:t xml:space="preserve">Tail-Event driven </w:t>
      </w:r>
      <w:proofErr w:type="spellStart"/>
      <w:r w:rsidRPr="000C56BD">
        <w:rPr>
          <w:b/>
          <w:bCs/>
          <w:color w:val="000000"/>
          <w:sz w:val="27"/>
          <w:szCs w:val="27"/>
        </w:rPr>
        <w:t>NETwork</w:t>
      </w:r>
      <w:proofErr w:type="spellEnd"/>
      <w:r w:rsidRPr="000C56BD">
        <w:rPr>
          <w:b/>
          <w:bCs/>
          <w:color w:val="000000"/>
          <w:sz w:val="27"/>
          <w:szCs w:val="27"/>
        </w:rPr>
        <w:t xml:space="preserve"> dependence in Emerging Markets</w:t>
      </w:r>
    </w:p>
    <w:p w14:paraId="1003BD1F" w14:textId="77777777" w:rsidR="000C56BD" w:rsidRPr="000C56BD" w:rsidRDefault="000C56BD" w:rsidP="000C56BD">
      <w:pPr>
        <w:pStyle w:val="NormalWeb"/>
        <w:jc w:val="center"/>
        <w:rPr>
          <w:b/>
          <w:bCs/>
          <w:color w:val="000000"/>
          <w:sz w:val="27"/>
          <w:szCs w:val="27"/>
        </w:rPr>
      </w:pPr>
      <w:r w:rsidRPr="000C56BD">
        <w:rPr>
          <w:b/>
          <w:bCs/>
          <w:color w:val="000000"/>
          <w:sz w:val="27"/>
          <w:szCs w:val="27"/>
        </w:rPr>
        <w:t xml:space="preserve">Muhammad </w:t>
      </w:r>
      <w:proofErr w:type="spellStart"/>
      <w:r w:rsidRPr="000C56BD">
        <w:rPr>
          <w:b/>
          <w:bCs/>
          <w:color w:val="000000"/>
          <w:sz w:val="27"/>
          <w:szCs w:val="27"/>
        </w:rPr>
        <w:t>Abubakr</w:t>
      </w:r>
      <w:proofErr w:type="spellEnd"/>
      <w:r w:rsidRPr="000C56BD">
        <w:rPr>
          <w:b/>
          <w:bCs/>
          <w:color w:val="000000"/>
          <w:sz w:val="27"/>
          <w:szCs w:val="27"/>
        </w:rPr>
        <w:t xml:space="preserve"> Naeem</w:t>
      </w:r>
    </w:p>
    <w:p w14:paraId="7A7B015C" w14:textId="77777777" w:rsidR="000C56BD" w:rsidRDefault="000C56BD" w:rsidP="000C56BD">
      <w:pPr>
        <w:pStyle w:val="NormalWeb"/>
        <w:jc w:val="center"/>
        <w:rPr>
          <w:color w:val="000000"/>
          <w:sz w:val="27"/>
          <w:szCs w:val="27"/>
        </w:rPr>
      </w:pPr>
      <w:r>
        <w:rPr>
          <w:color w:val="000000"/>
          <w:sz w:val="27"/>
          <w:szCs w:val="27"/>
        </w:rPr>
        <w:t>Accounting and Finance Department, United Arab Emirates University, P.O. Box 15551, Al-Ain, United Arab Emirates</w:t>
      </w:r>
    </w:p>
    <w:p w14:paraId="5BF021FA" w14:textId="77777777" w:rsidR="000C56BD" w:rsidRDefault="000C56BD" w:rsidP="000C56BD">
      <w:pPr>
        <w:pStyle w:val="NormalWeb"/>
        <w:jc w:val="center"/>
        <w:rPr>
          <w:color w:val="000000"/>
          <w:sz w:val="27"/>
          <w:szCs w:val="27"/>
        </w:rPr>
      </w:pPr>
      <w:r>
        <w:rPr>
          <w:color w:val="000000"/>
          <w:sz w:val="27"/>
          <w:szCs w:val="27"/>
        </w:rPr>
        <w:t>South Ural State University, Lenin Prospect 76, Chelyabinsk 454080, Russian Federation Email: muhammad.naeem@uaeu.ac.ae; m.ab.naeem@gmail.com ORCID: http://orcid.org/0000-0001-6962-3175</w:t>
      </w:r>
    </w:p>
    <w:p w14:paraId="265461E4" w14:textId="77777777" w:rsidR="000C56BD" w:rsidRPr="000C56BD" w:rsidRDefault="000C56BD" w:rsidP="000C56BD">
      <w:pPr>
        <w:pStyle w:val="NormalWeb"/>
        <w:jc w:val="center"/>
        <w:rPr>
          <w:b/>
          <w:bCs/>
          <w:color w:val="000000"/>
          <w:sz w:val="27"/>
          <w:szCs w:val="27"/>
        </w:rPr>
      </w:pPr>
      <w:r w:rsidRPr="000C56BD">
        <w:rPr>
          <w:b/>
          <w:bCs/>
          <w:color w:val="000000"/>
          <w:sz w:val="27"/>
          <w:szCs w:val="27"/>
        </w:rPr>
        <w:t>Imran Yousaf</w:t>
      </w:r>
    </w:p>
    <w:p w14:paraId="0E3C3B27" w14:textId="77777777" w:rsidR="000C56BD" w:rsidRDefault="000C56BD" w:rsidP="000C56BD">
      <w:pPr>
        <w:pStyle w:val="NormalWeb"/>
        <w:jc w:val="center"/>
        <w:rPr>
          <w:color w:val="000000"/>
          <w:sz w:val="27"/>
          <w:szCs w:val="27"/>
        </w:rPr>
      </w:pPr>
      <w:r>
        <w:rPr>
          <w:color w:val="000000"/>
          <w:sz w:val="27"/>
          <w:szCs w:val="27"/>
        </w:rPr>
        <w:t>College of Business and Public Management, Wenzhou-Kean University, China Email: iyousaf@wku.edu.cn; imranyousaf.fin@gmail.com ORCID: https://orcid.org/0000-0003-1968-293X</w:t>
      </w:r>
    </w:p>
    <w:p w14:paraId="37B5FA0C" w14:textId="77777777" w:rsidR="000C56BD" w:rsidRPr="000C56BD" w:rsidRDefault="000C56BD" w:rsidP="000C56BD">
      <w:pPr>
        <w:pStyle w:val="NormalWeb"/>
        <w:jc w:val="center"/>
        <w:rPr>
          <w:b/>
          <w:bCs/>
          <w:color w:val="000000"/>
          <w:sz w:val="27"/>
          <w:szCs w:val="27"/>
        </w:rPr>
      </w:pPr>
      <w:r w:rsidRPr="000C56BD">
        <w:rPr>
          <w:b/>
          <w:bCs/>
          <w:color w:val="000000"/>
          <w:sz w:val="27"/>
          <w:szCs w:val="27"/>
        </w:rPr>
        <w:t>Sitara Karim</w:t>
      </w:r>
    </w:p>
    <w:p w14:paraId="5B465EA6" w14:textId="77777777" w:rsidR="000C56BD" w:rsidRDefault="000C56BD" w:rsidP="000C56BD">
      <w:pPr>
        <w:pStyle w:val="NormalWeb"/>
        <w:jc w:val="center"/>
        <w:rPr>
          <w:color w:val="000000"/>
          <w:sz w:val="27"/>
          <w:szCs w:val="27"/>
        </w:rPr>
      </w:pPr>
      <w:r>
        <w:rPr>
          <w:color w:val="000000"/>
          <w:sz w:val="27"/>
          <w:szCs w:val="27"/>
        </w:rPr>
        <w:t>Department of Business Administration, Faculty of Management Sciences, ILMA University, Karachi, Pakistan Email: sitarakarim.malik@gmail.com ORCID: https://orcid.org/0000-0001-5086-6230</w:t>
      </w:r>
    </w:p>
    <w:p w14:paraId="35A9DA4D" w14:textId="61911260" w:rsidR="000C56BD" w:rsidRPr="000C56BD" w:rsidRDefault="000C56BD" w:rsidP="000C56BD">
      <w:pPr>
        <w:pStyle w:val="NormalWeb"/>
        <w:jc w:val="center"/>
        <w:rPr>
          <w:b/>
          <w:bCs/>
          <w:color w:val="000000"/>
          <w:sz w:val="27"/>
          <w:szCs w:val="27"/>
        </w:rPr>
      </w:pPr>
      <w:r w:rsidRPr="000C56BD">
        <w:rPr>
          <w:b/>
          <w:bCs/>
          <w:color w:val="000000"/>
          <w:sz w:val="27"/>
          <w:szCs w:val="27"/>
        </w:rPr>
        <w:t>Larisa Yarovaya</w:t>
      </w:r>
      <w:r>
        <w:rPr>
          <w:rStyle w:val="FootnoteReference"/>
          <w:b/>
          <w:bCs/>
          <w:color w:val="000000"/>
          <w:sz w:val="27"/>
          <w:szCs w:val="27"/>
        </w:rPr>
        <w:footnoteReference w:customMarkFollows="1" w:id="1"/>
        <w:t>*</w:t>
      </w:r>
    </w:p>
    <w:p w14:paraId="50288733" w14:textId="77777777" w:rsidR="000C56BD" w:rsidRDefault="000C56BD" w:rsidP="000C56BD">
      <w:pPr>
        <w:pStyle w:val="NormalWeb"/>
        <w:jc w:val="center"/>
        <w:rPr>
          <w:color w:val="000000"/>
          <w:sz w:val="27"/>
          <w:szCs w:val="27"/>
        </w:rPr>
      </w:pPr>
      <w:r>
        <w:rPr>
          <w:color w:val="000000"/>
          <w:sz w:val="27"/>
          <w:szCs w:val="27"/>
        </w:rPr>
        <w:t>Southampton Business School, University of Southampton L.Yarovaya@soton.ac.uk ORCID: https://orcid.org/0000-0002-9638-2917</w:t>
      </w:r>
    </w:p>
    <w:p w14:paraId="3DD79774" w14:textId="77777777" w:rsidR="000C56BD" w:rsidRPr="000C56BD" w:rsidRDefault="000C56BD" w:rsidP="000C56BD">
      <w:pPr>
        <w:pStyle w:val="NormalWeb"/>
        <w:jc w:val="center"/>
        <w:rPr>
          <w:b/>
          <w:bCs/>
          <w:color w:val="000000"/>
          <w:sz w:val="27"/>
          <w:szCs w:val="27"/>
        </w:rPr>
      </w:pPr>
      <w:r w:rsidRPr="000C56BD">
        <w:rPr>
          <w:b/>
          <w:bCs/>
          <w:color w:val="000000"/>
          <w:sz w:val="27"/>
          <w:szCs w:val="27"/>
        </w:rPr>
        <w:t>Shoaib Ali</w:t>
      </w:r>
    </w:p>
    <w:p w14:paraId="12DA1483" w14:textId="77777777" w:rsidR="000C56BD" w:rsidRDefault="000C56BD" w:rsidP="000C56BD">
      <w:pPr>
        <w:pStyle w:val="NormalWeb"/>
        <w:jc w:val="center"/>
        <w:rPr>
          <w:color w:val="000000"/>
          <w:sz w:val="27"/>
          <w:szCs w:val="27"/>
        </w:rPr>
      </w:pPr>
      <w:r>
        <w:rPr>
          <w:color w:val="000000"/>
          <w:sz w:val="27"/>
          <w:szCs w:val="27"/>
        </w:rPr>
        <w:t xml:space="preserve">Air University School of Management, Air University, Islamabad, </w:t>
      </w:r>
      <w:proofErr w:type="spellStart"/>
      <w:r>
        <w:rPr>
          <w:color w:val="000000"/>
          <w:sz w:val="27"/>
          <w:szCs w:val="27"/>
        </w:rPr>
        <w:t>Pakist</w:t>
      </w:r>
      <w:proofErr w:type="spellEnd"/>
    </w:p>
    <w:p w14:paraId="666C0A92" w14:textId="77777777" w:rsidR="000C56BD" w:rsidRPr="000C56BD" w:rsidRDefault="000C56BD" w:rsidP="000C56BD">
      <w:pPr>
        <w:jc w:val="center"/>
        <w:rPr>
          <w:rFonts w:ascii="Times New Roman" w:hAnsi="Times New Roman" w:cs="Times New Roman"/>
          <w:b/>
          <w:bCs/>
          <w:sz w:val="24"/>
          <w:szCs w:val="24"/>
          <w:lang w:val="en-GB"/>
        </w:rPr>
      </w:pPr>
    </w:p>
    <w:p w14:paraId="43D46771" w14:textId="77777777" w:rsidR="000C56BD" w:rsidRPr="000C56BD" w:rsidRDefault="000C56BD" w:rsidP="000C56BD">
      <w:pPr>
        <w:jc w:val="center"/>
        <w:rPr>
          <w:rFonts w:ascii="Times New Roman" w:hAnsi="Times New Roman" w:cs="Times New Roman"/>
          <w:b/>
          <w:bCs/>
          <w:sz w:val="24"/>
          <w:szCs w:val="24"/>
          <w:lang w:val="en-GB"/>
        </w:rPr>
      </w:pPr>
    </w:p>
    <w:p w14:paraId="4DB9A9E5" w14:textId="77777777" w:rsidR="000C56BD" w:rsidRDefault="000C56BD" w:rsidP="000C56BD">
      <w:pPr>
        <w:jc w:val="center"/>
        <w:rPr>
          <w:rFonts w:ascii="Times New Roman" w:hAnsi="Times New Roman" w:cs="Times New Roman"/>
          <w:b/>
          <w:bCs/>
          <w:sz w:val="24"/>
          <w:szCs w:val="24"/>
          <w:lang w:val="en-NZ"/>
        </w:rPr>
      </w:pPr>
    </w:p>
    <w:p w14:paraId="297F6734" w14:textId="77777777" w:rsidR="000C56BD" w:rsidRDefault="000C56BD" w:rsidP="00171719">
      <w:pPr>
        <w:jc w:val="center"/>
        <w:rPr>
          <w:rFonts w:ascii="Times New Roman" w:hAnsi="Times New Roman" w:cs="Times New Roman"/>
          <w:b/>
          <w:bCs/>
          <w:sz w:val="24"/>
          <w:szCs w:val="24"/>
          <w:lang w:val="en-NZ"/>
        </w:rPr>
      </w:pPr>
    </w:p>
    <w:p w14:paraId="7BF42E8E" w14:textId="77777777" w:rsidR="000C56BD" w:rsidRDefault="000C56BD" w:rsidP="00171719">
      <w:pPr>
        <w:jc w:val="center"/>
        <w:rPr>
          <w:rFonts w:ascii="Times New Roman" w:hAnsi="Times New Roman" w:cs="Times New Roman"/>
          <w:b/>
          <w:bCs/>
          <w:sz w:val="24"/>
          <w:szCs w:val="24"/>
          <w:lang w:val="en-NZ"/>
        </w:rPr>
      </w:pPr>
    </w:p>
    <w:p w14:paraId="76FC89F5" w14:textId="77777777" w:rsidR="000C56BD" w:rsidRDefault="000C56BD" w:rsidP="00171719">
      <w:pPr>
        <w:jc w:val="center"/>
        <w:rPr>
          <w:rFonts w:ascii="Times New Roman" w:hAnsi="Times New Roman" w:cs="Times New Roman"/>
          <w:b/>
          <w:bCs/>
          <w:sz w:val="24"/>
          <w:szCs w:val="24"/>
          <w:lang w:val="en-NZ"/>
        </w:rPr>
      </w:pPr>
    </w:p>
    <w:p w14:paraId="6DE69B2C" w14:textId="77777777" w:rsidR="000C56BD" w:rsidRDefault="000C56BD" w:rsidP="00171719">
      <w:pPr>
        <w:jc w:val="center"/>
        <w:rPr>
          <w:rFonts w:ascii="Times New Roman" w:hAnsi="Times New Roman" w:cs="Times New Roman"/>
          <w:b/>
          <w:bCs/>
          <w:sz w:val="24"/>
          <w:szCs w:val="24"/>
          <w:lang w:val="en-NZ"/>
        </w:rPr>
      </w:pPr>
    </w:p>
    <w:p w14:paraId="479E0218" w14:textId="77777777" w:rsidR="000C56BD" w:rsidRDefault="000C56BD" w:rsidP="000C56BD">
      <w:pPr>
        <w:rPr>
          <w:rFonts w:ascii="Times New Roman" w:hAnsi="Times New Roman" w:cs="Times New Roman"/>
          <w:b/>
          <w:bCs/>
          <w:sz w:val="24"/>
          <w:szCs w:val="24"/>
          <w:lang w:val="en-NZ"/>
        </w:rPr>
      </w:pPr>
    </w:p>
    <w:p w14:paraId="2869095F" w14:textId="6C1047C3" w:rsidR="00654706" w:rsidRPr="006F4180" w:rsidRDefault="00DD506A" w:rsidP="00171719">
      <w:pPr>
        <w:jc w:val="center"/>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lastRenderedPageBreak/>
        <w:t xml:space="preserve">Tail-Event </w:t>
      </w:r>
      <w:r w:rsidR="00820AF6" w:rsidRPr="006F4180">
        <w:rPr>
          <w:rFonts w:ascii="Times New Roman" w:hAnsi="Times New Roman" w:cs="Times New Roman"/>
          <w:b/>
          <w:bCs/>
          <w:sz w:val="24"/>
          <w:szCs w:val="24"/>
          <w:lang w:val="en-NZ"/>
        </w:rPr>
        <w:t xml:space="preserve">driven </w:t>
      </w:r>
      <w:proofErr w:type="spellStart"/>
      <w:r w:rsidR="00820AF6" w:rsidRPr="006F4180">
        <w:rPr>
          <w:rFonts w:ascii="Times New Roman" w:hAnsi="Times New Roman" w:cs="Times New Roman"/>
          <w:b/>
          <w:bCs/>
          <w:sz w:val="24"/>
          <w:szCs w:val="24"/>
          <w:lang w:val="en-NZ"/>
        </w:rPr>
        <w:t>N</w:t>
      </w:r>
      <w:r w:rsidR="0096563E">
        <w:rPr>
          <w:rFonts w:ascii="Times New Roman" w:hAnsi="Times New Roman" w:cs="Times New Roman"/>
          <w:b/>
          <w:bCs/>
          <w:sz w:val="24"/>
          <w:szCs w:val="24"/>
          <w:lang w:val="en-NZ"/>
        </w:rPr>
        <w:t>ET</w:t>
      </w:r>
      <w:r w:rsidR="00820AF6" w:rsidRPr="006F4180">
        <w:rPr>
          <w:rFonts w:ascii="Times New Roman" w:hAnsi="Times New Roman" w:cs="Times New Roman"/>
          <w:b/>
          <w:bCs/>
          <w:sz w:val="24"/>
          <w:szCs w:val="24"/>
          <w:lang w:val="en-NZ"/>
        </w:rPr>
        <w:t>work</w:t>
      </w:r>
      <w:proofErr w:type="spellEnd"/>
      <w:r w:rsidR="00820AF6" w:rsidRPr="006F4180">
        <w:rPr>
          <w:rFonts w:ascii="Times New Roman" w:hAnsi="Times New Roman" w:cs="Times New Roman"/>
          <w:b/>
          <w:bCs/>
          <w:sz w:val="24"/>
          <w:szCs w:val="24"/>
          <w:lang w:val="en-NZ"/>
        </w:rPr>
        <w:t xml:space="preserve"> </w:t>
      </w:r>
      <w:r w:rsidR="008F3F83">
        <w:rPr>
          <w:rFonts w:ascii="Times New Roman" w:hAnsi="Times New Roman" w:cs="Times New Roman"/>
          <w:b/>
          <w:bCs/>
          <w:sz w:val="24"/>
          <w:szCs w:val="24"/>
          <w:lang w:val="en-NZ"/>
        </w:rPr>
        <w:t>dependence in Emerging M</w:t>
      </w:r>
      <w:r w:rsidR="00C9480C" w:rsidRPr="006F4180">
        <w:rPr>
          <w:rFonts w:ascii="Times New Roman" w:hAnsi="Times New Roman" w:cs="Times New Roman"/>
          <w:b/>
          <w:bCs/>
          <w:sz w:val="24"/>
          <w:szCs w:val="24"/>
          <w:lang w:val="en-NZ"/>
        </w:rPr>
        <w:t>arkets</w:t>
      </w:r>
      <w:r w:rsidR="003D50C4">
        <w:rPr>
          <w:rFonts w:ascii="Times New Roman" w:hAnsi="Times New Roman" w:cs="Times New Roman"/>
          <w:b/>
          <w:bCs/>
          <w:sz w:val="24"/>
          <w:szCs w:val="24"/>
          <w:lang w:val="en-NZ"/>
        </w:rPr>
        <w:t>.</w:t>
      </w:r>
    </w:p>
    <w:bookmarkEnd w:id="0"/>
    <w:p w14:paraId="654945FA" w14:textId="549391FA" w:rsidR="00C9480C" w:rsidRPr="006F4180" w:rsidRDefault="00C9480C" w:rsidP="00171719">
      <w:pPr>
        <w:jc w:val="center"/>
        <w:rPr>
          <w:rFonts w:ascii="Times New Roman" w:hAnsi="Times New Roman" w:cs="Times New Roman"/>
          <w:sz w:val="24"/>
          <w:szCs w:val="24"/>
          <w:lang w:val="en-NZ"/>
        </w:rPr>
      </w:pPr>
    </w:p>
    <w:p w14:paraId="288BBBD6" w14:textId="77777777" w:rsidR="008F7006" w:rsidRDefault="008F7006" w:rsidP="00CF3A87">
      <w:pPr>
        <w:jc w:val="center"/>
        <w:rPr>
          <w:rFonts w:ascii="Times New Roman" w:hAnsi="Times New Roman" w:cs="Times New Roman"/>
          <w:b/>
          <w:bCs/>
          <w:sz w:val="24"/>
          <w:szCs w:val="24"/>
          <w:lang w:val="en-NZ"/>
        </w:rPr>
      </w:pPr>
    </w:p>
    <w:p w14:paraId="72A23D3F" w14:textId="77777777" w:rsidR="00CF3A87" w:rsidRPr="006F4180" w:rsidRDefault="00CF3A87" w:rsidP="00CF3A87">
      <w:pPr>
        <w:jc w:val="center"/>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t>Abstract</w:t>
      </w:r>
    </w:p>
    <w:p w14:paraId="5514887B" w14:textId="2CAF9464" w:rsidR="00CF3A87" w:rsidRDefault="001B6ADC" w:rsidP="00CF3A87">
      <w:pPr>
        <w:jc w:val="both"/>
        <w:rPr>
          <w:rFonts w:ascii="Times New Roman" w:hAnsi="Times New Roman" w:cs="Times New Roman"/>
          <w:sz w:val="24"/>
          <w:szCs w:val="24"/>
          <w:lang w:val="en-NZ"/>
        </w:rPr>
      </w:pPr>
      <w:bookmarkStart w:id="1" w:name="_Hlk90047662"/>
      <w:bookmarkStart w:id="2" w:name="_Hlk90048135"/>
      <w:r>
        <w:rPr>
          <w:rFonts w:ascii="Times New Roman" w:hAnsi="Times New Roman" w:cs="Times New Roman"/>
          <w:sz w:val="24"/>
          <w:szCs w:val="24"/>
          <w:lang w:val="en-NZ"/>
        </w:rPr>
        <w:t>T</w:t>
      </w:r>
      <w:r w:rsidR="00CF3A87" w:rsidRPr="006F4180">
        <w:rPr>
          <w:rFonts w:ascii="Times New Roman" w:hAnsi="Times New Roman" w:cs="Times New Roman"/>
          <w:sz w:val="24"/>
          <w:szCs w:val="24"/>
          <w:lang w:val="en-NZ"/>
        </w:rPr>
        <w:t xml:space="preserve">his </w:t>
      </w:r>
      <w:r>
        <w:rPr>
          <w:rFonts w:ascii="Times New Roman" w:hAnsi="Times New Roman" w:cs="Times New Roman"/>
          <w:sz w:val="24"/>
          <w:szCs w:val="24"/>
          <w:lang w:val="en-NZ"/>
        </w:rPr>
        <w:t>paper</w:t>
      </w:r>
      <w:r w:rsidRPr="006F4180">
        <w:rPr>
          <w:rFonts w:ascii="Times New Roman" w:hAnsi="Times New Roman" w:cs="Times New Roman"/>
          <w:sz w:val="24"/>
          <w:szCs w:val="24"/>
          <w:lang w:val="en-NZ"/>
        </w:rPr>
        <w:t xml:space="preserve"> </w:t>
      </w:r>
      <w:r w:rsidR="00CF3A87" w:rsidRPr="006F4180">
        <w:rPr>
          <w:rFonts w:ascii="Times New Roman" w:hAnsi="Times New Roman" w:cs="Times New Roman"/>
          <w:sz w:val="24"/>
          <w:szCs w:val="24"/>
          <w:lang w:val="en-NZ"/>
        </w:rPr>
        <w:t xml:space="preserve">employs the </w:t>
      </w:r>
      <w:r w:rsidR="00C30DD0" w:rsidRPr="006F4180">
        <w:rPr>
          <w:rFonts w:ascii="Times New Roman" w:hAnsi="Times New Roman" w:cs="Times New Roman"/>
          <w:sz w:val="24"/>
          <w:szCs w:val="24"/>
          <w:lang w:val="en-NZ"/>
        </w:rPr>
        <w:t xml:space="preserve">Tail Event </w:t>
      </w:r>
      <w:proofErr w:type="spellStart"/>
      <w:r w:rsidR="00C30DD0" w:rsidRPr="006F4180">
        <w:rPr>
          <w:rFonts w:ascii="Times New Roman" w:hAnsi="Times New Roman" w:cs="Times New Roman"/>
          <w:sz w:val="24"/>
          <w:szCs w:val="24"/>
          <w:lang w:val="en-NZ"/>
        </w:rPr>
        <w:t>NETwork</w:t>
      </w:r>
      <w:proofErr w:type="spellEnd"/>
      <w:r w:rsidR="00C30DD0" w:rsidRPr="006F4180">
        <w:rPr>
          <w:rFonts w:ascii="Times New Roman" w:hAnsi="Times New Roman" w:cs="Times New Roman"/>
          <w:sz w:val="24"/>
          <w:szCs w:val="24"/>
          <w:lang w:val="en-NZ"/>
        </w:rPr>
        <w:t xml:space="preserve"> (</w:t>
      </w:r>
      <w:r w:rsidR="00CF3A87" w:rsidRPr="006F4180">
        <w:rPr>
          <w:rFonts w:ascii="Times New Roman" w:hAnsi="Times New Roman" w:cs="Times New Roman"/>
          <w:sz w:val="24"/>
          <w:szCs w:val="24"/>
          <w:lang w:val="en-NZ"/>
        </w:rPr>
        <w:t>TENET</w:t>
      </w:r>
      <w:r w:rsidR="00A82303">
        <w:rPr>
          <w:rFonts w:ascii="Times New Roman" w:hAnsi="Times New Roman" w:cs="Times New Roman"/>
          <w:sz w:val="24"/>
          <w:szCs w:val="24"/>
          <w:lang w:val="en-NZ"/>
        </w:rPr>
        <w:t>)</w:t>
      </w:r>
      <w:r>
        <w:rPr>
          <w:rFonts w:ascii="Times New Roman" w:hAnsi="Times New Roman" w:cs="Times New Roman"/>
          <w:sz w:val="24"/>
          <w:szCs w:val="24"/>
          <w:lang w:val="en-NZ"/>
        </w:rPr>
        <w:t xml:space="preserve"> </w:t>
      </w:r>
      <w:r w:rsidR="00A82303">
        <w:rPr>
          <w:rFonts w:ascii="Times New Roman" w:hAnsi="Times New Roman" w:cs="Times New Roman"/>
          <w:sz w:val="24"/>
          <w:szCs w:val="24"/>
          <w:lang w:val="en-NZ"/>
        </w:rPr>
        <w:t>to</w:t>
      </w:r>
      <w:r>
        <w:rPr>
          <w:rFonts w:ascii="Times New Roman" w:hAnsi="Times New Roman" w:cs="Times New Roman"/>
          <w:sz w:val="24"/>
          <w:szCs w:val="24"/>
          <w:lang w:val="en-NZ"/>
        </w:rPr>
        <w:t xml:space="preserve"> identify</w:t>
      </w:r>
      <w:r w:rsidR="00A82303">
        <w:rPr>
          <w:rFonts w:ascii="Times New Roman" w:hAnsi="Times New Roman" w:cs="Times New Roman"/>
          <w:sz w:val="24"/>
          <w:szCs w:val="24"/>
          <w:lang w:val="en-NZ"/>
        </w:rPr>
        <w:t xml:space="preserve"> financial</w:t>
      </w:r>
      <w:r>
        <w:rPr>
          <w:rFonts w:ascii="Times New Roman" w:hAnsi="Times New Roman" w:cs="Times New Roman"/>
          <w:sz w:val="24"/>
          <w:szCs w:val="24"/>
          <w:lang w:val="en-NZ"/>
        </w:rPr>
        <w:t xml:space="preserve"> </w:t>
      </w:r>
      <w:r w:rsidR="00CF3A87" w:rsidRPr="006F4180">
        <w:rPr>
          <w:rFonts w:ascii="Times New Roman" w:hAnsi="Times New Roman" w:cs="Times New Roman"/>
          <w:sz w:val="24"/>
          <w:szCs w:val="24"/>
          <w:lang w:val="en-NZ"/>
        </w:rPr>
        <w:t>markets with greater potential risk</w:t>
      </w:r>
      <w:r w:rsidR="00C458A1">
        <w:rPr>
          <w:rFonts w:ascii="Times New Roman" w:hAnsi="Times New Roman" w:cs="Times New Roman"/>
          <w:sz w:val="24"/>
          <w:szCs w:val="24"/>
          <w:lang w:val="en-NZ"/>
        </w:rPr>
        <w:t>,</w:t>
      </w:r>
      <w:r w:rsidR="00CF3A87" w:rsidRPr="006F4180">
        <w:rPr>
          <w:rFonts w:ascii="Times New Roman" w:hAnsi="Times New Roman" w:cs="Times New Roman"/>
          <w:sz w:val="24"/>
          <w:szCs w:val="24"/>
          <w:lang w:val="en-NZ"/>
        </w:rPr>
        <w:t xml:space="preserve"> and</w:t>
      </w:r>
      <w:r>
        <w:rPr>
          <w:rFonts w:ascii="Times New Roman" w:hAnsi="Times New Roman" w:cs="Times New Roman"/>
          <w:sz w:val="24"/>
          <w:szCs w:val="24"/>
          <w:lang w:val="en-NZ"/>
        </w:rPr>
        <w:t xml:space="preserve"> </w:t>
      </w:r>
      <w:r w:rsidR="00DF34F4" w:rsidRPr="00DF34F4">
        <w:rPr>
          <w:rFonts w:ascii="Times New Roman" w:hAnsi="Times New Roman" w:cs="Times New Roman"/>
          <w:sz w:val="24"/>
          <w:szCs w:val="24"/>
          <w:lang w:val="en-NZ"/>
        </w:rPr>
        <w:t>simultaneously</w:t>
      </w:r>
      <w:r w:rsidR="00CF3A87" w:rsidRPr="006F4180">
        <w:rPr>
          <w:rFonts w:ascii="Times New Roman" w:hAnsi="Times New Roman" w:cs="Times New Roman"/>
          <w:sz w:val="24"/>
          <w:szCs w:val="24"/>
          <w:lang w:val="en-NZ"/>
        </w:rPr>
        <w:t xml:space="preserve"> investigate the</w:t>
      </w:r>
      <w:r w:rsidR="00A82303">
        <w:rPr>
          <w:rFonts w:ascii="Times New Roman" w:hAnsi="Times New Roman" w:cs="Times New Roman"/>
          <w:sz w:val="24"/>
          <w:szCs w:val="24"/>
          <w:lang w:val="en-NZ"/>
        </w:rPr>
        <w:t xml:space="preserve"> </w:t>
      </w:r>
      <w:r w:rsidR="00CF3A87" w:rsidRPr="006F4180">
        <w:rPr>
          <w:rFonts w:ascii="Times New Roman" w:hAnsi="Times New Roman" w:cs="Times New Roman"/>
          <w:sz w:val="24"/>
          <w:szCs w:val="24"/>
          <w:lang w:val="en-NZ"/>
        </w:rPr>
        <w:t>interdependence</w:t>
      </w:r>
      <w:r w:rsidR="00A82303">
        <w:rPr>
          <w:rFonts w:ascii="Times New Roman" w:hAnsi="Times New Roman" w:cs="Times New Roman"/>
          <w:sz w:val="24"/>
          <w:szCs w:val="24"/>
          <w:lang w:val="en-NZ"/>
        </w:rPr>
        <w:t xml:space="preserve"> between the</w:t>
      </w:r>
      <w:r w:rsidR="00C56AE6">
        <w:rPr>
          <w:rFonts w:ascii="Times New Roman" w:hAnsi="Times New Roman" w:cs="Times New Roman"/>
          <w:sz w:val="24"/>
          <w:szCs w:val="24"/>
          <w:lang w:val="en-NZ"/>
        </w:rPr>
        <w:t xml:space="preserve">m. </w:t>
      </w:r>
      <w:r w:rsidR="00CF3A87" w:rsidRPr="006F4180">
        <w:rPr>
          <w:rFonts w:ascii="Times New Roman" w:hAnsi="Times New Roman" w:cs="Times New Roman"/>
          <w:sz w:val="24"/>
          <w:szCs w:val="24"/>
          <w:lang w:val="en-NZ"/>
        </w:rPr>
        <w:t>We find</w:t>
      </w:r>
      <w:r w:rsidR="00C56AE6">
        <w:rPr>
          <w:rFonts w:ascii="Times New Roman" w:hAnsi="Times New Roman" w:cs="Times New Roman"/>
          <w:sz w:val="24"/>
          <w:szCs w:val="24"/>
          <w:lang w:val="en-NZ"/>
        </w:rPr>
        <w:t xml:space="preserve"> strong</w:t>
      </w:r>
      <w:r w:rsidR="00CF3A87" w:rsidRPr="006F4180">
        <w:rPr>
          <w:rFonts w:ascii="Times New Roman" w:hAnsi="Times New Roman" w:cs="Times New Roman"/>
          <w:sz w:val="24"/>
          <w:szCs w:val="24"/>
          <w:lang w:val="en-NZ"/>
        </w:rPr>
        <w:t xml:space="preserve"> time-varying connectedness </w:t>
      </w:r>
      <w:r w:rsidR="00C56AE6">
        <w:rPr>
          <w:rFonts w:ascii="Times New Roman" w:hAnsi="Times New Roman" w:cs="Times New Roman"/>
          <w:sz w:val="24"/>
          <w:szCs w:val="24"/>
          <w:lang w:val="en-NZ"/>
        </w:rPr>
        <w:t>across 23</w:t>
      </w:r>
      <w:r w:rsidR="00CF3A87" w:rsidRPr="006F4180">
        <w:rPr>
          <w:rFonts w:ascii="Times New Roman" w:hAnsi="Times New Roman" w:cs="Times New Roman"/>
          <w:sz w:val="24"/>
          <w:szCs w:val="24"/>
          <w:lang w:val="en-NZ"/>
        </w:rPr>
        <w:t xml:space="preserve"> emerging markets during </w:t>
      </w:r>
      <w:r w:rsidR="00C56AE6">
        <w:rPr>
          <w:rFonts w:ascii="Times New Roman" w:hAnsi="Times New Roman" w:cs="Times New Roman"/>
          <w:sz w:val="24"/>
          <w:szCs w:val="24"/>
          <w:lang w:val="en-NZ"/>
        </w:rPr>
        <w:t xml:space="preserve">the main </w:t>
      </w:r>
      <w:r w:rsidR="00C458A1">
        <w:rPr>
          <w:rFonts w:ascii="Times New Roman" w:hAnsi="Times New Roman" w:cs="Times New Roman"/>
          <w:sz w:val="24"/>
          <w:szCs w:val="24"/>
          <w:lang w:val="en-NZ"/>
        </w:rPr>
        <w:t xml:space="preserve">crisis </w:t>
      </w:r>
      <w:r w:rsidR="00C56AE6">
        <w:rPr>
          <w:rFonts w:ascii="Times New Roman" w:hAnsi="Times New Roman" w:cs="Times New Roman"/>
          <w:sz w:val="24"/>
          <w:szCs w:val="24"/>
          <w:lang w:val="en-NZ"/>
        </w:rPr>
        <w:t xml:space="preserve">episodes, including the most recent </w:t>
      </w:r>
      <w:r w:rsidR="00CF3A87" w:rsidRPr="006F4180">
        <w:rPr>
          <w:rFonts w:ascii="Times New Roman" w:hAnsi="Times New Roman" w:cs="Times New Roman"/>
          <w:sz w:val="24"/>
          <w:szCs w:val="24"/>
          <w:lang w:val="en-NZ"/>
        </w:rPr>
        <w:t>COVID-19 pandemic</w:t>
      </w:r>
      <w:r w:rsidR="00C56AE6">
        <w:rPr>
          <w:rFonts w:ascii="Times New Roman" w:hAnsi="Times New Roman" w:cs="Times New Roman"/>
          <w:sz w:val="24"/>
          <w:szCs w:val="24"/>
          <w:lang w:val="en-NZ"/>
        </w:rPr>
        <w:t>, using data from January 1995 to May 2021</w:t>
      </w:r>
      <w:r w:rsidR="00CF3A87" w:rsidRPr="006F4180">
        <w:rPr>
          <w:rFonts w:ascii="Times New Roman" w:hAnsi="Times New Roman" w:cs="Times New Roman"/>
          <w:sz w:val="24"/>
          <w:szCs w:val="24"/>
          <w:lang w:val="en-NZ"/>
        </w:rPr>
        <w:t xml:space="preserve">. The network analysis revealed </w:t>
      </w:r>
      <w:r w:rsidR="00C30DD0" w:rsidRPr="006F4180">
        <w:rPr>
          <w:rFonts w:ascii="Times New Roman" w:hAnsi="Times New Roman" w:cs="Times New Roman"/>
          <w:sz w:val="24"/>
          <w:szCs w:val="24"/>
          <w:lang w:val="en-NZ"/>
        </w:rPr>
        <w:t xml:space="preserve">that </w:t>
      </w:r>
      <w:r w:rsidR="004759CC" w:rsidRPr="006F4180">
        <w:rPr>
          <w:rFonts w:ascii="Times New Roman" w:hAnsi="Times New Roman" w:cs="Times New Roman"/>
          <w:sz w:val="24"/>
          <w:szCs w:val="24"/>
          <w:lang w:val="en-NZ"/>
        </w:rPr>
        <w:t xml:space="preserve">emerging </w:t>
      </w:r>
      <w:r w:rsidR="00C56AE6">
        <w:rPr>
          <w:rFonts w:ascii="Times New Roman" w:hAnsi="Times New Roman" w:cs="Times New Roman"/>
          <w:sz w:val="24"/>
          <w:szCs w:val="24"/>
          <w:lang w:val="en-NZ"/>
        </w:rPr>
        <w:t xml:space="preserve">European </w:t>
      </w:r>
      <w:r w:rsidR="004759CC" w:rsidRPr="006F4180">
        <w:rPr>
          <w:rFonts w:ascii="Times New Roman" w:hAnsi="Times New Roman" w:cs="Times New Roman"/>
          <w:sz w:val="24"/>
          <w:szCs w:val="24"/>
          <w:lang w:val="en-NZ"/>
        </w:rPr>
        <w:t xml:space="preserve">markets </w:t>
      </w:r>
      <w:r w:rsidR="00CF3A87" w:rsidRPr="006F4180">
        <w:rPr>
          <w:rFonts w:ascii="Times New Roman" w:hAnsi="Times New Roman" w:cs="Times New Roman"/>
          <w:sz w:val="24"/>
          <w:szCs w:val="24"/>
          <w:lang w:val="en-NZ"/>
        </w:rPr>
        <w:t>are top risk transmitters</w:t>
      </w:r>
      <w:r w:rsidR="00C30DD0" w:rsidRPr="006F4180">
        <w:rPr>
          <w:rFonts w:ascii="Times New Roman" w:hAnsi="Times New Roman" w:cs="Times New Roman"/>
          <w:sz w:val="24"/>
          <w:szCs w:val="24"/>
          <w:lang w:val="en-NZ"/>
        </w:rPr>
        <w:t>,</w:t>
      </w:r>
      <w:r w:rsidR="00CF3A87" w:rsidRPr="006F4180">
        <w:rPr>
          <w:rFonts w:ascii="Times New Roman" w:hAnsi="Times New Roman" w:cs="Times New Roman"/>
          <w:sz w:val="24"/>
          <w:szCs w:val="24"/>
          <w:lang w:val="en-NZ"/>
        </w:rPr>
        <w:t xml:space="preserve"> whereas</w:t>
      </w:r>
      <w:r w:rsidR="00381F11">
        <w:rPr>
          <w:rFonts w:ascii="Times New Roman" w:hAnsi="Times New Roman" w:cs="Times New Roman"/>
          <w:sz w:val="24"/>
          <w:szCs w:val="24"/>
          <w:lang w:val="en-NZ"/>
        </w:rPr>
        <w:t xml:space="preserve"> em</w:t>
      </w:r>
      <w:r w:rsidR="00936B06">
        <w:rPr>
          <w:rFonts w:ascii="Times New Roman" w:hAnsi="Times New Roman" w:cs="Times New Roman"/>
          <w:sz w:val="24"/>
          <w:szCs w:val="24"/>
          <w:lang w:val="en-NZ"/>
        </w:rPr>
        <w:t>e</w:t>
      </w:r>
      <w:r w:rsidR="00381F11">
        <w:rPr>
          <w:rFonts w:ascii="Times New Roman" w:hAnsi="Times New Roman" w:cs="Times New Roman"/>
          <w:sz w:val="24"/>
          <w:szCs w:val="24"/>
          <w:lang w:val="en-NZ"/>
        </w:rPr>
        <w:t>rging</w:t>
      </w:r>
      <w:r w:rsidR="00CF3A87" w:rsidRPr="006F4180">
        <w:rPr>
          <w:rFonts w:ascii="Times New Roman" w:hAnsi="Times New Roman" w:cs="Times New Roman"/>
          <w:sz w:val="24"/>
          <w:szCs w:val="24"/>
          <w:lang w:val="en-NZ"/>
        </w:rPr>
        <w:t xml:space="preserve"> </w:t>
      </w:r>
      <w:r w:rsidR="004759CC" w:rsidRPr="006F4180">
        <w:rPr>
          <w:rFonts w:ascii="Times New Roman" w:hAnsi="Times New Roman" w:cs="Times New Roman"/>
          <w:sz w:val="24"/>
          <w:szCs w:val="24"/>
          <w:lang w:val="en-NZ"/>
        </w:rPr>
        <w:t xml:space="preserve">Asian </w:t>
      </w:r>
      <w:r w:rsidR="00C56AE6">
        <w:rPr>
          <w:rFonts w:ascii="Times New Roman" w:hAnsi="Times New Roman" w:cs="Times New Roman"/>
          <w:sz w:val="24"/>
          <w:szCs w:val="24"/>
          <w:lang w:val="en-NZ"/>
        </w:rPr>
        <w:t>markets</w:t>
      </w:r>
      <w:r w:rsidR="004759CC" w:rsidRPr="006F4180">
        <w:rPr>
          <w:rFonts w:ascii="Times New Roman" w:hAnsi="Times New Roman" w:cs="Times New Roman"/>
          <w:sz w:val="24"/>
          <w:szCs w:val="24"/>
          <w:lang w:val="en-NZ"/>
        </w:rPr>
        <w:t xml:space="preserve"> </w:t>
      </w:r>
      <w:r w:rsidR="00CF3A87" w:rsidRPr="006F4180">
        <w:rPr>
          <w:rFonts w:ascii="Times New Roman" w:hAnsi="Times New Roman" w:cs="Times New Roman"/>
          <w:sz w:val="24"/>
          <w:szCs w:val="24"/>
          <w:lang w:val="en-NZ"/>
        </w:rPr>
        <w:t>are top risk receivers. China showed disconnection from the network</w:t>
      </w:r>
      <w:r w:rsidR="00C30DD0" w:rsidRPr="006F4180">
        <w:rPr>
          <w:rFonts w:ascii="Times New Roman" w:hAnsi="Times New Roman" w:cs="Times New Roman"/>
          <w:sz w:val="24"/>
          <w:szCs w:val="24"/>
          <w:lang w:val="en-NZ"/>
        </w:rPr>
        <w:t>,</w:t>
      </w:r>
      <w:r w:rsidR="00CF3A87" w:rsidRPr="006F4180">
        <w:rPr>
          <w:rFonts w:ascii="Times New Roman" w:hAnsi="Times New Roman" w:cs="Times New Roman"/>
          <w:sz w:val="24"/>
          <w:szCs w:val="24"/>
          <w:lang w:val="en-NZ"/>
        </w:rPr>
        <w:t xml:space="preserve"> reflecting its diversification potential for </w:t>
      </w:r>
      <w:r w:rsidR="00D1042D">
        <w:rPr>
          <w:rFonts w:ascii="Times New Roman" w:hAnsi="Times New Roman" w:cs="Times New Roman"/>
          <w:sz w:val="24"/>
          <w:szCs w:val="24"/>
          <w:lang w:val="en-NZ"/>
        </w:rPr>
        <w:t>investors</w:t>
      </w:r>
      <w:r w:rsidR="00CF3A87" w:rsidRPr="006F4180">
        <w:rPr>
          <w:rFonts w:ascii="Times New Roman" w:hAnsi="Times New Roman" w:cs="Times New Roman"/>
          <w:sz w:val="24"/>
          <w:szCs w:val="24"/>
          <w:lang w:val="en-NZ"/>
        </w:rPr>
        <w:t xml:space="preserve">. Our findings </w:t>
      </w:r>
      <w:r w:rsidR="00B554D1">
        <w:rPr>
          <w:rFonts w:ascii="Times New Roman" w:hAnsi="Times New Roman" w:cs="Times New Roman"/>
          <w:sz w:val="24"/>
          <w:szCs w:val="24"/>
          <w:lang w:val="en-NZ"/>
        </w:rPr>
        <w:t>offer</w:t>
      </w:r>
      <w:r w:rsidR="00CF3A87" w:rsidRPr="006F4180">
        <w:rPr>
          <w:rFonts w:ascii="Times New Roman" w:hAnsi="Times New Roman" w:cs="Times New Roman"/>
          <w:sz w:val="24"/>
          <w:szCs w:val="24"/>
          <w:lang w:val="en-NZ"/>
        </w:rPr>
        <w:t xml:space="preserve"> several policy and regulatory implications.</w:t>
      </w:r>
      <w:bookmarkEnd w:id="1"/>
      <w:r w:rsidR="00CF3A87" w:rsidRPr="006F4180">
        <w:rPr>
          <w:rFonts w:ascii="Times New Roman" w:hAnsi="Times New Roman" w:cs="Times New Roman"/>
          <w:sz w:val="24"/>
          <w:szCs w:val="24"/>
          <w:lang w:val="en-NZ"/>
        </w:rPr>
        <w:t xml:space="preserve">  </w:t>
      </w:r>
    </w:p>
    <w:bookmarkEnd w:id="2"/>
    <w:p w14:paraId="0AF0DE13" w14:textId="77777777" w:rsidR="003D50C4" w:rsidRPr="006F4180" w:rsidRDefault="003D50C4" w:rsidP="00CF3A87">
      <w:pPr>
        <w:jc w:val="both"/>
        <w:rPr>
          <w:rFonts w:ascii="Times New Roman" w:hAnsi="Times New Roman" w:cs="Times New Roman"/>
          <w:sz w:val="24"/>
          <w:szCs w:val="24"/>
          <w:lang w:val="en-NZ"/>
        </w:rPr>
      </w:pPr>
    </w:p>
    <w:p w14:paraId="5F19E8A8" w14:textId="0AE39C50" w:rsidR="00CF3A87" w:rsidRPr="006F4180" w:rsidRDefault="00CF3A87" w:rsidP="00E441C9">
      <w:pPr>
        <w:jc w:val="both"/>
        <w:rPr>
          <w:rFonts w:ascii="Times New Roman" w:eastAsiaTheme="minorEastAsia" w:hAnsi="Times New Roman" w:cs="Times New Roman"/>
          <w:i/>
          <w:iCs/>
          <w:sz w:val="24"/>
          <w:szCs w:val="24"/>
          <w:lang w:val="en-NZ"/>
        </w:rPr>
      </w:pPr>
      <w:r w:rsidRPr="006F4180">
        <w:rPr>
          <w:rFonts w:ascii="Times New Roman" w:hAnsi="Times New Roman" w:cs="Times New Roman"/>
          <w:b/>
          <w:i/>
          <w:iCs/>
          <w:sz w:val="24"/>
          <w:szCs w:val="24"/>
          <w:lang w:val="en-NZ"/>
        </w:rPr>
        <w:t>Keywords:</w:t>
      </w:r>
      <w:r w:rsidRPr="006F4180">
        <w:rPr>
          <w:rFonts w:ascii="Times New Roman" w:hAnsi="Times New Roman" w:cs="Times New Roman"/>
          <w:i/>
          <w:iCs/>
          <w:sz w:val="24"/>
          <w:szCs w:val="24"/>
          <w:lang w:val="en-NZ"/>
        </w:rPr>
        <w:t xml:space="preserve"> COVID-19; Emerging markets; Global financial crisis; Systemic risk network; TENET</w:t>
      </w:r>
    </w:p>
    <w:p w14:paraId="17E72E23" w14:textId="77777777" w:rsidR="00E441C9" w:rsidRPr="006F4180" w:rsidRDefault="00E441C9">
      <w:pPr>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br w:type="page"/>
      </w:r>
    </w:p>
    <w:p w14:paraId="7FFF6FAF" w14:textId="58F05B30" w:rsidR="00CF3A87" w:rsidRPr="006F4180" w:rsidRDefault="00CF3A87" w:rsidP="00CF3A87">
      <w:pPr>
        <w:spacing w:before="240"/>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lastRenderedPageBreak/>
        <w:t>1. Introduction</w:t>
      </w:r>
    </w:p>
    <w:p w14:paraId="705572C9" w14:textId="77777777" w:rsidR="00FB26F7" w:rsidRDefault="00FB26F7" w:rsidP="00FB26F7">
      <w:pPr>
        <w:spacing w:before="240" w:line="360" w:lineRule="auto"/>
        <w:jc w:val="both"/>
        <w:rPr>
          <w:rFonts w:ascii="Times New Roman" w:hAnsi="Times New Roman" w:cs="Times New Roman"/>
          <w:color w:val="0070C0"/>
          <w:sz w:val="24"/>
          <w:szCs w:val="24"/>
          <w:lang w:val="en-NZ"/>
        </w:rPr>
      </w:pPr>
      <w:bookmarkStart w:id="3" w:name="_Hlk110109060"/>
      <w:r w:rsidRPr="00FB26F7">
        <w:rPr>
          <w:rFonts w:ascii="Times New Roman" w:hAnsi="Times New Roman" w:cs="Times New Roman"/>
          <w:color w:val="0070C0"/>
          <w:sz w:val="24"/>
          <w:szCs w:val="24"/>
          <w:lang w:val="en-NZ"/>
        </w:rPr>
        <w:t>Global financial integration of markets and a growing focus of companies and institutional investors to invest in the international markets have invoked the attention of financial market participants to understand the risks associated with these investments. Emerging markets, in particular, have attained tremendous growth in these foreign investments due to their remarkable growth potential, low cost of capital (</w:t>
      </w:r>
      <w:proofErr w:type="spellStart"/>
      <w:r w:rsidRPr="00FB26F7">
        <w:rPr>
          <w:rFonts w:ascii="Times New Roman" w:hAnsi="Times New Roman" w:cs="Times New Roman"/>
          <w:color w:val="0070C0"/>
          <w:sz w:val="24"/>
          <w:szCs w:val="24"/>
          <w:lang w:val="en-NZ"/>
        </w:rPr>
        <w:t>Bathia</w:t>
      </w:r>
      <w:proofErr w:type="spellEnd"/>
      <w:r w:rsidRPr="00FB26F7">
        <w:rPr>
          <w:rFonts w:ascii="Times New Roman" w:hAnsi="Times New Roman" w:cs="Times New Roman"/>
          <w:color w:val="0070C0"/>
          <w:sz w:val="24"/>
          <w:szCs w:val="24"/>
          <w:lang w:val="en-NZ"/>
        </w:rPr>
        <w:t xml:space="preserve"> et al., 2021; Karim et al., 2022a; Naeem et al., 2022a; </w:t>
      </w:r>
      <w:proofErr w:type="spellStart"/>
      <w:r w:rsidRPr="00FB26F7">
        <w:rPr>
          <w:rFonts w:ascii="Times New Roman" w:hAnsi="Times New Roman" w:cs="Times New Roman"/>
          <w:color w:val="0070C0"/>
          <w:sz w:val="24"/>
          <w:szCs w:val="24"/>
          <w:lang w:val="en-NZ"/>
        </w:rPr>
        <w:t>Gozgor</w:t>
      </w:r>
      <w:proofErr w:type="spellEnd"/>
      <w:r w:rsidRPr="00FB26F7">
        <w:rPr>
          <w:rFonts w:ascii="Times New Roman" w:hAnsi="Times New Roman" w:cs="Times New Roman"/>
          <w:color w:val="0070C0"/>
          <w:sz w:val="24"/>
          <w:szCs w:val="24"/>
          <w:lang w:val="en-NZ"/>
        </w:rPr>
        <w:t>, 2014), low production costs, and improved credit ratings (Demir &amp; Ersan, 2017). Therefore, investment in emerging markets can bring fewer damaging consequences due to less-developed economic and monetary systems, whereas severe crises can spill over in the indigenous markets. Das et al. (2018) point</w:t>
      </w:r>
      <w:r>
        <w:rPr>
          <w:rFonts w:ascii="Times New Roman" w:hAnsi="Times New Roman" w:cs="Times New Roman"/>
          <w:color w:val="0070C0"/>
          <w:sz w:val="24"/>
          <w:szCs w:val="24"/>
          <w:lang w:val="en-NZ"/>
        </w:rPr>
        <w:t>ed</w:t>
      </w:r>
      <w:r w:rsidRPr="00FB26F7">
        <w:rPr>
          <w:rFonts w:ascii="Times New Roman" w:hAnsi="Times New Roman" w:cs="Times New Roman"/>
          <w:color w:val="0070C0"/>
          <w:sz w:val="24"/>
          <w:szCs w:val="24"/>
          <w:lang w:val="en-NZ"/>
        </w:rPr>
        <w:t xml:space="preserve"> out that occurrences of considerable ephemeral correlations during extreme economic periods signal towards contagion theory where intensive relationships are developed under bearish circumstances. The global financial crisis and the recent COVID-19 pandemic have made systemic risk a focal point of interest for policymakers (</w:t>
      </w:r>
      <w:proofErr w:type="spellStart"/>
      <w:r w:rsidRPr="00FB26F7">
        <w:rPr>
          <w:rFonts w:ascii="Times New Roman" w:hAnsi="Times New Roman" w:cs="Times New Roman"/>
          <w:color w:val="0070C0"/>
          <w:sz w:val="24"/>
          <w:szCs w:val="24"/>
          <w:lang w:val="en-NZ"/>
        </w:rPr>
        <w:t>Avramov</w:t>
      </w:r>
      <w:proofErr w:type="spellEnd"/>
      <w:r w:rsidRPr="00FB26F7">
        <w:rPr>
          <w:rFonts w:ascii="Times New Roman" w:hAnsi="Times New Roman" w:cs="Times New Roman"/>
          <w:color w:val="0070C0"/>
          <w:sz w:val="24"/>
          <w:szCs w:val="24"/>
          <w:lang w:val="en-NZ"/>
        </w:rPr>
        <w:t xml:space="preserve"> et al., 2021; </w:t>
      </w:r>
      <w:proofErr w:type="spellStart"/>
      <w:r w:rsidRPr="00FB26F7">
        <w:rPr>
          <w:rFonts w:ascii="Times New Roman" w:hAnsi="Times New Roman" w:cs="Times New Roman"/>
          <w:color w:val="0070C0"/>
          <w:sz w:val="24"/>
          <w:szCs w:val="24"/>
          <w:lang w:val="en-NZ"/>
        </w:rPr>
        <w:t>Curfman</w:t>
      </w:r>
      <w:proofErr w:type="spellEnd"/>
      <w:r w:rsidRPr="00FB26F7">
        <w:rPr>
          <w:rFonts w:ascii="Times New Roman" w:hAnsi="Times New Roman" w:cs="Times New Roman"/>
          <w:color w:val="0070C0"/>
          <w:sz w:val="24"/>
          <w:szCs w:val="24"/>
          <w:lang w:val="en-NZ"/>
        </w:rPr>
        <w:t xml:space="preserve"> &amp; </w:t>
      </w:r>
      <w:proofErr w:type="spellStart"/>
      <w:r w:rsidRPr="00FB26F7">
        <w:rPr>
          <w:rFonts w:ascii="Times New Roman" w:hAnsi="Times New Roman" w:cs="Times New Roman"/>
          <w:color w:val="0070C0"/>
          <w:sz w:val="24"/>
          <w:szCs w:val="24"/>
          <w:lang w:val="en-NZ"/>
        </w:rPr>
        <w:t>Kandrac</w:t>
      </w:r>
      <w:proofErr w:type="spellEnd"/>
      <w:r w:rsidRPr="00FB26F7">
        <w:rPr>
          <w:rFonts w:ascii="Times New Roman" w:hAnsi="Times New Roman" w:cs="Times New Roman"/>
          <w:color w:val="0070C0"/>
          <w:sz w:val="24"/>
          <w:szCs w:val="24"/>
          <w:lang w:val="en-NZ"/>
        </w:rPr>
        <w:t xml:space="preserve">, 2021; Maurer &amp; Tran, 2021; </w:t>
      </w:r>
      <w:proofErr w:type="spellStart"/>
      <w:r w:rsidRPr="00FB26F7">
        <w:rPr>
          <w:rFonts w:ascii="Times New Roman" w:hAnsi="Times New Roman" w:cs="Times New Roman"/>
          <w:color w:val="0070C0"/>
          <w:sz w:val="24"/>
          <w:szCs w:val="24"/>
          <w:lang w:val="en-NZ"/>
        </w:rPr>
        <w:t>Mensi</w:t>
      </w:r>
      <w:proofErr w:type="spellEnd"/>
      <w:r w:rsidRPr="00FB26F7">
        <w:rPr>
          <w:rFonts w:ascii="Times New Roman" w:hAnsi="Times New Roman" w:cs="Times New Roman"/>
          <w:color w:val="0070C0"/>
          <w:sz w:val="24"/>
          <w:szCs w:val="24"/>
          <w:lang w:val="en-NZ"/>
        </w:rPr>
        <w:t xml:space="preserve"> et al., 2022) with a significant impact on trade channels, financial streams, growth collapses and growth recoveries, monetary and fiscal policies where drastic reduction in interest rates, adopting procyclical policies than countercyclical steps, tax hikes to cope capital outflows, and currency pressures followed the macroeconomic and financial uncertainties (Dew-Becker et al., 2021) ultimately surmounted tail-risk in emerging economies (</w:t>
      </w:r>
      <w:r w:rsidRPr="00FB26F7">
        <w:rPr>
          <w:rFonts w:ascii="Times New Roman" w:hAnsi="Times New Roman" w:cs="Times New Roman"/>
          <w:color w:val="0070C0"/>
          <w:sz w:val="24"/>
          <w:szCs w:val="24"/>
        </w:rPr>
        <w:t xml:space="preserve">Demir &amp; </w:t>
      </w:r>
      <w:proofErr w:type="spellStart"/>
      <w:r w:rsidRPr="00FB26F7">
        <w:rPr>
          <w:rFonts w:ascii="Times New Roman" w:hAnsi="Times New Roman" w:cs="Times New Roman"/>
          <w:color w:val="0070C0"/>
          <w:sz w:val="24"/>
          <w:szCs w:val="24"/>
        </w:rPr>
        <w:t>Javorcik</w:t>
      </w:r>
      <w:proofErr w:type="spellEnd"/>
      <w:r w:rsidRPr="00FB26F7">
        <w:rPr>
          <w:rFonts w:ascii="Times New Roman" w:hAnsi="Times New Roman" w:cs="Times New Roman"/>
          <w:color w:val="0070C0"/>
          <w:sz w:val="24"/>
          <w:szCs w:val="24"/>
        </w:rPr>
        <w:t xml:space="preserve">, 2020; </w:t>
      </w:r>
      <w:r w:rsidRPr="00FB26F7">
        <w:rPr>
          <w:rFonts w:ascii="Times New Roman" w:hAnsi="Times New Roman" w:cs="Times New Roman"/>
          <w:color w:val="0070C0"/>
          <w:sz w:val="24"/>
          <w:szCs w:val="24"/>
          <w:lang w:val="en-NZ"/>
        </w:rPr>
        <w:t>Zhang et al., 2020; Ashraf, 2020;</w:t>
      </w:r>
      <w:r w:rsidRPr="00FB26F7">
        <w:rPr>
          <w:rFonts w:ascii="Times New Roman" w:hAnsi="Times New Roman" w:cs="Times New Roman"/>
          <w:b/>
          <w:bCs/>
          <w:color w:val="0070C0"/>
          <w:sz w:val="24"/>
          <w:szCs w:val="24"/>
          <w:shd w:val="clear" w:color="auto" w:fill="FFFFFF"/>
        </w:rPr>
        <w:t xml:space="preserve"> </w:t>
      </w:r>
      <w:proofErr w:type="spellStart"/>
      <w:r w:rsidRPr="00FB26F7">
        <w:rPr>
          <w:rFonts w:ascii="Times New Roman" w:hAnsi="Times New Roman" w:cs="Times New Roman"/>
          <w:color w:val="0070C0"/>
          <w:sz w:val="24"/>
          <w:szCs w:val="24"/>
        </w:rPr>
        <w:t>Topcu</w:t>
      </w:r>
      <w:proofErr w:type="spellEnd"/>
      <w:r w:rsidRPr="00FB26F7">
        <w:rPr>
          <w:rFonts w:ascii="Times New Roman" w:hAnsi="Times New Roman" w:cs="Times New Roman"/>
          <w:color w:val="0070C0"/>
          <w:sz w:val="24"/>
          <w:szCs w:val="24"/>
        </w:rPr>
        <w:t xml:space="preserve"> &amp; </w:t>
      </w:r>
      <w:proofErr w:type="spellStart"/>
      <w:r w:rsidRPr="00FB26F7">
        <w:rPr>
          <w:rFonts w:ascii="Times New Roman" w:hAnsi="Times New Roman" w:cs="Times New Roman"/>
          <w:color w:val="0070C0"/>
          <w:sz w:val="24"/>
          <w:szCs w:val="24"/>
        </w:rPr>
        <w:t>Gulal</w:t>
      </w:r>
      <w:proofErr w:type="spellEnd"/>
      <w:r w:rsidRPr="00FB26F7">
        <w:rPr>
          <w:rFonts w:ascii="Times New Roman" w:hAnsi="Times New Roman" w:cs="Times New Roman"/>
          <w:color w:val="0070C0"/>
          <w:sz w:val="24"/>
          <w:szCs w:val="24"/>
        </w:rPr>
        <w:t xml:space="preserve">, 2020; Goodell, 2020; </w:t>
      </w:r>
      <w:proofErr w:type="spellStart"/>
      <w:r w:rsidRPr="00FB26F7">
        <w:rPr>
          <w:rFonts w:ascii="Times New Roman" w:hAnsi="Times New Roman" w:cs="Times New Roman"/>
          <w:color w:val="0070C0"/>
          <w:sz w:val="24"/>
          <w:szCs w:val="24"/>
        </w:rPr>
        <w:t>Bulutay</w:t>
      </w:r>
      <w:proofErr w:type="spellEnd"/>
      <w:r w:rsidRPr="00FB26F7">
        <w:rPr>
          <w:rFonts w:ascii="Times New Roman" w:hAnsi="Times New Roman" w:cs="Times New Roman"/>
          <w:color w:val="0070C0"/>
          <w:sz w:val="24"/>
          <w:szCs w:val="24"/>
        </w:rPr>
        <w:t xml:space="preserve"> et al., 2021; Pham et al., 2022; Naeem &amp; Karim, 2022</w:t>
      </w:r>
      <w:r w:rsidRPr="00FB26F7">
        <w:rPr>
          <w:rFonts w:ascii="Times New Roman" w:hAnsi="Times New Roman" w:cs="Times New Roman"/>
          <w:color w:val="0070C0"/>
          <w:sz w:val="24"/>
          <w:szCs w:val="24"/>
          <w:lang w:val="en-NZ"/>
        </w:rPr>
        <w:t>).</w:t>
      </w:r>
      <w:bookmarkEnd w:id="3"/>
    </w:p>
    <w:p w14:paraId="353ABC81" w14:textId="03809C27" w:rsidR="00014792" w:rsidRDefault="00FB26F7" w:rsidP="00CF3A87">
      <w:pPr>
        <w:spacing w:before="240" w:line="360" w:lineRule="auto"/>
        <w:jc w:val="both"/>
        <w:rPr>
          <w:rFonts w:ascii="Times New Roman" w:hAnsi="Times New Roman" w:cs="Times New Roman"/>
          <w:color w:val="0070C0"/>
          <w:sz w:val="24"/>
          <w:szCs w:val="24"/>
          <w:lang w:val="en-NZ"/>
        </w:rPr>
      </w:pPr>
      <w:r w:rsidRPr="00F33760">
        <w:rPr>
          <w:rFonts w:ascii="Times New Roman" w:hAnsi="Times New Roman" w:cs="Times New Roman"/>
          <w:color w:val="0070C0"/>
          <w:sz w:val="24"/>
          <w:szCs w:val="24"/>
          <w:lang w:val="en-NZ"/>
        </w:rPr>
        <w:t xml:space="preserve">Refers to the international portfolio diversification theory, investors should invest in those </w:t>
      </w:r>
      <w:r>
        <w:rPr>
          <w:rFonts w:ascii="Times New Roman" w:hAnsi="Times New Roman" w:cs="Times New Roman"/>
          <w:color w:val="0070C0"/>
          <w:sz w:val="24"/>
          <w:szCs w:val="24"/>
          <w:lang w:val="en-NZ"/>
        </w:rPr>
        <w:t xml:space="preserve">international </w:t>
      </w:r>
      <w:r w:rsidRPr="00F33760">
        <w:rPr>
          <w:rFonts w:ascii="Times New Roman" w:hAnsi="Times New Roman" w:cs="Times New Roman"/>
          <w:color w:val="0070C0"/>
          <w:sz w:val="24"/>
          <w:szCs w:val="24"/>
          <w:lang w:val="en-NZ"/>
        </w:rPr>
        <w:t>markets which are not/weakly connected with each other to get maximum benefit of diversification (</w:t>
      </w:r>
      <w:r w:rsidRPr="00CC014A">
        <w:rPr>
          <w:rFonts w:ascii="Times New Roman" w:hAnsi="Times New Roman" w:cs="Times New Roman"/>
          <w:color w:val="0070C0"/>
          <w:sz w:val="24"/>
          <w:szCs w:val="24"/>
          <w:lang w:val="en-NZ"/>
        </w:rPr>
        <w:t>Levy</w:t>
      </w:r>
      <w:r>
        <w:rPr>
          <w:rFonts w:ascii="Times New Roman" w:hAnsi="Times New Roman" w:cs="Times New Roman"/>
          <w:color w:val="0070C0"/>
          <w:sz w:val="24"/>
          <w:szCs w:val="24"/>
          <w:lang w:val="en-NZ"/>
        </w:rPr>
        <w:t xml:space="preserve"> and </w:t>
      </w:r>
      <w:proofErr w:type="spellStart"/>
      <w:r w:rsidRPr="00CC014A">
        <w:rPr>
          <w:rFonts w:ascii="Times New Roman" w:hAnsi="Times New Roman" w:cs="Times New Roman"/>
          <w:color w:val="0070C0"/>
          <w:sz w:val="24"/>
          <w:szCs w:val="24"/>
          <w:lang w:val="en-NZ"/>
        </w:rPr>
        <w:t>Sarnat</w:t>
      </w:r>
      <w:proofErr w:type="spellEnd"/>
      <w:r w:rsidRPr="00CC014A">
        <w:rPr>
          <w:rFonts w:ascii="Times New Roman" w:hAnsi="Times New Roman" w:cs="Times New Roman"/>
          <w:color w:val="0070C0"/>
          <w:sz w:val="24"/>
          <w:szCs w:val="24"/>
          <w:lang w:val="en-NZ"/>
        </w:rPr>
        <w:t>, 1970</w:t>
      </w:r>
      <w:r>
        <w:rPr>
          <w:rFonts w:ascii="Times New Roman" w:hAnsi="Times New Roman" w:cs="Times New Roman"/>
          <w:color w:val="0070C0"/>
          <w:sz w:val="24"/>
          <w:szCs w:val="24"/>
          <w:lang w:val="en-NZ"/>
        </w:rPr>
        <w:t xml:space="preserve">; </w:t>
      </w:r>
      <w:proofErr w:type="spellStart"/>
      <w:r>
        <w:rPr>
          <w:rFonts w:ascii="Times New Roman" w:hAnsi="Times New Roman" w:cs="Times New Roman"/>
          <w:color w:val="0070C0"/>
          <w:sz w:val="24"/>
          <w:szCs w:val="24"/>
          <w:lang w:val="en-NZ"/>
        </w:rPr>
        <w:t>Solnik</w:t>
      </w:r>
      <w:proofErr w:type="spellEnd"/>
      <w:r>
        <w:rPr>
          <w:rFonts w:ascii="Times New Roman" w:hAnsi="Times New Roman" w:cs="Times New Roman"/>
          <w:color w:val="0070C0"/>
          <w:sz w:val="24"/>
          <w:szCs w:val="24"/>
          <w:lang w:val="en-NZ"/>
        </w:rPr>
        <w:t xml:space="preserve">, 1974; </w:t>
      </w:r>
      <w:proofErr w:type="spellStart"/>
      <w:r>
        <w:rPr>
          <w:rFonts w:ascii="Times New Roman" w:hAnsi="Times New Roman" w:cs="Times New Roman"/>
          <w:color w:val="0070C0"/>
          <w:sz w:val="24"/>
          <w:szCs w:val="24"/>
          <w:lang w:val="en-NZ"/>
        </w:rPr>
        <w:t>Meric</w:t>
      </w:r>
      <w:proofErr w:type="spellEnd"/>
      <w:r>
        <w:rPr>
          <w:rFonts w:ascii="Times New Roman" w:hAnsi="Times New Roman" w:cs="Times New Roman"/>
          <w:color w:val="0070C0"/>
          <w:sz w:val="24"/>
          <w:szCs w:val="24"/>
          <w:lang w:val="en-NZ"/>
        </w:rPr>
        <w:t xml:space="preserve"> and </w:t>
      </w:r>
      <w:proofErr w:type="spellStart"/>
      <w:r>
        <w:rPr>
          <w:rFonts w:ascii="Times New Roman" w:hAnsi="Times New Roman" w:cs="Times New Roman"/>
          <w:color w:val="0070C0"/>
          <w:sz w:val="24"/>
          <w:szCs w:val="24"/>
          <w:lang w:val="en-NZ"/>
        </w:rPr>
        <w:t>Meric</w:t>
      </w:r>
      <w:proofErr w:type="spellEnd"/>
      <w:r>
        <w:rPr>
          <w:rFonts w:ascii="Times New Roman" w:hAnsi="Times New Roman" w:cs="Times New Roman"/>
          <w:color w:val="0070C0"/>
          <w:sz w:val="24"/>
          <w:szCs w:val="24"/>
          <w:lang w:val="en-NZ"/>
        </w:rPr>
        <w:t>, 1989</w:t>
      </w:r>
      <w:r w:rsidRPr="00F33760">
        <w:rPr>
          <w:rFonts w:ascii="Times New Roman" w:hAnsi="Times New Roman" w:cs="Times New Roman"/>
          <w:color w:val="0070C0"/>
          <w:sz w:val="24"/>
          <w:szCs w:val="24"/>
          <w:lang w:val="en-NZ"/>
        </w:rPr>
        <w:t>).</w:t>
      </w:r>
      <w:r>
        <w:rPr>
          <w:rFonts w:ascii="Times New Roman" w:hAnsi="Times New Roman" w:cs="Times New Roman"/>
          <w:color w:val="0070C0"/>
          <w:sz w:val="24"/>
          <w:szCs w:val="24"/>
          <w:lang w:val="en-NZ"/>
        </w:rPr>
        <w:t xml:space="preserve"> In contrast, i</w:t>
      </w:r>
      <w:r w:rsidRPr="00F33760">
        <w:rPr>
          <w:rFonts w:ascii="Times New Roman" w:hAnsi="Times New Roman" w:cs="Times New Roman"/>
          <w:color w:val="0070C0"/>
          <w:sz w:val="24"/>
          <w:szCs w:val="24"/>
          <w:lang w:val="en-NZ"/>
        </w:rPr>
        <w:t xml:space="preserve">f the </w:t>
      </w:r>
      <w:r>
        <w:rPr>
          <w:rFonts w:ascii="Times New Roman" w:hAnsi="Times New Roman" w:cs="Times New Roman"/>
          <w:color w:val="0070C0"/>
          <w:sz w:val="24"/>
          <w:szCs w:val="24"/>
          <w:lang w:val="en-NZ"/>
        </w:rPr>
        <w:t xml:space="preserve">international </w:t>
      </w:r>
      <w:r w:rsidRPr="00F33760">
        <w:rPr>
          <w:rFonts w:ascii="Times New Roman" w:hAnsi="Times New Roman" w:cs="Times New Roman"/>
          <w:color w:val="0070C0"/>
          <w:sz w:val="24"/>
          <w:szCs w:val="24"/>
          <w:lang w:val="en-NZ"/>
        </w:rPr>
        <w:t xml:space="preserve">markets are highly connected, especially in the crisis periods, then the volatility (risk) transfers from one market to another, which </w:t>
      </w:r>
      <w:r>
        <w:rPr>
          <w:rFonts w:ascii="Times New Roman" w:hAnsi="Times New Roman" w:cs="Times New Roman"/>
          <w:color w:val="0070C0"/>
          <w:sz w:val="24"/>
          <w:szCs w:val="24"/>
          <w:lang w:val="en-NZ"/>
        </w:rPr>
        <w:t xml:space="preserve">may </w:t>
      </w:r>
      <w:r w:rsidRPr="00F33760">
        <w:rPr>
          <w:rFonts w:ascii="Times New Roman" w:hAnsi="Times New Roman" w:cs="Times New Roman"/>
          <w:color w:val="0070C0"/>
          <w:sz w:val="24"/>
          <w:szCs w:val="24"/>
          <w:lang w:val="en-NZ"/>
        </w:rPr>
        <w:t xml:space="preserve">ultimately lead towards the huge losses in the </w:t>
      </w:r>
      <w:r>
        <w:rPr>
          <w:rFonts w:ascii="Times New Roman" w:hAnsi="Times New Roman" w:cs="Times New Roman"/>
          <w:color w:val="0070C0"/>
          <w:sz w:val="24"/>
          <w:szCs w:val="24"/>
          <w:lang w:val="en-NZ"/>
        </w:rPr>
        <w:t xml:space="preserve">international </w:t>
      </w:r>
      <w:r w:rsidRPr="00F33760">
        <w:rPr>
          <w:rFonts w:ascii="Times New Roman" w:hAnsi="Times New Roman" w:cs="Times New Roman"/>
          <w:color w:val="0070C0"/>
          <w:sz w:val="24"/>
          <w:szCs w:val="24"/>
          <w:lang w:val="en-NZ"/>
        </w:rPr>
        <w:t>investment portfolios</w:t>
      </w:r>
      <w:r>
        <w:rPr>
          <w:rFonts w:ascii="Times New Roman" w:hAnsi="Times New Roman" w:cs="Times New Roman"/>
          <w:color w:val="0070C0"/>
          <w:sz w:val="24"/>
          <w:szCs w:val="24"/>
          <w:lang w:val="en-NZ"/>
        </w:rPr>
        <w:t>, t</w:t>
      </w:r>
      <w:r w:rsidRPr="001A71B1">
        <w:rPr>
          <w:rFonts w:ascii="Times New Roman" w:hAnsi="Times New Roman" w:cs="Times New Roman"/>
          <w:color w:val="0070C0"/>
          <w:sz w:val="24"/>
          <w:szCs w:val="24"/>
          <w:lang w:val="en-NZ"/>
        </w:rPr>
        <w:t>his phenomen</w:t>
      </w:r>
      <w:r>
        <w:rPr>
          <w:rFonts w:ascii="Times New Roman" w:hAnsi="Times New Roman" w:cs="Times New Roman"/>
          <w:color w:val="0070C0"/>
          <w:sz w:val="24"/>
          <w:szCs w:val="24"/>
          <w:lang w:val="en-NZ"/>
        </w:rPr>
        <w:t>on</w:t>
      </w:r>
      <w:r w:rsidRPr="001A71B1">
        <w:rPr>
          <w:rFonts w:ascii="Times New Roman" w:hAnsi="Times New Roman" w:cs="Times New Roman"/>
          <w:color w:val="0070C0"/>
          <w:sz w:val="24"/>
          <w:szCs w:val="24"/>
          <w:lang w:val="en-NZ"/>
        </w:rPr>
        <w:t xml:space="preserve"> is called </w:t>
      </w:r>
      <w:r>
        <w:rPr>
          <w:rFonts w:ascii="Times New Roman" w:hAnsi="Times New Roman" w:cs="Times New Roman"/>
          <w:color w:val="0070C0"/>
          <w:sz w:val="24"/>
          <w:szCs w:val="24"/>
          <w:lang w:val="en-NZ"/>
        </w:rPr>
        <w:t>‘f</w:t>
      </w:r>
      <w:r w:rsidRPr="001A71B1">
        <w:rPr>
          <w:rFonts w:ascii="Times New Roman" w:hAnsi="Times New Roman" w:cs="Times New Roman"/>
          <w:color w:val="0070C0"/>
          <w:sz w:val="24"/>
          <w:szCs w:val="24"/>
          <w:lang w:val="en-NZ"/>
        </w:rPr>
        <w:t>inancial contagion</w:t>
      </w:r>
      <w:r>
        <w:rPr>
          <w:rFonts w:ascii="Times New Roman" w:hAnsi="Times New Roman" w:cs="Times New Roman"/>
          <w:color w:val="0070C0"/>
          <w:sz w:val="24"/>
          <w:szCs w:val="24"/>
          <w:lang w:val="en-NZ"/>
        </w:rPr>
        <w:t>’</w:t>
      </w:r>
      <w:r w:rsidRPr="00F33760">
        <w:rPr>
          <w:rFonts w:ascii="Times New Roman" w:hAnsi="Times New Roman" w:cs="Times New Roman"/>
          <w:color w:val="0070C0"/>
          <w:sz w:val="24"/>
          <w:szCs w:val="24"/>
          <w:lang w:val="en-NZ"/>
        </w:rPr>
        <w:t xml:space="preserve">. </w:t>
      </w:r>
      <w:proofErr w:type="spellStart"/>
      <w:r w:rsidRPr="00F33760">
        <w:rPr>
          <w:rFonts w:ascii="Times New Roman" w:hAnsi="Times New Roman" w:cs="Times New Roman"/>
          <w:color w:val="0070C0"/>
          <w:sz w:val="24"/>
          <w:szCs w:val="24"/>
          <w:lang w:val="en-NZ"/>
        </w:rPr>
        <w:t>Bouri</w:t>
      </w:r>
      <w:proofErr w:type="spellEnd"/>
      <w:r w:rsidRPr="00F33760">
        <w:rPr>
          <w:rFonts w:ascii="Times New Roman" w:hAnsi="Times New Roman" w:cs="Times New Roman"/>
          <w:color w:val="0070C0"/>
          <w:sz w:val="24"/>
          <w:szCs w:val="24"/>
          <w:lang w:val="en-NZ"/>
        </w:rPr>
        <w:t xml:space="preserve"> (</w:t>
      </w:r>
      <w:r>
        <w:rPr>
          <w:rFonts w:ascii="Times New Roman" w:hAnsi="Times New Roman" w:cs="Times New Roman"/>
          <w:color w:val="0070C0"/>
          <w:sz w:val="24"/>
          <w:szCs w:val="24"/>
          <w:lang w:val="en-NZ"/>
        </w:rPr>
        <w:t>2015</w:t>
      </w:r>
      <w:r w:rsidRPr="00F33760">
        <w:rPr>
          <w:rFonts w:ascii="Times New Roman" w:hAnsi="Times New Roman" w:cs="Times New Roman"/>
          <w:color w:val="0070C0"/>
          <w:sz w:val="24"/>
          <w:szCs w:val="24"/>
          <w:lang w:val="en-NZ"/>
        </w:rPr>
        <w:t>) suggests that investors should adjust their portfolios in these left tail events (crisis episodes) to avoid huge losses</w:t>
      </w:r>
      <w:r>
        <w:rPr>
          <w:rFonts w:ascii="Times New Roman" w:hAnsi="Times New Roman" w:cs="Times New Roman"/>
          <w:color w:val="0070C0"/>
          <w:sz w:val="24"/>
          <w:szCs w:val="24"/>
          <w:lang w:val="en-NZ"/>
        </w:rPr>
        <w:t xml:space="preserve"> and get maximum benefit of diversification, as</w:t>
      </w:r>
      <w:r w:rsidRPr="00F33760">
        <w:rPr>
          <w:rFonts w:ascii="Times New Roman" w:hAnsi="Times New Roman" w:cs="Times New Roman"/>
          <w:color w:val="0070C0"/>
          <w:sz w:val="24"/>
          <w:szCs w:val="24"/>
          <w:lang w:val="en-NZ"/>
        </w:rPr>
        <w:t xml:space="preserve"> connectedness between markets change during these events.  </w:t>
      </w:r>
      <w:r>
        <w:rPr>
          <w:rFonts w:ascii="Times New Roman" w:hAnsi="Times New Roman" w:cs="Times New Roman"/>
          <w:color w:val="0070C0"/>
          <w:sz w:val="24"/>
          <w:szCs w:val="24"/>
          <w:lang w:val="en-NZ"/>
        </w:rPr>
        <w:t xml:space="preserve">Hence, the analysis of tail event-based connectedness between emerging markets can provide useful </w:t>
      </w:r>
      <w:r>
        <w:rPr>
          <w:rFonts w:ascii="Times New Roman" w:hAnsi="Times New Roman" w:cs="Times New Roman"/>
          <w:color w:val="0070C0"/>
          <w:sz w:val="24"/>
          <w:szCs w:val="24"/>
          <w:lang w:val="en-NZ"/>
        </w:rPr>
        <w:lastRenderedPageBreak/>
        <w:t>information to portfolio managers regarding efficient portfolio management in presence of left tail events.</w:t>
      </w:r>
    </w:p>
    <w:p w14:paraId="45008A19" w14:textId="6381F4EC" w:rsidR="00405CDF" w:rsidRPr="00643780" w:rsidRDefault="00CF3A87" w:rsidP="003950B7">
      <w:pPr>
        <w:spacing w:before="240" w:line="360" w:lineRule="auto"/>
        <w:ind w:firstLine="720"/>
        <w:jc w:val="both"/>
        <w:rPr>
          <w:rFonts w:ascii="Times New Roman" w:hAnsi="Times New Roman" w:cs="Times New Roman"/>
          <w:b/>
          <w:bCs/>
          <w:sz w:val="24"/>
          <w:szCs w:val="24"/>
          <w:lang w:val="en-NZ"/>
        </w:rPr>
      </w:pPr>
      <w:r w:rsidRPr="009944C2">
        <w:rPr>
          <w:rFonts w:ascii="Times New Roman" w:hAnsi="Times New Roman" w:cs="Times New Roman"/>
          <w:color w:val="0070C0"/>
          <w:sz w:val="24"/>
          <w:szCs w:val="24"/>
          <w:lang w:val="en-NZ"/>
        </w:rPr>
        <w:t xml:space="preserve">Specifically, the substantial differences in risk exposure between emerging and developed markets during crisis times </w:t>
      </w:r>
      <w:r w:rsidR="00E441C9" w:rsidRPr="009944C2">
        <w:rPr>
          <w:rFonts w:ascii="Times New Roman" w:hAnsi="Times New Roman" w:cs="Times New Roman"/>
          <w:color w:val="0070C0"/>
          <w:sz w:val="24"/>
          <w:szCs w:val="24"/>
          <w:lang w:val="en-NZ"/>
        </w:rPr>
        <w:t>are</w:t>
      </w:r>
      <w:r w:rsidRPr="009944C2">
        <w:rPr>
          <w:rFonts w:ascii="Times New Roman" w:hAnsi="Times New Roman" w:cs="Times New Roman"/>
          <w:color w:val="0070C0"/>
          <w:sz w:val="24"/>
          <w:szCs w:val="24"/>
          <w:lang w:val="en-NZ"/>
        </w:rPr>
        <w:t xml:space="preserve"> due to several structural, financial,</w:t>
      </w:r>
      <w:r w:rsidR="00AB0F08" w:rsidRPr="009944C2">
        <w:rPr>
          <w:rFonts w:ascii="Times New Roman" w:hAnsi="Times New Roman" w:cs="Times New Roman"/>
          <w:color w:val="0070C0"/>
          <w:sz w:val="24"/>
          <w:szCs w:val="24"/>
          <w:lang w:val="en-NZ"/>
        </w:rPr>
        <w:t xml:space="preserve"> </w:t>
      </w:r>
      <w:r w:rsidR="00A67D75">
        <w:rPr>
          <w:rFonts w:ascii="Times New Roman" w:hAnsi="Times New Roman" w:cs="Times New Roman"/>
          <w:color w:val="0070C0"/>
          <w:sz w:val="24"/>
          <w:szCs w:val="24"/>
          <w:lang w:val="en-NZ"/>
        </w:rPr>
        <w:t xml:space="preserve">geopolitical, </w:t>
      </w:r>
      <w:r w:rsidRPr="009944C2">
        <w:rPr>
          <w:rFonts w:ascii="Times New Roman" w:hAnsi="Times New Roman" w:cs="Times New Roman"/>
          <w:color w:val="0070C0"/>
          <w:sz w:val="24"/>
          <w:szCs w:val="24"/>
          <w:lang w:val="en-NZ"/>
        </w:rPr>
        <w:t>institutional</w:t>
      </w:r>
      <w:r w:rsidR="00E441C9" w:rsidRPr="009944C2">
        <w:rPr>
          <w:rFonts w:ascii="Times New Roman" w:hAnsi="Times New Roman" w:cs="Times New Roman"/>
          <w:color w:val="0070C0"/>
          <w:sz w:val="24"/>
          <w:szCs w:val="24"/>
          <w:lang w:val="en-NZ"/>
        </w:rPr>
        <w:t>,</w:t>
      </w:r>
      <w:r w:rsidRPr="009944C2">
        <w:rPr>
          <w:rFonts w:ascii="Times New Roman" w:hAnsi="Times New Roman" w:cs="Times New Roman"/>
          <w:color w:val="0070C0"/>
          <w:sz w:val="24"/>
          <w:szCs w:val="24"/>
          <w:lang w:val="en-NZ"/>
        </w:rPr>
        <w:t xml:space="preserve"> </w:t>
      </w:r>
      <w:r w:rsidR="009944C2" w:rsidRPr="009944C2">
        <w:rPr>
          <w:rFonts w:ascii="Times New Roman" w:hAnsi="Times New Roman" w:cs="Times New Roman"/>
          <w:color w:val="0070C0"/>
          <w:sz w:val="24"/>
          <w:szCs w:val="24"/>
          <w:lang w:val="en-NZ"/>
        </w:rPr>
        <w:t xml:space="preserve">political, </w:t>
      </w:r>
      <w:r w:rsidRPr="009944C2">
        <w:rPr>
          <w:rFonts w:ascii="Times New Roman" w:hAnsi="Times New Roman" w:cs="Times New Roman"/>
          <w:color w:val="0070C0"/>
          <w:sz w:val="24"/>
          <w:szCs w:val="24"/>
          <w:lang w:val="en-NZ"/>
        </w:rPr>
        <w:t>and macroeconomic factors (</w:t>
      </w:r>
      <w:proofErr w:type="spellStart"/>
      <w:r w:rsidRPr="009944C2">
        <w:rPr>
          <w:rFonts w:ascii="Times New Roman" w:hAnsi="Times New Roman" w:cs="Times New Roman"/>
          <w:color w:val="0070C0"/>
          <w:sz w:val="24"/>
          <w:szCs w:val="24"/>
        </w:rPr>
        <w:t>Bunda</w:t>
      </w:r>
      <w:proofErr w:type="spellEnd"/>
      <w:r w:rsidR="00D47DF9" w:rsidRPr="009944C2">
        <w:rPr>
          <w:rFonts w:ascii="Times New Roman" w:hAnsi="Times New Roman" w:cs="Times New Roman"/>
          <w:color w:val="0070C0"/>
          <w:sz w:val="24"/>
          <w:szCs w:val="24"/>
          <w:lang w:val="en-NZ"/>
        </w:rPr>
        <w:t xml:space="preserve"> et al., 20</w:t>
      </w:r>
      <w:r w:rsidRPr="009944C2">
        <w:rPr>
          <w:rFonts w:ascii="Times New Roman" w:hAnsi="Times New Roman" w:cs="Times New Roman"/>
          <w:color w:val="0070C0"/>
          <w:sz w:val="24"/>
          <w:szCs w:val="24"/>
          <w:lang w:val="en-NZ"/>
        </w:rPr>
        <w:t xml:space="preserve">11; </w:t>
      </w:r>
      <w:proofErr w:type="spellStart"/>
      <w:r w:rsidRPr="009944C2">
        <w:rPr>
          <w:rFonts w:ascii="Times New Roman" w:hAnsi="Times New Roman" w:cs="Times New Roman"/>
          <w:color w:val="0070C0"/>
          <w:sz w:val="24"/>
          <w:szCs w:val="24"/>
          <w:lang w:val="en-NZ"/>
        </w:rPr>
        <w:t>Jin</w:t>
      </w:r>
      <w:proofErr w:type="spellEnd"/>
      <w:r w:rsidRPr="009944C2">
        <w:rPr>
          <w:rFonts w:ascii="Times New Roman" w:hAnsi="Times New Roman" w:cs="Times New Roman"/>
          <w:color w:val="0070C0"/>
          <w:sz w:val="24"/>
          <w:szCs w:val="24"/>
          <w:lang w:val="en-NZ"/>
        </w:rPr>
        <w:t xml:space="preserve"> &amp; An, 2016;</w:t>
      </w:r>
      <w:r w:rsidRPr="009944C2">
        <w:rPr>
          <w:rFonts w:ascii="Times New Roman" w:hAnsi="Times New Roman" w:cs="Times New Roman"/>
          <w:color w:val="0070C0"/>
          <w:sz w:val="24"/>
          <w:szCs w:val="24"/>
          <w:shd w:val="clear" w:color="auto" w:fill="FFFFFF"/>
        </w:rPr>
        <w:t xml:space="preserve"> </w:t>
      </w:r>
      <w:proofErr w:type="spellStart"/>
      <w:r w:rsidR="00834D56" w:rsidRPr="009944C2">
        <w:rPr>
          <w:rFonts w:ascii="Times New Roman" w:hAnsi="Times New Roman" w:cs="Times New Roman"/>
          <w:color w:val="0070C0"/>
          <w:sz w:val="24"/>
          <w:szCs w:val="24"/>
        </w:rPr>
        <w:t>Gozgor</w:t>
      </w:r>
      <w:proofErr w:type="spellEnd"/>
      <w:r w:rsidR="00834D56" w:rsidRPr="009944C2">
        <w:rPr>
          <w:rFonts w:ascii="Times New Roman" w:hAnsi="Times New Roman" w:cs="Times New Roman"/>
          <w:color w:val="0070C0"/>
          <w:sz w:val="24"/>
          <w:szCs w:val="24"/>
        </w:rPr>
        <w:t xml:space="preserve"> 2018</w:t>
      </w:r>
      <w:r w:rsidR="00834D56">
        <w:rPr>
          <w:rFonts w:ascii="Times New Roman" w:hAnsi="Times New Roman" w:cs="Times New Roman"/>
          <w:color w:val="0070C0"/>
          <w:sz w:val="24"/>
          <w:szCs w:val="24"/>
        </w:rPr>
        <w:t xml:space="preserve">; </w:t>
      </w:r>
      <w:r w:rsidRPr="009944C2">
        <w:rPr>
          <w:rFonts w:ascii="Times New Roman" w:hAnsi="Times New Roman" w:cs="Times New Roman"/>
          <w:color w:val="0070C0"/>
          <w:sz w:val="24"/>
          <w:szCs w:val="24"/>
          <w:lang w:val="en-NZ"/>
        </w:rPr>
        <w:t>Salisu et al., 2020;</w:t>
      </w:r>
      <w:r w:rsidR="009944C2" w:rsidRPr="009944C2">
        <w:rPr>
          <w:rFonts w:ascii="Times New Roman" w:hAnsi="Times New Roman" w:cs="Times New Roman"/>
          <w:color w:val="0070C0"/>
          <w:sz w:val="24"/>
          <w:szCs w:val="24"/>
        </w:rPr>
        <w:t xml:space="preserve"> </w:t>
      </w:r>
      <w:r w:rsidR="00A67D75">
        <w:rPr>
          <w:rFonts w:ascii="Times New Roman" w:hAnsi="Times New Roman" w:cs="Times New Roman"/>
          <w:color w:val="0070C0"/>
          <w:sz w:val="24"/>
          <w:szCs w:val="24"/>
        </w:rPr>
        <w:t>Zhou et al., 2020</w:t>
      </w:r>
      <w:r w:rsidR="00834D56">
        <w:rPr>
          <w:rFonts w:ascii="Times New Roman" w:hAnsi="Times New Roman" w:cs="Times New Roman"/>
          <w:color w:val="0070C0"/>
          <w:sz w:val="24"/>
          <w:szCs w:val="24"/>
        </w:rPr>
        <w:t xml:space="preserve">; </w:t>
      </w:r>
      <w:r w:rsidR="00EA5082">
        <w:rPr>
          <w:rFonts w:ascii="Times New Roman" w:hAnsi="Times New Roman" w:cs="Times New Roman"/>
          <w:color w:val="0070C0"/>
          <w:sz w:val="24"/>
          <w:szCs w:val="24"/>
        </w:rPr>
        <w:t xml:space="preserve">Umar et al., 2021; </w:t>
      </w:r>
      <w:proofErr w:type="spellStart"/>
      <w:r w:rsidR="00834D56" w:rsidRPr="009944C2">
        <w:rPr>
          <w:rFonts w:ascii="Times New Roman" w:hAnsi="Times New Roman" w:cs="Times New Roman"/>
          <w:color w:val="0070C0"/>
          <w:sz w:val="24"/>
          <w:szCs w:val="24"/>
        </w:rPr>
        <w:t>Harjoto</w:t>
      </w:r>
      <w:proofErr w:type="spellEnd"/>
      <w:r w:rsidR="00834D56" w:rsidRPr="009944C2">
        <w:rPr>
          <w:rFonts w:ascii="Times New Roman" w:hAnsi="Times New Roman" w:cs="Times New Roman"/>
          <w:color w:val="0070C0"/>
          <w:sz w:val="24"/>
          <w:szCs w:val="24"/>
        </w:rPr>
        <w:t xml:space="preserve"> et al., 2021</w:t>
      </w:r>
      <w:r w:rsidRPr="009944C2">
        <w:rPr>
          <w:rFonts w:ascii="Times New Roman" w:hAnsi="Times New Roman" w:cs="Times New Roman"/>
          <w:color w:val="0070C0"/>
          <w:sz w:val="24"/>
          <w:szCs w:val="24"/>
          <w:lang w:val="en-NZ"/>
        </w:rPr>
        <w:t xml:space="preserve">). </w:t>
      </w:r>
      <w:r w:rsidRPr="006F4180">
        <w:rPr>
          <w:rFonts w:ascii="Times New Roman" w:hAnsi="Times New Roman" w:cs="Times New Roman"/>
          <w:sz w:val="24"/>
          <w:szCs w:val="24"/>
          <w:lang w:val="en-NZ"/>
        </w:rPr>
        <w:t xml:space="preserve">The rationale behind using two crisis periods (GFC and COVID-19) entails </w:t>
      </w:r>
      <w:r w:rsidR="00E441C9"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varied nature of the shocks created by these distress</w:t>
      </w:r>
      <w:r w:rsidR="00E441C9" w:rsidRPr="006F4180">
        <w:rPr>
          <w:rFonts w:ascii="Times New Roman" w:hAnsi="Times New Roman" w:cs="Times New Roman"/>
          <w:sz w:val="24"/>
          <w:szCs w:val="24"/>
          <w:lang w:val="en-NZ"/>
        </w:rPr>
        <w:t>ing</w:t>
      </w:r>
      <w:r w:rsidRPr="006F4180">
        <w:rPr>
          <w:rFonts w:ascii="Times New Roman" w:hAnsi="Times New Roman" w:cs="Times New Roman"/>
          <w:sz w:val="24"/>
          <w:szCs w:val="24"/>
          <w:lang w:val="en-NZ"/>
        </w:rPr>
        <w:t xml:space="preserve"> events. For instance, </w:t>
      </w:r>
      <w:r w:rsidR="00E441C9"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global financial crisis is marked as a chain reaction of credit risk</w:t>
      </w:r>
      <w:r w:rsidR="00E441C9"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 which triggered liquidity shortfall in the</w:t>
      </w:r>
      <w:r w:rsidR="001D3528" w:rsidRPr="006F4180">
        <w:rPr>
          <w:rFonts w:ascii="Times New Roman" w:hAnsi="Times New Roman" w:cs="Times New Roman"/>
          <w:sz w:val="24"/>
          <w:szCs w:val="24"/>
          <w:lang w:val="en-NZ"/>
        </w:rPr>
        <w:t xml:space="preserve"> US financial industry (</w:t>
      </w:r>
      <w:proofErr w:type="spellStart"/>
      <w:r w:rsidR="001D3528" w:rsidRPr="006F4180">
        <w:rPr>
          <w:rFonts w:ascii="Times New Roman" w:hAnsi="Times New Roman" w:cs="Times New Roman"/>
          <w:sz w:val="24"/>
          <w:szCs w:val="24"/>
          <w:lang w:val="en-NZ"/>
        </w:rPr>
        <w:t>Jin</w:t>
      </w:r>
      <w:proofErr w:type="spellEnd"/>
      <w:r w:rsidR="001D3528" w:rsidRPr="006F4180">
        <w:rPr>
          <w:rFonts w:ascii="Times New Roman" w:hAnsi="Times New Roman" w:cs="Times New Roman"/>
          <w:sz w:val="24"/>
          <w:szCs w:val="24"/>
          <w:lang w:val="en-NZ"/>
        </w:rPr>
        <w:t xml:space="preserve"> &amp; An</w:t>
      </w:r>
      <w:r w:rsidRPr="006F4180">
        <w:rPr>
          <w:rFonts w:ascii="Times New Roman" w:hAnsi="Times New Roman" w:cs="Times New Roman"/>
          <w:sz w:val="24"/>
          <w:szCs w:val="24"/>
          <w:lang w:val="en-NZ"/>
        </w:rPr>
        <w:t>, 2015)</w:t>
      </w:r>
      <w:r w:rsidR="00E441C9" w:rsidRPr="006F4180">
        <w:rPr>
          <w:rFonts w:ascii="Times New Roman" w:hAnsi="Times New Roman" w:cs="Times New Roman"/>
          <w:sz w:val="24"/>
          <w:szCs w:val="24"/>
          <w:lang w:val="en-NZ"/>
        </w:rPr>
        <w:t xml:space="preserve">. </w:t>
      </w:r>
      <w:r w:rsidR="00405CDF" w:rsidRPr="006F4180">
        <w:rPr>
          <w:rFonts w:ascii="Times New Roman" w:hAnsi="Times New Roman" w:cs="Times New Roman"/>
          <w:sz w:val="24"/>
          <w:szCs w:val="24"/>
          <w:lang w:val="en-NZ"/>
        </w:rPr>
        <w:t>Evidence suggests</w:t>
      </w:r>
      <w:r w:rsidR="00BE00CC" w:rsidRPr="006F4180">
        <w:rPr>
          <w:rFonts w:ascii="Times New Roman" w:hAnsi="Times New Roman" w:cs="Times New Roman"/>
          <w:sz w:val="24"/>
          <w:szCs w:val="24"/>
          <w:lang w:val="en-NZ"/>
        </w:rPr>
        <w:t>,</w:t>
      </w:r>
      <w:r w:rsidR="00405CDF" w:rsidRPr="006F4180">
        <w:rPr>
          <w:rFonts w:ascii="Times New Roman" w:hAnsi="Times New Roman" w:cs="Times New Roman"/>
          <w:sz w:val="24"/>
          <w:szCs w:val="24"/>
          <w:lang w:val="en-NZ"/>
        </w:rPr>
        <w:t xml:space="preserve"> though emerging economies performed better following the plain growth rates, but variations occur when plain growth rates are compared with pre-crisis growth rates (Didier et al., 2012). </w:t>
      </w:r>
    </w:p>
    <w:p w14:paraId="325E4913" w14:textId="7360B086" w:rsidR="00CF3A87" w:rsidRPr="00643780" w:rsidRDefault="00E441C9" w:rsidP="003950B7">
      <w:pPr>
        <w:spacing w:before="240" w:line="360" w:lineRule="auto"/>
        <w:ind w:firstLine="720"/>
        <w:jc w:val="both"/>
        <w:rPr>
          <w:rFonts w:ascii="Times New Roman" w:hAnsi="Times New Roman" w:cs="Times New Roman"/>
          <w:b/>
          <w:bCs/>
          <w:sz w:val="24"/>
          <w:szCs w:val="24"/>
          <w:lang w:val="en-NZ"/>
        </w:rPr>
      </w:pPr>
      <w:r w:rsidRPr="00650636">
        <w:rPr>
          <w:rFonts w:ascii="Times New Roman" w:hAnsi="Times New Roman" w:cs="Times New Roman"/>
          <w:sz w:val="24"/>
          <w:szCs w:val="24"/>
          <w:lang w:val="en-NZ"/>
        </w:rPr>
        <w:t>In contrast,</w:t>
      </w:r>
      <w:r w:rsidR="00CF3A87" w:rsidRPr="00650636">
        <w:rPr>
          <w:rFonts w:ascii="Times New Roman" w:hAnsi="Times New Roman" w:cs="Times New Roman"/>
          <w:sz w:val="24"/>
          <w:szCs w:val="24"/>
          <w:lang w:val="en-NZ"/>
        </w:rPr>
        <w:t xml:space="preserve"> </w:t>
      </w:r>
      <w:r w:rsidRPr="00650636">
        <w:rPr>
          <w:rFonts w:ascii="Times New Roman" w:hAnsi="Times New Roman" w:cs="Times New Roman"/>
          <w:sz w:val="24"/>
          <w:szCs w:val="24"/>
          <w:lang w:val="en-NZ"/>
        </w:rPr>
        <w:t xml:space="preserve">the </w:t>
      </w:r>
      <w:r w:rsidR="00CF3A87" w:rsidRPr="00650636">
        <w:rPr>
          <w:rFonts w:ascii="Times New Roman" w:hAnsi="Times New Roman" w:cs="Times New Roman"/>
          <w:sz w:val="24"/>
          <w:szCs w:val="24"/>
          <w:lang w:val="en-NZ"/>
        </w:rPr>
        <w:t>COVID-19 pandemic appeared as a global health emergency with severe restrictions and standard operating procedures (SOPs) to avoid exponential death rates (WHO, 2020)</w:t>
      </w:r>
      <w:r w:rsidR="00FC0D75" w:rsidRPr="00650636">
        <w:rPr>
          <w:rStyle w:val="FootnoteReference"/>
          <w:rFonts w:ascii="Times New Roman" w:hAnsi="Times New Roman" w:cs="Times New Roman"/>
          <w:sz w:val="24"/>
          <w:szCs w:val="24"/>
          <w:lang w:val="en-NZ"/>
        </w:rPr>
        <w:footnoteReference w:id="2"/>
      </w:r>
      <w:r w:rsidR="00CF3A87" w:rsidRPr="00650636">
        <w:rPr>
          <w:rFonts w:ascii="Times New Roman" w:hAnsi="Times New Roman" w:cs="Times New Roman"/>
          <w:sz w:val="24"/>
          <w:szCs w:val="24"/>
          <w:lang w:val="en-NZ"/>
        </w:rPr>
        <w:t xml:space="preserve">. The global financial crisis reported </w:t>
      </w:r>
      <w:r w:rsidRPr="00650636">
        <w:rPr>
          <w:rFonts w:ascii="Times New Roman" w:hAnsi="Times New Roman" w:cs="Times New Roman"/>
          <w:sz w:val="24"/>
          <w:szCs w:val="24"/>
          <w:lang w:val="en-NZ"/>
        </w:rPr>
        <w:t xml:space="preserve">a </w:t>
      </w:r>
      <w:r w:rsidR="00CF3A87" w:rsidRPr="00650636">
        <w:rPr>
          <w:rFonts w:ascii="Times New Roman" w:hAnsi="Times New Roman" w:cs="Times New Roman"/>
          <w:sz w:val="24"/>
          <w:szCs w:val="24"/>
          <w:lang w:val="en-NZ"/>
        </w:rPr>
        <w:t>drop in MSCI emerging market index to 495 on February 1, 2009, from 1331 on October 7, 2007</w:t>
      </w:r>
      <w:r w:rsidRPr="00650636">
        <w:rPr>
          <w:rFonts w:ascii="Times New Roman" w:hAnsi="Times New Roman" w:cs="Times New Roman"/>
          <w:sz w:val="24"/>
          <w:szCs w:val="24"/>
          <w:lang w:val="en-NZ"/>
        </w:rPr>
        <w:t>,</w:t>
      </w:r>
      <w:r w:rsidR="00CF3A87" w:rsidRPr="00650636">
        <w:rPr>
          <w:rFonts w:ascii="Times New Roman" w:hAnsi="Times New Roman" w:cs="Times New Roman"/>
          <w:sz w:val="24"/>
          <w:szCs w:val="24"/>
          <w:lang w:val="en-NZ"/>
        </w:rPr>
        <w:t xml:space="preserve"> whereas the COVID-19 pandemic experienced MSCI fall from 1145 on January 20, 2020, to 758 on March 23, 2020</w:t>
      </w:r>
      <w:r w:rsidR="00CF3A87" w:rsidRPr="00650636">
        <w:rPr>
          <w:rStyle w:val="FootnoteReference"/>
          <w:rFonts w:ascii="Times New Roman" w:hAnsi="Times New Roman" w:cs="Times New Roman"/>
          <w:sz w:val="24"/>
          <w:szCs w:val="24"/>
          <w:lang w:val="en-NZ"/>
        </w:rPr>
        <w:footnoteReference w:id="3"/>
      </w:r>
      <w:r w:rsidR="00CF3A87" w:rsidRPr="00650636">
        <w:rPr>
          <w:rFonts w:ascii="Times New Roman" w:hAnsi="Times New Roman" w:cs="Times New Roman"/>
          <w:sz w:val="24"/>
          <w:szCs w:val="24"/>
          <w:lang w:val="en-NZ"/>
        </w:rPr>
        <w:t xml:space="preserve">. Given the uncertainty of these extreme events, the change in return and risk profiles of emerging markets fetches the attention of investors and policymakers to escape the deteriorating effects of </w:t>
      </w:r>
      <w:r w:rsidRPr="00650636">
        <w:rPr>
          <w:rFonts w:ascii="Times New Roman" w:hAnsi="Times New Roman" w:cs="Times New Roman"/>
          <w:sz w:val="24"/>
          <w:szCs w:val="24"/>
          <w:lang w:val="en-NZ"/>
        </w:rPr>
        <w:t xml:space="preserve">the </w:t>
      </w:r>
      <w:r w:rsidR="00CF3A87" w:rsidRPr="00650636">
        <w:rPr>
          <w:rFonts w:ascii="Times New Roman" w:hAnsi="Times New Roman" w:cs="Times New Roman"/>
          <w:sz w:val="24"/>
          <w:szCs w:val="24"/>
          <w:lang w:val="en-NZ"/>
        </w:rPr>
        <w:t xml:space="preserve">crisis on the financial markets and explore the potential diversifiers. </w:t>
      </w:r>
      <w:proofErr w:type="spellStart"/>
      <w:r w:rsidR="00CF3A87" w:rsidRPr="00650636">
        <w:rPr>
          <w:rFonts w:ascii="Times New Roman" w:hAnsi="Times New Roman" w:cs="Times New Roman"/>
          <w:sz w:val="24"/>
          <w:szCs w:val="24"/>
          <w:lang w:val="en-NZ"/>
        </w:rPr>
        <w:t>Asness</w:t>
      </w:r>
      <w:proofErr w:type="spellEnd"/>
      <w:r w:rsidR="00CF3A87" w:rsidRPr="00650636">
        <w:rPr>
          <w:rFonts w:ascii="Times New Roman" w:hAnsi="Times New Roman" w:cs="Times New Roman"/>
          <w:sz w:val="24"/>
          <w:szCs w:val="24"/>
          <w:lang w:val="en-NZ"/>
        </w:rPr>
        <w:t xml:space="preserve"> et al. (2011) emphasized that diversification is the </w:t>
      </w:r>
      <w:r w:rsidRPr="00650636">
        <w:rPr>
          <w:rFonts w:ascii="Times New Roman" w:hAnsi="Times New Roman" w:cs="Times New Roman"/>
          <w:sz w:val="24"/>
          <w:szCs w:val="24"/>
          <w:lang w:val="en-NZ"/>
        </w:rPr>
        <w:t>long-run phenomenon given the longer time horizons where economic stability is achieved and bubble components are calmed</w:t>
      </w:r>
      <w:r w:rsidR="00CF3A87" w:rsidRPr="00650636">
        <w:rPr>
          <w:rFonts w:ascii="Times New Roman" w:hAnsi="Times New Roman" w:cs="Times New Roman"/>
          <w:sz w:val="24"/>
          <w:szCs w:val="24"/>
          <w:lang w:val="en-NZ"/>
        </w:rPr>
        <w:t xml:space="preserve"> down.</w:t>
      </w:r>
      <w:r w:rsidR="00CF3A87" w:rsidRPr="00643780">
        <w:rPr>
          <w:rFonts w:ascii="Times New Roman" w:hAnsi="Times New Roman" w:cs="Times New Roman"/>
          <w:b/>
          <w:bCs/>
          <w:sz w:val="24"/>
          <w:szCs w:val="24"/>
          <w:lang w:val="en-NZ"/>
        </w:rPr>
        <w:t xml:space="preserve"> </w:t>
      </w:r>
    </w:p>
    <w:p w14:paraId="662636C4" w14:textId="5F5DB99F" w:rsidR="00CF3A87" w:rsidRPr="006F4180" w:rsidRDefault="00CF3A87" w:rsidP="003950B7">
      <w:pPr>
        <w:spacing w:line="360" w:lineRule="auto"/>
        <w:ind w:firstLine="720"/>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 xml:space="preserve">A major challenge posed </w:t>
      </w:r>
      <w:r w:rsidR="00E441C9" w:rsidRPr="006F4180">
        <w:rPr>
          <w:rFonts w:ascii="Times New Roman" w:hAnsi="Times New Roman" w:cs="Times New Roman"/>
          <w:sz w:val="24"/>
          <w:szCs w:val="24"/>
          <w:lang w:val="en-NZ"/>
        </w:rPr>
        <w:t>by</w:t>
      </w:r>
      <w:r w:rsidRPr="006F4180">
        <w:rPr>
          <w:rFonts w:ascii="Times New Roman" w:hAnsi="Times New Roman" w:cs="Times New Roman"/>
          <w:sz w:val="24"/>
          <w:szCs w:val="24"/>
          <w:lang w:val="en-NZ"/>
        </w:rPr>
        <w:t xml:space="preserve"> the economic policymakers and financial market regulators is to overcome the instability of the markets and develop more resilient risk incumbent domestic markets. Systemic risk endangers the stability of the economic system where </w:t>
      </w:r>
      <w:r w:rsidR="00E441C9"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collapse of one market may result in undesirable consequences for the other market (</w:t>
      </w:r>
      <w:proofErr w:type="spellStart"/>
      <w:r w:rsidRPr="006F4180">
        <w:rPr>
          <w:rFonts w:ascii="Times New Roman" w:hAnsi="Times New Roman" w:cs="Times New Roman"/>
          <w:sz w:val="24"/>
          <w:szCs w:val="24"/>
          <w:lang w:val="en-NZ"/>
        </w:rPr>
        <w:t>Hardle</w:t>
      </w:r>
      <w:proofErr w:type="spellEnd"/>
      <w:r w:rsidRPr="006F4180">
        <w:rPr>
          <w:rFonts w:ascii="Times New Roman" w:hAnsi="Times New Roman" w:cs="Times New Roman"/>
          <w:sz w:val="24"/>
          <w:szCs w:val="24"/>
          <w:lang w:val="en-NZ"/>
        </w:rPr>
        <w:t xml:space="preserve"> et al., 2016</w:t>
      </w:r>
      <w:r w:rsidR="00986311">
        <w:rPr>
          <w:rFonts w:ascii="Times New Roman" w:hAnsi="Times New Roman" w:cs="Times New Roman"/>
          <w:sz w:val="24"/>
          <w:szCs w:val="24"/>
          <w:lang w:val="en-NZ"/>
        </w:rPr>
        <w:t>; Yousaf and Hassan, 2019</w:t>
      </w:r>
      <w:r w:rsidRPr="006F4180">
        <w:rPr>
          <w:rFonts w:ascii="Times New Roman" w:hAnsi="Times New Roman" w:cs="Times New Roman"/>
          <w:sz w:val="24"/>
          <w:szCs w:val="24"/>
          <w:lang w:val="en-NZ"/>
        </w:rPr>
        <w:t xml:space="preserve">). Since sources of risk are complex and integrated financial markets in an economic system stipulate serious repercussions for emerging markets particularly, </w:t>
      </w:r>
      <w:r w:rsidR="00E441C9" w:rsidRPr="006F4180">
        <w:rPr>
          <w:rFonts w:ascii="Times New Roman" w:hAnsi="Times New Roman" w:cs="Times New Roman"/>
          <w:sz w:val="24"/>
          <w:szCs w:val="24"/>
          <w:lang w:val="en-NZ"/>
        </w:rPr>
        <w:t xml:space="preserve">extreme events-based integration analysis provides </w:t>
      </w:r>
      <w:r w:rsidR="00E441C9" w:rsidRPr="006F4180">
        <w:rPr>
          <w:rFonts w:ascii="Times New Roman" w:hAnsi="Times New Roman" w:cs="Times New Roman"/>
          <w:sz w:val="24"/>
          <w:szCs w:val="24"/>
          <w:lang w:val="en-NZ"/>
        </w:rPr>
        <w:lastRenderedPageBreak/>
        <w:t>satisfactory responses to the investors, financial market constituents,</w:t>
      </w:r>
      <w:r w:rsidRPr="006F4180">
        <w:rPr>
          <w:rFonts w:ascii="Times New Roman" w:hAnsi="Times New Roman" w:cs="Times New Roman"/>
          <w:sz w:val="24"/>
          <w:szCs w:val="24"/>
          <w:lang w:val="en-NZ"/>
        </w:rPr>
        <w:t xml:space="preserve"> and policymakers to escape the </w:t>
      </w:r>
      <w:proofErr w:type="spellStart"/>
      <w:r w:rsidRPr="006F4180">
        <w:rPr>
          <w:rFonts w:ascii="Times New Roman" w:hAnsi="Times New Roman" w:cs="Times New Roman"/>
          <w:sz w:val="24"/>
          <w:szCs w:val="24"/>
          <w:lang w:val="en-NZ"/>
        </w:rPr>
        <w:t>unfavorable</w:t>
      </w:r>
      <w:proofErr w:type="spellEnd"/>
      <w:r w:rsidRPr="006F4180">
        <w:rPr>
          <w:rFonts w:ascii="Times New Roman" w:hAnsi="Times New Roman" w:cs="Times New Roman"/>
          <w:sz w:val="24"/>
          <w:szCs w:val="24"/>
          <w:lang w:val="en-NZ"/>
        </w:rPr>
        <w:t xml:space="preserve"> outcomes of tail-events (Lai &amp; Hu, 2021).</w:t>
      </w:r>
    </w:p>
    <w:p w14:paraId="630FE760" w14:textId="3C533EB4" w:rsidR="00CF3A87" w:rsidRPr="00842351" w:rsidRDefault="00CF3A87" w:rsidP="003950B7">
      <w:pPr>
        <w:spacing w:line="360" w:lineRule="auto"/>
        <w:ind w:firstLine="720"/>
        <w:jc w:val="both"/>
        <w:rPr>
          <w:rFonts w:ascii="Times New Roman" w:hAnsi="Times New Roman" w:cs="Times New Roman"/>
          <w:color w:val="0070C0"/>
          <w:sz w:val="24"/>
          <w:szCs w:val="24"/>
          <w:lang w:val="en-NZ"/>
        </w:rPr>
      </w:pPr>
      <w:r w:rsidRPr="006F4180">
        <w:rPr>
          <w:rFonts w:ascii="Times New Roman" w:hAnsi="Times New Roman" w:cs="Times New Roman"/>
          <w:sz w:val="24"/>
          <w:szCs w:val="24"/>
          <w:lang w:val="en-NZ"/>
        </w:rPr>
        <w:t xml:space="preserve">Against this backdrop, </w:t>
      </w:r>
      <w:r w:rsidRPr="00842351">
        <w:rPr>
          <w:rFonts w:ascii="Times New Roman" w:hAnsi="Times New Roman" w:cs="Times New Roman"/>
          <w:color w:val="0070C0"/>
          <w:sz w:val="24"/>
          <w:szCs w:val="24"/>
          <w:lang w:val="en-NZ"/>
        </w:rPr>
        <w:t xml:space="preserve">our study contributes to </w:t>
      </w:r>
      <w:r w:rsidR="00E441C9" w:rsidRPr="00842351">
        <w:rPr>
          <w:rFonts w:ascii="Times New Roman" w:hAnsi="Times New Roman" w:cs="Times New Roman"/>
          <w:color w:val="0070C0"/>
          <w:sz w:val="24"/>
          <w:szCs w:val="24"/>
          <w:lang w:val="en-NZ"/>
        </w:rPr>
        <w:t xml:space="preserve">the </w:t>
      </w:r>
      <w:r w:rsidRPr="00842351">
        <w:rPr>
          <w:rFonts w:ascii="Times New Roman" w:hAnsi="Times New Roman" w:cs="Times New Roman"/>
          <w:color w:val="0070C0"/>
          <w:sz w:val="24"/>
          <w:szCs w:val="24"/>
          <w:lang w:val="en-NZ"/>
        </w:rPr>
        <w:t xml:space="preserve">existing literature by empirically examining the tail-event network dependence among 23 emerging economies. The focus of previous studies has remained few emerging markets from a specific region (i.e., BRIC, Asia, MENA, </w:t>
      </w:r>
      <w:r w:rsidR="00E441C9" w:rsidRPr="00842351">
        <w:rPr>
          <w:rFonts w:ascii="Times New Roman" w:hAnsi="Times New Roman" w:cs="Times New Roman"/>
          <w:color w:val="0070C0"/>
          <w:sz w:val="24"/>
          <w:szCs w:val="24"/>
          <w:lang w:val="en-NZ"/>
        </w:rPr>
        <w:t xml:space="preserve">and </w:t>
      </w:r>
      <w:r w:rsidRPr="00842351">
        <w:rPr>
          <w:rFonts w:ascii="Times New Roman" w:hAnsi="Times New Roman" w:cs="Times New Roman"/>
          <w:color w:val="0070C0"/>
          <w:sz w:val="24"/>
          <w:szCs w:val="24"/>
          <w:lang w:val="en-NZ"/>
        </w:rPr>
        <w:t>Africa) while examining the integration between emerging markets (</w:t>
      </w:r>
      <w:proofErr w:type="spellStart"/>
      <w:r w:rsidRPr="00842351">
        <w:rPr>
          <w:rFonts w:ascii="Times New Roman" w:hAnsi="Times New Roman" w:cs="Times New Roman"/>
          <w:color w:val="0070C0"/>
          <w:sz w:val="24"/>
          <w:szCs w:val="24"/>
          <w:lang w:val="en-NZ"/>
        </w:rPr>
        <w:t>Gebka</w:t>
      </w:r>
      <w:proofErr w:type="spellEnd"/>
      <w:r w:rsidRPr="00842351">
        <w:rPr>
          <w:rFonts w:ascii="Times New Roman" w:hAnsi="Times New Roman" w:cs="Times New Roman"/>
          <w:color w:val="0070C0"/>
          <w:sz w:val="24"/>
          <w:szCs w:val="24"/>
          <w:lang w:val="en-NZ"/>
        </w:rPr>
        <w:t xml:space="preserve"> &amp; Serwa, 2007; </w:t>
      </w:r>
      <w:proofErr w:type="spellStart"/>
      <w:r w:rsidRPr="00842351">
        <w:rPr>
          <w:rFonts w:ascii="Times New Roman" w:hAnsi="Times New Roman" w:cs="Times New Roman"/>
          <w:color w:val="0070C0"/>
          <w:sz w:val="24"/>
          <w:szCs w:val="24"/>
          <w:lang w:val="en-NZ"/>
        </w:rPr>
        <w:t>Hammoudeh</w:t>
      </w:r>
      <w:proofErr w:type="spellEnd"/>
      <w:r w:rsidRPr="00842351">
        <w:rPr>
          <w:rFonts w:ascii="Times New Roman" w:hAnsi="Times New Roman" w:cs="Times New Roman"/>
          <w:color w:val="0070C0"/>
          <w:sz w:val="24"/>
          <w:szCs w:val="24"/>
          <w:lang w:val="en-NZ"/>
        </w:rPr>
        <w:t xml:space="preserve"> et al., 2009; Yilmaz, 2010; </w:t>
      </w:r>
      <w:proofErr w:type="spellStart"/>
      <w:r w:rsidRPr="00842351">
        <w:rPr>
          <w:rFonts w:ascii="Times New Roman" w:hAnsi="Times New Roman" w:cs="Times New Roman"/>
          <w:color w:val="0070C0"/>
          <w:sz w:val="24"/>
          <w:szCs w:val="24"/>
          <w:lang w:val="en-NZ"/>
        </w:rPr>
        <w:t>Beirne</w:t>
      </w:r>
      <w:proofErr w:type="spellEnd"/>
      <w:r w:rsidRPr="00842351">
        <w:rPr>
          <w:rFonts w:ascii="Times New Roman" w:hAnsi="Times New Roman" w:cs="Times New Roman"/>
          <w:color w:val="0070C0"/>
          <w:sz w:val="24"/>
          <w:szCs w:val="24"/>
          <w:lang w:val="en-NZ"/>
        </w:rPr>
        <w:t xml:space="preserve"> et al., 2010; </w:t>
      </w:r>
      <w:proofErr w:type="spellStart"/>
      <w:r w:rsidRPr="00842351">
        <w:rPr>
          <w:rFonts w:ascii="Times New Roman" w:hAnsi="Times New Roman" w:cs="Times New Roman"/>
          <w:color w:val="0070C0"/>
          <w:sz w:val="24"/>
          <w:szCs w:val="24"/>
          <w:lang w:val="en-NZ"/>
        </w:rPr>
        <w:t>Aloui</w:t>
      </w:r>
      <w:proofErr w:type="spellEnd"/>
      <w:r w:rsidRPr="00842351">
        <w:rPr>
          <w:rFonts w:ascii="Times New Roman" w:hAnsi="Times New Roman" w:cs="Times New Roman"/>
          <w:color w:val="0070C0"/>
          <w:sz w:val="24"/>
          <w:szCs w:val="24"/>
          <w:lang w:val="en-NZ"/>
        </w:rPr>
        <w:t xml:space="preserve">, 2011; Joshi, 2011; Zhou et al., 2012; Korkmaz et al., 2012; </w:t>
      </w:r>
      <w:proofErr w:type="spellStart"/>
      <w:r w:rsidRPr="00842351">
        <w:rPr>
          <w:rFonts w:ascii="Times New Roman" w:hAnsi="Times New Roman" w:cs="Times New Roman"/>
          <w:color w:val="0070C0"/>
          <w:sz w:val="24"/>
          <w:szCs w:val="24"/>
          <w:lang w:val="en-NZ"/>
        </w:rPr>
        <w:t>Tasdemir</w:t>
      </w:r>
      <w:proofErr w:type="spellEnd"/>
      <w:r w:rsidRPr="00842351">
        <w:rPr>
          <w:rFonts w:ascii="Times New Roman" w:hAnsi="Times New Roman" w:cs="Times New Roman"/>
          <w:color w:val="0070C0"/>
          <w:sz w:val="24"/>
          <w:szCs w:val="24"/>
          <w:lang w:val="en-NZ"/>
        </w:rPr>
        <w:t xml:space="preserve"> and </w:t>
      </w:r>
      <w:proofErr w:type="spellStart"/>
      <w:r w:rsidRPr="00842351">
        <w:rPr>
          <w:rFonts w:ascii="Times New Roman" w:hAnsi="Times New Roman" w:cs="Times New Roman"/>
          <w:color w:val="0070C0"/>
          <w:sz w:val="24"/>
          <w:szCs w:val="24"/>
          <w:lang w:val="en-NZ"/>
        </w:rPr>
        <w:t>Yalama</w:t>
      </w:r>
      <w:proofErr w:type="spellEnd"/>
      <w:r w:rsidRPr="00842351">
        <w:rPr>
          <w:rFonts w:ascii="Times New Roman" w:hAnsi="Times New Roman" w:cs="Times New Roman"/>
          <w:color w:val="0070C0"/>
          <w:sz w:val="24"/>
          <w:szCs w:val="24"/>
          <w:lang w:val="en-NZ"/>
        </w:rPr>
        <w:t>, 2014; Alotaibi and Mishra, 2015; Chow, 2017; Lu et al., 2019; Ahmed et al., 2021; Zhong and Liu, 2021</w:t>
      </w:r>
      <w:r w:rsidR="001B3CF8">
        <w:rPr>
          <w:rFonts w:ascii="Times New Roman" w:hAnsi="Times New Roman" w:cs="Times New Roman"/>
          <w:color w:val="0070C0"/>
          <w:sz w:val="24"/>
          <w:szCs w:val="24"/>
          <w:lang w:val="en-NZ"/>
        </w:rPr>
        <w:t xml:space="preserve">; </w:t>
      </w:r>
      <w:proofErr w:type="spellStart"/>
      <w:r w:rsidR="001B3CF8">
        <w:rPr>
          <w:rFonts w:ascii="Times New Roman" w:hAnsi="Times New Roman" w:cs="Times New Roman"/>
          <w:color w:val="0070C0"/>
          <w:sz w:val="24"/>
          <w:szCs w:val="24"/>
          <w:lang w:val="en-NZ"/>
        </w:rPr>
        <w:t>Elsayed</w:t>
      </w:r>
      <w:proofErr w:type="spellEnd"/>
      <w:r w:rsidR="001B3CF8">
        <w:rPr>
          <w:rFonts w:ascii="Times New Roman" w:hAnsi="Times New Roman" w:cs="Times New Roman"/>
          <w:color w:val="0070C0"/>
          <w:sz w:val="24"/>
          <w:szCs w:val="24"/>
          <w:lang w:val="en-NZ"/>
        </w:rPr>
        <w:t xml:space="preserve"> et al., 2022</w:t>
      </w:r>
      <w:r w:rsidRPr="00842351">
        <w:rPr>
          <w:rFonts w:ascii="Times New Roman" w:hAnsi="Times New Roman" w:cs="Times New Roman"/>
          <w:color w:val="0070C0"/>
          <w:sz w:val="24"/>
          <w:szCs w:val="24"/>
          <w:lang w:val="en-NZ"/>
        </w:rPr>
        <w:t xml:space="preserve">). Our </w:t>
      </w:r>
      <w:r w:rsidR="00E441C9" w:rsidRPr="00842351">
        <w:rPr>
          <w:rFonts w:ascii="Times New Roman" w:hAnsi="Times New Roman" w:cs="Times New Roman"/>
          <w:color w:val="0070C0"/>
          <w:sz w:val="24"/>
          <w:szCs w:val="24"/>
          <w:lang w:val="en-NZ"/>
        </w:rPr>
        <w:t>study</w:t>
      </w:r>
      <w:r w:rsidRPr="00842351">
        <w:rPr>
          <w:rFonts w:ascii="Times New Roman" w:hAnsi="Times New Roman" w:cs="Times New Roman"/>
          <w:color w:val="0070C0"/>
          <w:sz w:val="24"/>
          <w:szCs w:val="24"/>
          <w:lang w:val="en-NZ"/>
        </w:rPr>
        <w:t xml:space="preserve"> provides in-depth information about the risk transmitter and r</w:t>
      </w:r>
      <w:r w:rsidR="00E441C9" w:rsidRPr="00842351">
        <w:rPr>
          <w:rFonts w:ascii="Times New Roman" w:hAnsi="Times New Roman" w:cs="Times New Roman"/>
          <w:color w:val="0070C0"/>
          <w:sz w:val="24"/>
          <w:szCs w:val="24"/>
          <w:lang w:val="en-NZ"/>
        </w:rPr>
        <w:t>ecipient among emerging equity markets</w:t>
      </w:r>
      <w:r w:rsidR="00842351">
        <w:rPr>
          <w:rFonts w:ascii="Times New Roman" w:hAnsi="Times New Roman" w:cs="Times New Roman"/>
          <w:color w:val="0070C0"/>
          <w:sz w:val="24"/>
          <w:szCs w:val="24"/>
          <w:lang w:val="en-NZ"/>
        </w:rPr>
        <w:t xml:space="preserve"> during the left tail events</w:t>
      </w:r>
      <w:r w:rsidR="00E441C9" w:rsidRPr="00842351">
        <w:rPr>
          <w:rFonts w:ascii="Times New Roman" w:hAnsi="Times New Roman" w:cs="Times New Roman"/>
          <w:color w:val="0070C0"/>
          <w:sz w:val="24"/>
          <w:szCs w:val="24"/>
          <w:lang w:val="en-NZ"/>
        </w:rPr>
        <w:t>, which offers useful implications for portfolio managers and policymakers in deci</w:t>
      </w:r>
      <w:r w:rsidRPr="00842351">
        <w:rPr>
          <w:rFonts w:ascii="Times New Roman" w:hAnsi="Times New Roman" w:cs="Times New Roman"/>
          <w:color w:val="0070C0"/>
          <w:sz w:val="24"/>
          <w:szCs w:val="24"/>
          <w:lang w:val="en-NZ"/>
        </w:rPr>
        <w:t xml:space="preserve">ding portfolio diversification, forecasting, and market stability. </w:t>
      </w:r>
    </w:p>
    <w:p w14:paraId="76F6E681" w14:textId="77777777" w:rsidR="00355571" w:rsidRPr="006F4180" w:rsidRDefault="00CF3A87" w:rsidP="003950B7">
      <w:pPr>
        <w:spacing w:line="360" w:lineRule="auto"/>
        <w:ind w:firstLine="720"/>
        <w:jc w:val="both"/>
        <w:rPr>
          <w:rFonts w:ascii="Times New Roman" w:hAnsi="Times New Roman" w:cs="Times New Roman"/>
          <w:sz w:val="24"/>
          <w:szCs w:val="24"/>
          <w:lang w:val="en-NZ"/>
        </w:rPr>
      </w:pPr>
      <w:r w:rsidRPr="009141DC">
        <w:rPr>
          <w:rFonts w:ascii="Times New Roman" w:hAnsi="Times New Roman" w:cs="Times New Roman"/>
          <w:color w:val="0070C0"/>
          <w:sz w:val="24"/>
          <w:szCs w:val="24"/>
          <w:lang w:val="en-NZ"/>
        </w:rPr>
        <w:t xml:space="preserve">Secondly, we choose </w:t>
      </w:r>
      <w:r w:rsidR="00255A42" w:rsidRPr="009141DC">
        <w:rPr>
          <w:rFonts w:ascii="Times New Roman" w:hAnsi="Times New Roman" w:cs="Times New Roman"/>
          <w:color w:val="0070C0"/>
          <w:sz w:val="24"/>
          <w:szCs w:val="24"/>
          <w:lang w:val="en-NZ"/>
        </w:rPr>
        <w:t xml:space="preserve">the </w:t>
      </w:r>
      <w:r w:rsidRPr="009141DC">
        <w:rPr>
          <w:rFonts w:ascii="Times New Roman" w:hAnsi="Times New Roman" w:cs="Times New Roman"/>
          <w:color w:val="0070C0"/>
          <w:sz w:val="24"/>
          <w:szCs w:val="24"/>
          <w:lang w:val="en-NZ"/>
        </w:rPr>
        <w:t>two most significant tail events for our analysis, namely, the global financial crisis and the COVID-19 pandemic</w:t>
      </w:r>
      <w:r w:rsidR="00255A42" w:rsidRPr="009141DC">
        <w:rPr>
          <w:rFonts w:ascii="Times New Roman" w:hAnsi="Times New Roman" w:cs="Times New Roman"/>
          <w:color w:val="0070C0"/>
          <w:sz w:val="24"/>
          <w:szCs w:val="24"/>
          <w:lang w:val="en-NZ"/>
        </w:rPr>
        <w:t>,</w:t>
      </w:r>
      <w:r w:rsidRPr="009141DC">
        <w:rPr>
          <w:rFonts w:ascii="Times New Roman" w:hAnsi="Times New Roman" w:cs="Times New Roman"/>
          <w:color w:val="0070C0"/>
          <w:sz w:val="24"/>
          <w:szCs w:val="24"/>
          <w:lang w:val="en-NZ"/>
        </w:rPr>
        <w:t xml:space="preserve"> and compared the integration mechanism among emerging markets during these two crisis periods. </w:t>
      </w:r>
      <w:r w:rsidRPr="006F4180">
        <w:rPr>
          <w:rFonts w:ascii="Times New Roman" w:hAnsi="Times New Roman" w:cs="Times New Roman"/>
          <w:sz w:val="24"/>
          <w:szCs w:val="24"/>
          <w:lang w:val="en-NZ"/>
        </w:rPr>
        <w:t>This comparative analysis elaborates the major transmitter and emitter of risk and level of connectedness in both events assisting investors in designing portfolios less susceptible to extreme shocks. Previously, several studies have explored the connectedness between emerging markets in either of both crises (</w:t>
      </w:r>
      <w:proofErr w:type="spellStart"/>
      <w:r w:rsidRPr="006F4180">
        <w:rPr>
          <w:rFonts w:ascii="Times New Roman" w:hAnsi="Times New Roman" w:cs="Times New Roman"/>
          <w:sz w:val="24"/>
          <w:szCs w:val="24"/>
        </w:rPr>
        <w:t>Baumöhl</w:t>
      </w:r>
      <w:proofErr w:type="spellEnd"/>
      <w:r w:rsidRPr="006F4180">
        <w:rPr>
          <w:rFonts w:ascii="Times New Roman" w:hAnsi="Times New Roman" w:cs="Times New Roman"/>
          <w:sz w:val="24"/>
          <w:szCs w:val="24"/>
        </w:rPr>
        <w:t xml:space="preserve"> &amp; Shahzad, 2019; </w:t>
      </w:r>
      <w:proofErr w:type="spellStart"/>
      <w:r w:rsidRPr="006F4180">
        <w:rPr>
          <w:rFonts w:ascii="Times New Roman" w:hAnsi="Times New Roman" w:cs="Times New Roman"/>
          <w:sz w:val="24"/>
          <w:szCs w:val="24"/>
        </w:rPr>
        <w:t>Abuzayed</w:t>
      </w:r>
      <w:proofErr w:type="spellEnd"/>
      <w:r w:rsidRPr="006F4180">
        <w:rPr>
          <w:rFonts w:ascii="Times New Roman" w:hAnsi="Times New Roman" w:cs="Times New Roman"/>
          <w:sz w:val="24"/>
          <w:szCs w:val="24"/>
        </w:rPr>
        <w:t xml:space="preserve"> et al., 2021; Lee &amp; Lee, 2021</w:t>
      </w:r>
      <w:r w:rsidRPr="006F4180">
        <w:rPr>
          <w:rFonts w:ascii="Times New Roman" w:hAnsi="Times New Roman" w:cs="Times New Roman"/>
          <w:sz w:val="24"/>
          <w:szCs w:val="24"/>
          <w:lang w:val="en-NZ"/>
        </w:rPr>
        <w:t>)</w:t>
      </w:r>
      <w:r w:rsidR="00255A42"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 yet the comparative study of simultaneous investigation is inexistent. Thirdly, we apply the </w:t>
      </w:r>
      <w:bookmarkStart w:id="4" w:name="_Hlk80584937"/>
      <w:r w:rsidRPr="009141DC">
        <w:rPr>
          <w:rFonts w:ascii="Times New Roman" w:hAnsi="Times New Roman" w:cs="Times New Roman"/>
          <w:color w:val="0070C0"/>
          <w:sz w:val="24"/>
          <w:szCs w:val="24"/>
          <w:lang w:val="en-NZ"/>
        </w:rPr>
        <w:t xml:space="preserve">Tail-Event </w:t>
      </w:r>
      <w:r w:rsidR="00255A42" w:rsidRPr="009141DC">
        <w:rPr>
          <w:rFonts w:ascii="Times New Roman" w:hAnsi="Times New Roman" w:cs="Times New Roman"/>
          <w:color w:val="0070C0"/>
          <w:sz w:val="24"/>
          <w:szCs w:val="24"/>
          <w:lang w:val="en-NZ"/>
        </w:rPr>
        <w:t>driven</w:t>
      </w:r>
      <w:r w:rsidRPr="009141DC">
        <w:rPr>
          <w:rFonts w:ascii="Times New Roman" w:hAnsi="Times New Roman" w:cs="Times New Roman"/>
          <w:color w:val="0070C0"/>
          <w:sz w:val="24"/>
          <w:szCs w:val="24"/>
          <w:lang w:val="en-NZ"/>
        </w:rPr>
        <w:t xml:space="preserve"> </w:t>
      </w:r>
      <w:proofErr w:type="spellStart"/>
      <w:r w:rsidRPr="009141DC">
        <w:rPr>
          <w:rFonts w:ascii="Times New Roman" w:hAnsi="Times New Roman" w:cs="Times New Roman"/>
          <w:color w:val="0070C0"/>
          <w:sz w:val="24"/>
          <w:szCs w:val="24"/>
          <w:lang w:val="en-NZ"/>
        </w:rPr>
        <w:t>N</w:t>
      </w:r>
      <w:r w:rsidR="00255A42" w:rsidRPr="009141DC">
        <w:rPr>
          <w:rFonts w:ascii="Times New Roman" w:hAnsi="Times New Roman" w:cs="Times New Roman"/>
          <w:color w:val="0070C0"/>
          <w:sz w:val="24"/>
          <w:szCs w:val="24"/>
          <w:lang w:val="en-NZ"/>
        </w:rPr>
        <w:t>ET</w:t>
      </w:r>
      <w:r w:rsidRPr="009141DC">
        <w:rPr>
          <w:rFonts w:ascii="Times New Roman" w:hAnsi="Times New Roman" w:cs="Times New Roman"/>
          <w:color w:val="0070C0"/>
          <w:sz w:val="24"/>
          <w:szCs w:val="24"/>
          <w:lang w:val="en-NZ"/>
        </w:rPr>
        <w:t>work</w:t>
      </w:r>
      <w:proofErr w:type="spellEnd"/>
      <w:r w:rsidRPr="009141DC">
        <w:rPr>
          <w:rFonts w:ascii="Times New Roman" w:hAnsi="Times New Roman" w:cs="Times New Roman"/>
          <w:color w:val="0070C0"/>
          <w:sz w:val="24"/>
          <w:szCs w:val="24"/>
          <w:lang w:val="en-NZ"/>
        </w:rPr>
        <w:t xml:space="preserve"> (TENET) approach proposed by </w:t>
      </w:r>
      <w:proofErr w:type="spellStart"/>
      <w:r w:rsidRPr="009141DC">
        <w:rPr>
          <w:rFonts w:ascii="Times New Roman" w:hAnsi="Times New Roman" w:cs="Times New Roman"/>
          <w:color w:val="0070C0"/>
          <w:sz w:val="24"/>
          <w:szCs w:val="24"/>
        </w:rPr>
        <w:t>Hardle</w:t>
      </w:r>
      <w:proofErr w:type="spellEnd"/>
      <w:r w:rsidRPr="009141DC">
        <w:rPr>
          <w:rFonts w:ascii="Times New Roman" w:hAnsi="Times New Roman" w:cs="Times New Roman"/>
          <w:color w:val="0070C0"/>
          <w:sz w:val="24"/>
          <w:szCs w:val="24"/>
        </w:rPr>
        <w:t xml:space="preserve"> et al. (2016)</w:t>
      </w:r>
      <w:bookmarkEnd w:id="4"/>
      <w:r w:rsidR="00255A42" w:rsidRPr="009141DC">
        <w:rPr>
          <w:rFonts w:ascii="Times New Roman" w:hAnsi="Times New Roman" w:cs="Times New Roman"/>
          <w:color w:val="0070C0"/>
          <w:sz w:val="24"/>
          <w:szCs w:val="24"/>
        </w:rPr>
        <w:t>,</w:t>
      </w:r>
      <w:r w:rsidRPr="009141DC">
        <w:rPr>
          <w:rFonts w:ascii="Times New Roman" w:hAnsi="Times New Roman" w:cs="Times New Roman"/>
          <w:color w:val="0070C0"/>
          <w:sz w:val="24"/>
          <w:szCs w:val="24"/>
        </w:rPr>
        <w:t xml:space="preserve"> based on quantile regressions augmented with nonlinearity and variable selection in a high dimensional time-series setting. TENET approach is useful in ranking the risk recipients and transmitters in emerging equity markets through elliptic network dynamics. Prior studies employed </w:t>
      </w:r>
      <w:r w:rsidRPr="009141DC">
        <w:rPr>
          <w:rFonts w:ascii="Times New Roman" w:hAnsi="Times New Roman" w:cs="Times New Roman"/>
          <w:color w:val="0070C0"/>
          <w:sz w:val="24"/>
          <w:szCs w:val="24"/>
          <w:lang w:val="en-NZ"/>
        </w:rPr>
        <w:t>quantile regression-based approach (</w:t>
      </w:r>
      <w:bookmarkStart w:id="5" w:name="_Hlk80580845"/>
      <w:r w:rsidRPr="009141DC">
        <w:rPr>
          <w:rFonts w:ascii="Times New Roman" w:hAnsi="Times New Roman" w:cs="Times New Roman"/>
          <w:color w:val="0070C0"/>
          <w:sz w:val="24"/>
          <w:szCs w:val="24"/>
          <w:lang w:val="en-NZ"/>
        </w:rPr>
        <w:t xml:space="preserve">Acharya et al., 2012; </w:t>
      </w:r>
      <w:proofErr w:type="spellStart"/>
      <w:r w:rsidRPr="009141DC">
        <w:rPr>
          <w:rFonts w:ascii="Times New Roman" w:hAnsi="Times New Roman" w:cs="Times New Roman"/>
          <w:color w:val="0070C0"/>
          <w:sz w:val="24"/>
          <w:szCs w:val="24"/>
          <w:lang w:val="en-NZ"/>
        </w:rPr>
        <w:t>Brownlees</w:t>
      </w:r>
      <w:proofErr w:type="spellEnd"/>
      <w:r w:rsidRPr="009141DC">
        <w:rPr>
          <w:rFonts w:ascii="Times New Roman" w:hAnsi="Times New Roman" w:cs="Times New Roman"/>
          <w:color w:val="0070C0"/>
          <w:sz w:val="24"/>
          <w:szCs w:val="24"/>
          <w:lang w:val="en-NZ"/>
        </w:rPr>
        <w:t xml:space="preserve"> and Engle, 2015</w:t>
      </w:r>
      <w:bookmarkEnd w:id="5"/>
      <w:r w:rsidRPr="009141DC">
        <w:rPr>
          <w:rFonts w:ascii="Times New Roman" w:hAnsi="Times New Roman" w:cs="Times New Roman"/>
          <w:color w:val="0070C0"/>
          <w:sz w:val="24"/>
          <w:szCs w:val="24"/>
          <w:lang w:val="en-NZ"/>
        </w:rPr>
        <w:t>), principal component analysis-based approach (</w:t>
      </w:r>
      <w:proofErr w:type="spellStart"/>
      <w:r w:rsidRPr="009141DC">
        <w:rPr>
          <w:rFonts w:ascii="Times New Roman" w:hAnsi="Times New Roman" w:cs="Times New Roman"/>
          <w:color w:val="0070C0"/>
          <w:sz w:val="24"/>
          <w:szCs w:val="24"/>
          <w:lang w:val="en-NZ"/>
        </w:rPr>
        <w:t>Bisias</w:t>
      </w:r>
      <w:proofErr w:type="spellEnd"/>
      <w:r w:rsidRPr="009141DC">
        <w:rPr>
          <w:rFonts w:ascii="Times New Roman" w:hAnsi="Times New Roman" w:cs="Times New Roman"/>
          <w:color w:val="0070C0"/>
          <w:sz w:val="24"/>
          <w:szCs w:val="24"/>
          <w:lang w:val="en-NZ"/>
        </w:rPr>
        <w:t xml:space="preserve"> et al., 2012; Rodriguez-Moreno and Pena, 2013), higher dimensions based linear model (</w:t>
      </w:r>
      <w:proofErr w:type="spellStart"/>
      <w:r w:rsidRPr="009141DC">
        <w:rPr>
          <w:rFonts w:ascii="Times New Roman" w:hAnsi="Times New Roman" w:cs="Times New Roman"/>
          <w:color w:val="0070C0"/>
          <w:sz w:val="24"/>
          <w:szCs w:val="24"/>
          <w:lang w:val="en-NZ"/>
        </w:rPr>
        <w:t>Hautsch</w:t>
      </w:r>
      <w:proofErr w:type="spellEnd"/>
      <w:r w:rsidRPr="009141DC">
        <w:rPr>
          <w:rFonts w:ascii="Times New Roman" w:hAnsi="Times New Roman" w:cs="Times New Roman"/>
          <w:color w:val="0070C0"/>
          <w:sz w:val="24"/>
          <w:szCs w:val="24"/>
          <w:lang w:val="en-NZ"/>
        </w:rPr>
        <w:t xml:space="preserve"> et al., 2015; Betz et al., 2016), partial-quantile based regression analysis (Giglio et</w:t>
      </w:r>
      <w:r w:rsidR="00ED7BF0" w:rsidRPr="009141DC">
        <w:rPr>
          <w:rFonts w:ascii="Times New Roman" w:hAnsi="Times New Roman" w:cs="Times New Roman"/>
          <w:color w:val="0070C0"/>
          <w:sz w:val="24"/>
          <w:szCs w:val="24"/>
          <w:lang w:val="en-NZ"/>
        </w:rPr>
        <w:t xml:space="preserve"> al., 2016; Chao,</w:t>
      </w:r>
      <w:r w:rsidRPr="009141DC">
        <w:rPr>
          <w:rFonts w:ascii="Times New Roman" w:hAnsi="Times New Roman" w:cs="Times New Roman"/>
          <w:color w:val="0070C0"/>
          <w:sz w:val="24"/>
          <w:szCs w:val="24"/>
          <w:lang w:val="en-NZ"/>
        </w:rPr>
        <w:t xml:space="preserve"> 2015), default probabilities based approach (</w:t>
      </w:r>
      <w:proofErr w:type="spellStart"/>
      <w:r w:rsidRPr="009141DC">
        <w:rPr>
          <w:rFonts w:ascii="Times New Roman" w:hAnsi="Times New Roman" w:cs="Times New Roman"/>
          <w:color w:val="0070C0"/>
          <w:sz w:val="24"/>
          <w:szCs w:val="24"/>
          <w:lang w:val="en-NZ"/>
        </w:rPr>
        <w:t>Lehnar</w:t>
      </w:r>
      <w:proofErr w:type="spellEnd"/>
      <w:r w:rsidRPr="009141DC">
        <w:rPr>
          <w:rFonts w:ascii="Times New Roman" w:hAnsi="Times New Roman" w:cs="Times New Roman"/>
          <w:color w:val="0070C0"/>
          <w:sz w:val="24"/>
          <w:szCs w:val="24"/>
          <w:lang w:val="en-NZ"/>
        </w:rPr>
        <w:t xml:space="preserve">, 2005; Huang et al., 2009), network connectedness based approach (Boss et al., 2006; Chan-Lau et al., 2009, Diebold and Yilmaz, 2014). </w:t>
      </w:r>
      <w:r w:rsidR="00255A42" w:rsidRPr="009141DC">
        <w:rPr>
          <w:rFonts w:ascii="Times New Roman" w:hAnsi="Times New Roman" w:cs="Times New Roman"/>
          <w:color w:val="0070C0"/>
          <w:sz w:val="24"/>
          <w:szCs w:val="24"/>
          <w:lang w:val="en-NZ"/>
        </w:rPr>
        <w:t>However,</w:t>
      </w:r>
      <w:r w:rsidRPr="009141DC">
        <w:rPr>
          <w:rFonts w:ascii="Times New Roman" w:hAnsi="Times New Roman" w:cs="Times New Roman"/>
          <w:color w:val="0070C0"/>
          <w:sz w:val="24"/>
          <w:szCs w:val="24"/>
          <w:lang w:val="en-NZ"/>
        </w:rPr>
        <w:t xml:space="preserve"> identifying the key risk emitters and recipients in a system-wide connectedness is the unique feature offered by </w:t>
      </w:r>
      <w:r w:rsidR="00255A42" w:rsidRPr="009141DC">
        <w:rPr>
          <w:rFonts w:ascii="Times New Roman" w:hAnsi="Times New Roman" w:cs="Times New Roman"/>
          <w:color w:val="0070C0"/>
          <w:sz w:val="24"/>
          <w:szCs w:val="24"/>
          <w:lang w:val="en-NZ"/>
        </w:rPr>
        <w:t xml:space="preserve">the </w:t>
      </w:r>
      <w:r w:rsidRPr="009141DC">
        <w:rPr>
          <w:rFonts w:ascii="Times New Roman" w:hAnsi="Times New Roman" w:cs="Times New Roman"/>
          <w:color w:val="0070C0"/>
          <w:sz w:val="24"/>
          <w:szCs w:val="24"/>
          <w:lang w:val="en-NZ"/>
        </w:rPr>
        <w:t xml:space="preserve">TENET </w:t>
      </w:r>
      <w:r w:rsidR="00255A42" w:rsidRPr="009141DC">
        <w:rPr>
          <w:rFonts w:ascii="Times New Roman" w:hAnsi="Times New Roman" w:cs="Times New Roman"/>
          <w:color w:val="0070C0"/>
          <w:sz w:val="24"/>
          <w:szCs w:val="24"/>
          <w:lang w:val="en-NZ"/>
        </w:rPr>
        <w:t>methodology</w:t>
      </w:r>
      <w:r w:rsidRPr="009141DC">
        <w:rPr>
          <w:rFonts w:ascii="Times New Roman" w:hAnsi="Times New Roman" w:cs="Times New Roman"/>
          <w:color w:val="0070C0"/>
          <w:sz w:val="24"/>
          <w:szCs w:val="24"/>
          <w:lang w:val="en-NZ"/>
        </w:rPr>
        <w:t>.</w:t>
      </w:r>
      <w:r w:rsidR="00355571" w:rsidRPr="009141DC">
        <w:rPr>
          <w:rFonts w:ascii="Times New Roman" w:hAnsi="Times New Roman" w:cs="Times New Roman"/>
          <w:color w:val="0070C0"/>
          <w:sz w:val="24"/>
          <w:szCs w:val="24"/>
          <w:lang w:val="en-NZ"/>
        </w:rPr>
        <w:t xml:space="preserve"> </w:t>
      </w:r>
    </w:p>
    <w:p w14:paraId="5F32AFAC" w14:textId="56E3E1AA" w:rsidR="00CF3A87" w:rsidRPr="006F4180" w:rsidRDefault="00CF3A87" w:rsidP="003950B7">
      <w:pPr>
        <w:spacing w:line="360" w:lineRule="auto"/>
        <w:ind w:firstLine="720"/>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lastRenderedPageBreak/>
        <w:t>By using this novel methodology of tail-event network dependence, we reported</w:t>
      </w:r>
      <w:r w:rsidRPr="006F4180">
        <w:rPr>
          <w:rFonts w:ascii="Times New Roman" w:hAnsi="Times New Roman" w:cs="Times New Roman"/>
          <w:sz w:val="24"/>
          <w:szCs w:val="24"/>
        </w:rPr>
        <w:t xml:space="preserve"> time-varying total connectedness of emerging markets. Comparing the total connectedness with </w:t>
      </w:r>
      <w:r w:rsidR="00287845" w:rsidRPr="006F4180">
        <w:rPr>
          <w:rFonts w:ascii="Times New Roman" w:hAnsi="Times New Roman" w:cs="Times New Roman"/>
          <w:sz w:val="24"/>
          <w:szCs w:val="24"/>
        </w:rPr>
        <w:t xml:space="preserve">the </w:t>
      </w:r>
      <w:r w:rsidRPr="006F4180">
        <w:rPr>
          <w:rFonts w:ascii="Times New Roman" w:hAnsi="Times New Roman" w:cs="Times New Roman"/>
          <w:sz w:val="24"/>
          <w:szCs w:val="24"/>
        </w:rPr>
        <w:t xml:space="preserve">average </w:t>
      </w:r>
      <w:r w:rsidRPr="006F4180">
        <w:rPr>
          <w:rFonts w:ascii="Times New Roman" w:eastAsia="RMTMI" w:hAnsi="Times New Roman" w:cs="Times New Roman"/>
          <w:sz w:val="24"/>
          <w:szCs w:val="24"/>
        </w:rPr>
        <w:t xml:space="preserve">λ of </w:t>
      </w:r>
      <w:proofErr w:type="spellStart"/>
      <w:r w:rsidRPr="006F4180">
        <w:rPr>
          <w:rFonts w:ascii="Times New Roman" w:eastAsia="RMTMI" w:hAnsi="Times New Roman" w:cs="Times New Roman"/>
          <w:sz w:val="24"/>
          <w:szCs w:val="24"/>
        </w:rPr>
        <w:t>CoVaR</w:t>
      </w:r>
      <w:proofErr w:type="spellEnd"/>
      <w:r w:rsidRPr="006F4180">
        <w:rPr>
          <w:rFonts w:ascii="Times New Roman" w:eastAsia="RMTMI" w:hAnsi="Times New Roman" w:cs="Times New Roman"/>
          <w:sz w:val="24"/>
          <w:szCs w:val="24"/>
        </w:rPr>
        <w:t xml:space="preserve">, the pattern shows relatively lower risk for the given period and for all emerging markets except Argentine’s economic turmoil, </w:t>
      </w:r>
      <w:r w:rsidR="00287845" w:rsidRPr="006F4180">
        <w:rPr>
          <w:rFonts w:ascii="Times New Roman" w:eastAsia="RMTMI" w:hAnsi="Times New Roman" w:cs="Times New Roman"/>
          <w:sz w:val="24"/>
          <w:szCs w:val="24"/>
        </w:rPr>
        <w:t xml:space="preserve">global financial crisis, </w:t>
      </w:r>
      <w:r w:rsidRPr="006F4180">
        <w:rPr>
          <w:rFonts w:ascii="Times New Roman" w:eastAsia="RMTMI" w:hAnsi="Times New Roman" w:cs="Times New Roman"/>
          <w:sz w:val="24"/>
          <w:szCs w:val="24"/>
        </w:rPr>
        <w:t xml:space="preserve">Chinese crisis, and </w:t>
      </w:r>
      <w:r w:rsidR="00287845" w:rsidRPr="006F4180">
        <w:rPr>
          <w:rFonts w:ascii="Times New Roman" w:eastAsia="RMTMI" w:hAnsi="Times New Roman" w:cs="Times New Roman"/>
          <w:sz w:val="24"/>
          <w:szCs w:val="24"/>
        </w:rPr>
        <w:t xml:space="preserve">the </w:t>
      </w:r>
      <w:r w:rsidRPr="006F4180">
        <w:rPr>
          <w:rFonts w:ascii="Times New Roman" w:eastAsia="RMTMI" w:hAnsi="Times New Roman" w:cs="Times New Roman"/>
          <w:sz w:val="24"/>
          <w:szCs w:val="24"/>
        </w:rPr>
        <w:t xml:space="preserve">recent ongoing pandemic of COVID-19 where emerging markets showed extreme dependence. The elliptical network of adjacency matrix showed strong network connectedness with </w:t>
      </w:r>
      <w:r w:rsidR="00287845" w:rsidRPr="006F4180">
        <w:rPr>
          <w:rFonts w:ascii="Times New Roman" w:eastAsia="RMTMI" w:hAnsi="Times New Roman" w:cs="Times New Roman"/>
          <w:sz w:val="24"/>
          <w:szCs w:val="24"/>
        </w:rPr>
        <w:t>Turkey</w:t>
      </w:r>
      <w:r w:rsidRPr="006F4180">
        <w:rPr>
          <w:rFonts w:ascii="Times New Roman" w:eastAsia="RMTMI" w:hAnsi="Times New Roman" w:cs="Times New Roman"/>
          <w:sz w:val="24"/>
          <w:szCs w:val="24"/>
        </w:rPr>
        <w:t xml:space="preserve"> and H</w:t>
      </w:r>
      <w:r w:rsidR="00287845" w:rsidRPr="006F4180">
        <w:rPr>
          <w:rFonts w:ascii="Times New Roman" w:eastAsia="RMTMI" w:hAnsi="Times New Roman" w:cs="Times New Roman"/>
          <w:sz w:val="24"/>
          <w:szCs w:val="24"/>
        </w:rPr>
        <w:t>ungary</w:t>
      </w:r>
      <w:r w:rsidR="00355571" w:rsidRPr="006F4180">
        <w:rPr>
          <w:rFonts w:ascii="Times New Roman" w:eastAsia="RMTMI" w:hAnsi="Times New Roman" w:cs="Times New Roman"/>
          <w:sz w:val="24"/>
          <w:szCs w:val="24"/>
        </w:rPr>
        <w:t xml:space="preserve"> (European Region)</w:t>
      </w:r>
      <w:r w:rsidRPr="006F4180">
        <w:rPr>
          <w:rFonts w:ascii="Times New Roman" w:eastAsia="RMTMI" w:hAnsi="Times New Roman" w:cs="Times New Roman"/>
          <w:sz w:val="24"/>
          <w:szCs w:val="24"/>
        </w:rPr>
        <w:t xml:space="preserve"> as the top transmitters of risk spillovers and P</w:t>
      </w:r>
      <w:r w:rsidR="00287845" w:rsidRPr="006F4180">
        <w:rPr>
          <w:rFonts w:ascii="Times New Roman" w:eastAsia="RMTMI" w:hAnsi="Times New Roman" w:cs="Times New Roman"/>
          <w:sz w:val="24"/>
          <w:szCs w:val="24"/>
        </w:rPr>
        <w:t>akistan</w:t>
      </w:r>
      <w:r w:rsidRPr="006F4180">
        <w:rPr>
          <w:rFonts w:ascii="Times New Roman" w:eastAsia="RMTMI" w:hAnsi="Times New Roman" w:cs="Times New Roman"/>
          <w:sz w:val="24"/>
          <w:szCs w:val="24"/>
        </w:rPr>
        <w:t xml:space="preserve"> and I</w:t>
      </w:r>
      <w:r w:rsidR="00287845" w:rsidRPr="006F4180">
        <w:rPr>
          <w:rFonts w:ascii="Times New Roman" w:eastAsia="RMTMI" w:hAnsi="Times New Roman" w:cs="Times New Roman"/>
          <w:sz w:val="24"/>
          <w:szCs w:val="24"/>
        </w:rPr>
        <w:t>ndonesia</w:t>
      </w:r>
      <w:r w:rsidRPr="006F4180">
        <w:rPr>
          <w:rFonts w:ascii="Times New Roman" w:eastAsia="RMTMI" w:hAnsi="Times New Roman" w:cs="Times New Roman"/>
          <w:sz w:val="24"/>
          <w:szCs w:val="24"/>
        </w:rPr>
        <w:t xml:space="preserve"> </w:t>
      </w:r>
      <w:r w:rsidR="00355571" w:rsidRPr="006F4180">
        <w:rPr>
          <w:rFonts w:ascii="Times New Roman" w:eastAsia="RMTMI" w:hAnsi="Times New Roman" w:cs="Times New Roman"/>
          <w:sz w:val="24"/>
          <w:szCs w:val="24"/>
        </w:rPr>
        <w:t xml:space="preserve">(Asian Region) </w:t>
      </w:r>
      <w:r w:rsidRPr="006F4180">
        <w:rPr>
          <w:rFonts w:ascii="Times New Roman" w:eastAsia="RMTMI" w:hAnsi="Times New Roman" w:cs="Times New Roman"/>
          <w:sz w:val="24"/>
          <w:szCs w:val="24"/>
        </w:rPr>
        <w:t xml:space="preserve">as net receivers of spillovers. </w:t>
      </w:r>
      <w:r w:rsidR="00355571" w:rsidRPr="006F4180">
        <w:rPr>
          <w:rFonts w:ascii="Times New Roman" w:eastAsia="RMTMI" w:hAnsi="Times New Roman" w:cs="Times New Roman"/>
          <w:sz w:val="24"/>
          <w:szCs w:val="24"/>
        </w:rPr>
        <w:t>During the COVID-19 pandemic, Turkey maintained economic growth of 1.8</w:t>
      </w:r>
      <w:r w:rsidR="00355571" w:rsidRPr="006F4180">
        <w:rPr>
          <w:rFonts w:ascii="Times New Roman" w:hAnsi="Times New Roman" w:cs="Times New Roman"/>
          <w:sz w:val="24"/>
          <w:szCs w:val="24"/>
        </w:rPr>
        <w:t>%</w:t>
      </w:r>
      <w:r w:rsidR="00355571" w:rsidRPr="006F4180">
        <w:rPr>
          <w:rStyle w:val="FootnoteReference"/>
          <w:rFonts w:ascii="Times New Roman" w:hAnsi="Times New Roman" w:cs="Times New Roman"/>
          <w:sz w:val="24"/>
          <w:szCs w:val="24"/>
        </w:rPr>
        <w:footnoteReference w:id="4"/>
      </w:r>
      <w:r w:rsidR="00355571" w:rsidRPr="006F4180">
        <w:rPr>
          <w:rFonts w:ascii="Times New Roman" w:hAnsi="Times New Roman" w:cs="Times New Roman"/>
          <w:sz w:val="24"/>
          <w:szCs w:val="24"/>
        </w:rPr>
        <w:t xml:space="preserve"> with strong macroeconomic and fiscal policy frameworks</w:t>
      </w:r>
      <w:r w:rsidR="00355571" w:rsidRPr="006F4180">
        <w:rPr>
          <w:rStyle w:val="FootnoteReference"/>
          <w:rFonts w:ascii="Times New Roman" w:hAnsi="Times New Roman" w:cs="Times New Roman"/>
          <w:sz w:val="24"/>
          <w:szCs w:val="24"/>
        </w:rPr>
        <w:footnoteReference w:id="5"/>
      </w:r>
      <w:r w:rsidR="00355571" w:rsidRPr="006F4180">
        <w:rPr>
          <w:rFonts w:ascii="Times New Roman" w:hAnsi="Times New Roman" w:cs="Times New Roman"/>
          <w:sz w:val="24"/>
          <w:szCs w:val="24"/>
        </w:rPr>
        <w:t xml:space="preserve"> during the pandemic whereas Hungary reported fewer deaths and controlled circumstances when other regions of the world suffe</w:t>
      </w:r>
      <w:r w:rsidR="00526061" w:rsidRPr="006F4180">
        <w:rPr>
          <w:rFonts w:ascii="Times New Roman" w:hAnsi="Times New Roman" w:cs="Times New Roman"/>
          <w:sz w:val="24"/>
          <w:szCs w:val="24"/>
        </w:rPr>
        <w:t>ring s</w:t>
      </w:r>
      <w:r w:rsidR="00753AB9" w:rsidRPr="006F4180">
        <w:rPr>
          <w:rFonts w:ascii="Times New Roman" w:hAnsi="Times New Roman" w:cs="Times New Roman"/>
          <w:sz w:val="24"/>
          <w:szCs w:val="24"/>
        </w:rPr>
        <w:t>evere deaths of citizens.</w:t>
      </w:r>
      <w:r w:rsidR="00355571" w:rsidRPr="006F4180">
        <w:rPr>
          <w:rFonts w:ascii="Times New Roman" w:eastAsia="RMTMI" w:hAnsi="Times New Roman" w:cs="Times New Roman"/>
          <w:sz w:val="24"/>
          <w:szCs w:val="24"/>
        </w:rPr>
        <w:t xml:space="preserve"> </w:t>
      </w:r>
      <w:r w:rsidRPr="006F4180">
        <w:rPr>
          <w:rFonts w:ascii="Times New Roman" w:eastAsia="RMTMI" w:hAnsi="Times New Roman" w:cs="Times New Roman"/>
          <w:sz w:val="24"/>
          <w:szCs w:val="24"/>
        </w:rPr>
        <w:t>C</w:t>
      </w:r>
      <w:r w:rsidR="00287845" w:rsidRPr="006F4180">
        <w:rPr>
          <w:rFonts w:ascii="Times New Roman" w:eastAsia="RMTMI" w:hAnsi="Times New Roman" w:cs="Times New Roman"/>
          <w:sz w:val="24"/>
          <w:szCs w:val="24"/>
        </w:rPr>
        <w:t>hina</w:t>
      </w:r>
      <w:r w:rsidRPr="006F4180">
        <w:rPr>
          <w:rFonts w:ascii="Times New Roman" w:eastAsia="RMTMI" w:hAnsi="Times New Roman" w:cs="Times New Roman"/>
          <w:sz w:val="24"/>
          <w:szCs w:val="24"/>
        </w:rPr>
        <w:t xml:space="preserve"> showed distinct disconnection from the system-wide connectedness reflecting its greater diversification potential amongst the emerging markets stock indices. Sub-sample analysis for </w:t>
      </w:r>
      <w:r w:rsidR="00287845" w:rsidRPr="006F4180">
        <w:rPr>
          <w:rFonts w:ascii="Times New Roman" w:eastAsia="RMTMI" w:hAnsi="Times New Roman" w:cs="Times New Roman"/>
          <w:sz w:val="24"/>
          <w:szCs w:val="24"/>
        </w:rPr>
        <w:t xml:space="preserve">the </w:t>
      </w:r>
      <w:r w:rsidRPr="006F4180">
        <w:rPr>
          <w:rFonts w:ascii="Times New Roman" w:eastAsia="RMTMI" w:hAnsi="Times New Roman" w:cs="Times New Roman"/>
          <w:sz w:val="24"/>
          <w:szCs w:val="24"/>
        </w:rPr>
        <w:t>global financial crisis and COVID-19 showed varied risk spillovers</w:t>
      </w:r>
      <w:r w:rsidR="00287845" w:rsidRPr="006F4180">
        <w:rPr>
          <w:rFonts w:ascii="Times New Roman" w:eastAsia="RMTMI" w:hAnsi="Times New Roman" w:cs="Times New Roman"/>
          <w:sz w:val="24"/>
          <w:szCs w:val="24"/>
        </w:rPr>
        <w:t>,</w:t>
      </w:r>
      <w:r w:rsidRPr="006F4180">
        <w:rPr>
          <w:rFonts w:ascii="Times New Roman" w:eastAsia="RMTMI" w:hAnsi="Times New Roman" w:cs="Times New Roman"/>
          <w:sz w:val="24"/>
          <w:szCs w:val="24"/>
        </w:rPr>
        <w:t xml:space="preserve"> whereas C</w:t>
      </w:r>
      <w:r w:rsidR="00287845" w:rsidRPr="006F4180">
        <w:rPr>
          <w:rFonts w:ascii="Times New Roman" w:eastAsia="RMTMI" w:hAnsi="Times New Roman" w:cs="Times New Roman"/>
          <w:sz w:val="24"/>
          <w:szCs w:val="24"/>
        </w:rPr>
        <w:t>hina</w:t>
      </w:r>
      <w:r w:rsidRPr="006F4180">
        <w:rPr>
          <w:rFonts w:ascii="Times New Roman" w:eastAsia="RMTMI" w:hAnsi="Times New Roman" w:cs="Times New Roman"/>
          <w:sz w:val="24"/>
          <w:szCs w:val="24"/>
        </w:rPr>
        <w:t xml:space="preserve"> maintained its disconnection from the network. W</w:t>
      </w:r>
      <w:r w:rsidR="00287845" w:rsidRPr="006F4180">
        <w:rPr>
          <w:rFonts w:ascii="Times New Roman" w:eastAsia="RMTMI" w:hAnsi="Times New Roman" w:cs="Times New Roman"/>
          <w:sz w:val="24"/>
          <w:szCs w:val="24"/>
        </w:rPr>
        <w:t>e offered sizeable policy and macro-prudential implications facilitating investors in the short- and long-run with these findings</w:t>
      </w:r>
      <w:r w:rsidRPr="006F4180">
        <w:rPr>
          <w:rFonts w:ascii="Times New Roman" w:eastAsia="RMTMI" w:hAnsi="Times New Roman" w:cs="Times New Roman"/>
          <w:sz w:val="24"/>
          <w:szCs w:val="24"/>
        </w:rPr>
        <w:t>.</w:t>
      </w:r>
    </w:p>
    <w:p w14:paraId="368A5318" w14:textId="77777777" w:rsidR="00CF3A87" w:rsidRPr="006F4180" w:rsidRDefault="00CF3A87" w:rsidP="003950B7">
      <w:pPr>
        <w:spacing w:line="360" w:lineRule="auto"/>
        <w:ind w:firstLine="720"/>
        <w:jc w:val="both"/>
        <w:rPr>
          <w:rFonts w:ascii="Times New Roman" w:hAnsi="Times New Roman" w:cs="Times New Roman"/>
          <w:b/>
          <w:bCs/>
          <w:sz w:val="24"/>
          <w:szCs w:val="24"/>
          <w:lang w:val="en-NZ"/>
        </w:rPr>
      </w:pPr>
      <w:r w:rsidRPr="006F4180">
        <w:rPr>
          <w:rFonts w:ascii="Times New Roman" w:hAnsi="Times New Roman" w:cs="Times New Roman"/>
          <w:sz w:val="24"/>
          <w:szCs w:val="24"/>
          <w:lang w:val="en-NZ"/>
        </w:rPr>
        <w:t>The remaining study is structured as follows: Section 2 reviews prior studies; Section 3 presents methodology; Section 4 elaborates empirical results along with discussion; in the end, Section 5 concludes the whole study.</w:t>
      </w:r>
    </w:p>
    <w:p w14:paraId="73A291FD" w14:textId="77777777" w:rsidR="00CF3A87" w:rsidRPr="006F4180" w:rsidRDefault="00CF3A87" w:rsidP="00CF3A87">
      <w:pPr>
        <w:spacing w:line="360" w:lineRule="auto"/>
        <w:jc w:val="both"/>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t>2. Literature Review</w:t>
      </w:r>
    </w:p>
    <w:p w14:paraId="3EC781AF" w14:textId="554784AE" w:rsidR="00CF3A87" w:rsidRPr="006F4180" w:rsidRDefault="00287845" w:rsidP="00CF3A87">
      <w:pPr>
        <w:spacing w:line="360" w:lineRule="auto"/>
        <w:jc w:val="both"/>
        <w:rPr>
          <w:rFonts w:ascii="Times New Roman" w:hAnsi="Times New Roman" w:cs="Times New Roman"/>
          <w:sz w:val="24"/>
          <w:szCs w:val="24"/>
        </w:rPr>
      </w:pPr>
      <w:r w:rsidRPr="006F4180">
        <w:rPr>
          <w:rFonts w:ascii="Times New Roman" w:hAnsi="Times New Roman" w:cs="Times New Roman"/>
          <w:sz w:val="24"/>
          <w:szCs w:val="24"/>
          <w:lang w:val="en-NZ"/>
        </w:rPr>
        <w:t>The</w:t>
      </w:r>
      <w:r w:rsidR="00CF3A87" w:rsidRPr="006F4180">
        <w:rPr>
          <w:rFonts w:ascii="Times New Roman" w:hAnsi="Times New Roman" w:cs="Times New Roman"/>
          <w:sz w:val="24"/>
          <w:szCs w:val="24"/>
          <w:lang w:val="en-NZ"/>
        </w:rPr>
        <w:t xml:space="preserve"> literature on the </w:t>
      </w:r>
      <w:r w:rsidRPr="006F4180">
        <w:rPr>
          <w:rFonts w:ascii="Times New Roman" w:hAnsi="Times New Roman" w:cs="Times New Roman"/>
          <w:sz w:val="24"/>
          <w:szCs w:val="24"/>
          <w:lang w:val="en-NZ"/>
        </w:rPr>
        <w:t xml:space="preserve">spillover or </w:t>
      </w:r>
      <w:r w:rsidR="00CF3A87" w:rsidRPr="006F4180">
        <w:rPr>
          <w:rFonts w:ascii="Times New Roman" w:hAnsi="Times New Roman" w:cs="Times New Roman"/>
          <w:sz w:val="24"/>
          <w:szCs w:val="24"/>
          <w:lang w:val="en-NZ"/>
        </w:rPr>
        <w:t>connectedness of the emerging stock markets</w:t>
      </w:r>
      <w:r w:rsidRPr="006F4180">
        <w:rPr>
          <w:rFonts w:ascii="Times New Roman" w:hAnsi="Times New Roman" w:cs="Times New Roman"/>
          <w:sz w:val="24"/>
          <w:szCs w:val="24"/>
          <w:lang w:val="en-NZ"/>
        </w:rPr>
        <w:t xml:space="preserve"> can be divided into two distinct groups. One group is based on </w:t>
      </w:r>
      <w:r w:rsidR="00CF3A87" w:rsidRPr="006F4180">
        <w:rPr>
          <w:rFonts w:ascii="Times New Roman" w:hAnsi="Times New Roman" w:cs="Times New Roman"/>
          <w:sz w:val="24"/>
          <w:szCs w:val="24"/>
          <w:lang w:val="en-NZ"/>
        </w:rPr>
        <w:t>GARCH, causality, and network connectednes</w:t>
      </w:r>
      <w:r w:rsidRPr="006F4180">
        <w:rPr>
          <w:rFonts w:ascii="Times New Roman" w:hAnsi="Times New Roman" w:cs="Times New Roman"/>
          <w:sz w:val="24"/>
          <w:szCs w:val="24"/>
          <w:lang w:val="en-NZ"/>
        </w:rPr>
        <w:t>s models</w:t>
      </w:r>
      <w:r w:rsidR="00CF3A87" w:rsidRPr="006F4180">
        <w:rPr>
          <w:rFonts w:ascii="Times New Roman" w:hAnsi="Times New Roman" w:cs="Times New Roman"/>
          <w:sz w:val="24"/>
          <w:szCs w:val="24"/>
          <w:lang w:val="en-NZ"/>
        </w:rPr>
        <w:t xml:space="preserve">. </w:t>
      </w:r>
      <w:proofErr w:type="spellStart"/>
      <w:r w:rsidR="00CF3A87" w:rsidRPr="006F4180">
        <w:rPr>
          <w:rFonts w:ascii="Times New Roman" w:hAnsi="Times New Roman" w:cs="Times New Roman"/>
          <w:sz w:val="24"/>
          <w:szCs w:val="24"/>
        </w:rPr>
        <w:t>Gebka</w:t>
      </w:r>
      <w:proofErr w:type="spellEnd"/>
      <w:r w:rsidR="00CF3A87" w:rsidRPr="006F4180">
        <w:rPr>
          <w:rFonts w:ascii="Times New Roman" w:hAnsi="Times New Roman" w:cs="Times New Roman"/>
          <w:sz w:val="24"/>
          <w:szCs w:val="24"/>
        </w:rPr>
        <w:t xml:space="preserve"> and Serwa (2007) use the GARCH model to examine the inter- and intra-regional connectedness between emerging stock markets of Asia, Central and Eastern Europe, and Latin America. They find that the intra-regional connectedness is stronger than the inter-regional connectedness. </w:t>
      </w:r>
      <w:proofErr w:type="spellStart"/>
      <w:r w:rsidR="00CF3A87" w:rsidRPr="006F4180">
        <w:rPr>
          <w:rFonts w:ascii="Times New Roman" w:hAnsi="Times New Roman" w:cs="Times New Roman"/>
          <w:sz w:val="24"/>
          <w:szCs w:val="24"/>
        </w:rPr>
        <w:t>Hammoudeh</w:t>
      </w:r>
      <w:proofErr w:type="spellEnd"/>
      <w:r w:rsidR="00CF3A87" w:rsidRPr="006F4180">
        <w:rPr>
          <w:rFonts w:ascii="Times New Roman" w:hAnsi="Times New Roman" w:cs="Times New Roman"/>
          <w:sz w:val="24"/>
          <w:szCs w:val="24"/>
        </w:rPr>
        <w:t xml:space="preserve"> et al. (2009) apply the VAR-GARCH model to investigate the volatility connectedness between the three sectors (service, insurance, and banking) of Kuwait, Saudi Arabia, Qatar, and UAE stock markets. They report moderate level</w:t>
      </w:r>
      <w:r w:rsidRPr="006F4180">
        <w:rPr>
          <w:rFonts w:ascii="Times New Roman" w:hAnsi="Times New Roman" w:cs="Times New Roman"/>
          <w:sz w:val="24"/>
          <w:szCs w:val="24"/>
        </w:rPr>
        <w:t>s</w:t>
      </w:r>
      <w:r w:rsidR="00CF3A87" w:rsidRPr="006F4180">
        <w:rPr>
          <w:rFonts w:ascii="Times New Roman" w:hAnsi="Times New Roman" w:cs="Times New Roman"/>
          <w:sz w:val="24"/>
          <w:szCs w:val="24"/>
        </w:rPr>
        <w:t xml:space="preserve"> of connectedness between these sectors. Yilmaz (2010) employ</w:t>
      </w:r>
      <w:r w:rsidRPr="006F4180">
        <w:rPr>
          <w:rFonts w:ascii="Times New Roman" w:hAnsi="Times New Roman" w:cs="Times New Roman"/>
          <w:sz w:val="24"/>
          <w:szCs w:val="24"/>
        </w:rPr>
        <w:t>s</w:t>
      </w:r>
      <w:r w:rsidR="00CF3A87" w:rsidRPr="006F4180">
        <w:rPr>
          <w:rFonts w:ascii="Times New Roman" w:hAnsi="Times New Roman" w:cs="Times New Roman"/>
          <w:sz w:val="24"/>
          <w:szCs w:val="24"/>
        </w:rPr>
        <w:t xml:space="preserve"> Diebold and Yilmaz</w:t>
      </w:r>
      <w:r w:rsidRPr="006F4180">
        <w:rPr>
          <w:rFonts w:ascii="Times New Roman" w:hAnsi="Times New Roman" w:cs="Times New Roman"/>
          <w:sz w:val="24"/>
          <w:szCs w:val="24"/>
        </w:rPr>
        <w:t>’s</w:t>
      </w:r>
      <w:r w:rsidR="00CF3A87" w:rsidRPr="006F4180">
        <w:rPr>
          <w:rFonts w:ascii="Times New Roman" w:hAnsi="Times New Roman" w:cs="Times New Roman"/>
          <w:sz w:val="24"/>
          <w:szCs w:val="24"/>
        </w:rPr>
        <w:t xml:space="preserve"> (2009) approach to estimate return and volatility connectedness between Thailand, </w:t>
      </w:r>
      <w:r w:rsidR="00CF3A87" w:rsidRPr="006F4180">
        <w:rPr>
          <w:rFonts w:ascii="Times New Roman" w:hAnsi="Times New Roman" w:cs="Times New Roman"/>
          <w:sz w:val="24"/>
          <w:szCs w:val="24"/>
        </w:rPr>
        <w:lastRenderedPageBreak/>
        <w:t>Hong Kong, Korea, Japan, Indonesia</w:t>
      </w:r>
      <w:r w:rsidRPr="006F4180">
        <w:rPr>
          <w:rFonts w:ascii="Times New Roman" w:hAnsi="Times New Roman" w:cs="Times New Roman"/>
          <w:sz w:val="24"/>
          <w:szCs w:val="24"/>
        </w:rPr>
        <w:t>,</w:t>
      </w:r>
      <w:r w:rsidR="00CF3A87" w:rsidRPr="006F4180">
        <w:rPr>
          <w:rFonts w:ascii="Times New Roman" w:hAnsi="Times New Roman" w:cs="Times New Roman"/>
          <w:sz w:val="24"/>
          <w:szCs w:val="24"/>
        </w:rPr>
        <w:t xml:space="preserve"> Malaysia, Philippines, Singapore, Taiwan, and Australia. The return and volatility connectedness among these stock markets is time-varying and bec</w:t>
      </w:r>
      <w:r w:rsidRPr="006F4180">
        <w:rPr>
          <w:rFonts w:ascii="Times New Roman" w:hAnsi="Times New Roman" w:cs="Times New Roman"/>
          <w:sz w:val="24"/>
          <w:szCs w:val="24"/>
        </w:rPr>
        <w:t>a</w:t>
      </w:r>
      <w:r w:rsidR="00CF3A87" w:rsidRPr="006F4180">
        <w:rPr>
          <w:rFonts w:ascii="Times New Roman" w:hAnsi="Times New Roman" w:cs="Times New Roman"/>
          <w:sz w:val="24"/>
          <w:szCs w:val="24"/>
        </w:rPr>
        <w:t xml:space="preserve">me stronger during the global financial crisis. </w:t>
      </w:r>
    </w:p>
    <w:p w14:paraId="06C6EA46" w14:textId="41685C1E" w:rsidR="00CF3A87" w:rsidRPr="006F4180" w:rsidRDefault="00CF3A87" w:rsidP="003950B7">
      <w:pPr>
        <w:spacing w:line="360" w:lineRule="auto"/>
        <w:ind w:firstLine="720"/>
        <w:jc w:val="both"/>
        <w:rPr>
          <w:rFonts w:ascii="Times New Roman" w:hAnsi="Times New Roman" w:cs="Times New Roman"/>
          <w:sz w:val="24"/>
          <w:szCs w:val="24"/>
        </w:rPr>
      </w:pPr>
      <w:proofErr w:type="spellStart"/>
      <w:r w:rsidRPr="006F4180">
        <w:rPr>
          <w:rFonts w:ascii="Times New Roman" w:hAnsi="Times New Roman" w:cs="Times New Roman"/>
          <w:sz w:val="24"/>
          <w:szCs w:val="24"/>
        </w:rPr>
        <w:t>Beirne</w:t>
      </w:r>
      <w:proofErr w:type="spellEnd"/>
      <w:r w:rsidRPr="006F4180">
        <w:rPr>
          <w:rFonts w:ascii="Times New Roman" w:hAnsi="Times New Roman" w:cs="Times New Roman"/>
          <w:sz w:val="24"/>
          <w:szCs w:val="24"/>
        </w:rPr>
        <w:t xml:space="preserve"> et al. (2010) employed the VAR-GARCH in mean approach to examine the spillover from regional and global spillovers into the emerging equity markets and find that provide the evidence of spillovers from regional and global markets to emerging markets. Moreover, these spillovers vary across different regions as well. </w:t>
      </w:r>
      <w:proofErr w:type="spellStart"/>
      <w:r w:rsidRPr="006F4180">
        <w:rPr>
          <w:rFonts w:ascii="Times New Roman" w:hAnsi="Times New Roman" w:cs="Times New Roman"/>
          <w:sz w:val="24"/>
          <w:szCs w:val="24"/>
        </w:rPr>
        <w:t>Aloui</w:t>
      </w:r>
      <w:proofErr w:type="spellEnd"/>
      <w:r w:rsidRPr="006F4180">
        <w:rPr>
          <w:rFonts w:ascii="Times New Roman" w:hAnsi="Times New Roman" w:cs="Times New Roman"/>
          <w:sz w:val="24"/>
          <w:szCs w:val="24"/>
        </w:rPr>
        <w:t xml:space="preserve"> (2011) use the FIAPARCH-DCC approach and find the volatility connectedness between Latin American stock markets. Joshi (2011) utilized the BEKK-GARCH model to examine the integration between </w:t>
      </w:r>
      <w:r w:rsidR="00287845" w:rsidRPr="006F4180">
        <w:rPr>
          <w:rFonts w:ascii="Times New Roman" w:hAnsi="Times New Roman" w:cs="Times New Roman"/>
          <w:sz w:val="24"/>
          <w:szCs w:val="24"/>
        </w:rPr>
        <w:t>China, India, Japan, Hong Kong, Jakarta, and Korea’s equity markets</w:t>
      </w:r>
      <w:r w:rsidRPr="006F4180">
        <w:rPr>
          <w:rFonts w:ascii="Times New Roman" w:hAnsi="Times New Roman" w:cs="Times New Roman"/>
          <w:sz w:val="24"/>
          <w:szCs w:val="24"/>
        </w:rPr>
        <w:t xml:space="preserve"> and find the bidirectional volatility connectedness among these equity markets.</w:t>
      </w:r>
      <w:r w:rsidRPr="006F4180">
        <w:rPr>
          <w:rFonts w:ascii="Times New Roman" w:hAnsi="Times New Roman" w:cs="Times New Roman"/>
          <w:sz w:val="24"/>
          <w:szCs w:val="24"/>
          <w:shd w:val="clear" w:color="auto" w:fill="FFFFFF"/>
        </w:rPr>
        <w:t xml:space="preserve"> </w:t>
      </w:r>
      <w:r w:rsidRPr="006F4180">
        <w:rPr>
          <w:rFonts w:ascii="Times New Roman" w:hAnsi="Times New Roman" w:cs="Times New Roman"/>
          <w:sz w:val="24"/>
          <w:szCs w:val="24"/>
        </w:rPr>
        <w:t>Using Diebold and Yilmaz, Zhou et al. (2012) look at the connectedness between Chinese and world stock markets, including developed and emerging. They find that the Chinese equity market positively influence</w:t>
      </w:r>
      <w:r w:rsidR="00287845" w:rsidRPr="006F4180">
        <w:rPr>
          <w:rFonts w:ascii="Times New Roman" w:hAnsi="Times New Roman" w:cs="Times New Roman"/>
          <w:sz w:val="24"/>
          <w:szCs w:val="24"/>
        </w:rPr>
        <w:t>s</w:t>
      </w:r>
      <w:r w:rsidRPr="006F4180">
        <w:rPr>
          <w:rFonts w:ascii="Times New Roman" w:hAnsi="Times New Roman" w:cs="Times New Roman"/>
          <w:sz w:val="24"/>
          <w:szCs w:val="24"/>
        </w:rPr>
        <w:t xml:space="preserve"> the other stock markets. Moreover, China, Taiwan, and Hong Kong markets are highly connected compared to China, Asia, and western equity markets. </w:t>
      </w:r>
    </w:p>
    <w:p w14:paraId="18162ECA" w14:textId="7AC4A2E0" w:rsidR="00CF3A87" w:rsidRPr="006F4180" w:rsidRDefault="00CF3A87" w:rsidP="003950B7">
      <w:pPr>
        <w:spacing w:line="360" w:lineRule="auto"/>
        <w:ind w:firstLine="720"/>
        <w:jc w:val="both"/>
        <w:rPr>
          <w:rFonts w:ascii="Times New Roman" w:hAnsi="Times New Roman" w:cs="Times New Roman"/>
          <w:sz w:val="24"/>
          <w:szCs w:val="24"/>
        </w:rPr>
      </w:pPr>
      <w:r w:rsidRPr="006F4180">
        <w:rPr>
          <w:rFonts w:ascii="Times New Roman" w:hAnsi="Times New Roman" w:cs="Times New Roman"/>
          <w:sz w:val="24"/>
          <w:szCs w:val="24"/>
        </w:rPr>
        <w:t xml:space="preserve">Korkmaz et al. (2012) deployed the causality in mean and variance tests and find the weak connectedness between equity markets of Colombia, Vietnam, Indonesia, Turkey, Egypt, and South Africa. </w:t>
      </w:r>
      <w:proofErr w:type="spellStart"/>
      <w:r w:rsidR="00287845" w:rsidRPr="006F4180">
        <w:rPr>
          <w:rFonts w:ascii="Times New Roman" w:hAnsi="Times New Roman" w:cs="Times New Roman"/>
          <w:sz w:val="24"/>
          <w:szCs w:val="24"/>
          <w:shd w:val="clear" w:color="auto" w:fill="FFFFFF"/>
        </w:rPr>
        <w:t>Tasdemir</w:t>
      </w:r>
      <w:proofErr w:type="spellEnd"/>
      <w:r w:rsidR="00287845" w:rsidRPr="006F4180">
        <w:rPr>
          <w:rFonts w:ascii="Times New Roman" w:hAnsi="Times New Roman" w:cs="Times New Roman"/>
          <w:sz w:val="24"/>
          <w:szCs w:val="24"/>
          <w:shd w:val="clear" w:color="auto" w:fill="FFFFFF"/>
        </w:rPr>
        <w:t xml:space="preserve"> and </w:t>
      </w:r>
      <w:proofErr w:type="spellStart"/>
      <w:r w:rsidR="00287845" w:rsidRPr="006F4180">
        <w:rPr>
          <w:rFonts w:ascii="Times New Roman" w:hAnsi="Times New Roman" w:cs="Times New Roman"/>
          <w:sz w:val="24"/>
          <w:szCs w:val="24"/>
          <w:shd w:val="clear" w:color="auto" w:fill="FFFFFF"/>
        </w:rPr>
        <w:t>Yalama</w:t>
      </w:r>
      <w:proofErr w:type="spellEnd"/>
      <w:r w:rsidR="00287845" w:rsidRPr="006F4180">
        <w:rPr>
          <w:rFonts w:ascii="Times New Roman" w:hAnsi="Times New Roman" w:cs="Times New Roman"/>
          <w:sz w:val="24"/>
          <w:szCs w:val="24"/>
          <w:shd w:val="clear" w:color="auto" w:fill="FFFFFF"/>
        </w:rPr>
        <w:t xml:space="preserve"> (2014) estimate the volatility connectedness between Brazilian and Turkish stock markets using the causality-in-variance</w:t>
      </w:r>
      <w:r w:rsidRPr="006F4180">
        <w:rPr>
          <w:rFonts w:ascii="Times New Roman" w:hAnsi="Times New Roman" w:cs="Times New Roman"/>
          <w:sz w:val="24"/>
          <w:szCs w:val="24"/>
        </w:rPr>
        <w:t>. They find the unidirectional transmission from Brazilian to Turkish stock markets</w:t>
      </w:r>
      <w:r w:rsidR="00287845" w:rsidRPr="006F4180">
        <w:rPr>
          <w:rFonts w:ascii="Times New Roman" w:hAnsi="Times New Roman" w:cs="Times New Roman"/>
          <w:sz w:val="24"/>
          <w:szCs w:val="24"/>
        </w:rPr>
        <w:t>,</w:t>
      </w:r>
      <w:r w:rsidRPr="006F4180">
        <w:rPr>
          <w:rFonts w:ascii="Times New Roman" w:hAnsi="Times New Roman" w:cs="Times New Roman"/>
          <w:sz w:val="24"/>
          <w:szCs w:val="24"/>
        </w:rPr>
        <w:t xml:space="preserve"> and this transmission bec</w:t>
      </w:r>
      <w:r w:rsidR="00287845" w:rsidRPr="006F4180">
        <w:rPr>
          <w:rFonts w:ascii="Times New Roman" w:hAnsi="Times New Roman" w:cs="Times New Roman"/>
          <w:sz w:val="24"/>
          <w:szCs w:val="24"/>
        </w:rPr>
        <w:t>a</w:t>
      </w:r>
      <w:r w:rsidRPr="006F4180">
        <w:rPr>
          <w:rFonts w:ascii="Times New Roman" w:hAnsi="Times New Roman" w:cs="Times New Roman"/>
          <w:sz w:val="24"/>
          <w:szCs w:val="24"/>
        </w:rPr>
        <w:t xml:space="preserve">me reverse in the crisis period. Using various GARCH models, Alotaibi and Mishra (2015) report the unidirectional spillover </w:t>
      </w:r>
      <w:r w:rsidR="00287845" w:rsidRPr="006F4180">
        <w:rPr>
          <w:rFonts w:ascii="Times New Roman" w:hAnsi="Times New Roman" w:cs="Times New Roman"/>
          <w:sz w:val="24"/>
          <w:szCs w:val="24"/>
        </w:rPr>
        <w:t xml:space="preserve">between </w:t>
      </w:r>
      <w:r w:rsidRPr="006F4180">
        <w:rPr>
          <w:rFonts w:ascii="Times New Roman" w:hAnsi="Times New Roman" w:cs="Times New Roman"/>
          <w:sz w:val="24"/>
          <w:szCs w:val="24"/>
        </w:rPr>
        <w:t>Saudi Arabia and US to other GCC stock markets</w:t>
      </w:r>
      <w:r w:rsidR="00287845" w:rsidRPr="006F4180">
        <w:rPr>
          <w:rFonts w:ascii="Times New Roman" w:hAnsi="Times New Roman" w:cs="Times New Roman"/>
          <w:sz w:val="24"/>
          <w:szCs w:val="24"/>
        </w:rPr>
        <w:t>,</w:t>
      </w:r>
      <w:r w:rsidRPr="006F4180">
        <w:rPr>
          <w:rFonts w:ascii="Times New Roman" w:hAnsi="Times New Roman" w:cs="Times New Roman"/>
          <w:sz w:val="24"/>
          <w:szCs w:val="24"/>
        </w:rPr>
        <w:t xml:space="preserve"> including Bahrain, Oman, UAE, Qatar, and Kuwait. Using Diebold and Yilmaz, Chow (2017) examine the volatility connectedness across US, China, Japan, and other Asian markets and find the stronger connectedness among these markets after the global financial crisis. The time-varying spillovers show that the US, China, and Japan highly influence the other Asian markets, respectively. Lu et al. (2019) employ the multivariate GARCH model to estimate spillovers between China and Belt and Road equity markets and find the weak volatility transmission from China to Belt and Road equity markets. Moreover, the spillovers are observed to be higher during financial crises. </w:t>
      </w:r>
    </w:p>
    <w:p w14:paraId="260DA711" w14:textId="2ABDCF1C" w:rsidR="00CF3A87" w:rsidRPr="006F4180" w:rsidRDefault="00CF3A87" w:rsidP="003950B7">
      <w:pPr>
        <w:spacing w:line="360" w:lineRule="auto"/>
        <w:ind w:firstLine="720"/>
        <w:jc w:val="both"/>
        <w:rPr>
          <w:rFonts w:ascii="Times New Roman" w:hAnsi="Times New Roman" w:cs="Times New Roman"/>
          <w:sz w:val="24"/>
          <w:szCs w:val="24"/>
        </w:rPr>
      </w:pPr>
      <w:r w:rsidRPr="006F4180">
        <w:rPr>
          <w:rFonts w:ascii="Times New Roman" w:hAnsi="Times New Roman" w:cs="Times New Roman"/>
          <w:sz w:val="24"/>
          <w:szCs w:val="24"/>
        </w:rPr>
        <w:t>Using the EGARCH model, Ahmed et al. (2021) find the unidirectional volatility spillovers from China to other emerging Asian stock markets.</w:t>
      </w:r>
      <w:r w:rsidRPr="006F4180">
        <w:rPr>
          <w:rFonts w:ascii="Times New Roman" w:hAnsi="Times New Roman" w:cs="Times New Roman"/>
          <w:sz w:val="24"/>
          <w:szCs w:val="24"/>
          <w:shd w:val="clear" w:color="auto" w:fill="FFFFFF"/>
        </w:rPr>
        <w:t xml:space="preserve"> </w:t>
      </w:r>
      <w:r w:rsidRPr="006F4180">
        <w:rPr>
          <w:rFonts w:ascii="Times New Roman" w:hAnsi="Times New Roman" w:cs="Times New Roman"/>
          <w:sz w:val="24"/>
          <w:szCs w:val="24"/>
        </w:rPr>
        <w:t>Liu (2021) appl</w:t>
      </w:r>
      <w:r w:rsidR="00287845" w:rsidRPr="006F4180">
        <w:rPr>
          <w:rFonts w:ascii="Times New Roman" w:hAnsi="Times New Roman" w:cs="Times New Roman"/>
          <w:sz w:val="24"/>
          <w:szCs w:val="24"/>
        </w:rPr>
        <w:t>ied</w:t>
      </w:r>
      <w:r w:rsidRPr="006F4180">
        <w:rPr>
          <w:rFonts w:ascii="Times New Roman" w:hAnsi="Times New Roman" w:cs="Times New Roman"/>
          <w:sz w:val="24"/>
          <w:szCs w:val="24"/>
        </w:rPr>
        <w:t xml:space="preserve"> the Full </w:t>
      </w:r>
      <w:r w:rsidRPr="006F4180">
        <w:rPr>
          <w:rFonts w:ascii="Times New Roman" w:hAnsi="Times New Roman" w:cs="Times New Roman"/>
          <w:sz w:val="24"/>
          <w:szCs w:val="24"/>
        </w:rPr>
        <w:lastRenderedPageBreak/>
        <w:t>BEKK-GARCH, Diag</w:t>
      </w:r>
      <w:r w:rsidR="00287845" w:rsidRPr="006F4180">
        <w:rPr>
          <w:rFonts w:ascii="Times New Roman" w:hAnsi="Times New Roman" w:cs="Times New Roman"/>
          <w:sz w:val="24"/>
          <w:szCs w:val="24"/>
        </w:rPr>
        <w:t>ona</w:t>
      </w:r>
      <w:r w:rsidRPr="006F4180">
        <w:rPr>
          <w:rFonts w:ascii="Times New Roman" w:hAnsi="Times New Roman" w:cs="Times New Roman"/>
          <w:sz w:val="24"/>
          <w:szCs w:val="24"/>
        </w:rPr>
        <w:t xml:space="preserve">l BEKK, VAR-GARCH, and DCC-GARCH models to examine the connectedness between China and other emerging markets of Singapore, Malaysia, Indonesia, Thailand, and </w:t>
      </w:r>
      <w:r w:rsidR="00287845" w:rsidRPr="006F4180">
        <w:rPr>
          <w:rFonts w:ascii="Times New Roman" w:hAnsi="Times New Roman" w:cs="Times New Roman"/>
          <w:sz w:val="24"/>
          <w:szCs w:val="24"/>
        </w:rPr>
        <w:t xml:space="preserve">the </w:t>
      </w:r>
      <w:r w:rsidRPr="006F4180">
        <w:rPr>
          <w:rFonts w:ascii="Times New Roman" w:hAnsi="Times New Roman" w:cs="Times New Roman"/>
          <w:sz w:val="24"/>
          <w:szCs w:val="24"/>
        </w:rPr>
        <w:t xml:space="preserve">Philippines. They report positive connectedness between these markets and </w:t>
      </w:r>
      <w:r w:rsidR="00287845" w:rsidRPr="006F4180">
        <w:rPr>
          <w:rFonts w:ascii="Times New Roman" w:hAnsi="Times New Roman" w:cs="Times New Roman"/>
          <w:sz w:val="24"/>
          <w:szCs w:val="24"/>
        </w:rPr>
        <w:t xml:space="preserve">an increase in </w:t>
      </w:r>
      <w:r w:rsidRPr="006F4180">
        <w:rPr>
          <w:rFonts w:ascii="Times New Roman" w:hAnsi="Times New Roman" w:cs="Times New Roman"/>
          <w:sz w:val="24"/>
          <w:szCs w:val="24"/>
        </w:rPr>
        <w:t xml:space="preserve">connectedness </w:t>
      </w:r>
      <w:r w:rsidR="00287845" w:rsidRPr="006F4180">
        <w:rPr>
          <w:rFonts w:ascii="Times New Roman" w:hAnsi="Times New Roman" w:cs="Times New Roman"/>
          <w:sz w:val="24"/>
          <w:szCs w:val="24"/>
        </w:rPr>
        <w:t>during different crisis episodes, like Asian financial crisis of 1997, the global financial crisis, and the</w:t>
      </w:r>
      <w:r w:rsidRPr="006F4180">
        <w:rPr>
          <w:rFonts w:ascii="Times New Roman" w:hAnsi="Times New Roman" w:cs="Times New Roman"/>
          <w:sz w:val="24"/>
          <w:szCs w:val="24"/>
        </w:rPr>
        <w:t xml:space="preserve"> Chinese equity market crash in 2015.</w:t>
      </w:r>
    </w:p>
    <w:p w14:paraId="5DE9CD4D" w14:textId="4C47472A" w:rsidR="00CF3A87" w:rsidRPr="006F4180" w:rsidRDefault="00287845" w:rsidP="003950B7">
      <w:pPr>
        <w:spacing w:line="360" w:lineRule="auto"/>
        <w:ind w:firstLine="720"/>
        <w:jc w:val="both"/>
        <w:rPr>
          <w:rFonts w:ascii="Times New Roman" w:hAnsi="Times New Roman" w:cs="Times New Roman"/>
          <w:sz w:val="24"/>
          <w:szCs w:val="24"/>
        </w:rPr>
      </w:pPr>
      <w:r w:rsidRPr="006F4180">
        <w:rPr>
          <w:rFonts w:ascii="Times New Roman" w:hAnsi="Times New Roman" w:cs="Times New Roman"/>
          <w:sz w:val="24"/>
          <w:szCs w:val="24"/>
        </w:rPr>
        <w:t>Ano</w:t>
      </w:r>
      <w:r w:rsidR="00CF3A87" w:rsidRPr="006F4180">
        <w:rPr>
          <w:rFonts w:ascii="Times New Roman" w:hAnsi="Times New Roman" w:cs="Times New Roman"/>
          <w:sz w:val="24"/>
          <w:szCs w:val="24"/>
        </w:rPr>
        <w:t xml:space="preserve">ther group of studies focuses on the tail/quantiles/extreme connectedness between the emerging stock markets. </w:t>
      </w:r>
      <w:proofErr w:type="spellStart"/>
      <w:r w:rsidR="00CF3A87" w:rsidRPr="006F4180">
        <w:rPr>
          <w:rFonts w:ascii="Times New Roman" w:hAnsi="Times New Roman" w:cs="Times New Roman"/>
          <w:sz w:val="24"/>
          <w:szCs w:val="24"/>
        </w:rPr>
        <w:t>Bala</w:t>
      </w:r>
      <w:proofErr w:type="spellEnd"/>
      <w:r w:rsidR="00CF3A87" w:rsidRPr="006F4180">
        <w:rPr>
          <w:rFonts w:ascii="Times New Roman" w:hAnsi="Times New Roman" w:cs="Times New Roman"/>
          <w:sz w:val="24"/>
          <w:szCs w:val="24"/>
        </w:rPr>
        <w:t xml:space="preserve"> and </w:t>
      </w:r>
      <w:proofErr w:type="spellStart"/>
      <w:r w:rsidR="00CF3A87" w:rsidRPr="006F4180">
        <w:rPr>
          <w:rFonts w:ascii="Times New Roman" w:hAnsi="Times New Roman" w:cs="Times New Roman"/>
          <w:sz w:val="24"/>
          <w:szCs w:val="24"/>
        </w:rPr>
        <w:t>Takimoto</w:t>
      </w:r>
      <w:proofErr w:type="spellEnd"/>
      <w:r w:rsidR="00CF3A87" w:rsidRPr="006F4180">
        <w:rPr>
          <w:rFonts w:ascii="Times New Roman" w:hAnsi="Times New Roman" w:cs="Times New Roman"/>
          <w:sz w:val="24"/>
          <w:szCs w:val="24"/>
        </w:rPr>
        <w:t xml:space="preserve"> (2017) use the asymmetric DCC-GARCH model to examine the risk connectedness for emerging and developed equity markets. They find that developed equity markets are strongly connected, whereas emerging equity markets are weakly connected. Moreover, volatility transmission is symmetric (asymmetric) between the emerging (developed) stock markets. Shahzad et al. (2018) use the cross-</w:t>
      </w:r>
      <w:proofErr w:type="spellStart"/>
      <w:r w:rsidR="00CF3A87" w:rsidRPr="006F4180">
        <w:rPr>
          <w:rFonts w:ascii="Times New Roman" w:hAnsi="Times New Roman" w:cs="Times New Roman"/>
          <w:sz w:val="24"/>
          <w:szCs w:val="24"/>
        </w:rPr>
        <w:t>quantilogram</w:t>
      </w:r>
      <w:proofErr w:type="spellEnd"/>
      <w:r w:rsidR="00CF3A87" w:rsidRPr="006F4180">
        <w:rPr>
          <w:rFonts w:ascii="Times New Roman" w:hAnsi="Times New Roman" w:cs="Times New Roman"/>
          <w:sz w:val="24"/>
          <w:szCs w:val="24"/>
        </w:rPr>
        <w:t xml:space="preserve"> analysis to investigate the interconnectedness between 58 developed and emerging stock markets in bullish and bearish market states and find that the US and Canada are the biggest transmitters of risk to the other countries. </w:t>
      </w:r>
      <w:proofErr w:type="spellStart"/>
      <w:r w:rsidR="00CF3A87" w:rsidRPr="006F4180">
        <w:rPr>
          <w:rFonts w:ascii="Times New Roman" w:hAnsi="Times New Roman" w:cs="Times New Roman"/>
          <w:sz w:val="24"/>
          <w:szCs w:val="24"/>
        </w:rPr>
        <w:t>Baumöhl</w:t>
      </w:r>
      <w:proofErr w:type="spellEnd"/>
      <w:r w:rsidR="00CF3A87" w:rsidRPr="006F4180">
        <w:rPr>
          <w:rFonts w:ascii="Times New Roman" w:hAnsi="Times New Roman" w:cs="Times New Roman"/>
          <w:sz w:val="24"/>
          <w:szCs w:val="24"/>
        </w:rPr>
        <w:t xml:space="preserve"> and Shahzad (2019) employ the quantile coherency analysis to investigate the quantile dependence network of 49 major equity markets and find that short</w:t>
      </w:r>
      <w:r w:rsidRPr="006F4180">
        <w:rPr>
          <w:rFonts w:ascii="Times New Roman" w:hAnsi="Times New Roman" w:cs="Times New Roman"/>
          <w:sz w:val="24"/>
          <w:szCs w:val="24"/>
        </w:rPr>
        <w:t>-</w:t>
      </w:r>
      <w:r w:rsidR="00CF3A87" w:rsidRPr="006F4180">
        <w:rPr>
          <w:rFonts w:ascii="Times New Roman" w:hAnsi="Times New Roman" w:cs="Times New Roman"/>
          <w:sz w:val="24"/>
          <w:szCs w:val="24"/>
        </w:rPr>
        <w:t xml:space="preserve"> and long run dependence bec</w:t>
      </w:r>
      <w:r w:rsidRPr="006F4180">
        <w:rPr>
          <w:rFonts w:ascii="Times New Roman" w:hAnsi="Times New Roman" w:cs="Times New Roman"/>
          <w:sz w:val="24"/>
          <w:szCs w:val="24"/>
        </w:rPr>
        <w:t>a</w:t>
      </w:r>
      <w:r w:rsidR="00CF3A87" w:rsidRPr="006F4180">
        <w:rPr>
          <w:rFonts w:ascii="Times New Roman" w:hAnsi="Times New Roman" w:cs="Times New Roman"/>
          <w:sz w:val="24"/>
          <w:szCs w:val="24"/>
        </w:rPr>
        <w:t>me higher during the bearish market state and after the global financial crisis.</w:t>
      </w:r>
      <w:r w:rsidRPr="006F4180">
        <w:rPr>
          <w:rFonts w:ascii="Times New Roman" w:hAnsi="Times New Roman" w:cs="Times New Roman"/>
          <w:sz w:val="24"/>
          <w:szCs w:val="24"/>
        </w:rPr>
        <w:t xml:space="preserve"> </w:t>
      </w:r>
      <w:r w:rsidR="00CF3A87" w:rsidRPr="006F4180">
        <w:rPr>
          <w:rFonts w:ascii="Times New Roman" w:hAnsi="Times New Roman" w:cs="Times New Roman"/>
          <w:sz w:val="24"/>
          <w:szCs w:val="24"/>
        </w:rPr>
        <w:t xml:space="preserve">Moreover, the emerging stock markets are weakly integrated compared to the developed stock markets. Using </w:t>
      </w:r>
      <w:r w:rsidRPr="006F4180">
        <w:rPr>
          <w:rFonts w:ascii="Times New Roman" w:hAnsi="Times New Roman" w:cs="Times New Roman"/>
          <w:sz w:val="24"/>
          <w:szCs w:val="24"/>
        </w:rPr>
        <w:t xml:space="preserve">the </w:t>
      </w:r>
      <w:r w:rsidR="00CF3A87" w:rsidRPr="006F4180">
        <w:rPr>
          <w:rFonts w:ascii="Times New Roman" w:hAnsi="Times New Roman" w:cs="Times New Roman"/>
          <w:sz w:val="24"/>
          <w:szCs w:val="24"/>
        </w:rPr>
        <w:t xml:space="preserve">asymmetric Copula-EGARCH model, </w:t>
      </w:r>
      <w:proofErr w:type="spellStart"/>
      <w:r w:rsidR="00CF3A87" w:rsidRPr="006F4180">
        <w:rPr>
          <w:rFonts w:ascii="Times New Roman" w:hAnsi="Times New Roman" w:cs="Times New Roman"/>
          <w:sz w:val="24"/>
          <w:szCs w:val="24"/>
        </w:rPr>
        <w:t>Alqaralleh</w:t>
      </w:r>
      <w:proofErr w:type="spellEnd"/>
      <w:r w:rsidR="00CF3A87" w:rsidRPr="006F4180">
        <w:rPr>
          <w:rFonts w:ascii="Times New Roman" w:hAnsi="Times New Roman" w:cs="Times New Roman"/>
          <w:sz w:val="24"/>
          <w:szCs w:val="24"/>
        </w:rPr>
        <w:t xml:space="preserve"> et al. (2019) find the asymmetric volatility connectedness between the equity markets of Egypt, Jordan, Turkey, Palestine, and Tunisia. Using quantile-variance-decomposition analysis, </w:t>
      </w:r>
      <w:proofErr w:type="spellStart"/>
      <w:r w:rsidR="00CF3A87" w:rsidRPr="006F4180">
        <w:rPr>
          <w:rFonts w:ascii="Times New Roman" w:hAnsi="Times New Roman" w:cs="Times New Roman"/>
          <w:sz w:val="24"/>
          <w:szCs w:val="24"/>
        </w:rPr>
        <w:t>Su</w:t>
      </w:r>
      <w:proofErr w:type="spellEnd"/>
      <w:r w:rsidR="00CF3A87" w:rsidRPr="006F4180">
        <w:rPr>
          <w:rFonts w:ascii="Times New Roman" w:hAnsi="Times New Roman" w:cs="Times New Roman"/>
          <w:sz w:val="24"/>
          <w:szCs w:val="24"/>
        </w:rPr>
        <w:t xml:space="preserve"> (2020) examines the quantile connectedness between </w:t>
      </w:r>
      <w:r w:rsidRPr="006F4180">
        <w:rPr>
          <w:rFonts w:ascii="Times New Roman" w:hAnsi="Times New Roman" w:cs="Times New Roman"/>
          <w:sz w:val="24"/>
          <w:szCs w:val="24"/>
        </w:rPr>
        <w:t xml:space="preserve">the </w:t>
      </w:r>
      <w:r w:rsidR="00CF3A87" w:rsidRPr="006F4180">
        <w:rPr>
          <w:rFonts w:ascii="Times New Roman" w:hAnsi="Times New Roman" w:cs="Times New Roman"/>
          <w:sz w:val="24"/>
          <w:szCs w:val="24"/>
        </w:rPr>
        <w:t xml:space="preserve">stock markets of G7 and BRICS and provides evidence </w:t>
      </w:r>
      <w:r w:rsidRPr="006F4180">
        <w:rPr>
          <w:rFonts w:ascii="Times New Roman" w:hAnsi="Times New Roman" w:cs="Times New Roman"/>
          <w:sz w:val="24"/>
          <w:szCs w:val="24"/>
        </w:rPr>
        <w:t xml:space="preserve">of </w:t>
      </w:r>
      <w:r w:rsidR="00CF3A87" w:rsidRPr="006F4180">
        <w:rPr>
          <w:rFonts w:ascii="Times New Roman" w:hAnsi="Times New Roman" w:cs="Times New Roman"/>
          <w:sz w:val="24"/>
          <w:szCs w:val="24"/>
        </w:rPr>
        <w:t xml:space="preserve">extreme volatility spillover from G7 countries to emerging BRICS equity markets. </w:t>
      </w:r>
      <w:proofErr w:type="spellStart"/>
      <w:r w:rsidR="00CF3A87" w:rsidRPr="006F4180">
        <w:rPr>
          <w:rFonts w:ascii="Times New Roman" w:hAnsi="Times New Roman" w:cs="Times New Roman"/>
          <w:sz w:val="24"/>
          <w:szCs w:val="24"/>
        </w:rPr>
        <w:t>Abuzayed</w:t>
      </w:r>
      <w:proofErr w:type="spellEnd"/>
      <w:r w:rsidR="00CF3A87" w:rsidRPr="006F4180">
        <w:rPr>
          <w:rFonts w:ascii="Times New Roman" w:hAnsi="Times New Roman" w:cs="Times New Roman"/>
          <w:sz w:val="24"/>
          <w:szCs w:val="24"/>
        </w:rPr>
        <w:t xml:space="preserve"> et al. (2021) employ the </w:t>
      </w:r>
      <w:proofErr w:type="spellStart"/>
      <w:r w:rsidR="00CF3A87" w:rsidRPr="006F4180">
        <w:rPr>
          <w:rFonts w:ascii="Times New Roman" w:hAnsi="Times New Roman" w:cs="Times New Roman"/>
          <w:sz w:val="24"/>
          <w:szCs w:val="24"/>
        </w:rPr>
        <w:t>CoVaR</w:t>
      </w:r>
      <w:proofErr w:type="spellEnd"/>
      <w:r w:rsidR="00CF3A87" w:rsidRPr="006F4180">
        <w:rPr>
          <w:rFonts w:ascii="Times New Roman" w:hAnsi="Times New Roman" w:cs="Times New Roman"/>
          <w:sz w:val="24"/>
          <w:szCs w:val="24"/>
        </w:rPr>
        <w:t xml:space="preserve"> and </w:t>
      </w:r>
      <w:proofErr w:type="spellStart"/>
      <w:r w:rsidR="00CF3A87" w:rsidRPr="006F4180">
        <w:rPr>
          <w:rFonts w:ascii="Times New Roman" w:hAnsi="Times New Roman" w:cs="Times New Roman"/>
          <w:sz w:val="24"/>
          <w:szCs w:val="24"/>
        </w:rPr>
        <w:t>ΔCoVaR</w:t>
      </w:r>
      <w:proofErr w:type="spellEnd"/>
      <w:r w:rsidR="00CF3A87" w:rsidRPr="006F4180">
        <w:rPr>
          <w:rFonts w:ascii="Times New Roman" w:hAnsi="Times New Roman" w:cs="Times New Roman"/>
          <w:sz w:val="24"/>
          <w:szCs w:val="24"/>
        </w:rPr>
        <w:t xml:space="preserve"> approaches to analyze the connectedness between international equity markets during extreme event</w:t>
      </w:r>
      <w:r w:rsidRPr="006F4180">
        <w:rPr>
          <w:rFonts w:ascii="Times New Roman" w:hAnsi="Times New Roman" w:cs="Times New Roman"/>
          <w:sz w:val="24"/>
          <w:szCs w:val="24"/>
        </w:rPr>
        <w:t>s</w:t>
      </w:r>
      <w:r w:rsidR="00CF3A87" w:rsidRPr="006F4180">
        <w:rPr>
          <w:rFonts w:ascii="Times New Roman" w:hAnsi="Times New Roman" w:cs="Times New Roman"/>
          <w:sz w:val="24"/>
          <w:szCs w:val="24"/>
        </w:rPr>
        <w:t xml:space="preserve"> like the COVID-19 and conclude the higher connectedness among equity markets in the COVID-19 pandemic. Lee and Lee (2021) use Semi-variance measures and Diebold and Yilmaz for the asymmetric volatility transmission between Chinese, South Korean, and Japanese equity markets and find the weak volatility spillovers between these markets. China is the net transmitter of good and bad volatility effects to Japanese and South Korean equity markets. Moreover, good and bad volatility spillovers reached </w:t>
      </w:r>
      <w:r w:rsidRPr="006F4180">
        <w:rPr>
          <w:rFonts w:ascii="Times New Roman" w:hAnsi="Times New Roman" w:cs="Times New Roman"/>
          <w:sz w:val="24"/>
          <w:szCs w:val="24"/>
        </w:rPr>
        <w:t>their peaks during the global financial and European debt crise</w:t>
      </w:r>
      <w:r w:rsidR="00CF3A87" w:rsidRPr="006F4180">
        <w:rPr>
          <w:rFonts w:ascii="Times New Roman" w:hAnsi="Times New Roman" w:cs="Times New Roman"/>
          <w:sz w:val="24"/>
          <w:szCs w:val="24"/>
        </w:rPr>
        <w:t xml:space="preserve">s.  </w:t>
      </w:r>
    </w:p>
    <w:p w14:paraId="3BA4EB60" w14:textId="17630652" w:rsidR="00C9480C" w:rsidRPr="009141DC" w:rsidRDefault="00CF3A87" w:rsidP="003950B7">
      <w:pPr>
        <w:spacing w:line="360" w:lineRule="auto"/>
        <w:ind w:firstLine="720"/>
        <w:jc w:val="both"/>
        <w:rPr>
          <w:rFonts w:ascii="Times New Roman" w:hAnsi="Times New Roman" w:cs="Times New Roman"/>
          <w:color w:val="0070C0"/>
          <w:sz w:val="24"/>
          <w:szCs w:val="24"/>
        </w:rPr>
      </w:pPr>
      <w:r w:rsidRPr="009141DC">
        <w:rPr>
          <w:rFonts w:ascii="Times New Roman" w:hAnsi="Times New Roman" w:cs="Times New Roman"/>
          <w:color w:val="0070C0"/>
          <w:sz w:val="24"/>
          <w:szCs w:val="24"/>
        </w:rPr>
        <w:lastRenderedPageBreak/>
        <w:t xml:space="preserve">Following these studies, we filled this literature gap by employing </w:t>
      </w:r>
      <w:r w:rsidR="00287845" w:rsidRPr="009141DC">
        <w:rPr>
          <w:rFonts w:ascii="Times New Roman" w:hAnsi="Times New Roman" w:cs="Times New Roman"/>
          <w:color w:val="0070C0"/>
          <w:sz w:val="24"/>
          <w:szCs w:val="24"/>
        </w:rPr>
        <w:t xml:space="preserve">the Tail-Event driven </w:t>
      </w:r>
      <w:proofErr w:type="spellStart"/>
      <w:r w:rsidR="00287845" w:rsidRPr="009141DC">
        <w:rPr>
          <w:rFonts w:ascii="Times New Roman" w:hAnsi="Times New Roman" w:cs="Times New Roman"/>
          <w:color w:val="0070C0"/>
          <w:sz w:val="24"/>
          <w:szCs w:val="24"/>
        </w:rPr>
        <w:t>NETwork</w:t>
      </w:r>
      <w:proofErr w:type="spellEnd"/>
      <w:r w:rsidR="00287845" w:rsidRPr="009141DC">
        <w:rPr>
          <w:rFonts w:ascii="Times New Roman" w:hAnsi="Times New Roman" w:cs="Times New Roman"/>
          <w:color w:val="0070C0"/>
          <w:sz w:val="24"/>
          <w:szCs w:val="24"/>
        </w:rPr>
        <w:t xml:space="preserve"> approach to estimate the tail-risk in emerging markets, particularly during the</w:t>
      </w:r>
      <w:r w:rsidRPr="009141DC">
        <w:rPr>
          <w:rFonts w:ascii="Times New Roman" w:hAnsi="Times New Roman" w:cs="Times New Roman"/>
          <w:color w:val="0070C0"/>
          <w:sz w:val="24"/>
          <w:szCs w:val="24"/>
        </w:rPr>
        <w:t xml:space="preserve"> global financial crisis and the current pandemic of COVID-19.</w:t>
      </w:r>
    </w:p>
    <w:p w14:paraId="696E574D" w14:textId="61A1DA5F" w:rsidR="00424A73" w:rsidRPr="006F4180" w:rsidRDefault="00424A73" w:rsidP="00424A73">
      <w:pPr>
        <w:spacing w:line="360" w:lineRule="auto"/>
        <w:jc w:val="both"/>
        <w:rPr>
          <w:rFonts w:ascii="Times New Roman" w:hAnsi="Times New Roman" w:cs="Times New Roman"/>
          <w:b/>
          <w:bCs/>
          <w:sz w:val="24"/>
          <w:szCs w:val="24"/>
        </w:rPr>
      </w:pPr>
      <w:r w:rsidRPr="006F4180">
        <w:rPr>
          <w:rFonts w:ascii="Times New Roman" w:hAnsi="Times New Roman" w:cs="Times New Roman"/>
          <w:b/>
          <w:bCs/>
          <w:sz w:val="24"/>
          <w:szCs w:val="24"/>
        </w:rPr>
        <w:t>3. Methodology</w:t>
      </w:r>
    </w:p>
    <w:p w14:paraId="35F4B737" w14:textId="1F19B102" w:rsidR="00C467E0" w:rsidRPr="006F4180" w:rsidRDefault="00C467E0" w:rsidP="002F359A">
      <w:pPr>
        <w:spacing w:line="360" w:lineRule="auto"/>
        <w:jc w:val="both"/>
        <w:rPr>
          <w:rFonts w:ascii="Times New Roman" w:eastAsiaTheme="minorEastAsia" w:hAnsi="Times New Roman" w:cs="Times New Roman"/>
          <w:sz w:val="24"/>
          <w:szCs w:val="24"/>
        </w:rPr>
      </w:pPr>
      <w:r w:rsidRPr="006F4180">
        <w:rPr>
          <w:rFonts w:ascii="Times New Roman" w:hAnsi="Times New Roman" w:cs="Times New Roman"/>
          <w:sz w:val="24"/>
          <w:szCs w:val="24"/>
        </w:rPr>
        <w:t>T</w:t>
      </w:r>
      <w:r w:rsidR="00287845" w:rsidRPr="006F4180">
        <w:rPr>
          <w:rFonts w:ascii="Times New Roman" w:hAnsi="Times New Roman" w:cs="Times New Roman"/>
          <w:sz w:val="24"/>
          <w:szCs w:val="24"/>
        </w:rPr>
        <w:t>he t</w:t>
      </w:r>
      <w:r w:rsidRPr="006F4180">
        <w:rPr>
          <w:rFonts w:ascii="Times New Roman" w:hAnsi="Times New Roman" w:cs="Times New Roman"/>
          <w:sz w:val="24"/>
          <w:szCs w:val="24"/>
        </w:rPr>
        <w:t xml:space="preserve">raditional method of measuring tail-risk involves value-at-risk </w:t>
      </w:r>
      <w:r w:rsidR="000320F8" w:rsidRPr="006F4180">
        <w:rPr>
          <w:rFonts w:ascii="Times New Roman" w:hAnsi="Times New Roman" w:cs="Times New Roman"/>
          <w:sz w:val="24"/>
          <w:szCs w:val="24"/>
        </w:rPr>
        <w:t>(</w:t>
      </w:r>
      <w:proofErr w:type="spellStart"/>
      <w:r w:rsidR="000320F8" w:rsidRPr="006F4180">
        <w:rPr>
          <w:rFonts w:ascii="Times New Roman" w:hAnsi="Times New Roman" w:cs="Times New Roman"/>
          <w:sz w:val="24"/>
          <w:szCs w:val="24"/>
        </w:rPr>
        <w:t>VaR</w:t>
      </w:r>
      <w:proofErr w:type="spellEnd"/>
      <w:r w:rsidR="000320F8" w:rsidRPr="006F4180">
        <w:rPr>
          <w:rFonts w:ascii="Times New Roman" w:hAnsi="Times New Roman" w:cs="Times New Roman"/>
          <w:sz w:val="24"/>
          <w:szCs w:val="24"/>
        </w:rPr>
        <w:t>)</w:t>
      </w:r>
      <w:r w:rsidR="00287845" w:rsidRPr="006F4180">
        <w:rPr>
          <w:rFonts w:ascii="Times New Roman" w:hAnsi="Times New Roman" w:cs="Times New Roman"/>
          <w:sz w:val="24"/>
          <w:szCs w:val="24"/>
        </w:rPr>
        <w:t>,</w:t>
      </w:r>
      <w:r w:rsidR="000320F8" w:rsidRPr="006F4180">
        <w:rPr>
          <w:rFonts w:ascii="Times New Roman" w:hAnsi="Times New Roman" w:cs="Times New Roman"/>
          <w:sz w:val="24"/>
          <w:szCs w:val="24"/>
        </w:rPr>
        <w:t xml:space="preserve"> which includes firm-level characteristics and integrated macro-state constructs accounting for the general state of the economy. In this way</w:t>
      </w:r>
      <w:r w:rsidR="00E05953" w:rsidRPr="006F4180">
        <w:rPr>
          <w:rFonts w:ascii="Times New Roman" w:hAnsi="Times New Roman" w:cs="Times New Roman"/>
          <w:sz w:val="24"/>
          <w:szCs w:val="24"/>
        </w:rPr>
        <w:t xml:space="preserve">, the </w:t>
      </w:r>
      <w:proofErr w:type="spellStart"/>
      <w:r w:rsidR="00E05953" w:rsidRPr="006F4180">
        <w:rPr>
          <w:rFonts w:ascii="Times New Roman" w:hAnsi="Times New Roman" w:cs="Times New Roman"/>
          <w:sz w:val="24"/>
          <w:szCs w:val="24"/>
        </w:rPr>
        <w:t>VaR</w:t>
      </w:r>
      <w:proofErr w:type="spellEnd"/>
      <w:r w:rsidR="00E05953" w:rsidRPr="006F4180">
        <w:rPr>
          <w:rFonts w:ascii="Times New Roman" w:hAnsi="Times New Roman" w:cs="Times New Roman"/>
          <w:sz w:val="24"/>
          <w:szCs w:val="24"/>
        </w:rPr>
        <w:t xml:space="preserve"> of an emerging market</w:t>
      </w:r>
      <w:r w:rsidR="000320F8" w:rsidRPr="006F4180">
        <w:rPr>
          <w:rFonts w:ascii="Times New Roman" w:hAnsi="Times New Roman" w:cs="Times New Roman"/>
          <w:sz w:val="24"/>
          <w:szCs w:val="24"/>
        </w:rPr>
        <w:t xml:space="preserve"> </w:t>
      </w:r>
      <w:r w:rsidR="000320F8" w:rsidRPr="006F4180">
        <w:rPr>
          <w:rFonts w:ascii="Times New Roman" w:hAnsi="Times New Roman" w:cs="Times New Roman"/>
          <w:i/>
          <w:sz w:val="24"/>
          <w:szCs w:val="24"/>
        </w:rPr>
        <w:t xml:space="preserve">i </w:t>
      </w:r>
      <w:r w:rsidR="000320F8" w:rsidRPr="006F4180">
        <w:rPr>
          <w:rFonts w:ascii="Times New Roman" w:hAnsi="Times New Roman" w:cs="Times New Roman"/>
          <w:sz w:val="24"/>
          <w:szCs w:val="24"/>
        </w:rPr>
        <w:t xml:space="preserve">at </w:t>
      </w:r>
      <m:oMath>
        <m:r>
          <w:rPr>
            <w:rFonts w:ascii="Cambria Math" w:eastAsiaTheme="minorEastAsia" w:hAnsi="Cambria Math" w:cs="Times New Roman"/>
            <w:sz w:val="24"/>
            <w:szCs w:val="24"/>
          </w:rPr>
          <m:t>τ∈(0, 1)</m:t>
        </m:r>
      </m:oMath>
      <w:r w:rsidR="00157FFC" w:rsidRPr="006F4180">
        <w:rPr>
          <w:rFonts w:ascii="Times New Roman" w:eastAsiaTheme="minorEastAsia" w:hAnsi="Times New Roman" w:cs="Times New Roman"/>
          <w:sz w:val="24"/>
          <w:szCs w:val="24"/>
        </w:rPr>
        <w:t xml:space="preserve"> is defined as: </w:t>
      </w:r>
    </w:p>
    <w:p w14:paraId="3095D783" w14:textId="4E423501" w:rsidR="00157FFC" w:rsidRPr="006F4180" w:rsidRDefault="00157FFC" w:rsidP="002F359A">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VaR</m:t>
            </m:r>
          </m:e>
          <m:sub>
            <m:r>
              <w:rPr>
                <w:rFonts w:ascii="Cambria Math" w:hAnsi="Cambria Math" w:cs="Times New Roman"/>
                <w:sz w:val="24"/>
                <w:szCs w:val="24"/>
              </w:rPr>
              <m:t>it,τ</m:t>
            </m:r>
          </m:sub>
        </m:sSub>
        <m:r>
          <w:rPr>
            <w:rFonts w:ascii="Cambria Math" w:hAnsi="Cambria Math" w:cs="Times New Roman"/>
            <w:sz w:val="24"/>
            <w:szCs w:val="24"/>
          </w:rPr>
          <m:t>)≝ τ</m:t>
        </m:r>
      </m:oMath>
      <w:r w:rsidRPr="006F4180">
        <w:rPr>
          <w:rFonts w:ascii="Times New Roman" w:eastAsiaTheme="minorEastAsia" w:hAnsi="Times New Roman" w:cs="Times New Roman"/>
          <w:sz w:val="24"/>
          <w:szCs w:val="24"/>
        </w:rPr>
        <w:t xml:space="preserve"> </w:t>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t>(1)</w:t>
      </w:r>
    </w:p>
    <w:p w14:paraId="1E61603E" w14:textId="1A30A138" w:rsidR="00157FFC" w:rsidRPr="006F4180" w:rsidRDefault="00157FFC" w:rsidP="002F359A">
      <w:pPr>
        <w:spacing w:line="360" w:lineRule="auto"/>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where </w:t>
      </w:r>
      <m:oMath>
        <m:r>
          <w:rPr>
            <w:rFonts w:ascii="Cambria Math" w:hAnsi="Cambria Math" w:cs="Times New Roman"/>
            <w:sz w:val="24"/>
            <w:szCs w:val="24"/>
          </w:rPr>
          <m:t>τ</m:t>
        </m:r>
      </m:oMath>
      <w:r w:rsidRPr="006F4180">
        <w:rPr>
          <w:rFonts w:ascii="Times New Roman" w:eastAsiaTheme="minorEastAsia" w:hAnsi="Times New Roman" w:cs="Times New Roman"/>
          <w:sz w:val="24"/>
          <w:szCs w:val="24"/>
        </w:rPr>
        <w:t xml:space="preserve"> is the quantile level and </w:t>
      </w:r>
      <w:proofErr w:type="spellStart"/>
      <w:r w:rsidRPr="006F4180">
        <w:rPr>
          <w:rFonts w:ascii="Times New Roman" w:eastAsiaTheme="minorEastAsia" w:hAnsi="Times New Roman" w:cs="Times New Roman"/>
          <w:i/>
          <w:sz w:val="24"/>
          <w:szCs w:val="24"/>
        </w:rPr>
        <w:t>X</w:t>
      </w:r>
      <w:r w:rsidRPr="006F4180">
        <w:rPr>
          <w:rFonts w:ascii="Times New Roman" w:eastAsiaTheme="minorEastAsia" w:hAnsi="Times New Roman" w:cs="Times New Roman"/>
          <w:i/>
          <w:sz w:val="24"/>
          <w:szCs w:val="24"/>
          <w:vertAlign w:val="subscript"/>
        </w:rPr>
        <w:t>it</w:t>
      </w:r>
      <w:proofErr w:type="spellEnd"/>
      <w:r w:rsidRPr="006F4180">
        <w:rPr>
          <w:rFonts w:ascii="Times New Roman" w:eastAsiaTheme="minorEastAsia" w:hAnsi="Times New Roman" w:cs="Times New Roman"/>
          <w:i/>
          <w:sz w:val="24"/>
          <w:szCs w:val="24"/>
        </w:rPr>
        <w:t xml:space="preserve"> </w:t>
      </w:r>
      <w:r w:rsidRPr="006F4180">
        <w:rPr>
          <w:rFonts w:ascii="Times New Roman" w:eastAsiaTheme="minorEastAsia" w:hAnsi="Times New Roman" w:cs="Times New Roman"/>
          <w:sz w:val="24"/>
          <w:szCs w:val="24"/>
        </w:rPr>
        <w:t>is the log return of an emerging</w:t>
      </w:r>
      <w:r w:rsidR="00E05953" w:rsidRPr="006F4180">
        <w:rPr>
          <w:rFonts w:ascii="Times New Roman" w:eastAsiaTheme="minorEastAsia" w:hAnsi="Times New Roman" w:cs="Times New Roman"/>
          <w:sz w:val="24"/>
          <w:szCs w:val="24"/>
        </w:rPr>
        <w:t xml:space="preserve"> market</w:t>
      </w:r>
      <w:r w:rsidRPr="006F4180">
        <w:rPr>
          <w:rFonts w:ascii="Times New Roman" w:eastAsiaTheme="minorEastAsia" w:hAnsi="Times New Roman" w:cs="Times New Roman"/>
          <w:sz w:val="24"/>
          <w:szCs w:val="24"/>
        </w:rPr>
        <w:t xml:space="preserve"> </w:t>
      </w:r>
      <w:r w:rsidRPr="006F4180">
        <w:rPr>
          <w:rFonts w:ascii="Times New Roman" w:eastAsiaTheme="minorEastAsia" w:hAnsi="Times New Roman" w:cs="Times New Roman"/>
          <w:i/>
          <w:sz w:val="24"/>
          <w:szCs w:val="24"/>
        </w:rPr>
        <w:t>i</w:t>
      </w:r>
      <w:r w:rsidRPr="006F4180">
        <w:rPr>
          <w:rFonts w:ascii="Times New Roman" w:eastAsiaTheme="minorEastAsia" w:hAnsi="Times New Roman" w:cs="Times New Roman"/>
          <w:sz w:val="24"/>
          <w:szCs w:val="24"/>
        </w:rPr>
        <w:t xml:space="preserve"> at time </w:t>
      </w:r>
      <w:r w:rsidRPr="006F4180">
        <w:rPr>
          <w:rFonts w:ascii="Times New Roman" w:eastAsiaTheme="minorEastAsia" w:hAnsi="Times New Roman" w:cs="Times New Roman"/>
          <w:i/>
          <w:sz w:val="24"/>
          <w:szCs w:val="24"/>
        </w:rPr>
        <w:t>t</w:t>
      </w:r>
      <w:r w:rsidRPr="006F4180">
        <w:rPr>
          <w:rFonts w:ascii="Times New Roman" w:eastAsiaTheme="minorEastAsia" w:hAnsi="Times New Roman" w:cs="Times New Roman"/>
          <w:sz w:val="24"/>
          <w:szCs w:val="24"/>
        </w:rPr>
        <w:t xml:space="preserve">. the </w:t>
      </w:r>
      <w:proofErr w:type="spellStart"/>
      <w:r w:rsidRPr="006F4180">
        <w:rPr>
          <w:rFonts w:ascii="Times New Roman" w:eastAsiaTheme="minorEastAsia" w:hAnsi="Times New Roman" w:cs="Times New Roman"/>
          <w:sz w:val="24"/>
          <w:szCs w:val="24"/>
        </w:rPr>
        <w:t>CoVaR</w:t>
      </w:r>
      <w:proofErr w:type="spellEnd"/>
      <w:r w:rsidRPr="006F4180">
        <w:rPr>
          <w:rFonts w:ascii="Times New Roman" w:eastAsiaTheme="minorEastAsia" w:hAnsi="Times New Roman" w:cs="Times New Roman"/>
          <w:sz w:val="24"/>
          <w:szCs w:val="24"/>
        </w:rPr>
        <w:t xml:space="preserve"> approach proposed by Adrian and </w:t>
      </w:r>
      <w:proofErr w:type="spellStart"/>
      <w:r w:rsidRPr="006F4180">
        <w:rPr>
          <w:rFonts w:ascii="Times New Roman" w:eastAsiaTheme="minorEastAsia" w:hAnsi="Times New Roman" w:cs="Times New Roman"/>
          <w:sz w:val="24"/>
          <w:szCs w:val="24"/>
        </w:rPr>
        <w:t>Brunnermeier</w:t>
      </w:r>
      <w:proofErr w:type="spellEnd"/>
      <w:r w:rsidRPr="006F4180">
        <w:rPr>
          <w:rFonts w:ascii="Times New Roman" w:eastAsiaTheme="minorEastAsia" w:hAnsi="Times New Roman" w:cs="Times New Roman"/>
          <w:sz w:val="24"/>
          <w:szCs w:val="24"/>
        </w:rPr>
        <w:t xml:space="preserve"> (2011) considers spillover effects and </w:t>
      </w:r>
      <w:r w:rsidR="00684CA3" w:rsidRPr="006F4180">
        <w:rPr>
          <w:rFonts w:ascii="Times New Roman" w:eastAsiaTheme="minorEastAsia" w:hAnsi="Times New Roman" w:cs="Times New Roman"/>
          <w:sz w:val="24"/>
          <w:szCs w:val="24"/>
        </w:rPr>
        <w:t xml:space="preserve">its association with </w:t>
      </w:r>
      <w:r w:rsidR="00287845" w:rsidRPr="006F4180">
        <w:rPr>
          <w:rFonts w:ascii="Times New Roman" w:eastAsiaTheme="minorEastAsia" w:hAnsi="Times New Roman" w:cs="Times New Roman"/>
          <w:sz w:val="24"/>
          <w:szCs w:val="24"/>
        </w:rPr>
        <w:t xml:space="preserve">the </w:t>
      </w:r>
      <w:r w:rsidR="00684CA3" w:rsidRPr="006F4180">
        <w:rPr>
          <w:rFonts w:ascii="Times New Roman" w:eastAsiaTheme="minorEastAsia" w:hAnsi="Times New Roman" w:cs="Times New Roman"/>
          <w:sz w:val="24"/>
          <w:szCs w:val="24"/>
        </w:rPr>
        <w:t>macro</w:t>
      </w:r>
      <w:r w:rsidR="00287845" w:rsidRPr="006F4180">
        <w:rPr>
          <w:rFonts w:ascii="Times New Roman" w:eastAsiaTheme="minorEastAsia" w:hAnsi="Times New Roman" w:cs="Times New Roman"/>
          <w:sz w:val="24"/>
          <w:szCs w:val="24"/>
        </w:rPr>
        <w:t>-</w:t>
      </w:r>
      <w:r w:rsidR="00684CA3" w:rsidRPr="006F4180">
        <w:rPr>
          <w:rFonts w:ascii="Times New Roman" w:eastAsiaTheme="minorEastAsia" w:hAnsi="Times New Roman" w:cs="Times New Roman"/>
          <w:sz w:val="24"/>
          <w:szCs w:val="24"/>
        </w:rPr>
        <w:t>state</w:t>
      </w:r>
      <w:r w:rsidR="00E05953" w:rsidRPr="006F4180">
        <w:rPr>
          <w:rFonts w:ascii="Times New Roman" w:eastAsiaTheme="minorEastAsia" w:hAnsi="Times New Roman" w:cs="Times New Roman"/>
          <w:sz w:val="24"/>
          <w:szCs w:val="24"/>
        </w:rPr>
        <w:t xml:space="preserve"> of the economy. The </w:t>
      </w:r>
      <w:proofErr w:type="spellStart"/>
      <w:r w:rsidR="00E05953" w:rsidRPr="006F4180">
        <w:rPr>
          <w:rFonts w:ascii="Times New Roman" w:eastAsiaTheme="minorEastAsia" w:hAnsi="Times New Roman" w:cs="Times New Roman"/>
          <w:sz w:val="24"/>
          <w:szCs w:val="24"/>
        </w:rPr>
        <w:t>CoVaR</w:t>
      </w:r>
      <w:proofErr w:type="spellEnd"/>
      <w:r w:rsidR="00E05953" w:rsidRPr="006F4180">
        <w:rPr>
          <w:rFonts w:ascii="Times New Roman" w:eastAsiaTheme="minorEastAsia" w:hAnsi="Times New Roman" w:cs="Times New Roman"/>
          <w:sz w:val="24"/>
          <w:szCs w:val="24"/>
        </w:rPr>
        <w:t xml:space="preserve"> of </w:t>
      </w:r>
      <w:r w:rsidR="00684CA3" w:rsidRPr="006F4180">
        <w:rPr>
          <w:rFonts w:ascii="Times New Roman" w:eastAsiaTheme="minorEastAsia" w:hAnsi="Times New Roman" w:cs="Times New Roman"/>
          <w:sz w:val="24"/>
          <w:szCs w:val="24"/>
        </w:rPr>
        <w:t xml:space="preserve">an emerging economy </w:t>
      </w:r>
      <w:r w:rsidR="00684CA3" w:rsidRPr="006F4180">
        <w:rPr>
          <w:rFonts w:ascii="Times New Roman" w:eastAsiaTheme="minorEastAsia" w:hAnsi="Times New Roman" w:cs="Times New Roman"/>
          <w:i/>
          <w:sz w:val="24"/>
          <w:szCs w:val="24"/>
        </w:rPr>
        <w:t>j</w:t>
      </w:r>
      <w:r w:rsidR="00684CA3" w:rsidRPr="006F4180">
        <w:rPr>
          <w:rFonts w:ascii="Times New Roman" w:eastAsiaTheme="minorEastAsia" w:hAnsi="Times New Roman" w:cs="Times New Roman"/>
          <w:sz w:val="24"/>
          <w:szCs w:val="24"/>
        </w:rPr>
        <w:t xml:space="preserve"> given </w:t>
      </w:r>
      <w:proofErr w:type="spellStart"/>
      <w:r w:rsidR="00684CA3" w:rsidRPr="006F4180">
        <w:rPr>
          <w:rFonts w:ascii="Times New Roman" w:eastAsiaTheme="minorEastAsia" w:hAnsi="Times New Roman" w:cs="Times New Roman"/>
          <w:i/>
          <w:sz w:val="24"/>
          <w:szCs w:val="24"/>
        </w:rPr>
        <w:t>X</w:t>
      </w:r>
      <w:r w:rsidR="00684CA3" w:rsidRPr="006F4180">
        <w:rPr>
          <w:rFonts w:ascii="Times New Roman" w:eastAsiaTheme="minorEastAsia" w:hAnsi="Times New Roman" w:cs="Times New Roman"/>
          <w:i/>
          <w:sz w:val="24"/>
          <w:szCs w:val="24"/>
          <w:vertAlign w:val="subscript"/>
        </w:rPr>
        <w:t>it</w:t>
      </w:r>
      <w:proofErr w:type="spellEnd"/>
      <w:r w:rsidR="00684CA3" w:rsidRPr="006F4180">
        <w:rPr>
          <w:rFonts w:ascii="Times New Roman" w:eastAsiaTheme="minorEastAsia" w:hAnsi="Times New Roman" w:cs="Times New Roman"/>
          <w:i/>
          <w:sz w:val="24"/>
          <w:szCs w:val="24"/>
        </w:rPr>
        <w:t xml:space="preserve"> </w:t>
      </w:r>
      <w:r w:rsidR="00684CA3" w:rsidRPr="006F4180">
        <w:rPr>
          <w:rFonts w:ascii="Times New Roman" w:eastAsiaTheme="minorEastAsia" w:hAnsi="Times New Roman" w:cs="Times New Roman"/>
          <w:sz w:val="24"/>
          <w:szCs w:val="24"/>
        </w:rPr>
        <w:t xml:space="preserve">at level </w:t>
      </w:r>
      <m:oMath>
        <m:r>
          <w:rPr>
            <w:rFonts w:ascii="Cambria Math" w:eastAsiaTheme="minorEastAsia" w:hAnsi="Cambria Math" w:cs="Times New Roman"/>
            <w:sz w:val="24"/>
            <w:szCs w:val="24"/>
          </w:rPr>
          <m:t>τ∈(0, 1)</m:t>
        </m:r>
      </m:oMath>
      <w:r w:rsidR="00684CA3" w:rsidRPr="006F4180">
        <w:rPr>
          <w:rFonts w:ascii="Times New Roman" w:eastAsiaTheme="minorEastAsia" w:hAnsi="Times New Roman" w:cs="Times New Roman"/>
          <w:sz w:val="24"/>
          <w:szCs w:val="24"/>
        </w:rPr>
        <w:t xml:space="preserve"> at time </w:t>
      </w:r>
      <w:r w:rsidR="00684CA3" w:rsidRPr="006F4180">
        <w:rPr>
          <w:rFonts w:ascii="Times New Roman" w:eastAsiaTheme="minorEastAsia" w:hAnsi="Times New Roman" w:cs="Times New Roman"/>
          <w:i/>
          <w:sz w:val="24"/>
          <w:szCs w:val="24"/>
        </w:rPr>
        <w:t>t</w:t>
      </w:r>
      <w:r w:rsidR="00684CA3" w:rsidRPr="006F4180">
        <w:rPr>
          <w:rFonts w:ascii="Times New Roman" w:eastAsiaTheme="minorEastAsia" w:hAnsi="Times New Roman" w:cs="Times New Roman"/>
          <w:sz w:val="24"/>
          <w:szCs w:val="24"/>
        </w:rPr>
        <w:t xml:space="preserve"> is computed as:</w:t>
      </w:r>
    </w:p>
    <w:p w14:paraId="4301CC21" w14:textId="64CE7A13" w:rsidR="00684CA3" w:rsidRPr="006F4180" w:rsidRDefault="00684CA3" w:rsidP="002F359A">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r>
          <w:rPr>
            <w:rFonts w:ascii="Cambria Math" w:hAnsi="Cambria Math" w:cs="Times New Roman"/>
            <w:sz w:val="24"/>
            <w:szCs w:val="24"/>
          </w:rPr>
          <m:t>≤CoVa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j|it, τ|</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≝τ</m:t>
        </m:r>
      </m:oMath>
      <w:r w:rsidRPr="006F4180">
        <w:rPr>
          <w:rFonts w:ascii="Times New Roman" w:eastAsiaTheme="minorEastAsia" w:hAnsi="Times New Roman" w:cs="Times New Roman"/>
          <w:sz w:val="24"/>
          <w:szCs w:val="24"/>
        </w:rPr>
        <w:t xml:space="preserve"> </w:t>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r>
      <w:r w:rsidRPr="006F4180">
        <w:rPr>
          <w:rFonts w:ascii="Times New Roman" w:eastAsiaTheme="minorEastAsia" w:hAnsi="Times New Roman" w:cs="Times New Roman"/>
          <w:sz w:val="24"/>
          <w:szCs w:val="24"/>
        </w:rPr>
        <w:tab/>
        <w:t>(2)</w:t>
      </w:r>
    </w:p>
    <w:p w14:paraId="2093E540" w14:textId="50625739" w:rsidR="00684CA3" w:rsidRPr="006F4180" w:rsidRDefault="00684CA3" w:rsidP="002F359A">
      <w:pPr>
        <w:spacing w:line="360" w:lineRule="auto"/>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where </w:t>
      </w:r>
      <w:proofErr w:type="spellStart"/>
      <w:r w:rsidRPr="006F4180">
        <w:rPr>
          <w:rFonts w:ascii="Times New Roman" w:eastAsiaTheme="minorEastAsia" w:hAnsi="Times New Roman" w:cs="Times New Roman"/>
          <w:i/>
          <w:sz w:val="24"/>
          <w:szCs w:val="24"/>
        </w:rPr>
        <w:t>R</w:t>
      </w:r>
      <w:r w:rsidRPr="006F4180">
        <w:rPr>
          <w:rFonts w:ascii="Times New Roman" w:eastAsiaTheme="minorEastAsia" w:hAnsi="Times New Roman" w:cs="Times New Roman"/>
          <w:i/>
          <w:sz w:val="24"/>
          <w:szCs w:val="24"/>
          <w:vertAlign w:val="subscript"/>
        </w:rPr>
        <w:t>it</w:t>
      </w:r>
      <w:proofErr w:type="spellEnd"/>
      <w:r w:rsidRPr="006F4180">
        <w:rPr>
          <w:rFonts w:ascii="Times New Roman" w:eastAsiaTheme="minorEastAsia" w:hAnsi="Times New Roman" w:cs="Times New Roman"/>
          <w:sz w:val="24"/>
          <w:szCs w:val="24"/>
        </w:rPr>
        <w:t xml:space="preserve"> is the information set including the event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VaR</m:t>
            </m:r>
          </m:e>
          <m:sub>
            <m:r>
              <w:rPr>
                <w:rFonts w:ascii="Cambria Math" w:eastAsiaTheme="minorEastAsia" w:hAnsi="Cambria Math" w:cs="Times New Roman"/>
                <w:sz w:val="24"/>
                <w:szCs w:val="24"/>
              </w:rPr>
              <m:t>it,τ</m:t>
            </m:r>
          </m:sub>
        </m:sSub>
      </m:oMath>
      <w:r w:rsidRPr="006F4180">
        <w:rPr>
          <w:rFonts w:ascii="Times New Roman" w:eastAsiaTheme="minorEastAsia" w:hAnsi="Times New Roman" w:cs="Times New Roman"/>
          <w:sz w:val="24"/>
          <w:szCs w:val="24"/>
        </w:rPr>
        <w:t xml:space="preserve"> and </w:t>
      </w:r>
      <w:r w:rsidRPr="006F4180">
        <w:rPr>
          <w:rFonts w:ascii="Times New Roman" w:eastAsiaTheme="minorEastAsia" w:hAnsi="Times New Roman" w:cs="Times New Roman"/>
          <w:i/>
          <w:sz w:val="24"/>
          <w:szCs w:val="24"/>
        </w:rPr>
        <w:t>M</w:t>
      </w:r>
      <w:r w:rsidRPr="006F4180">
        <w:rPr>
          <w:rFonts w:ascii="Times New Roman" w:eastAsiaTheme="minorEastAsia" w:hAnsi="Times New Roman" w:cs="Times New Roman"/>
          <w:i/>
          <w:sz w:val="24"/>
          <w:szCs w:val="24"/>
          <w:vertAlign w:val="subscript"/>
        </w:rPr>
        <w:t>t-1</w:t>
      </w:r>
      <w:r w:rsidRPr="006F4180">
        <w:rPr>
          <w:rFonts w:ascii="Times New Roman" w:eastAsiaTheme="minorEastAsia" w:hAnsi="Times New Roman" w:cs="Times New Roman"/>
          <w:sz w:val="24"/>
          <w:szCs w:val="24"/>
        </w:rPr>
        <w:t xml:space="preserve"> as </w:t>
      </w:r>
      <w:r w:rsidRPr="006F4180">
        <w:rPr>
          <w:rFonts w:ascii="Times New Roman" w:eastAsiaTheme="minorEastAsia" w:hAnsi="Times New Roman" w:cs="Times New Roman"/>
          <w:i/>
          <w:sz w:val="24"/>
          <w:szCs w:val="24"/>
        </w:rPr>
        <w:t>M</w:t>
      </w:r>
      <w:r w:rsidRPr="006F4180">
        <w:rPr>
          <w:rFonts w:ascii="Times New Roman" w:eastAsiaTheme="minorEastAsia" w:hAnsi="Times New Roman" w:cs="Times New Roman"/>
          <w:i/>
          <w:sz w:val="24"/>
          <w:szCs w:val="24"/>
          <w:vertAlign w:val="subscript"/>
        </w:rPr>
        <w:t>t-1</w:t>
      </w:r>
      <w:r w:rsidRPr="006F4180">
        <w:rPr>
          <w:rFonts w:ascii="Times New Roman" w:eastAsiaTheme="minorEastAsia" w:hAnsi="Times New Roman" w:cs="Times New Roman"/>
          <w:i/>
          <w:sz w:val="24"/>
          <w:szCs w:val="24"/>
        </w:rPr>
        <w:t xml:space="preserve"> </w:t>
      </w:r>
      <w:r w:rsidRPr="006F4180">
        <w:rPr>
          <w:rFonts w:ascii="Times New Roman" w:eastAsiaTheme="minorEastAsia" w:hAnsi="Times New Roman" w:cs="Times New Roman"/>
          <w:sz w:val="24"/>
          <w:szCs w:val="24"/>
        </w:rPr>
        <w:t>denotes a vector of macro</w:t>
      </w:r>
      <w:r w:rsidR="00287845" w:rsidRPr="006F4180">
        <w:rPr>
          <w:rFonts w:ascii="Times New Roman" w:eastAsiaTheme="minorEastAsia" w:hAnsi="Times New Roman" w:cs="Times New Roman"/>
          <w:sz w:val="24"/>
          <w:szCs w:val="24"/>
        </w:rPr>
        <w:t>-</w:t>
      </w:r>
      <w:r w:rsidRPr="006F4180">
        <w:rPr>
          <w:rFonts w:ascii="Times New Roman" w:eastAsiaTheme="minorEastAsia" w:hAnsi="Times New Roman" w:cs="Times New Roman"/>
          <w:sz w:val="24"/>
          <w:szCs w:val="24"/>
        </w:rPr>
        <w:t xml:space="preserve">state variables in the general state of </w:t>
      </w:r>
      <w:r w:rsidR="00287845" w:rsidRPr="006F4180">
        <w:rPr>
          <w:rFonts w:ascii="Times New Roman" w:eastAsiaTheme="minorEastAsia" w:hAnsi="Times New Roman" w:cs="Times New Roman"/>
          <w:sz w:val="24"/>
          <w:szCs w:val="24"/>
        </w:rPr>
        <w:t xml:space="preserve">the </w:t>
      </w:r>
      <w:r w:rsidRPr="006F4180">
        <w:rPr>
          <w:rFonts w:ascii="Times New Roman" w:eastAsiaTheme="minorEastAsia" w:hAnsi="Times New Roman" w:cs="Times New Roman"/>
          <w:sz w:val="24"/>
          <w:szCs w:val="24"/>
        </w:rPr>
        <w:t xml:space="preserve">economy. </w:t>
      </w:r>
    </w:p>
    <w:p w14:paraId="30498E90" w14:textId="377AF91C" w:rsidR="009E2FF6" w:rsidRPr="006F4180" w:rsidRDefault="009E2FF6" w:rsidP="003950B7">
      <w:pPr>
        <w:spacing w:line="360" w:lineRule="auto"/>
        <w:ind w:firstLine="720"/>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Starting with the concept of </w:t>
      </w:r>
      <w:proofErr w:type="spellStart"/>
      <w:r w:rsidRPr="006F4180">
        <w:rPr>
          <w:rFonts w:ascii="Times New Roman" w:eastAsiaTheme="minorEastAsia" w:hAnsi="Times New Roman" w:cs="Times New Roman"/>
          <w:sz w:val="24"/>
          <w:szCs w:val="24"/>
        </w:rPr>
        <w:t>CoVaR</w:t>
      </w:r>
      <w:proofErr w:type="spellEnd"/>
      <w:r w:rsidRPr="006F4180">
        <w:rPr>
          <w:rFonts w:ascii="Times New Roman" w:eastAsiaTheme="minorEastAsia" w:hAnsi="Times New Roman" w:cs="Times New Roman"/>
          <w:sz w:val="24"/>
          <w:szCs w:val="24"/>
        </w:rPr>
        <w:t>, the estimations begin with two steps of linear quantile regression:</w:t>
      </w:r>
    </w:p>
    <w:p w14:paraId="15E97004" w14:textId="0B0C04C6" w:rsidR="009E2FF6"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9E2FF6" w:rsidRPr="006F4180">
        <w:rPr>
          <w:rFonts w:ascii="Times New Roman" w:eastAsiaTheme="minorEastAsia" w:hAnsi="Times New Roman" w:cs="Times New Roman"/>
          <w:sz w:val="24"/>
          <w:szCs w:val="24"/>
        </w:rPr>
        <w:t xml:space="preserve"> </w:t>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t>(3)</w:t>
      </w:r>
    </w:p>
    <w:p w14:paraId="1493F433" w14:textId="5B1F782A" w:rsidR="009E2FF6"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it</m:t>
            </m:r>
          </m:sub>
        </m:sSub>
      </m:oMath>
      <w:r w:rsidR="009E2FF6" w:rsidRPr="006F4180">
        <w:rPr>
          <w:rFonts w:ascii="Times New Roman" w:eastAsiaTheme="minorEastAsia" w:hAnsi="Times New Roman" w:cs="Times New Roman"/>
          <w:sz w:val="24"/>
          <w:szCs w:val="24"/>
        </w:rPr>
        <w:t xml:space="preserve"> </w:t>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r>
      <w:r w:rsidR="009E2FF6" w:rsidRPr="006F4180">
        <w:rPr>
          <w:rFonts w:ascii="Times New Roman" w:eastAsiaTheme="minorEastAsia" w:hAnsi="Times New Roman" w:cs="Times New Roman"/>
          <w:sz w:val="24"/>
          <w:szCs w:val="24"/>
        </w:rPr>
        <w:tab/>
        <w:t>(4)</w:t>
      </w:r>
    </w:p>
    <w:p w14:paraId="56B439EF" w14:textId="38D99C1F" w:rsidR="009E2FF6" w:rsidRPr="006F4180" w:rsidRDefault="009E2FF6" w:rsidP="003950B7">
      <w:pPr>
        <w:spacing w:line="360" w:lineRule="auto"/>
        <w:ind w:firstLine="720"/>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Assuming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τ</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t-1</m:t>
                </m:r>
              </m:sub>
            </m:sSub>
          </m:e>
        </m:d>
        <m:r>
          <w:rPr>
            <w:rFonts w:ascii="Cambria Math" w:eastAsiaTheme="minorEastAsia" w:hAnsi="Cambria Math" w:cs="Times New Roman"/>
            <w:sz w:val="24"/>
            <w:szCs w:val="24"/>
          </w:rPr>
          <m:t>=0</m:t>
        </m:r>
      </m:oMath>
      <w:r w:rsidRPr="006F4180">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τ</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it</m:t>
                </m:r>
              </m:sub>
            </m:sSub>
          </m:e>
        </m:d>
        <m:r>
          <w:rPr>
            <w:rFonts w:ascii="Cambria Math" w:eastAsiaTheme="minorEastAsia" w:hAnsi="Cambria Math" w:cs="Times New Roman"/>
            <w:sz w:val="24"/>
            <w:szCs w:val="24"/>
          </w:rPr>
          <m:t>=0</m:t>
        </m:r>
      </m:oMath>
      <w:r w:rsidRPr="006F4180">
        <w:rPr>
          <w:rFonts w:ascii="Times New Roman" w:eastAsiaTheme="minorEastAsia" w:hAnsi="Times New Roman" w:cs="Times New Roman"/>
          <w:sz w:val="24"/>
          <w:szCs w:val="24"/>
        </w:rPr>
        <w:t xml:space="preserve">, the first step determines </w:t>
      </w:r>
      <w:proofErr w:type="spellStart"/>
      <w:r w:rsidRPr="006F4180">
        <w:rPr>
          <w:rFonts w:ascii="Times New Roman" w:eastAsiaTheme="minorEastAsia" w:hAnsi="Times New Roman" w:cs="Times New Roman"/>
          <w:sz w:val="24"/>
          <w:szCs w:val="24"/>
        </w:rPr>
        <w:t>VaR</w:t>
      </w:r>
      <w:proofErr w:type="spellEnd"/>
      <w:r w:rsidRPr="006F4180">
        <w:rPr>
          <w:rFonts w:ascii="Times New Roman" w:eastAsiaTheme="minorEastAsia" w:hAnsi="Times New Roman" w:cs="Times New Roman"/>
          <w:sz w:val="24"/>
          <w:szCs w:val="24"/>
        </w:rPr>
        <w:t xml:space="preserve"> of an emergi</w:t>
      </w:r>
      <w:r w:rsidR="00E05953" w:rsidRPr="006F4180">
        <w:rPr>
          <w:rFonts w:ascii="Times New Roman" w:eastAsiaTheme="minorEastAsia" w:hAnsi="Times New Roman" w:cs="Times New Roman"/>
          <w:sz w:val="24"/>
          <w:szCs w:val="24"/>
        </w:rPr>
        <w:t>ng market</w:t>
      </w:r>
      <w:r w:rsidRPr="006F4180">
        <w:rPr>
          <w:rFonts w:ascii="Times New Roman" w:eastAsiaTheme="minorEastAsia" w:hAnsi="Times New Roman" w:cs="Times New Roman"/>
          <w:sz w:val="24"/>
          <w:szCs w:val="24"/>
        </w:rPr>
        <w:t xml:space="preserve"> </w:t>
      </w:r>
      <w:proofErr w:type="spellStart"/>
      <w:r w:rsidRPr="006F4180">
        <w:rPr>
          <w:rFonts w:ascii="Times New Roman" w:eastAsiaTheme="minorEastAsia" w:hAnsi="Times New Roman" w:cs="Times New Roman"/>
          <w:i/>
          <w:sz w:val="24"/>
          <w:szCs w:val="24"/>
        </w:rPr>
        <w:t>i</w:t>
      </w:r>
      <w:proofErr w:type="spellEnd"/>
      <w:r w:rsidRPr="006F4180">
        <w:rPr>
          <w:rFonts w:ascii="Times New Roman" w:eastAsiaTheme="minorEastAsia" w:hAnsi="Times New Roman" w:cs="Times New Roman"/>
          <w:sz w:val="24"/>
          <w:szCs w:val="24"/>
        </w:rPr>
        <w:t xml:space="preserve"> by applying quantile (tail event) </w:t>
      </w:r>
      <w:r w:rsidR="00E05953" w:rsidRPr="006F4180">
        <w:rPr>
          <w:rFonts w:ascii="Times New Roman" w:eastAsiaTheme="minorEastAsia" w:hAnsi="Times New Roman" w:cs="Times New Roman"/>
          <w:sz w:val="24"/>
          <w:szCs w:val="24"/>
        </w:rPr>
        <w:t>regression of log return market</w:t>
      </w:r>
      <w:r w:rsidRPr="006F4180">
        <w:rPr>
          <w:rFonts w:ascii="Times New Roman" w:eastAsiaTheme="minorEastAsia" w:hAnsi="Times New Roman" w:cs="Times New Roman"/>
          <w:sz w:val="24"/>
          <w:szCs w:val="24"/>
        </w:rPr>
        <w:t xml:space="preserve"> </w:t>
      </w:r>
      <w:r w:rsidRPr="006F4180">
        <w:rPr>
          <w:rFonts w:ascii="Times New Roman" w:eastAsiaTheme="minorEastAsia" w:hAnsi="Times New Roman" w:cs="Times New Roman"/>
          <w:i/>
          <w:sz w:val="24"/>
          <w:szCs w:val="24"/>
        </w:rPr>
        <w:t>i</w:t>
      </w:r>
      <w:r w:rsidRPr="006F4180">
        <w:rPr>
          <w:rFonts w:ascii="Times New Roman" w:eastAsiaTheme="minorEastAsia" w:hAnsi="Times New Roman" w:cs="Times New Roman"/>
          <w:sz w:val="24"/>
          <w:szCs w:val="24"/>
        </w:rPr>
        <w:t xml:space="preserve"> on macro state variables.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j|i</m:t>
            </m:r>
          </m:sub>
        </m:sSub>
      </m:oMath>
      <w:r w:rsidR="004144D3" w:rsidRPr="006F4180">
        <w:rPr>
          <w:rFonts w:ascii="Times New Roman" w:eastAsiaTheme="minorEastAsia" w:hAnsi="Times New Roman" w:cs="Times New Roman"/>
          <w:sz w:val="24"/>
          <w:szCs w:val="24"/>
        </w:rPr>
        <w:t xml:space="preserve"> defines standard linear regression</w:t>
      </w:r>
      <w:r w:rsidR="00287845" w:rsidRPr="006F4180">
        <w:rPr>
          <w:rFonts w:ascii="Times New Roman" w:eastAsiaTheme="minorEastAsia" w:hAnsi="Times New Roman" w:cs="Times New Roman"/>
          <w:sz w:val="24"/>
          <w:szCs w:val="24"/>
        </w:rPr>
        <w:t>,</w:t>
      </w:r>
      <w:r w:rsidR="004144D3" w:rsidRPr="006F4180">
        <w:rPr>
          <w:rFonts w:ascii="Times New Roman" w:eastAsiaTheme="minorEastAsia" w:hAnsi="Times New Roman" w:cs="Times New Roman"/>
          <w:sz w:val="24"/>
          <w:szCs w:val="24"/>
        </w:rPr>
        <w:t xml:space="preserve"> which measures the sensitivity of l</w:t>
      </w:r>
      <w:r w:rsidR="00324CA8" w:rsidRPr="006F4180">
        <w:rPr>
          <w:rFonts w:ascii="Times New Roman" w:eastAsiaTheme="minorEastAsia" w:hAnsi="Times New Roman" w:cs="Times New Roman"/>
          <w:sz w:val="24"/>
          <w:szCs w:val="24"/>
        </w:rPr>
        <w:t>og return of an emerging market</w:t>
      </w:r>
      <w:r w:rsidR="004144D3" w:rsidRPr="006F4180">
        <w:rPr>
          <w:rFonts w:ascii="Times New Roman" w:eastAsiaTheme="minorEastAsia" w:hAnsi="Times New Roman" w:cs="Times New Roman"/>
          <w:sz w:val="24"/>
          <w:szCs w:val="24"/>
        </w:rPr>
        <w:t xml:space="preserve"> </w:t>
      </w:r>
      <w:r w:rsidR="004144D3" w:rsidRPr="006F4180">
        <w:rPr>
          <w:rFonts w:ascii="Times New Roman" w:eastAsiaTheme="minorEastAsia" w:hAnsi="Times New Roman" w:cs="Times New Roman"/>
          <w:i/>
          <w:sz w:val="24"/>
          <w:szCs w:val="24"/>
        </w:rPr>
        <w:t>i</w:t>
      </w:r>
      <w:r w:rsidR="004144D3" w:rsidRPr="006F4180">
        <w:rPr>
          <w:rFonts w:ascii="Times New Roman" w:eastAsiaTheme="minorEastAsia" w:hAnsi="Times New Roman" w:cs="Times New Roman"/>
          <w:sz w:val="24"/>
          <w:szCs w:val="24"/>
        </w:rPr>
        <w:t xml:space="preserve"> to changes in tail event log return on another emergi</w:t>
      </w:r>
      <w:r w:rsidR="00324CA8" w:rsidRPr="006F4180">
        <w:rPr>
          <w:rFonts w:ascii="Times New Roman" w:eastAsiaTheme="minorEastAsia" w:hAnsi="Times New Roman" w:cs="Times New Roman"/>
          <w:sz w:val="24"/>
          <w:szCs w:val="24"/>
        </w:rPr>
        <w:t>ng market</w:t>
      </w:r>
      <w:r w:rsidR="004144D3" w:rsidRPr="006F4180">
        <w:rPr>
          <w:rFonts w:ascii="Times New Roman" w:eastAsiaTheme="minorEastAsia" w:hAnsi="Times New Roman" w:cs="Times New Roman"/>
          <w:sz w:val="24"/>
          <w:szCs w:val="24"/>
        </w:rPr>
        <w:t xml:space="preserve"> </w:t>
      </w:r>
      <w:r w:rsidR="004144D3" w:rsidRPr="006F4180">
        <w:rPr>
          <w:rFonts w:ascii="Times New Roman" w:eastAsiaTheme="minorEastAsia" w:hAnsi="Times New Roman" w:cs="Times New Roman"/>
          <w:i/>
          <w:sz w:val="24"/>
          <w:szCs w:val="24"/>
        </w:rPr>
        <w:t>j</w:t>
      </w:r>
      <w:r w:rsidR="004144D3" w:rsidRPr="006F4180">
        <w:rPr>
          <w:rFonts w:ascii="Times New Roman" w:eastAsiaTheme="minorEastAsia" w:hAnsi="Times New Roman" w:cs="Times New Roman"/>
          <w:sz w:val="24"/>
          <w:szCs w:val="24"/>
        </w:rPr>
        <w:t xml:space="preserve">. The second step involves </w:t>
      </w:r>
      <w:r w:rsidR="00287845" w:rsidRPr="006F4180">
        <w:rPr>
          <w:rFonts w:ascii="Times New Roman" w:eastAsiaTheme="minorEastAsia" w:hAnsi="Times New Roman" w:cs="Times New Roman"/>
          <w:sz w:val="24"/>
          <w:szCs w:val="24"/>
        </w:rPr>
        <w:t xml:space="preserve">the </w:t>
      </w:r>
      <w:r w:rsidR="004144D3" w:rsidRPr="006F4180">
        <w:rPr>
          <w:rFonts w:ascii="Times New Roman" w:eastAsiaTheme="minorEastAsia" w:hAnsi="Times New Roman" w:cs="Times New Roman"/>
          <w:sz w:val="24"/>
          <w:szCs w:val="24"/>
        </w:rPr>
        <w:t xml:space="preserve">calculation of </w:t>
      </w:r>
      <w:proofErr w:type="spellStart"/>
      <w:r w:rsidR="004144D3" w:rsidRPr="006F4180">
        <w:rPr>
          <w:rFonts w:ascii="Times New Roman" w:eastAsiaTheme="minorEastAsia" w:hAnsi="Times New Roman" w:cs="Times New Roman"/>
          <w:sz w:val="24"/>
          <w:szCs w:val="24"/>
        </w:rPr>
        <w:t>CoVaR</w:t>
      </w:r>
      <w:proofErr w:type="spellEnd"/>
      <w:r w:rsidR="004144D3" w:rsidRPr="006F4180">
        <w:rPr>
          <w:rFonts w:ascii="Times New Roman" w:eastAsiaTheme="minorEastAsia" w:hAnsi="Times New Roman" w:cs="Times New Roman"/>
          <w:sz w:val="24"/>
          <w:szCs w:val="24"/>
        </w:rPr>
        <w:t xml:space="preserve"> in the initial </w:t>
      </w:r>
      <w:proofErr w:type="spellStart"/>
      <w:r w:rsidR="004144D3" w:rsidRPr="006F4180">
        <w:rPr>
          <w:rFonts w:ascii="Times New Roman" w:eastAsiaTheme="minorEastAsia" w:hAnsi="Times New Roman" w:cs="Times New Roman"/>
          <w:sz w:val="24"/>
          <w:szCs w:val="24"/>
        </w:rPr>
        <w:t>Va</w:t>
      </w:r>
      <w:r w:rsidR="00E05953" w:rsidRPr="006F4180">
        <w:rPr>
          <w:rFonts w:ascii="Times New Roman" w:eastAsiaTheme="minorEastAsia" w:hAnsi="Times New Roman" w:cs="Times New Roman"/>
          <w:sz w:val="24"/>
          <w:szCs w:val="24"/>
        </w:rPr>
        <w:t>R</w:t>
      </w:r>
      <w:proofErr w:type="spellEnd"/>
      <w:r w:rsidR="00E05953" w:rsidRPr="006F4180">
        <w:rPr>
          <w:rFonts w:ascii="Times New Roman" w:eastAsiaTheme="minorEastAsia" w:hAnsi="Times New Roman" w:cs="Times New Roman"/>
          <w:sz w:val="24"/>
          <w:szCs w:val="24"/>
        </w:rPr>
        <w:t xml:space="preserve"> measure of an emerging market</w:t>
      </w:r>
      <w:r w:rsidR="004144D3" w:rsidRPr="006F4180">
        <w:rPr>
          <w:rFonts w:ascii="Times New Roman" w:eastAsiaTheme="minorEastAsia" w:hAnsi="Times New Roman" w:cs="Times New Roman"/>
          <w:sz w:val="24"/>
          <w:szCs w:val="24"/>
        </w:rPr>
        <w:t xml:space="preserve"> </w:t>
      </w:r>
      <w:r w:rsidR="004144D3" w:rsidRPr="006F4180">
        <w:rPr>
          <w:rFonts w:ascii="Times New Roman" w:eastAsiaTheme="minorEastAsia" w:hAnsi="Times New Roman" w:cs="Times New Roman"/>
          <w:i/>
          <w:sz w:val="24"/>
          <w:szCs w:val="24"/>
        </w:rPr>
        <w:t>i</w:t>
      </w:r>
      <w:r w:rsidR="004144D3" w:rsidRPr="006F4180">
        <w:rPr>
          <w:rFonts w:ascii="Times New Roman" w:eastAsiaTheme="minorEastAsia" w:hAnsi="Times New Roman" w:cs="Times New Roman"/>
          <w:sz w:val="24"/>
          <w:szCs w:val="24"/>
        </w:rPr>
        <w:t xml:space="preserve"> at level </w:t>
      </w:r>
      <m:oMath>
        <m:r>
          <w:rPr>
            <w:rFonts w:ascii="Cambria Math" w:eastAsiaTheme="minorEastAsia" w:hAnsi="Cambria Math" w:cs="Times New Roman"/>
            <w:sz w:val="24"/>
            <w:szCs w:val="24"/>
          </w:rPr>
          <m:t>τ</m:t>
        </m:r>
      </m:oMath>
      <w:r w:rsidR="004144D3" w:rsidRPr="006F4180">
        <w:rPr>
          <w:rFonts w:ascii="Times New Roman" w:eastAsiaTheme="minorEastAsia" w:hAnsi="Times New Roman" w:cs="Times New Roman"/>
          <w:sz w:val="24"/>
          <w:szCs w:val="24"/>
        </w:rPr>
        <w:t xml:space="preserve">. </w:t>
      </w:r>
    </w:p>
    <w:p w14:paraId="3FEAE001" w14:textId="2601F122" w:rsidR="00091A18"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VaR</m:t>
                </m:r>
              </m:e>
            </m:acc>
          </m:e>
          <m:sub>
            <m:r>
              <w:rPr>
                <w:rFonts w:ascii="Cambria Math" w:eastAsiaTheme="minorEastAsia" w:hAnsi="Cambria Math" w:cs="Times New Roman"/>
                <w:sz w:val="24"/>
                <w:szCs w:val="24"/>
              </w:rPr>
              <m:t>it</m:t>
            </m:r>
            <m:r>
              <w:rPr>
                <w:rFonts w:ascii="Cambria Math" w:eastAsiaTheme="minorEastAsia" w:hAnsi="Cambria Math" w:cs="Times New Roman"/>
                <w:sz w:val="24"/>
                <w:szCs w:val="24"/>
              </w:rPr>
              <m:t>,</m:t>
            </m:r>
            <m:r>
              <w:rPr>
                <w:rFonts w:ascii="Cambria Math" w:eastAsiaTheme="minorEastAsia" w:hAnsi="Cambria Math" w:cs="Times New Roman"/>
                <w:sz w:val="24"/>
                <w:szCs w:val="24"/>
              </w:rPr>
              <m:t>τ</m:t>
            </m:r>
          </m:sub>
        </m:sSub>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oMath>
      <w:r w:rsidR="00091A18" w:rsidRPr="006F4180">
        <w:rPr>
          <w:rFonts w:ascii="Times New Roman" w:eastAsiaTheme="minorEastAsia" w:hAnsi="Times New Roman" w:cs="Times New Roman"/>
          <w:sz w:val="24"/>
          <w:szCs w:val="24"/>
        </w:rPr>
        <w:t xml:space="preserve"> </w:t>
      </w:r>
      <w:r w:rsidR="00091A18" w:rsidRPr="006F4180">
        <w:rPr>
          <w:rFonts w:ascii="Times New Roman" w:eastAsiaTheme="minorEastAsia" w:hAnsi="Times New Roman" w:cs="Times New Roman"/>
          <w:sz w:val="24"/>
          <w:szCs w:val="24"/>
        </w:rPr>
        <w:tab/>
      </w:r>
      <w:r w:rsidR="00091A18" w:rsidRPr="006F4180">
        <w:rPr>
          <w:rFonts w:ascii="Times New Roman" w:eastAsiaTheme="minorEastAsia" w:hAnsi="Times New Roman" w:cs="Times New Roman"/>
          <w:sz w:val="24"/>
          <w:szCs w:val="24"/>
        </w:rPr>
        <w:tab/>
      </w:r>
      <w:r w:rsidR="00091A18" w:rsidRPr="006F4180">
        <w:rPr>
          <w:rFonts w:ascii="Times New Roman" w:eastAsiaTheme="minorEastAsia" w:hAnsi="Times New Roman" w:cs="Times New Roman"/>
          <w:sz w:val="24"/>
          <w:szCs w:val="24"/>
        </w:rPr>
        <w:tab/>
      </w:r>
      <w:r w:rsidR="00091A18" w:rsidRPr="006F4180">
        <w:rPr>
          <w:rFonts w:ascii="Times New Roman" w:eastAsiaTheme="minorEastAsia" w:hAnsi="Times New Roman" w:cs="Times New Roman"/>
          <w:sz w:val="24"/>
          <w:szCs w:val="24"/>
        </w:rPr>
        <w:tab/>
      </w:r>
      <w:r w:rsidR="00091A18" w:rsidRPr="006F4180">
        <w:rPr>
          <w:rFonts w:ascii="Times New Roman" w:eastAsiaTheme="minorEastAsia" w:hAnsi="Times New Roman" w:cs="Times New Roman"/>
          <w:sz w:val="24"/>
          <w:szCs w:val="24"/>
        </w:rPr>
        <w:tab/>
      </w:r>
      <w:r w:rsidR="00091A18" w:rsidRPr="006F4180">
        <w:rPr>
          <w:rFonts w:ascii="Times New Roman" w:eastAsiaTheme="minorEastAsia" w:hAnsi="Times New Roman" w:cs="Times New Roman"/>
          <w:sz w:val="24"/>
          <w:szCs w:val="24"/>
        </w:rPr>
        <w:tab/>
      </w:r>
      <w:r w:rsidR="00091A18" w:rsidRPr="006F4180">
        <w:rPr>
          <w:rFonts w:ascii="Times New Roman" w:eastAsiaTheme="minorEastAsia" w:hAnsi="Times New Roman" w:cs="Times New Roman"/>
          <w:sz w:val="24"/>
          <w:szCs w:val="24"/>
        </w:rPr>
        <w:tab/>
        <w:t>(5)</w:t>
      </w:r>
    </w:p>
    <w:p w14:paraId="45C49C75" w14:textId="106B26C5" w:rsidR="00091A18" w:rsidRPr="006F4180" w:rsidRDefault="00962CBE" w:rsidP="002F359A">
      <w:pPr>
        <w:spacing w:line="360" w:lineRule="auto"/>
        <w:jc w:val="both"/>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CoVaR</m:t>
                </m:r>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r>
                  <w:rPr>
                    <w:rFonts w:ascii="Cambria Math" w:eastAsiaTheme="minorEastAsia" w:hAnsi="Cambria Math" w:cs="Times New Roman"/>
                    <w:sz w:val="24"/>
                    <w:szCs w:val="24"/>
                  </w:rPr>
                  <m:t>it</m:t>
                </m:r>
                <m:r>
                  <w:rPr>
                    <w:rFonts w:ascii="Cambria Math" w:eastAsiaTheme="minorEastAsia" w:hAnsi="Cambria Math" w:cs="Times New Roman"/>
                    <w:sz w:val="24"/>
                    <w:szCs w:val="24"/>
                  </w:rPr>
                  <m:t>,</m:t>
                </m:r>
                <m:r>
                  <w:rPr>
                    <w:rFonts w:ascii="Cambria Math" w:eastAsiaTheme="minorEastAsia" w:hAnsi="Cambria Math" w:cs="Times New Roman"/>
                    <w:sz w:val="24"/>
                    <w:szCs w:val="24"/>
                  </w:rPr>
                  <m:t>τ</m:t>
                </m:r>
              </m:sub>
              <m:sup>
                <m:r>
                  <w:rPr>
                    <w:rFonts w:ascii="Cambria Math" w:eastAsiaTheme="minorEastAsia" w:hAnsi="Cambria Math" w:cs="Times New Roman"/>
                    <w:sz w:val="24"/>
                    <w:szCs w:val="24"/>
                  </w:rPr>
                  <m:t>AB</m:t>
                </m:r>
              </m:sup>
            </m:sSubSup>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r>
                  <w:rPr>
                    <w:rFonts w:ascii="Cambria Math" w:eastAsiaTheme="minorEastAsia" w:hAnsi="Cambria Math" w:cs="Times New Roman"/>
                    <w:sz w:val="24"/>
                    <w:szCs w:val="24"/>
                  </w:rPr>
                  <m:t>i</m:t>
                </m:r>
              </m:sub>
            </m:sSub>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r>
                  <w:rPr>
                    <w:rFonts w:ascii="Cambria Math" w:eastAsiaTheme="minorEastAsia" w:hAnsi="Cambria Math" w:cs="Times New Roman"/>
                    <w:sz w:val="24"/>
                    <w:szCs w:val="24"/>
                  </w:rPr>
                  <m:t>i</m:t>
                </m:r>
              </m:sub>
            </m:sSub>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r>
                  <w:rPr>
                    <w:rFonts w:ascii="Cambria Math" w:eastAsiaTheme="minorEastAsia" w:hAnsi="Cambria Math" w:cs="Times New Roman"/>
                    <w:sz w:val="24"/>
                    <w:szCs w:val="24"/>
                  </w:rPr>
                  <m:t>i</m:t>
                </m:r>
              </m:sub>
            </m:sSub>
          </m:e>
        </m:acc>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VaR</m:t>
                </m:r>
              </m:e>
              <m:sub>
                <m:r>
                  <w:rPr>
                    <w:rFonts w:ascii="Cambria Math" w:eastAsiaTheme="minorEastAsia" w:hAnsi="Cambria Math" w:cs="Times New Roman"/>
                    <w:sz w:val="24"/>
                    <w:szCs w:val="24"/>
                  </w:rPr>
                  <m:t>it</m:t>
                </m:r>
                <m:r>
                  <w:rPr>
                    <w:rFonts w:ascii="Cambria Math" w:eastAsiaTheme="minorEastAsia" w:hAnsi="Cambria Math" w:cs="Times New Roman"/>
                    <w:sz w:val="24"/>
                    <w:szCs w:val="24"/>
                  </w:rPr>
                  <m:t>,</m:t>
                </m:r>
                <m:r>
                  <w:rPr>
                    <w:rFonts w:ascii="Cambria Math" w:eastAsiaTheme="minorEastAsia" w:hAnsi="Cambria Math" w:cs="Times New Roman"/>
                    <w:sz w:val="24"/>
                    <w:szCs w:val="24"/>
                  </w:rPr>
                  <m:t>τ</m:t>
                </m:r>
              </m:sub>
            </m:sSub>
          </m:e>
        </m:acc>
      </m:oMath>
      <w:r w:rsidR="00E05953" w:rsidRPr="006F4180">
        <w:rPr>
          <w:rFonts w:ascii="Times New Roman" w:eastAsiaTheme="minorEastAsia" w:hAnsi="Times New Roman" w:cs="Times New Roman"/>
          <w:sz w:val="24"/>
          <w:szCs w:val="24"/>
        </w:rPr>
        <w:t xml:space="preserve"> </w:t>
      </w:r>
      <w:r w:rsidR="00E05953" w:rsidRPr="006F4180">
        <w:rPr>
          <w:rFonts w:ascii="Times New Roman" w:eastAsiaTheme="minorEastAsia" w:hAnsi="Times New Roman" w:cs="Times New Roman"/>
          <w:sz w:val="24"/>
          <w:szCs w:val="24"/>
        </w:rPr>
        <w:tab/>
      </w:r>
      <w:r w:rsidR="00E05953" w:rsidRPr="006F4180">
        <w:rPr>
          <w:rFonts w:ascii="Times New Roman" w:eastAsiaTheme="minorEastAsia" w:hAnsi="Times New Roman" w:cs="Times New Roman"/>
          <w:sz w:val="24"/>
          <w:szCs w:val="24"/>
        </w:rPr>
        <w:tab/>
      </w:r>
      <w:r w:rsidR="00E05953" w:rsidRPr="006F4180">
        <w:rPr>
          <w:rFonts w:ascii="Times New Roman" w:eastAsiaTheme="minorEastAsia" w:hAnsi="Times New Roman" w:cs="Times New Roman"/>
          <w:sz w:val="24"/>
          <w:szCs w:val="24"/>
        </w:rPr>
        <w:tab/>
      </w:r>
      <w:r w:rsidR="00E05953" w:rsidRPr="006F4180">
        <w:rPr>
          <w:rFonts w:ascii="Times New Roman" w:eastAsiaTheme="minorEastAsia" w:hAnsi="Times New Roman" w:cs="Times New Roman"/>
          <w:sz w:val="24"/>
          <w:szCs w:val="24"/>
        </w:rPr>
        <w:tab/>
      </w:r>
      <w:r w:rsidR="00E05953" w:rsidRPr="006F4180">
        <w:rPr>
          <w:rFonts w:ascii="Times New Roman" w:eastAsiaTheme="minorEastAsia" w:hAnsi="Times New Roman" w:cs="Times New Roman"/>
          <w:sz w:val="24"/>
          <w:szCs w:val="24"/>
        </w:rPr>
        <w:tab/>
        <w:t>(6)</w:t>
      </w:r>
    </w:p>
    <w:p w14:paraId="6B57552A" w14:textId="5C1AC75D" w:rsidR="00E05953" w:rsidRPr="006F4180" w:rsidRDefault="00324CA8" w:rsidP="002F359A">
      <w:pPr>
        <w:spacing w:line="360" w:lineRule="auto"/>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lastRenderedPageBreak/>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j|i</m:t>
            </m:r>
          </m:sub>
        </m:sSub>
      </m:oMath>
      <w:r w:rsidRPr="006F4180">
        <w:rPr>
          <w:rFonts w:ascii="Times New Roman" w:eastAsiaTheme="minorEastAsia" w:hAnsi="Times New Roman" w:cs="Times New Roman"/>
          <w:sz w:val="24"/>
          <w:szCs w:val="24"/>
        </w:rPr>
        <w:t xml:space="preserve"> measures the degree of interconnectedness where </w:t>
      </w:r>
      <w:r w:rsidRPr="006F4180">
        <w:rPr>
          <w:rFonts w:ascii="Times New Roman" w:eastAsiaTheme="minorEastAsia" w:hAnsi="Times New Roman" w:cs="Times New Roman"/>
          <w:i/>
          <w:sz w:val="24"/>
          <w:szCs w:val="24"/>
        </w:rPr>
        <w:t>j</w:t>
      </w:r>
      <w:r w:rsidRPr="006F4180">
        <w:rPr>
          <w:rFonts w:ascii="Times New Roman" w:eastAsiaTheme="minorEastAsia" w:hAnsi="Times New Roman" w:cs="Times New Roman"/>
          <w:sz w:val="24"/>
          <w:szCs w:val="24"/>
        </w:rPr>
        <w:t xml:space="preserve"> is set to be the return of a system and </w:t>
      </w:r>
      <w:r w:rsidRPr="006F4180">
        <w:rPr>
          <w:rFonts w:ascii="Times New Roman" w:eastAsiaTheme="minorEastAsia" w:hAnsi="Times New Roman" w:cs="Times New Roman"/>
          <w:i/>
          <w:sz w:val="24"/>
          <w:szCs w:val="24"/>
        </w:rPr>
        <w:t>i</w:t>
      </w:r>
      <w:r w:rsidRPr="006F4180">
        <w:rPr>
          <w:rFonts w:ascii="Times New Roman" w:eastAsiaTheme="minorEastAsia" w:hAnsi="Times New Roman" w:cs="Times New Roman"/>
          <w:sz w:val="24"/>
          <w:szCs w:val="24"/>
        </w:rPr>
        <w:t xml:space="preserve"> to be the return of an emerging market which results in contribution </w:t>
      </w:r>
      <w:proofErr w:type="spellStart"/>
      <w:r w:rsidRPr="006F4180">
        <w:rPr>
          <w:rFonts w:ascii="Times New Roman" w:eastAsiaTheme="minorEastAsia" w:hAnsi="Times New Roman" w:cs="Times New Roman"/>
          <w:sz w:val="24"/>
          <w:szCs w:val="24"/>
        </w:rPr>
        <w:t>CoVaR</w:t>
      </w:r>
      <w:proofErr w:type="spellEnd"/>
      <w:r w:rsidRPr="006F4180">
        <w:rPr>
          <w:rFonts w:ascii="Times New Roman" w:eastAsiaTheme="minorEastAsia" w:hAnsi="Times New Roman" w:cs="Times New Roman"/>
          <w:sz w:val="24"/>
          <w:szCs w:val="24"/>
        </w:rPr>
        <w:t xml:space="preserve"> characterizing how a market </w:t>
      </w:r>
      <w:r w:rsidRPr="006F4180">
        <w:rPr>
          <w:rFonts w:ascii="Times New Roman" w:eastAsiaTheme="minorEastAsia" w:hAnsi="Times New Roman" w:cs="Times New Roman"/>
          <w:i/>
          <w:sz w:val="24"/>
          <w:szCs w:val="24"/>
        </w:rPr>
        <w:t>i</w:t>
      </w:r>
      <w:r w:rsidRPr="006F4180">
        <w:rPr>
          <w:rFonts w:ascii="Times New Roman" w:eastAsiaTheme="minorEastAsia" w:hAnsi="Times New Roman" w:cs="Times New Roman"/>
          <w:sz w:val="24"/>
          <w:szCs w:val="24"/>
        </w:rPr>
        <w:t xml:space="preserve"> influences the rest of the emerging markets. In other words, it describes the extent to which a single market is exposed to the overall risk of a system. </w:t>
      </w:r>
    </w:p>
    <w:p w14:paraId="2FE5C19B" w14:textId="42EE6269" w:rsidR="002D30F0" w:rsidRPr="006F4180" w:rsidRDefault="002D30F0" w:rsidP="003950B7">
      <w:pPr>
        <w:spacing w:line="360" w:lineRule="auto"/>
        <w:ind w:firstLine="720"/>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Following this method, TENET is measured in three steps. The first step estimates </w:t>
      </w:r>
      <w:proofErr w:type="spellStart"/>
      <w:r w:rsidRPr="006F4180">
        <w:rPr>
          <w:rFonts w:ascii="Times New Roman" w:eastAsiaTheme="minorEastAsia" w:hAnsi="Times New Roman" w:cs="Times New Roman"/>
          <w:sz w:val="24"/>
          <w:szCs w:val="24"/>
        </w:rPr>
        <w:t>VaR</w:t>
      </w:r>
      <w:proofErr w:type="spellEnd"/>
      <w:r w:rsidRPr="006F4180">
        <w:rPr>
          <w:rFonts w:ascii="Times New Roman" w:eastAsiaTheme="minorEastAsia" w:hAnsi="Times New Roman" w:cs="Times New Roman"/>
          <w:sz w:val="24"/>
          <w:szCs w:val="24"/>
        </w:rPr>
        <w:t xml:space="preserve"> for each emerging market by using linear quantile regression as follows: </w:t>
      </w:r>
    </w:p>
    <w:p w14:paraId="374EE649" w14:textId="2DDAA0AC" w:rsidR="002D30F0"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w:r w:rsidR="002D30F0" w:rsidRPr="006F4180">
        <w:rPr>
          <w:rFonts w:ascii="Times New Roman" w:eastAsiaTheme="minorEastAsia" w:hAnsi="Times New Roman" w:cs="Times New Roman"/>
          <w:sz w:val="24"/>
          <w:szCs w:val="24"/>
        </w:rPr>
        <w:t xml:space="preserve">    </w:t>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t>(7)</w:t>
      </w:r>
    </w:p>
    <w:p w14:paraId="7F5D001F" w14:textId="7D3F8566" w:rsidR="002D30F0" w:rsidRPr="006F4180" w:rsidRDefault="00962CBE" w:rsidP="002F359A">
      <w:pPr>
        <w:spacing w:line="360" w:lineRule="auto"/>
        <w:jc w:val="both"/>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τ</m:t>
                </m:r>
              </m:sub>
            </m:sSub>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i</m:t>
                </m:r>
              </m:sub>
            </m:sSub>
          </m:e>
        </m:acc>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1</m:t>
            </m:r>
          </m:sub>
        </m:sSub>
      </m:oMath>
      <w:r w:rsidR="002D30F0" w:rsidRPr="006F4180">
        <w:rPr>
          <w:rFonts w:ascii="Times New Roman" w:eastAsiaTheme="minorEastAsia" w:hAnsi="Times New Roman" w:cs="Times New Roman"/>
          <w:sz w:val="24"/>
          <w:szCs w:val="24"/>
        </w:rPr>
        <w:t xml:space="preserve"> </w:t>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r>
      <w:r w:rsidR="002D30F0" w:rsidRPr="006F4180">
        <w:rPr>
          <w:rFonts w:ascii="Times New Roman" w:eastAsiaTheme="minorEastAsia" w:hAnsi="Times New Roman" w:cs="Times New Roman"/>
          <w:sz w:val="24"/>
          <w:szCs w:val="24"/>
        </w:rPr>
        <w:tab/>
        <w:t>(8)</w:t>
      </w:r>
    </w:p>
    <w:p w14:paraId="75DEBE82" w14:textId="4AF733B8" w:rsidR="002D30F0" w:rsidRPr="006F4180" w:rsidRDefault="002D30F0" w:rsidP="002F359A">
      <w:pPr>
        <w:spacing w:line="360" w:lineRule="auto"/>
        <w:jc w:val="both"/>
        <w:rPr>
          <w:rFonts w:ascii="Times New Roman" w:eastAsiaTheme="minorEastAsia" w:hAnsi="Times New Roman" w:cs="Times New Roman"/>
          <w:sz w:val="24"/>
          <w:szCs w:val="24"/>
        </w:rPr>
      </w:pPr>
      <w:proofErr w:type="spellStart"/>
      <w:r w:rsidRPr="006F4180">
        <w:rPr>
          <w:rFonts w:ascii="Times New Roman" w:eastAsiaTheme="minorEastAsia" w:hAnsi="Times New Roman" w:cs="Times New Roman"/>
          <w:sz w:val="24"/>
          <w:szCs w:val="24"/>
        </w:rPr>
        <w:t>VaR</w:t>
      </w:r>
      <w:proofErr w:type="spellEnd"/>
      <w:r w:rsidRPr="006F4180">
        <w:rPr>
          <w:rFonts w:ascii="Times New Roman" w:eastAsiaTheme="minorEastAsia" w:hAnsi="Times New Roman" w:cs="Times New Roman"/>
          <w:sz w:val="24"/>
          <w:szCs w:val="24"/>
        </w:rPr>
        <w:t xml:space="preserve"> estimates the linear quantile regression by taking log return of a market </w:t>
      </w:r>
      <w:r w:rsidRPr="006F4180">
        <w:rPr>
          <w:rFonts w:ascii="Times New Roman" w:eastAsiaTheme="minorEastAsia" w:hAnsi="Times New Roman" w:cs="Times New Roman"/>
          <w:i/>
          <w:sz w:val="24"/>
          <w:szCs w:val="24"/>
        </w:rPr>
        <w:t>i</w:t>
      </w:r>
      <w:r w:rsidRPr="006F4180">
        <w:rPr>
          <w:rFonts w:ascii="Times New Roman" w:eastAsiaTheme="minorEastAsia" w:hAnsi="Times New Roman" w:cs="Times New Roman"/>
          <w:sz w:val="24"/>
          <w:szCs w:val="24"/>
        </w:rPr>
        <w:t xml:space="preserve"> on macro state var</w:t>
      </w:r>
      <w:r w:rsidR="00FE6F23" w:rsidRPr="006F4180">
        <w:rPr>
          <w:rFonts w:ascii="Times New Roman" w:eastAsiaTheme="minorEastAsia" w:hAnsi="Times New Roman" w:cs="Times New Roman"/>
          <w:sz w:val="24"/>
          <w:szCs w:val="24"/>
        </w:rPr>
        <w:t>iables justified by Chao</w:t>
      </w:r>
      <w:r w:rsidRPr="006F4180">
        <w:rPr>
          <w:rFonts w:ascii="Times New Roman" w:eastAsiaTheme="minorEastAsia" w:hAnsi="Times New Roman" w:cs="Times New Roman"/>
          <w:sz w:val="24"/>
          <w:szCs w:val="24"/>
        </w:rPr>
        <w:t xml:space="preserve"> (2015). </w:t>
      </w:r>
    </w:p>
    <w:p w14:paraId="0863B48B" w14:textId="441F657E" w:rsidR="002D30F0" w:rsidRPr="006F4180" w:rsidRDefault="00BD2CC0" w:rsidP="003950B7">
      <w:pPr>
        <w:spacing w:line="360" w:lineRule="auto"/>
        <w:ind w:firstLine="720"/>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Step two consists of connectedness analysis and spectral clustering. The connectedness analysis involves risk interdependence network capturing non-linear dependency through a network analysis. Precisely, </w:t>
      </w:r>
    </w:p>
    <w:p w14:paraId="386CE1CE" w14:textId="23F0031F" w:rsidR="00BD2CC0"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jt</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g</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j</m:t>
                    </m:r>
                  </m:sub>
                </m:sSub>
              </m:sub>
              <m:sup>
                <m:r>
                  <m:rPr>
                    <m:sty m:val="p"/>
                  </m:rPr>
                  <w:rPr>
                    <w:rFonts w:ascii="Cambria Math" w:eastAsiaTheme="minorEastAsia" w:hAnsi="Cambria Math" w:cs="Times New Roman"/>
                    <w:sz w:val="24"/>
                    <w:szCs w:val="24"/>
                  </w:rPr>
                  <m:t>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jt</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jt</m:t>
            </m:r>
          </m:sub>
        </m:sSub>
      </m:oMath>
      <w:r w:rsidR="00021FDA" w:rsidRPr="006F4180">
        <w:rPr>
          <w:rFonts w:ascii="Times New Roman" w:eastAsiaTheme="minorEastAsia" w:hAnsi="Times New Roman" w:cs="Times New Roman"/>
          <w:sz w:val="24"/>
          <w:szCs w:val="24"/>
        </w:rPr>
        <w:t xml:space="preserve"> </w:t>
      </w:r>
      <w:r w:rsidR="00021FDA" w:rsidRPr="006F4180">
        <w:rPr>
          <w:rFonts w:ascii="Times New Roman" w:eastAsiaTheme="minorEastAsia" w:hAnsi="Times New Roman" w:cs="Times New Roman"/>
          <w:sz w:val="24"/>
          <w:szCs w:val="24"/>
        </w:rPr>
        <w:tab/>
      </w:r>
      <w:r w:rsidR="00021FDA" w:rsidRPr="006F4180">
        <w:rPr>
          <w:rFonts w:ascii="Times New Roman" w:eastAsiaTheme="minorEastAsia" w:hAnsi="Times New Roman" w:cs="Times New Roman"/>
          <w:sz w:val="24"/>
          <w:szCs w:val="24"/>
        </w:rPr>
        <w:tab/>
      </w:r>
      <w:r w:rsidR="00021FDA" w:rsidRPr="006F4180">
        <w:rPr>
          <w:rFonts w:ascii="Times New Roman" w:eastAsiaTheme="minorEastAsia" w:hAnsi="Times New Roman" w:cs="Times New Roman"/>
          <w:sz w:val="24"/>
          <w:szCs w:val="24"/>
        </w:rPr>
        <w:tab/>
      </w:r>
      <w:r w:rsidR="00021FDA" w:rsidRPr="006F4180">
        <w:rPr>
          <w:rFonts w:ascii="Times New Roman" w:eastAsiaTheme="minorEastAsia" w:hAnsi="Times New Roman" w:cs="Times New Roman"/>
          <w:sz w:val="24"/>
          <w:szCs w:val="24"/>
        </w:rPr>
        <w:tab/>
      </w:r>
      <w:r w:rsidR="00021FDA" w:rsidRPr="006F4180">
        <w:rPr>
          <w:rFonts w:ascii="Times New Roman" w:eastAsiaTheme="minorEastAsia" w:hAnsi="Times New Roman" w:cs="Times New Roman"/>
          <w:sz w:val="24"/>
          <w:szCs w:val="24"/>
        </w:rPr>
        <w:tab/>
      </w:r>
      <w:r w:rsidR="00021FDA" w:rsidRPr="006F4180">
        <w:rPr>
          <w:rFonts w:ascii="Times New Roman" w:eastAsiaTheme="minorEastAsia" w:hAnsi="Times New Roman" w:cs="Times New Roman"/>
          <w:sz w:val="24"/>
          <w:szCs w:val="24"/>
        </w:rPr>
        <w:tab/>
      </w:r>
      <w:r w:rsidR="00021FDA" w:rsidRPr="006F4180">
        <w:rPr>
          <w:rFonts w:ascii="Times New Roman" w:eastAsiaTheme="minorEastAsia" w:hAnsi="Times New Roman" w:cs="Times New Roman"/>
          <w:sz w:val="24"/>
          <w:szCs w:val="24"/>
        </w:rPr>
        <w:tab/>
        <w:t>(9)</w:t>
      </w:r>
    </w:p>
    <w:p w14:paraId="3ADF4F3F" w14:textId="45AADFA9" w:rsidR="00021FDA" w:rsidRPr="006F4180" w:rsidRDefault="00962CBE" w:rsidP="002F359A">
      <w:pPr>
        <w:spacing w:line="360" w:lineRule="auto"/>
        <w:jc w:val="both"/>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CoVaR</m:t>
                </m:r>
              </m:e>
            </m:acc>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t</m:t>
            </m:r>
            <m:r>
              <w:rPr>
                <w:rFonts w:ascii="Cambria Math" w:eastAsiaTheme="minorEastAsia" w:hAnsi="Cambria Math" w:cs="Times New Roman"/>
                <w:sz w:val="24"/>
                <w:szCs w:val="24"/>
              </w:rPr>
              <m:t>,</m:t>
            </m:r>
            <m:r>
              <w:rPr>
                <w:rFonts w:ascii="Cambria Math" w:eastAsiaTheme="minorEastAsia" w:hAnsi="Cambria Math" w:cs="Times New Roman"/>
                <w:sz w:val="24"/>
                <w:szCs w:val="24"/>
              </w:rPr>
              <m:t>τ</m:t>
            </m:r>
          </m:sub>
          <m:sup>
            <m:r>
              <w:rPr>
                <w:rFonts w:ascii="Cambria Math" w:eastAsiaTheme="minorEastAsia" w:hAnsi="Cambria Math" w:cs="Times New Roman"/>
                <w:sz w:val="24"/>
                <w:szCs w:val="24"/>
              </w:rPr>
              <m:t>TENET</m:t>
            </m:r>
          </m:sup>
        </m:sSubSup>
        <m:r>
          <w:rPr>
            <w:rFonts w:ascii="Cambria Math" w:hAnsi="Cambria Math" w:cs="Times New Roman"/>
            <w:sz w:val="24"/>
            <w:szCs w:val="24"/>
          </w:rPr>
          <m:t>≝</m:t>
        </m:r>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g</m:t>
            </m:r>
          </m:e>
        </m:acc>
        <m:r>
          <w:rPr>
            <w:rFonts w:ascii="Cambria Math" w:hAnsi="Cambria Math" w:cs="Times New Roman"/>
            <w:sz w:val="24"/>
            <w:szCs w:val="24"/>
          </w:rPr>
          <m:t>(</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j</m:t>
                </m:r>
              </m:sub>
            </m:sSub>
          </m:sub>
          <m:sup>
            <m:r>
              <m:rPr>
                <m:sty m:val="p"/>
              </m:rPr>
              <w:rPr>
                <w:rFonts w:ascii="Cambria Math" w:hAnsi="Cambria Math" w:cs="Times New Roman"/>
                <w:sz w:val="24"/>
                <w:szCs w:val="24"/>
              </w:rPr>
              <m:t>T</m:t>
            </m:r>
          </m:sup>
        </m:sSubSup>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jt</m:t>
            </m:r>
          </m:sub>
        </m:sSub>
        <m:r>
          <w:rPr>
            <w:rFonts w:ascii="Cambria Math" w:hAnsi="Cambria Math" w:cs="Times New Roman"/>
            <w:sz w:val="24"/>
            <w:szCs w:val="24"/>
          </w:rPr>
          <m:t>)</m:t>
        </m:r>
      </m:oMath>
      <w:r w:rsidR="00B74BF4" w:rsidRPr="006F4180">
        <w:rPr>
          <w:rFonts w:ascii="Times New Roman" w:eastAsiaTheme="minorEastAsia" w:hAnsi="Times New Roman" w:cs="Times New Roman"/>
          <w:sz w:val="24"/>
          <w:szCs w:val="24"/>
        </w:rPr>
        <w:t xml:space="preserve"> </w:t>
      </w:r>
      <w:r w:rsidR="00B74BF4" w:rsidRPr="006F4180">
        <w:rPr>
          <w:rFonts w:ascii="Times New Roman" w:eastAsiaTheme="minorEastAsia" w:hAnsi="Times New Roman" w:cs="Times New Roman"/>
          <w:sz w:val="24"/>
          <w:szCs w:val="24"/>
        </w:rPr>
        <w:tab/>
      </w:r>
      <w:r w:rsidR="00B74BF4" w:rsidRPr="006F4180">
        <w:rPr>
          <w:rFonts w:ascii="Times New Roman" w:eastAsiaTheme="minorEastAsia" w:hAnsi="Times New Roman" w:cs="Times New Roman"/>
          <w:sz w:val="24"/>
          <w:szCs w:val="24"/>
        </w:rPr>
        <w:tab/>
      </w:r>
      <w:r w:rsidR="00B74BF4" w:rsidRPr="006F4180">
        <w:rPr>
          <w:rFonts w:ascii="Times New Roman" w:eastAsiaTheme="minorEastAsia" w:hAnsi="Times New Roman" w:cs="Times New Roman"/>
          <w:sz w:val="24"/>
          <w:szCs w:val="24"/>
        </w:rPr>
        <w:tab/>
      </w:r>
      <w:r w:rsidR="00B74BF4" w:rsidRPr="006F4180">
        <w:rPr>
          <w:rFonts w:ascii="Times New Roman" w:eastAsiaTheme="minorEastAsia" w:hAnsi="Times New Roman" w:cs="Times New Roman"/>
          <w:sz w:val="24"/>
          <w:szCs w:val="24"/>
        </w:rPr>
        <w:tab/>
      </w:r>
      <w:r w:rsidR="00B74BF4" w:rsidRPr="006F4180">
        <w:rPr>
          <w:rFonts w:ascii="Times New Roman" w:eastAsiaTheme="minorEastAsia" w:hAnsi="Times New Roman" w:cs="Times New Roman"/>
          <w:sz w:val="24"/>
          <w:szCs w:val="24"/>
        </w:rPr>
        <w:tab/>
      </w:r>
      <w:r w:rsidR="00B74BF4" w:rsidRPr="006F4180">
        <w:rPr>
          <w:rFonts w:ascii="Times New Roman" w:eastAsiaTheme="minorEastAsia" w:hAnsi="Times New Roman" w:cs="Times New Roman"/>
          <w:sz w:val="24"/>
          <w:szCs w:val="24"/>
        </w:rPr>
        <w:tab/>
      </w:r>
      <w:r w:rsidR="00B74BF4" w:rsidRPr="006F4180">
        <w:rPr>
          <w:rFonts w:ascii="Times New Roman" w:eastAsiaTheme="minorEastAsia" w:hAnsi="Times New Roman" w:cs="Times New Roman"/>
          <w:sz w:val="24"/>
          <w:szCs w:val="24"/>
        </w:rPr>
        <w:tab/>
        <w:t>(10)</w:t>
      </w:r>
    </w:p>
    <w:p w14:paraId="06BE17FC" w14:textId="024CA5BD" w:rsidR="00B74BF4"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j</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g</m:t>
                </m:r>
              </m:e>
            </m:acc>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sub>
                  <m:sup>
                    <m:r>
                      <m:rPr>
                        <m:sty m:val="p"/>
                      </m:rPr>
                      <w:rPr>
                        <w:rFonts w:ascii="Cambria Math" w:hAnsi="Cambria Math" w:cs="Times New Roman"/>
                        <w:sz w:val="24"/>
                        <w:szCs w:val="24"/>
                      </w:rPr>
                      <m:t>T</m:t>
                    </m:r>
                  </m:sup>
                </m:sSubSup>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den>
        </m:f>
        <m:sSub>
          <m:sSubPr>
            <m:ctrlPr>
              <w:rPr>
                <w:rFonts w:ascii="Cambria Math" w:hAnsi="Cambria Math" w:cs="Times New Roman"/>
                <w:i/>
                <w:sz w:val="24"/>
                <w:szCs w:val="24"/>
              </w:rPr>
            </m:ctrlPr>
          </m:sSubPr>
          <m:e>
            <m:r>
              <w:rPr>
                <w:rFonts w:ascii="Cambria Math" w:hAnsi="Cambria Math" w:cs="Times New Roman"/>
                <w:sz w:val="24"/>
                <w:szCs w:val="24"/>
              </w:rPr>
              <m:t>|</m:t>
            </m:r>
          </m:e>
          <m: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jt</m:t>
                </m:r>
              </m:sub>
            </m:sSub>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g</m:t>
                </m:r>
              </m:e>
            </m:acc>
          </m:e>
          <m:sup>
            <m:r>
              <w:rPr>
                <w:rFonts w:ascii="Cambria Math" w:hAnsi="Cambria Math" w:cs="Times New Roman"/>
                <w:sz w:val="24"/>
                <w:szCs w:val="24"/>
              </w:rPr>
              <m:t>'</m:t>
            </m:r>
          </m:sup>
        </m:sSup>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j</m:t>
                    </m:r>
                  </m:sub>
                </m:sSub>
              </m:sub>
              <m:sup>
                <m:r>
                  <m:rPr>
                    <m:sty m:val="p"/>
                  </m:rPr>
                  <w:rPr>
                    <w:rFonts w:ascii="Cambria Math" w:eastAsiaTheme="minorEastAsia" w:hAnsi="Cambria Math" w:cs="Times New Roman"/>
                    <w:sz w:val="24"/>
                    <w:szCs w:val="24"/>
                  </w:rPr>
                  <m:t>T</m:t>
                </m:r>
              </m:sup>
            </m:sSubSup>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jt</m:t>
                </m:r>
              </m:sub>
            </m:sSub>
          </m:e>
        </m:d>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β</m:t>
                </m:r>
              </m:e>
            </m:acc>
          </m:e>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R</m:t>
                    </m:r>
                  </m:e>
                </m:acc>
              </m:e>
              <m:sub>
                <m:r>
                  <w:rPr>
                    <w:rFonts w:ascii="Cambria Math" w:eastAsiaTheme="minorEastAsia" w:hAnsi="Cambria Math" w:cs="Times New Roman"/>
                    <w:sz w:val="24"/>
                    <w:szCs w:val="24"/>
                  </w:rPr>
                  <m:t>j</m:t>
                </m:r>
              </m:sub>
            </m:sSub>
          </m:sub>
        </m:sSub>
      </m:oMath>
      <w:r w:rsidR="00387F3D" w:rsidRPr="006F4180">
        <w:rPr>
          <w:rFonts w:ascii="Times New Roman" w:eastAsiaTheme="minorEastAsia" w:hAnsi="Times New Roman" w:cs="Times New Roman"/>
          <w:sz w:val="24"/>
          <w:szCs w:val="24"/>
        </w:rPr>
        <w:t xml:space="preserve"> </w:t>
      </w:r>
      <w:r w:rsidR="00387F3D" w:rsidRPr="006F4180">
        <w:rPr>
          <w:rFonts w:ascii="Times New Roman" w:eastAsiaTheme="minorEastAsia" w:hAnsi="Times New Roman" w:cs="Times New Roman"/>
          <w:sz w:val="24"/>
          <w:szCs w:val="24"/>
        </w:rPr>
        <w:tab/>
      </w:r>
      <w:r w:rsidR="00387F3D" w:rsidRPr="006F4180">
        <w:rPr>
          <w:rFonts w:ascii="Times New Roman" w:eastAsiaTheme="minorEastAsia" w:hAnsi="Times New Roman" w:cs="Times New Roman"/>
          <w:sz w:val="24"/>
          <w:szCs w:val="24"/>
        </w:rPr>
        <w:tab/>
      </w:r>
      <w:r w:rsidR="00387F3D" w:rsidRPr="006F4180">
        <w:rPr>
          <w:rFonts w:ascii="Times New Roman" w:eastAsiaTheme="minorEastAsia" w:hAnsi="Times New Roman" w:cs="Times New Roman"/>
          <w:sz w:val="24"/>
          <w:szCs w:val="24"/>
        </w:rPr>
        <w:tab/>
      </w:r>
      <w:r w:rsidR="00387F3D" w:rsidRPr="006F4180">
        <w:rPr>
          <w:rFonts w:ascii="Times New Roman" w:eastAsiaTheme="minorEastAsia" w:hAnsi="Times New Roman" w:cs="Times New Roman"/>
          <w:sz w:val="24"/>
          <w:szCs w:val="24"/>
        </w:rPr>
        <w:tab/>
        <w:t>(11)</w:t>
      </w:r>
    </w:p>
    <w:p w14:paraId="5A802D09" w14:textId="274608F2" w:rsidR="00387F3D" w:rsidRPr="006F4180" w:rsidRDefault="00387F3D" w:rsidP="002F359A">
      <w:pPr>
        <w:spacing w:line="360" w:lineRule="auto"/>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jt-1</m:t>
            </m:r>
          </m:sub>
        </m:sSub>
        <m:r>
          <w:rPr>
            <w:rFonts w:ascii="Cambria Math" w:hAnsi="Cambria Math" w:cs="Times New Roman"/>
            <w:sz w:val="24"/>
            <w:szCs w:val="24"/>
          </w:rPr>
          <m:t>}</m:t>
        </m:r>
      </m:oMath>
      <w:r w:rsidRPr="006F4180">
        <w:rPr>
          <w:rFonts w:ascii="Times New Roman" w:eastAsiaTheme="minorEastAsia" w:hAnsi="Times New Roman" w:cs="Times New Roman"/>
          <w:sz w:val="24"/>
          <w:szCs w:val="24"/>
        </w:rPr>
        <w:t xml:space="preserve"> is the set of information </w:t>
      </w:r>
      <w:r w:rsidR="00287845" w:rsidRPr="006F4180">
        <w:rPr>
          <w:rFonts w:ascii="Times New Roman" w:eastAsiaTheme="minorEastAsia" w:hAnsi="Times New Roman" w:cs="Times New Roman"/>
          <w:sz w:val="24"/>
          <w:szCs w:val="24"/>
        </w:rPr>
        <w:t>that</w:t>
      </w:r>
      <w:r w:rsidRPr="006F4180">
        <w:rPr>
          <w:rFonts w:ascii="Times New Roman" w:eastAsiaTheme="minorEastAsia" w:hAnsi="Times New Roman" w:cs="Times New Roman"/>
          <w:sz w:val="24"/>
          <w:szCs w:val="24"/>
        </w:rPr>
        <w:t xml:space="preserve"> includes </w:t>
      </w:r>
      <w:r w:rsidRPr="006F4180">
        <w:rPr>
          <w:rFonts w:ascii="Times New Roman" w:eastAsiaTheme="minorEastAsia" w:hAnsi="Times New Roman" w:cs="Times New Roman"/>
          <w:i/>
          <w:sz w:val="24"/>
          <w:szCs w:val="24"/>
        </w:rPr>
        <w:t>p</w:t>
      </w:r>
      <w:r w:rsidRPr="006F4180">
        <w:rPr>
          <w:rFonts w:ascii="Times New Roman" w:eastAsiaTheme="minorEastAsia" w:hAnsi="Times New Roman" w:cs="Times New Roman"/>
          <w:sz w:val="24"/>
          <w:szCs w:val="24"/>
        </w:rPr>
        <w:t xml:space="preserve"> variables whereas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2t</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kt</m:t>
            </m:r>
          </m:sub>
        </m:sSub>
        <m:r>
          <w:rPr>
            <w:rFonts w:ascii="Cambria Math" w:hAnsi="Cambria Math" w:cs="Times New Roman"/>
            <w:sz w:val="24"/>
            <w:szCs w:val="24"/>
          </w:rPr>
          <m:t xml:space="preserve">}  </m:t>
        </m:r>
      </m:oMath>
      <w:r w:rsidRPr="006F4180">
        <w:rPr>
          <w:rFonts w:ascii="Times New Roman" w:eastAsiaTheme="minorEastAsia" w:hAnsi="Times New Roman" w:cs="Times New Roman"/>
          <w:sz w:val="24"/>
          <w:szCs w:val="24"/>
        </w:rPr>
        <w:t>are the explanatory variables which include log</w:t>
      </w:r>
      <w:r w:rsidR="00287845" w:rsidRPr="006F4180">
        <w:rPr>
          <w:rFonts w:ascii="Times New Roman" w:eastAsiaTheme="minorEastAsia" w:hAnsi="Times New Roman" w:cs="Times New Roman"/>
          <w:sz w:val="24"/>
          <w:szCs w:val="24"/>
        </w:rPr>
        <w:t>-</w:t>
      </w:r>
      <w:r w:rsidRPr="006F4180">
        <w:rPr>
          <w:rFonts w:ascii="Times New Roman" w:eastAsiaTheme="minorEastAsia" w:hAnsi="Times New Roman" w:cs="Times New Roman"/>
          <w:sz w:val="24"/>
          <w:szCs w:val="24"/>
        </w:rPr>
        <w:t xml:space="preserve">returns of all emerging markets. </w:t>
      </w:r>
      <w:r w:rsidRPr="006F4180">
        <w:rPr>
          <w:rFonts w:ascii="Times New Roman" w:eastAsiaTheme="minorEastAsia" w:hAnsi="Times New Roman" w:cs="Times New Roman"/>
          <w:i/>
          <w:sz w:val="24"/>
          <w:szCs w:val="24"/>
        </w:rPr>
        <w:t>B</w:t>
      </w:r>
      <w:r w:rsidRPr="006F4180">
        <w:rPr>
          <w:rFonts w:ascii="Times New Roman" w:eastAsiaTheme="minorEastAsia" w:hAnsi="Times New Roman" w:cs="Times New Roman"/>
          <w:i/>
          <w:sz w:val="24"/>
          <w:szCs w:val="24"/>
          <w:vertAlign w:val="subscript"/>
        </w:rPr>
        <w:t>jt-1</w:t>
      </w:r>
      <w:r w:rsidRPr="006F4180">
        <w:rPr>
          <w:rFonts w:ascii="Times New Roman" w:eastAsiaTheme="minorEastAsia" w:hAnsi="Times New Roman" w:cs="Times New Roman"/>
          <w:sz w:val="24"/>
          <w:szCs w:val="24"/>
        </w:rPr>
        <w:t xml:space="preserve"> represents firm</w:t>
      </w:r>
      <w:r w:rsidR="00287845" w:rsidRPr="006F4180">
        <w:rPr>
          <w:rFonts w:ascii="Times New Roman" w:eastAsiaTheme="minorEastAsia" w:hAnsi="Times New Roman" w:cs="Times New Roman"/>
          <w:sz w:val="24"/>
          <w:szCs w:val="24"/>
        </w:rPr>
        <w:t>-</w:t>
      </w:r>
      <w:r w:rsidRPr="006F4180">
        <w:rPr>
          <w:rFonts w:ascii="Times New Roman" w:eastAsiaTheme="minorEastAsia" w:hAnsi="Times New Roman" w:cs="Times New Roman"/>
          <w:sz w:val="24"/>
          <w:szCs w:val="24"/>
        </w:rPr>
        <w:t xml:space="preserve">specific characteristics. </w:t>
      </w:r>
      <w:proofErr w:type="spellStart"/>
      <w:r w:rsidRPr="006F4180">
        <w:rPr>
          <w:rFonts w:ascii="Times New Roman" w:eastAsiaTheme="minorEastAsia" w:hAnsi="Times New Roman" w:cs="Times New Roman"/>
          <w:sz w:val="24"/>
          <w:szCs w:val="24"/>
        </w:rPr>
        <w:t>CoVaR</w:t>
      </w:r>
      <w:proofErr w:type="spellEnd"/>
      <w:r w:rsidRPr="006F4180">
        <w:rPr>
          <w:rFonts w:ascii="Times New Roman" w:eastAsiaTheme="minorEastAsia" w:hAnsi="Times New Roman" w:cs="Times New Roman"/>
          <w:sz w:val="24"/>
          <w:szCs w:val="24"/>
        </w:rPr>
        <w:t xml:space="preserve"> not only influences the emerging markets system but also inco</w:t>
      </w:r>
      <w:r w:rsidR="00761CCB" w:rsidRPr="006F4180">
        <w:rPr>
          <w:rFonts w:ascii="Times New Roman" w:eastAsiaTheme="minorEastAsia" w:hAnsi="Times New Roman" w:cs="Times New Roman"/>
          <w:sz w:val="24"/>
          <w:szCs w:val="24"/>
        </w:rPr>
        <w:t>rporates nonlinearity function.</w:t>
      </w:r>
    </w:p>
    <w:p w14:paraId="1BFB4849" w14:textId="1509F083" w:rsidR="00761CCB" w:rsidRPr="006F4180" w:rsidRDefault="00761CCB" w:rsidP="003950B7">
      <w:pPr>
        <w:spacing w:line="360" w:lineRule="auto"/>
        <w:ind w:firstLine="720"/>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Network denotes a directed graph with a set of vertices and links and edges in the form of </w:t>
      </w:r>
      <w:r w:rsidR="00287845" w:rsidRPr="006F4180">
        <w:rPr>
          <w:rFonts w:ascii="Times New Roman" w:eastAsiaTheme="minorEastAsia" w:hAnsi="Times New Roman" w:cs="Times New Roman"/>
          <w:sz w:val="24"/>
          <w:szCs w:val="24"/>
        </w:rPr>
        <w:t xml:space="preserve">an </w:t>
      </w:r>
      <w:r w:rsidRPr="006F4180">
        <w:rPr>
          <w:rFonts w:ascii="Times New Roman" w:eastAsiaTheme="minorEastAsia" w:hAnsi="Times New Roman" w:cs="Times New Roman"/>
          <w:sz w:val="24"/>
          <w:szCs w:val="24"/>
        </w:rPr>
        <w:t>adjacency matrix. The weighted adjacency matri</w:t>
      </w:r>
      <w:r w:rsidR="00287845" w:rsidRPr="006F4180">
        <w:rPr>
          <w:rFonts w:ascii="Times New Roman" w:eastAsiaTheme="minorEastAsia" w:hAnsi="Times New Roman" w:cs="Times New Roman"/>
          <w:sz w:val="24"/>
          <w:szCs w:val="24"/>
        </w:rPr>
        <w:t>x</w:t>
      </w:r>
      <w:r w:rsidRPr="006F4180">
        <w:rPr>
          <w:rFonts w:ascii="Times New Roman" w:eastAsiaTheme="minorEastAsia" w:hAnsi="Times New Roman" w:cs="Times New Roman"/>
          <w:sz w:val="24"/>
          <w:szCs w:val="24"/>
        </w:rPr>
        <w:t xml:space="preserve"> contains absolute values in the form of </w:t>
      </w:r>
      <w:r w:rsidR="00287845" w:rsidRPr="006F4180">
        <w:rPr>
          <w:rFonts w:ascii="Times New Roman" w:eastAsiaTheme="minorEastAsia" w:hAnsi="Times New Roman" w:cs="Times New Roman"/>
          <w:sz w:val="24"/>
          <w:szCs w:val="24"/>
        </w:rPr>
        <w:t xml:space="preserve">an </w:t>
      </w:r>
      <w:r w:rsidRPr="006F4180">
        <w:rPr>
          <w:rFonts w:ascii="Times New Roman" w:eastAsiaTheme="minorEastAsia" w:hAnsi="Times New Roman" w:cs="Times New Roman"/>
          <w:sz w:val="24"/>
          <w:szCs w:val="24"/>
        </w:rPr>
        <w:t>upper and lower</w:t>
      </w:r>
      <w:r w:rsidR="00570667" w:rsidRPr="006F4180">
        <w:rPr>
          <w:rFonts w:ascii="Times New Roman" w:eastAsiaTheme="minorEastAsia" w:hAnsi="Times New Roman" w:cs="Times New Roman"/>
          <w:sz w:val="24"/>
          <w:szCs w:val="24"/>
        </w:rPr>
        <w:t xml:space="preserve"> triangular matrix</w:t>
      </w:r>
      <w:r w:rsidR="00287845" w:rsidRPr="006F4180">
        <w:rPr>
          <w:rFonts w:ascii="Times New Roman" w:eastAsiaTheme="minorEastAsia" w:hAnsi="Times New Roman" w:cs="Times New Roman"/>
          <w:sz w:val="24"/>
          <w:szCs w:val="24"/>
        </w:rPr>
        <w:t>,</w:t>
      </w:r>
      <w:r w:rsidR="00570667" w:rsidRPr="006F4180">
        <w:rPr>
          <w:rFonts w:ascii="Times New Roman" w:eastAsiaTheme="minorEastAsia" w:hAnsi="Times New Roman" w:cs="Times New Roman"/>
          <w:sz w:val="24"/>
          <w:szCs w:val="24"/>
        </w:rPr>
        <w:t xml:space="preserve"> which reveal</w:t>
      </w:r>
      <w:r w:rsidRPr="006F4180">
        <w:rPr>
          <w:rFonts w:ascii="Times New Roman" w:eastAsiaTheme="minorEastAsia" w:hAnsi="Times New Roman" w:cs="Times New Roman"/>
          <w:sz w:val="24"/>
          <w:szCs w:val="24"/>
        </w:rPr>
        <w:t xml:space="preserve"> </w:t>
      </w:r>
      <w:r w:rsidR="00570667" w:rsidRPr="006F4180">
        <w:rPr>
          <w:rFonts w:ascii="Times New Roman" w:eastAsiaTheme="minorEastAsia" w:hAnsi="Times New Roman" w:cs="Times New Roman"/>
          <w:sz w:val="24"/>
          <w:szCs w:val="24"/>
        </w:rPr>
        <w:t>impacts</w:t>
      </w:r>
      <w:r w:rsidRPr="006F4180">
        <w:rPr>
          <w:rFonts w:ascii="Times New Roman" w:eastAsiaTheme="minorEastAsia" w:hAnsi="Times New Roman" w:cs="Times New Roman"/>
          <w:sz w:val="24"/>
          <w:szCs w:val="24"/>
        </w:rPr>
        <w:t xml:space="preserve"> of a market </w:t>
      </w:r>
      <w:r w:rsidRPr="006F4180">
        <w:rPr>
          <w:rFonts w:ascii="Times New Roman" w:eastAsiaTheme="minorEastAsia" w:hAnsi="Times New Roman" w:cs="Times New Roman"/>
          <w:i/>
          <w:sz w:val="24"/>
          <w:szCs w:val="24"/>
        </w:rPr>
        <w:t xml:space="preserve">i </w:t>
      </w:r>
      <w:r w:rsidR="00570667" w:rsidRPr="006F4180">
        <w:rPr>
          <w:rFonts w:ascii="Times New Roman" w:eastAsiaTheme="minorEastAsia" w:hAnsi="Times New Roman" w:cs="Times New Roman"/>
          <w:sz w:val="24"/>
          <w:szCs w:val="24"/>
        </w:rPr>
        <w:t>to market</w:t>
      </w:r>
      <w:r w:rsidRPr="006F4180">
        <w:rPr>
          <w:rFonts w:ascii="Times New Roman" w:eastAsiaTheme="minorEastAsia" w:hAnsi="Times New Roman" w:cs="Times New Roman"/>
          <w:sz w:val="24"/>
          <w:szCs w:val="24"/>
        </w:rPr>
        <w:t xml:space="preserve"> </w:t>
      </w:r>
      <w:r w:rsidRPr="006F4180">
        <w:rPr>
          <w:rFonts w:ascii="Times New Roman" w:eastAsiaTheme="minorEastAsia" w:hAnsi="Times New Roman" w:cs="Times New Roman"/>
          <w:i/>
          <w:sz w:val="24"/>
          <w:szCs w:val="24"/>
        </w:rPr>
        <w:t>j</w:t>
      </w:r>
      <w:r w:rsidRPr="006F4180">
        <w:rPr>
          <w:rFonts w:ascii="Times New Roman" w:eastAsiaTheme="minorEastAsia" w:hAnsi="Times New Roman" w:cs="Times New Roman"/>
          <w:sz w:val="24"/>
          <w:szCs w:val="24"/>
        </w:rPr>
        <w:t xml:space="preserve"> whereas impact lower triangular matrix exhibits </w:t>
      </w:r>
      <w:r w:rsidR="00287845" w:rsidRPr="006F4180">
        <w:rPr>
          <w:rFonts w:ascii="Times New Roman" w:eastAsiaTheme="minorEastAsia" w:hAnsi="Times New Roman" w:cs="Times New Roman"/>
          <w:sz w:val="24"/>
          <w:szCs w:val="24"/>
        </w:rPr>
        <w:t xml:space="preserve">the </w:t>
      </w:r>
      <w:r w:rsidR="00570667" w:rsidRPr="006F4180">
        <w:rPr>
          <w:rFonts w:ascii="Times New Roman" w:eastAsiaTheme="minorEastAsia" w:hAnsi="Times New Roman" w:cs="Times New Roman"/>
          <w:sz w:val="24"/>
          <w:szCs w:val="24"/>
        </w:rPr>
        <w:t xml:space="preserve">impact of market </w:t>
      </w:r>
      <w:r w:rsidR="00570667" w:rsidRPr="006F4180">
        <w:rPr>
          <w:rFonts w:ascii="Times New Roman" w:eastAsiaTheme="minorEastAsia" w:hAnsi="Times New Roman" w:cs="Times New Roman"/>
          <w:i/>
          <w:sz w:val="24"/>
          <w:szCs w:val="24"/>
        </w:rPr>
        <w:t>j</w:t>
      </w:r>
      <w:r w:rsidR="00570667" w:rsidRPr="006F4180">
        <w:rPr>
          <w:rFonts w:ascii="Times New Roman" w:eastAsiaTheme="minorEastAsia" w:hAnsi="Times New Roman" w:cs="Times New Roman"/>
          <w:sz w:val="24"/>
          <w:szCs w:val="24"/>
        </w:rPr>
        <w:t xml:space="preserve"> to market </w:t>
      </w:r>
      <w:r w:rsidR="00570667" w:rsidRPr="006F4180">
        <w:rPr>
          <w:rFonts w:ascii="Times New Roman" w:eastAsiaTheme="minorEastAsia" w:hAnsi="Times New Roman" w:cs="Times New Roman"/>
          <w:i/>
          <w:sz w:val="24"/>
          <w:szCs w:val="24"/>
        </w:rPr>
        <w:t>i</w:t>
      </w:r>
      <w:r w:rsidR="00570667" w:rsidRPr="006F4180">
        <w:rPr>
          <w:rFonts w:ascii="Times New Roman" w:eastAsiaTheme="minorEastAsia" w:hAnsi="Times New Roman" w:cs="Times New Roman"/>
          <w:sz w:val="24"/>
          <w:szCs w:val="24"/>
        </w:rPr>
        <w:t xml:space="preserve">. </w:t>
      </w:r>
    </w:p>
    <w:p w14:paraId="517EF39D" w14:textId="5A02C2EF" w:rsidR="00387F3D" w:rsidRPr="006F4180" w:rsidRDefault="00962CBE" w:rsidP="002F359A">
      <w:pPr>
        <w:spacing w:line="360"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bCs/>
                <w:i/>
                <w:sz w:val="24"/>
                <w:szCs w:val="24"/>
              </w:rPr>
            </m:ctrlPr>
          </m:dPr>
          <m:e>
            <m:eqArr>
              <m:eqArrPr>
                <m:ctrlPr>
                  <w:rPr>
                    <w:rFonts w:ascii="Cambria Math" w:eastAsiaTheme="minorEastAsia" w:hAnsi="Cambria Math" w:cs="Times New Roman"/>
                    <w:bCs/>
                    <w:i/>
                    <w:sz w:val="24"/>
                    <w:szCs w:val="24"/>
                  </w:rPr>
                </m:ctrlPr>
              </m:eqArrPr>
              <m:e>
                <m:r>
                  <w:rPr>
                    <w:rFonts w:ascii="Cambria Math" w:eastAsiaTheme="minorEastAsia" w:hAnsi="Cambria Math" w:cs="Times New Roman"/>
                    <w:sz w:val="24"/>
                    <w:szCs w:val="24"/>
                  </w:rPr>
                  <m:t xml:space="preserve">0          </m:t>
                </m:r>
                <m:sSub>
                  <m:sSubPr>
                    <m:ctrlPr>
                      <w:rPr>
                        <w:rFonts w:ascii="Cambria Math" w:eastAsiaTheme="minorEastAsia" w:hAnsi="Cambria Math" w:cs="Times New Roman"/>
                        <w:bCs/>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12,</m:t>
                    </m:r>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bCs/>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1</m:t>
                    </m:r>
                    <m:r>
                      <w:rPr>
                        <w:rFonts w:ascii="Cambria Math" w:eastAsiaTheme="minorEastAsia" w:hAnsi="Cambria Math" w:cs="Times New Roman"/>
                        <w:sz w:val="24"/>
                        <w:szCs w:val="24"/>
                      </w:rPr>
                      <m:t>K</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r>
                      <w:rPr>
                        <w:rFonts w:ascii="Cambria Math" w:eastAsiaTheme="minorEastAsia" w:hAnsi="Cambria Math" w:cs="Times New Roman"/>
                        <w:sz w:val="24"/>
                        <w:szCs w:val="24"/>
                      </w:rPr>
                      <m:t xml:space="preserve"> </m:t>
                    </m:r>
                  </m:sub>
                </m:sSub>
              </m:e>
              <m:e>
                <m:sSub>
                  <m:sSubPr>
                    <m:ctrlPr>
                      <w:rPr>
                        <w:rFonts w:ascii="Cambria Math" w:eastAsiaTheme="minorEastAsia" w:hAnsi="Cambria Math" w:cs="Times New Roman"/>
                        <w:bCs/>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21,</m:t>
                    </m:r>
                    <m:r>
                      <w:rPr>
                        <w:rFonts w:ascii="Cambria Math" w:eastAsiaTheme="minorEastAsia" w:hAnsi="Cambria Math" w:cs="Times New Roman"/>
                        <w:sz w:val="24"/>
                        <w:szCs w:val="24"/>
                      </w:rPr>
                      <m:t>t</m:t>
                    </m:r>
                    <m:r>
                      <w:rPr>
                        <w:rFonts w:ascii="Cambria Math" w:eastAsiaTheme="minorEastAsia" w:hAnsi="Cambria Math" w:cs="Times New Roman"/>
                        <w:sz w:val="24"/>
                        <w:szCs w:val="24"/>
                      </w:rPr>
                      <m:t xml:space="preserve">  </m:t>
                    </m:r>
                  </m:sub>
                </m:sSub>
                <m:r>
                  <w:rPr>
                    <w:rFonts w:ascii="Cambria Math" w:eastAsiaTheme="minorEastAsia" w:hAnsi="Cambria Math" w:cs="Times New Roman"/>
                    <w:sz w:val="24"/>
                    <w:szCs w:val="24"/>
                  </w:rPr>
                  <m:t xml:space="preserve">      0    ⋯       </m:t>
                </m:r>
                <m:sSub>
                  <m:sSubPr>
                    <m:ctrlPr>
                      <w:rPr>
                        <w:rFonts w:ascii="Cambria Math" w:eastAsiaTheme="minorEastAsia" w:hAnsi="Cambria Math" w:cs="Times New Roman"/>
                        <w:bCs/>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2</m:t>
                    </m:r>
                    <m:r>
                      <w:rPr>
                        <w:rFonts w:ascii="Cambria Math" w:eastAsiaTheme="minorEastAsia" w:hAnsi="Cambria Math" w:cs="Times New Roman"/>
                        <w:sz w:val="24"/>
                        <w:szCs w:val="24"/>
                      </w:rPr>
                      <m:t>K</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ctrlPr>
                  <w:rPr>
                    <w:rFonts w:ascii="Cambria Math" w:eastAsia="Cambria Math" w:hAnsi="Cambria Math" w:cs="Cambria Math"/>
                    <w:bCs/>
                    <w:i/>
                    <w:sz w:val="24"/>
                    <w:szCs w:val="24"/>
                  </w:rPr>
                </m:ctrlPr>
              </m:e>
              <m:e>
                <m:r>
                  <w:rPr>
                    <w:rFonts w:ascii="Cambria Math" w:eastAsiaTheme="minorEastAsia" w:hAnsi="Cambria Math" w:cs="Times New Roman"/>
                    <w:sz w:val="24"/>
                    <w:szCs w:val="24"/>
                  </w:rPr>
                  <m:t>⋮</m:t>
                </m:r>
                <m:r>
                  <w:rPr>
                    <w:rFonts w:ascii="Cambria Math" w:eastAsiaTheme="minorEastAsia" w:hAnsi="Cambria Math" w:cs="Times New Roman"/>
                    <w:sz w:val="24"/>
                    <w:szCs w:val="24"/>
                  </w:rPr>
                  <m:t xml:space="preserve">                ⋱            ⋮  </m:t>
                </m:r>
                <m:ctrlPr>
                  <w:rPr>
                    <w:rFonts w:ascii="Cambria Math" w:eastAsia="Cambria Math" w:hAnsi="Cambria Math" w:cs="Cambria Math"/>
                    <w:bCs/>
                    <w:i/>
                    <w:sz w:val="24"/>
                    <w:szCs w:val="24"/>
                  </w:rPr>
                </m:ctrlPr>
              </m:e>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K</m:t>
                    </m:r>
                    <m:r>
                      <w:rPr>
                        <w:rFonts w:ascii="Cambria Math" w:eastAsiaTheme="minorEastAsia" w:hAnsi="Cambria Math" w:cs="Times New Roman"/>
                        <w:sz w:val="24"/>
                        <w:szCs w:val="24"/>
                      </w:rPr>
                      <m:t>1,</m:t>
                    </m:r>
                    <m:r>
                      <w:rPr>
                        <w:rFonts w:ascii="Cambria Math" w:eastAsiaTheme="minorEastAsia" w:hAnsi="Cambria Math" w:cs="Times New Roman"/>
                        <w:sz w:val="24"/>
                        <w:szCs w:val="24"/>
                      </w:rPr>
                      <m:t>t</m:t>
                    </m:r>
                    <m:r>
                      <w:rPr>
                        <w:rFonts w:ascii="Cambria Math" w:eastAsiaTheme="minorEastAsia" w:hAnsi="Cambria Math" w:cs="Times New Roman"/>
                        <w:sz w:val="24"/>
                        <w:szCs w:val="24"/>
                      </w:rPr>
                      <m:t xml:space="preserve">        </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K</m:t>
                    </m:r>
                    <m:r>
                      <w:rPr>
                        <w:rFonts w:ascii="Cambria Math" w:eastAsiaTheme="minorEastAsia" w:hAnsi="Cambria Math" w:cs="Times New Roman"/>
                        <w:sz w:val="24"/>
                        <w:szCs w:val="24"/>
                      </w:rPr>
                      <m:t>2,</m:t>
                    </m:r>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      0             </m:t>
                </m:r>
              </m:e>
            </m:eqArr>
          </m:e>
        </m:d>
      </m:oMath>
      <w:r w:rsidR="00761CCB" w:rsidRPr="006F4180">
        <w:rPr>
          <w:rFonts w:ascii="Times New Roman" w:eastAsiaTheme="minorEastAsia" w:hAnsi="Times New Roman" w:cs="Times New Roman"/>
          <w:bCs/>
          <w:sz w:val="24"/>
          <w:szCs w:val="24"/>
        </w:rPr>
        <w:t xml:space="preserve">   </w:t>
      </w:r>
      <w:r w:rsidR="00761CCB" w:rsidRPr="006F4180">
        <w:rPr>
          <w:rFonts w:ascii="Times New Roman" w:eastAsiaTheme="minorEastAsia" w:hAnsi="Times New Roman" w:cs="Times New Roman"/>
          <w:bCs/>
          <w:sz w:val="24"/>
          <w:szCs w:val="24"/>
        </w:rPr>
        <w:tab/>
      </w:r>
      <w:r w:rsidR="00761CCB" w:rsidRPr="006F4180">
        <w:rPr>
          <w:rFonts w:ascii="Times New Roman" w:eastAsiaTheme="minorEastAsia" w:hAnsi="Times New Roman" w:cs="Times New Roman"/>
          <w:bCs/>
          <w:sz w:val="24"/>
          <w:szCs w:val="24"/>
        </w:rPr>
        <w:tab/>
      </w:r>
      <w:r w:rsidR="00761CCB" w:rsidRPr="006F4180">
        <w:rPr>
          <w:rFonts w:ascii="Times New Roman" w:eastAsiaTheme="minorEastAsia" w:hAnsi="Times New Roman" w:cs="Times New Roman"/>
          <w:bCs/>
          <w:sz w:val="24"/>
          <w:szCs w:val="24"/>
        </w:rPr>
        <w:tab/>
      </w:r>
      <w:r w:rsidR="00761CCB" w:rsidRPr="006F4180">
        <w:rPr>
          <w:rFonts w:ascii="Times New Roman" w:eastAsiaTheme="minorEastAsia" w:hAnsi="Times New Roman" w:cs="Times New Roman"/>
          <w:bCs/>
          <w:sz w:val="24"/>
          <w:szCs w:val="24"/>
        </w:rPr>
        <w:tab/>
        <w:t>(12)</w:t>
      </w:r>
    </w:p>
    <w:p w14:paraId="3BB73168" w14:textId="4018E1F8" w:rsidR="00570667" w:rsidRPr="006F4180" w:rsidRDefault="003950B7" w:rsidP="003950B7">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w:t>
      </w:r>
      <w:r w:rsidR="00570667" w:rsidRPr="006F4180">
        <w:rPr>
          <w:rFonts w:ascii="Times New Roman" w:eastAsiaTheme="minorEastAsia" w:hAnsi="Times New Roman" w:cs="Times New Roman"/>
          <w:sz w:val="24"/>
          <w:szCs w:val="24"/>
        </w:rPr>
        <w:t xml:space="preserve"> matrix represents total connectedness across variables which show</w:t>
      </w:r>
      <w:r w:rsidR="00287845" w:rsidRPr="006F4180">
        <w:rPr>
          <w:rFonts w:ascii="Times New Roman" w:eastAsiaTheme="minorEastAsia" w:hAnsi="Times New Roman" w:cs="Times New Roman"/>
          <w:sz w:val="24"/>
          <w:szCs w:val="24"/>
        </w:rPr>
        <w:t>s</w:t>
      </w:r>
      <w:r w:rsidR="00570667" w:rsidRPr="006F4180">
        <w:rPr>
          <w:rFonts w:ascii="Times New Roman" w:eastAsiaTheme="minorEastAsia" w:hAnsi="Times New Roman" w:cs="Times New Roman"/>
          <w:sz w:val="24"/>
          <w:szCs w:val="24"/>
        </w:rPr>
        <w:t xml:space="preserve"> rows of this matric correspond to the incoming edges</w:t>
      </w:r>
      <w:r w:rsidR="00287845" w:rsidRPr="006F4180">
        <w:rPr>
          <w:rFonts w:ascii="Times New Roman" w:eastAsiaTheme="minorEastAsia" w:hAnsi="Times New Roman" w:cs="Times New Roman"/>
          <w:sz w:val="24"/>
          <w:szCs w:val="24"/>
        </w:rPr>
        <w:t>,</w:t>
      </w:r>
      <w:r w:rsidR="00570667" w:rsidRPr="006F4180">
        <w:rPr>
          <w:rFonts w:ascii="Times New Roman" w:eastAsiaTheme="minorEastAsia" w:hAnsi="Times New Roman" w:cs="Times New Roman"/>
          <w:sz w:val="24"/>
          <w:szCs w:val="24"/>
        </w:rPr>
        <w:t xml:space="preserve"> and columns exhibit outgoing edges for a variable. </w:t>
      </w:r>
      <w:r>
        <w:rPr>
          <w:rFonts w:ascii="Times New Roman" w:eastAsiaTheme="minorEastAsia" w:hAnsi="Times New Roman" w:cs="Times New Roman"/>
          <w:sz w:val="24"/>
          <w:szCs w:val="24"/>
        </w:rPr>
        <w:t xml:space="preserve"> </w:t>
      </w:r>
      <w:r w:rsidR="00570667" w:rsidRPr="006F4180">
        <w:rPr>
          <w:rFonts w:ascii="Times New Roman" w:eastAsiaTheme="minorEastAsia" w:hAnsi="Times New Roman" w:cs="Times New Roman"/>
          <w:sz w:val="24"/>
          <w:szCs w:val="24"/>
        </w:rPr>
        <w:t xml:space="preserve">The spectral clustering technique is applied to identify time-varying risk clusters with </w:t>
      </w:r>
      <w:r w:rsidR="00287845" w:rsidRPr="006F4180">
        <w:rPr>
          <w:rFonts w:ascii="Times New Roman" w:eastAsiaTheme="minorEastAsia" w:hAnsi="Times New Roman" w:cs="Times New Roman"/>
          <w:sz w:val="24"/>
          <w:szCs w:val="24"/>
        </w:rPr>
        <w:t xml:space="preserve">a </w:t>
      </w:r>
      <w:r w:rsidR="00570667" w:rsidRPr="006F4180">
        <w:rPr>
          <w:rFonts w:ascii="Times New Roman" w:eastAsiaTheme="minorEastAsia" w:hAnsi="Times New Roman" w:cs="Times New Roman"/>
          <w:sz w:val="24"/>
          <w:szCs w:val="24"/>
        </w:rPr>
        <w:t>weighted adjacency matrix</w:t>
      </w:r>
      <w:r w:rsidR="00287845" w:rsidRPr="006F4180">
        <w:rPr>
          <w:rFonts w:ascii="Times New Roman" w:eastAsiaTheme="minorEastAsia" w:hAnsi="Times New Roman" w:cs="Times New Roman"/>
          <w:sz w:val="24"/>
          <w:szCs w:val="24"/>
        </w:rPr>
        <w:t>,</w:t>
      </w:r>
      <w:r w:rsidR="00570667" w:rsidRPr="006F4180">
        <w:rPr>
          <w:rFonts w:ascii="Times New Roman" w:eastAsiaTheme="minorEastAsia" w:hAnsi="Times New Roman" w:cs="Times New Roman"/>
          <w:sz w:val="24"/>
          <w:szCs w:val="24"/>
        </w:rPr>
        <w:t xml:space="preserve"> and it allows for detecting window risk clusters of emerging markets. </w:t>
      </w:r>
    </w:p>
    <w:p w14:paraId="3002B1D5" w14:textId="4F80776C" w:rsidR="002F359A" w:rsidRPr="006F4180" w:rsidRDefault="00287845" w:rsidP="003950B7">
      <w:pPr>
        <w:spacing w:line="360" w:lineRule="auto"/>
        <w:ind w:firstLine="720"/>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The f</w:t>
      </w:r>
      <w:r w:rsidR="005209CE" w:rsidRPr="006F4180">
        <w:rPr>
          <w:rFonts w:ascii="Times New Roman" w:eastAsiaTheme="minorEastAsia" w:hAnsi="Times New Roman" w:cs="Times New Roman"/>
          <w:sz w:val="24"/>
          <w:szCs w:val="24"/>
        </w:rPr>
        <w:t xml:space="preserve">inal step involves the risk estimation of emerging markets to systematically identify the important emerging markets through </w:t>
      </w:r>
      <w:r w:rsidRPr="006F4180">
        <w:rPr>
          <w:rFonts w:ascii="Times New Roman" w:eastAsiaTheme="minorEastAsia" w:hAnsi="Times New Roman" w:cs="Times New Roman"/>
          <w:sz w:val="24"/>
          <w:szCs w:val="24"/>
        </w:rPr>
        <w:t>their</w:t>
      </w:r>
      <w:r w:rsidR="005209CE" w:rsidRPr="006F4180">
        <w:rPr>
          <w:rFonts w:ascii="Times New Roman" w:eastAsiaTheme="minorEastAsia" w:hAnsi="Times New Roman" w:cs="Times New Roman"/>
          <w:sz w:val="24"/>
          <w:szCs w:val="24"/>
        </w:rPr>
        <w:t xml:space="preserve"> total in and out connections evaluated by market capitalization. </w:t>
      </w:r>
    </w:p>
    <w:p w14:paraId="726D0C5F" w14:textId="709ABA0D" w:rsidR="002F359A"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SRR</m:t>
            </m:r>
          </m:e>
          <m:sub>
            <m:r>
              <w:rPr>
                <w:rFonts w:ascii="Cambria Math" w:eastAsiaTheme="minorEastAsia" w:hAnsi="Cambria Math" w:cs="Times New Roman"/>
                <w:sz w:val="24"/>
                <w:szCs w:val="24"/>
              </w:rPr>
              <m:t>js</m:t>
            </m:r>
          </m:sub>
        </m:sSub>
        <m:r>
          <w:rPr>
            <w:rFonts w:ascii="Cambria Math" w:eastAsiaTheme="minorEastAsia"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IN</m:t>
                </m:r>
              </m:sup>
            </m:sSubSup>
          </m:sub>
          <m:sup/>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m:t>
                </m:r>
              </m:e>
            </m:d>
          </m:e>
        </m:nary>
      </m:oMath>
      <w:r w:rsidR="005209CE" w:rsidRPr="006F4180">
        <w:rPr>
          <w:rFonts w:ascii="Times New Roman" w:eastAsiaTheme="minorEastAsia" w:hAnsi="Times New Roman" w:cs="Times New Roman"/>
          <w:sz w:val="24"/>
          <w:szCs w:val="24"/>
        </w:rPr>
        <w:t xml:space="preserve"> </w:t>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r>
      <w:r w:rsidR="005209CE" w:rsidRPr="006F4180">
        <w:rPr>
          <w:rFonts w:ascii="Times New Roman" w:eastAsiaTheme="minorEastAsia" w:hAnsi="Times New Roman" w:cs="Times New Roman"/>
          <w:sz w:val="24"/>
          <w:szCs w:val="24"/>
        </w:rPr>
        <w:tab/>
        <w:t>(13</w:t>
      </w:r>
      <w:r w:rsidR="002F359A" w:rsidRPr="006F4180">
        <w:rPr>
          <w:rFonts w:ascii="Times New Roman" w:eastAsiaTheme="minorEastAsia" w:hAnsi="Times New Roman" w:cs="Times New Roman"/>
          <w:sz w:val="24"/>
          <w:szCs w:val="24"/>
        </w:rPr>
        <w:t>)</w:t>
      </w:r>
    </w:p>
    <w:p w14:paraId="5C808A1A" w14:textId="24C569A0" w:rsidR="002F359A" w:rsidRPr="006F4180" w:rsidRDefault="002F359A" w:rsidP="002F359A">
      <w:pPr>
        <w:spacing w:line="360" w:lineRule="auto"/>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SRR</m:t>
        </m:r>
      </m:oMath>
      <w:r w:rsidRPr="006F4180">
        <w:rPr>
          <w:rFonts w:ascii="Times New Roman" w:eastAsiaTheme="minorEastAsia" w:hAnsi="Times New Roman" w:cs="Times New Roman"/>
          <w:sz w:val="24"/>
          <w:szCs w:val="24"/>
        </w:rPr>
        <w:t xml:space="preserve"> denotes the systematic risk receiver</w:t>
      </w:r>
      <w:r w:rsidR="005209CE" w:rsidRPr="006F4180">
        <w:rPr>
          <w:rFonts w:ascii="Times New Roman" w:eastAsiaTheme="minorEastAsia" w:hAnsi="Times New Roman" w:cs="Times New Roman"/>
          <w:sz w:val="24"/>
          <w:szCs w:val="24"/>
        </w:rPr>
        <w:t xml:space="preserve"> index for emerging market</w:t>
      </w:r>
      <w:r w:rsidRPr="006F418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m:t>
        </m:r>
      </m:oMath>
      <w:r w:rsidRPr="006F4180">
        <w:rPr>
          <w:rFonts w:ascii="Times New Roman" w:eastAsiaTheme="minorEastAsia" w:hAnsi="Times New Roman" w:cs="Times New Roman"/>
          <w:sz w:val="24"/>
          <w:szCs w:val="24"/>
        </w:rPr>
        <w:t>. Similarly, we also estimate the systematic risk emitte</w:t>
      </w:r>
      <w:r w:rsidR="005209CE" w:rsidRPr="006F4180">
        <w:rPr>
          <w:rFonts w:ascii="Times New Roman" w:eastAsiaTheme="minorEastAsia" w:hAnsi="Times New Roman" w:cs="Times New Roman"/>
          <w:sz w:val="24"/>
          <w:szCs w:val="24"/>
        </w:rPr>
        <w:t>r (SRE) index for a market</w:t>
      </w:r>
      <w:r w:rsidRPr="006F418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m:t>
        </m:r>
      </m:oMath>
      <w:r w:rsidRPr="006F4180">
        <w:rPr>
          <w:rFonts w:ascii="Times New Roman" w:eastAsiaTheme="minorEastAsia" w:hAnsi="Times New Roman" w:cs="Times New Roman"/>
          <w:sz w:val="24"/>
          <w:szCs w:val="24"/>
        </w:rPr>
        <w:t xml:space="preserve"> by using the following equation.</w:t>
      </w:r>
    </w:p>
    <w:p w14:paraId="4A3EEF5F" w14:textId="7AE08765" w:rsidR="002F359A" w:rsidRPr="006F4180" w:rsidRDefault="00962CBE" w:rsidP="002F359A">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SRE</m:t>
            </m:r>
          </m:e>
          <m:sub>
            <m:r>
              <w:rPr>
                <w:rFonts w:ascii="Cambria Math" w:eastAsiaTheme="minorEastAsia" w:hAnsi="Cambria Math" w:cs="Times New Roman"/>
                <w:sz w:val="24"/>
                <w:szCs w:val="24"/>
              </w:rPr>
              <m:t>js</m:t>
            </m:r>
          </m:sub>
        </m:sSub>
        <m:r>
          <w:rPr>
            <w:rFonts w:ascii="Cambria Math" w:eastAsiaTheme="minorEastAsia"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IN</m:t>
                </m:r>
              </m:sup>
            </m:sSubSup>
          </m:sub>
          <m:sup/>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m:t>
                </m:r>
              </m:e>
            </m:d>
          </m:e>
        </m:nary>
      </m:oMath>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r>
      <w:r w:rsidR="00071725" w:rsidRPr="006F4180">
        <w:rPr>
          <w:rFonts w:ascii="Times New Roman" w:eastAsiaTheme="minorEastAsia" w:hAnsi="Times New Roman" w:cs="Times New Roman"/>
          <w:sz w:val="24"/>
          <w:szCs w:val="24"/>
        </w:rPr>
        <w:tab/>
        <w:t>(14</w:t>
      </w:r>
      <w:r w:rsidR="002F359A" w:rsidRPr="006F4180">
        <w:rPr>
          <w:rFonts w:ascii="Times New Roman" w:eastAsiaTheme="minorEastAsia" w:hAnsi="Times New Roman" w:cs="Times New Roman"/>
          <w:sz w:val="24"/>
          <w:szCs w:val="24"/>
        </w:rPr>
        <w:t>)</w:t>
      </w:r>
    </w:p>
    <w:p w14:paraId="087622FD" w14:textId="53F498AE" w:rsidR="005209CE" w:rsidRPr="006F4180" w:rsidRDefault="002F359A" w:rsidP="002F359A">
      <w:pPr>
        <w:spacing w:line="360" w:lineRule="auto"/>
        <w:jc w:val="both"/>
        <w:rPr>
          <w:rFonts w:ascii="Times New Roman" w:eastAsiaTheme="minorEastAsia" w:hAnsi="Times New Roman" w:cs="Times New Roman"/>
          <w:sz w:val="24"/>
          <w:szCs w:val="24"/>
        </w:rPr>
      </w:pPr>
      <w:r w:rsidRPr="006F4180">
        <w:rPr>
          <w:rFonts w:ascii="Times New Roman" w:eastAsiaTheme="minorEastAsia" w:hAnsi="Times New Roman" w:cs="Times New Roman"/>
          <w:sz w:val="24"/>
          <w:szCs w:val="24"/>
        </w:rPr>
        <w:t xml:space="preserve">Where,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IN</m:t>
            </m:r>
          </m:sup>
        </m:sSubSup>
      </m:oMath>
      <w:r w:rsidRPr="006F4180">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w</m:t>
            </m:r>
          </m:sub>
          <m:sup>
            <m:r>
              <w:rPr>
                <w:rFonts w:ascii="Cambria Math" w:eastAsiaTheme="minorEastAsia" w:hAnsi="Cambria Math" w:cs="Times New Roman"/>
                <w:sz w:val="24"/>
                <w:szCs w:val="24"/>
              </w:rPr>
              <m:t>OUT</m:t>
            </m:r>
          </m:sup>
        </m:sSubSup>
      </m:oMath>
      <w:r w:rsidR="00071725" w:rsidRPr="006F4180">
        <w:rPr>
          <w:rFonts w:ascii="Times New Roman" w:eastAsiaTheme="minorEastAsia" w:hAnsi="Times New Roman" w:cs="Times New Roman"/>
          <w:sz w:val="24"/>
          <w:szCs w:val="24"/>
        </w:rPr>
        <w:t xml:space="preserve"> denotes the group of emerging market</w:t>
      </w:r>
      <w:r w:rsidRPr="006F4180">
        <w:rPr>
          <w:rFonts w:ascii="Times New Roman" w:eastAsiaTheme="minorEastAsia" w:hAnsi="Times New Roman" w:cs="Times New Roman"/>
          <w:sz w:val="24"/>
          <w:szCs w:val="24"/>
        </w:rPr>
        <w:t xml:space="preserve"> return</w:t>
      </w:r>
      <w:r w:rsidR="00071725" w:rsidRPr="006F4180">
        <w:rPr>
          <w:rFonts w:ascii="Times New Roman" w:eastAsiaTheme="minorEastAsia" w:hAnsi="Times New Roman" w:cs="Times New Roman"/>
          <w:sz w:val="24"/>
          <w:szCs w:val="24"/>
        </w:rPr>
        <w:t>s linked with returns of market</w:t>
      </w:r>
      <w:r w:rsidRPr="006F418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oMath>
      <w:r w:rsidRPr="006F4180">
        <w:rPr>
          <w:rFonts w:ascii="Times New Roman" w:eastAsiaTheme="minorEastAsia" w:hAnsi="Times New Roman" w:cs="Times New Roman"/>
          <w:sz w:val="24"/>
          <w:szCs w:val="24"/>
        </w:rPr>
        <w:t xml:space="preserve">  by incoming and outgoing links at window “w”, respectively.</w:t>
      </w:r>
      <w:r w:rsidR="00D32566" w:rsidRPr="006F4180">
        <w:rPr>
          <w:rFonts w:ascii="Times New Roman" w:eastAsiaTheme="minorEastAsia" w:hAnsi="Times New Roman" w:cs="Times New Roman"/>
          <w:sz w:val="24"/>
          <w:szCs w:val="24"/>
        </w:rPr>
        <w:t xml:space="preserve"> Thus, both </w:t>
      </w:r>
      <w:proofErr w:type="spellStart"/>
      <w:r w:rsidR="00D32566" w:rsidRPr="006F4180">
        <w:rPr>
          <w:rFonts w:ascii="Times New Roman" w:eastAsiaTheme="minorEastAsia" w:hAnsi="Times New Roman" w:cs="Times New Roman"/>
          <w:i/>
          <w:sz w:val="24"/>
          <w:szCs w:val="24"/>
        </w:rPr>
        <w:t>SRR</w:t>
      </w:r>
      <w:r w:rsidR="00454BE3" w:rsidRPr="006F4180">
        <w:rPr>
          <w:rFonts w:ascii="Times New Roman" w:eastAsiaTheme="minorEastAsia" w:hAnsi="Times New Roman" w:cs="Times New Roman"/>
          <w:i/>
          <w:sz w:val="24"/>
          <w:szCs w:val="24"/>
          <w:vertAlign w:val="subscript"/>
        </w:rPr>
        <w:t>js</w:t>
      </w:r>
      <w:proofErr w:type="spellEnd"/>
      <w:r w:rsidR="00454BE3" w:rsidRPr="006F4180">
        <w:rPr>
          <w:rFonts w:ascii="Times New Roman" w:eastAsiaTheme="minorEastAsia" w:hAnsi="Times New Roman" w:cs="Times New Roman"/>
          <w:i/>
          <w:sz w:val="24"/>
          <w:szCs w:val="24"/>
        </w:rPr>
        <w:t xml:space="preserve"> </w:t>
      </w:r>
      <w:r w:rsidR="00454BE3" w:rsidRPr="006F4180">
        <w:rPr>
          <w:rFonts w:ascii="Times New Roman" w:eastAsiaTheme="minorEastAsia" w:hAnsi="Times New Roman" w:cs="Times New Roman"/>
          <w:sz w:val="24"/>
          <w:szCs w:val="24"/>
        </w:rPr>
        <w:t xml:space="preserve">and </w:t>
      </w:r>
      <w:proofErr w:type="spellStart"/>
      <w:r w:rsidR="00454BE3" w:rsidRPr="006F4180">
        <w:rPr>
          <w:rFonts w:ascii="Times New Roman" w:eastAsiaTheme="minorEastAsia" w:hAnsi="Times New Roman" w:cs="Times New Roman"/>
          <w:i/>
          <w:sz w:val="24"/>
          <w:szCs w:val="24"/>
        </w:rPr>
        <w:t>SRE</w:t>
      </w:r>
      <w:r w:rsidR="00454BE3" w:rsidRPr="006F4180">
        <w:rPr>
          <w:rFonts w:ascii="Times New Roman" w:eastAsiaTheme="minorEastAsia" w:hAnsi="Times New Roman" w:cs="Times New Roman"/>
          <w:i/>
          <w:sz w:val="24"/>
          <w:szCs w:val="24"/>
          <w:vertAlign w:val="subscript"/>
        </w:rPr>
        <w:t>js</w:t>
      </w:r>
      <w:proofErr w:type="spellEnd"/>
      <w:r w:rsidR="00454BE3" w:rsidRPr="006F4180">
        <w:rPr>
          <w:rFonts w:ascii="Times New Roman" w:eastAsiaTheme="minorEastAsia" w:hAnsi="Times New Roman" w:cs="Times New Roman"/>
          <w:sz w:val="24"/>
          <w:szCs w:val="24"/>
          <w:vertAlign w:val="subscript"/>
        </w:rPr>
        <w:t xml:space="preserve"> </w:t>
      </w:r>
      <w:r w:rsidR="00454BE3" w:rsidRPr="006F4180">
        <w:rPr>
          <w:rFonts w:ascii="Times New Roman" w:eastAsiaTheme="minorEastAsia" w:hAnsi="Times New Roman" w:cs="Times New Roman"/>
          <w:sz w:val="24"/>
          <w:szCs w:val="24"/>
        </w:rPr>
        <w:t xml:space="preserve">take into account the market’s </w:t>
      </w:r>
      <w:r w:rsidR="00454BE3" w:rsidRPr="006F4180">
        <w:rPr>
          <w:rFonts w:ascii="Times New Roman" w:eastAsiaTheme="minorEastAsia" w:hAnsi="Times New Roman" w:cs="Times New Roman"/>
          <w:i/>
          <w:sz w:val="24"/>
          <w:szCs w:val="24"/>
        </w:rPr>
        <w:t>j</w:t>
      </w:r>
      <w:r w:rsidR="00454BE3" w:rsidRPr="006F4180">
        <w:rPr>
          <w:rFonts w:ascii="Times New Roman" w:eastAsiaTheme="minorEastAsia" w:hAnsi="Times New Roman" w:cs="Times New Roman"/>
          <w:sz w:val="24"/>
          <w:szCs w:val="24"/>
        </w:rPr>
        <w:t xml:space="preserve"> and connected market capitalization a</w:t>
      </w:r>
      <w:r w:rsidR="00287845" w:rsidRPr="006F4180">
        <w:rPr>
          <w:rFonts w:ascii="Times New Roman" w:eastAsiaTheme="minorEastAsia" w:hAnsi="Times New Roman" w:cs="Times New Roman"/>
          <w:sz w:val="24"/>
          <w:szCs w:val="24"/>
        </w:rPr>
        <w:t>nd</w:t>
      </w:r>
      <w:r w:rsidR="00454BE3" w:rsidRPr="006F4180">
        <w:rPr>
          <w:rFonts w:ascii="Times New Roman" w:eastAsiaTheme="minorEastAsia" w:hAnsi="Times New Roman" w:cs="Times New Roman"/>
          <w:sz w:val="24"/>
          <w:szCs w:val="24"/>
        </w:rPr>
        <w:t xml:space="preserve"> its connectedness within the network. </w:t>
      </w:r>
    </w:p>
    <w:p w14:paraId="64FC36C4" w14:textId="74CDAB14" w:rsidR="002F359A" w:rsidRPr="006F4180" w:rsidRDefault="008654F0" w:rsidP="003F5DF8">
      <w:pPr>
        <w:spacing w:line="360" w:lineRule="auto"/>
        <w:jc w:val="both"/>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t>4. Data and Empirical Results</w:t>
      </w:r>
    </w:p>
    <w:p w14:paraId="6FB3BBF4" w14:textId="43870289" w:rsidR="008654F0" w:rsidRPr="003950B7" w:rsidRDefault="008654F0" w:rsidP="003950B7">
      <w:pPr>
        <w:pStyle w:val="ListParagraph"/>
        <w:numPr>
          <w:ilvl w:val="1"/>
          <w:numId w:val="2"/>
        </w:numPr>
        <w:spacing w:line="360" w:lineRule="auto"/>
        <w:jc w:val="both"/>
        <w:rPr>
          <w:rFonts w:ascii="Times New Roman" w:hAnsi="Times New Roman" w:cs="Times New Roman"/>
          <w:i/>
          <w:sz w:val="24"/>
          <w:szCs w:val="24"/>
          <w:lang w:val="en-NZ"/>
        </w:rPr>
      </w:pPr>
      <w:r w:rsidRPr="003950B7">
        <w:rPr>
          <w:rFonts w:ascii="Times New Roman" w:hAnsi="Times New Roman" w:cs="Times New Roman"/>
          <w:i/>
          <w:sz w:val="24"/>
          <w:szCs w:val="24"/>
          <w:lang w:val="en-NZ"/>
        </w:rPr>
        <w:t>Data and Descriptive Statistics</w:t>
      </w:r>
    </w:p>
    <w:p w14:paraId="049631AB" w14:textId="51B56D42" w:rsidR="008C208C" w:rsidRPr="00E5242E" w:rsidRDefault="008654F0" w:rsidP="003950B7">
      <w:pPr>
        <w:spacing w:line="480" w:lineRule="auto"/>
        <w:jc w:val="both"/>
        <w:rPr>
          <w:rFonts w:ascii="Times New Roman" w:hAnsi="Times New Roman" w:cs="Times New Roman"/>
          <w:color w:val="0070C0"/>
          <w:sz w:val="24"/>
          <w:szCs w:val="24"/>
        </w:rPr>
      </w:pPr>
      <w:bookmarkStart w:id="6" w:name="_Hlk110109359"/>
      <w:r w:rsidRPr="00E5242E">
        <w:rPr>
          <w:rFonts w:ascii="Times New Roman" w:hAnsi="Times New Roman" w:cs="Times New Roman"/>
          <w:color w:val="0070C0"/>
          <w:sz w:val="24"/>
          <w:szCs w:val="24"/>
          <w:lang w:val="en-NZ"/>
        </w:rPr>
        <w:t xml:space="preserve">We used monthly </w:t>
      </w:r>
      <w:r w:rsidR="005E01FE" w:rsidRPr="00E5242E">
        <w:rPr>
          <w:rFonts w:ascii="Times New Roman" w:hAnsi="Times New Roman" w:cs="Times New Roman"/>
          <w:color w:val="0070C0"/>
          <w:sz w:val="24"/>
          <w:szCs w:val="24"/>
          <w:lang w:val="en-NZ"/>
        </w:rPr>
        <w:t xml:space="preserve">data of </w:t>
      </w:r>
      <w:r w:rsidRPr="00E5242E">
        <w:rPr>
          <w:rFonts w:ascii="Times New Roman" w:hAnsi="Times New Roman" w:cs="Times New Roman"/>
          <w:color w:val="0070C0"/>
          <w:sz w:val="24"/>
          <w:szCs w:val="24"/>
          <w:lang w:val="en-NZ"/>
        </w:rPr>
        <w:t>MSCI emerging markets stocks</w:t>
      </w:r>
      <w:r w:rsidR="004C6C7A" w:rsidRPr="00E5242E">
        <w:rPr>
          <w:rFonts w:ascii="Times New Roman" w:hAnsi="Times New Roman" w:cs="Times New Roman"/>
          <w:color w:val="0070C0"/>
          <w:sz w:val="24"/>
          <w:szCs w:val="24"/>
          <w:lang w:val="en-NZ"/>
        </w:rPr>
        <w:t xml:space="preserve"> indices</w:t>
      </w:r>
      <w:r w:rsidRPr="00E5242E">
        <w:rPr>
          <w:rFonts w:ascii="Times New Roman" w:hAnsi="Times New Roman" w:cs="Times New Roman"/>
          <w:color w:val="0070C0"/>
          <w:sz w:val="24"/>
          <w:szCs w:val="24"/>
          <w:lang w:val="en-NZ"/>
        </w:rPr>
        <w:t xml:space="preserve"> for </w:t>
      </w:r>
      <w:r w:rsidR="005E01FE" w:rsidRPr="00E5242E">
        <w:rPr>
          <w:rFonts w:ascii="Times New Roman" w:hAnsi="Times New Roman" w:cs="Times New Roman"/>
          <w:color w:val="0070C0"/>
          <w:sz w:val="24"/>
          <w:szCs w:val="24"/>
          <w:lang w:val="en-NZ"/>
        </w:rPr>
        <w:t xml:space="preserve">23 </w:t>
      </w:r>
      <w:r w:rsidRPr="00E5242E">
        <w:rPr>
          <w:rFonts w:ascii="Times New Roman" w:hAnsi="Times New Roman" w:cs="Times New Roman"/>
          <w:color w:val="0070C0"/>
          <w:sz w:val="24"/>
          <w:szCs w:val="24"/>
          <w:lang w:val="en-NZ"/>
        </w:rPr>
        <w:t xml:space="preserve">countries from </w:t>
      </w:r>
      <w:proofErr w:type="spellStart"/>
      <w:r w:rsidRPr="00E5242E">
        <w:rPr>
          <w:rFonts w:ascii="Times New Roman" w:hAnsi="Times New Roman" w:cs="Times New Roman"/>
          <w:color w:val="0070C0"/>
          <w:sz w:val="24"/>
          <w:szCs w:val="24"/>
          <w:lang w:val="en-NZ"/>
        </w:rPr>
        <w:t>Datastream</w:t>
      </w:r>
      <w:proofErr w:type="spellEnd"/>
      <w:r w:rsidR="005E01FE" w:rsidRPr="00E5242E">
        <w:rPr>
          <w:rFonts w:ascii="Times New Roman" w:hAnsi="Times New Roman" w:cs="Times New Roman"/>
          <w:color w:val="0070C0"/>
          <w:sz w:val="24"/>
          <w:szCs w:val="24"/>
          <w:lang w:val="en-NZ"/>
        </w:rPr>
        <w:t xml:space="preserve"> to examine tail-event network dependence </w:t>
      </w:r>
      <w:r w:rsidRPr="00E5242E">
        <w:rPr>
          <w:rFonts w:ascii="Times New Roman" w:hAnsi="Times New Roman" w:cs="Times New Roman"/>
          <w:color w:val="0070C0"/>
          <w:sz w:val="24"/>
          <w:szCs w:val="24"/>
          <w:lang w:val="en-NZ"/>
        </w:rPr>
        <w:t>f</w:t>
      </w:r>
      <w:r w:rsidR="00DE6BC8" w:rsidRPr="00E5242E">
        <w:rPr>
          <w:rFonts w:ascii="Times New Roman" w:hAnsi="Times New Roman" w:cs="Times New Roman"/>
          <w:color w:val="0070C0"/>
          <w:sz w:val="24"/>
          <w:szCs w:val="24"/>
          <w:lang w:val="en-NZ"/>
        </w:rPr>
        <w:t>rom</w:t>
      </w:r>
      <w:r w:rsidRPr="00E5242E">
        <w:rPr>
          <w:rFonts w:ascii="Times New Roman" w:hAnsi="Times New Roman" w:cs="Times New Roman"/>
          <w:color w:val="0070C0"/>
          <w:sz w:val="24"/>
          <w:szCs w:val="24"/>
          <w:lang w:val="en-NZ"/>
        </w:rPr>
        <w:t xml:space="preserve"> Jan</w:t>
      </w:r>
      <w:r w:rsidR="00DE6BC8" w:rsidRPr="00E5242E">
        <w:rPr>
          <w:rFonts w:ascii="Times New Roman" w:hAnsi="Times New Roman" w:cs="Times New Roman"/>
          <w:color w:val="0070C0"/>
          <w:sz w:val="24"/>
          <w:szCs w:val="24"/>
          <w:lang w:val="en-NZ"/>
        </w:rPr>
        <w:t>uary</w:t>
      </w:r>
      <w:r w:rsidRPr="00E5242E">
        <w:rPr>
          <w:rFonts w:ascii="Times New Roman" w:hAnsi="Times New Roman" w:cs="Times New Roman"/>
          <w:color w:val="0070C0"/>
          <w:sz w:val="24"/>
          <w:szCs w:val="24"/>
          <w:lang w:val="en-NZ"/>
        </w:rPr>
        <w:t xml:space="preserve"> 1995</w:t>
      </w:r>
      <w:r w:rsidR="005E01FE" w:rsidRPr="00E5242E">
        <w:rPr>
          <w:rFonts w:ascii="Times New Roman" w:hAnsi="Times New Roman" w:cs="Times New Roman"/>
          <w:color w:val="0070C0"/>
          <w:sz w:val="24"/>
          <w:szCs w:val="24"/>
          <w:lang w:val="en-NZ"/>
        </w:rPr>
        <w:t xml:space="preserve"> to May 2021</w:t>
      </w:r>
      <w:r w:rsidR="004C6C7A" w:rsidRPr="00E5242E">
        <w:rPr>
          <w:rFonts w:ascii="Times New Roman" w:hAnsi="Times New Roman" w:cs="Times New Roman"/>
          <w:color w:val="0070C0"/>
          <w:sz w:val="24"/>
          <w:szCs w:val="24"/>
          <w:lang w:val="en-NZ"/>
        </w:rPr>
        <w:t>.</w:t>
      </w:r>
      <w:r w:rsidRPr="00E5242E">
        <w:rPr>
          <w:rFonts w:ascii="Times New Roman" w:hAnsi="Times New Roman" w:cs="Times New Roman"/>
          <w:color w:val="0070C0"/>
          <w:sz w:val="24"/>
          <w:szCs w:val="24"/>
          <w:lang w:val="en-NZ"/>
        </w:rPr>
        <w:t xml:space="preserve"> </w:t>
      </w:r>
      <w:r w:rsidR="004C6C7A" w:rsidRPr="00E5242E">
        <w:rPr>
          <w:rFonts w:ascii="Times New Roman" w:hAnsi="Times New Roman" w:cs="Times New Roman"/>
          <w:color w:val="0070C0"/>
          <w:sz w:val="24"/>
          <w:szCs w:val="24"/>
          <w:lang w:val="en-NZ"/>
        </w:rPr>
        <w:t xml:space="preserve">The MSCI emerging market indices are computed in US dollars to mitigate the currency risk, </w:t>
      </w:r>
      <w:r w:rsidRPr="00E5242E">
        <w:rPr>
          <w:rFonts w:ascii="Times New Roman" w:hAnsi="Times New Roman" w:cs="Times New Roman"/>
          <w:color w:val="0070C0"/>
          <w:sz w:val="24"/>
          <w:szCs w:val="24"/>
          <w:lang w:val="en-NZ"/>
        </w:rPr>
        <w:t xml:space="preserve">and </w:t>
      </w:r>
      <w:r w:rsidR="004C6C7A" w:rsidRPr="00E5242E">
        <w:rPr>
          <w:rFonts w:ascii="Times New Roman" w:hAnsi="Times New Roman" w:cs="Times New Roman"/>
          <w:color w:val="0070C0"/>
          <w:sz w:val="24"/>
          <w:szCs w:val="24"/>
          <w:lang w:val="en-NZ"/>
        </w:rPr>
        <w:t xml:space="preserve">for estimation purposes, the indices are converted into a logged first difference returns. </w:t>
      </w:r>
      <w:r w:rsidR="00DC0C52" w:rsidRPr="00E5242E">
        <w:rPr>
          <w:rFonts w:ascii="Times New Roman" w:hAnsi="Times New Roman" w:cs="Times New Roman"/>
          <w:color w:val="0070C0"/>
          <w:sz w:val="24"/>
          <w:szCs w:val="24"/>
        </w:rPr>
        <w:t>In ad</w:t>
      </w:r>
      <w:r w:rsidR="00FC78FB" w:rsidRPr="00E5242E">
        <w:rPr>
          <w:rFonts w:ascii="Times New Roman" w:hAnsi="Times New Roman" w:cs="Times New Roman"/>
          <w:color w:val="0070C0"/>
          <w:sz w:val="24"/>
          <w:szCs w:val="24"/>
        </w:rPr>
        <w:t>dition to these stock returns</w:t>
      </w:r>
      <w:r w:rsidR="00DC0C52" w:rsidRPr="00E5242E">
        <w:rPr>
          <w:rFonts w:ascii="Times New Roman" w:hAnsi="Times New Roman" w:cs="Times New Roman"/>
          <w:color w:val="0070C0"/>
          <w:sz w:val="24"/>
          <w:szCs w:val="24"/>
        </w:rPr>
        <w:t xml:space="preserve">, we </w:t>
      </w:r>
      <w:r w:rsidR="00265625" w:rsidRPr="00E5242E">
        <w:rPr>
          <w:rFonts w:ascii="Times New Roman" w:hAnsi="Times New Roman" w:cs="Times New Roman"/>
          <w:color w:val="0070C0"/>
          <w:sz w:val="24"/>
          <w:szCs w:val="24"/>
        </w:rPr>
        <w:t>utilize</w:t>
      </w:r>
      <w:r w:rsidR="00DC0C52" w:rsidRPr="00E5242E">
        <w:rPr>
          <w:rFonts w:ascii="Times New Roman" w:hAnsi="Times New Roman" w:cs="Times New Roman"/>
          <w:color w:val="0070C0"/>
          <w:sz w:val="24"/>
          <w:szCs w:val="24"/>
        </w:rPr>
        <w:t xml:space="preserve"> </w:t>
      </w:r>
      <w:r w:rsidR="00265625" w:rsidRPr="00E5242E">
        <w:rPr>
          <w:rFonts w:ascii="Times New Roman" w:hAnsi="Times New Roman" w:cs="Times New Roman"/>
          <w:color w:val="0070C0"/>
          <w:sz w:val="24"/>
          <w:szCs w:val="24"/>
        </w:rPr>
        <w:t xml:space="preserve">the four-factor model of asset pricing based on </w:t>
      </w:r>
      <w:proofErr w:type="spellStart"/>
      <w:r w:rsidR="00265625" w:rsidRPr="00E5242E">
        <w:rPr>
          <w:rFonts w:ascii="Times New Roman" w:hAnsi="Times New Roman" w:cs="Times New Roman"/>
          <w:color w:val="0070C0"/>
          <w:sz w:val="24"/>
          <w:szCs w:val="24"/>
        </w:rPr>
        <w:t>Fama</w:t>
      </w:r>
      <w:proofErr w:type="spellEnd"/>
      <w:r w:rsidR="00265625" w:rsidRPr="00E5242E">
        <w:rPr>
          <w:rFonts w:ascii="Times New Roman" w:hAnsi="Times New Roman" w:cs="Times New Roman"/>
          <w:color w:val="0070C0"/>
          <w:sz w:val="24"/>
          <w:szCs w:val="24"/>
        </w:rPr>
        <w:t xml:space="preserve"> and French (2015), which are widely adopted</w:t>
      </w:r>
      <w:r w:rsidR="00255E23" w:rsidRPr="00E5242E">
        <w:rPr>
          <w:rFonts w:ascii="Times New Roman" w:hAnsi="Times New Roman" w:cs="Times New Roman"/>
          <w:color w:val="0070C0"/>
          <w:sz w:val="24"/>
          <w:szCs w:val="24"/>
        </w:rPr>
        <w:t xml:space="preserve"> </w:t>
      </w:r>
      <w:r w:rsidR="00D575FD" w:rsidRPr="00E5242E">
        <w:rPr>
          <w:rFonts w:ascii="Times New Roman" w:hAnsi="Times New Roman" w:cs="Times New Roman"/>
          <w:color w:val="0070C0"/>
          <w:sz w:val="24"/>
          <w:szCs w:val="24"/>
        </w:rPr>
        <w:t>as a</w:t>
      </w:r>
      <w:r w:rsidR="00255E23" w:rsidRPr="00E5242E">
        <w:rPr>
          <w:rFonts w:ascii="Times New Roman" w:hAnsi="Times New Roman" w:cs="Times New Roman"/>
          <w:color w:val="0070C0"/>
          <w:sz w:val="24"/>
          <w:szCs w:val="24"/>
        </w:rPr>
        <w:t xml:space="preserve"> predict</w:t>
      </w:r>
      <w:r w:rsidR="00D575FD" w:rsidRPr="00E5242E">
        <w:rPr>
          <w:rFonts w:ascii="Times New Roman" w:hAnsi="Times New Roman" w:cs="Times New Roman"/>
          <w:color w:val="0070C0"/>
          <w:sz w:val="24"/>
          <w:szCs w:val="24"/>
        </w:rPr>
        <w:t>or of</w:t>
      </w:r>
      <w:r w:rsidR="00255E23" w:rsidRPr="00E5242E">
        <w:rPr>
          <w:rFonts w:ascii="Times New Roman" w:hAnsi="Times New Roman" w:cs="Times New Roman"/>
          <w:color w:val="0070C0"/>
          <w:sz w:val="24"/>
          <w:szCs w:val="24"/>
        </w:rPr>
        <w:t xml:space="preserve"> stock returns</w:t>
      </w:r>
      <w:r w:rsidR="0078081A" w:rsidRPr="00E5242E">
        <w:rPr>
          <w:rFonts w:ascii="Times New Roman" w:hAnsi="Times New Roman" w:cs="Times New Roman"/>
          <w:color w:val="0070C0"/>
          <w:sz w:val="24"/>
          <w:szCs w:val="24"/>
        </w:rPr>
        <w:t xml:space="preserve">. Moreover, the comprehensive </w:t>
      </w:r>
      <w:proofErr w:type="spellStart"/>
      <w:r w:rsidR="00D575FD" w:rsidRPr="00E5242E">
        <w:rPr>
          <w:rFonts w:ascii="Times New Roman" w:hAnsi="Times New Roman" w:cs="Times New Roman"/>
          <w:color w:val="0070C0"/>
          <w:sz w:val="24"/>
          <w:szCs w:val="24"/>
        </w:rPr>
        <w:t>Fama</w:t>
      </w:r>
      <w:proofErr w:type="spellEnd"/>
      <w:r w:rsidR="00D575FD" w:rsidRPr="00E5242E">
        <w:rPr>
          <w:rFonts w:ascii="Times New Roman" w:hAnsi="Times New Roman" w:cs="Times New Roman"/>
          <w:color w:val="0070C0"/>
          <w:sz w:val="24"/>
          <w:szCs w:val="24"/>
        </w:rPr>
        <w:t>-French five-factor model by Foye (2018) also confirmed that the five-factor model outperforms the</w:t>
      </w:r>
      <w:r w:rsidR="0078081A" w:rsidRPr="00E5242E">
        <w:rPr>
          <w:rFonts w:ascii="Times New Roman" w:hAnsi="Times New Roman" w:cs="Times New Roman"/>
          <w:color w:val="0070C0"/>
          <w:sz w:val="24"/>
          <w:szCs w:val="24"/>
        </w:rPr>
        <w:t xml:space="preserve"> three-factor model except for few Asian regions</w:t>
      </w:r>
      <w:r w:rsidR="00255E23" w:rsidRPr="00E5242E">
        <w:rPr>
          <w:rFonts w:ascii="Times New Roman" w:hAnsi="Times New Roman" w:cs="Times New Roman"/>
          <w:color w:val="0070C0"/>
          <w:sz w:val="24"/>
          <w:szCs w:val="24"/>
        </w:rPr>
        <w:t xml:space="preserve">. The </w:t>
      </w:r>
      <w:r w:rsidR="00255E23" w:rsidRPr="00E5242E">
        <w:rPr>
          <w:rFonts w:ascii="Times New Roman" w:hAnsi="Times New Roman" w:cs="Times New Roman"/>
          <w:color w:val="0070C0"/>
          <w:sz w:val="24"/>
          <w:szCs w:val="24"/>
        </w:rPr>
        <w:lastRenderedPageBreak/>
        <w:t>macro</w:t>
      </w:r>
      <w:r w:rsidR="00D575FD" w:rsidRPr="00E5242E">
        <w:rPr>
          <w:rFonts w:ascii="Times New Roman" w:hAnsi="Times New Roman" w:cs="Times New Roman"/>
          <w:color w:val="0070C0"/>
          <w:sz w:val="24"/>
          <w:szCs w:val="24"/>
        </w:rPr>
        <w:t>-</w:t>
      </w:r>
      <w:r w:rsidR="00255E23" w:rsidRPr="00E5242E">
        <w:rPr>
          <w:rFonts w:ascii="Times New Roman" w:hAnsi="Times New Roman" w:cs="Times New Roman"/>
          <w:color w:val="0070C0"/>
          <w:sz w:val="24"/>
          <w:szCs w:val="24"/>
        </w:rPr>
        <w:t xml:space="preserve">state variables include: </w:t>
      </w:r>
      <w:r w:rsidR="003950B7" w:rsidRPr="00E5242E">
        <w:rPr>
          <w:rFonts w:ascii="Times New Roman" w:hAnsi="Times New Roman" w:cs="Times New Roman"/>
          <w:color w:val="0070C0"/>
          <w:sz w:val="24"/>
          <w:szCs w:val="24"/>
        </w:rPr>
        <w:t>(</w:t>
      </w:r>
      <w:proofErr w:type="spellStart"/>
      <w:r w:rsidR="003950B7" w:rsidRPr="00E5242E">
        <w:rPr>
          <w:rFonts w:ascii="Times New Roman" w:hAnsi="Times New Roman" w:cs="Times New Roman"/>
          <w:color w:val="0070C0"/>
          <w:sz w:val="24"/>
          <w:szCs w:val="24"/>
        </w:rPr>
        <w:t>i</w:t>
      </w:r>
      <w:proofErr w:type="spellEnd"/>
      <w:r w:rsidR="003950B7" w:rsidRPr="00E5242E">
        <w:rPr>
          <w:rFonts w:ascii="Times New Roman" w:hAnsi="Times New Roman" w:cs="Times New Roman"/>
          <w:color w:val="0070C0"/>
          <w:sz w:val="24"/>
          <w:szCs w:val="24"/>
        </w:rPr>
        <w:t xml:space="preserve">) </w:t>
      </w:r>
      <w:r w:rsidR="00FC78FB" w:rsidRPr="00E5242E">
        <w:rPr>
          <w:rFonts w:ascii="Times New Roman" w:hAnsi="Times New Roman" w:cs="Times New Roman"/>
          <w:color w:val="0070C0"/>
          <w:sz w:val="24"/>
          <w:szCs w:val="24"/>
        </w:rPr>
        <w:t>Emerging Market Return (MKT)</w:t>
      </w:r>
      <w:r w:rsidR="003950B7" w:rsidRPr="00E5242E">
        <w:rPr>
          <w:rFonts w:ascii="Times New Roman" w:hAnsi="Times New Roman" w:cs="Times New Roman"/>
          <w:color w:val="0070C0"/>
          <w:sz w:val="24"/>
          <w:szCs w:val="24"/>
        </w:rPr>
        <w:t xml:space="preserve">; (ii) </w:t>
      </w:r>
      <w:r w:rsidR="00DC0C52" w:rsidRPr="00E5242E">
        <w:rPr>
          <w:rFonts w:ascii="Times New Roman" w:hAnsi="Times New Roman" w:cs="Times New Roman"/>
          <w:color w:val="0070C0"/>
          <w:sz w:val="24"/>
          <w:szCs w:val="24"/>
        </w:rPr>
        <w:t xml:space="preserve">Small </w:t>
      </w:r>
      <w:r w:rsidR="00D575FD" w:rsidRPr="00E5242E">
        <w:rPr>
          <w:rFonts w:ascii="Times New Roman" w:hAnsi="Times New Roman" w:cs="Times New Roman"/>
          <w:color w:val="0070C0"/>
          <w:sz w:val="24"/>
          <w:szCs w:val="24"/>
        </w:rPr>
        <w:t>M</w:t>
      </w:r>
      <w:r w:rsidR="00DC0C52" w:rsidRPr="00E5242E">
        <w:rPr>
          <w:rFonts w:ascii="Times New Roman" w:hAnsi="Times New Roman" w:cs="Times New Roman"/>
          <w:color w:val="0070C0"/>
          <w:sz w:val="24"/>
          <w:szCs w:val="24"/>
        </w:rPr>
        <w:t>inus Big (SMB)</w:t>
      </w:r>
      <w:r w:rsidR="003950B7" w:rsidRPr="00E5242E">
        <w:rPr>
          <w:rFonts w:ascii="Times New Roman" w:hAnsi="Times New Roman" w:cs="Times New Roman"/>
          <w:color w:val="0070C0"/>
          <w:sz w:val="24"/>
          <w:szCs w:val="24"/>
        </w:rPr>
        <w:t xml:space="preserve">; (iii) </w:t>
      </w:r>
      <w:r w:rsidR="00DC0C52" w:rsidRPr="00E5242E">
        <w:rPr>
          <w:rFonts w:ascii="Times New Roman" w:hAnsi="Times New Roman" w:cs="Times New Roman"/>
          <w:color w:val="0070C0"/>
          <w:sz w:val="24"/>
          <w:szCs w:val="24"/>
        </w:rPr>
        <w:t xml:space="preserve">High </w:t>
      </w:r>
      <w:r w:rsidR="00D575FD" w:rsidRPr="00E5242E">
        <w:rPr>
          <w:rFonts w:ascii="Times New Roman" w:hAnsi="Times New Roman" w:cs="Times New Roman"/>
          <w:color w:val="0070C0"/>
          <w:sz w:val="24"/>
          <w:szCs w:val="24"/>
        </w:rPr>
        <w:t>M</w:t>
      </w:r>
      <w:r w:rsidR="00DC0C52" w:rsidRPr="00E5242E">
        <w:rPr>
          <w:rFonts w:ascii="Times New Roman" w:hAnsi="Times New Roman" w:cs="Times New Roman"/>
          <w:color w:val="0070C0"/>
          <w:sz w:val="24"/>
          <w:szCs w:val="24"/>
        </w:rPr>
        <w:t>inus Low (HML)</w:t>
      </w:r>
      <w:r w:rsidR="003950B7" w:rsidRPr="00E5242E">
        <w:rPr>
          <w:rFonts w:ascii="Times New Roman" w:hAnsi="Times New Roman" w:cs="Times New Roman"/>
          <w:color w:val="0070C0"/>
          <w:sz w:val="24"/>
          <w:szCs w:val="24"/>
        </w:rPr>
        <w:t xml:space="preserve">; (iv) </w:t>
      </w:r>
      <w:r w:rsidR="00FC78FB" w:rsidRPr="00E5242E">
        <w:rPr>
          <w:rFonts w:ascii="Times New Roman" w:hAnsi="Times New Roman" w:cs="Times New Roman"/>
          <w:color w:val="0070C0"/>
          <w:sz w:val="24"/>
          <w:szCs w:val="24"/>
        </w:rPr>
        <w:t xml:space="preserve">Winner </w:t>
      </w:r>
      <w:r w:rsidR="00D575FD" w:rsidRPr="00E5242E">
        <w:rPr>
          <w:rFonts w:ascii="Times New Roman" w:hAnsi="Times New Roman" w:cs="Times New Roman"/>
          <w:color w:val="0070C0"/>
          <w:sz w:val="24"/>
          <w:szCs w:val="24"/>
        </w:rPr>
        <w:t>M</w:t>
      </w:r>
      <w:r w:rsidR="00FC78FB" w:rsidRPr="00E5242E">
        <w:rPr>
          <w:rFonts w:ascii="Times New Roman" w:hAnsi="Times New Roman" w:cs="Times New Roman"/>
          <w:color w:val="0070C0"/>
          <w:sz w:val="24"/>
          <w:szCs w:val="24"/>
        </w:rPr>
        <w:t>inus Loser (WML)</w:t>
      </w:r>
      <w:r w:rsidR="003950B7" w:rsidRPr="00E5242E">
        <w:rPr>
          <w:rFonts w:ascii="Times New Roman" w:hAnsi="Times New Roman" w:cs="Times New Roman"/>
          <w:color w:val="0070C0"/>
          <w:sz w:val="24"/>
          <w:szCs w:val="24"/>
          <w:lang w:val="en-NZ"/>
        </w:rPr>
        <w:t>.</w:t>
      </w:r>
      <w:r w:rsidR="00450D52" w:rsidRPr="00E5242E">
        <w:rPr>
          <w:rFonts w:ascii="Times New Roman" w:hAnsi="Times New Roman" w:cs="Times New Roman"/>
          <w:color w:val="0070C0"/>
          <w:sz w:val="24"/>
          <w:szCs w:val="24"/>
          <w:lang w:val="en-NZ"/>
        </w:rPr>
        <w:t xml:space="preserve"> We employed the monthly data of these factors as the data source</w:t>
      </w:r>
      <w:r w:rsidR="00450D52" w:rsidRPr="00E5242E">
        <w:rPr>
          <w:rStyle w:val="FootnoteReference"/>
          <w:rFonts w:ascii="Times New Roman" w:hAnsi="Times New Roman" w:cs="Times New Roman"/>
          <w:color w:val="0070C0"/>
          <w:sz w:val="24"/>
          <w:szCs w:val="24"/>
          <w:lang w:val="en-NZ"/>
        </w:rPr>
        <w:footnoteReference w:id="6"/>
      </w:r>
      <w:r w:rsidR="00450D52" w:rsidRPr="00E5242E">
        <w:rPr>
          <w:rFonts w:ascii="Times New Roman" w:hAnsi="Times New Roman" w:cs="Times New Roman"/>
          <w:color w:val="0070C0"/>
          <w:sz w:val="24"/>
          <w:szCs w:val="24"/>
          <w:lang w:val="en-NZ"/>
        </w:rPr>
        <w:t xml:space="preserve"> only contains monthly data. M</w:t>
      </w:r>
      <w:r w:rsidR="00DB063B">
        <w:rPr>
          <w:rFonts w:ascii="Times New Roman" w:hAnsi="Times New Roman" w:cs="Times New Roman"/>
          <w:color w:val="0070C0"/>
          <w:sz w:val="24"/>
          <w:szCs w:val="24"/>
          <w:lang w:val="en-NZ"/>
        </w:rPr>
        <w:t>eanwhile</w:t>
      </w:r>
      <w:r w:rsidR="00450D52" w:rsidRPr="00E5242E">
        <w:rPr>
          <w:rFonts w:ascii="Times New Roman" w:hAnsi="Times New Roman" w:cs="Times New Roman"/>
          <w:color w:val="0070C0"/>
          <w:sz w:val="24"/>
          <w:szCs w:val="24"/>
          <w:lang w:val="en-NZ"/>
        </w:rPr>
        <w:t>, earlier empirical studies</w:t>
      </w:r>
      <w:r w:rsidR="00DB063B">
        <w:rPr>
          <w:rFonts w:ascii="Times New Roman" w:hAnsi="Times New Roman" w:cs="Times New Roman"/>
          <w:color w:val="0070C0"/>
          <w:sz w:val="24"/>
          <w:szCs w:val="24"/>
          <w:lang w:val="en-NZ"/>
        </w:rPr>
        <w:t xml:space="preserve"> of asset pricing</w:t>
      </w:r>
      <w:r w:rsidR="00450D52" w:rsidRPr="00E5242E">
        <w:rPr>
          <w:rFonts w:ascii="Times New Roman" w:hAnsi="Times New Roman" w:cs="Times New Roman"/>
          <w:color w:val="0070C0"/>
          <w:sz w:val="24"/>
          <w:szCs w:val="24"/>
          <w:lang w:val="en-NZ"/>
        </w:rPr>
        <w:t xml:space="preserve"> also support the use of monthly data for the use of these factors as given in Bali et al., (2017) and </w:t>
      </w:r>
      <w:proofErr w:type="spellStart"/>
      <w:r w:rsidR="00450D52" w:rsidRPr="00E5242E">
        <w:rPr>
          <w:rFonts w:ascii="Times New Roman" w:hAnsi="Times New Roman" w:cs="Times New Roman"/>
          <w:color w:val="0070C0"/>
          <w:sz w:val="24"/>
          <w:szCs w:val="24"/>
          <w:lang w:val="en-NZ"/>
        </w:rPr>
        <w:t>Atilgan</w:t>
      </w:r>
      <w:proofErr w:type="spellEnd"/>
      <w:r w:rsidR="00450D52" w:rsidRPr="00E5242E">
        <w:rPr>
          <w:rFonts w:ascii="Times New Roman" w:hAnsi="Times New Roman" w:cs="Times New Roman"/>
          <w:color w:val="0070C0"/>
          <w:sz w:val="24"/>
          <w:szCs w:val="24"/>
          <w:lang w:val="en-NZ"/>
        </w:rPr>
        <w:t xml:space="preserve"> et al., (2020).  </w:t>
      </w:r>
    </w:p>
    <w:bookmarkEnd w:id="6"/>
    <w:p w14:paraId="39BFC1E6" w14:textId="6EF1278A" w:rsidR="008C208C" w:rsidRPr="006F4180" w:rsidRDefault="008C2EC8" w:rsidP="003950B7">
      <w:pPr>
        <w:spacing w:line="360" w:lineRule="auto"/>
        <w:ind w:firstLine="720"/>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Table 1 provides the summary statistics of 2</w:t>
      </w:r>
      <w:r w:rsidR="002F359A" w:rsidRPr="006F4180">
        <w:rPr>
          <w:rFonts w:ascii="Times New Roman" w:hAnsi="Times New Roman" w:cs="Times New Roman"/>
          <w:sz w:val="24"/>
          <w:szCs w:val="24"/>
          <w:lang w:val="en-NZ"/>
        </w:rPr>
        <w:t>3</w:t>
      </w:r>
      <w:r w:rsidR="0085310A" w:rsidRPr="006F4180">
        <w:rPr>
          <w:rFonts w:ascii="Times New Roman" w:hAnsi="Times New Roman" w:cs="Times New Roman"/>
          <w:sz w:val="24"/>
          <w:szCs w:val="24"/>
          <w:lang w:val="en-NZ"/>
        </w:rPr>
        <w:t xml:space="preserve"> emerging markets</w:t>
      </w:r>
      <w:r w:rsidRPr="006F4180">
        <w:rPr>
          <w:rFonts w:ascii="Times New Roman" w:hAnsi="Times New Roman" w:cs="Times New Roman"/>
          <w:sz w:val="24"/>
          <w:szCs w:val="24"/>
          <w:lang w:val="en-NZ"/>
        </w:rPr>
        <w:t>. The result</w:t>
      </w:r>
      <w:r w:rsidR="00130E8E" w:rsidRPr="006F4180">
        <w:rPr>
          <w:rFonts w:ascii="Times New Roman" w:hAnsi="Times New Roman" w:cs="Times New Roman"/>
          <w:sz w:val="24"/>
          <w:szCs w:val="24"/>
          <w:lang w:val="en-NZ"/>
        </w:rPr>
        <w:t>s</w:t>
      </w:r>
      <w:r w:rsidRPr="006F4180">
        <w:rPr>
          <w:rFonts w:ascii="Times New Roman" w:hAnsi="Times New Roman" w:cs="Times New Roman"/>
          <w:sz w:val="24"/>
          <w:szCs w:val="24"/>
          <w:lang w:val="en-NZ"/>
        </w:rPr>
        <w:t xml:space="preserve"> show that Hungary</w:t>
      </w:r>
      <w:r w:rsidR="005E01FE" w:rsidRPr="006F4180">
        <w:rPr>
          <w:rFonts w:ascii="Times New Roman" w:hAnsi="Times New Roman" w:cs="Times New Roman"/>
          <w:sz w:val="24"/>
          <w:szCs w:val="24"/>
          <w:lang w:val="en-NZ"/>
        </w:rPr>
        <w:t xml:space="preserve"> (0.69%) has the highest average return for the sample period</w:t>
      </w:r>
      <w:r w:rsidR="00D575FD" w:rsidRPr="006F4180">
        <w:rPr>
          <w:rFonts w:ascii="Times New Roman" w:hAnsi="Times New Roman" w:cs="Times New Roman"/>
          <w:sz w:val="24"/>
          <w:szCs w:val="24"/>
          <w:lang w:val="en-NZ"/>
        </w:rPr>
        <w:t>,</w:t>
      </w:r>
      <w:r w:rsidR="005E01FE" w:rsidRPr="006F4180">
        <w:rPr>
          <w:rFonts w:ascii="Times New Roman" w:hAnsi="Times New Roman" w:cs="Times New Roman"/>
          <w:sz w:val="24"/>
          <w:szCs w:val="24"/>
          <w:lang w:val="en-NZ"/>
        </w:rPr>
        <w:t xml:space="preserve"> </w:t>
      </w:r>
      <w:r w:rsidR="008C208C" w:rsidRPr="006F4180">
        <w:rPr>
          <w:rFonts w:ascii="Times New Roman" w:hAnsi="Times New Roman" w:cs="Times New Roman"/>
          <w:sz w:val="24"/>
          <w:szCs w:val="24"/>
          <w:lang w:val="en-NZ"/>
        </w:rPr>
        <w:t xml:space="preserve">whereas Peru and Russia have comparable returns </w:t>
      </w:r>
      <w:r w:rsidR="005E01FE" w:rsidRPr="006F4180">
        <w:rPr>
          <w:rFonts w:ascii="Times New Roman" w:hAnsi="Times New Roman" w:cs="Times New Roman"/>
          <w:sz w:val="24"/>
          <w:szCs w:val="24"/>
          <w:lang w:val="en-NZ"/>
        </w:rPr>
        <w:t>(0.64%)</w:t>
      </w:r>
      <w:r w:rsidR="008C208C" w:rsidRPr="006F4180">
        <w:rPr>
          <w:rFonts w:ascii="Times New Roman" w:hAnsi="Times New Roman" w:cs="Times New Roman"/>
          <w:sz w:val="24"/>
          <w:szCs w:val="24"/>
          <w:lang w:val="en-NZ"/>
        </w:rPr>
        <w:t xml:space="preserve">. Contrarily, the lowest average returns </w:t>
      </w:r>
      <w:r w:rsidR="001C6B68" w:rsidRPr="006F4180">
        <w:rPr>
          <w:rFonts w:ascii="Times New Roman" w:hAnsi="Times New Roman" w:cs="Times New Roman"/>
          <w:sz w:val="24"/>
          <w:szCs w:val="24"/>
          <w:lang w:val="en-NZ"/>
        </w:rPr>
        <w:t xml:space="preserve">are revealed by Greece </w:t>
      </w:r>
      <w:r w:rsidR="008C208C" w:rsidRPr="006F4180">
        <w:rPr>
          <w:rFonts w:ascii="Times New Roman" w:hAnsi="Times New Roman" w:cs="Times New Roman"/>
          <w:sz w:val="24"/>
          <w:szCs w:val="24"/>
          <w:lang w:val="en-NZ"/>
        </w:rPr>
        <w:t>(-0.74%). The highest variability of returns is denoted by Russia, followed by Turkey and Argentina</w:t>
      </w:r>
      <w:r w:rsidR="00D575FD" w:rsidRPr="006F4180">
        <w:rPr>
          <w:rFonts w:ascii="Times New Roman" w:hAnsi="Times New Roman" w:cs="Times New Roman"/>
          <w:sz w:val="24"/>
          <w:szCs w:val="24"/>
          <w:lang w:val="en-NZ"/>
        </w:rPr>
        <w:t>,</w:t>
      </w:r>
      <w:r w:rsidR="008C208C" w:rsidRPr="006F4180">
        <w:rPr>
          <w:rFonts w:ascii="Times New Roman" w:hAnsi="Times New Roman" w:cs="Times New Roman"/>
          <w:sz w:val="24"/>
          <w:szCs w:val="24"/>
          <w:lang w:val="en-NZ"/>
        </w:rPr>
        <w:t xml:space="preserve"> </w:t>
      </w:r>
      <w:r w:rsidR="001C6B68" w:rsidRPr="006F4180">
        <w:rPr>
          <w:rFonts w:ascii="Times New Roman" w:hAnsi="Times New Roman" w:cs="Times New Roman"/>
          <w:sz w:val="24"/>
          <w:szCs w:val="24"/>
          <w:lang w:val="en-NZ"/>
        </w:rPr>
        <w:t xml:space="preserve">whereas Chile revealed </w:t>
      </w:r>
      <w:r w:rsidR="00D575FD" w:rsidRPr="006F4180">
        <w:rPr>
          <w:rFonts w:ascii="Times New Roman" w:hAnsi="Times New Roman" w:cs="Times New Roman"/>
          <w:sz w:val="24"/>
          <w:szCs w:val="24"/>
          <w:lang w:val="en-NZ"/>
        </w:rPr>
        <w:t xml:space="preserve">the </w:t>
      </w:r>
      <w:r w:rsidR="001C6B68" w:rsidRPr="006F4180">
        <w:rPr>
          <w:rFonts w:ascii="Times New Roman" w:hAnsi="Times New Roman" w:cs="Times New Roman"/>
          <w:sz w:val="24"/>
          <w:szCs w:val="24"/>
          <w:lang w:val="en-NZ"/>
        </w:rPr>
        <w:t>lowest variability in the return series. The slightly negative values of skewness of emerging markets indicate consequential losses of economic shocks experienced by these markets. The Jarque-</w:t>
      </w:r>
      <w:proofErr w:type="spellStart"/>
      <w:r w:rsidR="001C6B68" w:rsidRPr="006F4180">
        <w:rPr>
          <w:rFonts w:ascii="Times New Roman" w:hAnsi="Times New Roman" w:cs="Times New Roman"/>
          <w:sz w:val="24"/>
          <w:szCs w:val="24"/>
          <w:lang w:val="en-NZ"/>
        </w:rPr>
        <w:t>Bera</w:t>
      </w:r>
      <w:proofErr w:type="spellEnd"/>
      <w:r w:rsidR="001C6B68" w:rsidRPr="006F4180">
        <w:rPr>
          <w:rFonts w:ascii="Times New Roman" w:hAnsi="Times New Roman" w:cs="Times New Roman"/>
          <w:sz w:val="24"/>
          <w:szCs w:val="24"/>
          <w:lang w:val="en-NZ"/>
        </w:rPr>
        <w:t xml:space="preserve"> test of normality denotes abnormal values for all emerging markets indicating that markets are not normally distributed. </w:t>
      </w:r>
    </w:p>
    <w:p w14:paraId="23DA956D" w14:textId="13A329A0" w:rsidR="001C6B68" w:rsidRPr="006F4180" w:rsidRDefault="001C6B68" w:rsidP="001C6B68">
      <w:pPr>
        <w:spacing w:line="360" w:lineRule="auto"/>
        <w:jc w:val="center"/>
        <w:rPr>
          <w:rFonts w:ascii="Times New Roman" w:hAnsi="Times New Roman" w:cs="Times New Roman"/>
          <w:sz w:val="24"/>
          <w:szCs w:val="24"/>
          <w:lang w:val="en-NZ"/>
        </w:rPr>
      </w:pPr>
      <w:r w:rsidRPr="006F4180">
        <w:rPr>
          <w:rFonts w:ascii="Times New Roman" w:hAnsi="Times New Roman" w:cs="Times New Roman"/>
          <w:sz w:val="24"/>
          <w:szCs w:val="24"/>
          <w:lang w:val="en-NZ"/>
        </w:rPr>
        <w:t>[Table 1 about here]</w:t>
      </w:r>
    </w:p>
    <w:p w14:paraId="69B1469C" w14:textId="5FFACF33" w:rsidR="008C208C" w:rsidRPr="006F4180" w:rsidRDefault="001C6B68" w:rsidP="003950B7">
      <w:pPr>
        <w:spacing w:line="360" w:lineRule="auto"/>
        <w:ind w:firstLine="720"/>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 xml:space="preserve">Figure 1 presents </w:t>
      </w:r>
      <w:r w:rsidR="00D575FD" w:rsidRPr="006F4180">
        <w:rPr>
          <w:rFonts w:ascii="Times New Roman" w:hAnsi="Times New Roman" w:cs="Times New Roman"/>
          <w:sz w:val="24"/>
          <w:szCs w:val="24"/>
          <w:lang w:val="en-NZ"/>
        </w:rPr>
        <w:t xml:space="preserve">a </w:t>
      </w:r>
      <w:r w:rsidRPr="006F4180">
        <w:rPr>
          <w:rFonts w:ascii="Times New Roman" w:hAnsi="Times New Roman" w:cs="Times New Roman"/>
          <w:sz w:val="24"/>
          <w:szCs w:val="24"/>
          <w:lang w:val="en-NZ"/>
        </w:rPr>
        <w:t>correlation heat</w:t>
      </w:r>
      <w:r w:rsidR="003A071C"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map of emerging markets where blue </w:t>
      </w:r>
      <w:proofErr w:type="spellStart"/>
      <w:r w:rsidRPr="006F4180">
        <w:rPr>
          <w:rFonts w:ascii="Times New Roman" w:hAnsi="Times New Roman" w:cs="Times New Roman"/>
          <w:sz w:val="24"/>
          <w:szCs w:val="24"/>
          <w:lang w:val="en-NZ"/>
        </w:rPr>
        <w:t>color</w:t>
      </w:r>
      <w:proofErr w:type="spellEnd"/>
      <w:r w:rsidRPr="006F4180">
        <w:rPr>
          <w:rFonts w:ascii="Times New Roman" w:hAnsi="Times New Roman" w:cs="Times New Roman"/>
          <w:sz w:val="24"/>
          <w:szCs w:val="24"/>
          <w:lang w:val="en-NZ"/>
        </w:rPr>
        <w:t xml:space="preserve"> shows significantly positive correlations whereas red </w:t>
      </w:r>
      <w:proofErr w:type="spellStart"/>
      <w:r w:rsidRPr="006F4180">
        <w:rPr>
          <w:rFonts w:ascii="Times New Roman" w:hAnsi="Times New Roman" w:cs="Times New Roman"/>
          <w:sz w:val="24"/>
          <w:szCs w:val="24"/>
          <w:lang w:val="en-NZ"/>
        </w:rPr>
        <w:t>color</w:t>
      </w:r>
      <w:proofErr w:type="spellEnd"/>
      <w:r w:rsidRPr="006F4180">
        <w:rPr>
          <w:rFonts w:ascii="Times New Roman" w:hAnsi="Times New Roman" w:cs="Times New Roman"/>
          <w:sz w:val="24"/>
          <w:szCs w:val="24"/>
          <w:lang w:val="en-NZ"/>
        </w:rPr>
        <w:t xml:space="preserve"> shows significantly negative correlations. Overall, the heat</w:t>
      </w:r>
      <w:r w:rsidR="003A071C"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map illustrates </w:t>
      </w:r>
      <w:r w:rsidR="00D575FD" w:rsidRPr="006F4180">
        <w:rPr>
          <w:rFonts w:ascii="Times New Roman" w:hAnsi="Times New Roman" w:cs="Times New Roman"/>
          <w:sz w:val="24"/>
          <w:szCs w:val="24"/>
          <w:lang w:val="en-NZ"/>
        </w:rPr>
        <w:t xml:space="preserve">a </w:t>
      </w:r>
      <w:r w:rsidRPr="006F4180">
        <w:rPr>
          <w:rFonts w:ascii="Times New Roman" w:hAnsi="Times New Roman" w:cs="Times New Roman"/>
          <w:sz w:val="24"/>
          <w:szCs w:val="24"/>
          <w:lang w:val="en-NZ"/>
        </w:rPr>
        <w:t>positive correlation among emerging markets</w:t>
      </w:r>
      <w:r w:rsidR="00D575FD" w:rsidRPr="006F4180">
        <w:rPr>
          <w:rFonts w:ascii="Times New Roman" w:hAnsi="Times New Roman" w:cs="Times New Roman"/>
          <w:sz w:val="24"/>
          <w:szCs w:val="24"/>
          <w:lang w:val="en-NZ"/>
        </w:rPr>
        <w:t>. H</w:t>
      </w:r>
      <w:r w:rsidRPr="006F4180">
        <w:rPr>
          <w:rFonts w:ascii="Times New Roman" w:hAnsi="Times New Roman" w:cs="Times New Roman"/>
          <w:sz w:val="24"/>
          <w:szCs w:val="24"/>
          <w:lang w:val="en-NZ"/>
        </w:rPr>
        <w:t>owever</w:t>
      </w:r>
      <w:r w:rsidR="00D575FD"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 the strength of each correlation varies depending on the emerging markets. </w:t>
      </w:r>
    </w:p>
    <w:p w14:paraId="5DC8FAE7" w14:textId="024E4FD5" w:rsidR="00721EC7" w:rsidRPr="006F4180" w:rsidRDefault="00721EC7" w:rsidP="00721EC7">
      <w:pPr>
        <w:spacing w:line="360" w:lineRule="auto"/>
        <w:jc w:val="center"/>
        <w:rPr>
          <w:rFonts w:ascii="Times New Roman" w:hAnsi="Times New Roman" w:cs="Times New Roman"/>
          <w:sz w:val="24"/>
          <w:szCs w:val="24"/>
          <w:lang w:val="en-NZ"/>
        </w:rPr>
      </w:pPr>
      <w:r w:rsidRPr="006F4180">
        <w:rPr>
          <w:rFonts w:ascii="Times New Roman" w:hAnsi="Times New Roman" w:cs="Times New Roman"/>
          <w:sz w:val="24"/>
          <w:szCs w:val="24"/>
          <w:lang w:val="en-NZ"/>
        </w:rPr>
        <w:t>[Figure 1 about here]</w:t>
      </w:r>
    </w:p>
    <w:p w14:paraId="0C211E86" w14:textId="39A01ACD" w:rsidR="008631C4" w:rsidRPr="006F4180" w:rsidRDefault="00BC4B10" w:rsidP="003F5DF8">
      <w:pPr>
        <w:spacing w:line="360" w:lineRule="auto"/>
        <w:jc w:val="both"/>
        <w:rPr>
          <w:rFonts w:ascii="Times New Roman" w:hAnsi="Times New Roman" w:cs="Times New Roman"/>
          <w:i/>
          <w:sz w:val="24"/>
          <w:szCs w:val="24"/>
          <w:lang w:val="en-NZ"/>
        </w:rPr>
      </w:pPr>
      <w:r w:rsidRPr="006F4180">
        <w:rPr>
          <w:rFonts w:ascii="Times New Roman" w:hAnsi="Times New Roman" w:cs="Times New Roman"/>
          <w:i/>
          <w:sz w:val="24"/>
          <w:szCs w:val="24"/>
          <w:lang w:val="en-NZ"/>
        </w:rPr>
        <w:t>4.2 Empirical Results</w:t>
      </w:r>
    </w:p>
    <w:p w14:paraId="5D807722" w14:textId="18F32671" w:rsidR="0091118A" w:rsidRPr="006F4180" w:rsidRDefault="0091118A" w:rsidP="003F5DF8">
      <w:pPr>
        <w:spacing w:line="360" w:lineRule="auto"/>
        <w:jc w:val="both"/>
        <w:rPr>
          <w:rFonts w:ascii="Times New Roman" w:hAnsi="Times New Roman" w:cs="Times New Roman"/>
          <w:i/>
          <w:sz w:val="24"/>
          <w:szCs w:val="24"/>
          <w:lang w:val="en-NZ"/>
        </w:rPr>
      </w:pPr>
      <w:r w:rsidRPr="006F4180">
        <w:rPr>
          <w:rFonts w:ascii="Times New Roman" w:hAnsi="Times New Roman" w:cs="Times New Roman"/>
          <w:i/>
          <w:sz w:val="24"/>
          <w:szCs w:val="24"/>
          <w:lang w:val="en-NZ"/>
        </w:rPr>
        <w:t xml:space="preserve">4.2.1 </w:t>
      </w:r>
      <w:proofErr w:type="spellStart"/>
      <w:r w:rsidRPr="006F4180">
        <w:rPr>
          <w:rFonts w:ascii="Times New Roman" w:hAnsi="Times New Roman" w:cs="Times New Roman"/>
          <w:i/>
          <w:sz w:val="24"/>
          <w:szCs w:val="24"/>
          <w:lang w:val="en-NZ"/>
        </w:rPr>
        <w:t>VaR</w:t>
      </w:r>
      <w:proofErr w:type="spellEnd"/>
      <w:r w:rsidRPr="006F4180">
        <w:rPr>
          <w:rFonts w:ascii="Times New Roman" w:hAnsi="Times New Roman" w:cs="Times New Roman"/>
          <w:i/>
          <w:sz w:val="24"/>
          <w:szCs w:val="24"/>
          <w:lang w:val="en-NZ"/>
        </w:rPr>
        <w:t xml:space="preserve"> and </w:t>
      </w:r>
      <w:proofErr w:type="spellStart"/>
      <w:r w:rsidRPr="006F4180">
        <w:rPr>
          <w:rFonts w:ascii="Times New Roman" w:hAnsi="Times New Roman" w:cs="Times New Roman"/>
          <w:i/>
          <w:sz w:val="24"/>
          <w:szCs w:val="24"/>
          <w:lang w:val="en-NZ"/>
        </w:rPr>
        <w:t>CoVaR</w:t>
      </w:r>
      <w:proofErr w:type="spellEnd"/>
      <w:r w:rsidRPr="006F4180">
        <w:rPr>
          <w:rFonts w:ascii="Times New Roman" w:hAnsi="Times New Roman" w:cs="Times New Roman"/>
          <w:i/>
          <w:sz w:val="24"/>
          <w:szCs w:val="24"/>
          <w:lang w:val="en-NZ"/>
        </w:rPr>
        <w:t xml:space="preserve"> Estimates</w:t>
      </w:r>
    </w:p>
    <w:p w14:paraId="61028B1F" w14:textId="1255517D" w:rsidR="00BC4B10" w:rsidRPr="006F4180" w:rsidRDefault="00D575FD" w:rsidP="003F5DF8">
      <w:pPr>
        <w:spacing w:line="360" w:lineRule="auto"/>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The t</w:t>
      </w:r>
      <w:r w:rsidR="00BC4B10" w:rsidRPr="006F4180">
        <w:rPr>
          <w:rFonts w:ascii="Times New Roman" w:hAnsi="Times New Roman" w:cs="Times New Roman"/>
          <w:sz w:val="24"/>
          <w:szCs w:val="24"/>
          <w:lang w:val="en-NZ"/>
        </w:rPr>
        <w:t>hree</w:t>
      </w:r>
      <w:r w:rsidRPr="006F4180">
        <w:rPr>
          <w:rFonts w:ascii="Times New Roman" w:hAnsi="Times New Roman" w:cs="Times New Roman"/>
          <w:sz w:val="24"/>
          <w:szCs w:val="24"/>
          <w:lang w:val="en-NZ"/>
        </w:rPr>
        <w:t xml:space="preserve">-step TENET involves calculating Tail-Event </w:t>
      </w:r>
      <w:proofErr w:type="spellStart"/>
      <w:r w:rsidRPr="006F4180">
        <w:rPr>
          <w:rFonts w:ascii="Times New Roman" w:hAnsi="Times New Roman" w:cs="Times New Roman"/>
          <w:sz w:val="24"/>
          <w:szCs w:val="24"/>
          <w:lang w:val="en-NZ"/>
        </w:rPr>
        <w:t>VaR</w:t>
      </w:r>
      <w:proofErr w:type="spellEnd"/>
      <w:r w:rsidRPr="006F4180">
        <w:rPr>
          <w:rFonts w:ascii="Times New Roman" w:hAnsi="Times New Roman" w:cs="Times New Roman"/>
          <w:sz w:val="24"/>
          <w:szCs w:val="24"/>
          <w:lang w:val="en-NZ"/>
        </w:rPr>
        <w:t xml:space="preserve"> for all emerging markets, </w:t>
      </w:r>
      <w:proofErr w:type="spellStart"/>
      <w:r w:rsidRPr="006F4180">
        <w:rPr>
          <w:rFonts w:ascii="Times New Roman" w:hAnsi="Times New Roman" w:cs="Times New Roman"/>
          <w:sz w:val="24"/>
          <w:szCs w:val="24"/>
          <w:lang w:val="en-NZ"/>
        </w:rPr>
        <w:t>NETwork</w:t>
      </w:r>
      <w:proofErr w:type="spellEnd"/>
      <w:r w:rsidRPr="006F4180">
        <w:rPr>
          <w:rFonts w:ascii="Times New Roman" w:hAnsi="Times New Roman" w:cs="Times New Roman"/>
          <w:sz w:val="24"/>
          <w:szCs w:val="24"/>
          <w:lang w:val="en-NZ"/>
        </w:rPr>
        <w:t xml:space="preserve"> analysis in the second step,</w:t>
      </w:r>
      <w:r w:rsidR="00345397" w:rsidRPr="006F4180">
        <w:rPr>
          <w:rFonts w:ascii="Times New Roman" w:hAnsi="Times New Roman" w:cs="Times New Roman"/>
          <w:sz w:val="24"/>
          <w:szCs w:val="24"/>
          <w:lang w:val="en-NZ"/>
        </w:rPr>
        <w:t xml:space="preserve"> and systematically risky emerging markets are identified using </w:t>
      </w:r>
      <w:r w:rsidR="00345397" w:rsidRPr="006F4180">
        <w:rPr>
          <w:rFonts w:ascii="Times New Roman" w:hAnsi="Times New Roman" w:cs="Times New Roman"/>
          <w:i/>
          <w:sz w:val="24"/>
          <w:szCs w:val="24"/>
          <w:lang w:val="en-NZ"/>
        </w:rPr>
        <w:t xml:space="preserve">SRR </w:t>
      </w:r>
      <w:r w:rsidR="00345397" w:rsidRPr="006F4180">
        <w:rPr>
          <w:rFonts w:ascii="Times New Roman" w:hAnsi="Times New Roman" w:cs="Times New Roman"/>
          <w:sz w:val="24"/>
          <w:szCs w:val="24"/>
          <w:lang w:val="en-NZ"/>
        </w:rPr>
        <w:t xml:space="preserve">and </w:t>
      </w:r>
      <w:r w:rsidR="00345397" w:rsidRPr="006F4180">
        <w:rPr>
          <w:rFonts w:ascii="Times New Roman" w:hAnsi="Times New Roman" w:cs="Times New Roman"/>
          <w:i/>
          <w:sz w:val="24"/>
          <w:szCs w:val="24"/>
          <w:lang w:val="en-NZ"/>
        </w:rPr>
        <w:t>SRE</w:t>
      </w:r>
      <w:r w:rsidR="00345397" w:rsidRPr="006F4180">
        <w:rPr>
          <w:rFonts w:ascii="Times New Roman" w:hAnsi="Times New Roman" w:cs="Times New Roman"/>
          <w:sz w:val="24"/>
          <w:szCs w:val="24"/>
          <w:lang w:val="en-NZ"/>
        </w:rPr>
        <w:t xml:space="preserve"> indices. For estimating </w:t>
      </w:r>
      <w:proofErr w:type="spellStart"/>
      <w:r w:rsidR="00345397" w:rsidRPr="006F4180">
        <w:rPr>
          <w:rFonts w:ascii="Times New Roman" w:hAnsi="Times New Roman" w:cs="Times New Roman"/>
          <w:sz w:val="24"/>
          <w:szCs w:val="24"/>
          <w:lang w:val="en-NZ"/>
        </w:rPr>
        <w:t>VaR</w:t>
      </w:r>
      <w:proofErr w:type="spellEnd"/>
      <w:r w:rsidR="00345397" w:rsidRPr="006F4180">
        <w:rPr>
          <w:rFonts w:ascii="Times New Roman" w:hAnsi="Times New Roman" w:cs="Times New Roman"/>
          <w:sz w:val="24"/>
          <w:szCs w:val="24"/>
          <w:lang w:val="en-NZ"/>
        </w:rPr>
        <w:t>, the monthly log returns are regressed against macro</w:t>
      </w:r>
      <w:r w:rsidRPr="006F4180">
        <w:rPr>
          <w:rFonts w:ascii="Times New Roman" w:hAnsi="Times New Roman" w:cs="Times New Roman"/>
          <w:sz w:val="24"/>
          <w:szCs w:val="24"/>
          <w:lang w:val="en-NZ"/>
        </w:rPr>
        <w:t>-</w:t>
      </w:r>
      <w:r w:rsidR="00345397" w:rsidRPr="006F4180">
        <w:rPr>
          <w:rFonts w:ascii="Times New Roman" w:hAnsi="Times New Roman" w:cs="Times New Roman"/>
          <w:sz w:val="24"/>
          <w:szCs w:val="24"/>
          <w:lang w:val="en-NZ"/>
        </w:rPr>
        <w:t xml:space="preserve">state variables at the quantile level </w:t>
      </w:r>
      <w:r w:rsidR="00345397" w:rsidRPr="006F4180">
        <w:rPr>
          <w:rFonts w:ascii="Times New Roman" w:hAnsi="Times New Roman" w:cs="Times New Roman"/>
          <w:i/>
          <w:sz w:val="24"/>
          <w:szCs w:val="24"/>
          <w:lang w:val="en-NZ"/>
        </w:rPr>
        <w:t>τ</w:t>
      </w:r>
      <w:r w:rsidR="00345397" w:rsidRPr="006F4180">
        <w:rPr>
          <w:rFonts w:ascii="Times New Roman" w:hAnsi="Times New Roman" w:cs="Times New Roman"/>
          <w:sz w:val="24"/>
          <w:szCs w:val="24"/>
          <w:lang w:val="en-NZ"/>
        </w:rPr>
        <w:t xml:space="preserve"> = 0.05 for the whole sample period given T = 255 using the rolling</w:t>
      </w:r>
      <w:r w:rsidRPr="006F4180">
        <w:rPr>
          <w:rFonts w:ascii="Times New Roman" w:hAnsi="Times New Roman" w:cs="Times New Roman"/>
          <w:sz w:val="24"/>
          <w:szCs w:val="24"/>
          <w:lang w:val="en-NZ"/>
        </w:rPr>
        <w:t xml:space="preserve"> </w:t>
      </w:r>
      <w:r w:rsidR="00345397" w:rsidRPr="006F4180">
        <w:rPr>
          <w:rFonts w:ascii="Times New Roman" w:hAnsi="Times New Roman" w:cs="Times New Roman"/>
          <w:sz w:val="24"/>
          <w:szCs w:val="24"/>
          <w:lang w:val="en-NZ"/>
        </w:rPr>
        <w:t xml:space="preserve">window size n = 60 months corresponding to monthly data used in the study. </w:t>
      </w:r>
    </w:p>
    <w:p w14:paraId="34B5737F" w14:textId="4163D468" w:rsidR="003A071C" w:rsidRPr="006F4180" w:rsidRDefault="00805B2C" w:rsidP="003950B7">
      <w:pPr>
        <w:spacing w:line="360" w:lineRule="auto"/>
        <w:ind w:firstLine="720"/>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lastRenderedPageBreak/>
        <w:t>Figure 2 displays log</w:t>
      </w:r>
      <w:r w:rsidR="00D575FD"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returns and </w:t>
      </w:r>
      <w:proofErr w:type="spellStart"/>
      <w:r w:rsidRPr="006F4180">
        <w:rPr>
          <w:rFonts w:ascii="Times New Roman" w:hAnsi="Times New Roman" w:cs="Times New Roman"/>
          <w:sz w:val="24"/>
          <w:szCs w:val="24"/>
          <w:lang w:val="en-NZ"/>
        </w:rPr>
        <w:t>CoVaR</w:t>
      </w:r>
      <w:proofErr w:type="spellEnd"/>
      <w:r w:rsidRPr="006F4180">
        <w:rPr>
          <w:rFonts w:ascii="Times New Roman" w:hAnsi="Times New Roman" w:cs="Times New Roman"/>
          <w:sz w:val="24"/>
          <w:szCs w:val="24"/>
          <w:lang w:val="en-NZ"/>
        </w:rPr>
        <w:t xml:space="preserve"> estimates for BRIC countries where dotted lines (black) show log returns, </w:t>
      </w:r>
      <w:proofErr w:type="spellStart"/>
      <w:r w:rsidRPr="006F4180">
        <w:rPr>
          <w:rFonts w:ascii="Times New Roman" w:hAnsi="Times New Roman" w:cs="Times New Roman"/>
          <w:sz w:val="24"/>
          <w:szCs w:val="24"/>
          <w:lang w:val="en-NZ"/>
        </w:rPr>
        <w:t>VaR</w:t>
      </w:r>
      <w:proofErr w:type="spellEnd"/>
      <w:r w:rsidRPr="006F4180">
        <w:rPr>
          <w:rFonts w:ascii="Times New Roman" w:hAnsi="Times New Roman" w:cs="Times New Roman"/>
          <w:sz w:val="24"/>
          <w:szCs w:val="24"/>
          <w:lang w:val="en-NZ"/>
        </w:rPr>
        <w:t xml:space="preserve"> is exhibited by red (thinner line), </w:t>
      </w:r>
      <w:proofErr w:type="spellStart"/>
      <w:r w:rsidRPr="006F4180">
        <w:rPr>
          <w:rFonts w:ascii="Times New Roman" w:hAnsi="Times New Roman" w:cs="Times New Roman"/>
          <w:sz w:val="24"/>
          <w:szCs w:val="24"/>
          <w:lang w:val="en-NZ"/>
        </w:rPr>
        <w:t>CoVaR</w:t>
      </w:r>
      <w:r w:rsidRPr="006F4180">
        <w:rPr>
          <w:rFonts w:ascii="Times New Roman" w:hAnsi="Times New Roman" w:cs="Times New Roman"/>
          <w:sz w:val="24"/>
          <w:szCs w:val="24"/>
          <w:vertAlign w:val="superscript"/>
          <w:lang w:val="en-NZ"/>
        </w:rPr>
        <w:t>TENET</w:t>
      </w:r>
      <w:proofErr w:type="spellEnd"/>
      <w:r w:rsidRPr="006F4180">
        <w:rPr>
          <w:rFonts w:ascii="Times New Roman" w:hAnsi="Times New Roman" w:cs="Times New Roman"/>
          <w:sz w:val="24"/>
          <w:szCs w:val="24"/>
          <w:lang w:val="en-NZ"/>
        </w:rPr>
        <w:t xml:space="preserve"> represents blue (thicker line), and </w:t>
      </w:r>
      <w:proofErr w:type="spellStart"/>
      <w:r w:rsidRPr="006F4180">
        <w:rPr>
          <w:rFonts w:ascii="Times New Roman" w:hAnsi="Times New Roman" w:cs="Times New Roman"/>
          <w:sz w:val="24"/>
          <w:szCs w:val="24"/>
          <w:lang w:val="en-NZ"/>
        </w:rPr>
        <w:t>CoVaR</w:t>
      </w:r>
      <w:r w:rsidRPr="006F4180">
        <w:rPr>
          <w:rFonts w:ascii="Times New Roman" w:hAnsi="Times New Roman" w:cs="Times New Roman"/>
          <w:sz w:val="24"/>
          <w:szCs w:val="24"/>
          <w:vertAlign w:val="superscript"/>
          <w:lang w:val="en-NZ"/>
        </w:rPr>
        <w:t>L</w:t>
      </w:r>
      <w:proofErr w:type="spellEnd"/>
      <w:r w:rsidRPr="006F4180">
        <w:rPr>
          <w:rFonts w:ascii="Times New Roman" w:hAnsi="Times New Roman" w:cs="Times New Roman"/>
          <w:sz w:val="24"/>
          <w:szCs w:val="24"/>
          <w:lang w:val="en-NZ"/>
        </w:rPr>
        <w:t xml:space="preserve"> denotes green (thinner line)</w:t>
      </w:r>
      <w:r w:rsidR="007B7D28" w:rsidRPr="006F4180">
        <w:rPr>
          <w:rFonts w:ascii="Times New Roman" w:hAnsi="Times New Roman" w:cs="Times New Roman"/>
          <w:sz w:val="24"/>
          <w:szCs w:val="24"/>
          <w:lang w:val="en-NZ"/>
        </w:rPr>
        <w:t xml:space="preserve"> in the upward and downward trends</w:t>
      </w:r>
      <w:r w:rsidRPr="006F4180">
        <w:rPr>
          <w:rFonts w:ascii="Times New Roman" w:hAnsi="Times New Roman" w:cs="Times New Roman"/>
          <w:sz w:val="24"/>
          <w:szCs w:val="24"/>
          <w:lang w:val="en-NZ"/>
        </w:rPr>
        <w:t xml:space="preserve">. In order to confirm </w:t>
      </w:r>
      <w:r w:rsidR="00D575FD"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 xml:space="preserve">nonlinearity of the model, </w:t>
      </w:r>
      <w:r w:rsidR="007B7D28" w:rsidRPr="006F4180">
        <w:rPr>
          <w:rFonts w:ascii="Times New Roman" w:hAnsi="Times New Roman" w:cs="Times New Roman"/>
          <w:sz w:val="24"/>
          <w:szCs w:val="24"/>
          <w:lang w:val="en-NZ"/>
        </w:rPr>
        <w:t xml:space="preserve">the estimated </w:t>
      </w:r>
      <w:proofErr w:type="spellStart"/>
      <w:r w:rsidR="007B7D28" w:rsidRPr="006F4180">
        <w:rPr>
          <w:rFonts w:ascii="Times New Roman" w:hAnsi="Times New Roman" w:cs="Times New Roman"/>
          <w:sz w:val="24"/>
          <w:szCs w:val="24"/>
          <w:lang w:val="en-NZ"/>
        </w:rPr>
        <w:t>CoVaR</w:t>
      </w:r>
      <w:proofErr w:type="spellEnd"/>
      <w:r w:rsidR="007B7D28" w:rsidRPr="006F4180">
        <w:rPr>
          <w:rFonts w:ascii="Times New Roman" w:hAnsi="Times New Roman" w:cs="Times New Roman"/>
          <w:sz w:val="24"/>
          <w:szCs w:val="24"/>
          <w:lang w:val="en-NZ"/>
        </w:rPr>
        <w:t xml:space="preserve"> based risk network is compared with </w:t>
      </w:r>
      <w:proofErr w:type="spellStart"/>
      <w:r w:rsidR="007B7D28" w:rsidRPr="006F4180">
        <w:rPr>
          <w:rFonts w:ascii="Times New Roman" w:hAnsi="Times New Roman" w:cs="Times New Roman"/>
          <w:sz w:val="24"/>
          <w:szCs w:val="24"/>
          <w:lang w:val="en-NZ"/>
        </w:rPr>
        <w:t>CoVaR</w:t>
      </w:r>
      <w:proofErr w:type="spellEnd"/>
      <w:r w:rsidR="007B7D28" w:rsidRPr="006F4180">
        <w:rPr>
          <w:rFonts w:ascii="Times New Roman" w:hAnsi="Times New Roman" w:cs="Times New Roman"/>
          <w:sz w:val="24"/>
          <w:szCs w:val="24"/>
          <w:lang w:val="en-NZ"/>
        </w:rPr>
        <w:t xml:space="preserve"> based linear quantile LASSO (</w:t>
      </w:r>
      <w:proofErr w:type="spellStart"/>
      <w:r w:rsidR="007B7D28" w:rsidRPr="006F4180">
        <w:rPr>
          <w:rFonts w:ascii="Times New Roman" w:hAnsi="Times New Roman" w:cs="Times New Roman"/>
          <w:sz w:val="24"/>
          <w:szCs w:val="24"/>
          <w:lang w:val="en-NZ"/>
        </w:rPr>
        <w:t>CoVaR</w:t>
      </w:r>
      <w:r w:rsidR="007B7D28" w:rsidRPr="006F4180">
        <w:rPr>
          <w:rFonts w:ascii="Times New Roman" w:hAnsi="Times New Roman" w:cs="Times New Roman"/>
          <w:sz w:val="24"/>
          <w:szCs w:val="24"/>
          <w:vertAlign w:val="superscript"/>
          <w:lang w:val="en-NZ"/>
        </w:rPr>
        <w:t>L</w:t>
      </w:r>
      <w:proofErr w:type="spellEnd"/>
      <w:r w:rsidR="007B7D28" w:rsidRPr="006F4180">
        <w:rPr>
          <w:rFonts w:ascii="Times New Roman" w:hAnsi="Times New Roman" w:cs="Times New Roman"/>
          <w:sz w:val="24"/>
          <w:szCs w:val="24"/>
          <w:lang w:val="en-NZ"/>
        </w:rPr>
        <w:t xml:space="preserve">). </w:t>
      </w:r>
      <w:r w:rsidR="003A071C" w:rsidRPr="006F4180">
        <w:rPr>
          <w:rFonts w:ascii="Times New Roman" w:hAnsi="Times New Roman" w:cs="Times New Roman"/>
          <w:sz w:val="24"/>
          <w:szCs w:val="24"/>
          <w:lang w:val="en-NZ"/>
        </w:rPr>
        <w:t xml:space="preserve">BRIC countries are selected </w:t>
      </w:r>
      <w:r w:rsidR="00D575FD" w:rsidRPr="006F4180">
        <w:rPr>
          <w:rFonts w:ascii="Times New Roman" w:hAnsi="Times New Roman" w:cs="Times New Roman"/>
          <w:sz w:val="24"/>
          <w:szCs w:val="24"/>
          <w:lang w:val="en-NZ"/>
        </w:rPr>
        <w:t>based on</w:t>
      </w:r>
      <w:r w:rsidR="003A071C" w:rsidRPr="006F4180">
        <w:rPr>
          <w:rFonts w:ascii="Times New Roman" w:hAnsi="Times New Roman" w:cs="Times New Roman"/>
          <w:sz w:val="24"/>
          <w:szCs w:val="24"/>
          <w:lang w:val="en-NZ"/>
        </w:rPr>
        <w:t xml:space="preserve"> their significant growth in global trade and direct contributi</w:t>
      </w:r>
      <w:r w:rsidR="00D575FD" w:rsidRPr="006F4180">
        <w:rPr>
          <w:rFonts w:ascii="Times New Roman" w:hAnsi="Times New Roman" w:cs="Times New Roman"/>
          <w:sz w:val="24"/>
          <w:szCs w:val="24"/>
          <w:lang w:val="en-NZ"/>
        </w:rPr>
        <w:t>on</w:t>
      </w:r>
      <w:r w:rsidR="003A071C" w:rsidRPr="006F4180">
        <w:rPr>
          <w:rFonts w:ascii="Times New Roman" w:hAnsi="Times New Roman" w:cs="Times New Roman"/>
          <w:sz w:val="24"/>
          <w:szCs w:val="24"/>
          <w:lang w:val="en-NZ"/>
        </w:rPr>
        <w:t xml:space="preserve"> to the economy since </w:t>
      </w:r>
      <w:r w:rsidR="00D575FD" w:rsidRPr="006F4180">
        <w:rPr>
          <w:rFonts w:ascii="Times New Roman" w:hAnsi="Times New Roman" w:cs="Times New Roman"/>
          <w:sz w:val="24"/>
          <w:szCs w:val="24"/>
          <w:lang w:val="en-NZ"/>
        </w:rPr>
        <w:t xml:space="preserve">the </w:t>
      </w:r>
      <w:r w:rsidR="003A071C" w:rsidRPr="006F4180">
        <w:rPr>
          <w:rFonts w:ascii="Times New Roman" w:hAnsi="Times New Roman" w:cs="Times New Roman"/>
          <w:sz w:val="24"/>
          <w:szCs w:val="24"/>
          <w:lang w:val="en-NZ"/>
        </w:rPr>
        <w:t>last two decades (</w:t>
      </w:r>
      <w:proofErr w:type="spellStart"/>
      <w:r w:rsidR="003A071C" w:rsidRPr="006F4180">
        <w:rPr>
          <w:rFonts w:ascii="Times New Roman" w:hAnsi="Times New Roman" w:cs="Times New Roman"/>
          <w:sz w:val="24"/>
          <w:szCs w:val="24"/>
          <w:lang w:val="en-NZ"/>
        </w:rPr>
        <w:t>Caporale</w:t>
      </w:r>
      <w:proofErr w:type="spellEnd"/>
      <w:r w:rsidR="003A071C" w:rsidRPr="006F4180">
        <w:rPr>
          <w:rFonts w:ascii="Times New Roman" w:hAnsi="Times New Roman" w:cs="Times New Roman"/>
          <w:sz w:val="24"/>
          <w:szCs w:val="24"/>
          <w:lang w:val="en-NZ"/>
        </w:rPr>
        <w:t xml:space="preserve"> et al., 2017; Demir &amp; Ersan, 2017</w:t>
      </w:r>
      <w:r w:rsidR="00275918">
        <w:rPr>
          <w:rFonts w:ascii="Times New Roman" w:hAnsi="Times New Roman" w:cs="Times New Roman"/>
          <w:sz w:val="24"/>
          <w:szCs w:val="24"/>
          <w:lang w:val="en-NZ"/>
        </w:rPr>
        <w:t>; Naeem et al., 2022b, 2022c</w:t>
      </w:r>
      <w:r w:rsidR="003A071C" w:rsidRPr="006F4180">
        <w:rPr>
          <w:rFonts w:ascii="Times New Roman" w:hAnsi="Times New Roman" w:cs="Times New Roman"/>
          <w:sz w:val="24"/>
          <w:szCs w:val="24"/>
          <w:lang w:val="en-NZ"/>
        </w:rPr>
        <w:t>).</w:t>
      </w:r>
      <w:r w:rsidR="002130C5" w:rsidRPr="006F4180">
        <w:rPr>
          <w:rFonts w:ascii="Times New Roman" w:hAnsi="Times New Roman" w:cs="Times New Roman"/>
          <w:sz w:val="24"/>
          <w:szCs w:val="24"/>
          <w:lang w:val="en-NZ"/>
        </w:rPr>
        <w:t xml:space="preserve"> </w:t>
      </w:r>
      <w:r w:rsidR="003A071C" w:rsidRPr="006F4180">
        <w:rPr>
          <w:rFonts w:ascii="Times New Roman" w:hAnsi="Times New Roman" w:cs="Times New Roman"/>
          <w:sz w:val="24"/>
          <w:szCs w:val="24"/>
          <w:lang w:val="en-NZ"/>
        </w:rPr>
        <w:t xml:space="preserve"> </w:t>
      </w:r>
    </w:p>
    <w:p w14:paraId="729B5B58" w14:textId="06B70C1A" w:rsidR="00805B2C" w:rsidRPr="006F4180" w:rsidRDefault="007B7D28" w:rsidP="003950B7">
      <w:pPr>
        <w:spacing w:line="360" w:lineRule="auto"/>
        <w:ind w:firstLine="720"/>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The analysis of BRIC countr</w:t>
      </w:r>
      <w:r w:rsidR="00D575FD" w:rsidRPr="006F4180">
        <w:rPr>
          <w:rFonts w:ascii="Times New Roman" w:hAnsi="Times New Roman" w:cs="Times New Roman"/>
          <w:sz w:val="24"/>
          <w:szCs w:val="24"/>
          <w:lang w:val="en-NZ"/>
        </w:rPr>
        <w:t>y</w:t>
      </w:r>
      <w:r w:rsidRPr="006F4180">
        <w:rPr>
          <w:rFonts w:ascii="Times New Roman" w:hAnsi="Times New Roman" w:cs="Times New Roman"/>
          <w:sz w:val="24"/>
          <w:szCs w:val="24"/>
          <w:lang w:val="en-NZ"/>
        </w:rPr>
        <w:t xml:space="preserve"> log</w:t>
      </w:r>
      <w:r w:rsidR="00D575FD" w:rsidRPr="006F4180">
        <w:rPr>
          <w:rFonts w:ascii="Times New Roman" w:hAnsi="Times New Roman" w:cs="Times New Roman"/>
          <w:sz w:val="24"/>
          <w:szCs w:val="24"/>
          <w:lang w:val="en-NZ"/>
        </w:rPr>
        <w:t xml:space="preserve">-returns indicates that </w:t>
      </w:r>
      <w:proofErr w:type="spellStart"/>
      <w:r w:rsidR="00D575FD" w:rsidRPr="006F4180">
        <w:rPr>
          <w:rFonts w:ascii="Times New Roman" w:hAnsi="Times New Roman" w:cs="Times New Roman"/>
          <w:sz w:val="24"/>
          <w:szCs w:val="24"/>
          <w:lang w:val="en-NZ"/>
        </w:rPr>
        <w:t>VaR</w:t>
      </w:r>
      <w:proofErr w:type="spellEnd"/>
      <w:r w:rsidR="00D575FD" w:rsidRPr="006F4180">
        <w:rPr>
          <w:rFonts w:ascii="Times New Roman" w:hAnsi="Times New Roman" w:cs="Times New Roman"/>
          <w:sz w:val="24"/>
          <w:szCs w:val="24"/>
          <w:lang w:val="en-NZ"/>
        </w:rPr>
        <w:t xml:space="preserve">-based spillovers dominated the </w:t>
      </w:r>
      <w:proofErr w:type="spellStart"/>
      <w:r w:rsidR="00D575FD" w:rsidRPr="006F4180">
        <w:rPr>
          <w:rFonts w:ascii="Times New Roman" w:hAnsi="Times New Roman" w:cs="Times New Roman"/>
          <w:sz w:val="24"/>
          <w:szCs w:val="24"/>
          <w:lang w:val="en-NZ"/>
        </w:rPr>
        <w:t>CoVaR</w:t>
      </w:r>
      <w:r w:rsidR="00D575FD" w:rsidRPr="006F4180">
        <w:rPr>
          <w:rFonts w:ascii="Times New Roman" w:hAnsi="Times New Roman" w:cs="Times New Roman"/>
          <w:sz w:val="24"/>
          <w:szCs w:val="24"/>
          <w:vertAlign w:val="superscript"/>
          <w:lang w:val="en-NZ"/>
        </w:rPr>
        <w:t>TENET</w:t>
      </w:r>
      <w:proofErr w:type="spellEnd"/>
      <w:r w:rsidR="00D575FD" w:rsidRPr="006F4180">
        <w:rPr>
          <w:rFonts w:ascii="Times New Roman" w:hAnsi="Times New Roman" w:cs="Times New Roman"/>
          <w:sz w:val="24"/>
          <w:szCs w:val="24"/>
          <w:lang w:val="en-NZ"/>
        </w:rPr>
        <w:t xml:space="preserve"> in the downward trend for Brazil, India, and China and dominance is prominent during the</w:t>
      </w:r>
      <w:r w:rsidRPr="006F4180">
        <w:rPr>
          <w:rFonts w:ascii="Times New Roman" w:hAnsi="Times New Roman" w:cs="Times New Roman"/>
          <w:sz w:val="24"/>
          <w:szCs w:val="24"/>
          <w:lang w:val="en-NZ"/>
        </w:rPr>
        <w:t xml:space="preserve"> global financial crisis. </w:t>
      </w:r>
      <w:r w:rsidR="00007C75" w:rsidRPr="006F4180">
        <w:rPr>
          <w:rFonts w:ascii="Times New Roman" w:hAnsi="Times New Roman" w:cs="Times New Roman"/>
          <w:sz w:val="24"/>
          <w:szCs w:val="24"/>
          <w:lang w:val="en-NZ"/>
        </w:rPr>
        <w:t xml:space="preserve">Russia showed varying spillovers where </w:t>
      </w:r>
      <w:proofErr w:type="spellStart"/>
      <w:r w:rsidR="00007C75" w:rsidRPr="006F4180">
        <w:rPr>
          <w:rFonts w:ascii="Times New Roman" w:hAnsi="Times New Roman" w:cs="Times New Roman"/>
          <w:sz w:val="24"/>
          <w:szCs w:val="24"/>
          <w:lang w:val="en-NZ"/>
        </w:rPr>
        <w:t>CoVaR</w:t>
      </w:r>
      <w:r w:rsidR="00007C75" w:rsidRPr="006F4180">
        <w:rPr>
          <w:rFonts w:ascii="Times New Roman" w:hAnsi="Times New Roman" w:cs="Times New Roman"/>
          <w:sz w:val="24"/>
          <w:szCs w:val="24"/>
          <w:vertAlign w:val="superscript"/>
          <w:lang w:val="en-NZ"/>
        </w:rPr>
        <w:t>TENET</w:t>
      </w:r>
      <w:proofErr w:type="spellEnd"/>
      <w:r w:rsidR="00007C75" w:rsidRPr="006F4180">
        <w:rPr>
          <w:rFonts w:ascii="Times New Roman" w:hAnsi="Times New Roman" w:cs="Times New Roman"/>
          <w:sz w:val="24"/>
          <w:szCs w:val="24"/>
          <w:lang w:val="en-NZ"/>
        </w:rPr>
        <w:t xml:space="preserve"> </w:t>
      </w:r>
      <w:r w:rsidR="00A169E7" w:rsidRPr="006F4180">
        <w:rPr>
          <w:rFonts w:ascii="Times New Roman" w:hAnsi="Times New Roman" w:cs="Times New Roman"/>
          <w:sz w:val="24"/>
          <w:szCs w:val="24"/>
          <w:lang w:val="en-NZ"/>
        </w:rPr>
        <w:t xml:space="preserve">dominantly spilled over </w:t>
      </w:r>
      <w:proofErr w:type="spellStart"/>
      <w:r w:rsidR="00007C75" w:rsidRPr="006F4180">
        <w:rPr>
          <w:rFonts w:ascii="Times New Roman" w:hAnsi="Times New Roman" w:cs="Times New Roman"/>
          <w:sz w:val="24"/>
          <w:szCs w:val="24"/>
          <w:lang w:val="en-NZ"/>
        </w:rPr>
        <w:t>VaR</w:t>
      </w:r>
      <w:proofErr w:type="spellEnd"/>
      <w:r w:rsidR="00A169E7" w:rsidRPr="006F4180">
        <w:rPr>
          <w:rFonts w:ascii="Times New Roman" w:hAnsi="Times New Roman" w:cs="Times New Roman"/>
          <w:sz w:val="24"/>
          <w:szCs w:val="24"/>
          <w:lang w:val="en-NZ"/>
        </w:rPr>
        <w:t xml:space="preserve"> in the downward trend</w:t>
      </w:r>
      <w:r w:rsidR="00007C75" w:rsidRPr="006F4180">
        <w:rPr>
          <w:rFonts w:ascii="Times New Roman" w:hAnsi="Times New Roman" w:cs="Times New Roman"/>
          <w:sz w:val="24"/>
          <w:szCs w:val="24"/>
          <w:lang w:val="en-NZ"/>
        </w:rPr>
        <w:t xml:space="preserve"> </w:t>
      </w:r>
      <w:r w:rsidR="009F2557" w:rsidRPr="006F4180">
        <w:rPr>
          <w:rFonts w:ascii="Times New Roman" w:hAnsi="Times New Roman" w:cs="Times New Roman"/>
          <w:sz w:val="24"/>
          <w:szCs w:val="24"/>
          <w:lang w:val="en-NZ"/>
        </w:rPr>
        <w:t>during Argentin</w:t>
      </w:r>
      <w:r w:rsidR="00D575FD" w:rsidRPr="006F4180">
        <w:rPr>
          <w:rFonts w:ascii="Times New Roman" w:hAnsi="Times New Roman" w:cs="Times New Roman"/>
          <w:sz w:val="24"/>
          <w:szCs w:val="24"/>
          <w:lang w:val="en-NZ"/>
        </w:rPr>
        <w:t>a</w:t>
      </w:r>
      <w:r w:rsidR="003E7D44" w:rsidRPr="006F4180">
        <w:rPr>
          <w:rFonts w:ascii="Times New Roman" w:hAnsi="Times New Roman" w:cs="Times New Roman"/>
          <w:sz w:val="24"/>
          <w:szCs w:val="24"/>
          <w:lang w:val="en-NZ"/>
        </w:rPr>
        <w:t xml:space="preserve">’s default and financial collapse for </w:t>
      </w:r>
      <w:r w:rsidR="00D575FD" w:rsidRPr="006F4180">
        <w:rPr>
          <w:rFonts w:ascii="Times New Roman" w:hAnsi="Times New Roman" w:cs="Times New Roman"/>
          <w:sz w:val="24"/>
          <w:szCs w:val="24"/>
          <w:lang w:val="en-NZ"/>
        </w:rPr>
        <w:t>2001-2003 (Feldstein, 2002</w:t>
      </w:r>
      <w:r w:rsidR="00275918">
        <w:rPr>
          <w:rFonts w:ascii="Times New Roman" w:hAnsi="Times New Roman" w:cs="Times New Roman"/>
          <w:sz w:val="24"/>
          <w:szCs w:val="24"/>
          <w:lang w:val="en-NZ"/>
        </w:rPr>
        <w:t xml:space="preserve">; </w:t>
      </w:r>
      <w:proofErr w:type="spellStart"/>
      <w:r w:rsidR="00275918">
        <w:rPr>
          <w:rFonts w:ascii="Times New Roman" w:hAnsi="Times New Roman" w:cs="Times New Roman"/>
          <w:sz w:val="24"/>
          <w:szCs w:val="24"/>
          <w:lang w:val="en-NZ"/>
        </w:rPr>
        <w:t>Anwer</w:t>
      </w:r>
      <w:proofErr w:type="spellEnd"/>
      <w:r w:rsidR="00275918">
        <w:rPr>
          <w:rFonts w:ascii="Times New Roman" w:hAnsi="Times New Roman" w:cs="Times New Roman"/>
          <w:sz w:val="24"/>
          <w:szCs w:val="24"/>
          <w:lang w:val="en-NZ"/>
        </w:rPr>
        <w:t xml:space="preserve"> et al., 2022; Alawi et al., 2022</w:t>
      </w:r>
      <w:r w:rsidR="001B3CF8">
        <w:rPr>
          <w:rFonts w:ascii="Times New Roman" w:hAnsi="Times New Roman" w:cs="Times New Roman"/>
          <w:sz w:val="24"/>
          <w:szCs w:val="24"/>
          <w:lang w:val="en-NZ"/>
        </w:rPr>
        <w:t>; Yarovaya et al., 2022a, 2022b</w:t>
      </w:r>
      <w:r w:rsidR="00D575FD" w:rsidRPr="006F4180">
        <w:rPr>
          <w:rFonts w:ascii="Times New Roman" w:hAnsi="Times New Roman" w:cs="Times New Roman"/>
          <w:sz w:val="24"/>
          <w:szCs w:val="24"/>
          <w:lang w:val="en-NZ"/>
        </w:rPr>
        <w:t>), where spillovers intensified due to the collapse of</w:t>
      </w:r>
      <w:r w:rsidR="002130C5" w:rsidRPr="006F4180">
        <w:rPr>
          <w:rFonts w:ascii="Times New Roman" w:hAnsi="Times New Roman" w:cs="Times New Roman"/>
          <w:sz w:val="24"/>
          <w:szCs w:val="24"/>
          <w:lang w:val="en-NZ"/>
        </w:rPr>
        <w:t xml:space="preserve"> </w:t>
      </w:r>
      <w:r w:rsidR="00D575FD" w:rsidRPr="006F4180">
        <w:rPr>
          <w:rFonts w:ascii="Times New Roman" w:hAnsi="Times New Roman" w:cs="Times New Roman"/>
          <w:sz w:val="24"/>
          <w:szCs w:val="24"/>
          <w:lang w:val="en-NZ"/>
        </w:rPr>
        <w:t xml:space="preserve">the </w:t>
      </w:r>
      <w:r w:rsidR="002130C5" w:rsidRPr="006F4180">
        <w:rPr>
          <w:rFonts w:ascii="Times New Roman" w:hAnsi="Times New Roman" w:cs="Times New Roman"/>
          <w:sz w:val="24"/>
          <w:szCs w:val="24"/>
          <w:lang w:val="en-NZ"/>
        </w:rPr>
        <w:t>Latin American emerging market</w:t>
      </w:r>
      <w:r w:rsidR="00275918">
        <w:rPr>
          <w:rFonts w:ascii="Times New Roman" w:hAnsi="Times New Roman" w:cs="Times New Roman"/>
          <w:sz w:val="24"/>
          <w:szCs w:val="24"/>
          <w:lang w:val="en-NZ"/>
        </w:rPr>
        <w:t xml:space="preserve"> (Karim &amp; Naeem, 2022</w:t>
      </w:r>
      <w:r w:rsidR="00900DA0">
        <w:rPr>
          <w:rFonts w:ascii="Times New Roman" w:hAnsi="Times New Roman" w:cs="Times New Roman"/>
          <w:sz w:val="24"/>
          <w:szCs w:val="24"/>
          <w:lang w:val="en-NZ"/>
        </w:rPr>
        <w:t>, 2021; Karim et al., 2022b, 2022c)</w:t>
      </w:r>
      <w:r w:rsidR="002130C5" w:rsidRPr="006F4180">
        <w:rPr>
          <w:rFonts w:ascii="Times New Roman" w:hAnsi="Times New Roman" w:cs="Times New Roman"/>
          <w:sz w:val="24"/>
          <w:szCs w:val="24"/>
          <w:lang w:val="en-NZ"/>
        </w:rPr>
        <w:t xml:space="preserve">. </w:t>
      </w:r>
      <w:r w:rsidR="00C32A8A" w:rsidRPr="006F4180">
        <w:rPr>
          <w:rFonts w:ascii="Times New Roman" w:hAnsi="Times New Roman" w:cs="Times New Roman"/>
          <w:sz w:val="24"/>
          <w:szCs w:val="24"/>
          <w:lang w:val="en-NZ"/>
        </w:rPr>
        <w:t>Overall, Fig</w:t>
      </w:r>
      <w:r w:rsidR="00785B5B" w:rsidRPr="006F4180">
        <w:rPr>
          <w:rFonts w:ascii="Times New Roman" w:hAnsi="Times New Roman" w:cs="Times New Roman"/>
          <w:sz w:val="24"/>
          <w:szCs w:val="24"/>
          <w:lang w:val="en-NZ"/>
        </w:rPr>
        <w:t>ure</w:t>
      </w:r>
      <w:r w:rsidR="00C32A8A" w:rsidRPr="006F4180">
        <w:rPr>
          <w:rFonts w:ascii="Times New Roman" w:hAnsi="Times New Roman" w:cs="Times New Roman"/>
          <w:sz w:val="24"/>
          <w:szCs w:val="24"/>
          <w:lang w:val="en-NZ"/>
        </w:rPr>
        <w:t xml:space="preserve"> 2 highlight</w:t>
      </w:r>
      <w:r w:rsidR="00D575FD" w:rsidRPr="006F4180">
        <w:rPr>
          <w:rFonts w:ascii="Times New Roman" w:hAnsi="Times New Roman" w:cs="Times New Roman"/>
          <w:sz w:val="24"/>
          <w:szCs w:val="24"/>
          <w:lang w:val="en-NZ"/>
        </w:rPr>
        <w:t>s</w:t>
      </w:r>
      <w:r w:rsidR="00C32A8A" w:rsidRPr="006F4180">
        <w:rPr>
          <w:rFonts w:ascii="Times New Roman" w:hAnsi="Times New Roman" w:cs="Times New Roman"/>
          <w:sz w:val="24"/>
          <w:szCs w:val="24"/>
          <w:lang w:val="en-NZ"/>
        </w:rPr>
        <w:t xml:space="preserve"> that spillovers are asymmetric and are dominant in the downward trends</w:t>
      </w:r>
      <w:r w:rsidR="002E50D6" w:rsidRPr="006F4180">
        <w:rPr>
          <w:rFonts w:ascii="Times New Roman" w:hAnsi="Times New Roman" w:cs="Times New Roman"/>
          <w:sz w:val="24"/>
          <w:szCs w:val="24"/>
          <w:lang w:val="en-NZ"/>
        </w:rPr>
        <w:t xml:space="preserve"> given</w:t>
      </w:r>
      <w:r w:rsidR="009F2557" w:rsidRPr="006F4180">
        <w:rPr>
          <w:rFonts w:ascii="Times New Roman" w:hAnsi="Times New Roman" w:cs="Times New Roman"/>
          <w:sz w:val="24"/>
          <w:szCs w:val="24"/>
          <w:lang w:val="en-NZ"/>
        </w:rPr>
        <w:t xml:space="preserve"> Argentin</w:t>
      </w:r>
      <w:r w:rsidR="00D575FD" w:rsidRPr="006F4180">
        <w:rPr>
          <w:rFonts w:ascii="Times New Roman" w:hAnsi="Times New Roman" w:cs="Times New Roman"/>
          <w:sz w:val="24"/>
          <w:szCs w:val="24"/>
          <w:lang w:val="en-NZ"/>
        </w:rPr>
        <w:t>a</w:t>
      </w:r>
      <w:r w:rsidR="009F2557" w:rsidRPr="006F4180">
        <w:rPr>
          <w:rFonts w:ascii="Times New Roman" w:hAnsi="Times New Roman" w:cs="Times New Roman"/>
          <w:sz w:val="24"/>
          <w:szCs w:val="24"/>
          <w:lang w:val="en-NZ"/>
        </w:rPr>
        <w:t>’s economic default and global financial crisis</w:t>
      </w:r>
      <w:r w:rsidR="006F0503" w:rsidRPr="006F4180">
        <w:rPr>
          <w:rFonts w:ascii="Times New Roman" w:hAnsi="Times New Roman" w:cs="Times New Roman"/>
          <w:sz w:val="24"/>
          <w:szCs w:val="24"/>
          <w:lang w:val="en-NZ"/>
        </w:rPr>
        <w:t xml:space="preserve"> supported by Didier et al., (2012) who documented structural breaks in the emerging economies p</w:t>
      </w:r>
      <w:r w:rsidR="004E2B92" w:rsidRPr="006F4180">
        <w:rPr>
          <w:rFonts w:ascii="Times New Roman" w:hAnsi="Times New Roman" w:cs="Times New Roman"/>
          <w:sz w:val="24"/>
          <w:szCs w:val="24"/>
          <w:lang w:val="en-NZ"/>
        </w:rPr>
        <w:t>olicies following the episodes of crisis</w:t>
      </w:r>
      <w:r w:rsidR="00C32A8A" w:rsidRPr="006F4180">
        <w:rPr>
          <w:rFonts w:ascii="Times New Roman" w:hAnsi="Times New Roman" w:cs="Times New Roman"/>
          <w:sz w:val="24"/>
          <w:szCs w:val="24"/>
          <w:lang w:val="en-NZ"/>
        </w:rPr>
        <w:t>.</w:t>
      </w:r>
      <w:r w:rsidR="008A5DB3" w:rsidRPr="006F4180">
        <w:rPr>
          <w:rFonts w:ascii="Times New Roman" w:hAnsi="Times New Roman" w:cs="Times New Roman"/>
          <w:sz w:val="24"/>
          <w:szCs w:val="24"/>
          <w:lang w:val="en-NZ"/>
        </w:rPr>
        <w:t xml:space="preserve"> </w:t>
      </w:r>
      <w:r w:rsidR="00785B5B" w:rsidRPr="006F4180">
        <w:rPr>
          <w:rFonts w:ascii="Times New Roman" w:hAnsi="Times New Roman" w:cs="Times New Roman"/>
          <w:sz w:val="24"/>
          <w:szCs w:val="24"/>
          <w:lang w:val="en-NZ"/>
        </w:rPr>
        <w:t xml:space="preserve">Our findings corroborate </w:t>
      </w:r>
      <w:proofErr w:type="spellStart"/>
      <w:r w:rsidR="00785B5B" w:rsidRPr="006F4180">
        <w:rPr>
          <w:rFonts w:ascii="Times New Roman" w:hAnsi="Times New Roman" w:cs="Times New Roman"/>
          <w:sz w:val="24"/>
          <w:szCs w:val="24"/>
          <w:lang w:val="en-NZ"/>
        </w:rPr>
        <w:t>Bathia</w:t>
      </w:r>
      <w:proofErr w:type="spellEnd"/>
      <w:r w:rsidR="00785B5B" w:rsidRPr="006F4180">
        <w:rPr>
          <w:rFonts w:ascii="Times New Roman" w:hAnsi="Times New Roman" w:cs="Times New Roman"/>
          <w:sz w:val="24"/>
          <w:szCs w:val="24"/>
          <w:lang w:val="en-NZ"/>
        </w:rPr>
        <w:t xml:space="preserve"> et al. (2021)</w:t>
      </w:r>
      <w:r w:rsidR="00D575FD" w:rsidRPr="006F4180">
        <w:rPr>
          <w:rFonts w:ascii="Times New Roman" w:hAnsi="Times New Roman" w:cs="Times New Roman"/>
          <w:sz w:val="24"/>
          <w:szCs w:val="24"/>
          <w:lang w:val="en-NZ"/>
        </w:rPr>
        <w:t>,</w:t>
      </w:r>
      <w:r w:rsidR="00785B5B" w:rsidRPr="006F4180">
        <w:rPr>
          <w:rFonts w:ascii="Times New Roman" w:hAnsi="Times New Roman" w:cs="Times New Roman"/>
          <w:sz w:val="24"/>
          <w:szCs w:val="24"/>
          <w:lang w:val="en-NZ"/>
        </w:rPr>
        <w:t xml:space="preserve"> who reported that emerging markets stocks are largely concentrated at lower quantiles indicating shock transmission from one market to another. Moreover, Das et al. (2018) stressed </w:t>
      </w:r>
      <w:r w:rsidR="00D575FD" w:rsidRPr="006F4180">
        <w:rPr>
          <w:rFonts w:ascii="Times New Roman" w:hAnsi="Times New Roman" w:cs="Times New Roman"/>
          <w:sz w:val="24"/>
          <w:szCs w:val="24"/>
          <w:lang w:val="en-NZ"/>
        </w:rPr>
        <w:t xml:space="preserve">a </w:t>
      </w:r>
      <w:r w:rsidR="00785B5B" w:rsidRPr="006F4180">
        <w:rPr>
          <w:rFonts w:ascii="Times New Roman" w:hAnsi="Times New Roman" w:cs="Times New Roman"/>
          <w:sz w:val="24"/>
          <w:szCs w:val="24"/>
          <w:lang w:val="en-NZ"/>
        </w:rPr>
        <w:t>weaker contagion effect for Latin American emerging market</w:t>
      </w:r>
      <w:r w:rsidR="00D575FD" w:rsidRPr="006F4180">
        <w:rPr>
          <w:rFonts w:ascii="Times New Roman" w:hAnsi="Times New Roman" w:cs="Times New Roman"/>
          <w:sz w:val="24"/>
          <w:szCs w:val="24"/>
          <w:lang w:val="en-NZ"/>
        </w:rPr>
        <w:t>s</w:t>
      </w:r>
      <w:r w:rsidR="00785B5B" w:rsidRPr="006F4180">
        <w:rPr>
          <w:rFonts w:ascii="Times New Roman" w:hAnsi="Times New Roman" w:cs="Times New Roman"/>
          <w:sz w:val="24"/>
          <w:szCs w:val="24"/>
          <w:lang w:val="en-NZ"/>
        </w:rPr>
        <w:t xml:space="preserve"> during the global financial crisis</w:t>
      </w:r>
      <w:r w:rsidR="00D575FD" w:rsidRPr="006F4180">
        <w:rPr>
          <w:rFonts w:ascii="Times New Roman" w:hAnsi="Times New Roman" w:cs="Times New Roman"/>
          <w:sz w:val="24"/>
          <w:szCs w:val="24"/>
          <w:lang w:val="en-NZ"/>
        </w:rPr>
        <w:t>,</w:t>
      </w:r>
      <w:r w:rsidR="00785B5B" w:rsidRPr="006F4180">
        <w:rPr>
          <w:rFonts w:ascii="Times New Roman" w:hAnsi="Times New Roman" w:cs="Times New Roman"/>
          <w:sz w:val="24"/>
          <w:szCs w:val="24"/>
          <w:lang w:val="en-NZ"/>
        </w:rPr>
        <w:t xml:space="preserve"> whereas the contagion effect surmounts for the emerging markets. In this way, a diversification potential in other emerging markets exists</w:t>
      </w:r>
      <w:r w:rsidR="00D575FD" w:rsidRPr="006F4180">
        <w:rPr>
          <w:rFonts w:ascii="Times New Roman" w:hAnsi="Times New Roman" w:cs="Times New Roman"/>
          <w:sz w:val="24"/>
          <w:szCs w:val="24"/>
          <w:lang w:val="en-NZ"/>
        </w:rPr>
        <w:t>,</w:t>
      </w:r>
      <w:r w:rsidR="00785B5B" w:rsidRPr="006F4180">
        <w:rPr>
          <w:rFonts w:ascii="Times New Roman" w:hAnsi="Times New Roman" w:cs="Times New Roman"/>
          <w:sz w:val="24"/>
          <w:szCs w:val="24"/>
          <w:lang w:val="en-NZ"/>
        </w:rPr>
        <w:t xml:space="preserve"> which will reap profits in the lon</w:t>
      </w:r>
      <w:r w:rsidR="002D5F5C" w:rsidRPr="006F4180">
        <w:rPr>
          <w:rFonts w:ascii="Times New Roman" w:hAnsi="Times New Roman" w:cs="Times New Roman"/>
          <w:sz w:val="24"/>
          <w:szCs w:val="24"/>
          <w:lang w:val="en-NZ"/>
        </w:rPr>
        <w:t>g</w:t>
      </w:r>
      <w:r w:rsidR="00785B5B" w:rsidRPr="006F4180">
        <w:rPr>
          <w:rFonts w:ascii="Times New Roman" w:hAnsi="Times New Roman" w:cs="Times New Roman"/>
          <w:sz w:val="24"/>
          <w:szCs w:val="24"/>
          <w:lang w:val="en-NZ"/>
        </w:rPr>
        <w:t xml:space="preserve">-run.  </w:t>
      </w:r>
      <w:r w:rsidR="00C32A8A" w:rsidRPr="006F4180">
        <w:rPr>
          <w:rFonts w:ascii="Times New Roman" w:hAnsi="Times New Roman" w:cs="Times New Roman"/>
          <w:sz w:val="24"/>
          <w:szCs w:val="24"/>
          <w:lang w:val="en-NZ"/>
        </w:rPr>
        <w:t xml:space="preserve"> </w:t>
      </w:r>
      <w:r w:rsidR="003E7D44" w:rsidRPr="006F4180">
        <w:rPr>
          <w:rFonts w:ascii="Times New Roman" w:hAnsi="Times New Roman" w:cs="Times New Roman"/>
          <w:sz w:val="24"/>
          <w:szCs w:val="24"/>
          <w:lang w:val="en-NZ"/>
        </w:rPr>
        <w:t xml:space="preserve"> </w:t>
      </w:r>
      <w:r w:rsidRPr="006F4180">
        <w:rPr>
          <w:rFonts w:ascii="Times New Roman" w:hAnsi="Times New Roman" w:cs="Times New Roman"/>
          <w:sz w:val="24"/>
          <w:szCs w:val="24"/>
          <w:lang w:val="en-NZ"/>
        </w:rPr>
        <w:t xml:space="preserve">   </w:t>
      </w:r>
    </w:p>
    <w:p w14:paraId="6CBDB139" w14:textId="0F644C8A" w:rsidR="007B7D28" w:rsidRPr="006F4180" w:rsidRDefault="002E1DAC" w:rsidP="002E1DAC">
      <w:pPr>
        <w:spacing w:line="360" w:lineRule="auto"/>
        <w:jc w:val="center"/>
        <w:rPr>
          <w:rFonts w:ascii="Times New Roman" w:hAnsi="Times New Roman" w:cs="Times New Roman"/>
          <w:sz w:val="24"/>
          <w:szCs w:val="24"/>
          <w:lang w:val="en-NZ"/>
        </w:rPr>
      </w:pPr>
      <w:r w:rsidRPr="006F4180">
        <w:rPr>
          <w:rFonts w:ascii="Times New Roman" w:hAnsi="Times New Roman" w:cs="Times New Roman"/>
          <w:sz w:val="24"/>
          <w:szCs w:val="24"/>
          <w:lang w:val="en-NZ"/>
        </w:rPr>
        <w:t>[Figure 2 about here]</w:t>
      </w:r>
    </w:p>
    <w:p w14:paraId="29CF6DD7" w14:textId="26044A17" w:rsidR="0091118A" w:rsidRPr="006F4180" w:rsidRDefault="0091118A" w:rsidP="003F5DF8">
      <w:pPr>
        <w:spacing w:line="360" w:lineRule="auto"/>
        <w:jc w:val="both"/>
        <w:rPr>
          <w:rFonts w:ascii="Times New Roman" w:hAnsi="Times New Roman" w:cs="Times New Roman"/>
          <w:i/>
          <w:sz w:val="24"/>
          <w:szCs w:val="24"/>
          <w:lang w:val="en-NZ"/>
        </w:rPr>
      </w:pPr>
      <w:r w:rsidRPr="006F4180">
        <w:rPr>
          <w:rFonts w:ascii="Times New Roman" w:hAnsi="Times New Roman" w:cs="Times New Roman"/>
          <w:i/>
          <w:sz w:val="24"/>
          <w:szCs w:val="24"/>
          <w:lang w:val="en-NZ"/>
        </w:rPr>
        <w:t xml:space="preserve">4.2.2 </w:t>
      </w:r>
      <w:r w:rsidR="00D575FD" w:rsidRPr="006F4180">
        <w:rPr>
          <w:rFonts w:ascii="Times New Roman" w:hAnsi="Times New Roman" w:cs="Times New Roman"/>
          <w:i/>
          <w:sz w:val="24"/>
          <w:szCs w:val="24"/>
          <w:lang w:val="en-NZ"/>
        </w:rPr>
        <w:t>Total</w:t>
      </w:r>
      <w:r w:rsidRPr="006F4180">
        <w:rPr>
          <w:rFonts w:ascii="Times New Roman" w:hAnsi="Times New Roman" w:cs="Times New Roman"/>
          <w:i/>
          <w:sz w:val="24"/>
          <w:szCs w:val="24"/>
          <w:lang w:val="en-NZ"/>
        </w:rPr>
        <w:t xml:space="preserve"> Connectedness and </w:t>
      </w:r>
      <w:proofErr w:type="spellStart"/>
      <w:r w:rsidRPr="006F4180">
        <w:rPr>
          <w:rFonts w:ascii="Times New Roman" w:hAnsi="Times New Roman" w:cs="Times New Roman"/>
          <w:i/>
          <w:sz w:val="24"/>
          <w:szCs w:val="24"/>
          <w:lang w:val="en-NZ"/>
        </w:rPr>
        <w:t>CoVaR</w:t>
      </w:r>
      <w:proofErr w:type="spellEnd"/>
      <w:r w:rsidRPr="006F4180">
        <w:rPr>
          <w:rFonts w:ascii="Times New Roman" w:hAnsi="Times New Roman" w:cs="Times New Roman"/>
          <w:i/>
          <w:sz w:val="24"/>
          <w:szCs w:val="24"/>
          <w:lang w:val="en-NZ"/>
        </w:rPr>
        <w:t xml:space="preserve"> Estimates </w:t>
      </w:r>
    </w:p>
    <w:p w14:paraId="69EE8FB1" w14:textId="4B602102" w:rsidR="001465D2" w:rsidRPr="006F4180" w:rsidRDefault="002E50D6" w:rsidP="003F5DF8">
      <w:pPr>
        <w:spacing w:line="360" w:lineRule="auto"/>
        <w:jc w:val="both"/>
        <w:rPr>
          <w:rFonts w:ascii="Times New Roman" w:eastAsia="RMTMI" w:hAnsi="Times New Roman" w:cs="Times New Roman"/>
          <w:sz w:val="24"/>
          <w:szCs w:val="24"/>
        </w:rPr>
      </w:pPr>
      <w:r w:rsidRPr="006F4180">
        <w:rPr>
          <w:rFonts w:ascii="Times New Roman" w:hAnsi="Times New Roman" w:cs="Times New Roman"/>
          <w:sz w:val="24"/>
          <w:szCs w:val="24"/>
          <w:lang w:val="en-NZ"/>
        </w:rPr>
        <w:t xml:space="preserve">Figure 3 plots the </w:t>
      </w:r>
      <w:r w:rsidR="00D575FD" w:rsidRPr="006F4180">
        <w:rPr>
          <w:rFonts w:ascii="Times New Roman" w:hAnsi="Times New Roman" w:cs="Times New Roman"/>
          <w:sz w:val="24"/>
          <w:szCs w:val="24"/>
          <w:lang w:val="en-NZ"/>
        </w:rPr>
        <w:t>total</w:t>
      </w:r>
      <w:r w:rsidRPr="006F4180">
        <w:rPr>
          <w:rFonts w:ascii="Times New Roman" w:hAnsi="Times New Roman" w:cs="Times New Roman"/>
          <w:sz w:val="24"/>
          <w:szCs w:val="24"/>
          <w:lang w:val="en-NZ"/>
        </w:rPr>
        <w:t xml:space="preserve"> connectedness of 23 emerging markets where risk is classified as </w:t>
      </w:r>
      <w:r w:rsidR="00D575FD" w:rsidRPr="006F4180">
        <w:rPr>
          <w:rFonts w:ascii="Times New Roman" w:hAnsi="Times New Roman" w:cs="Times New Roman"/>
          <w:sz w:val="24"/>
          <w:szCs w:val="24"/>
          <w:lang w:val="en-NZ"/>
        </w:rPr>
        <w:t xml:space="preserve">the total </w:t>
      </w:r>
      <w:r w:rsidRPr="006F4180">
        <w:rPr>
          <w:rFonts w:ascii="Times New Roman" w:hAnsi="Times New Roman" w:cs="Times New Roman"/>
          <w:sz w:val="24"/>
          <w:szCs w:val="24"/>
          <w:lang w:val="en-NZ"/>
        </w:rPr>
        <w:t xml:space="preserve">connectedness of emerging markets and </w:t>
      </w:r>
      <w:r w:rsidR="00D575FD"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 xml:space="preserve">average value of lambda </w:t>
      </w:r>
      <w:r w:rsidR="0095042A" w:rsidRPr="006F4180">
        <w:rPr>
          <w:rFonts w:ascii="Times New Roman" w:hAnsi="Times New Roman" w:cs="Times New Roman"/>
          <w:sz w:val="24"/>
          <w:szCs w:val="24"/>
          <w:lang w:val="en-NZ"/>
        </w:rPr>
        <w:t>(</w:t>
      </w:r>
      <w:r w:rsidR="0095042A" w:rsidRPr="006F4180">
        <w:rPr>
          <w:rFonts w:ascii="Times New Roman" w:eastAsia="RMTMI" w:hAnsi="Times New Roman" w:cs="Times New Roman"/>
          <w:sz w:val="24"/>
          <w:szCs w:val="24"/>
        </w:rPr>
        <w:t>λ</w:t>
      </w:r>
      <w:r w:rsidR="0095042A" w:rsidRPr="006F4180">
        <w:rPr>
          <w:rFonts w:ascii="Times New Roman" w:hAnsi="Times New Roman" w:cs="Times New Roman"/>
          <w:sz w:val="24"/>
          <w:szCs w:val="24"/>
          <w:lang w:val="en-NZ"/>
        </w:rPr>
        <w:t xml:space="preserve">) </w:t>
      </w:r>
      <w:r w:rsidRPr="006F4180">
        <w:rPr>
          <w:rFonts w:ascii="Times New Roman" w:hAnsi="Times New Roman" w:cs="Times New Roman"/>
          <w:sz w:val="24"/>
          <w:szCs w:val="24"/>
          <w:lang w:val="en-NZ"/>
        </w:rPr>
        <w:t xml:space="preserve">estimated by </w:t>
      </w:r>
      <w:proofErr w:type="spellStart"/>
      <w:r w:rsidRPr="006F4180">
        <w:rPr>
          <w:rFonts w:ascii="Times New Roman" w:hAnsi="Times New Roman" w:cs="Times New Roman"/>
          <w:sz w:val="24"/>
          <w:szCs w:val="24"/>
          <w:lang w:val="en-NZ"/>
        </w:rPr>
        <w:t>CoVaR</w:t>
      </w:r>
      <w:proofErr w:type="spellEnd"/>
      <w:r w:rsidRPr="006F4180">
        <w:rPr>
          <w:rFonts w:ascii="Times New Roman" w:hAnsi="Times New Roman" w:cs="Times New Roman"/>
          <w:sz w:val="24"/>
          <w:szCs w:val="24"/>
          <w:lang w:val="en-NZ"/>
        </w:rPr>
        <w:t xml:space="preserve">. The trends shown in the graph denote </w:t>
      </w:r>
      <w:r w:rsidR="00D575FD" w:rsidRPr="006F4180">
        <w:rPr>
          <w:rFonts w:ascii="Times New Roman" w:hAnsi="Times New Roman" w:cs="Times New Roman"/>
          <w:sz w:val="24"/>
          <w:szCs w:val="24"/>
          <w:lang w:val="en-NZ"/>
        </w:rPr>
        <w:t>total</w:t>
      </w:r>
      <w:r w:rsidRPr="006F4180">
        <w:rPr>
          <w:rFonts w:ascii="Times New Roman" w:hAnsi="Times New Roman" w:cs="Times New Roman"/>
          <w:sz w:val="24"/>
          <w:szCs w:val="24"/>
          <w:lang w:val="en-NZ"/>
        </w:rPr>
        <w:t xml:space="preserve"> connectedness by </w:t>
      </w:r>
      <w:r w:rsidR="00D575FD" w:rsidRPr="006F4180">
        <w:rPr>
          <w:rFonts w:ascii="Times New Roman" w:hAnsi="Times New Roman" w:cs="Times New Roman"/>
          <w:sz w:val="24"/>
          <w:szCs w:val="24"/>
          <w:lang w:val="en-NZ"/>
        </w:rPr>
        <w:t>a solid blue</w:t>
      </w:r>
      <w:r w:rsidRPr="006F4180">
        <w:rPr>
          <w:rFonts w:ascii="Times New Roman" w:hAnsi="Times New Roman" w:cs="Times New Roman"/>
          <w:sz w:val="24"/>
          <w:szCs w:val="24"/>
          <w:lang w:val="en-NZ"/>
        </w:rPr>
        <w:t xml:space="preserve"> line</w:t>
      </w:r>
      <w:r w:rsidR="00D575FD"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 whereas </w:t>
      </w:r>
      <w:r w:rsidR="00D575FD"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 xml:space="preserve">black dotted line represents </w:t>
      </w:r>
      <w:r w:rsidR="00D575FD" w:rsidRPr="006F4180">
        <w:rPr>
          <w:rFonts w:ascii="Times New Roman" w:hAnsi="Times New Roman" w:cs="Times New Roman"/>
          <w:sz w:val="24"/>
          <w:szCs w:val="24"/>
          <w:lang w:val="en-NZ"/>
        </w:rPr>
        <w:t xml:space="preserve">the </w:t>
      </w:r>
      <w:r w:rsidRPr="006F4180">
        <w:rPr>
          <w:rFonts w:ascii="Times New Roman" w:hAnsi="Times New Roman" w:cs="Times New Roman"/>
          <w:sz w:val="24"/>
          <w:szCs w:val="24"/>
          <w:lang w:val="en-NZ"/>
        </w:rPr>
        <w:t>average lambda</w:t>
      </w:r>
      <w:r w:rsidR="0095042A" w:rsidRPr="006F4180">
        <w:rPr>
          <w:rFonts w:ascii="Times New Roman" w:hAnsi="Times New Roman" w:cs="Times New Roman"/>
          <w:sz w:val="24"/>
          <w:szCs w:val="24"/>
          <w:lang w:val="en-NZ"/>
        </w:rPr>
        <w:t xml:space="preserve"> (</w:t>
      </w:r>
      <w:r w:rsidR="0095042A" w:rsidRPr="006F4180">
        <w:rPr>
          <w:rFonts w:ascii="Times New Roman" w:eastAsia="RMTMI" w:hAnsi="Times New Roman" w:cs="Times New Roman"/>
          <w:sz w:val="24"/>
          <w:szCs w:val="24"/>
        </w:rPr>
        <w:t>λ</w:t>
      </w:r>
      <w:r w:rsidR="0095042A"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 value of </w:t>
      </w:r>
      <w:proofErr w:type="spellStart"/>
      <w:r w:rsidRPr="006F4180">
        <w:rPr>
          <w:rFonts w:ascii="Times New Roman" w:hAnsi="Times New Roman" w:cs="Times New Roman"/>
          <w:sz w:val="24"/>
          <w:szCs w:val="24"/>
          <w:lang w:val="en-NZ"/>
        </w:rPr>
        <w:t>CoVaR</w:t>
      </w:r>
      <w:proofErr w:type="spellEnd"/>
      <w:r w:rsidRPr="006F4180">
        <w:rPr>
          <w:rFonts w:ascii="Times New Roman" w:hAnsi="Times New Roman" w:cs="Times New Roman"/>
          <w:sz w:val="24"/>
          <w:szCs w:val="24"/>
          <w:lang w:val="en-NZ"/>
        </w:rPr>
        <w:t xml:space="preserve"> estimates</w:t>
      </w:r>
      <w:r w:rsidR="00735497" w:rsidRPr="006F4180">
        <w:rPr>
          <w:rFonts w:ascii="Times New Roman" w:hAnsi="Times New Roman" w:cs="Times New Roman"/>
          <w:sz w:val="24"/>
          <w:szCs w:val="24"/>
          <w:lang w:val="en-NZ"/>
        </w:rPr>
        <w:t xml:space="preserve"> indicating </w:t>
      </w:r>
      <w:r w:rsidR="00D575FD" w:rsidRPr="006F4180">
        <w:rPr>
          <w:rFonts w:ascii="Times New Roman" w:hAnsi="Times New Roman" w:cs="Times New Roman"/>
          <w:sz w:val="24"/>
          <w:szCs w:val="24"/>
          <w:lang w:val="en-NZ"/>
        </w:rPr>
        <w:t xml:space="preserve">the </w:t>
      </w:r>
      <w:r w:rsidR="00735497" w:rsidRPr="006F4180">
        <w:rPr>
          <w:rFonts w:ascii="Times New Roman" w:hAnsi="Times New Roman" w:cs="Times New Roman"/>
          <w:sz w:val="24"/>
          <w:szCs w:val="24"/>
          <w:lang w:val="en-NZ"/>
        </w:rPr>
        <w:t>pattern of systemic risk during the sample period</w:t>
      </w:r>
      <w:r w:rsidRPr="006F4180">
        <w:rPr>
          <w:rFonts w:ascii="Times New Roman" w:hAnsi="Times New Roman" w:cs="Times New Roman"/>
          <w:sz w:val="24"/>
          <w:szCs w:val="24"/>
          <w:lang w:val="en-NZ"/>
        </w:rPr>
        <w:t xml:space="preserve">. Noticeably, the </w:t>
      </w:r>
      <w:r w:rsidR="00D575FD" w:rsidRPr="006F4180">
        <w:rPr>
          <w:rFonts w:ascii="Times New Roman" w:hAnsi="Times New Roman" w:cs="Times New Roman"/>
          <w:sz w:val="24"/>
          <w:szCs w:val="24"/>
          <w:lang w:val="en-NZ"/>
        </w:rPr>
        <w:t>total</w:t>
      </w:r>
      <w:r w:rsidRPr="006F4180">
        <w:rPr>
          <w:rFonts w:ascii="Times New Roman" w:hAnsi="Times New Roman" w:cs="Times New Roman"/>
          <w:sz w:val="24"/>
          <w:szCs w:val="24"/>
          <w:lang w:val="en-NZ"/>
        </w:rPr>
        <w:t xml:space="preserve"> </w:t>
      </w:r>
      <w:r w:rsidR="0095042A" w:rsidRPr="006F4180">
        <w:rPr>
          <w:rFonts w:ascii="Times New Roman" w:hAnsi="Times New Roman" w:cs="Times New Roman"/>
          <w:sz w:val="24"/>
          <w:szCs w:val="24"/>
          <w:lang w:val="en-NZ"/>
        </w:rPr>
        <w:lastRenderedPageBreak/>
        <w:t xml:space="preserve">connectedness and average </w:t>
      </w:r>
      <w:r w:rsidR="0095042A" w:rsidRPr="006F4180">
        <w:rPr>
          <w:rFonts w:ascii="Times New Roman" w:eastAsia="RMTMI" w:hAnsi="Times New Roman" w:cs="Times New Roman"/>
          <w:sz w:val="24"/>
          <w:szCs w:val="24"/>
        </w:rPr>
        <w:t>λ</w:t>
      </w:r>
      <w:r w:rsidRPr="006F4180">
        <w:rPr>
          <w:rFonts w:ascii="Times New Roman" w:hAnsi="Times New Roman" w:cs="Times New Roman"/>
          <w:sz w:val="24"/>
          <w:szCs w:val="24"/>
          <w:lang w:val="en-NZ"/>
        </w:rPr>
        <w:t xml:space="preserve"> showed a spike in the graph during 2001-2003</w:t>
      </w:r>
      <w:r w:rsidR="00D575FD" w:rsidRPr="006F4180">
        <w:rPr>
          <w:rFonts w:ascii="Times New Roman" w:hAnsi="Times New Roman" w:cs="Times New Roman"/>
          <w:sz w:val="24"/>
          <w:szCs w:val="24"/>
          <w:lang w:val="en-NZ"/>
        </w:rPr>
        <w:t>,</w:t>
      </w:r>
      <w:r w:rsidRPr="006F4180">
        <w:rPr>
          <w:rFonts w:ascii="Times New Roman" w:hAnsi="Times New Roman" w:cs="Times New Roman"/>
          <w:sz w:val="24"/>
          <w:szCs w:val="24"/>
          <w:lang w:val="en-NZ"/>
        </w:rPr>
        <w:t xml:space="preserve"> pointing to Argentin</w:t>
      </w:r>
      <w:r w:rsidR="00D575FD" w:rsidRPr="006F4180">
        <w:rPr>
          <w:rFonts w:ascii="Times New Roman" w:hAnsi="Times New Roman" w:cs="Times New Roman"/>
          <w:sz w:val="24"/>
          <w:szCs w:val="24"/>
          <w:lang w:val="en-NZ"/>
        </w:rPr>
        <w:t>a</w:t>
      </w:r>
      <w:r w:rsidRPr="006F4180">
        <w:rPr>
          <w:rFonts w:ascii="Times New Roman" w:hAnsi="Times New Roman" w:cs="Times New Roman"/>
          <w:sz w:val="24"/>
          <w:szCs w:val="24"/>
          <w:lang w:val="en-NZ"/>
        </w:rPr>
        <w:t xml:space="preserve">’s economic downfall where emerging markets showed higher connectedness due to stressed circumstances. </w:t>
      </w:r>
      <w:r w:rsidR="0095042A" w:rsidRPr="006F4180">
        <w:rPr>
          <w:rFonts w:ascii="Times New Roman" w:hAnsi="Times New Roman" w:cs="Times New Roman"/>
          <w:sz w:val="24"/>
          <w:szCs w:val="24"/>
          <w:lang w:val="en-NZ"/>
        </w:rPr>
        <w:t xml:space="preserve">The subsequent decline in the graph denotes </w:t>
      </w:r>
      <w:r w:rsidR="00D575FD" w:rsidRPr="006F4180">
        <w:rPr>
          <w:rFonts w:ascii="Times New Roman" w:hAnsi="Times New Roman" w:cs="Times New Roman"/>
          <w:sz w:val="24"/>
          <w:szCs w:val="24"/>
          <w:lang w:val="en-NZ"/>
        </w:rPr>
        <w:t xml:space="preserve">a </w:t>
      </w:r>
      <w:r w:rsidR="0095042A" w:rsidRPr="006F4180">
        <w:rPr>
          <w:rFonts w:ascii="Times New Roman" w:hAnsi="Times New Roman" w:cs="Times New Roman"/>
          <w:sz w:val="24"/>
          <w:szCs w:val="24"/>
          <w:lang w:val="en-NZ"/>
        </w:rPr>
        <w:t xml:space="preserve">return to stable economic conditions </w:t>
      </w:r>
      <w:r w:rsidR="00735497" w:rsidRPr="006F4180">
        <w:rPr>
          <w:rFonts w:ascii="Times New Roman" w:hAnsi="Times New Roman" w:cs="Times New Roman"/>
          <w:sz w:val="24"/>
          <w:szCs w:val="24"/>
          <w:lang w:val="en-NZ"/>
        </w:rPr>
        <w:t xml:space="preserve">and low risk </w:t>
      </w:r>
      <w:r w:rsidR="0095042A" w:rsidRPr="006F4180">
        <w:rPr>
          <w:rFonts w:ascii="Times New Roman" w:hAnsi="Times New Roman" w:cs="Times New Roman"/>
          <w:sz w:val="24"/>
          <w:szCs w:val="24"/>
          <w:lang w:val="en-NZ"/>
        </w:rPr>
        <w:t xml:space="preserve">for both </w:t>
      </w:r>
      <w:r w:rsidR="00D575FD" w:rsidRPr="006F4180">
        <w:rPr>
          <w:rFonts w:ascii="Times New Roman" w:hAnsi="Times New Roman" w:cs="Times New Roman"/>
          <w:sz w:val="24"/>
          <w:szCs w:val="24"/>
          <w:lang w:val="en-NZ"/>
        </w:rPr>
        <w:t>total</w:t>
      </w:r>
      <w:r w:rsidR="0095042A" w:rsidRPr="006F4180">
        <w:rPr>
          <w:rFonts w:ascii="Times New Roman" w:hAnsi="Times New Roman" w:cs="Times New Roman"/>
          <w:sz w:val="24"/>
          <w:szCs w:val="24"/>
          <w:lang w:val="en-NZ"/>
        </w:rPr>
        <w:t xml:space="preserve"> connectedness and </w:t>
      </w:r>
      <w:proofErr w:type="spellStart"/>
      <w:r w:rsidR="0095042A" w:rsidRPr="006F4180">
        <w:rPr>
          <w:rFonts w:ascii="Times New Roman" w:hAnsi="Times New Roman" w:cs="Times New Roman"/>
          <w:sz w:val="24"/>
          <w:szCs w:val="24"/>
          <w:lang w:val="en-NZ"/>
        </w:rPr>
        <w:t>CoVaR</w:t>
      </w:r>
      <w:proofErr w:type="spellEnd"/>
      <w:r w:rsidR="0095042A" w:rsidRPr="006F4180">
        <w:rPr>
          <w:rFonts w:ascii="Times New Roman" w:hAnsi="Times New Roman" w:cs="Times New Roman"/>
          <w:sz w:val="24"/>
          <w:szCs w:val="24"/>
          <w:lang w:val="en-NZ"/>
        </w:rPr>
        <w:t xml:space="preserve"> estimates</w:t>
      </w:r>
      <w:r w:rsidR="00735497" w:rsidRPr="006F4180">
        <w:rPr>
          <w:rFonts w:ascii="Times New Roman" w:hAnsi="Times New Roman" w:cs="Times New Roman"/>
          <w:sz w:val="24"/>
          <w:szCs w:val="24"/>
          <w:lang w:val="en-NZ"/>
        </w:rPr>
        <w:t>, respectively</w:t>
      </w:r>
      <w:r w:rsidR="0095042A" w:rsidRPr="006F4180">
        <w:rPr>
          <w:rFonts w:ascii="Times New Roman" w:hAnsi="Times New Roman" w:cs="Times New Roman"/>
          <w:sz w:val="24"/>
          <w:szCs w:val="24"/>
          <w:lang w:val="en-NZ"/>
        </w:rPr>
        <w:t xml:space="preserve">. </w:t>
      </w:r>
      <w:r w:rsidR="00735497" w:rsidRPr="006F4180">
        <w:rPr>
          <w:rFonts w:ascii="Times New Roman" w:hAnsi="Times New Roman" w:cs="Times New Roman"/>
          <w:sz w:val="24"/>
          <w:szCs w:val="24"/>
          <w:lang w:val="en-NZ"/>
        </w:rPr>
        <w:t>The</w:t>
      </w:r>
      <w:r w:rsidR="00D575FD" w:rsidRPr="006F4180">
        <w:rPr>
          <w:rFonts w:ascii="Times New Roman" w:hAnsi="Times New Roman" w:cs="Times New Roman"/>
          <w:sz w:val="24"/>
          <w:szCs w:val="24"/>
          <w:lang w:val="en-NZ"/>
        </w:rPr>
        <w:t xml:space="preserve"> total</w:t>
      </w:r>
      <w:r w:rsidR="00735497" w:rsidRPr="006F4180">
        <w:rPr>
          <w:rFonts w:ascii="Times New Roman" w:hAnsi="Times New Roman" w:cs="Times New Roman"/>
          <w:sz w:val="24"/>
          <w:szCs w:val="24"/>
          <w:lang w:val="en-NZ"/>
        </w:rPr>
        <w:t xml:space="preserve"> connectedness showed a sheer spike in the graph during 2008-2010</w:t>
      </w:r>
      <w:r w:rsidR="00D575FD" w:rsidRPr="006F4180">
        <w:rPr>
          <w:rFonts w:ascii="Times New Roman" w:hAnsi="Times New Roman" w:cs="Times New Roman"/>
          <w:sz w:val="24"/>
          <w:szCs w:val="24"/>
          <w:lang w:val="en-NZ"/>
        </w:rPr>
        <w:t>,</w:t>
      </w:r>
      <w:r w:rsidR="00735497" w:rsidRPr="006F4180">
        <w:rPr>
          <w:rFonts w:ascii="Times New Roman" w:hAnsi="Times New Roman" w:cs="Times New Roman"/>
          <w:sz w:val="24"/>
          <w:szCs w:val="24"/>
          <w:lang w:val="en-NZ"/>
        </w:rPr>
        <w:t xml:space="preserve"> reflecting </w:t>
      </w:r>
      <w:r w:rsidR="00D575FD" w:rsidRPr="006F4180">
        <w:rPr>
          <w:rFonts w:ascii="Times New Roman" w:hAnsi="Times New Roman" w:cs="Times New Roman"/>
          <w:sz w:val="24"/>
          <w:szCs w:val="24"/>
          <w:lang w:val="en-NZ"/>
        </w:rPr>
        <w:t xml:space="preserve">the </w:t>
      </w:r>
      <w:r w:rsidR="00735497" w:rsidRPr="006F4180">
        <w:rPr>
          <w:rFonts w:ascii="Times New Roman" w:hAnsi="Times New Roman" w:cs="Times New Roman"/>
          <w:sz w:val="24"/>
          <w:szCs w:val="24"/>
          <w:lang w:val="en-NZ"/>
        </w:rPr>
        <w:t>global financial crisis</w:t>
      </w:r>
      <w:r w:rsidR="00D575FD" w:rsidRPr="006F4180">
        <w:rPr>
          <w:rFonts w:ascii="Times New Roman" w:hAnsi="Times New Roman" w:cs="Times New Roman"/>
          <w:sz w:val="24"/>
          <w:szCs w:val="24"/>
          <w:lang w:val="en-NZ"/>
        </w:rPr>
        <w:t>,</w:t>
      </w:r>
      <w:r w:rsidR="00735497" w:rsidRPr="006F4180">
        <w:rPr>
          <w:rFonts w:ascii="Times New Roman" w:hAnsi="Times New Roman" w:cs="Times New Roman"/>
          <w:sz w:val="24"/>
          <w:szCs w:val="24"/>
          <w:lang w:val="en-NZ"/>
        </w:rPr>
        <w:t xml:space="preserve"> whereas the systemic risk showed </w:t>
      </w:r>
      <w:r w:rsidR="00D575FD" w:rsidRPr="006F4180">
        <w:rPr>
          <w:rFonts w:ascii="Times New Roman" w:hAnsi="Times New Roman" w:cs="Times New Roman"/>
          <w:sz w:val="24"/>
          <w:szCs w:val="24"/>
          <w:lang w:val="en-NZ"/>
        </w:rPr>
        <w:t xml:space="preserve">a </w:t>
      </w:r>
      <w:r w:rsidR="00735497" w:rsidRPr="006F4180">
        <w:rPr>
          <w:rFonts w:ascii="Times New Roman" w:hAnsi="Times New Roman" w:cs="Times New Roman"/>
          <w:sz w:val="24"/>
          <w:szCs w:val="24"/>
          <w:lang w:val="en-NZ"/>
        </w:rPr>
        <w:t xml:space="preserve">moderate jump. However, the consequent trend in average </w:t>
      </w:r>
      <w:r w:rsidR="00735497" w:rsidRPr="006F4180">
        <w:rPr>
          <w:rFonts w:ascii="Times New Roman" w:eastAsia="RMTMI" w:hAnsi="Times New Roman" w:cs="Times New Roman"/>
          <w:sz w:val="24"/>
          <w:szCs w:val="24"/>
        </w:rPr>
        <w:t xml:space="preserve">λ revealed </w:t>
      </w:r>
      <w:r w:rsidR="00D575FD" w:rsidRPr="006F4180">
        <w:rPr>
          <w:rFonts w:ascii="Times New Roman" w:eastAsia="RMTMI" w:hAnsi="Times New Roman" w:cs="Times New Roman"/>
          <w:sz w:val="24"/>
          <w:szCs w:val="24"/>
        </w:rPr>
        <w:t xml:space="preserve">a </w:t>
      </w:r>
      <w:r w:rsidR="00735497" w:rsidRPr="006F4180">
        <w:rPr>
          <w:rFonts w:ascii="Times New Roman" w:eastAsia="RMTMI" w:hAnsi="Times New Roman" w:cs="Times New Roman"/>
          <w:sz w:val="24"/>
          <w:szCs w:val="24"/>
        </w:rPr>
        <w:t xml:space="preserve">significant rise indicating </w:t>
      </w:r>
      <w:r w:rsidR="00D575FD" w:rsidRPr="006F4180">
        <w:rPr>
          <w:rFonts w:ascii="Times New Roman" w:eastAsia="RMTMI" w:hAnsi="Times New Roman" w:cs="Times New Roman"/>
          <w:sz w:val="24"/>
          <w:szCs w:val="24"/>
        </w:rPr>
        <w:t xml:space="preserve">the </w:t>
      </w:r>
      <w:r w:rsidR="00735497" w:rsidRPr="006F4180">
        <w:rPr>
          <w:rFonts w:ascii="Times New Roman" w:eastAsia="RMTMI" w:hAnsi="Times New Roman" w:cs="Times New Roman"/>
          <w:sz w:val="24"/>
          <w:szCs w:val="24"/>
        </w:rPr>
        <w:t>aftermaths of GFC on the systemic risk</w:t>
      </w:r>
      <w:r w:rsidR="001465D2" w:rsidRPr="006F4180">
        <w:rPr>
          <w:rFonts w:ascii="Times New Roman" w:eastAsia="RMTMI" w:hAnsi="Times New Roman" w:cs="Times New Roman"/>
          <w:sz w:val="24"/>
          <w:szCs w:val="24"/>
        </w:rPr>
        <w:t xml:space="preserve"> of emerging markets</w:t>
      </w:r>
      <w:r w:rsidR="00735497" w:rsidRPr="006F4180">
        <w:rPr>
          <w:rFonts w:ascii="Times New Roman" w:eastAsia="RMTMI" w:hAnsi="Times New Roman" w:cs="Times New Roman"/>
          <w:sz w:val="24"/>
          <w:szCs w:val="24"/>
        </w:rPr>
        <w:t>.</w:t>
      </w:r>
      <w:r w:rsidR="001465D2" w:rsidRPr="006F4180">
        <w:rPr>
          <w:rFonts w:ascii="Times New Roman" w:eastAsia="RMTMI" w:hAnsi="Times New Roman" w:cs="Times New Roman"/>
          <w:sz w:val="24"/>
          <w:szCs w:val="24"/>
        </w:rPr>
        <w:t xml:space="preserve"> Our findings </w:t>
      </w:r>
      <w:r w:rsidR="00883237" w:rsidRPr="006F4180">
        <w:rPr>
          <w:rFonts w:ascii="Times New Roman" w:eastAsia="RMTMI" w:hAnsi="Times New Roman" w:cs="Times New Roman"/>
          <w:sz w:val="24"/>
          <w:szCs w:val="24"/>
        </w:rPr>
        <w:t>are somewhat different from</w:t>
      </w:r>
      <w:r w:rsidR="001465D2" w:rsidRPr="006F4180">
        <w:rPr>
          <w:rFonts w:ascii="Times New Roman" w:eastAsia="RMTMI" w:hAnsi="Times New Roman" w:cs="Times New Roman"/>
          <w:sz w:val="24"/>
          <w:szCs w:val="24"/>
        </w:rPr>
        <w:t xml:space="preserve"> </w:t>
      </w:r>
      <w:proofErr w:type="spellStart"/>
      <w:r w:rsidR="001465D2" w:rsidRPr="006F4180">
        <w:rPr>
          <w:rFonts w:ascii="Times New Roman" w:eastAsia="RMTMI" w:hAnsi="Times New Roman" w:cs="Times New Roman"/>
          <w:sz w:val="24"/>
          <w:szCs w:val="24"/>
        </w:rPr>
        <w:t>Hardle</w:t>
      </w:r>
      <w:proofErr w:type="spellEnd"/>
      <w:r w:rsidR="001465D2" w:rsidRPr="006F4180">
        <w:rPr>
          <w:rFonts w:ascii="Times New Roman" w:eastAsia="RMTMI" w:hAnsi="Times New Roman" w:cs="Times New Roman"/>
          <w:sz w:val="24"/>
          <w:szCs w:val="24"/>
        </w:rPr>
        <w:t xml:space="preserve"> et al. (2016)</w:t>
      </w:r>
      <w:r w:rsidR="00883237" w:rsidRPr="006F4180">
        <w:rPr>
          <w:rFonts w:ascii="Times New Roman" w:eastAsia="RMTMI" w:hAnsi="Times New Roman" w:cs="Times New Roman"/>
          <w:sz w:val="24"/>
          <w:szCs w:val="24"/>
        </w:rPr>
        <w:t>,</w:t>
      </w:r>
      <w:r w:rsidR="001465D2" w:rsidRPr="006F4180">
        <w:rPr>
          <w:rFonts w:ascii="Times New Roman" w:eastAsia="RMTMI" w:hAnsi="Times New Roman" w:cs="Times New Roman"/>
          <w:sz w:val="24"/>
          <w:szCs w:val="24"/>
        </w:rPr>
        <w:t xml:space="preserve"> who reported a sharp increase in the trend during GFC in the US financial institutions indicating higher systemic risk for </w:t>
      </w:r>
      <w:r w:rsidR="00D575FD" w:rsidRPr="006F4180">
        <w:rPr>
          <w:rFonts w:ascii="Times New Roman" w:eastAsia="RMTMI" w:hAnsi="Times New Roman" w:cs="Times New Roman"/>
          <w:sz w:val="24"/>
          <w:szCs w:val="24"/>
        </w:rPr>
        <w:t xml:space="preserve">the </w:t>
      </w:r>
      <w:r w:rsidR="001465D2" w:rsidRPr="006F4180">
        <w:rPr>
          <w:rFonts w:ascii="Times New Roman" w:eastAsia="RMTMI" w:hAnsi="Times New Roman" w:cs="Times New Roman"/>
          <w:sz w:val="24"/>
          <w:szCs w:val="24"/>
        </w:rPr>
        <w:t xml:space="preserve">financial industry. However, the differences in the results are due to variation in the selection of the industry where </w:t>
      </w:r>
      <w:r w:rsidR="00D575FD" w:rsidRPr="006F4180">
        <w:rPr>
          <w:rFonts w:ascii="Times New Roman" w:eastAsia="RMTMI" w:hAnsi="Times New Roman" w:cs="Times New Roman"/>
          <w:sz w:val="24"/>
          <w:szCs w:val="24"/>
        </w:rPr>
        <w:t xml:space="preserve">the </w:t>
      </w:r>
      <w:r w:rsidR="001465D2" w:rsidRPr="006F4180">
        <w:rPr>
          <w:rFonts w:ascii="Times New Roman" w:eastAsia="RMTMI" w:hAnsi="Times New Roman" w:cs="Times New Roman"/>
          <w:sz w:val="24"/>
          <w:szCs w:val="24"/>
        </w:rPr>
        <w:t>financial industry mainly experienced sharp integration of financial institutions</w:t>
      </w:r>
      <w:r w:rsidR="00883237" w:rsidRPr="006F4180">
        <w:rPr>
          <w:rFonts w:ascii="Times New Roman" w:eastAsia="RMTMI" w:hAnsi="Times New Roman" w:cs="Times New Roman"/>
          <w:sz w:val="24"/>
          <w:szCs w:val="24"/>
        </w:rPr>
        <w:t>. In contrast,</w:t>
      </w:r>
      <w:r w:rsidR="001465D2" w:rsidRPr="006F4180">
        <w:rPr>
          <w:rFonts w:ascii="Times New Roman" w:eastAsia="RMTMI" w:hAnsi="Times New Roman" w:cs="Times New Roman"/>
          <w:sz w:val="24"/>
          <w:szCs w:val="24"/>
        </w:rPr>
        <w:t xml:space="preserve"> emerging markets showed exposure to high risk after the period of GFC</w:t>
      </w:r>
      <w:r w:rsidR="00D575FD" w:rsidRPr="006F4180">
        <w:rPr>
          <w:rFonts w:ascii="Times New Roman" w:eastAsia="RMTMI" w:hAnsi="Times New Roman" w:cs="Times New Roman"/>
          <w:sz w:val="24"/>
          <w:szCs w:val="24"/>
        </w:rPr>
        <w:t>, as shocks from the US spill over to other markets globally</w:t>
      </w:r>
      <w:r w:rsidR="001B3CF8">
        <w:rPr>
          <w:rFonts w:ascii="Times New Roman" w:eastAsia="RMTMI" w:hAnsi="Times New Roman" w:cs="Times New Roman"/>
          <w:sz w:val="24"/>
          <w:szCs w:val="24"/>
        </w:rPr>
        <w:t xml:space="preserve"> (Yarovaya &amp; </w:t>
      </w:r>
      <w:proofErr w:type="spellStart"/>
      <w:r w:rsidR="001B3CF8">
        <w:rPr>
          <w:rFonts w:ascii="Times New Roman" w:eastAsia="RMTMI" w:hAnsi="Times New Roman" w:cs="Times New Roman"/>
          <w:sz w:val="24"/>
          <w:szCs w:val="24"/>
        </w:rPr>
        <w:t>Zieba</w:t>
      </w:r>
      <w:proofErr w:type="spellEnd"/>
      <w:r w:rsidR="001B3CF8">
        <w:rPr>
          <w:rFonts w:ascii="Times New Roman" w:eastAsia="RMTMI" w:hAnsi="Times New Roman" w:cs="Times New Roman"/>
          <w:sz w:val="24"/>
          <w:szCs w:val="24"/>
        </w:rPr>
        <w:t>, 2022; Naeem &amp; Karim, 2021)</w:t>
      </w:r>
      <w:r w:rsidR="001465D2" w:rsidRPr="006F4180">
        <w:rPr>
          <w:rFonts w:ascii="Times New Roman" w:eastAsia="RMTMI" w:hAnsi="Times New Roman" w:cs="Times New Roman"/>
          <w:sz w:val="24"/>
          <w:szCs w:val="24"/>
        </w:rPr>
        <w:t>.</w:t>
      </w:r>
      <w:r w:rsidR="000B5674" w:rsidRPr="006F4180">
        <w:rPr>
          <w:rFonts w:ascii="Times New Roman" w:eastAsia="RMTMI" w:hAnsi="Times New Roman" w:cs="Times New Roman"/>
          <w:sz w:val="24"/>
          <w:szCs w:val="24"/>
        </w:rPr>
        <w:t xml:space="preserve"> In line with Lee and Lee (2021)</w:t>
      </w:r>
      <w:r w:rsidR="00D575FD" w:rsidRPr="006F4180">
        <w:rPr>
          <w:rFonts w:ascii="Times New Roman" w:eastAsia="RMTMI" w:hAnsi="Times New Roman" w:cs="Times New Roman"/>
          <w:sz w:val="24"/>
          <w:szCs w:val="24"/>
        </w:rPr>
        <w:t>,</w:t>
      </w:r>
      <w:r w:rsidR="000B5674" w:rsidRPr="006F4180">
        <w:rPr>
          <w:rFonts w:ascii="Times New Roman" w:eastAsia="RMTMI" w:hAnsi="Times New Roman" w:cs="Times New Roman"/>
          <w:sz w:val="24"/>
          <w:szCs w:val="24"/>
        </w:rPr>
        <w:t xml:space="preserve"> we also reported peaks in the graph</w:t>
      </w:r>
      <w:r w:rsidR="00D575FD" w:rsidRPr="006F4180">
        <w:rPr>
          <w:rFonts w:ascii="Times New Roman" w:eastAsia="RMTMI" w:hAnsi="Times New Roman" w:cs="Times New Roman"/>
          <w:sz w:val="24"/>
          <w:szCs w:val="24"/>
        </w:rPr>
        <w:t>,</w:t>
      </w:r>
      <w:r w:rsidR="000B5674" w:rsidRPr="006F4180">
        <w:rPr>
          <w:rFonts w:ascii="Times New Roman" w:eastAsia="RMTMI" w:hAnsi="Times New Roman" w:cs="Times New Roman"/>
          <w:sz w:val="24"/>
          <w:szCs w:val="24"/>
        </w:rPr>
        <w:t xml:space="preserve"> which indicated major economic shocks such as </w:t>
      </w:r>
      <w:r w:rsidR="00D575FD" w:rsidRPr="006F4180">
        <w:rPr>
          <w:rFonts w:ascii="Times New Roman" w:eastAsia="RMTMI" w:hAnsi="Times New Roman" w:cs="Times New Roman"/>
          <w:sz w:val="24"/>
          <w:szCs w:val="24"/>
        </w:rPr>
        <w:t xml:space="preserve">the </w:t>
      </w:r>
      <w:r w:rsidR="000B5674" w:rsidRPr="006F4180">
        <w:rPr>
          <w:rFonts w:ascii="Times New Roman" w:eastAsia="RMTMI" w:hAnsi="Times New Roman" w:cs="Times New Roman"/>
          <w:sz w:val="24"/>
          <w:szCs w:val="24"/>
        </w:rPr>
        <w:t>Argentin</w:t>
      </w:r>
      <w:r w:rsidR="00D575FD" w:rsidRPr="006F4180">
        <w:rPr>
          <w:rFonts w:ascii="Times New Roman" w:eastAsia="RMTMI" w:hAnsi="Times New Roman" w:cs="Times New Roman"/>
          <w:sz w:val="24"/>
          <w:szCs w:val="24"/>
        </w:rPr>
        <w:t>ian</w:t>
      </w:r>
      <w:r w:rsidR="000B5674" w:rsidRPr="006F4180">
        <w:rPr>
          <w:rFonts w:ascii="Times New Roman" w:eastAsia="RMTMI" w:hAnsi="Times New Roman" w:cs="Times New Roman"/>
          <w:sz w:val="24"/>
          <w:szCs w:val="24"/>
        </w:rPr>
        <w:t xml:space="preserve"> economic downfall and global financial crisis. </w:t>
      </w:r>
    </w:p>
    <w:p w14:paraId="4AF55D8D" w14:textId="3FE2C078" w:rsidR="00D72CC1" w:rsidRPr="006F4180" w:rsidRDefault="001465D2" w:rsidP="003950B7">
      <w:pPr>
        <w:spacing w:line="360" w:lineRule="auto"/>
        <w:ind w:firstLine="720"/>
        <w:jc w:val="both"/>
        <w:rPr>
          <w:rFonts w:ascii="Times New Roman" w:eastAsia="RMTMI" w:hAnsi="Times New Roman" w:cs="Times New Roman"/>
          <w:sz w:val="24"/>
          <w:szCs w:val="24"/>
        </w:rPr>
      </w:pPr>
      <w:r w:rsidRPr="006F4180">
        <w:rPr>
          <w:rFonts w:ascii="Times New Roman" w:eastAsia="RMTMI" w:hAnsi="Times New Roman" w:cs="Times New Roman"/>
          <w:sz w:val="24"/>
          <w:szCs w:val="24"/>
        </w:rPr>
        <w:t>T</w:t>
      </w:r>
      <w:r w:rsidR="00167D83" w:rsidRPr="006F4180">
        <w:rPr>
          <w:rFonts w:ascii="Times New Roman" w:eastAsia="RMTMI" w:hAnsi="Times New Roman" w:cs="Times New Roman"/>
          <w:sz w:val="24"/>
          <w:szCs w:val="24"/>
        </w:rPr>
        <w:t>he succeeding spikes</w:t>
      </w:r>
      <w:r w:rsidR="00735497" w:rsidRPr="006F4180">
        <w:rPr>
          <w:rFonts w:ascii="Times New Roman" w:eastAsia="RMTMI" w:hAnsi="Times New Roman" w:cs="Times New Roman"/>
          <w:sz w:val="24"/>
          <w:szCs w:val="24"/>
        </w:rPr>
        <w:t xml:space="preserve"> in the total connected</w:t>
      </w:r>
      <w:r w:rsidR="00167D83" w:rsidRPr="006F4180">
        <w:rPr>
          <w:rFonts w:ascii="Times New Roman" w:eastAsia="RMTMI" w:hAnsi="Times New Roman" w:cs="Times New Roman"/>
          <w:sz w:val="24"/>
          <w:szCs w:val="24"/>
        </w:rPr>
        <w:t xml:space="preserve">ness of emerging markets denote </w:t>
      </w:r>
      <w:r w:rsidR="00D575FD" w:rsidRPr="006F4180">
        <w:rPr>
          <w:rFonts w:ascii="Times New Roman" w:eastAsia="RMTMI" w:hAnsi="Times New Roman" w:cs="Times New Roman"/>
          <w:sz w:val="24"/>
          <w:szCs w:val="24"/>
        </w:rPr>
        <w:t>China’s stock market crash in 2015,</w:t>
      </w:r>
      <w:r w:rsidR="00776207" w:rsidRPr="006F4180">
        <w:rPr>
          <w:rFonts w:ascii="Times New Roman" w:eastAsia="RMTMI" w:hAnsi="Times New Roman" w:cs="Times New Roman"/>
          <w:sz w:val="24"/>
          <w:szCs w:val="24"/>
        </w:rPr>
        <w:t xml:space="preserve"> but </w:t>
      </w:r>
      <w:r w:rsidR="00D575FD" w:rsidRPr="006F4180">
        <w:rPr>
          <w:rFonts w:ascii="Times New Roman" w:eastAsia="RMTMI" w:hAnsi="Times New Roman" w:cs="Times New Roman"/>
          <w:sz w:val="24"/>
          <w:szCs w:val="24"/>
        </w:rPr>
        <w:t xml:space="preserve">the </w:t>
      </w:r>
      <w:r w:rsidR="00776207" w:rsidRPr="006F4180">
        <w:rPr>
          <w:rFonts w:ascii="Times New Roman" w:eastAsia="RMTMI" w:hAnsi="Times New Roman" w:cs="Times New Roman"/>
          <w:sz w:val="24"/>
          <w:szCs w:val="24"/>
        </w:rPr>
        <w:t>lower variation in λ confirms that the crisis did not var</w:t>
      </w:r>
      <w:r w:rsidR="00D575FD" w:rsidRPr="006F4180">
        <w:rPr>
          <w:rFonts w:ascii="Times New Roman" w:eastAsia="RMTMI" w:hAnsi="Times New Roman" w:cs="Times New Roman"/>
          <w:sz w:val="24"/>
          <w:szCs w:val="24"/>
        </w:rPr>
        <w:t>y</w:t>
      </w:r>
      <w:r w:rsidR="00776207" w:rsidRPr="006F4180">
        <w:rPr>
          <w:rFonts w:ascii="Times New Roman" w:eastAsia="RMTMI" w:hAnsi="Times New Roman" w:cs="Times New Roman"/>
          <w:sz w:val="24"/>
          <w:szCs w:val="24"/>
        </w:rPr>
        <w:t xml:space="preserve"> the </w:t>
      </w:r>
      <w:r w:rsidRPr="006F4180">
        <w:rPr>
          <w:rFonts w:ascii="Times New Roman" w:eastAsia="RMTMI" w:hAnsi="Times New Roman" w:cs="Times New Roman"/>
          <w:sz w:val="24"/>
          <w:szCs w:val="24"/>
        </w:rPr>
        <w:t>level of systemic risk</w:t>
      </w:r>
      <w:r w:rsidR="00776207" w:rsidRPr="006F4180">
        <w:rPr>
          <w:rFonts w:ascii="Times New Roman" w:eastAsia="RMTMI" w:hAnsi="Times New Roman" w:cs="Times New Roman"/>
          <w:sz w:val="24"/>
          <w:szCs w:val="24"/>
        </w:rPr>
        <w:t xml:space="preserve"> for emerging markets.</w:t>
      </w:r>
      <w:r w:rsidR="00963E10" w:rsidRPr="006F4180">
        <w:rPr>
          <w:rFonts w:ascii="Times New Roman" w:eastAsia="RMTMI" w:hAnsi="Times New Roman" w:cs="Times New Roman"/>
          <w:sz w:val="24"/>
          <w:szCs w:val="24"/>
        </w:rPr>
        <w:t xml:space="preserve"> </w:t>
      </w:r>
      <w:r w:rsidR="00167D83" w:rsidRPr="006F4180">
        <w:rPr>
          <w:rFonts w:ascii="Times New Roman" w:eastAsia="RMTMI" w:hAnsi="Times New Roman" w:cs="Times New Roman"/>
          <w:sz w:val="24"/>
          <w:szCs w:val="24"/>
        </w:rPr>
        <w:t xml:space="preserve">Womack (2017) highlighted </w:t>
      </w:r>
      <w:r w:rsidR="00883237" w:rsidRPr="006F4180">
        <w:rPr>
          <w:rFonts w:ascii="Times New Roman" w:eastAsia="RMTMI" w:hAnsi="Times New Roman" w:cs="Times New Roman"/>
          <w:sz w:val="24"/>
          <w:szCs w:val="24"/>
        </w:rPr>
        <w:t xml:space="preserve">the </w:t>
      </w:r>
      <w:r w:rsidR="00167D83" w:rsidRPr="006F4180">
        <w:rPr>
          <w:rFonts w:ascii="Times New Roman" w:eastAsia="RMTMI" w:hAnsi="Times New Roman" w:cs="Times New Roman"/>
          <w:sz w:val="24"/>
          <w:szCs w:val="24"/>
        </w:rPr>
        <w:t>collapse of Chinese financial market</w:t>
      </w:r>
      <w:r w:rsidR="00883237" w:rsidRPr="006F4180">
        <w:rPr>
          <w:rFonts w:ascii="Times New Roman" w:eastAsia="RMTMI" w:hAnsi="Times New Roman" w:cs="Times New Roman"/>
          <w:sz w:val="24"/>
          <w:szCs w:val="24"/>
        </w:rPr>
        <w:t xml:space="preserve"> and compared it to the GFC</w:t>
      </w:r>
      <w:r w:rsidR="00167D83" w:rsidRPr="006F4180">
        <w:rPr>
          <w:rFonts w:ascii="Times New Roman" w:eastAsia="RMTMI" w:hAnsi="Times New Roman" w:cs="Times New Roman"/>
          <w:sz w:val="24"/>
          <w:szCs w:val="24"/>
        </w:rPr>
        <w:t>.</w:t>
      </w:r>
      <w:r w:rsidR="00776207" w:rsidRPr="006F4180">
        <w:rPr>
          <w:rFonts w:ascii="Times New Roman" w:eastAsia="RMTMI" w:hAnsi="Times New Roman" w:cs="Times New Roman"/>
          <w:sz w:val="24"/>
          <w:szCs w:val="24"/>
        </w:rPr>
        <w:t xml:space="preserve"> Interestingly, the sharp increase in the </w:t>
      </w:r>
      <w:r w:rsidR="00883237" w:rsidRPr="006F4180">
        <w:rPr>
          <w:rFonts w:ascii="Times New Roman" w:eastAsia="RMTMI" w:hAnsi="Times New Roman" w:cs="Times New Roman"/>
          <w:sz w:val="24"/>
          <w:szCs w:val="24"/>
        </w:rPr>
        <w:t>total</w:t>
      </w:r>
      <w:r w:rsidR="00776207" w:rsidRPr="006F4180">
        <w:rPr>
          <w:rFonts w:ascii="Times New Roman" w:eastAsia="RMTMI" w:hAnsi="Times New Roman" w:cs="Times New Roman"/>
          <w:sz w:val="24"/>
          <w:szCs w:val="24"/>
        </w:rPr>
        <w:t xml:space="preserve"> connectedness and λ estimates during the onset of COVID-19 substantiates </w:t>
      </w:r>
      <w:r w:rsidR="00883237" w:rsidRPr="006F4180">
        <w:rPr>
          <w:rFonts w:ascii="Times New Roman" w:eastAsia="RMTMI" w:hAnsi="Times New Roman" w:cs="Times New Roman"/>
          <w:sz w:val="24"/>
          <w:szCs w:val="24"/>
        </w:rPr>
        <w:t xml:space="preserve">a </w:t>
      </w:r>
      <w:r w:rsidR="00776207" w:rsidRPr="006F4180">
        <w:rPr>
          <w:rFonts w:ascii="Times New Roman" w:eastAsia="RMTMI" w:hAnsi="Times New Roman" w:cs="Times New Roman"/>
          <w:sz w:val="24"/>
          <w:szCs w:val="24"/>
        </w:rPr>
        <w:t xml:space="preserve">higher level of risk posed </w:t>
      </w:r>
      <w:r w:rsidR="00883237" w:rsidRPr="006F4180">
        <w:rPr>
          <w:rFonts w:ascii="Times New Roman" w:eastAsia="RMTMI" w:hAnsi="Times New Roman" w:cs="Times New Roman"/>
          <w:sz w:val="24"/>
          <w:szCs w:val="24"/>
        </w:rPr>
        <w:t>by</w:t>
      </w:r>
      <w:r w:rsidR="00776207" w:rsidRPr="006F4180">
        <w:rPr>
          <w:rFonts w:ascii="Times New Roman" w:eastAsia="RMTMI" w:hAnsi="Times New Roman" w:cs="Times New Roman"/>
          <w:sz w:val="24"/>
          <w:szCs w:val="24"/>
        </w:rPr>
        <w:t xml:space="preserve"> emerging markets given the </w:t>
      </w:r>
      <w:r w:rsidR="00883237" w:rsidRPr="006F4180">
        <w:rPr>
          <w:rFonts w:ascii="Times New Roman" w:eastAsia="RMTMI" w:hAnsi="Times New Roman" w:cs="Times New Roman"/>
          <w:sz w:val="24"/>
          <w:szCs w:val="24"/>
        </w:rPr>
        <w:t>alarming global</w:t>
      </w:r>
      <w:r w:rsidR="00776207" w:rsidRPr="006F4180">
        <w:rPr>
          <w:rFonts w:ascii="Times New Roman" w:eastAsia="RMTMI" w:hAnsi="Times New Roman" w:cs="Times New Roman"/>
          <w:sz w:val="24"/>
          <w:szCs w:val="24"/>
        </w:rPr>
        <w:t xml:space="preserve"> health crisis with severe lockdowns, travel and trade restrictions, and closure of almost all business operations. The higher risk and </w:t>
      </w:r>
      <w:r w:rsidR="00883237" w:rsidRPr="006F4180">
        <w:rPr>
          <w:rFonts w:ascii="Times New Roman" w:eastAsia="RMTMI" w:hAnsi="Times New Roman" w:cs="Times New Roman"/>
          <w:sz w:val="24"/>
          <w:szCs w:val="24"/>
        </w:rPr>
        <w:t xml:space="preserve">connectedness of emerging markets during the global pandemic is in line with </w:t>
      </w:r>
      <w:proofErr w:type="spellStart"/>
      <w:r w:rsidR="00883237" w:rsidRPr="006F4180">
        <w:rPr>
          <w:rFonts w:ascii="Times New Roman" w:eastAsia="RMTMI" w:hAnsi="Times New Roman" w:cs="Times New Roman"/>
          <w:sz w:val="24"/>
          <w:szCs w:val="24"/>
        </w:rPr>
        <w:t>Naifar</w:t>
      </w:r>
      <w:proofErr w:type="spellEnd"/>
      <w:r w:rsidR="00883237" w:rsidRPr="006F4180">
        <w:rPr>
          <w:rFonts w:ascii="Times New Roman" w:eastAsia="RMTMI" w:hAnsi="Times New Roman" w:cs="Times New Roman"/>
          <w:sz w:val="24"/>
          <w:szCs w:val="24"/>
        </w:rPr>
        <w:t xml:space="preserve"> and Shahzad (2021),</w:t>
      </w:r>
      <w:r w:rsidR="00776207" w:rsidRPr="006F4180">
        <w:rPr>
          <w:rFonts w:ascii="Times New Roman" w:eastAsia="RMTMI" w:hAnsi="Times New Roman" w:cs="Times New Roman"/>
          <w:sz w:val="24"/>
          <w:szCs w:val="24"/>
        </w:rPr>
        <w:t xml:space="preserve"> who also reported high connectedness and higher λ</w:t>
      </w:r>
      <w:r w:rsidRPr="006F4180">
        <w:rPr>
          <w:rFonts w:ascii="Times New Roman" w:eastAsia="RMTMI" w:hAnsi="Times New Roman" w:cs="Times New Roman"/>
          <w:sz w:val="24"/>
          <w:szCs w:val="24"/>
        </w:rPr>
        <w:t xml:space="preserve"> estimates for </w:t>
      </w:r>
      <w:r w:rsidR="00776207" w:rsidRPr="006F4180">
        <w:rPr>
          <w:rFonts w:ascii="Times New Roman" w:eastAsia="RMTMI" w:hAnsi="Times New Roman" w:cs="Times New Roman"/>
          <w:sz w:val="24"/>
          <w:szCs w:val="24"/>
        </w:rPr>
        <w:t>sovereign credit risk spreads</w:t>
      </w:r>
      <w:r w:rsidR="00B47A57" w:rsidRPr="006F4180">
        <w:rPr>
          <w:rFonts w:ascii="Times New Roman" w:eastAsia="RMTMI" w:hAnsi="Times New Roman" w:cs="Times New Roman"/>
          <w:sz w:val="24"/>
          <w:szCs w:val="24"/>
        </w:rPr>
        <w:t xml:space="preserve"> in 15 most </w:t>
      </w:r>
      <w:r w:rsidR="00883237" w:rsidRPr="006F4180">
        <w:rPr>
          <w:rFonts w:ascii="Times New Roman" w:eastAsia="RMTMI" w:hAnsi="Times New Roman" w:cs="Times New Roman"/>
          <w:sz w:val="24"/>
          <w:szCs w:val="24"/>
        </w:rPr>
        <w:t>a</w:t>
      </w:r>
      <w:r w:rsidR="00B47A57" w:rsidRPr="006F4180">
        <w:rPr>
          <w:rFonts w:ascii="Times New Roman" w:eastAsia="RMTMI" w:hAnsi="Times New Roman" w:cs="Times New Roman"/>
          <w:sz w:val="24"/>
          <w:szCs w:val="24"/>
        </w:rPr>
        <w:t>ffected countries with COVID-19</w:t>
      </w:r>
      <w:r w:rsidR="00776207" w:rsidRPr="006F4180">
        <w:rPr>
          <w:rFonts w:ascii="Times New Roman" w:eastAsia="RMTMI" w:hAnsi="Times New Roman" w:cs="Times New Roman"/>
          <w:sz w:val="24"/>
          <w:szCs w:val="24"/>
        </w:rPr>
        <w:t xml:space="preserve">. </w:t>
      </w:r>
    </w:p>
    <w:p w14:paraId="15D8F4C5" w14:textId="6D63D76A" w:rsidR="002E1DAC" w:rsidRPr="006F4180" w:rsidRDefault="001465D2" w:rsidP="003950B7">
      <w:pPr>
        <w:spacing w:line="360" w:lineRule="auto"/>
        <w:ind w:firstLine="720"/>
        <w:jc w:val="center"/>
        <w:rPr>
          <w:rFonts w:ascii="Times New Roman" w:hAnsi="Times New Roman" w:cs="Times New Roman"/>
          <w:sz w:val="24"/>
          <w:szCs w:val="24"/>
          <w:lang w:val="en-NZ"/>
        </w:rPr>
      </w:pPr>
      <w:r w:rsidRPr="006F4180">
        <w:rPr>
          <w:rFonts w:ascii="Times New Roman" w:hAnsi="Times New Roman" w:cs="Times New Roman"/>
          <w:sz w:val="24"/>
          <w:szCs w:val="24"/>
          <w:lang w:val="en-NZ"/>
        </w:rPr>
        <w:t>[Figure 3 about here]</w:t>
      </w:r>
    </w:p>
    <w:p w14:paraId="7EA9742A" w14:textId="5BBFDD96" w:rsidR="00813586" w:rsidRPr="006F4180" w:rsidRDefault="00167D83" w:rsidP="003950B7">
      <w:pPr>
        <w:spacing w:line="360" w:lineRule="auto"/>
        <w:ind w:firstLine="720"/>
        <w:jc w:val="both"/>
        <w:rPr>
          <w:rFonts w:ascii="Times New Roman" w:eastAsiaTheme="minorEastAsia" w:hAnsi="Times New Roman" w:cs="Times New Roman"/>
          <w:sz w:val="24"/>
          <w:szCs w:val="24"/>
          <w:lang w:val="en-NZ"/>
        </w:rPr>
      </w:pPr>
      <w:r w:rsidRPr="006F4180">
        <w:rPr>
          <w:rFonts w:ascii="Times New Roman" w:hAnsi="Times New Roman" w:cs="Times New Roman"/>
          <w:sz w:val="24"/>
          <w:szCs w:val="24"/>
          <w:lang w:val="en-NZ"/>
        </w:rPr>
        <w:t>In the coming step, t</w:t>
      </w:r>
      <w:r w:rsidR="00D34BAA" w:rsidRPr="006F4180">
        <w:rPr>
          <w:rFonts w:ascii="Times New Roman" w:hAnsi="Times New Roman" w:cs="Times New Roman"/>
          <w:sz w:val="24"/>
          <w:szCs w:val="24"/>
          <w:lang w:val="en-NZ"/>
        </w:rPr>
        <w:t>he group connectedness depending on incoming links</w:t>
      </w:r>
      <w:r w:rsidR="00813586" w:rsidRPr="006F4180">
        <w:rPr>
          <w:rFonts w:ascii="Times New Roman" w:hAnsi="Times New Roman" w:cs="Times New Roman"/>
          <w:sz w:val="24"/>
          <w:szCs w:val="24"/>
          <w:lang w:val="en-NZ"/>
        </w:rPr>
        <w:t xml:space="preserve"> is explained as follows:</w:t>
      </w:r>
      <w:r w:rsidR="00D34BAA" w:rsidRPr="006F4180">
        <w:rPr>
          <w:rFonts w:ascii="Times New Roman" w:hAnsi="Times New Roman" w:cs="Times New Roman"/>
          <w:sz w:val="24"/>
          <w:szCs w:val="24"/>
          <w:lang w:val="en-NZ"/>
        </w:rPr>
        <w:t xml:space="preserve"> </w:t>
      </w:r>
      <m:oMath>
        <m:sSubSup>
          <m:sSubSupPr>
            <m:ctrlPr>
              <w:rPr>
                <w:rFonts w:ascii="Cambria Math" w:hAnsi="Cambria Math" w:cs="Times New Roman"/>
                <w:i/>
                <w:sz w:val="24"/>
                <w:szCs w:val="24"/>
                <w:lang w:val="en-NZ"/>
              </w:rPr>
            </m:ctrlPr>
          </m:sSubSupPr>
          <m:e>
            <m:r>
              <w:rPr>
                <w:rFonts w:ascii="Cambria Math" w:hAnsi="Cambria Math" w:cs="Times New Roman"/>
                <w:sz w:val="24"/>
                <w:szCs w:val="24"/>
                <w:lang w:val="en-NZ"/>
              </w:rPr>
              <m:t>CC</m:t>
            </m:r>
          </m:e>
          <m:sub>
            <m:r>
              <w:rPr>
                <w:rFonts w:ascii="Cambria Math" w:hAnsi="Cambria Math" w:cs="Times New Roman"/>
                <w:sz w:val="24"/>
                <w:szCs w:val="24"/>
                <w:lang w:val="en-NZ"/>
              </w:rPr>
              <m:t>p,w</m:t>
            </m:r>
          </m:sub>
          <m:sup>
            <m:r>
              <w:rPr>
                <w:rFonts w:ascii="Cambria Math" w:hAnsi="Cambria Math" w:cs="Times New Roman"/>
                <w:sz w:val="24"/>
                <w:szCs w:val="24"/>
                <w:lang w:val="en-NZ"/>
              </w:rPr>
              <m:t>IN</m:t>
            </m:r>
          </m:sup>
        </m:sSubSup>
        <m:r>
          <w:rPr>
            <w:rFonts w:ascii="Cambria Math" w:hAnsi="Cambria Math" w:cs="Times New Roman"/>
            <w:sz w:val="24"/>
            <w:szCs w:val="24"/>
            <w:lang w:val="en-NZ"/>
          </w:rPr>
          <m:t>=</m:t>
        </m:r>
        <m:nary>
          <m:naryPr>
            <m:chr m:val="∑"/>
            <m:limLoc m:val="subSup"/>
            <m:ctrlPr>
              <w:rPr>
                <w:rFonts w:ascii="Cambria Math" w:hAnsi="Cambria Math" w:cs="Times New Roman"/>
                <w:i/>
                <w:sz w:val="24"/>
                <w:szCs w:val="24"/>
                <w:lang w:val="en-NZ"/>
              </w:rPr>
            </m:ctrlPr>
          </m:naryPr>
          <m:sub>
            <m:r>
              <w:rPr>
                <w:rFonts w:ascii="Cambria Math" w:hAnsi="Cambria Math" w:cs="Times New Roman"/>
                <w:sz w:val="24"/>
                <w:szCs w:val="24"/>
                <w:lang w:val="en-NZ"/>
              </w:rPr>
              <m:t>i=1</m:t>
            </m:r>
          </m:sub>
          <m:sup>
            <m:r>
              <w:rPr>
                <w:rFonts w:ascii="Cambria Math" w:hAnsi="Cambria Math" w:cs="Times New Roman"/>
                <w:sz w:val="24"/>
                <w:szCs w:val="24"/>
                <w:lang w:val="en-NZ"/>
              </w:rPr>
              <m:t>k</m:t>
            </m:r>
          </m:sup>
          <m:e>
            <m:nary>
              <m:naryPr>
                <m:chr m:val="∑"/>
                <m:limLoc m:val="undOvr"/>
                <m:supHide m:val="1"/>
                <m:ctrlPr>
                  <w:rPr>
                    <w:rFonts w:ascii="Cambria Math" w:hAnsi="Cambria Math" w:cs="Times New Roman"/>
                    <w:i/>
                    <w:sz w:val="24"/>
                    <w:szCs w:val="24"/>
                    <w:lang w:val="en-NZ"/>
                  </w:rPr>
                </m:ctrlPr>
              </m:naryPr>
              <m:sub>
                <m:r>
                  <w:rPr>
                    <w:rFonts w:ascii="Cambria Math" w:hAnsi="Cambria Math" w:cs="Times New Roman"/>
                    <w:sz w:val="24"/>
                    <w:szCs w:val="24"/>
                    <w:lang w:val="en-NZ"/>
                  </w:rPr>
                  <m:t>j∈p</m:t>
                </m:r>
              </m:sub>
              <m:sup/>
              <m:e>
                <m:r>
                  <w:rPr>
                    <w:rFonts w:ascii="Cambria Math" w:hAnsi="Cambria Math" w:cs="Times New Roman"/>
                    <w:sz w:val="24"/>
                    <w:szCs w:val="24"/>
                    <w:lang w:val="en-NZ"/>
                  </w:rPr>
                  <m:t>|</m:t>
                </m:r>
                <m:sSubSup>
                  <m:sSubSupPr>
                    <m:ctrlPr>
                      <w:rPr>
                        <w:rFonts w:ascii="Cambria Math" w:hAnsi="Cambria Math" w:cs="Times New Roman"/>
                        <w:i/>
                        <w:sz w:val="24"/>
                        <w:szCs w:val="24"/>
                        <w:lang w:val="en-NZ"/>
                      </w:rPr>
                    </m:ctrlPr>
                  </m:sSubSupPr>
                  <m:e>
                    <m:acc>
                      <m:accPr>
                        <m:ctrlPr>
                          <w:rPr>
                            <w:rFonts w:ascii="Cambria Math" w:hAnsi="Cambria Math" w:cs="Times New Roman"/>
                            <w:i/>
                            <w:sz w:val="24"/>
                            <w:szCs w:val="24"/>
                            <w:lang w:val="en-NZ"/>
                          </w:rPr>
                        </m:ctrlPr>
                      </m:accPr>
                      <m:e>
                        <m:r>
                          <w:rPr>
                            <w:rFonts w:ascii="Cambria Math" w:hAnsi="Cambria Math" w:cs="Times New Roman"/>
                            <w:sz w:val="24"/>
                            <w:szCs w:val="24"/>
                            <w:lang w:val="en-NZ"/>
                          </w:rPr>
                          <m:t>D</m:t>
                        </m:r>
                      </m:e>
                    </m:acc>
                  </m:e>
                  <m:sub>
                    <m:r>
                      <w:rPr>
                        <w:rFonts w:ascii="Cambria Math" w:hAnsi="Cambria Math" w:cs="Times New Roman"/>
                        <w:sz w:val="24"/>
                        <w:szCs w:val="24"/>
                        <w:lang w:val="en-NZ"/>
                      </w:rPr>
                      <m:t>j/i</m:t>
                    </m:r>
                  </m:sub>
                  <m:sup>
                    <m:r>
                      <w:rPr>
                        <w:rFonts w:ascii="Cambria Math" w:hAnsi="Cambria Math" w:cs="Times New Roman"/>
                        <w:sz w:val="24"/>
                        <w:szCs w:val="24"/>
                        <w:lang w:val="en-NZ"/>
                      </w:rPr>
                      <m:t>w</m:t>
                    </m:r>
                  </m:sup>
                </m:sSubSup>
                <m:r>
                  <w:rPr>
                    <w:rFonts w:ascii="Cambria Math" w:hAnsi="Cambria Math" w:cs="Times New Roman"/>
                    <w:sz w:val="24"/>
                    <w:szCs w:val="24"/>
                    <w:lang w:val="en-NZ"/>
                  </w:rPr>
                  <m:t>|</m:t>
                </m:r>
              </m:e>
            </m:nary>
          </m:e>
        </m:nary>
      </m:oMath>
      <w:r w:rsidR="006B2EC7" w:rsidRPr="006F4180">
        <w:rPr>
          <w:rFonts w:ascii="Times New Roman" w:hAnsi="Times New Roman" w:cs="Times New Roman"/>
          <w:sz w:val="24"/>
          <w:szCs w:val="24"/>
          <w:lang w:val="en-NZ"/>
        </w:rPr>
        <w:t xml:space="preserve"> where </w:t>
      </w:r>
      <w:r w:rsidR="006B2EC7" w:rsidRPr="006F4180">
        <w:rPr>
          <w:rFonts w:ascii="Times New Roman" w:hAnsi="Times New Roman" w:cs="Times New Roman"/>
          <w:i/>
          <w:sz w:val="24"/>
          <w:szCs w:val="24"/>
          <w:lang w:val="en-NZ"/>
        </w:rPr>
        <w:t>p</w:t>
      </w:r>
      <w:r w:rsidR="00D34BAA" w:rsidRPr="006F4180">
        <w:rPr>
          <w:rFonts w:ascii="Times New Roman" w:hAnsi="Times New Roman" w:cs="Times New Roman"/>
          <w:sz w:val="24"/>
          <w:szCs w:val="24"/>
          <w:lang w:val="en-NZ"/>
        </w:rPr>
        <w:t xml:space="preserve"> </w:t>
      </w:r>
      <w:r w:rsidR="006B2EC7" w:rsidRPr="006F4180">
        <w:rPr>
          <w:rFonts w:ascii="Times New Roman" w:hAnsi="Times New Roman" w:cs="Times New Roman"/>
          <w:sz w:val="24"/>
          <w:szCs w:val="24"/>
          <w:lang w:val="en-NZ"/>
        </w:rPr>
        <w:t>=</w:t>
      </w:r>
      <w:r w:rsidR="00D34BAA" w:rsidRPr="006F4180">
        <w:rPr>
          <w:rFonts w:ascii="Times New Roman" w:hAnsi="Times New Roman" w:cs="Times New Roman"/>
          <w:sz w:val="24"/>
          <w:szCs w:val="24"/>
          <w:lang w:val="en-NZ"/>
        </w:rPr>
        <w:t xml:space="preserve"> </w:t>
      </w:r>
      <w:r w:rsidR="00C93293" w:rsidRPr="006F4180">
        <w:rPr>
          <w:rFonts w:ascii="Times New Roman" w:hAnsi="Times New Roman" w:cs="Times New Roman"/>
          <w:sz w:val="24"/>
          <w:szCs w:val="24"/>
          <w:lang w:val="en-NZ"/>
        </w:rPr>
        <w:t>1, 2,…</w:t>
      </w:r>
      <w:r w:rsidRPr="006F4180">
        <w:rPr>
          <w:rFonts w:ascii="Times New Roman" w:hAnsi="Times New Roman" w:cs="Times New Roman"/>
          <w:sz w:val="24"/>
          <w:szCs w:val="24"/>
          <w:lang w:val="en-NZ"/>
        </w:rPr>
        <w:t>,</w:t>
      </w:r>
      <w:r w:rsidR="006B2EC7" w:rsidRPr="006F4180">
        <w:rPr>
          <w:rFonts w:ascii="Times New Roman" w:hAnsi="Times New Roman" w:cs="Times New Roman"/>
          <w:sz w:val="24"/>
          <w:szCs w:val="24"/>
          <w:lang w:val="en-NZ"/>
        </w:rPr>
        <w:t>5 representing th</w:t>
      </w:r>
      <w:r w:rsidR="00D34BAA" w:rsidRPr="006F4180">
        <w:rPr>
          <w:rFonts w:ascii="Times New Roman" w:hAnsi="Times New Roman" w:cs="Times New Roman"/>
          <w:sz w:val="24"/>
          <w:szCs w:val="24"/>
          <w:lang w:val="en-NZ"/>
        </w:rPr>
        <w:t xml:space="preserve">e five most </w:t>
      </w:r>
      <w:r w:rsidR="00883237" w:rsidRPr="006F4180">
        <w:rPr>
          <w:rFonts w:ascii="Times New Roman" w:hAnsi="Times New Roman" w:cs="Times New Roman"/>
          <w:sz w:val="24"/>
          <w:szCs w:val="24"/>
          <w:lang w:val="en-NZ"/>
        </w:rPr>
        <w:t>a</w:t>
      </w:r>
      <w:r w:rsidR="00D34BAA" w:rsidRPr="006F4180">
        <w:rPr>
          <w:rFonts w:ascii="Times New Roman" w:hAnsi="Times New Roman" w:cs="Times New Roman"/>
          <w:sz w:val="24"/>
          <w:szCs w:val="24"/>
          <w:lang w:val="en-NZ"/>
        </w:rPr>
        <w:t>ffected countries w</w:t>
      </w:r>
      <w:r w:rsidR="00C93293" w:rsidRPr="006F4180">
        <w:rPr>
          <w:rFonts w:ascii="Times New Roman" w:hAnsi="Times New Roman" w:cs="Times New Roman"/>
          <w:sz w:val="24"/>
          <w:szCs w:val="24"/>
          <w:lang w:val="en-NZ"/>
        </w:rPr>
        <w:t>hereas</w:t>
      </w:r>
      <w:r w:rsidR="006B2EC7" w:rsidRPr="006F4180">
        <w:rPr>
          <w:rFonts w:ascii="Times New Roman" w:hAnsi="Times New Roman" w:cs="Times New Roman"/>
          <w:sz w:val="24"/>
          <w:szCs w:val="24"/>
          <w:lang w:val="en-NZ"/>
        </w:rPr>
        <w:t xml:space="preserve"> </w:t>
      </w:r>
      <m:oMath>
        <m:sSubSup>
          <m:sSubSupPr>
            <m:ctrlPr>
              <w:rPr>
                <w:rFonts w:ascii="Cambria Math" w:hAnsi="Cambria Math" w:cs="Times New Roman"/>
                <w:i/>
                <w:sz w:val="24"/>
                <w:szCs w:val="24"/>
                <w:lang w:val="en-NZ"/>
              </w:rPr>
            </m:ctrlPr>
          </m:sSubSupPr>
          <m:e>
            <m:r>
              <w:rPr>
                <w:rFonts w:ascii="Cambria Math" w:hAnsi="Cambria Math" w:cs="Times New Roman"/>
                <w:sz w:val="24"/>
                <w:szCs w:val="24"/>
                <w:lang w:val="en-NZ"/>
              </w:rPr>
              <m:t>CC</m:t>
            </m:r>
          </m:e>
          <m:sub>
            <m:r>
              <w:rPr>
                <w:rFonts w:ascii="Cambria Math" w:hAnsi="Cambria Math" w:cs="Times New Roman"/>
                <w:sz w:val="24"/>
                <w:szCs w:val="24"/>
                <w:lang w:val="en-NZ"/>
              </w:rPr>
              <m:t>p,w</m:t>
            </m:r>
          </m:sub>
          <m:sup>
            <m:r>
              <w:rPr>
                <w:rFonts w:ascii="Cambria Math" w:hAnsi="Cambria Math" w:cs="Times New Roman"/>
                <w:sz w:val="24"/>
                <w:szCs w:val="24"/>
                <w:lang w:val="en-NZ"/>
              </w:rPr>
              <m:t>OUT</m:t>
            </m:r>
          </m:sup>
        </m:sSubSup>
        <m:r>
          <w:rPr>
            <w:rFonts w:ascii="Cambria Math" w:hAnsi="Cambria Math" w:cs="Times New Roman"/>
            <w:sz w:val="24"/>
            <w:szCs w:val="24"/>
            <w:lang w:val="en-NZ"/>
          </w:rPr>
          <m:t>=</m:t>
        </m:r>
        <m:nary>
          <m:naryPr>
            <m:chr m:val="∑"/>
            <m:limLoc m:val="subSup"/>
            <m:ctrlPr>
              <w:rPr>
                <w:rFonts w:ascii="Cambria Math" w:hAnsi="Cambria Math" w:cs="Times New Roman"/>
                <w:i/>
                <w:sz w:val="24"/>
                <w:szCs w:val="24"/>
                <w:lang w:val="en-NZ"/>
              </w:rPr>
            </m:ctrlPr>
          </m:naryPr>
          <m:sub>
            <m:r>
              <w:rPr>
                <w:rFonts w:ascii="Cambria Math" w:hAnsi="Cambria Math" w:cs="Times New Roman"/>
                <w:sz w:val="24"/>
                <w:szCs w:val="24"/>
                <w:lang w:val="en-NZ"/>
              </w:rPr>
              <m:t>j=1</m:t>
            </m:r>
          </m:sub>
          <m:sup>
            <m:r>
              <w:rPr>
                <w:rFonts w:ascii="Cambria Math" w:hAnsi="Cambria Math" w:cs="Times New Roman"/>
                <w:sz w:val="24"/>
                <w:szCs w:val="24"/>
                <w:lang w:val="en-NZ"/>
              </w:rPr>
              <m:t>k</m:t>
            </m:r>
          </m:sup>
          <m:e>
            <m:nary>
              <m:naryPr>
                <m:chr m:val="∑"/>
                <m:limLoc m:val="undOvr"/>
                <m:supHide m:val="1"/>
                <m:ctrlPr>
                  <w:rPr>
                    <w:rFonts w:ascii="Cambria Math" w:hAnsi="Cambria Math" w:cs="Times New Roman"/>
                    <w:i/>
                    <w:sz w:val="24"/>
                    <w:szCs w:val="24"/>
                    <w:lang w:val="en-NZ"/>
                  </w:rPr>
                </m:ctrlPr>
              </m:naryPr>
              <m:sub>
                <m:r>
                  <w:rPr>
                    <w:rFonts w:ascii="Cambria Math" w:hAnsi="Cambria Math" w:cs="Times New Roman"/>
                    <w:sz w:val="24"/>
                    <w:szCs w:val="24"/>
                    <w:lang w:val="en-NZ"/>
                  </w:rPr>
                  <m:t>j∈p</m:t>
                </m:r>
              </m:sub>
              <m:sup/>
              <m:e>
                <m:r>
                  <w:rPr>
                    <w:rFonts w:ascii="Cambria Math" w:hAnsi="Cambria Math" w:cs="Times New Roman"/>
                    <w:sz w:val="24"/>
                    <w:szCs w:val="24"/>
                    <w:lang w:val="en-NZ"/>
                  </w:rPr>
                  <m:t>|</m:t>
                </m:r>
                <m:sSubSup>
                  <m:sSubSupPr>
                    <m:ctrlPr>
                      <w:rPr>
                        <w:rFonts w:ascii="Cambria Math" w:hAnsi="Cambria Math" w:cs="Times New Roman"/>
                        <w:i/>
                        <w:sz w:val="24"/>
                        <w:szCs w:val="24"/>
                        <w:lang w:val="en-NZ"/>
                      </w:rPr>
                    </m:ctrlPr>
                  </m:sSubSupPr>
                  <m:e>
                    <m:acc>
                      <m:accPr>
                        <m:ctrlPr>
                          <w:rPr>
                            <w:rFonts w:ascii="Cambria Math" w:hAnsi="Cambria Math" w:cs="Times New Roman"/>
                            <w:i/>
                            <w:sz w:val="24"/>
                            <w:szCs w:val="24"/>
                            <w:lang w:val="en-NZ"/>
                          </w:rPr>
                        </m:ctrlPr>
                      </m:accPr>
                      <m:e>
                        <m:r>
                          <w:rPr>
                            <w:rFonts w:ascii="Cambria Math" w:hAnsi="Cambria Math" w:cs="Times New Roman"/>
                            <w:sz w:val="24"/>
                            <w:szCs w:val="24"/>
                            <w:lang w:val="en-NZ"/>
                          </w:rPr>
                          <m:t>D</m:t>
                        </m:r>
                      </m:e>
                    </m:acc>
                  </m:e>
                  <m:sub>
                    <m:r>
                      <w:rPr>
                        <w:rFonts w:ascii="Cambria Math" w:hAnsi="Cambria Math" w:cs="Times New Roman"/>
                        <w:sz w:val="24"/>
                        <w:szCs w:val="24"/>
                        <w:lang w:val="en-NZ"/>
                      </w:rPr>
                      <m:t>j/i</m:t>
                    </m:r>
                  </m:sub>
                  <m:sup>
                    <m:r>
                      <w:rPr>
                        <w:rFonts w:ascii="Cambria Math" w:hAnsi="Cambria Math" w:cs="Times New Roman"/>
                        <w:sz w:val="24"/>
                        <w:szCs w:val="24"/>
                        <w:lang w:val="en-NZ"/>
                      </w:rPr>
                      <m:t>w</m:t>
                    </m:r>
                  </m:sup>
                </m:sSubSup>
                <m:r>
                  <w:rPr>
                    <w:rFonts w:ascii="Cambria Math" w:hAnsi="Cambria Math" w:cs="Times New Roman"/>
                    <w:sz w:val="24"/>
                    <w:szCs w:val="24"/>
                    <w:lang w:val="en-NZ"/>
                  </w:rPr>
                  <m:t>|</m:t>
                </m:r>
              </m:e>
            </m:nary>
          </m:e>
        </m:nary>
      </m:oMath>
      <w:r w:rsidR="006B2EC7" w:rsidRPr="006F4180">
        <w:rPr>
          <w:rFonts w:ascii="Times New Roman" w:eastAsiaTheme="minorEastAsia" w:hAnsi="Times New Roman" w:cs="Times New Roman"/>
          <w:sz w:val="24"/>
          <w:szCs w:val="24"/>
          <w:lang w:val="en-NZ"/>
        </w:rPr>
        <w:t xml:space="preserve"> represent</w:t>
      </w:r>
      <w:r w:rsidR="00D34BAA" w:rsidRPr="006F4180">
        <w:rPr>
          <w:rFonts w:ascii="Times New Roman" w:eastAsiaTheme="minorEastAsia" w:hAnsi="Times New Roman" w:cs="Times New Roman"/>
          <w:sz w:val="24"/>
          <w:szCs w:val="24"/>
          <w:lang w:val="en-NZ"/>
        </w:rPr>
        <w:t>s</w:t>
      </w:r>
      <w:r w:rsidR="006B2EC7" w:rsidRPr="006F4180">
        <w:rPr>
          <w:rFonts w:ascii="Times New Roman" w:eastAsiaTheme="minorEastAsia" w:hAnsi="Times New Roman" w:cs="Times New Roman"/>
          <w:sz w:val="24"/>
          <w:szCs w:val="24"/>
          <w:lang w:val="en-NZ"/>
        </w:rPr>
        <w:t xml:space="preserve"> the group connectedness based on the outgoing links. The top inco</w:t>
      </w:r>
      <w:r w:rsidR="00D34BAA" w:rsidRPr="006F4180">
        <w:rPr>
          <w:rFonts w:ascii="Times New Roman" w:eastAsiaTheme="minorEastAsia" w:hAnsi="Times New Roman" w:cs="Times New Roman"/>
          <w:sz w:val="24"/>
          <w:szCs w:val="24"/>
          <w:lang w:val="en-NZ"/>
        </w:rPr>
        <w:t>ming links are presented in Figure</w:t>
      </w:r>
      <w:r w:rsidR="006B2EC7" w:rsidRPr="006F4180">
        <w:rPr>
          <w:rFonts w:ascii="Times New Roman" w:eastAsiaTheme="minorEastAsia" w:hAnsi="Times New Roman" w:cs="Times New Roman"/>
          <w:sz w:val="24"/>
          <w:szCs w:val="24"/>
          <w:lang w:val="en-NZ"/>
        </w:rPr>
        <w:t xml:space="preserve"> 4</w:t>
      </w:r>
      <w:r w:rsidR="00364909" w:rsidRPr="006F4180">
        <w:rPr>
          <w:rFonts w:ascii="Times New Roman" w:eastAsiaTheme="minorEastAsia" w:hAnsi="Times New Roman" w:cs="Times New Roman"/>
          <w:sz w:val="24"/>
          <w:szCs w:val="24"/>
          <w:lang w:val="en-NZ"/>
        </w:rPr>
        <w:t>.</w:t>
      </w:r>
    </w:p>
    <w:p w14:paraId="6DAE51E1" w14:textId="040E75B4" w:rsidR="00D34BAA" w:rsidRPr="006F4180" w:rsidRDefault="00167D83" w:rsidP="003950B7">
      <w:pPr>
        <w:spacing w:line="360" w:lineRule="auto"/>
        <w:ind w:firstLine="720"/>
        <w:jc w:val="both"/>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lastRenderedPageBreak/>
        <w:t>Figure</w:t>
      </w:r>
      <w:r w:rsidR="00130E8E" w:rsidRPr="006F4180">
        <w:rPr>
          <w:rFonts w:ascii="Times New Roman" w:eastAsiaTheme="minorEastAsia" w:hAnsi="Times New Roman" w:cs="Times New Roman"/>
          <w:sz w:val="24"/>
          <w:szCs w:val="24"/>
          <w:lang w:val="en-NZ"/>
        </w:rPr>
        <w:t xml:space="preserve"> 4 </w:t>
      </w:r>
      <w:r w:rsidRPr="006F4180">
        <w:rPr>
          <w:rFonts w:ascii="Times New Roman" w:eastAsiaTheme="minorEastAsia" w:hAnsi="Times New Roman" w:cs="Times New Roman"/>
          <w:sz w:val="24"/>
          <w:szCs w:val="24"/>
          <w:lang w:val="en-NZ"/>
        </w:rPr>
        <w:t>reflects that during the Argentin</w:t>
      </w:r>
      <w:r w:rsidR="00883237" w:rsidRPr="006F4180">
        <w:rPr>
          <w:rFonts w:ascii="Times New Roman" w:eastAsiaTheme="minorEastAsia" w:hAnsi="Times New Roman" w:cs="Times New Roman"/>
          <w:sz w:val="24"/>
          <w:szCs w:val="24"/>
          <w:lang w:val="en-NZ"/>
        </w:rPr>
        <w:t>ian</w:t>
      </w:r>
      <w:r w:rsidRPr="006F4180">
        <w:rPr>
          <w:rFonts w:ascii="Times New Roman" w:eastAsiaTheme="minorEastAsia" w:hAnsi="Times New Roman" w:cs="Times New Roman"/>
          <w:sz w:val="24"/>
          <w:szCs w:val="24"/>
          <w:lang w:val="en-NZ"/>
        </w:rPr>
        <w:t xml:space="preserve"> financial collapse, </w:t>
      </w:r>
      <w:r w:rsidR="00D34BAA" w:rsidRPr="006F4180">
        <w:rPr>
          <w:rFonts w:ascii="Times New Roman" w:eastAsiaTheme="minorEastAsia" w:hAnsi="Times New Roman" w:cs="Times New Roman"/>
          <w:sz w:val="24"/>
          <w:szCs w:val="24"/>
          <w:lang w:val="en-NZ"/>
        </w:rPr>
        <w:t xml:space="preserve">Russia, Indonesia, and </w:t>
      </w:r>
      <w:r w:rsidR="00364909" w:rsidRPr="006F4180">
        <w:rPr>
          <w:rFonts w:ascii="Times New Roman" w:eastAsiaTheme="minorEastAsia" w:hAnsi="Times New Roman" w:cs="Times New Roman"/>
          <w:sz w:val="24"/>
          <w:szCs w:val="24"/>
          <w:lang w:val="en-NZ"/>
        </w:rPr>
        <w:t>Pakistan are the highest receiv</w:t>
      </w:r>
      <w:r w:rsidR="00D34BAA" w:rsidRPr="006F4180">
        <w:rPr>
          <w:rFonts w:ascii="Times New Roman" w:eastAsiaTheme="minorEastAsia" w:hAnsi="Times New Roman" w:cs="Times New Roman"/>
          <w:sz w:val="24"/>
          <w:szCs w:val="24"/>
          <w:lang w:val="en-NZ"/>
        </w:rPr>
        <w:t>er of the risk from the system</w:t>
      </w:r>
      <w:r w:rsidR="00883237" w:rsidRPr="006F4180">
        <w:rPr>
          <w:rFonts w:ascii="Times New Roman" w:eastAsiaTheme="minorEastAsia" w:hAnsi="Times New Roman" w:cs="Times New Roman"/>
          <w:sz w:val="24"/>
          <w:szCs w:val="24"/>
          <w:lang w:val="en-NZ"/>
        </w:rPr>
        <w:t>,</w:t>
      </w:r>
      <w:r w:rsidR="00D34BAA" w:rsidRPr="006F4180">
        <w:rPr>
          <w:rFonts w:ascii="Times New Roman" w:eastAsiaTheme="minorEastAsia" w:hAnsi="Times New Roman" w:cs="Times New Roman"/>
          <w:sz w:val="24"/>
          <w:szCs w:val="24"/>
          <w:lang w:val="en-NZ"/>
        </w:rPr>
        <w:t xml:space="preserve"> whereas Poland received moderate risk given the global financial crisis. The subsequent incoming links show moderate risk reception except for Poland and Pakistan</w:t>
      </w:r>
      <w:r w:rsidR="00883237" w:rsidRPr="006F4180">
        <w:rPr>
          <w:rFonts w:ascii="Times New Roman" w:eastAsiaTheme="minorEastAsia" w:hAnsi="Times New Roman" w:cs="Times New Roman"/>
          <w:sz w:val="24"/>
          <w:szCs w:val="24"/>
          <w:lang w:val="en-NZ"/>
        </w:rPr>
        <w:t>,</w:t>
      </w:r>
      <w:r w:rsidR="00D34BAA" w:rsidRPr="006F4180">
        <w:rPr>
          <w:rFonts w:ascii="Times New Roman" w:eastAsiaTheme="minorEastAsia" w:hAnsi="Times New Roman" w:cs="Times New Roman"/>
          <w:sz w:val="24"/>
          <w:szCs w:val="24"/>
          <w:lang w:val="en-NZ"/>
        </w:rPr>
        <w:t xml:space="preserve"> given the aftermaths of </w:t>
      </w:r>
      <w:r w:rsidR="00883237" w:rsidRPr="006F4180">
        <w:rPr>
          <w:rFonts w:ascii="Times New Roman" w:eastAsiaTheme="minorEastAsia" w:hAnsi="Times New Roman" w:cs="Times New Roman"/>
          <w:sz w:val="24"/>
          <w:szCs w:val="24"/>
          <w:lang w:val="en-NZ"/>
        </w:rPr>
        <w:t xml:space="preserve">the </w:t>
      </w:r>
      <w:r w:rsidRPr="006F4180">
        <w:rPr>
          <w:rFonts w:ascii="Times New Roman" w:eastAsiaTheme="minorEastAsia" w:hAnsi="Times New Roman" w:cs="Times New Roman"/>
          <w:sz w:val="24"/>
          <w:szCs w:val="24"/>
          <w:lang w:val="en-NZ"/>
        </w:rPr>
        <w:t xml:space="preserve">Global Financial Crisis </w:t>
      </w:r>
      <w:r w:rsidR="00DF426A" w:rsidRPr="006F4180">
        <w:rPr>
          <w:rFonts w:ascii="Times New Roman" w:eastAsiaTheme="minorEastAsia" w:hAnsi="Times New Roman" w:cs="Times New Roman"/>
          <w:sz w:val="24"/>
          <w:szCs w:val="24"/>
          <w:lang w:val="en-NZ"/>
        </w:rPr>
        <w:t>together with the onset of</w:t>
      </w:r>
      <w:r w:rsidR="00883237" w:rsidRPr="006F4180">
        <w:rPr>
          <w:rFonts w:ascii="Times New Roman" w:eastAsiaTheme="minorEastAsia" w:hAnsi="Times New Roman" w:cs="Times New Roman"/>
          <w:sz w:val="24"/>
          <w:szCs w:val="24"/>
          <w:lang w:val="en-NZ"/>
        </w:rPr>
        <w:t xml:space="preserve"> </w:t>
      </w:r>
      <w:r w:rsidR="00D34BAA" w:rsidRPr="006F4180">
        <w:rPr>
          <w:rFonts w:ascii="Times New Roman" w:eastAsiaTheme="minorEastAsia" w:hAnsi="Times New Roman" w:cs="Times New Roman"/>
          <w:sz w:val="24"/>
          <w:szCs w:val="24"/>
          <w:lang w:val="en-NZ"/>
        </w:rPr>
        <w:t>Eurozone Debt Crisis</w:t>
      </w:r>
      <w:r w:rsidR="00883237" w:rsidRPr="006F4180">
        <w:rPr>
          <w:rFonts w:ascii="Times New Roman" w:eastAsiaTheme="minorEastAsia" w:hAnsi="Times New Roman" w:cs="Times New Roman"/>
          <w:sz w:val="24"/>
          <w:szCs w:val="24"/>
          <w:lang w:val="en-NZ"/>
        </w:rPr>
        <w:t xml:space="preserve"> (EDC)</w:t>
      </w:r>
      <w:r w:rsidR="00D34BAA" w:rsidRPr="006F4180">
        <w:rPr>
          <w:rFonts w:ascii="Times New Roman" w:eastAsiaTheme="minorEastAsia" w:hAnsi="Times New Roman" w:cs="Times New Roman"/>
          <w:sz w:val="24"/>
          <w:szCs w:val="24"/>
          <w:lang w:val="en-NZ"/>
        </w:rPr>
        <w:t xml:space="preserve"> (2010-2012). </w:t>
      </w:r>
      <w:r w:rsidR="001B4FD6" w:rsidRPr="006F4180">
        <w:rPr>
          <w:rFonts w:ascii="Times New Roman" w:eastAsiaTheme="minorEastAsia" w:hAnsi="Times New Roman" w:cs="Times New Roman"/>
          <w:sz w:val="24"/>
          <w:szCs w:val="24"/>
          <w:lang w:val="en-NZ"/>
        </w:rPr>
        <w:t>Interestingly, Argentina reflected high</w:t>
      </w:r>
      <w:r w:rsidR="00883237" w:rsidRPr="006F4180">
        <w:rPr>
          <w:rFonts w:ascii="Times New Roman" w:eastAsiaTheme="minorEastAsia" w:hAnsi="Times New Roman" w:cs="Times New Roman"/>
          <w:sz w:val="24"/>
          <w:szCs w:val="24"/>
          <w:lang w:val="en-NZ"/>
        </w:rPr>
        <w:t>-</w:t>
      </w:r>
      <w:r w:rsidR="001B4FD6" w:rsidRPr="006F4180">
        <w:rPr>
          <w:rFonts w:ascii="Times New Roman" w:eastAsiaTheme="minorEastAsia" w:hAnsi="Times New Roman" w:cs="Times New Roman"/>
          <w:sz w:val="24"/>
          <w:szCs w:val="24"/>
          <w:lang w:val="en-NZ"/>
        </w:rPr>
        <w:t xml:space="preserve">risk acceptance during </w:t>
      </w:r>
      <w:r w:rsidR="00883237" w:rsidRPr="006F4180">
        <w:rPr>
          <w:rFonts w:ascii="Times New Roman" w:eastAsiaTheme="minorEastAsia" w:hAnsi="Times New Roman" w:cs="Times New Roman"/>
          <w:sz w:val="24"/>
          <w:szCs w:val="24"/>
          <w:lang w:val="en-NZ"/>
        </w:rPr>
        <w:t>the COVID-19 outbreak as the graph substantially peaked, indicating a higher level of risk exposure in the face of global pandemic and uncertain economic conditions</w:t>
      </w:r>
      <w:r w:rsidR="001B4FD6" w:rsidRPr="006F4180">
        <w:rPr>
          <w:rFonts w:ascii="Times New Roman" w:eastAsiaTheme="minorEastAsia" w:hAnsi="Times New Roman" w:cs="Times New Roman"/>
          <w:sz w:val="24"/>
          <w:szCs w:val="24"/>
          <w:lang w:val="en-NZ"/>
        </w:rPr>
        <w:t xml:space="preserve">. </w:t>
      </w:r>
      <w:r w:rsidR="00DF426A" w:rsidRPr="006F4180">
        <w:rPr>
          <w:rFonts w:ascii="Times New Roman" w:eastAsiaTheme="minorEastAsia" w:hAnsi="Times New Roman" w:cs="Times New Roman"/>
          <w:sz w:val="24"/>
          <w:szCs w:val="24"/>
          <w:lang w:val="en-NZ"/>
        </w:rPr>
        <w:t>Besides, t</w:t>
      </w:r>
      <w:r w:rsidR="00C5258F" w:rsidRPr="006F4180">
        <w:rPr>
          <w:rFonts w:ascii="Times New Roman" w:eastAsiaTheme="minorEastAsia" w:hAnsi="Times New Roman" w:cs="Times New Roman"/>
          <w:sz w:val="24"/>
          <w:szCs w:val="24"/>
          <w:lang w:val="en-NZ"/>
        </w:rPr>
        <w:t>he picture is different for outgoing links (Figure 5)</w:t>
      </w:r>
      <w:r w:rsidR="00883237" w:rsidRPr="006F4180">
        <w:rPr>
          <w:rFonts w:ascii="Times New Roman" w:eastAsiaTheme="minorEastAsia" w:hAnsi="Times New Roman" w:cs="Times New Roman"/>
          <w:sz w:val="24"/>
          <w:szCs w:val="24"/>
          <w:lang w:val="en-NZ"/>
        </w:rPr>
        <w:t>,</w:t>
      </w:r>
      <w:r w:rsidR="00C5258F" w:rsidRPr="006F4180">
        <w:rPr>
          <w:rFonts w:ascii="Times New Roman" w:eastAsiaTheme="minorEastAsia" w:hAnsi="Times New Roman" w:cs="Times New Roman"/>
          <w:sz w:val="24"/>
          <w:szCs w:val="24"/>
          <w:lang w:val="en-NZ"/>
        </w:rPr>
        <w:t xml:space="preserve"> which shows top 5 markets with high</w:t>
      </w:r>
      <w:r w:rsidR="00883237" w:rsidRPr="006F4180">
        <w:rPr>
          <w:rFonts w:ascii="Times New Roman" w:eastAsiaTheme="minorEastAsia" w:hAnsi="Times New Roman" w:cs="Times New Roman"/>
          <w:sz w:val="24"/>
          <w:szCs w:val="24"/>
          <w:lang w:val="en-NZ"/>
        </w:rPr>
        <w:t>-</w:t>
      </w:r>
      <w:r w:rsidR="00C5258F" w:rsidRPr="006F4180">
        <w:rPr>
          <w:rFonts w:ascii="Times New Roman" w:eastAsiaTheme="minorEastAsia" w:hAnsi="Times New Roman" w:cs="Times New Roman"/>
          <w:sz w:val="24"/>
          <w:szCs w:val="24"/>
          <w:lang w:val="en-NZ"/>
        </w:rPr>
        <w:t>risk spillovers. Russia, Turkey, and Indonesia reflected high</w:t>
      </w:r>
      <w:r w:rsidR="00883237" w:rsidRPr="006F4180">
        <w:rPr>
          <w:rFonts w:ascii="Times New Roman" w:eastAsiaTheme="minorEastAsia" w:hAnsi="Times New Roman" w:cs="Times New Roman"/>
          <w:sz w:val="24"/>
          <w:szCs w:val="24"/>
          <w:lang w:val="en-NZ"/>
        </w:rPr>
        <w:t>-</w:t>
      </w:r>
      <w:r w:rsidR="00C5258F" w:rsidRPr="006F4180">
        <w:rPr>
          <w:rFonts w:ascii="Times New Roman" w:eastAsiaTheme="minorEastAsia" w:hAnsi="Times New Roman" w:cs="Times New Roman"/>
          <w:sz w:val="24"/>
          <w:szCs w:val="24"/>
          <w:lang w:val="en-NZ"/>
        </w:rPr>
        <w:t>risk transmission to other emerging markets given Argentin</w:t>
      </w:r>
      <w:r w:rsidR="00883237" w:rsidRPr="006F4180">
        <w:rPr>
          <w:rFonts w:ascii="Times New Roman" w:eastAsiaTheme="minorEastAsia" w:hAnsi="Times New Roman" w:cs="Times New Roman"/>
          <w:sz w:val="24"/>
          <w:szCs w:val="24"/>
          <w:lang w:val="en-NZ"/>
        </w:rPr>
        <w:t>a</w:t>
      </w:r>
      <w:r w:rsidR="00C5258F" w:rsidRPr="006F4180">
        <w:rPr>
          <w:rFonts w:ascii="Times New Roman" w:eastAsiaTheme="minorEastAsia" w:hAnsi="Times New Roman" w:cs="Times New Roman"/>
          <w:sz w:val="24"/>
          <w:szCs w:val="24"/>
          <w:lang w:val="en-NZ"/>
        </w:rPr>
        <w:t>’s economic default during 2001-2003</w:t>
      </w:r>
      <w:r w:rsidR="00883237" w:rsidRPr="006F4180">
        <w:rPr>
          <w:rFonts w:ascii="Times New Roman" w:eastAsiaTheme="minorEastAsia" w:hAnsi="Times New Roman" w:cs="Times New Roman"/>
          <w:sz w:val="24"/>
          <w:szCs w:val="24"/>
          <w:lang w:val="en-NZ"/>
        </w:rPr>
        <w:t>,</w:t>
      </w:r>
      <w:r w:rsidR="00C5258F" w:rsidRPr="006F4180">
        <w:rPr>
          <w:rFonts w:ascii="Times New Roman" w:eastAsiaTheme="minorEastAsia" w:hAnsi="Times New Roman" w:cs="Times New Roman"/>
          <w:sz w:val="24"/>
          <w:szCs w:val="24"/>
          <w:lang w:val="en-NZ"/>
        </w:rPr>
        <w:t xml:space="preserve"> whereas India and Hungary transmitted moderate risk to other emergin</w:t>
      </w:r>
      <w:r w:rsidR="00DF426A" w:rsidRPr="006F4180">
        <w:rPr>
          <w:rFonts w:ascii="Times New Roman" w:eastAsiaTheme="minorEastAsia" w:hAnsi="Times New Roman" w:cs="Times New Roman"/>
          <w:sz w:val="24"/>
          <w:szCs w:val="24"/>
          <w:lang w:val="en-NZ"/>
        </w:rPr>
        <w:t>g economies. Afterward,</w:t>
      </w:r>
      <w:r w:rsidR="00C5258F" w:rsidRPr="006F4180">
        <w:rPr>
          <w:rFonts w:ascii="Times New Roman" w:eastAsiaTheme="minorEastAsia" w:hAnsi="Times New Roman" w:cs="Times New Roman"/>
          <w:sz w:val="24"/>
          <w:szCs w:val="24"/>
          <w:lang w:val="en-NZ"/>
        </w:rPr>
        <w:t xml:space="preserve"> the risk transmission becomes lower as markets tend to sta</w:t>
      </w:r>
      <w:r w:rsidR="00DF426A" w:rsidRPr="006F4180">
        <w:rPr>
          <w:rFonts w:ascii="Times New Roman" w:eastAsiaTheme="minorEastAsia" w:hAnsi="Times New Roman" w:cs="Times New Roman"/>
          <w:sz w:val="24"/>
          <w:szCs w:val="24"/>
          <w:lang w:val="en-NZ"/>
        </w:rPr>
        <w:t xml:space="preserve">bilize after the prevailing </w:t>
      </w:r>
      <w:r w:rsidR="00C5258F" w:rsidRPr="006F4180">
        <w:rPr>
          <w:rFonts w:ascii="Times New Roman" w:eastAsiaTheme="minorEastAsia" w:hAnsi="Times New Roman" w:cs="Times New Roman"/>
          <w:sz w:val="24"/>
          <w:szCs w:val="24"/>
          <w:lang w:val="en-NZ"/>
        </w:rPr>
        <w:t xml:space="preserve">economic crisis. The prominent risk transmission of </w:t>
      </w:r>
      <w:r w:rsidR="00085DBD" w:rsidRPr="006F4180">
        <w:rPr>
          <w:rFonts w:ascii="Times New Roman" w:eastAsiaTheme="minorEastAsia" w:hAnsi="Times New Roman" w:cs="Times New Roman"/>
          <w:sz w:val="24"/>
          <w:szCs w:val="24"/>
          <w:lang w:val="en-NZ"/>
        </w:rPr>
        <w:t>Hungary</w:t>
      </w:r>
      <w:r w:rsidR="0019697F" w:rsidRPr="006F4180">
        <w:rPr>
          <w:rFonts w:ascii="Times New Roman" w:eastAsiaTheme="minorEastAsia" w:hAnsi="Times New Roman" w:cs="Times New Roman"/>
          <w:sz w:val="24"/>
          <w:szCs w:val="24"/>
          <w:lang w:val="en-NZ"/>
        </w:rPr>
        <w:t xml:space="preserve"> and Russia</w:t>
      </w:r>
      <w:r w:rsidR="00085DBD" w:rsidRPr="006F4180">
        <w:rPr>
          <w:rFonts w:ascii="Times New Roman" w:eastAsiaTheme="minorEastAsia" w:hAnsi="Times New Roman" w:cs="Times New Roman"/>
          <w:sz w:val="24"/>
          <w:szCs w:val="24"/>
          <w:lang w:val="en-NZ"/>
        </w:rPr>
        <w:t xml:space="preserve"> during EDC (2010-2012) i</w:t>
      </w:r>
      <w:r w:rsidR="00883237" w:rsidRPr="006F4180">
        <w:rPr>
          <w:rFonts w:ascii="Times New Roman" w:eastAsiaTheme="minorEastAsia" w:hAnsi="Times New Roman" w:cs="Times New Roman"/>
          <w:sz w:val="24"/>
          <w:szCs w:val="24"/>
          <w:lang w:val="en-NZ"/>
        </w:rPr>
        <w:t>ndicates the</w:t>
      </w:r>
      <w:r w:rsidR="00085DBD" w:rsidRPr="006F4180">
        <w:rPr>
          <w:rFonts w:ascii="Times New Roman" w:eastAsiaTheme="minorEastAsia" w:hAnsi="Times New Roman" w:cs="Times New Roman"/>
          <w:sz w:val="24"/>
          <w:szCs w:val="24"/>
          <w:lang w:val="en-NZ"/>
        </w:rPr>
        <w:t xml:space="preserve"> </w:t>
      </w:r>
      <w:r w:rsidR="00883237" w:rsidRPr="006F4180">
        <w:rPr>
          <w:rFonts w:ascii="Times New Roman" w:eastAsiaTheme="minorEastAsia" w:hAnsi="Times New Roman" w:cs="Times New Roman"/>
          <w:sz w:val="24"/>
          <w:szCs w:val="24"/>
          <w:lang w:val="en-NZ"/>
        </w:rPr>
        <w:t>strong</w:t>
      </w:r>
      <w:r w:rsidR="00085DBD" w:rsidRPr="006F4180">
        <w:rPr>
          <w:rFonts w:ascii="Times New Roman" w:eastAsiaTheme="minorEastAsia" w:hAnsi="Times New Roman" w:cs="Times New Roman"/>
          <w:sz w:val="24"/>
          <w:szCs w:val="24"/>
          <w:lang w:val="en-NZ"/>
        </w:rPr>
        <w:t>er influence of the cris</w:t>
      </w:r>
      <w:r w:rsidR="0019697F" w:rsidRPr="006F4180">
        <w:rPr>
          <w:rFonts w:ascii="Times New Roman" w:eastAsiaTheme="minorEastAsia" w:hAnsi="Times New Roman" w:cs="Times New Roman"/>
          <w:sz w:val="24"/>
          <w:szCs w:val="24"/>
          <w:lang w:val="en-NZ"/>
        </w:rPr>
        <w:t xml:space="preserve">is on the spillovers of these </w:t>
      </w:r>
      <w:r w:rsidR="00085DBD" w:rsidRPr="006F4180">
        <w:rPr>
          <w:rFonts w:ascii="Times New Roman" w:eastAsiaTheme="minorEastAsia" w:hAnsi="Times New Roman" w:cs="Times New Roman"/>
          <w:sz w:val="24"/>
          <w:szCs w:val="24"/>
          <w:lang w:val="en-NZ"/>
        </w:rPr>
        <w:t>market</w:t>
      </w:r>
      <w:r w:rsidR="0019697F" w:rsidRPr="006F4180">
        <w:rPr>
          <w:rFonts w:ascii="Times New Roman" w:eastAsiaTheme="minorEastAsia" w:hAnsi="Times New Roman" w:cs="Times New Roman"/>
          <w:sz w:val="24"/>
          <w:szCs w:val="24"/>
          <w:lang w:val="en-NZ"/>
        </w:rPr>
        <w:t>s as they belong</w:t>
      </w:r>
      <w:r w:rsidR="00DF426A" w:rsidRPr="006F4180">
        <w:rPr>
          <w:rFonts w:ascii="Times New Roman" w:eastAsiaTheme="minorEastAsia" w:hAnsi="Times New Roman" w:cs="Times New Roman"/>
          <w:sz w:val="24"/>
          <w:szCs w:val="24"/>
          <w:lang w:val="en-NZ"/>
        </w:rPr>
        <w:t xml:space="preserve"> to Eastern Europe (Foye, 2018)</w:t>
      </w:r>
      <w:r w:rsidR="00085DBD" w:rsidRPr="006F4180">
        <w:rPr>
          <w:rFonts w:ascii="Times New Roman" w:eastAsiaTheme="minorEastAsia" w:hAnsi="Times New Roman" w:cs="Times New Roman"/>
          <w:sz w:val="24"/>
          <w:szCs w:val="24"/>
          <w:lang w:val="en-NZ"/>
        </w:rPr>
        <w:t xml:space="preserve">. Meanwhile, Russia, Indonesia, and India transmitted moderate spillovers. The COVID-19 outbreak in the graph signifies </w:t>
      </w:r>
      <w:r w:rsidR="00883237" w:rsidRPr="006F4180">
        <w:rPr>
          <w:rFonts w:ascii="Times New Roman" w:eastAsiaTheme="minorEastAsia" w:hAnsi="Times New Roman" w:cs="Times New Roman"/>
          <w:sz w:val="24"/>
          <w:szCs w:val="24"/>
          <w:lang w:val="en-NZ"/>
        </w:rPr>
        <w:t xml:space="preserve">the </w:t>
      </w:r>
      <w:r w:rsidR="00085DBD" w:rsidRPr="006F4180">
        <w:rPr>
          <w:rFonts w:ascii="Times New Roman" w:eastAsiaTheme="minorEastAsia" w:hAnsi="Times New Roman" w:cs="Times New Roman"/>
          <w:sz w:val="24"/>
          <w:szCs w:val="24"/>
          <w:lang w:val="en-NZ"/>
        </w:rPr>
        <w:t xml:space="preserve">high </w:t>
      </w:r>
      <w:r w:rsidR="00883237" w:rsidRPr="006F4180">
        <w:rPr>
          <w:rFonts w:ascii="Times New Roman" w:eastAsiaTheme="minorEastAsia" w:hAnsi="Times New Roman" w:cs="Times New Roman"/>
          <w:sz w:val="24"/>
          <w:szCs w:val="24"/>
          <w:lang w:val="en-NZ"/>
        </w:rPr>
        <w:t>information</w:t>
      </w:r>
      <w:r w:rsidR="00085DBD" w:rsidRPr="006F4180">
        <w:rPr>
          <w:rFonts w:ascii="Times New Roman" w:eastAsiaTheme="minorEastAsia" w:hAnsi="Times New Roman" w:cs="Times New Roman"/>
          <w:sz w:val="24"/>
          <w:szCs w:val="24"/>
          <w:lang w:val="en-NZ"/>
        </w:rPr>
        <w:t xml:space="preserve"> transmission of Turkey to other emerging economies.</w:t>
      </w:r>
      <w:r w:rsidR="00D843C4" w:rsidRPr="006F4180">
        <w:rPr>
          <w:rFonts w:ascii="Times New Roman" w:eastAsiaTheme="minorEastAsia" w:hAnsi="Times New Roman" w:cs="Times New Roman"/>
          <w:sz w:val="24"/>
          <w:szCs w:val="24"/>
          <w:lang w:val="en-NZ"/>
        </w:rPr>
        <w:t xml:space="preserve"> Similar findings are also reported by </w:t>
      </w:r>
      <w:proofErr w:type="spellStart"/>
      <w:r w:rsidR="00D843C4" w:rsidRPr="006F4180">
        <w:rPr>
          <w:rFonts w:ascii="Times New Roman" w:eastAsiaTheme="minorEastAsia" w:hAnsi="Times New Roman" w:cs="Times New Roman"/>
          <w:sz w:val="24"/>
          <w:szCs w:val="24"/>
          <w:lang w:val="en-NZ"/>
        </w:rPr>
        <w:t>Topcu</w:t>
      </w:r>
      <w:proofErr w:type="spellEnd"/>
      <w:r w:rsidR="00D843C4" w:rsidRPr="006F4180">
        <w:rPr>
          <w:rFonts w:ascii="Times New Roman" w:eastAsiaTheme="minorEastAsia" w:hAnsi="Times New Roman" w:cs="Times New Roman"/>
          <w:sz w:val="24"/>
          <w:szCs w:val="24"/>
          <w:lang w:val="en-NZ"/>
        </w:rPr>
        <w:t xml:space="preserve"> and </w:t>
      </w:r>
      <w:proofErr w:type="spellStart"/>
      <w:r w:rsidR="00D843C4" w:rsidRPr="006F4180">
        <w:rPr>
          <w:rFonts w:ascii="Times New Roman" w:eastAsiaTheme="minorEastAsia" w:hAnsi="Times New Roman" w:cs="Times New Roman"/>
          <w:sz w:val="24"/>
          <w:szCs w:val="24"/>
          <w:lang w:val="en-NZ"/>
        </w:rPr>
        <w:t>Gulal</w:t>
      </w:r>
      <w:proofErr w:type="spellEnd"/>
      <w:r w:rsidR="00D843C4" w:rsidRPr="006F4180">
        <w:rPr>
          <w:rFonts w:ascii="Times New Roman" w:eastAsiaTheme="minorEastAsia" w:hAnsi="Times New Roman" w:cs="Times New Roman"/>
          <w:sz w:val="24"/>
          <w:szCs w:val="24"/>
          <w:lang w:val="en-NZ"/>
        </w:rPr>
        <w:t xml:space="preserve"> (2020)</w:t>
      </w:r>
      <w:r w:rsidR="00883237" w:rsidRPr="006F4180">
        <w:rPr>
          <w:rFonts w:ascii="Times New Roman" w:eastAsiaTheme="minorEastAsia" w:hAnsi="Times New Roman" w:cs="Times New Roman"/>
          <w:sz w:val="24"/>
          <w:szCs w:val="24"/>
          <w:lang w:val="en-NZ"/>
        </w:rPr>
        <w:t>,</w:t>
      </w:r>
      <w:r w:rsidR="00D843C4" w:rsidRPr="006F4180">
        <w:rPr>
          <w:rFonts w:ascii="Times New Roman" w:eastAsiaTheme="minorEastAsia" w:hAnsi="Times New Roman" w:cs="Times New Roman"/>
          <w:sz w:val="24"/>
          <w:szCs w:val="24"/>
          <w:lang w:val="en-NZ"/>
        </w:rPr>
        <w:t xml:space="preserve"> where they find </w:t>
      </w:r>
      <w:r w:rsidR="00883237" w:rsidRPr="006F4180">
        <w:rPr>
          <w:rFonts w:ascii="Times New Roman" w:eastAsiaTheme="minorEastAsia" w:hAnsi="Times New Roman" w:cs="Times New Roman"/>
          <w:sz w:val="24"/>
          <w:szCs w:val="24"/>
          <w:lang w:val="en-NZ"/>
        </w:rPr>
        <w:t xml:space="preserve">a </w:t>
      </w:r>
      <w:r w:rsidR="00D843C4" w:rsidRPr="006F4180">
        <w:rPr>
          <w:rFonts w:ascii="Times New Roman" w:eastAsiaTheme="minorEastAsia" w:hAnsi="Times New Roman" w:cs="Times New Roman"/>
          <w:sz w:val="24"/>
          <w:szCs w:val="24"/>
          <w:lang w:val="en-NZ"/>
        </w:rPr>
        <w:t>negative impact of the pandemic on emerging markets stocks</w:t>
      </w:r>
      <w:r w:rsidR="00883237" w:rsidRPr="006F4180">
        <w:rPr>
          <w:rFonts w:ascii="Times New Roman" w:eastAsiaTheme="minorEastAsia" w:hAnsi="Times New Roman" w:cs="Times New Roman"/>
          <w:sz w:val="24"/>
          <w:szCs w:val="24"/>
          <w:lang w:val="en-NZ"/>
        </w:rPr>
        <w:t>,</w:t>
      </w:r>
      <w:r w:rsidR="00D843C4" w:rsidRPr="006F4180">
        <w:rPr>
          <w:rFonts w:ascii="Times New Roman" w:eastAsiaTheme="minorEastAsia" w:hAnsi="Times New Roman" w:cs="Times New Roman"/>
          <w:sz w:val="24"/>
          <w:szCs w:val="24"/>
          <w:lang w:val="en-NZ"/>
        </w:rPr>
        <w:t xml:space="preserve"> and the impact is pronounced in Asian markets compared to other European and American emerging markets. </w:t>
      </w:r>
      <w:r w:rsidR="00085DBD" w:rsidRPr="006F4180">
        <w:rPr>
          <w:rFonts w:ascii="Times New Roman" w:eastAsiaTheme="minorEastAsia" w:hAnsi="Times New Roman" w:cs="Times New Roman"/>
          <w:sz w:val="24"/>
          <w:szCs w:val="24"/>
          <w:lang w:val="en-NZ"/>
        </w:rPr>
        <w:t xml:space="preserve"> </w:t>
      </w:r>
    </w:p>
    <w:p w14:paraId="27FB4EF0" w14:textId="79233CE4" w:rsidR="00D34BAA" w:rsidRPr="006F4180" w:rsidRDefault="0091118A" w:rsidP="0091118A">
      <w:pPr>
        <w:spacing w:line="360" w:lineRule="auto"/>
        <w:jc w:val="center"/>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t>[Figure 4 about here]</w:t>
      </w:r>
    </w:p>
    <w:p w14:paraId="14721F30" w14:textId="57E3E978" w:rsidR="0091118A" w:rsidRPr="006F4180" w:rsidRDefault="0091118A" w:rsidP="0091118A">
      <w:pPr>
        <w:spacing w:line="360" w:lineRule="auto"/>
        <w:jc w:val="center"/>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t>[Figure 5 about here]</w:t>
      </w:r>
    </w:p>
    <w:p w14:paraId="6F1020CE" w14:textId="6A53D9C0" w:rsidR="00D34BAA" w:rsidRPr="006F4180" w:rsidRDefault="0091118A" w:rsidP="003F5DF8">
      <w:pPr>
        <w:spacing w:line="360" w:lineRule="auto"/>
        <w:jc w:val="both"/>
        <w:rPr>
          <w:rFonts w:ascii="Times New Roman" w:eastAsiaTheme="minorEastAsia" w:hAnsi="Times New Roman" w:cs="Times New Roman"/>
          <w:i/>
          <w:sz w:val="24"/>
          <w:szCs w:val="24"/>
          <w:lang w:val="en-NZ"/>
        </w:rPr>
      </w:pPr>
      <w:r w:rsidRPr="006F4180">
        <w:rPr>
          <w:rFonts w:ascii="Times New Roman" w:eastAsiaTheme="minorEastAsia" w:hAnsi="Times New Roman" w:cs="Times New Roman"/>
          <w:i/>
          <w:sz w:val="24"/>
          <w:szCs w:val="24"/>
          <w:lang w:val="en-NZ"/>
        </w:rPr>
        <w:t xml:space="preserve">4.2.3 Adjacency Matrices </w:t>
      </w:r>
    </w:p>
    <w:p w14:paraId="26306635" w14:textId="466FD07B" w:rsidR="0074366D" w:rsidRPr="006F4180" w:rsidRDefault="00D06BE0" w:rsidP="0045037C">
      <w:pPr>
        <w:spacing w:line="360" w:lineRule="auto"/>
        <w:jc w:val="both"/>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t>This step examines the</w:t>
      </w:r>
      <w:r w:rsidR="00B11466" w:rsidRPr="006F4180">
        <w:rPr>
          <w:rFonts w:ascii="Times New Roman" w:eastAsiaTheme="minorEastAsia" w:hAnsi="Times New Roman" w:cs="Times New Roman"/>
          <w:sz w:val="24"/>
          <w:szCs w:val="24"/>
          <w:lang w:val="en-NZ"/>
        </w:rPr>
        <w:t xml:space="preserve"> country</w:t>
      </w:r>
      <w:r w:rsidR="00883237" w:rsidRPr="006F4180">
        <w:rPr>
          <w:rFonts w:ascii="Times New Roman" w:eastAsiaTheme="minorEastAsia" w:hAnsi="Times New Roman" w:cs="Times New Roman"/>
          <w:sz w:val="24"/>
          <w:szCs w:val="24"/>
          <w:lang w:val="en-NZ"/>
        </w:rPr>
        <w:t>-</w:t>
      </w:r>
      <w:r w:rsidR="00B11466" w:rsidRPr="006F4180">
        <w:rPr>
          <w:rFonts w:ascii="Times New Roman" w:eastAsiaTheme="minorEastAsia" w:hAnsi="Times New Roman" w:cs="Times New Roman"/>
          <w:sz w:val="24"/>
          <w:szCs w:val="24"/>
          <w:lang w:val="en-NZ"/>
        </w:rPr>
        <w:t xml:space="preserve">level interconnectedness where </w:t>
      </w:r>
      <w:r w:rsidR="00883237" w:rsidRPr="006F4180">
        <w:rPr>
          <w:rFonts w:ascii="Times New Roman" w:eastAsiaTheme="minorEastAsia" w:hAnsi="Times New Roman" w:cs="Times New Roman"/>
          <w:sz w:val="24"/>
          <w:szCs w:val="24"/>
          <w:lang w:val="en-NZ"/>
        </w:rPr>
        <w:t xml:space="preserve">the </w:t>
      </w:r>
      <w:r w:rsidR="00B11466" w:rsidRPr="006F4180">
        <w:rPr>
          <w:rFonts w:ascii="Times New Roman" w:eastAsiaTheme="minorEastAsia" w:hAnsi="Times New Roman" w:cs="Times New Roman"/>
          <w:sz w:val="24"/>
          <w:szCs w:val="24"/>
          <w:lang w:val="en-NZ"/>
        </w:rPr>
        <w:t xml:space="preserve">directional connectedness of market </w:t>
      </w:r>
      <w:r w:rsidR="00B11466" w:rsidRPr="006F4180">
        <w:rPr>
          <w:rFonts w:ascii="Times New Roman" w:eastAsiaTheme="minorEastAsia" w:hAnsi="Times New Roman" w:cs="Times New Roman"/>
          <w:i/>
          <w:sz w:val="24"/>
          <w:szCs w:val="24"/>
          <w:lang w:val="en-NZ"/>
        </w:rPr>
        <w:t xml:space="preserve">i </w:t>
      </w:r>
      <w:r w:rsidR="00B11466" w:rsidRPr="006F4180">
        <w:rPr>
          <w:rFonts w:ascii="Times New Roman" w:eastAsiaTheme="minorEastAsia" w:hAnsi="Times New Roman" w:cs="Times New Roman"/>
          <w:sz w:val="24"/>
          <w:szCs w:val="24"/>
          <w:lang w:val="en-NZ"/>
        </w:rPr>
        <w:t xml:space="preserve">to market </w:t>
      </w:r>
      <w:r w:rsidR="00B11466" w:rsidRPr="006F4180">
        <w:rPr>
          <w:rFonts w:ascii="Times New Roman" w:eastAsiaTheme="minorEastAsia" w:hAnsi="Times New Roman" w:cs="Times New Roman"/>
          <w:i/>
          <w:sz w:val="24"/>
          <w:szCs w:val="24"/>
          <w:lang w:val="en-NZ"/>
        </w:rPr>
        <w:t xml:space="preserve">j </w:t>
      </w:r>
      <w:r w:rsidR="00B11466" w:rsidRPr="006F4180">
        <w:rPr>
          <w:rFonts w:ascii="Times New Roman" w:eastAsiaTheme="minorEastAsia" w:hAnsi="Times New Roman" w:cs="Times New Roman"/>
          <w:sz w:val="24"/>
          <w:szCs w:val="24"/>
          <w:lang w:val="en-NZ"/>
        </w:rPr>
        <w:t xml:space="preserve">is focused. Figure 6 represents </w:t>
      </w:r>
      <w:r w:rsidR="00883237" w:rsidRPr="006F4180">
        <w:rPr>
          <w:rFonts w:ascii="Times New Roman" w:eastAsiaTheme="minorEastAsia" w:hAnsi="Times New Roman" w:cs="Times New Roman"/>
          <w:sz w:val="24"/>
          <w:szCs w:val="24"/>
          <w:lang w:val="en-NZ"/>
        </w:rPr>
        <w:t xml:space="preserve">the </w:t>
      </w:r>
      <w:r w:rsidR="00B11466" w:rsidRPr="006F4180">
        <w:rPr>
          <w:rFonts w:ascii="Times New Roman" w:eastAsiaTheme="minorEastAsia" w:hAnsi="Times New Roman" w:cs="Times New Roman"/>
          <w:sz w:val="24"/>
          <w:szCs w:val="24"/>
          <w:lang w:val="en-NZ"/>
        </w:rPr>
        <w:t xml:space="preserve">directional connectedness of 23 emerging </w:t>
      </w:r>
      <w:r w:rsidR="0045037C" w:rsidRPr="006F4180">
        <w:rPr>
          <w:rFonts w:ascii="Times New Roman" w:eastAsiaTheme="minorEastAsia" w:hAnsi="Times New Roman" w:cs="Times New Roman"/>
          <w:sz w:val="24"/>
          <w:szCs w:val="24"/>
          <w:lang w:val="en-NZ"/>
        </w:rPr>
        <w:t>markets where strong</w:t>
      </w:r>
      <w:r w:rsidRPr="006F4180">
        <w:rPr>
          <w:rFonts w:ascii="Times New Roman" w:eastAsiaTheme="minorEastAsia" w:hAnsi="Times New Roman" w:cs="Times New Roman"/>
          <w:sz w:val="24"/>
          <w:szCs w:val="24"/>
          <w:lang w:val="en-NZ"/>
        </w:rPr>
        <w:t xml:space="preserve"> volatility spillovers are</w:t>
      </w:r>
      <w:r w:rsidR="00B11466" w:rsidRPr="006F4180">
        <w:rPr>
          <w:rFonts w:ascii="Times New Roman" w:eastAsiaTheme="minorEastAsia" w:hAnsi="Times New Roman" w:cs="Times New Roman"/>
          <w:sz w:val="24"/>
          <w:szCs w:val="24"/>
          <w:lang w:val="en-NZ"/>
        </w:rPr>
        <w:t xml:space="preserve"> exhibited by the pairs POL-HUN, </w:t>
      </w:r>
      <w:r w:rsidR="0045037C" w:rsidRPr="006F4180">
        <w:rPr>
          <w:rFonts w:ascii="Times New Roman" w:eastAsiaTheme="minorEastAsia" w:hAnsi="Times New Roman" w:cs="Times New Roman"/>
          <w:sz w:val="24"/>
          <w:szCs w:val="24"/>
          <w:lang w:val="en-NZ"/>
        </w:rPr>
        <w:t xml:space="preserve">CZR-HUN, </w:t>
      </w:r>
      <w:r w:rsidR="00B11466" w:rsidRPr="006F4180">
        <w:rPr>
          <w:rFonts w:ascii="Times New Roman" w:eastAsiaTheme="minorEastAsia" w:hAnsi="Times New Roman" w:cs="Times New Roman"/>
          <w:sz w:val="24"/>
          <w:szCs w:val="24"/>
          <w:lang w:val="en-NZ"/>
        </w:rPr>
        <w:t xml:space="preserve">MAL-INDO, </w:t>
      </w:r>
      <w:r w:rsidR="0045037C" w:rsidRPr="006F4180">
        <w:rPr>
          <w:rFonts w:ascii="Times New Roman" w:eastAsiaTheme="minorEastAsia" w:hAnsi="Times New Roman" w:cs="Times New Roman"/>
          <w:sz w:val="24"/>
          <w:szCs w:val="24"/>
          <w:lang w:val="en-NZ"/>
        </w:rPr>
        <w:t xml:space="preserve">and </w:t>
      </w:r>
      <w:r w:rsidR="00B11466" w:rsidRPr="006F4180">
        <w:rPr>
          <w:rFonts w:ascii="Times New Roman" w:eastAsiaTheme="minorEastAsia" w:hAnsi="Times New Roman" w:cs="Times New Roman"/>
          <w:sz w:val="24"/>
          <w:szCs w:val="24"/>
          <w:lang w:val="en-NZ"/>
        </w:rPr>
        <w:t xml:space="preserve">PAK-IND. </w:t>
      </w:r>
      <w:r w:rsidRPr="006F4180">
        <w:rPr>
          <w:rFonts w:ascii="Times New Roman" w:eastAsiaTheme="minorEastAsia" w:hAnsi="Times New Roman" w:cs="Times New Roman"/>
          <w:sz w:val="24"/>
          <w:szCs w:val="24"/>
          <w:lang w:val="en-NZ"/>
        </w:rPr>
        <w:t>We also reported weak spillovers</w:t>
      </w:r>
      <w:r w:rsidR="0045037C" w:rsidRPr="006F4180">
        <w:rPr>
          <w:rFonts w:ascii="Times New Roman" w:eastAsiaTheme="minorEastAsia" w:hAnsi="Times New Roman" w:cs="Times New Roman"/>
          <w:sz w:val="24"/>
          <w:szCs w:val="24"/>
          <w:lang w:val="en-NZ"/>
        </w:rPr>
        <w:t xml:space="preserve"> among the pairs of COL-TUR, INDO-THL, CHI-RUS, and PHI-THL</w:t>
      </w:r>
      <w:r w:rsidR="00883237" w:rsidRPr="006F4180">
        <w:rPr>
          <w:rFonts w:ascii="Times New Roman" w:eastAsiaTheme="minorEastAsia" w:hAnsi="Times New Roman" w:cs="Times New Roman"/>
          <w:sz w:val="24"/>
          <w:szCs w:val="24"/>
          <w:lang w:val="en-NZ"/>
        </w:rPr>
        <w:t>,</w:t>
      </w:r>
      <w:r w:rsidR="0045037C" w:rsidRPr="006F4180">
        <w:rPr>
          <w:rFonts w:ascii="Times New Roman" w:eastAsiaTheme="minorEastAsia" w:hAnsi="Times New Roman" w:cs="Times New Roman"/>
          <w:sz w:val="24"/>
          <w:szCs w:val="24"/>
          <w:lang w:val="en-NZ"/>
        </w:rPr>
        <w:t xml:space="preserve"> manifes</w:t>
      </w:r>
      <w:r w:rsidRPr="006F4180">
        <w:rPr>
          <w:rFonts w:ascii="Times New Roman" w:eastAsiaTheme="minorEastAsia" w:hAnsi="Times New Roman" w:cs="Times New Roman"/>
          <w:sz w:val="24"/>
          <w:szCs w:val="24"/>
          <w:lang w:val="en-NZ"/>
        </w:rPr>
        <w:t>ting moderate to weak spillovers</w:t>
      </w:r>
      <w:r w:rsidR="0045037C" w:rsidRPr="006F4180">
        <w:rPr>
          <w:rFonts w:ascii="Times New Roman" w:eastAsiaTheme="minorEastAsia" w:hAnsi="Times New Roman" w:cs="Times New Roman"/>
          <w:sz w:val="24"/>
          <w:szCs w:val="24"/>
          <w:lang w:val="en-NZ"/>
        </w:rPr>
        <w:t xml:space="preserve"> among the emerging markets during </w:t>
      </w:r>
      <w:r w:rsidR="00883237" w:rsidRPr="006F4180">
        <w:rPr>
          <w:rFonts w:ascii="Times New Roman" w:eastAsiaTheme="minorEastAsia" w:hAnsi="Times New Roman" w:cs="Times New Roman"/>
          <w:sz w:val="24"/>
          <w:szCs w:val="24"/>
          <w:lang w:val="en-NZ"/>
        </w:rPr>
        <w:t xml:space="preserve">the </w:t>
      </w:r>
      <w:r w:rsidR="0045037C" w:rsidRPr="006F4180">
        <w:rPr>
          <w:rFonts w:ascii="Times New Roman" w:eastAsiaTheme="minorEastAsia" w:hAnsi="Times New Roman" w:cs="Times New Roman"/>
          <w:sz w:val="24"/>
          <w:szCs w:val="24"/>
          <w:lang w:val="en-NZ"/>
        </w:rPr>
        <w:t xml:space="preserve">full sample period. Overall, the figure reveals </w:t>
      </w:r>
      <w:r w:rsidR="00883237" w:rsidRPr="006F4180">
        <w:rPr>
          <w:rFonts w:ascii="Times New Roman" w:eastAsiaTheme="minorEastAsia" w:hAnsi="Times New Roman" w:cs="Times New Roman"/>
          <w:sz w:val="24"/>
          <w:szCs w:val="24"/>
          <w:lang w:val="en-NZ"/>
        </w:rPr>
        <w:t xml:space="preserve">a </w:t>
      </w:r>
      <w:r w:rsidR="0045037C" w:rsidRPr="006F4180">
        <w:rPr>
          <w:rFonts w:ascii="Times New Roman" w:eastAsiaTheme="minorEastAsia" w:hAnsi="Times New Roman" w:cs="Times New Roman"/>
          <w:sz w:val="24"/>
          <w:szCs w:val="24"/>
          <w:lang w:val="en-NZ"/>
        </w:rPr>
        <w:t xml:space="preserve">varying intensity of risk spillovers for emerging markets with strong, moderate, and weak dependence. </w:t>
      </w:r>
      <w:r w:rsidRPr="006F4180">
        <w:rPr>
          <w:rFonts w:ascii="Times New Roman" w:eastAsiaTheme="minorEastAsia" w:hAnsi="Times New Roman" w:cs="Times New Roman"/>
          <w:sz w:val="24"/>
          <w:szCs w:val="24"/>
          <w:lang w:val="en-NZ"/>
        </w:rPr>
        <w:t xml:space="preserve">In line with Lee and Lee (2021), </w:t>
      </w:r>
      <w:proofErr w:type="spellStart"/>
      <w:r w:rsidRPr="006F4180">
        <w:rPr>
          <w:rFonts w:ascii="Times New Roman" w:eastAsiaTheme="minorEastAsia" w:hAnsi="Times New Roman" w:cs="Times New Roman"/>
          <w:sz w:val="24"/>
          <w:szCs w:val="24"/>
          <w:lang w:val="en-NZ"/>
        </w:rPr>
        <w:t>Topcu</w:t>
      </w:r>
      <w:proofErr w:type="spellEnd"/>
      <w:r w:rsidRPr="006F4180">
        <w:rPr>
          <w:rFonts w:ascii="Times New Roman" w:eastAsiaTheme="minorEastAsia" w:hAnsi="Times New Roman" w:cs="Times New Roman"/>
          <w:sz w:val="24"/>
          <w:szCs w:val="24"/>
          <w:lang w:val="en-NZ"/>
        </w:rPr>
        <w:t xml:space="preserve"> and </w:t>
      </w:r>
      <w:proofErr w:type="spellStart"/>
      <w:r w:rsidRPr="006F4180">
        <w:rPr>
          <w:rFonts w:ascii="Times New Roman" w:eastAsiaTheme="minorEastAsia" w:hAnsi="Times New Roman" w:cs="Times New Roman"/>
          <w:sz w:val="24"/>
          <w:szCs w:val="24"/>
          <w:lang w:val="en-NZ"/>
        </w:rPr>
        <w:t>Gulal</w:t>
      </w:r>
      <w:proofErr w:type="spellEnd"/>
      <w:r w:rsidRPr="006F4180">
        <w:rPr>
          <w:rFonts w:ascii="Times New Roman" w:eastAsiaTheme="minorEastAsia" w:hAnsi="Times New Roman" w:cs="Times New Roman"/>
          <w:sz w:val="24"/>
          <w:szCs w:val="24"/>
          <w:lang w:val="en-NZ"/>
        </w:rPr>
        <w:t xml:space="preserve"> (2020), and Zhang et al. (2020), global financial markets, particularly emerging markets</w:t>
      </w:r>
      <w:r w:rsidR="00883237" w:rsidRPr="006F4180">
        <w:rPr>
          <w:rFonts w:ascii="Times New Roman" w:eastAsiaTheme="minorEastAsia" w:hAnsi="Times New Roman" w:cs="Times New Roman"/>
          <w:sz w:val="24"/>
          <w:szCs w:val="24"/>
          <w:lang w:val="en-NZ"/>
        </w:rPr>
        <w:t>,</w:t>
      </w:r>
      <w:r w:rsidRPr="006F4180">
        <w:rPr>
          <w:rFonts w:ascii="Times New Roman" w:eastAsiaTheme="minorEastAsia" w:hAnsi="Times New Roman" w:cs="Times New Roman"/>
          <w:sz w:val="24"/>
          <w:szCs w:val="24"/>
          <w:lang w:val="en-NZ"/>
        </w:rPr>
        <w:t xml:space="preserve"> showed intense spillovers </w:t>
      </w:r>
      <w:r w:rsidRPr="006F4180">
        <w:rPr>
          <w:rFonts w:ascii="Times New Roman" w:eastAsiaTheme="minorEastAsia" w:hAnsi="Times New Roman" w:cs="Times New Roman"/>
          <w:sz w:val="24"/>
          <w:szCs w:val="24"/>
          <w:lang w:val="en-NZ"/>
        </w:rPr>
        <w:lastRenderedPageBreak/>
        <w:t xml:space="preserve">when faced with uncertainty in the global economic conditions. </w:t>
      </w:r>
      <w:r w:rsidR="002B28DB" w:rsidRPr="006F4180">
        <w:rPr>
          <w:rFonts w:ascii="Times New Roman" w:eastAsiaTheme="minorEastAsia" w:hAnsi="Times New Roman" w:cs="Times New Roman"/>
          <w:sz w:val="24"/>
          <w:szCs w:val="24"/>
          <w:lang w:val="en-NZ"/>
        </w:rPr>
        <w:t xml:space="preserve">In addition, noticeable </w:t>
      </w:r>
      <w:r w:rsidR="00883237" w:rsidRPr="006F4180">
        <w:rPr>
          <w:rFonts w:ascii="Times New Roman" w:eastAsiaTheme="minorEastAsia" w:hAnsi="Times New Roman" w:cs="Times New Roman"/>
          <w:sz w:val="24"/>
          <w:szCs w:val="24"/>
          <w:lang w:val="en-NZ"/>
        </w:rPr>
        <w:t>disconnections from the network</w:t>
      </w:r>
      <w:r w:rsidR="002B28DB" w:rsidRPr="006F4180">
        <w:rPr>
          <w:rFonts w:ascii="Times New Roman" w:eastAsiaTheme="minorEastAsia" w:hAnsi="Times New Roman" w:cs="Times New Roman"/>
          <w:sz w:val="24"/>
          <w:szCs w:val="24"/>
          <w:lang w:val="en-NZ"/>
        </w:rPr>
        <w:t xml:space="preserve"> are reported for CHN. The substantial disconnection of </w:t>
      </w:r>
      <w:r w:rsidR="00883237" w:rsidRPr="006F4180">
        <w:rPr>
          <w:rFonts w:ascii="Times New Roman" w:eastAsiaTheme="minorEastAsia" w:hAnsi="Times New Roman" w:cs="Times New Roman"/>
          <w:sz w:val="24"/>
          <w:szCs w:val="24"/>
          <w:lang w:val="en-NZ"/>
        </w:rPr>
        <w:t>the Chinese market highlights their diversification potential for stocks of other emerging economies, as investing in the</w:t>
      </w:r>
      <w:r w:rsidR="002B28DB" w:rsidRPr="006F4180">
        <w:rPr>
          <w:rFonts w:ascii="Times New Roman" w:eastAsiaTheme="minorEastAsia" w:hAnsi="Times New Roman" w:cs="Times New Roman"/>
          <w:sz w:val="24"/>
          <w:szCs w:val="24"/>
          <w:lang w:val="en-NZ"/>
        </w:rPr>
        <w:t xml:space="preserve"> Chinese market would greatly enhance the risk absorbance when faced with uncertainty. </w:t>
      </w:r>
      <w:r w:rsidR="00651D65" w:rsidRPr="006F4180">
        <w:rPr>
          <w:rFonts w:ascii="Times New Roman" w:eastAsiaTheme="minorEastAsia" w:hAnsi="Times New Roman" w:cs="Times New Roman"/>
          <w:sz w:val="24"/>
          <w:szCs w:val="24"/>
          <w:lang w:val="en-NZ"/>
        </w:rPr>
        <w:t xml:space="preserve">Demir and Ersan (2017) support this finding by contending that growth in Chinese market would mature after 2020 than those of US and European markets. </w:t>
      </w:r>
      <w:r w:rsidR="003B5504" w:rsidRPr="006F4180">
        <w:rPr>
          <w:rFonts w:ascii="Times New Roman" w:eastAsiaTheme="minorEastAsia" w:hAnsi="Times New Roman" w:cs="Times New Roman"/>
          <w:sz w:val="24"/>
          <w:szCs w:val="24"/>
          <w:lang w:val="en-NZ"/>
        </w:rPr>
        <w:t xml:space="preserve">In this way, the dynamic nature of Chinese market would provide diversification potential to the investors while mitigating the risk of economic turbulence. </w:t>
      </w:r>
    </w:p>
    <w:p w14:paraId="386A30AF" w14:textId="48F6EC26" w:rsidR="0045037C" w:rsidRPr="006F4180" w:rsidRDefault="0045037C" w:rsidP="003950B7">
      <w:pPr>
        <w:spacing w:line="360" w:lineRule="auto"/>
        <w:ind w:firstLine="720"/>
        <w:jc w:val="both"/>
        <w:rPr>
          <w:rFonts w:ascii="Times New Roman" w:hAnsi="Times New Roman" w:cs="Times New Roman"/>
          <w:sz w:val="24"/>
          <w:szCs w:val="20"/>
        </w:rPr>
      </w:pPr>
      <w:r w:rsidRPr="006F4180">
        <w:rPr>
          <w:rFonts w:ascii="Times New Roman" w:eastAsiaTheme="minorEastAsia" w:hAnsi="Times New Roman" w:cs="Times New Roman"/>
          <w:sz w:val="24"/>
          <w:szCs w:val="24"/>
          <w:lang w:val="en-NZ"/>
        </w:rPr>
        <w:t>To further investigate the detailed links among the emerging markets, we aggregate the absolute values of</w:t>
      </w:r>
      <w:r w:rsidR="002164CF" w:rsidRPr="006F4180">
        <w:rPr>
          <w:rFonts w:ascii="Times New Roman" w:hAnsi="Times New Roman" w:cs="Times New Roman"/>
          <w:sz w:val="24"/>
          <w:szCs w:val="24"/>
          <w:lang w:val="en-NZ"/>
        </w:rPr>
        <w:t xml:space="preserve"> </w:t>
      </w:r>
      <m:oMath>
        <m:r>
          <w:rPr>
            <w:rFonts w:ascii="Cambria Math" w:hAnsi="Cambria Math" w:cs="Times New Roman"/>
            <w:sz w:val="24"/>
            <w:szCs w:val="24"/>
            <w:lang w:val="en-NZ"/>
          </w:rPr>
          <m:t>|</m:t>
        </m:r>
        <m:sSubSup>
          <m:sSubSupPr>
            <m:ctrlPr>
              <w:rPr>
                <w:rFonts w:ascii="Cambria Math" w:hAnsi="Cambria Math" w:cs="Times New Roman"/>
                <w:i/>
                <w:sz w:val="24"/>
                <w:szCs w:val="24"/>
                <w:lang w:val="en-NZ"/>
              </w:rPr>
            </m:ctrlPr>
          </m:sSubSupPr>
          <m:e>
            <m:acc>
              <m:accPr>
                <m:ctrlPr>
                  <w:rPr>
                    <w:rFonts w:ascii="Cambria Math" w:hAnsi="Cambria Math" w:cs="Times New Roman"/>
                    <w:i/>
                    <w:sz w:val="24"/>
                    <w:szCs w:val="24"/>
                    <w:lang w:val="en-NZ"/>
                  </w:rPr>
                </m:ctrlPr>
              </m:accPr>
              <m:e>
                <m:r>
                  <w:rPr>
                    <w:rFonts w:ascii="Cambria Math" w:hAnsi="Cambria Math" w:cs="Times New Roman"/>
                    <w:sz w:val="24"/>
                    <w:szCs w:val="24"/>
                    <w:lang w:val="en-NZ"/>
                  </w:rPr>
                  <m:t>D</m:t>
                </m:r>
              </m:e>
            </m:acc>
          </m:e>
          <m:sub>
            <m:r>
              <w:rPr>
                <w:rFonts w:ascii="Cambria Math" w:hAnsi="Cambria Math" w:cs="Times New Roman"/>
                <w:sz w:val="24"/>
                <w:szCs w:val="24"/>
                <w:lang w:val="en-NZ"/>
              </w:rPr>
              <m:t>j/i</m:t>
            </m:r>
          </m:sub>
          <m:sup>
            <m:r>
              <w:rPr>
                <w:rFonts w:ascii="Cambria Math" w:hAnsi="Cambria Math" w:cs="Times New Roman"/>
                <w:sz w:val="24"/>
                <w:szCs w:val="24"/>
                <w:lang w:val="en-NZ"/>
              </w:rPr>
              <m:t>w</m:t>
            </m:r>
          </m:sup>
        </m:sSubSup>
        <m:r>
          <w:rPr>
            <w:rFonts w:ascii="Cambria Math" w:hAnsi="Cambria Math" w:cs="Times New Roman"/>
            <w:sz w:val="24"/>
            <w:szCs w:val="24"/>
            <w:lang w:val="en-NZ"/>
          </w:rPr>
          <m:t>|</m:t>
        </m:r>
      </m:oMath>
      <w:r w:rsidR="002164CF" w:rsidRPr="006F4180">
        <w:rPr>
          <w:rFonts w:ascii="Times New Roman" w:eastAsiaTheme="minorEastAsia" w:hAnsi="Times New Roman" w:cs="Times New Roman"/>
          <w:sz w:val="24"/>
          <w:szCs w:val="24"/>
          <w:lang w:val="en-NZ"/>
        </w:rPr>
        <w:t xml:space="preserve"> and </w:t>
      </w:r>
      <m:oMath>
        <m:r>
          <w:rPr>
            <w:rFonts w:ascii="Cambria Math" w:hAnsi="Cambria Math" w:cs="Times New Roman"/>
            <w:sz w:val="24"/>
            <w:szCs w:val="24"/>
            <w:lang w:val="en-NZ"/>
          </w:rPr>
          <m:t>|</m:t>
        </m:r>
        <m:sSubSup>
          <m:sSubSupPr>
            <m:ctrlPr>
              <w:rPr>
                <w:rFonts w:ascii="Cambria Math" w:hAnsi="Cambria Math" w:cs="Times New Roman"/>
                <w:i/>
                <w:sz w:val="24"/>
                <w:szCs w:val="24"/>
                <w:lang w:val="en-NZ"/>
              </w:rPr>
            </m:ctrlPr>
          </m:sSubSupPr>
          <m:e>
            <m:acc>
              <m:accPr>
                <m:ctrlPr>
                  <w:rPr>
                    <w:rFonts w:ascii="Cambria Math" w:hAnsi="Cambria Math" w:cs="Times New Roman"/>
                    <w:i/>
                    <w:sz w:val="24"/>
                    <w:szCs w:val="24"/>
                    <w:lang w:val="en-NZ"/>
                  </w:rPr>
                </m:ctrlPr>
              </m:accPr>
              <m:e>
                <m:r>
                  <w:rPr>
                    <w:rFonts w:ascii="Cambria Math" w:hAnsi="Cambria Math" w:cs="Times New Roman"/>
                    <w:sz w:val="24"/>
                    <w:szCs w:val="24"/>
                    <w:lang w:val="en-NZ"/>
                  </w:rPr>
                  <m:t>D</m:t>
                </m:r>
              </m:e>
            </m:acc>
          </m:e>
          <m:sub>
            <m:r>
              <w:rPr>
                <w:rFonts w:ascii="Cambria Math" w:hAnsi="Cambria Math" w:cs="Times New Roman"/>
                <w:sz w:val="24"/>
                <w:szCs w:val="24"/>
                <w:lang w:val="en-NZ"/>
              </w:rPr>
              <m:t>i/j</m:t>
            </m:r>
          </m:sub>
          <m:sup>
            <m:r>
              <w:rPr>
                <w:rFonts w:ascii="Cambria Math" w:hAnsi="Cambria Math" w:cs="Times New Roman"/>
                <w:sz w:val="24"/>
                <w:szCs w:val="24"/>
                <w:lang w:val="en-NZ"/>
              </w:rPr>
              <m:t>w</m:t>
            </m:r>
          </m:sup>
        </m:sSubSup>
        <m:r>
          <w:rPr>
            <w:rFonts w:ascii="Cambria Math" w:hAnsi="Cambria Math" w:cs="Times New Roman"/>
            <w:sz w:val="24"/>
            <w:szCs w:val="24"/>
            <w:lang w:val="en-NZ"/>
          </w:rPr>
          <m:t>|</m:t>
        </m:r>
      </m:oMath>
      <w:r w:rsidRPr="006F4180">
        <w:rPr>
          <w:rFonts w:ascii="Times New Roman" w:eastAsiaTheme="minorEastAsia" w:hAnsi="Times New Roman" w:cs="Times New Roman"/>
          <w:sz w:val="24"/>
          <w:szCs w:val="24"/>
          <w:lang w:val="en-NZ"/>
        </w:rPr>
        <w:t xml:space="preserve"> to rank the emerging markets </w:t>
      </w:r>
      <w:r w:rsidR="00883237" w:rsidRPr="006F4180">
        <w:rPr>
          <w:rFonts w:ascii="Times New Roman" w:eastAsiaTheme="minorEastAsia" w:hAnsi="Times New Roman" w:cs="Times New Roman"/>
          <w:sz w:val="24"/>
          <w:szCs w:val="24"/>
          <w:lang w:val="en-NZ"/>
        </w:rPr>
        <w:t>based on</w:t>
      </w:r>
      <w:r w:rsidRPr="006F4180">
        <w:rPr>
          <w:rFonts w:ascii="Times New Roman" w:eastAsiaTheme="minorEastAsia" w:hAnsi="Times New Roman" w:cs="Times New Roman"/>
          <w:sz w:val="24"/>
          <w:szCs w:val="24"/>
          <w:lang w:val="en-NZ"/>
        </w:rPr>
        <w:t xml:space="preserve"> risk reception and risk emission for the whole sample. </w:t>
      </w:r>
      <w:r w:rsidR="0075697D" w:rsidRPr="006F4180">
        <w:rPr>
          <w:rFonts w:ascii="Times New Roman" w:eastAsiaTheme="minorEastAsia" w:hAnsi="Times New Roman" w:cs="Times New Roman"/>
          <w:sz w:val="24"/>
          <w:szCs w:val="24"/>
          <w:lang w:val="en-NZ"/>
        </w:rPr>
        <w:t xml:space="preserve">Table 2 shows that </w:t>
      </w:r>
      <w:r w:rsidR="00883237" w:rsidRPr="006F4180">
        <w:rPr>
          <w:rFonts w:ascii="Times New Roman" w:eastAsiaTheme="minorEastAsia" w:hAnsi="Times New Roman" w:cs="Times New Roman"/>
          <w:sz w:val="24"/>
          <w:szCs w:val="24"/>
          <w:lang w:val="en-NZ"/>
        </w:rPr>
        <w:t xml:space="preserve">the </w:t>
      </w:r>
      <w:r w:rsidR="0075697D" w:rsidRPr="006F4180">
        <w:rPr>
          <w:rFonts w:ascii="Times New Roman" w:eastAsiaTheme="minorEastAsia" w:hAnsi="Times New Roman" w:cs="Times New Roman"/>
          <w:sz w:val="24"/>
          <w:szCs w:val="24"/>
          <w:lang w:val="en-NZ"/>
        </w:rPr>
        <w:t>strongest spillovers are from</w:t>
      </w:r>
      <w:r w:rsidR="00A46A4D" w:rsidRPr="006F4180">
        <w:rPr>
          <w:rFonts w:ascii="Times New Roman" w:eastAsiaTheme="minorEastAsia" w:hAnsi="Times New Roman" w:cs="Times New Roman"/>
          <w:sz w:val="24"/>
          <w:szCs w:val="24"/>
          <w:lang w:val="en-NZ"/>
        </w:rPr>
        <w:t xml:space="preserve"> the countries of European region such as</w:t>
      </w:r>
      <w:r w:rsidR="0075697D" w:rsidRPr="006F4180">
        <w:rPr>
          <w:rFonts w:ascii="Times New Roman" w:eastAsiaTheme="minorEastAsia" w:hAnsi="Times New Roman" w:cs="Times New Roman"/>
          <w:sz w:val="24"/>
          <w:szCs w:val="24"/>
          <w:lang w:val="en-NZ"/>
        </w:rPr>
        <w:t xml:space="preserve"> TUR, HUN, and RUS. Simultaneously, </w:t>
      </w:r>
      <w:r w:rsidR="00A46A4D" w:rsidRPr="006F4180">
        <w:rPr>
          <w:rFonts w:ascii="Times New Roman" w:eastAsiaTheme="minorEastAsia" w:hAnsi="Times New Roman" w:cs="Times New Roman"/>
          <w:sz w:val="24"/>
          <w:szCs w:val="24"/>
          <w:lang w:val="en-NZ"/>
        </w:rPr>
        <w:t xml:space="preserve">mainly Asian economies, for instance, </w:t>
      </w:r>
      <w:r w:rsidR="0075697D" w:rsidRPr="006F4180">
        <w:rPr>
          <w:rFonts w:ascii="Times New Roman" w:eastAsiaTheme="minorEastAsia" w:hAnsi="Times New Roman" w:cs="Times New Roman"/>
          <w:sz w:val="24"/>
          <w:szCs w:val="24"/>
          <w:lang w:val="en-NZ"/>
        </w:rPr>
        <w:t xml:space="preserve">PAK, INDO, and </w:t>
      </w:r>
      <w:r w:rsidR="00A46A4D" w:rsidRPr="006F4180">
        <w:rPr>
          <w:rFonts w:ascii="Times New Roman" w:eastAsiaTheme="minorEastAsia" w:hAnsi="Times New Roman" w:cs="Times New Roman"/>
          <w:sz w:val="24"/>
          <w:szCs w:val="24"/>
          <w:lang w:val="en-NZ"/>
        </w:rPr>
        <w:t xml:space="preserve">North American economy, </w:t>
      </w:r>
      <w:r w:rsidR="0075697D" w:rsidRPr="006F4180">
        <w:rPr>
          <w:rFonts w:ascii="Times New Roman" w:eastAsiaTheme="minorEastAsia" w:hAnsi="Times New Roman" w:cs="Times New Roman"/>
          <w:sz w:val="24"/>
          <w:szCs w:val="24"/>
          <w:lang w:val="en-NZ"/>
        </w:rPr>
        <w:t>ARG receive</w:t>
      </w:r>
      <w:r w:rsidR="00A46A4D" w:rsidRPr="006F4180">
        <w:rPr>
          <w:rFonts w:ascii="Times New Roman" w:eastAsiaTheme="minorEastAsia" w:hAnsi="Times New Roman" w:cs="Times New Roman"/>
          <w:sz w:val="24"/>
          <w:szCs w:val="24"/>
          <w:lang w:val="en-NZ"/>
        </w:rPr>
        <w:t>d</w:t>
      </w:r>
      <w:r w:rsidR="0075697D" w:rsidRPr="006F4180">
        <w:rPr>
          <w:rFonts w:ascii="Times New Roman" w:eastAsiaTheme="minorEastAsia" w:hAnsi="Times New Roman" w:cs="Times New Roman"/>
          <w:sz w:val="24"/>
          <w:szCs w:val="24"/>
          <w:lang w:val="en-NZ"/>
        </w:rPr>
        <w:t xml:space="preserve"> strongest spillovers. TUR is the highest risk emitter to INDO and EGY</w:t>
      </w:r>
      <w:r w:rsidR="00883237" w:rsidRPr="006F4180">
        <w:rPr>
          <w:rFonts w:ascii="Times New Roman" w:eastAsiaTheme="minorEastAsia" w:hAnsi="Times New Roman" w:cs="Times New Roman"/>
          <w:sz w:val="24"/>
          <w:szCs w:val="24"/>
          <w:lang w:val="en-NZ"/>
        </w:rPr>
        <w:t>,</w:t>
      </w:r>
      <w:r w:rsidR="0075697D" w:rsidRPr="006F4180">
        <w:rPr>
          <w:rFonts w:ascii="Times New Roman" w:eastAsiaTheme="minorEastAsia" w:hAnsi="Times New Roman" w:cs="Times New Roman"/>
          <w:sz w:val="24"/>
          <w:szCs w:val="24"/>
          <w:lang w:val="en-NZ"/>
        </w:rPr>
        <w:t xml:space="preserve"> and the total risk transmission is at </w:t>
      </w:r>
      <w:r w:rsidR="0075697D" w:rsidRPr="006F4180">
        <w:rPr>
          <w:rFonts w:ascii="Times New Roman" w:hAnsi="Times New Roman" w:cs="Times New Roman"/>
          <w:sz w:val="24"/>
          <w:szCs w:val="24"/>
        </w:rPr>
        <w:t xml:space="preserve">42.87%, whereas HUN transmitted spillovers to ARG, COL, and PAK with risk transmission at </w:t>
      </w:r>
      <w:r w:rsidR="0075697D" w:rsidRPr="006F4180">
        <w:rPr>
          <w:rFonts w:ascii="Times New Roman" w:hAnsi="Times New Roman" w:cs="Times New Roman"/>
          <w:sz w:val="24"/>
          <w:szCs w:val="20"/>
        </w:rPr>
        <w:t>40.41%. Finally, the third top risk transmitter is RUS which emitted risk to ARG, PAK, and INDO at 38.47%. PAK, INDO, and ARG are the top three risk receivers in the system-wide dependence where PAK received risk spillovers from TUR, BRA, and INDO at 62.04%, followed by INDO</w:t>
      </w:r>
      <w:r w:rsidR="00883237" w:rsidRPr="006F4180">
        <w:rPr>
          <w:rFonts w:ascii="Times New Roman" w:hAnsi="Times New Roman" w:cs="Times New Roman"/>
          <w:sz w:val="24"/>
          <w:szCs w:val="20"/>
        </w:rPr>
        <w:t>,</w:t>
      </w:r>
      <w:r w:rsidR="0075697D" w:rsidRPr="006F4180">
        <w:rPr>
          <w:rFonts w:ascii="Times New Roman" w:hAnsi="Times New Roman" w:cs="Times New Roman"/>
          <w:sz w:val="24"/>
          <w:szCs w:val="20"/>
        </w:rPr>
        <w:t xml:space="preserve"> which received volatility spillovers from RUS, ARG, and BRA at 35.78%. </w:t>
      </w:r>
      <w:r w:rsidR="00B54C42" w:rsidRPr="006F4180">
        <w:rPr>
          <w:rFonts w:ascii="Times New Roman" w:hAnsi="Times New Roman" w:cs="Times New Roman"/>
          <w:sz w:val="24"/>
          <w:szCs w:val="20"/>
        </w:rPr>
        <w:t xml:space="preserve">Overall, we reported </w:t>
      </w:r>
      <w:r w:rsidR="00883237" w:rsidRPr="006F4180">
        <w:rPr>
          <w:rFonts w:ascii="Times New Roman" w:hAnsi="Times New Roman" w:cs="Times New Roman"/>
          <w:sz w:val="24"/>
          <w:szCs w:val="20"/>
        </w:rPr>
        <w:t xml:space="preserve">that </w:t>
      </w:r>
      <w:r w:rsidR="00B54C42" w:rsidRPr="006F4180">
        <w:rPr>
          <w:rFonts w:ascii="Times New Roman" w:hAnsi="Times New Roman" w:cs="Times New Roman"/>
          <w:sz w:val="24"/>
          <w:szCs w:val="20"/>
        </w:rPr>
        <w:t xml:space="preserve">TUR, HUN, and RUS mainly transmitted risk spillovers to PAK, INDO, and ARG. </w:t>
      </w:r>
      <w:r w:rsidR="0074366D" w:rsidRPr="006F4180">
        <w:rPr>
          <w:rFonts w:ascii="Times New Roman" w:hAnsi="Times New Roman" w:cs="Times New Roman"/>
          <w:sz w:val="24"/>
          <w:szCs w:val="20"/>
        </w:rPr>
        <w:t xml:space="preserve">Our findings echo </w:t>
      </w:r>
      <w:proofErr w:type="spellStart"/>
      <w:r w:rsidR="0074366D" w:rsidRPr="006F4180">
        <w:rPr>
          <w:rFonts w:ascii="Times New Roman" w:hAnsi="Times New Roman" w:cs="Times New Roman"/>
          <w:sz w:val="24"/>
          <w:szCs w:val="20"/>
        </w:rPr>
        <w:t>Manopimoke</w:t>
      </w:r>
      <w:proofErr w:type="spellEnd"/>
      <w:r w:rsidR="0074366D" w:rsidRPr="006F4180">
        <w:rPr>
          <w:rFonts w:ascii="Times New Roman" w:hAnsi="Times New Roman" w:cs="Times New Roman"/>
          <w:sz w:val="24"/>
          <w:szCs w:val="20"/>
        </w:rPr>
        <w:t xml:space="preserve"> et al. (2018)</w:t>
      </w:r>
      <w:r w:rsidR="00883237" w:rsidRPr="006F4180">
        <w:rPr>
          <w:rFonts w:ascii="Times New Roman" w:hAnsi="Times New Roman" w:cs="Times New Roman"/>
          <w:sz w:val="24"/>
          <w:szCs w:val="20"/>
        </w:rPr>
        <w:t>,</w:t>
      </w:r>
      <w:r w:rsidR="0074366D" w:rsidRPr="006F4180">
        <w:rPr>
          <w:rFonts w:ascii="Times New Roman" w:hAnsi="Times New Roman" w:cs="Times New Roman"/>
          <w:sz w:val="24"/>
          <w:szCs w:val="20"/>
        </w:rPr>
        <w:t xml:space="preserve"> who reported that spillovers of advance emerging economies are higher than Asian emerging markets</w:t>
      </w:r>
      <w:r w:rsidR="00883237" w:rsidRPr="006F4180">
        <w:rPr>
          <w:rFonts w:ascii="Times New Roman" w:hAnsi="Times New Roman" w:cs="Times New Roman"/>
          <w:sz w:val="24"/>
          <w:szCs w:val="20"/>
        </w:rPr>
        <w:t>,</w:t>
      </w:r>
      <w:r w:rsidR="0048610B" w:rsidRPr="006F4180">
        <w:rPr>
          <w:rFonts w:ascii="Times New Roman" w:hAnsi="Times New Roman" w:cs="Times New Roman"/>
          <w:sz w:val="24"/>
          <w:szCs w:val="20"/>
        </w:rPr>
        <w:t xml:space="preserve"> which act as net recipients of spillovers</w:t>
      </w:r>
      <w:r w:rsidR="00883237" w:rsidRPr="006F4180">
        <w:rPr>
          <w:rFonts w:ascii="Times New Roman" w:hAnsi="Times New Roman" w:cs="Times New Roman"/>
          <w:sz w:val="24"/>
          <w:szCs w:val="20"/>
        </w:rPr>
        <w:t>,</w:t>
      </w:r>
      <w:r w:rsidR="0074366D" w:rsidRPr="006F4180">
        <w:rPr>
          <w:rFonts w:ascii="Times New Roman" w:hAnsi="Times New Roman" w:cs="Times New Roman"/>
          <w:sz w:val="24"/>
          <w:szCs w:val="20"/>
        </w:rPr>
        <w:t xml:space="preserve"> and intraregional connectedness </w:t>
      </w:r>
      <w:r w:rsidR="002C7428" w:rsidRPr="006F4180">
        <w:rPr>
          <w:rFonts w:ascii="Times New Roman" w:hAnsi="Times New Roman" w:cs="Times New Roman"/>
          <w:sz w:val="24"/>
          <w:szCs w:val="20"/>
        </w:rPr>
        <w:t>in the Asian region</w:t>
      </w:r>
      <w:r w:rsidR="000A3E1E" w:rsidRPr="006F4180">
        <w:rPr>
          <w:rFonts w:ascii="Times New Roman" w:hAnsi="Times New Roman" w:cs="Times New Roman"/>
          <w:sz w:val="24"/>
          <w:szCs w:val="20"/>
        </w:rPr>
        <w:t xml:space="preserve"> remains strong</w:t>
      </w:r>
      <w:r w:rsidR="004A2A5B" w:rsidRPr="006F4180">
        <w:rPr>
          <w:rFonts w:ascii="Times New Roman" w:hAnsi="Times New Roman" w:cs="Times New Roman"/>
          <w:sz w:val="24"/>
          <w:szCs w:val="20"/>
        </w:rPr>
        <w:t xml:space="preserve"> when compared with other emerging economies</w:t>
      </w:r>
      <w:r w:rsidR="002C7428" w:rsidRPr="006F4180">
        <w:rPr>
          <w:rFonts w:ascii="Times New Roman" w:hAnsi="Times New Roman" w:cs="Times New Roman"/>
          <w:sz w:val="24"/>
          <w:szCs w:val="20"/>
        </w:rPr>
        <w:t xml:space="preserve">. </w:t>
      </w:r>
    </w:p>
    <w:p w14:paraId="2F150281" w14:textId="4D739F34" w:rsidR="006B55AA" w:rsidRPr="006F4180" w:rsidRDefault="006B55AA" w:rsidP="001B6FF2">
      <w:pPr>
        <w:spacing w:line="360" w:lineRule="auto"/>
        <w:jc w:val="center"/>
        <w:rPr>
          <w:rFonts w:ascii="Times New Roman" w:hAnsi="Times New Roman" w:cs="Times New Roman"/>
          <w:sz w:val="24"/>
          <w:szCs w:val="20"/>
        </w:rPr>
      </w:pPr>
      <w:r w:rsidRPr="006F4180">
        <w:rPr>
          <w:rFonts w:ascii="Times New Roman" w:hAnsi="Times New Roman" w:cs="Times New Roman"/>
          <w:sz w:val="24"/>
          <w:szCs w:val="20"/>
        </w:rPr>
        <w:t>[Figure 6 about here]</w:t>
      </w:r>
    </w:p>
    <w:p w14:paraId="355D0AC9" w14:textId="51058D44" w:rsidR="006B55AA" w:rsidRPr="006F4180" w:rsidRDefault="006B55AA" w:rsidP="001B6FF2">
      <w:pPr>
        <w:spacing w:line="360" w:lineRule="auto"/>
        <w:jc w:val="center"/>
        <w:rPr>
          <w:rFonts w:ascii="Times New Roman" w:hAnsi="Times New Roman" w:cs="Times New Roman"/>
          <w:sz w:val="24"/>
          <w:szCs w:val="20"/>
        </w:rPr>
      </w:pPr>
      <w:r w:rsidRPr="006F4180">
        <w:rPr>
          <w:rFonts w:ascii="Times New Roman" w:hAnsi="Times New Roman" w:cs="Times New Roman"/>
          <w:sz w:val="24"/>
          <w:szCs w:val="20"/>
        </w:rPr>
        <w:t>[Table 2 about here]</w:t>
      </w:r>
    </w:p>
    <w:p w14:paraId="67AF7417" w14:textId="45B00610" w:rsidR="006B55AA" w:rsidRPr="006F4180" w:rsidRDefault="00594C9A" w:rsidP="003950B7">
      <w:pPr>
        <w:spacing w:line="360" w:lineRule="auto"/>
        <w:ind w:firstLine="720"/>
        <w:jc w:val="both"/>
        <w:rPr>
          <w:rFonts w:ascii="Times New Roman" w:eastAsia="RMTMI" w:hAnsi="Times New Roman" w:cs="Times New Roman"/>
          <w:sz w:val="24"/>
          <w:szCs w:val="24"/>
        </w:rPr>
      </w:pPr>
      <w:r w:rsidRPr="006F4180">
        <w:rPr>
          <w:rFonts w:ascii="Times New Roman" w:eastAsiaTheme="minorEastAsia" w:hAnsi="Times New Roman" w:cs="Times New Roman"/>
          <w:sz w:val="24"/>
          <w:szCs w:val="24"/>
          <w:lang w:val="en-NZ"/>
        </w:rPr>
        <w:t xml:space="preserve">For further evidence of </w:t>
      </w:r>
      <w:r w:rsidR="001D01ED" w:rsidRPr="006F4180">
        <w:rPr>
          <w:rFonts w:ascii="Times New Roman" w:eastAsiaTheme="minorEastAsia" w:hAnsi="Times New Roman" w:cs="Times New Roman"/>
          <w:sz w:val="24"/>
          <w:szCs w:val="24"/>
          <w:lang w:val="en-NZ"/>
        </w:rPr>
        <w:t xml:space="preserve">risk </w:t>
      </w:r>
      <w:r w:rsidR="001B6FF2" w:rsidRPr="006F4180">
        <w:rPr>
          <w:rFonts w:ascii="Times New Roman" w:eastAsiaTheme="minorEastAsia" w:hAnsi="Times New Roman" w:cs="Times New Roman"/>
          <w:sz w:val="24"/>
          <w:szCs w:val="24"/>
          <w:lang w:val="en-NZ"/>
        </w:rPr>
        <w:t xml:space="preserve">spillovers across emerging markets during the global financial crisis and COVID-19 pandemic, we focused </w:t>
      </w:r>
      <w:r w:rsidR="00883237" w:rsidRPr="006F4180">
        <w:rPr>
          <w:rFonts w:ascii="Times New Roman" w:eastAsiaTheme="minorEastAsia" w:hAnsi="Times New Roman" w:cs="Times New Roman"/>
          <w:sz w:val="24"/>
          <w:szCs w:val="24"/>
          <w:lang w:val="en-NZ"/>
        </w:rPr>
        <w:t xml:space="preserve">on </w:t>
      </w:r>
      <w:r w:rsidR="001B6FF2" w:rsidRPr="006F4180">
        <w:rPr>
          <w:rFonts w:ascii="Times New Roman" w:eastAsiaTheme="minorEastAsia" w:hAnsi="Times New Roman" w:cs="Times New Roman"/>
          <w:sz w:val="24"/>
          <w:szCs w:val="24"/>
          <w:lang w:val="en-NZ"/>
        </w:rPr>
        <w:t xml:space="preserve">the net directional connectedness of emerging markets given these two sub-samples. </w:t>
      </w:r>
      <w:r w:rsidR="001D01ED" w:rsidRPr="006F4180">
        <w:rPr>
          <w:rFonts w:ascii="Times New Roman" w:eastAsiaTheme="minorEastAsia" w:hAnsi="Times New Roman" w:cs="Times New Roman"/>
          <w:sz w:val="24"/>
          <w:szCs w:val="24"/>
          <w:lang w:val="en-NZ"/>
        </w:rPr>
        <w:t xml:space="preserve">Figure 7 illustrates adjacency matrices for the global financial crisis comparable to the full sample adjacency matrices given in Figure 6. The prominent spillovers are </w:t>
      </w:r>
      <w:r w:rsidR="001974CD" w:rsidRPr="006F4180">
        <w:rPr>
          <w:rFonts w:ascii="Times New Roman" w:eastAsiaTheme="minorEastAsia" w:hAnsi="Times New Roman" w:cs="Times New Roman"/>
          <w:sz w:val="24"/>
          <w:szCs w:val="24"/>
          <w:lang w:val="en-NZ"/>
        </w:rPr>
        <w:t xml:space="preserve">transmitted by POL, COL, CZR, and PAK during global financial crisis. </w:t>
      </w:r>
      <w:r w:rsidR="00620077" w:rsidRPr="006F4180">
        <w:rPr>
          <w:rFonts w:ascii="Times New Roman" w:eastAsiaTheme="minorEastAsia" w:hAnsi="Times New Roman" w:cs="Times New Roman"/>
          <w:sz w:val="24"/>
          <w:szCs w:val="24"/>
          <w:lang w:val="en-NZ"/>
        </w:rPr>
        <w:t xml:space="preserve">Recalling the estimates of total connectedness and average </w:t>
      </w:r>
      <w:r w:rsidR="00620077" w:rsidRPr="006F4180">
        <w:rPr>
          <w:rFonts w:ascii="Times New Roman" w:eastAsia="RMTMI" w:hAnsi="Times New Roman" w:cs="Times New Roman"/>
          <w:sz w:val="24"/>
          <w:szCs w:val="24"/>
        </w:rPr>
        <w:t xml:space="preserve">λ in Figure 3, </w:t>
      </w:r>
      <w:r w:rsidR="00620077" w:rsidRPr="006F4180">
        <w:rPr>
          <w:rFonts w:ascii="Times New Roman" w:eastAsia="RMTMI" w:hAnsi="Times New Roman" w:cs="Times New Roman"/>
          <w:sz w:val="24"/>
          <w:szCs w:val="24"/>
        </w:rPr>
        <w:lastRenderedPageBreak/>
        <w:t>emerging markets showed highe</w:t>
      </w:r>
      <w:r w:rsidRPr="006F4180">
        <w:rPr>
          <w:rFonts w:ascii="Times New Roman" w:eastAsia="RMTMI" w:hAnsi="Times New Roman" w:cs="Times New Roman"/>
          <w:sz w:val="24"/>
          <w:szCs w:val="24"/>
        </w:rPr>
        <w:t>r system-wide integration during</w:t>
      </w:r>
      <w:r w:rsidR="00620077" w:rsidRPr="006F4180">
        <w:rPr>
          <w:rFonts w:ascii="Times New Roman" w:eastAsia="RMTMI" w:hAnsi="Times New Roman" w:cs="Times New Roman"/>
          <w:sz w:val="24"/>
          <w:szCs w:val="24"/>
        </w:rPr>
        <w:t xml:space="preserve"> the global financial crisis</w:t>
      </w:r>
      <w:r w:rsidR="00883237" w:rsidRPr="006F4180">
        <w:rPr>
          <w:rFonts w:ascii="Times New Roman" w:eastAsia="RMTMI" w:hAnsi="Times New Roman" w:cs="Times New Roman"/>
          <w:sz w:val="24"/>
          <w:szCs w:val="24"/>
        </w:rPr>
        <w:t>,</w:t>
      </w:r>
      <w:r w:rsidRPr="006F4180">
        <w:rPr>
          <w:rFonts w:ascii="Times New Roman" w:eastAsia="RMTMI" w:hAnsi="Times New Roman" w:cs="Times New Roman"/>
          <w:sz w:val="24"/>
          <w:szCs w:val="24"/>
        </w:rPr>
        <w:t xml:space="preserve"> whereas average λ showed higher connectedness afterward intriguing aftermaths of GFC. Consistent with </w:t>
      </w:r>
      <w:r w:rsidR="00723BBE" w:rsidRPr="006F4180">
        <w:rPr>
          <w:rFonts w:ascii="Times New Roman" w:eastAsia="RMTMI" w:hAnsi="Times New Roman" w:cs="Times New Roman"/>
          <w:sz w:val="24"/>
          <w:szCs w:val="24"/>
        </w:rPr>
        <w:t>Das et al. (2018)</w:t>
      </w:r>
      <w:r w:rsidR="00883237" w:rsidRPr="006F4180">
        <w:rPr>
          <w:rFonts w:ascii="Times New Roman" w:eastAsia="RMTMI" w:hAnsi="Times New Roman" w:cs="Times New Roman"/>
          <w:sz w:val="24"/>
          <w:szCs w:val="24"/>
        </w:rPr>
        <w:t>, emerging economies’ stock markets showed a decline in co-movement following the global financial crisis period</w:t>
      </w:r>
      <w:r w:rsidR="00723BBE" w:rsidRPr="006F4180">
        <w:rPr>
          <w:rFonts w:ascii="Times New Roman" w:eastAsia="RMTMI" w:hAnsi="Times New Roman" w:cs="Times New Roman"/>
          <w:sz w:val="24"/>
          <w:szCs w:val="24"/>
        </w:rPr>
        <w:t xml:space="preserve">. </w:t>
      </w:r>
    </w:p>
    <w:p w14:paraId="7BBAD5EE" w14:textId="49AE10FC" w:rsidR="000D519A" w:rsidRPr="006F4180" w:rsidRDefault="000D519A" w:rsidP="000D519A">
      <w:pPr>
        <w:spacing w:line="360" w:lineRule="auto"/>
        <w:jc w:val="center"/>
        <w:rPr>
          <w:rFonts w:ascii="Times New Roman" w:eastAsiaTheme="minorEastAsia" w:hAnsi="Times New Roman" w:cs="Times New Roman"/>
          <w:sz w:val="24"/>
          <w:szCs w:val="24"/>
          <w:lang w:val="en-NZ"/>
        </w:rPr>
      </w:pPr>
      <w:r w:rsidRPr="006F4180">
        <w:rPr>
          <w:rFonts w:ascii="Times New Roman" w:eastAsia="RMTMI" w:hAnsi="Times New Roman" w:cs="Times New Roman"/>
          <w:sz w:val="24"/>
          <w:szCs w:val="24"/>
        </w:rPr>
        <w:t>[Figure 7 about here]</w:t>
      </w:r>
    </w:p>
    <w:p w14:paraId="5D785C22" w14:textId="2FEB86E3" w:rsidR="00B31812" w:rsidRPr="006F4180" w:rsidRDefault="00EF3BF1" w:rsidP="003950B7">
      <w:pPr>
        <w:spacing w:line="360" w:lineRule="auto"/>
        <w:ind w:firstLine="720"/>
        <w:jc w:val="both"/>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t>Alternatively, Figure 8 plots network connectedness of weighted adjacency matrix during COVID-19 crisis where pronounced risk transmission is evident by TUR and ARG. Referring to Table 2</w:t>
      </w:r>
      <w:r w:rsidR="00883237" w:rsidRPr="006F4180">
        <w:rPr>
          <w:rFonts w:ascii="Times New Roman" w:eastAsiaTheme="minorEastAsia" w:hAnsi="Times New Roman" w:cs="Times New Roman"/>
          <w:sz w:val="24"/>
          <w:szCs w:val="24"/>
          <w:lang w:val="en-NZ"/>
        </w:rPr>
        <w:t>,</w:t>
      </w:r>
      <w:r w:rsidRPr="006F4180">
        <w:rPr>
          <w:rFonts w:ascii="Times New Roman" w:eastAsiaTheme="minorEastAsia" w:hAnsi="Times New Roman" w:cs="Times New Roman"/>
          <w:sz w:val="24"/>
          <w:szCs w:val="24"/>
          <w:lang w:val="en-NZ"/>
        </w:rPr>
        <w:t xml:space="preserve"> TUR and ARG are two main risk transmitters</w:t>
      </w:r>
      <w:r w:rsidR="00883237" w:rsidRPr="006F4180">
        <w:rPr>
          <w:rFonts w:ascii="Times New Roman" w:eastAsiaTheme="minorEastAsia" w:hAnsi="Times New Roman" w:cs="Times New Roman"/>
          <w:sz w:val="24"/>
          <w:szCs w:val="24"/>
          <w:lang w:val="en-NZ"/>
        </w:rPr>
        <w:t>,</w:t>
      </w:r>
      <w:r w:rsidRPr="006F4180">
        <w:rPr>
          <w:rFonts w:ascii="Times New Roman" w:eastAsiaTheme="minorEastAsia" w:hAnsi="Times New Roman" w:cs="Times New Roman"/>
          <w:sz w:val="24"/>
          <w:szCs w:val="24"/>
          <w:lang w:val="en-NZ"/>
        </w:rPr>
        <w:t xml:space="preserve"> </w:t>
      </w:r>
      <w:r w:rsidR="00883237" w:rsidRPr="006F4180">
        <w:rPr>
          <w:rFonts w:ascii="Times New Roman" w:eastAsiaTheme="minorEastAsia" w:hAnsi="Times New Roman" w:cs="Times New Roman"/>
          <w:sz w:val="24"/>
          <w:szCs w:val="24"/>
          <w:lang w:val="en-NZ"/>
        </w:rPr>
        <w:t xml:space="preserve">which </w:t>
      </w:r>
      <w:r w:rsidRPr="006F4180">
        <w:rPr>
          <w:rFonts w:ascii="Times New Roman" w:eastAsiaTheme="minorEastAsia" w:hAnsi="Times New Roman" w:cs="Times New Roman"/>
          <w:sz w:val="24"/>
          <w:szCs w:val="24"/>
          <w:lang w:val="en-NZ"/>
        </w:rPr>
        <w:t xml:space="preserve">confirms our findings in Figure 8 in terms of high </w:t>
      </w:r>
      <w:r w:rsidR="00883237" w:rsidRPr="006F4180">
        <w:rPr>
          <w:rFonts w:ascii="Times New Roman" w:eastAsiaTheme="minorEastAsia" w:hAnsi="Times New Roman" w:cs="Times New Roman"/>
          <w:sz w:val="24"/>
          <w:szCs w:val="24"/>
          <w:lang w:val="en-NZ"/>
        </w:rPr>
        <w:t>information</w:t>
      </w:r>
      <w:r w:rsidRPr="006F4180">
        <w:rPr>
          <w:rFonts w:ascii="Times New Roman" w:eastAsiaTheme="minorEastAsia" w:hAnsi="Times New Roman" w:cs="Times New Roman"/>
          <w:sz w:val="24"/>
          <w:szCs w:val="24"/>
          <w:lang w:val="en-NZ"/>
        </w:rPr>
        <w:t xml:space="preserve"> transmission</w:t>
      </w:r>
      <w:r w:rsidR="00883237" w:rsidRPr="006F4180">
        <w:rPr>
          <w:rFonts w:ascii="Times New Roman" w:eastAsiaTheme="minorEastAsia" w:hAnsi="Times New Roman" w:cs="Times New Roman"/>
          <w:sz w:val="24"/>
          <w:szCs w:val="24"/>
          <w:lang w:val="en-NZ"/>
        </w:rPr>
        <w:t>,</w:t>
      </w:r>
      <w:r w:rsidRPr="006F4180">
        <w:rPr>
          <w:rFonts w:ascii="Times New Roman" w:eastAsiaTheme="minorEastAsia" w:hAnsi="Times New Roman" w:cs="Times New Roman"/>
          <w:sz w:val="24"/>
          <w:szCs w:val="24"/>
          <w:lang w:val="en-NZ"/>
        </w:rPr>
        <w:t xml:space="preserve"> particularly during COVID-19. </w:t>
      </w:r>
      <w:r w:rsidR="00EE61BC" w:rsidRPr="006F4180">
        <w:rPr>
          <w:rFonts w:ascii="Times New Roman" w:eastAsiaTheme="minorEastAsia" w:hAnsi="Times New Roman" w:cs="Times New Roman"/>
          <w:sz w:val="24"/>
          <w:szCs w:val="24"/>
          <w:lang w:val="en-NZ"/>
        </w:rPr>
        <w:t xml:space="preserve">In this way, ARG transmitted risk to BRA, PAK, INDO, and TUR and showed strong network connectedness given </w:t>
      </w:r>
      <w:r w:rsidR="00883237" w:rsidRPr="006F4180">
        <w:rPr>
          <w:rFonts w:ascii="Times New Roman" w:eastAsiaTheme="minorEastAsia" w:hAnsi="Times New Roman" w:cs="Times New Roman"/>
          <w:sz w:val="24"/>
          <w:szCs w:val="24"/>
          <w:lang w:val="en-NZ"/>
        </w:rPr>
        <w:t>coronavirus outbreak</w:t>
      </w:r>
      <w:r w:rsidR="00EE61BC" w:rsidRPr="006F4180">
        <w:rPr>
          <w:rFonts w:ascii="Times New Roman" w:eastAsiaTheme="minorEastAsia" w:hAnsi="Times New Roman" w:cs="Times New Roman"/>
          <w:sz w:val="24"/>
          <w:szCs w:val="24"/>
          <w:lang w:val="en-NZ"/>
        </w:rPr>
        <w:t xml:space="preserve">. </w:t>
      </w:r>
      <w:r w:rsidR="00872E69" w:rsidRPr="006F4180">
        <w:rPr>
          <w:rFonts w:ascii="Times New Roman" w:eastAsiaTheme="minorEastAsia" w:hAnsi="Times New Roman" w:cs="Times New Roman"/>
          <w:sz w:val="24"/>
          <w:szCs w:val="24"/>
          <w:lang w:val="en-NZ"/>
        </w:rPr>
        <w:t xml:space="preserve">This finding aligns with the studies of </w:t>
      </w:r>
      <w:proofErr w:type="spellStart"/>
      <w:r w:rsidR="00872E69" w:rsidRPr="006F4180">
        <w:rPr>
          <w:rFonts w:ascii="Times New Roman" w:eastAsiaTheme="minorEastAsia" w:hAnsi="Times New Roman" w:cs="Times New Roman"/>
          <w:sz w:val="24"/>
          <w:szCs w:val="24"/>
          <w:lang w:val="en-NZ"/>
        </w:rPr>
        <w:t>Naifar</w:t>
      </w:r>
      <w:proofErr w:type="spellEnd"/>
      <w:r w:rsidR="00872E69" w:rsidRPr="006F4180">
        <w:rPr>
          <w:rFonts w:ascii="Times New Roman" w:eastAsiaTheme="minorEastAsia" w:hAnsi="Times New Roman" w:cs="Times New Roman"/>
          <w:sz w:val="24"/>
          <w:szCs w:val="24"/>
          <w:lang w:val="en-NZ"/>
        </w:rPr>
        <w:t xml:space="preserve"> and Shahzad (2021), </w:t>
      </w:r>
      <w:proofErr w:type="spellStart"/>
      <w:r w:rsidR="00872E69" w:rsidRPr="006F4180">
        <w:rPr>
          <w:rFonts w:ascii="Times New Roman" w:eastAsiaTheme="minorEastAsia" w:hAnsi="Times New Roman" w:cs="Times New Roman"/>
          <w:sz w:val="24"/>
          <w:szCs w:val="24"/>
          <w:lang w:val="en-NZ"/>
        </w:rPr>
        <w:t>Topcu</w:t>
      </w:r>
      <w:proofErr w:type="spellEnd"/>
      <w:r w:rsidR="00872E69" w:rsidRPr="006F4180">
        <w:rPr>
          <w:rFonts w:ascii="Times New Roman" w:eastAsiaTheme="minorEastAsia" w:hAnsi="Times New Roman" w:cs="Times New Roman"/>
          <w:sz w:val="24"/>
          <w:szCs w:val="24"/>
          <w:lang w:val="en-NZ"/>
        </w:rPr>
        <w:t xml:space="preserve"> and </w:t>
      </w:r>
      <w:proofErr w:type="spellStart"/>
      <w:r w:rsidR="00872E69" w:rsidRPr="006F4180">
        <w:rPr>
          <w:rFonts w:ascii="Times New Roman" w:eastAsiaTheme="minorEastAsia" w:hAnsi="Times New Roman" w:cs="Times New Roman"/>
          <w:sz w:val="24"/>
          <w:szCs w:val="24"/>
          <w:lang w:val="en-NZ"/>
        </w:rPr>
        <w:t>Gulal</w:t>
      </w:r>
      <w:proofErr w:type="spellEnd"/>
      <w:r w:rsidR="00872E69" w:rsidRPr="006F4180">
        <w:rPr>
          <w:rFonts w:ascii="Times New Roman" w:eastAsiaTheme="minorEastAsia" w:hAnsi="Times New Roman" w:cs="Times New Roman"/>
          <w:sz w:val="24"/>
          <w:szCs w:val="24"/>
          <w:lang w:val="en-NZ"/>
        </w:rPr>
        <w:t xml:space="preserve"> (2020), and Zhang et al. (2020)</w:t>
      </w:r>
      <w:r w:rsidR="00883237" w:rsidRPr="006F4180">
        <w:rPr>
          <w:rFonts w:ascii="Times New Roman" w:eastAsiaTheme="minorEastAsia" w:hAnsi="Times New Roman" w:cs="Times New Roman"/>
          <w:sz w:val="24"/>
          <w:szCs w:val="24"/>
          <w:lang w:val="en-NZ"/>
        </w:rPr>
        <w:t>,</w:t>
      </w:r>
      <w:r w:rsidR="00872E69" w:rsidRPr="006F4180">
        <w:rPr>
          <w:rFonts w:ascii="Times New Roman" w:eastAsiaTheme="minorEastAsia" w:hAnsi="Times New Roman" w:cs="Times New Roman"/>
          <w:sz w:val="24"/>
          <w:szCs w:val="24"/>
          <w:lang w:val="en-NZ"/>
        </w:rPr>
        <w:t xml:space="preserve"> where European and Latin American emerging markets transmitted </w:t>
      </w:r>
      <w:r w:rsidR="00883237" w:rsidRPr="006F4180">
        <w:rPr>
          <w:rFonts w:ascii="Times New Roman" w:eastAsiaTheme="minorEastAsia" w:hAnsi="Times New Roman" w:cs="Times New Roman"/>
          <w:sz w:val="24"/>
          <w:szCs w:val="24"/>
          <w:lang w:val="en-NZ"/>
        </w:rPr>
        <w:t xml:space="preserve">significant </w:t>
      </w:r>
      <w:r w:rsidR="00872E69" w:rsidRPr="006F4180">
        <w:rPr>
          <w:rFonts w:ascii="Times New Roman" w:eastAsiaTheme="minorEastAsia" w:hAnsi="Times New Roman" w:cs="Times New Roman"/>
          <w:sz w:val="24"/>
          <w:szCs w:val="24"/>
          <w:lang w:val="en-NZ"/>
        </w:rPr>
        <w:t xml:space="preserve">risk spillovers to other emerging economies. </w:t>
      </w:r>
    </w:p>
    <w:p w14:paraId="2AC8C0E1" w14:textId="65919617" w:rsidR="003B6D38" w:rsidRPr="006F4180" w:rsidRDefault="000D519A" w:rsidP="000D519A">
      <w:pPr>
        <w:spacing w:line="360" w:lineRule="auto"/>
        <w:jc w:val="center"/>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t>[Figure 8 about here]</w:t>
      </w:r>
    </w:p>
    <w:p w14:paraId="44AD5B01" w14:textId="627249A3" w:rsidR="00E75275" w:rsidRPr="006F4180" w:rsidRDefault="000D519A" w:rsidP="003950B7">
      <w:pPr>
        <w:spacing w:line="360" w:lineRule="auto"/>
        <w:ind w:firstLine="720"/>
        <w:jc w:val="both"/>
        <w:rPr>
          <w:rFonts w:ascii="Times New Roman" w:eastAsiaTheme="minorEastAsia" w:hAnsi="Times New Roman" w:cs="Times New Roman"/>
          <w:sz w:val="24"/>
          <w:szCs w:val="24"/>
          <w:lang w:val="en-NZ"/>
        </w:rPr>
      </w:pPr>
      <w:r w:rsidRPr="006F4180">
        <w:rPr>
          <w:rFonts w:ascii="Times New Roman" w:eastAsiaTheme="minorEastAsia" w:hAnsi="Times New Roman" w:cs="Times New Roman"/>
          <w:sz w:val="24"/>
          <w:szCs w:val="24"/>
          <w:lang w:val="en-NZ"/>
        </w:rPr>
        <w:t xml:space="preserve">Overall, our results highlight that emerging markets </w:t>
      </w:r>
      <w:r w:rsidR="00086458" w:rsidRPr="006F4180">
        <w:rPr>
          <w:rFonts w:ascii="Times New Roman" w:eastAsiaTheme="minorEastAsia" w:hAnsi="Times New Roman" w:cs="Times New Roman"/>
          <w:sz w:val="24"/>
          <w:szCs w:val="24"/>
          <w:lang w:val="en-NZ"/>
        </w:rPr>
        <w:t xml:space="preserve">are exposed to tail-risk when there are </w:t>
      </w:r>
      <w:proofErr w:type="spellStart"/>
      <w:r w:rsidR="00086458" w:rsidRPr="006F4180">
        <w:rPr>
          <w:rFonts w:ascii="Times New Roman" w:eastAsiaTheme="minorEastAsia" w:hAnsi="Times New Roman" w:cs="Times New Roman"/>
          <w:sz w:val="24"/>
          <w:szCs w:val="24"/>
          <w:lang w:val="en-NZ"/>
        </w:rPr>
        <w:t>unfavorable</w:t>
      </w:r>
      <w:proofErr w:type="spellEnd"/>
      <w:r w:rsidR="00086458" w:rsidRPr="006F4180">
        <w:rPr>
          <w:rFonts w:ascii="Times New Roman" w:eastAsiaTheme="minorEastAsia" w:hAnsi="Times New Roman" w:cs="Times New Roman"/>
          <w:sz w:val="24"/>
          <w:szCs w:val="24"/>
          <w:lang w:val="en-NZ"/>
        </w:rPr>
        <w:t xml:space="preserve"> economic conditions. Further, network connectedness revealed time-varying patterns spotting significant crises</w:t>
      </w:r>
      <w:r w:rsidR="00883237" w:rsidRPr="006F4180">
        <w:rPr>
          <w:rFonts w:ascii="Times New Roman" w:eastAsiaTheme="minorEastAsia" w:hAnsi="Times New Roman" w:cs="Times New Roman"/>
          <w:sz w:val="24"/>
          <w:szCs w:val="24"/>
          <w:lang w:val="en-NZ"/>
        </w:rPr>
        <w:t>,</w:t>
      </w:r>
      <w:r w:rsidR="00086458" w:rsidRPr="006F4180">
        <w:rPr>
          <w:rFonts w:ascii="Times New Roman" w:eastAsiaTheme="minorEastAsia" w:hAnsi="Times New Roman" w:cs="Times New Roman"/>
          <w:sz w:val="24"/>
          <w:szCs w:val="24"/>
          <w:lang w:val="en-NZ"/>
        </w:rPr>
        <w:t xml:space="preserve"> such as </w:t>
      </w:r>
      <w:r w:rsidR="00883237" w:rsidRPr="006F4180">
        <w:rPr>
          <w:rFonts w:ascii="Times New Roman" w:eastAsiaTheme="minorEastAsia" w:hAnsi="Times New Roman" w:cs="Times New Roman"/>
          <w:sz w:val="24"/>
          <w:szCs w:val="24"/>
          <w:lang w:val="en-NZ"/>
        </w:rPr>
        <w:t xml:space="preserve">the </w:t>
      </w:r>
      <w:r w:rsidR="00086458" w:rsidRPr="006F4180">
        <w:rPr>
          <w:rFonts w:ascii="Times New Roman" w:eastAsiaTheme="minorEastAsia" w:hAnsi="Times New Roman" w:cs="Times New Roman"/>
          <w:sz w:val="24"/>
          <w:szCs w:val="24"/>
          <w:lang w:val="en-NZ"/>
        </w:rPr>
        <w:t>Argenti</w:t>
      </w:r>
      <w:r w:rsidR="00883237" w:rsidRPr="006F4180">
        <w:rPr>
          <w:rFonts w:ascii="Times New Roman" w:eastAsiaTheme="minorEastAsia" w:hAnsi="Times New Roman" w:cs="Times New Roman"/>
          <w:sz w:val="24"/>
          <w:szCs w:val="24"/>
          <w:lang w:val="en-NZ"/>
        </w:rPr>
        <w:t>nian</w:t>
      </w:r>
      <w:r w:rsidR="00086458" w:rsidRPr="006F4180">
        <w:rPr>
          <w:rFonts w:ascii="Times New Roman" w:eastAsiaTheme="minorEastAsia" w:hAnsi="Times New Roman" w:cs="Times New Roman"/>
          <w:sz w:val="24"/>
          <w:szCs w:val="24"/>
          <w:lang w:val="en-NZ"/>
        </w:rPr>
        <w:t xml:space="preserve"> economic downturn, global financial crisis, European debt crisis, Chinese crisis, and </w:t>
      </w:r>
      <w:r w:rsidR="00883237" w:rsidRPr="006F4180">
        <w:rPr>
          <w:rFonts w:ascii="Times New Roman" w:eastAsiaTheme="minorEastAsia" w:hAnsi="Times New Roman" w:cs="Times New Roman"/>
          <w:sz w:val="24"/>
          <w:szCs w:val="24"/>
          <w:lang w:val="en-NZ"/>
        </w:rPr>
        <w:t xml:space="preserve">the </w:t>
      </w:r>
      <w:r w:rsidR="00086458" w:rsidRPr="006F4180">
        <w:rPr>
          <w:rFonts w:ascii="Times New Roman" w:eastAsiaTheme="minorEastAsia" w:hAnsi="Times New Roman" w:cs="Times New Roman"/>
          <w:sz w:val="24"/>
          <w:szCs w:val="24"/>
          <w:lang w:val="en-NZ"/>
        </w:rPr>
        <w:t>recent global pandemic of COVID-19. The top risk transmitters are TUR and HUN</w:t>
      </w:r>
      <w:r w:rsidR="00883237" w:rsidRPr="006F4180">
        <w:rPr>
          <w:rFonts w:ascii="Times New Roman" w:eastAsiaTheme="minorEastAsia" w:hAnsi="Times New Roman" w:cs="Times New Roman"/>
          <w:sz w:val="24"/>
          <w:szCs w:val="24"/>
          <w:lang w:val="en-NZ"/>
        </w:rPr>
        <w:t>,</w:t>
      </w:r>
      <w:r w:rsidR="00086458" w:rsidRPr="006F4180">
        <w:rPr>
          <w:rFonts w:ascii="Times New Roman" w:eastAsiaTheme="minorEastAsia" w:hAnsi="Times New Roman" w:cs="Times New Roman"/>
          <w:sz w:val="24"/>
          <w:szCs w:val="24"/>
          <w:lang w:val="en-NZ"/>
        </w:rPr>
        <w:t xml:space="preserve"> whereas </w:t>
      </w:r>
      <w:r w:rsidR="00883237" w:rsidRPr="006F4180">
        <w:rPr>
          <w:rFonts w:ascii="Times New Roman" w:eastAsiaTheme="minorEastAsia" w:hAnsi="Times New Roman" w:cs="Times New Roman"/>
          <w:sz w:val="24"/>
          <w:szCs w:val="24"/>
          <w:lang w:val="en-NZ"/>
        </w:rPr>
        <w:t xml:space="preserve">the </w:t>
      </w:r>
      <w:r w:rsidR="00086458" w:rsidRPr="006F4180">
        <w:rPr>
          <w:rFonts w:ascii="Times New Roman" w:eastAsiaTheme="minorEastAsia" w:hAnsi="Times New Roman" w:cs="Times New Roman"/>
          <w:sz w:val="24"/>
          <w:szCs w:val="24"/>
          <w:lang w:val="en-NZ"/>
        </w:rPr>
        <w:t>top recipients are PAK and INDO. In consonance with previous studies, we reported sound evidence supporting our findings where global crisis circumstances increased integration in the global a</w:t>
      </w:r>
      <w:r w:rsidR="00883237" w:rsidRPr="006F4180">
        <w:rPr>
          <w:rFonts w:ascii="Times New Roman" w:eastAsiaTheme="minorEastAsia" w:hAnsi="Times New Roman" w:cs="Times New Roman"/>
          <w:sz w:val="24"/>
          <w:szCs w:val="24"/>
          <w:lang w:val="en-NZ"/>
        </w:rPr>
        <w:t>nd</w:t>
      </w:r>
      <w:r w:rsidR="00086458" w:rsidRPr="006F4180">
        <w:rPr>
          <w:rFonts w:ascii="Times New Roman" w:eastAsiaTheme="minorEastAsia" w:hAnsi="Times New Roman" w:cs="Times New Roman"/>
          <w:sz w:val="24"/>
          <w:szCs w:val="24"/>
          <w:lang w:val="en-NZ"/>
        </w:rPr>
        <w:t xml:space="preserve"> emerging markets. Chinese market showed disconnection from other emerging markets for full sample and two sub-samples of GFC and COVID-19</w:t>
      </w:r>
      <w:r w:rsidR="00883237" w:rsidRPr="006F4180">
        <w:rPr>
          <w:rFonts w:ascii="Times New Roman" w:eastAsiaTheme="minorEastAsia" w:hAnsi="Times New Roman" w:cs="Times New Roman"/>
          <w:sz w:val="24"/>
          <w:szCs w:val="24"/>
          <w:lang w:val="en-NZ"/>
        </w:rPr>
        <w:t>, highlighting</w:t>
      </w:r>
      <w:r w:rsidR="00086458" w:rsidRPr="006F4180">
        <w:rPr>
          <w:rFonts w:ascii="Times New Roman" w:eastAsiaTheme="minorEastAsia" w:hAnsi="Times New Roman" w:cs="Times New Roman"/>
          <w:sz w:val="24"/>
          <w:szCs w:val="24"/>
          <w:lang w:val="en-NZ"/>
        </w:rPr>
        <w:t xml:space="preserve"> diversification potential for risk-averse investors as adding Chinese stocks into the equity portfolio will substantially offer </w:t>
      </w:r>
      <w:r w:rsidR="00883237" w:rsidRPr="006F4180">
        <w:rPr>
          <w:rFonts w:ascii="Times New Roman" w:eastAsiaTheme="minorEastAsia" w:hAnsi="Times New Roman" w:cs="Times New Roman"/>
          <w:sz w:val="24"/>
          <w:szCs w:val="24"/>
          <w:lang w:val="en-NZ"/>
        </w:rPr>
        <w:t xml:space="preserve">a </w:t>
      </w:r>
      <w:r w:rsidR="00086458" w:rsidRPr="006F4180">
        <w:rPr>
          <w:rFonts w:ascii="Times New Roman" w:eastAsiaTheme="minorEastAsia" w:hAnsi="Times New Roman" w:cs="Times New Roman"/>
          <w:sz w:val="24"/>
          <w:szCs w:val="24"/>
          <w:lang w:val="en-NZ"/>
        </w:rPr>
        <w:t xml:space="preserve">greater offsetting position to avoid financial risk. </w:t>
      </w:r>
    </w:p>
    <w:p w14:paraId="76971AC2" w14:textId="495E140B" w:rsidR="00DD39DC" w:rsidRPr="006F4180" w:rsidRDefault="00DD39DC" w:rsidP="003F5DF8">
      <w:pPr>
        <w:spacing w:line="360" w:lineRule="auto"/>
        <w:jc w:val="both"/>
        <w:rPr>
          <w:rFonts w:ascii="Times New Roman" w:hAnsi="Times New Roman" w:cs="Times New Roman"/>
          <w:bCs/>
          <w:i/>
          <w:sz w:val="24"/>
          <w:szCs w:val="24"/>
        </w:rPr>
      </w:pPr>
      <w:r w:rsidRPr="006F4180">
        <w:rPr>
          <w:rFonts w:ascii="Times New Roman" w:hAnsi="Times New Roman" w:cs="Times New Roman"/>
          <w:bCs/>
          <w:i/>
          <w:sz w:val="24"/>
          <w:szCs w:val="24"/>
        </w:rPr>
        <w:t>4.3 Policy Discussions</w:t>
      </w:r>
    </w:p>
    <w:p w14:paraId="1DEA8787" w14:textId="02A8EAFC" w:rsidR="00DD39DC" w:rsidRPr="00900DA0" w:rsidRDefault="00DD39DC" w:rsidP="003F5DF8">
      <w:pPr>
        <w:spacing w:line="360" w:lineRule="auto"/>
        <w:jc w:val="both"/>
        <w:rPr>
          <w:rFonts w:ascii="Times New Roman" w:hAnsi="Times New Roman" w:cs="Times New Roman"/>
          <w:bCs/>
          <w:color w:val="0070C0"/>
          <w:sz w:val="24"/>
          <w:szCs w:val="24"/>
        </w:rPr>
      </w:pPr>
      <w:r w:rsidRPr="006F4180">
        <w:rPr>
          <w:rFonts w:ascii="Times New Roman" w:hAnsi="Times New Roman" w:cs="Times New Roman"/>
          <w:bCs/>
          <w:sz w:val="24"/>
          <w:szCs w:val="24"/>
        </w:rPr>
        <w:t xml:space="preserve">Given the tremendous liberalization and integration of emerging market economies, </w:t>
      </w:r>
      <w:r w:rsidR="00B90C97" w:rsidRPr="006F4180">
        <w:rPr>
          <w:rFonts w:ascii="Times New Roman" w:hAnsi="Times New Roman" w:cs="Times New Roman"/>
          <w:bCs/>
          <w:sz w:val="24"/>
          <w:szCs w:val="24"/>
        </w:rPr>
        <w:t>the present</w:t>
      </w:r>
      <w:r w:rsidR="008C411C" w:rsidRPr="006F4180">
        <w:rPr>
          <w:rFonts w:ascii="Times New Roman" w:hAnsi="Times New Roman" w:cs="Times New Roman"/>
          <w:bCs/>
          <w:sz w:val="24"/>
          <w:szCs w:val="24"/>
        </w:rPr>
        <w:t xml:space="preserve"> study draws significant policy implications. The current ongoing pandemic reported about 4.5 million deaths</w:t>
      </w:r>
      <w:r w:rsidR="008C411C" w:rsidRPr="006F4180">
        <w:rPr>
          <w:rStyle w:val="FootnoteReference"/>
          <w:rFonts w:ascii="Times New Roman" w:hAnsi="Times New Roman" w:cs="Times New Roman"/>
          <w:bCs/>
          <w:sz w:val="24"/>
          <w:szCs w:val="24"/>
        </w:rPr>
        <w:footnoteReference w:id="7"/>
      </w:r>
      <w:r w:rsidR="008C411C" w:rsidRPr="006F4180">
        <w:rPr>
          <w:rFonts w:ascii="Times New Roman" w:hAnsi="Times New Roman" w:cs="Times New Roman"/>
          <w:bCs/>
          <w:sz w:val="24"/>
          <w:szCs w:val="24"/>
        </w:rPr>
        <w:t xml:space="preserve"> so far with the policies of worldwide lockdown, travel restrictions</w:t>
      </w:r>
      <w:r w:rsidR="00883237" w:rsidRPr="006F4180">
        <w:rPr>
          <w:rFonts w:ascii="Times New Roman" w:hAnsi="Times New Roman" w:cs="Times New Roman"/>
          <w:bCs/>
          <w:sz w:val="24"/>
          <w:szCs w:val="24"/>
        </w:rPr>
        <w:t>,</w:t>
      </w:r>
      <w:r w:rsidR="008C411C" w:rsidRPr="006F4180">
        <w:rPr>
          <w:rFonts w:ascii="Times New Roman" w:hAnsi="Times New Roman" w:cs="Times New Roman"/>
          <w:bCs/>
          <w:sz w:val="24"/>
          <w:szCs w:val="24"/>
        </w:rPr>
        <w:t xml:space="preserve"> </w:t>
      </w:r>
      <w:r w:rsidR="008C411C" w:rsidRPr="006F4180">
        <w:rPr>
          <w:rFonts w:ascii="Times New Roman" w:hAnsi="Times New Roman" w:cs="Times New Roman"/>
          <w:bCs/>
          <w:sz w:val="24"/>
          <w:szCs w:val="24"/>
        </w:rPr>
        <w:lastRenderedPageBreak/>
        <w:t xml:space="preserve">and other health measures to stop the devastating effects of the virus has created serious repercussions for </w:t>
      </w:r>
      <w:r w:rsidR="00AD09BE" w:rsidRPr="006F4180">
        <w:rPr>
          <w:rFonts w:ascii="Times New Roman" w:hAnsi="Times New Roman" w:cs="Times New Roman"/>
          <w:bCs/>
          <w:sz w:val="24"/>
          <w:szCs w:val="24"/>
        </w:rPr>
        <w:t xml:space="preserve">the </w:t>
      </w:r>
      <w:r w:rsidR="008C411C" w:rsidRPr="006F4180">
        <w:rPr>
          <w:rFonts w:ascii="Times New Roman" w:hAnsi="Times New Roman" w:cs="Times New Roman"/>
          <w:bCs/>
          <w:sz w:val="24"/>
          <w:szCs w:val="24"/>
        </w:rPr>
        <w:t>economic world (Zhang et al., 2020)</w:t>
      </w:r>
      <w:r w:rsidR="00883237" w:rsidRPr="006F4180">
        <w:rPr>
          <w:rFonts w:ascii="Times New Roman" w:hAnsi="Times New Roman" w:cs="Times New Roman"/>
          <w:bCs/>
          <w:sz w:val="24"/>
          <w:szCs w:val="24"/>
        </w:rPr>
        <w:t>,</w:t>
      </w:r>
      <w:r w:rsidR="008C411C" w:rsidRPr="006F4180">
        <w:rPr>
          <w:rFonts w:ascii="Times New Roman" w:hAnsi="Times New Roman" w:cs="Times New Roman"/>
          <w:bCs/>
          <w:sz w:val="24"/>
          <w:szCs w:val="24"/>
        </w:rPr>
        <w:t xml:space="preserve"> which also did not spare financial markets to face critical outcomes of the pandemic. </w:t>
      </w:r>
      <w:r w:rsidR="00B90C97" w:rsidRPr="00900DA0">
        <w:rPr>
          <w:rFonts w:ascii="Times New Roman" w:hAnsi="Times New Roman" w:cs="Times New Roman"/>
          <w:bCs/>
          <w:color w:val="0070C0"/>
          <w:sz w:val="24"/>
          <w:szCs w:val="24"/>
        </w:rPr>
        <w:t>Emerging markets</w:t>
      </w:r>
      <w:r w:rsidR="00AD09BE" w:rsidRPr="00900DA0">
        <w:rPr>
          <w:rFonts w:ascii="Times New Roman" w:hAnsi="Times New Roman" w:cs="Times New Roman"/>
          <w:bCs/>
          <w:color w:val="0070C0"/>
          <w:sz w:val="24"/>
          <w:szCs w:val="24"/>
        </w:rPr>
        <w:t xml:space="preserve"> having strong reliance on tr</w:t>
      </w:r>
      <w:r w:rsidR="00021094" w:rsidRPr="00900DA0">
        <w:rPr>
          <w:rFonts w:ascii="Times New Roman" w:hAnsi="Times New Roman" w:cs="Times New Roman"/>
          <w:bCs/>
          <w:color w:val="0070C0"/>
          <w:sz w:val="24"/>
          <w:szCs w:val="24"/>
        </w:rPr>
        <w:t>ade and bilateral relationships, travel</w:t>
      </w:r>
      <w:r w:rsidR="00883237" w:rsidRPr="00900DA0">
        <w:rPr>
          <w:rFonts w:ascii="Times New Roman" w:hAnsi="Times New Roman" w:cs="Times New Roman"/>
          <w:bCs/>
          <w:color w:val="0070C0"/>
          <w:sz w:val="24"/>
          <w:szCs w:val="24"/>
        </w:rPr>
        <w:t>,</w:t>
      </w:r>
      <w:r w:rsidR="00021094" w:rsidRPr="00900DA0">
        <w:rPr>
          <w:rFonts w:ascii="Times New Roman" w:hAnsi="Times New Roman" w:cs="Times New Roman"/>
          <w:bCs/>
          <w:color w:val="0070C0"/>
          <w:sz w:val="24"/>
          <w:szCs w:val="24"/>
        </w:rPr>
        <w:t xml:space="preserve"> tourism, and return on investment</w:t>
      </w:r>
      <w:r w:rsidR="00021094" w:rsidRPr="00900DA0">
        <w:rPr>
          <w:rStyle w:val="FootnoteReference"/>
          <w:rFonts w:ascii="Times New Roman" w:hAnsi="Times New Roman" w:cs="Times New Roman"/>
          <w:bCs/>
          <w:color w:val="0070C0"/>
          <w:sz w:val="24"/>
          <w:szCs w:val="24"/>
        </w:rPr>
        <w:footnoteReference w:id="8"/>
      </w:r>
      <w:r w:rsidR="00021094" w:rsidRPr="00900DA0">
        <w:rPr>
          <w:rFonts w:ascii="Times New Roman" w:hAnsi="Times New Roman" w:cs="Times New Roman"/>
          <w:bCs/>
          <w:color w:val="0070C0"/>
          <w:sz w:val="24"/>
          <w:szCs w:val="24"/>
        </w:rPr>
        <w:t xml:space="preserve">, the policy reforms in the wake of COVID-19 stipulated severe economic uncertainty for the emerging economies. </w:t>
      </w:r>
    </w:p>
    <w:p w14:paraId="56F2FD91" w14:textId="71B98914" w:rsidR="004E2B92" w:rsidRPr="00900DA0" w:rsidRDefault="004E2B92" w:rsidP="003950B7">
      <w:pPr>
        <w:spacing w:line="360" w:lineRule="auto"/>
        <w:ind w:firstLine="720"/>
        <w:jc w:val="both"/>
        <w:rPr>
          <w:rFonts w:ascii="Times New Roman" w:hAnsi="Times New Roman" w:cs="Times New Roman"/>
          <w:bCs/>
          <w:color w:val="0070C0"/>
          <w:sz w:val="24"/>
          <w:szCs w:val="24"/>
        </w:rPr>
      </w:pPr>
      <w:r w:rsidRPr="00900DA0">
        <w:rPr>
          <w:rFonts w:ascii="Times New Roman" w:hAnsi="Times New Roman" w:cs="Times New Roman"/>
          <w:bCs/>
          <w:color w:val="0070C0"/>
          <w:sz w:val="24"/>
          <w:szCs w:val="24"/>
        </w:rPr>
        <w:t xml:space="preserve">As an early sign of the pandemic, consumers in the developed and </w:t>
      </w:r>
      <w:proofErr w:type="spellStart"/>
      <w:r w:rsidRPr="00900DA0">
        <w:rPr>
          <w:rFonts w:ascii="Times New Roman" w:hAnsi="Times New Roman" w:cs="Times New Roman"/>
          <w:bCs/>
          <w:color w:val="0070C0"/>
          <w:sz w:val="24"/>
          <w:szCs w:val="24"/>
        </w:rPr>
        <w:t>emrging</w:t>
      </w:r>
      <w:proofErr w:type="spellEnd"/>
      <w:r w:rsidRPr="00900DA0">
        <w:rPr>
          <w:rFonts w:ascii="Times New Roman" w:hAnsi="Times New Roman" w:cs="Times New Roman"/>
          <w:bCs/>
          <w:color w:val="0070C0"/>
          <w:sz w:val="24"/>
          <w:szCs w:val="24"/>
        </w:rPr>
        <w:t xml:space="preserve"> economies experienced a large negative wealth effect as a result of stock market </w:t>
      </w:r>
      <w:proofErr w:type="spellStart"/>
      <w:r w:rsidRPr="00900DA0">
        <w:rPr>
          <w:rFonts w:ascii="Times New Roman" w:hAnsi="Times New Roman" w:cs="Times New Roman"/>
          <w:bCs/>
          <w:color w:val="0070C0"/>
          <w:sz w:val="24"/>
          <w:szCs w:val="24"/>
        </w:rPr>
        <w:t>plummation</w:t>
      </w:r>
      <w:proofErr w:type="spellEnd"/>
      <w:r w:rsidRPr="00900DA0">
        <w:rPr>
          <w:rFonts w:ascii="Times New Roman" w:hAnsi="Times New Roman" w:cs="Times New Roman"/>
          <w:bCs/>
          <w:color w:val="0070C0"/>
          <w:sz w:val="24"/>
          <w:szCs w:val="24"/>
        </w:rPr>
        <w:t>. With decline in the global demand, the prices of stocks, commodities, and goods co</w:t>
      </w:r>
      <w:r w:rsidR="00537224" w:rsidRPr="00900DA0">
        <w:rPr>
          <w:rFonts w:ascii="Times New Roman" w:hAnsi="Times New Roman" w:cs="Times New Roman"/>
          <w:bCs/>
          <w:color w:val="0070C0"/>
          <w:sz w:val="24"/>
          <w:szCs w:val="24"/>
        </w:rPr>
        <w:t>llapsed</w:t>
      </w:r>
      <w:r w:rsidRPr="00900DA0">
        <w:rPr>
          <w:rFonts w:ascii="Times New Roman" w:hAnsi="Times New Roman" w:cs="Times New Roman"/>
          <w:bCs/>
          <w:color w:val="0070C0"/>
          <w:sz w:val="24"/>
          <w:szCs w:val="24"/>
        </w:rPr>
        <w:t>. In other words, a sharp reduction in export volumes accompanied by a drop in the prices of commodities and stocks badly affec</w:t>
      </w:r>
      <w:r w:rsidR="00537224" w:rsidRPr="00900DA0">
        <w:rPr>
          <w:rFonts w:ascii="Times New Roman" w:hAnsi="Times New Roman" w:cs="Times New Roman"/>
          <w:bCs/>
          <w:color w:val="0070C0"/>
          <w:sz w:val="24"/>
          <w:szCs w:val="24"/>
        </w:rPr>
        <w:t>ted the international trade caus</w:t>
      </w:r>
      <w:r w:rsidRPr="00900DA0">
        <w:rPr>
          <w:rFonts w:ascii="Times New Roman" w:hAnsi="Times New Roman" w:cs="Times New Roman"/>
          <w:bCs/>
          <w:color w:val="0070C0"/>
          <w:sz w:val="24"/>
          <w:szCs w:val="24"/>
        </w:rPr>
        <w:t xml:space="preserve">ing serious repercussions for emerging economies. </w:t>
      </w:r>
      <w:r w:rsidR="007B495D" w:rsidRPr="00900DA0">
        <w:rPr>
          <w:rFonts w:ascii="Times New Roman" w:hAnsi="Times New Roman" w:cs="Times New Roman"/>
          <w:bCs/>
          <w:color w:val="0070C0"/>
          <w:sz w:val="24"/>
          <w:szCs w:val="24"/>
        </w:rPr>
        <w:t>The increase in the uncertainty, risk re-pricing, and flight-to-safety are manifested in stock prices and capital flows around the world which synchronously collapsed the financial markets with stagnated credits, asset prices, and generalized deterioration of domestic financial as well as economic system</w:t>
      </w:r>
      <w:r w:rsidR="00537224" w:rsidRPr="00900DA0">
        <w:rPr>
          <w:rFonts w:ascii="Times New Roman" w:hAnsi="Times New Roman" w:cs="Times New Roman"/>
          <w:bCs/>
          <w:color w:val="0070C0"/>
          <w:sz w:val="24"/>
          <w:szCs w:val="24"/>
        </w:rPr>
        <w:t>s</w:t>
      </w:r>
      <w:r w:rsidR="007B495D" w:rsidRPr="00900DA0">
        <w:rPr>
          <w:rFonts w:ascii="Times New Roman" w:hAnsi="Times New Roman" w:cs="Times New Roman"/>
          <w:bCs/>
          <w:color w:val="0070C0"/>
          <w:sz w:val="24"/>
          <w:szCs w:val="24"/>
        </w:rPr>
        <w:t xml:space="preserve">. </w:t>
      </w:r>
      <w:r w:rsidR="00900DA0">
        <w:rPr>
          <w:rFonts w:ascii="Times New Roman" w:hAnsi="Times New Roman" w:cs="Times New Roman"/>
          <w:bCs/>
          <w:color w:val="0070C0"/>
          <w:sz w:val="24"/>
          <w:szCs w:val="24"/>
        </w:rPr>
        <w:t xml:space="preserve">Tail-risk, in these circumstances, is the state of heightened uncertainty where markets are exposed to turbulent economic and financial crises. Thus, in the face of COVID-19, tail-risk played an important role in determining risk spillovers across various emerging markets. </w:t>
      </w:r>
    </w:p>
    <w:p w14:paraId="2034B420" w14:textId="4788AA96" w:rsidR="00021094" w:rsidRPr="006F4180" w:rsidRDefault="00021094" w:rsidP="003950B7">
      <w:pPr>
        <w:spacing w:line="360" w:lineRule="auto"/>
        <w:ind w:firstLine="720"/>
        <w:jc w:val="both"/>
        <w:rPr>
          <w:rFonts w:ascii="Times New Roman" w:hAnsi="Times New Roman" w:cs="Times New Roman"/>
          <w:bCs/>
          <w:sz w:val="24"/>
          <w:szCs w:val="24"/>
        </w:rPr>
      </w:pPr>
      <w:r w:rsidRPr="00900DA0">
        <w:rPr>
          <w:rFonts w:ascii="Times New Roman" w:hAnsi="Times New Roman" w:cs="Times New Roman"/>
          <w:bCs/>
          <w:color w:val="0070C0"/>
          <w:sz w:val="24"/>
          <w:szCs w:val="24"/>
        </w:rPr>
        <w:t>Correspondingly, the regulat</w:t>
      </w:r>
      <w:r w:rsidR="00883237" w:rsidRPr="00900DA0">
        <w:rPr>
          <w:rFonts w:ascii="Times New Roman" w:hAnsi="Times New Roman" w:cs="Times New Roman"/>
          <w:bCs/>
          <w:color w:val="0070C0"/>
          <w:sz w:val="24"/>
          <w:szCs w:val="24"/>
        </w:rPr>
        <w:t>ory</w:t>
      </w:r>
      <w:r w:rsidRPr="00900DA0">
        <w:rPr>
          <w:rFonts w:ascii="Times New Roman" w:hAnsi="Times New Roman" w:cs="Times New Roman"/>
          <w:bCs/>
          <w:color w:val="0070C0"/>
          <w:sz w:val="24"/>
          <w:szCs w:val="24"/>
        </w:rPr>
        <w:t xml:space="preserve"> authorities and monetary bodies have implemented rigorous policy measures to rescue the dwindling economies and financial markets. Apart from these preventive steps</w:t>
      </w:r>
      <w:r w:rsidR="00900DA0" w:rsidRPr="00900DA0">
        <w:rPr>
          <w:rFonts w:ascii="Times New Roman" w:hAnsi="Times New Roman" w:cs="Times New Roman"/>
          <w:bCs/>
          <w:color w:val="0070C0"/>
          <w:sz w:val="24"/>
          <w:szCs w:val="24"/>
        </w:rPr>
        <w:t xml:space="preserve"> of tail-risk exposure</w:t>
      </w:r>
      <w:r w:rsidRPr="00900DA0">
        <w:rPr>
          <w:rFonts w:ascii="Times New Roman" w:hAnsi="Times New Roman" w:cs="Times New Roman"/>
          <w:bCs/>
          <w:color w:val="0070C0"/>
          <w:sz w:val="24"/>
          <w:szCs w:val="24"/>
        </w:rPr>
        <w:t>, given policies can only work in the short-run</w:t>
      </w:r>
      <w:r w:rsidR="00883237" w:rsidRPr="00900DA0">
        <w:rPr>
          <w:rFonts w:ascii="Times New Roman" w:hAnsi="Times New Roman" w:cs="Times New Roman"/>
          <w:bCs/>
          <w:color w:val="0070C0"/>
          <w:sz w:val="24"/>
          <w:szCs w:val="24"/>
        </w:rPr>
        <w:t>,</w:t>
      </w:r>
      <w:r w:rsidRPr="00900DA0">
        <w:rPr>
          <w:rFonts w:ascii="Times New Roman" w:hAnsi="Times New Roman" w:cs="Times New Roman"/>
          <w:bCs/>
          <w:color w:val="0070C0"/>
          <w:sz w:val="24"/>
          <w:szCs w:val="24"/>
        </w:rPr>
        <w:t xml:space="preserve"> substantiating the investors’ fears and concerns in the long-run (</w:t>
      </w:r>
      <w:proofErr w:type="spellStart"/>
      <w:r w:rsidRPr="00900DA0">
        <w:rPr>
          <w:rFonts w:ascii="Times New Roman" w:hAnsi="Times New Roman" w:cs="Times New Roman"/>
          <w:bCs/>
          <w:color w:val="0070C0"/>
          <w:sz w:val="24"/>
          <w:szCs w:val="24"/>
        </w:rPr>
        <w:t>Gormsen</w:t>
      </w:r>
      <w:proofErr w:type="spellEnd"/>
      <w:r w:rsidRPr="00900DA0">
        <w:rPr>
          <w:rFonts w:ascii="Times New Roman" w:hAnsi="Times New Roman" w:cs="Times New Roman"/>
          <w:bCs/>
          <w:color w:val="0070C0"/>
          <w:sz w:val="24"/>
          <w:szCs w:val="24"/>
        </w:rPr>
        <w:t xml:space="preserve"> &amp; </w:t>
      </w:r>
      <w:proofErr w:type="spellStart"/>
      <w:r w:rsidRPr="00900DA0">
        <w:rPr>
          <w:rFonts w:ascii="Times New Roman" w:hAnsi="Times New Roman" w:cs="Times New Roman"/>
          <w:bCs/>
          <w:color w:val="0070C0"/>
          <w:sz w:val="24"/>
          <w:szCs w:val="24"/>
        </w:rPr>
        <w:t>Koijen</w:t>
      </w:r>
      <w:proofErr w:type="spellEnd"/>
      <w:r w:rsidRPr="00900DA0">
        <w:rPr>
          <w:rFonts w:ascii="Times New Roman" w:hAnsi="Times New Roman" w:cs="Times New Roman"/>
          <w:bCs/>
          <w:color w:val="0070C0"/>
          <w:sz w:val="24"/>
          <w:szCs w:val="24"/>
        </w:rPr>
        <w:t xml:space="preserve">, 2020). Conspicuously, the </w:t>
      </w:r>
      <w:r w:rsidR="00900DA0" w:rsidRPr="00900DA0">
        <w:rPr>
          <w:rFonts w:ascii="Times New Roman" w:hAnsi="Times New Roman" w:cs="Times New Roman"/>
          <w:bCs/>
          <w:color w:val="0070C0"/>
          <w:sz w:val="24"/>
          <w:szCs w:val="24"/>
        </w:rPr>
        <w:t xml:space="preserve">risk </w:t>
      </w:r>
      <w:r w:rsidRPr="00900DA0">
        <w:rPr>
          <w:rFonts w:ascii="Times New Roman" w:hAnsi="Times New Roman" w:cs="Times New Roman"/>
          <w:bCs/>
          <w:color w:val="0070C0"/>
          <w:sz w:val="24"/>
          <w:szCs w:val="24"/>
        </w:rPr>
        <w:t xml:space="preserve">policies introduced by the US may enhance insecurity among the market participants and create unrest for the emerging markets (Yang &amp; Zhou, 2017). </w:t>
      </w:r>
      <w:r w:rsidR="008D6E0A" w:rsidRPr="00900DA0">
        <w:rPr>
          <w:rFonts w:ascii="Times New Roman" w:hAnsi="Times New Roman" w:cs="Times New Roman"/>
          <w:bCs/>
          <w:color w:val="0070C0"/>
          <w:sz w:val="24"/>
          <w:szCs w:val="24"/>
        </w:rPr>
        <w:t>In this bewilder</w:t>
      </w:r>
      <w:r w:rsidR="00883237" w:rsidRPr="00900DA0">
        <w:rPr>
          <w:rFonts w:ascii="Times New Roman" w:hAnsi="Times New Roman" w:cs="Times New Roman"/>
          <w:bCs/>
          <w:color w:val="0070C0"/>
          <w:sz w:val="24"/>
          <w:szCs w:val="24"/>
        </w:rPr>
        <w:t>ing</w:t>
      </w:r>
      <w:r w:rsidR="008D6E0A" w:rsidRPr="00900DA0">
        <w:rPr>
          <w:rFonts w:ascii="Times New Roman" w:hAnsi="Times New Roman" w:cs="Times New Roman"/>
          <w:bCs/>
          <w:color w:val="0070C0"/>
          <w:sz w:val="24"/>
          <w:szCs w:val="24"/>
        </w:rPr>
        <w:t xml:space="preserve"> state of affairs, examining the tail-risk among emerging economies to assess uncertainty in the markets will also support policymakers to treat the economic fragility </w:t>
      </w:r>
      <w:r w:rsidR="00883237" w:rsidRPr="00900DA0">
        <w:rPr>
          <w:rFonts w:ascii="Times New Roman" w:hAnsi="Times New Roman" w:cs="Times New Roman"/>
          <w:bCs/>
          <w:color w:val="0070C0"/>
          <w:sz w:val="24"/>
          <w:szCs w:val="24"/>
        </w:rPr>
        <w:t>appropriatel</w:t>
      </w:r>
      <w:r w:rsidR="008D6E0A" w:rsidRPr="00900DA0">
        <w:rPr>
          <w:rFonts w:ascii="Times New Roman" w:hAnsi="Times New Roman" w:cs="Times New Roman"/>
          <w:bCs/>
          <w:color w:val="0070C0"/>
          <w:sz w:val="24"/>
          <w:szCs w:val="24"/>
        </w:rPr>
        <w:t>y</w:t>
      </w:r>
      <w:r w:rsidR="00883237" w:rsidRPr="00900DA0">
        <w:rPr>
          <w:rFonts w:ascii="Times New Roman" w:hAnsi="Times New Roman" w:cs="Times New Roman"/>
          <w:bCs/>
          <w:color w:val="0070C0"/>
          <w:sz w:val="24"/>
          <w:szCs w:val="24"/>
        </w:rPr>
        <w:t>,</w:t>
      </w:r>
      <w:r w:rsidR="008D6E0A" w:rsidRPr="00900DA0">
        <w:rPr>
          <w:rFonts w:ascii="Times New Roman" w:hAnsi="Times New Roman" w:cs="Times New Roman"/>
          <w:bCs/>
          <w:color w:val="0070C0"/>
          <w:sz w:val="24"/>
          <w:szCs w:val="24"/>
        </w:rPr>
        <w:t xml:space="preserve"> particularly when economies are exposed to travel bans, trade limitations, and lower return</w:t>
      </w:r>
      <w:r w:rsidR="00883237" w:rsidRPr="00900DA0">
        <w:rPr>
          <w:rFonts w:ascii="Times New Roman" w:hAnsi="Times New Roman" w:cs="Times New Roman"/>
          <w:bCs/>
          <w:color w:val="0070C0"/>
          <w:sz w:val="24"/>
          <w:szCs w:val="24"/>
        </w:rPr>
        <w:t>s</w:t>
      </w:r>
      <w:r w:rsidR="008D6E0A" w:rsidRPr="00900DA0">
        <w:rPr>
          <w:rFonts w:ascii="Times New Roman" w:hAnsi="Times New Roman" w:cs="Times New Roman"/>
          <w:bCs/>
          <w:color w:val="0070C0"/>
          <w:sz w:val="24"/>
          <w:szCs w:val="24"/>
        </w:rPr>
        <w:t xml:space="preserve"> on investments. </w:t>
      </w:r>
    </w:p>
    <w:p w14:paraId="27F12865" w14:textId="3428598F" w:rsidR="00E75275" w:rsidRPr="006F4180" w:rsidRDefault="00237A4D" w:rsidP="003F5DF8">
      <w:pPr>
        <w:spacing w:line="360" w:lineRule="auto"/>
        <w:jc w:val="both"/>
        <w:rPr>
          <w:rFonts w:ascii="Times New Roman" w:hAnsi="Times New Roman" w:cs="Times New Roman"/>
          <w:b/>
          <w:bCs/>
          <w:sz w:val="24"/>
          <w:szCs w:val="24"/>
        </w:rPr>
      </w:pPr>
      <w:r w:rsidRPr="006F4180">
        <w:rPr>
          <w:rFonts w:ascii="Times New Roman" w:hAnsi="Times New Roman" w:cs="Times New Roman"/>
          <w:b/>
          <w:bCs/>
          <w:sz w:val="24"/>
          <w:szCs w:val="24"/>
        </w:rPr>
        <w:t xml:space="preserve">5. </w:t>
      </w:r>
      <w:r w:rsidR="00E75275" w:rsidRPr="006F4180">
        <w:rPr>
          <w:rFonts w:ascii="Times New Roman" w:hAnsi="Times New Roman" w:cs="Times New Roman"/>
          <w:b/>
          <w:bCs/>
          <w:sz w:val="24"/>
          <w:szCs w:val="24"/>
        </w:rPr>
        <w:t>Conclusion</w:t>
      </w:r>
    </w:p>
    <w:p w14:paraId="383A56FE" w14:textId="14F5ED71" w:rsidR="00DF7D2B" w:rsidRPr="006F4180" w:rsidRDefault="008076E2" w:rsidP="003F5DF8">
      <w:pPr>
        <w:spacing w:line="360" w:lineRule="auto"/>
        <w:jc w:val="both"/>
        <w:rPr>
          <w:rFonts w:ascii="Times New Roman" w:eastAsia="RMTMI" w:hAnsi="Times New Roman" w:cs="Times New Roman"/>
          <w:sz w:val="24"/>
          <w:szCs w:val="24"/>
        </w:rPr>
      </w:pPr>
      <w:r w:rsidRPr="006F4180">
        <w:rPr>
          <w:rFonts w:ascii="Times New Roman" w:hAnsi="Times New Roman" w:cs="Times New Roman"/>
          <w:sz w:val="24"/>
          <w:szCs w:val="24"/>
        </w:rPr>
        <w:t>We investigated the tail-event network dependence of 23 emerging markets sourced fr</w:t>
      </w:r>
      <w:r w:rsidR="008E409D" w:rsidRPr="006F4180">
        <w:rPr>
          <w:rFonts w:ascii="Times New Roman" w:hAnsi="Times New Roman" w:cs="Times New Roman"/>
          <w:sz w:val="24"/>
          <w:szCs w:val="24"/>
        </w:rPr>
        <w:t xml:space="preserve">om </w:t>
      </w:r>
      <w:r w:rsidR="00883237" w:rsidRPr="006F4180">
        <w:rPr>
          <w:rFonts w:ascii="Times New Roman" w:hAnsi="Times New Roman" w:cs="Times New Roman"/>
          <w:sz w:val="24"/>
          <w:szCs w:val="24"/>
        </w:rPr>
        <w:t>the MSCI emerging markets indices from</w:t>
      </w:r>
      <w:r w:rsidR="008E409D" w:rsidRPr="006F4180">
        <w:rPr>
          <w:rFonts w:ascii="Times New Roman" w:hAnsi="Times New Roman" w:cs="Times New Roman"/>
          <w:sz w:val="24"/>
          <w:szCs w:val="24"/>
        </w:rPr>
        <w:t xml:space="preserve"> Jan</w:t>
      </w:r>
      <w:r w:rsidR="00883237" w:rsidRPr="006F4180">
        <w:rPr>
          <w:rFonts w:ascii="Times New Roman" w:hAnsi="Times New Roman" w:cs="Times New Roman"/>
          <w:sz w:val="24"/>
          <w:szCs w:val="24"/>
        </w:rPr>
        <w:t>uary</w:t>
      </w:r>
      <w:r w:rsidR="008E409D" w:rsidRPr="006F4180">
        <w:rPr>
          <w:rFonts w:ascii="Times New Roman" w:hAnsi="Times New Roman" w:cs="Times New Roman"/>
          <w:sz w:val="24"/>
          <w:szCs w:val="24"/>
        </w:rPr>
        <w:t xml:space="preserve"> 1995 to May 2021. By employing the Tail-</w:t>
      </w:r>
      <w:r w:rsidR="008E409D" w:rsidRPr="006F4180">
        <w:rPr>
          <w:rFonts w:ascii="Times New Roman" w:hAnsi="Times New Roman" w:cs="Times New Roman"/>
          <w:sz w:val="24"/>
          <w:szCs w:val="24"/>
        </w:rPr>
        <w:lastRenderedPageBreak/>
        <w:t xml:space="preserve">Event </w:t>
      </w:r>
      <w:proofErr w:type="spellStart"/>
      <w:r w:rsidR="008E409D" w:rsidRPr="006F4180">
        <w:rPr>
          <w:rFonts w:ascii="Times New Roman" w:hAnsi="Times New Roman" w:cs="Times New Roman"/>
          <w:sz w:val="24"/>
          <w:szCs w:val="24"/>
        </w:rPr>
        <w:t>NETwork</w:t>
      </w:r>
      <w:proofErr w:type="spellEnd"/>
      <w:r w:rsidR="008E409D" w:rsidRPr="006F4180">
        <w:rPr>
          <w:rFonts w:ascii="Times New Roman" w:hAnsi="Times New Roman" w:cs="Times New Roman"/>
          <w:sz w:val="24"/>
          <w:szCs w:val="24"/>
        </w:rPr>
        <w:t xml:space="preserve"> technique in our analysis, we find that total connectedness of emerging markets is time-varying</w:t>
      </w:r>
      <w:r w:rsidR="00576EFA" w:rsidRPr="006F4180">
        <w:rPr>
          <w:rFonts w:ascii="Times New Roman" w:hAnsi="Times New Roman" w:cs="Times New Roman"/>
          <w:sz w:val="24"/>
          <w:szCs w:val="24"/>
        </w:rPr>
        <w:t>. C</w:t>
      </w:r>
      <w:r w:rsidR="008E409D" w:rsidRPr="006F4180">
        <w:rPr>
          <w:rFonts w:ascii="Times New Roman" w:hAnsi="Times New Roman" w:cs="Times New Roman"/>
          <w:sz w:val="24"/>
          <w:szCs w:val="24"/>
        </w:rPr>
        <w:t xml:space="preserve">ompared with average </w:t>
      </w:r>
      <w:r w:rsidR="008E409D" w:rsidRPr="006F4180">
        <w:rPr>
          <w:rFonts w:ascii="Times New Roman" w:eastAsia="RMTMI" w:hAnsi="Times New Roman" w:cs="Times New Roman"/>
          <w:sz w:val="24"/>
          <w:szCs w:val="24"/>
        </w:rPr>
        <w:t xml:space="preserve">λ of </w:t>
      </w:r>
      <w:proofErr w:type="spellStart"/>
      <w:r w:rsidR="008E409D" w:rsidRPr="006F4180">
        <w:rPr>
          <w:rFonts w:ascii="Times New Roman" w:eastAsia="RMTMI" w:hAnsi="Times New Roman" w:cs="Times New Roman"/>
          <w:sz w:val="24"/>
          <w:szCs w:val="24"/>
        </w:rPr>
        <w:t>CoVaR</w:t>
      </w:r>
      <w:proofErr w:type="spellEnd"/>
      <w:r w:rsidR="008E409D" w:rsidRPr="006F4180">
        <w:rPr>
          <w:rFonts w:ascii="Times New Roman" w:eastAsia="RMTMI" w:hAnsi="Times New Roman" w:cs="Times New Roman"/>
          <w:sz w:val="24"/>
          <w:szCs w:val="24"/>
        </w:rPr>
        <w:t>, the pattern shows relatively lower risk for the given period and emerging markets except</w:t>
      </w:r>
      <w:r w:rsidR="00576EFA" w:rsidRPr="006F4180">
        <w:rPr>
          <w:rFonts w:ascii="Times New Roman" w:eastAsia="RMTMI" w:hAnsi="Times New Roman" w:cs="Times New Roman"/>
          <w:sz w:val="24"/>
          <w:szCs w:val="24"/>
        </w:rPr>
        <w:t xml:space="preserve"> for</w:t>
      </w:r>
      <w:r w:rsidR="008E409D" w:rsidRPr="006F4180">
        <w:rPr>
          <w:rFonts w:ascii="Times New Roman" w:eastAsia="RMTMI" w:hAnsi="Times New Roman" w:cs="Times New Roman"/>
          <w:sz w:val="24"/>
          <w:szCs w:val="24"/>
        </w:rPr>
        <w:t xml:space="preserve"> Argentine’s economic turmoil, Chinese crisis, and recent ongoing pandemic of COVID-19. </w:t>
      </w:r>
      <w:r w:rsidR="000A3ECB" w:rsidRPr="006F4180">
        <w:rPr>
          <w:rFonts w:ascii="Times New Roman" w:eastAsia="RMTMI" w:hAnsi="Times New Roman" w:cs="Times New Roman"/>
          <w:sz w:val="24"/>
          <w:szCs w:val="24"/>
        </w:rPr>
        <w:t xml:space="preserve">The elliptical network of adjacency matrix showed strong network connectedness where </w:t>
      </w:r>
      <w:r w:rsidR="00C901C5">
        <w:rPr>
          <w:rFonts w:ascii="Times New Roman" w:eastAsia="RMTMI" w:hAnsi="Times New Roman" w:cs="Times New Roman"/>
          <w:sz w:val="24"/>
          <w:szCs w:val="24"/>
        </w:rPr>
        <w:t xml:space="preserve">Turkey </w:t>
      </w:r>
      <w:r w:rsidR="000A3ECB" w:rsidRPr="006F4180">
        <w:rPr>
          <w:rFonts w:ascii="Times New Roman" w:eastAsia="RMTMI" w:hAnsi="Times New Roman" w:cs="Times New Roman"/>
          <w:sz w:val="24"/>
          <w:szCs w:val="24"/>
        </w:rPr>
        <w:t>and H</w:t>
      </w:r>
      <w:r w:rsidR="00C901C5">
        <w:rPr>
          <w:rFonts w:ascii="Times New Roman" w:eastAsia="RMTMI" w:hAnsi="Times New Roman" w:cs="Times New Roman"/>
          <w:sz w:val="24"/>
          <w:szCs w:val="24"/>
        </w:rPr>
        <w:t xml:space="preserve">ungary </w:t>
      </w:r>
      <w:r w:rsidR="000A3ECB" w:rsidRPr="006F4180">
        <w:rPr>
          <w:rFonts w:ascii="Times New Roman" w:eastAsia="RMTMI" w:hAnsi="Times New Roman" w:cs="Times New Roman"/>
          <w:sz w:val="24"/>
          <w:szCs w:val="24"/>
        </w:rPr>
        <w:t>are the top transmitters of risk spillovers</w:t>
      </w:r>
      <w:r w:rsidR="00576EFA" w:rsidRPr="006F4180">
        <w:rPr>
          <w:rFonts w:ascii="Times New Roman" w:eastAsia="RMTMI" w:hAnsi="Times New Roman" w:cs="Times New Roman"/>
          <w:sz w:val="24"/>
          <w:szCs w:val="24"/>
        </w:rPr>
        <w:t>,</w:t>
      </w:r>
      <w:r w:rsidR="000A3ECB" w:rsidRPr="006F4180">
        <w:rPr>
          <w:rFonts w:ascii="Times New Roman" w:eastAsia="RMTMI" w:hAnsi="Times New Roman" w:cs="Times New Roman"/>
          <w:sz w:val="24"/>
          <w:szCs w:val="24"/>
        </w:rPr>
        <w:t xml:space="preserve"> whereas </w:t>
      </w:r>
      <w:r w:rsidR="00C901C5">
        <w:rPr>
          <w:rFonts w:ascii="Times New Roman" w:eastAsia="RMTMI" w:hAnsi="Times New Roman" w:cs="Times New Roman"/>
          <w:sz w:val="24"/>
          <w:szCs w:val="24"/>
        </w:rPr>
        <w:t>Pakistan</w:t>
      </w:r>
      <w:r w:rsidR="000A3ECB" w:rsidRPr="006F4180">
        <w:rPr>
          <w:rFonts w:ascii="Times New Roman" w:eastAsia="RMTMI" w:hAnsi="Times New Roman" w:cs="Times New Roman"/>
          <w:sz w:val="24"/>
          <w:szCs w:val="24"/>
        </w:rPr>
        <w:t xml:space="preserve"> and </w:t>
      </w:r>
      <w:proofErr w:type="spellStart"/>
      <w:r w:rsidR="000A3ECB" w:rsidRPr="006F4180">
        <w:rPr>
          <w:rFonts w:ascii="Times New Roman" w:eastAsia="RMTMI" w:hAnsi="Times New Roman" w:cs="Times New Roman"/>
          <w:sz w:val="24"/>
          <w:szCs w:val="24"/>
        </w:rPr>
        <w:t>I</w:t>
      </w:r>
      <w:r w:rsidR="00C901C5">
        <w:rPr>
          <w:rFonts w:ascii="Times New Roman" w:eastAsia="RMTMI" w:hAnsi="Times New Roman" w:cs="Times New Roman"/>
          <w:sz w:val="24"/>
          <w:szCs w:val="24"/>
        </w:rPr>
        <w:t>indonesia</w:t>
      </w:r>
      <w:proofErr w:type="spellEnd"/>
      <w:r w:rsidR="000A3ECB" w:rsidRPr="006F4180">
        <w:rPr>
          <w:rFonts w:ascii="Times New Roman" w:eastAsia="RMTMI" w:hAnsi="Times New Roman" w:cs="Times New Roman"/>
          <w:sz w:val="24"/>
          <w:szCs w:val="24"/>
        </w:rPr>
        <w:t xml:space="preserve"> are net receivers of spillovers. C</w:t>
      </w:r>
      <w:r w:rsidR="00C901C5">
        <w:rPr>
          <w:rFonts w:ascii="Times New Roman" w:eastAsia="RMTMI" w:hAnsi="Times New Roman" w:cs="Times New Roman"/>
          <w:sz w:val="24"/>
          <w:szCs w:val="24"/>
        </w:rPr>
        <w:t xml:space="preserve">hina </w:t>
      </w:r>
      <w:r w:rsidR="000A3ECB" w:rsidRPr="006F4180">
        <w:rPr>
          <w:rFonts w:ascii="Times New Roman" w:eastAsia="RMTMI" w:hAnsi="Times New Roman" w:cs="Times New Roman"/>
          <w:sz w:val="24"/>
          <w:szCs w:val="24"/>
        </w:rPr>
        <w:t>showed distinct disconnection from the system-wide connectedness reflecting its greater diversification potential amongst the</w:t>
      </w:r>
      <w:r w:rsidR="00DF7D2B" w:rsidRPr="006F4180">
        <w:rPr>
          <w:rFonts w:ascii="Times New Roman" w:eastAsia="RMTMI" w:hAnsi="Times New Roman" w:cs="Times New Roman"/>
          <w:sz w:val="24"/>
          <w:szCs w:val="24"/>
        </w:rPr>
        <w:t xml:space="preserve"> emerging markets stock indices. Sub-sample analysis for global financial crisis and COVID-19 showed varied risk spillovers</w:t>
      </w:r>
      <w:r w:rsidR="00576EFA" w:rsidRPr="006F4180">
        <w:rPr>
          <w:rFonts w:ascii="Times New Roman" w:eastAsia="RMTMI" w:hAnsi="Times New Roman" w:cs="Times New Roman"/>
          <w:sz w:val="24"/>
          <w:szCs w:val="24"/>
        </w:rPr>
        <w:t>,</w:t>
      </w:r>
      <w:r w:rsidR="00DF7D2B" w:rsidRPr="006F4180">
        <w:rPr>
          <w:rFonts w:ascii="Times New Roman" w:eastAsia="RMTMI" w:hAnsi="Times New Roman" w:cs="Times New Roman"/>
          <w:sz w:val="24"/>
          <w:szCs w:val="24"/>
        </w:rPr>
        <w:t xml:space="preserve"> whereas C</w:t>
      </w:r>
      <w:r w:rsidR="00C901C5">
        <w:rPr>
          <w:rFonts w:ascii="Times New Roman" w:eastAsia="RMTMI" w:hAnsi="Times New Roman" w:cs="Times New Roman"/>
          <w:sz w:val="24"/>
          <w:szCs w:val="24"/>
        </w:rPr>
        <w:t>hina</w:t>
      </w:r>
      <w:r w:rsidR="00DF7D2B" w:rsidRPr="006F4180">
        <w:rPr>
          <w:rFonts w:ascii="Times New Roman" w:eastAsia="RMTMI" w:hAnsi="Times New Roman" w:cs="Times New Roman"/>
          <w:sz w:val="24"/>
          <w:szCs w:val="24"/>
        </w:rPr>
        <w:t xml:space="preserve"> maintained </w:t>
      </w:r>
      <w:r w:rsidR="00FF324B">
        <w:rPr>
          <w:rFonts w:ascii="Times New Roman" w:eastAsia="RMTMI" w:hAnsi="Times New Roman" w:cs="Times New Roman"/>
          <w:sz w:val="24"/>
          <w:szCs w:val="24"/>
        </w:rPr>
        <w:t>decoupled</w:t>
      </w:r>
      <w:r w:rsidR="00DF7D2B" w:rsidRPr="006F4180">
        <w:rPr>
          <w:rFonts w:ascii="Times New Roman" w:eastAsia="RMTMI" w:hAnsi="Times New Roman" w:cs="Times New Roman"/>
          <w:sz w:val="24"/>
          <w:szCs w:val="24"/>
        </w:rPr>
        <w:t xml:space="preserve"> from t</w:t>
      </w:r>
      <w:r w:rsidR="005062A0">
        <w:rPr>
          <w:rFonts w:ascii="Times New Roman" w:eastAsia="RMTMI" w:hAnsi="Times New Roman" w:cs="Times New Roman"/>
          <w:sz w:val="24"/>
          <w:szCs w:val="24"/>
        </w:rPr>
        <w:t xml:space="preserve">he rest of markets </w:t>
      </w:r>
      <w:proofErr w:type="spellStart"/>
      <w:r w:rsidR="005062A0">
        <w:rPr>
          <w:rFonts w:ascii="Times New Roman" w:eastAsia="RMTMI" w:hAnsi="Times New Roman" w:cs="Times New Roman"/>
          <w:sz w:val="24"/>
          <w:szCs w:val="24"/>
        </w:rPr>
        <w:t>analysed</w:t>
      </w:r>
      <w:proofErr w:type="spellEnd"/>
      <w:r w:rsidR="00DF7D2B" w:rsidRPr="006F4180">
        <w:rPr>
          <w:rFonts w:ascii="Times New Roman" w:eastAsia="RMTMI" w:hAnsi="Times New Roman" w:cs="Times New Roman"/>
          <w:sz w:val="24"/>
          <w:szCs w:val="24"/>
        </w:rPr>
        <w:t xml:space="preserve">. </w:t>
      </w:r>
    </w:p>
    <w:p w14:paraId="1A8FD40E" w14:textId="77777777" w:rsidR="00900DA0" w:rsidRDefault="009B3F97" w:rsidP="003950B7">
      <w:pPr>
        <w:spacing w:line="360" w:lineRule="auto"/>
        <w:ind w:firstLine="720"/>
        <w:jc w:val="both"/>
        <w:rPr>
          <w:rFonts w:ascii="Times New Roman" w:eastAsia="RMTMI" w:hAnsi="Times New Roman" w:cs="Times New Roman"/>
          <w:sz w:val="24"/>
          <w:szCs w:val="24"/>
        </w:rPr>
      </w:pPr>
      <w:r w:rsidRPr="006F4180">
        <w:rPr>
          <w:rFonts w:ascii="Times New Roman" w:eastAsia="RMTMI" w:hAnsi="Times New Roman" w:cs="Times New Roman"/>
          <w:sz w:val="24"/>
          <w:szCs w:val="24"/>
        </w:rPr>
        <w:t xml:space="preserve">Our results draw several implications for policymakers, international investors, regulatory authorities, and financial market constituents. For policymakers, findings help </w:t>
      </w:r>
      <w:r w:rsidR="00576EFA" w:rsidRPr="006F4180">
        <w:rPr>
          <w:rFonts w:ascii="Times New Roman" w:eastAsia="RMTMI" w:hAnsi="Times New Roman" w:cs="Times New Roman"/>
          <w:sz w:val="24"/>
          <w:szCs w:val="24"/>
        </w:rPr>
        <w:t>reformulate</w:t>
      </w:r>
      <w:r w:rsidRPr="006F4180">
        <w:rPr>
          <w:rFonts w:ascii="Times New Roman" w:eastAsia="RMTMI" w:hAnsi="Times New Roman" w:cs="Times New Roman"/>
          <w:sz w:val="24"/>
          <w:szCs w:val="24"/>
        </w:rPr>
        <w:t xml:space="preserve"> the existing policies and build decoupling approaches to safeguard the emerging markets from adverse shocks. Moreover, f</w:t>
      </w:r>
      <w:r w:rsidR="00576EFA" w:rsidRPr="006F4180">
        <w:rPr>
          <w:rFonts w:ascii="Times New Roman" w:eastAsia="RMTMI" w:hAnsi="Times New Roman" w:cs="Times New Roman"/>
          <w:sz w:val="24"/>
          <w:szCs w:val="24"/>
        </w:rPr>
        <w:t>indings provide useful diversification opportunities for international investor</w:t>
      </w:r>
      <w:r w:rsidRPr="006F4180">
        <w:rPr>
          <w:rFonts w:ascii="Times New Roman" w:eastAsia="RMTMI" w:hAnsi="Times New Roman" w:cs="Times New Roman"/>
          <w:sz w:val="24"/>
          <w:szCs w:val="24"/>
        </w:rPr>
        <w:t>s to curb the tail-event risk in their investments. Resuming international trade and bilateral relationships across the globe will assist investors a</w:t>
      </w:r>
      <w:r w:rsidR="00576EFA" w:rsidRPr="006F4180">
        <w:rPr>
          <w:rFonts w:ascii="Times New Roman" w:eastAsia="RMTMI" w:hAnsi="Times New Roman" w:cs="Times New Roman"/>
          <w:sz w:val="24"/>
          <w:szCs w:val="24"/>
        </w:rPr>
        <w:t>nd</w:t>
      </w:r>
      <w:r w:rsidRPr="006F4180">
        <w:rPr>
          <w:rFonts w:ascii="Times New Roman" w:eastAsia="RMTMI" w:hAnsi="Times New Roman" w:cs="Times New Roman"/>
          <w:sz w:val="24"/>
          <w:szCs w:val="24"/>
        </w:rPr>
        <w:t xml:space="preserve"> financial market participants </w:t>
      </w:r>
      <w:r w:rsidR="00576EFA" w:rsidRPr="006F4180">
        <w:rPr>
          <w:rFonts w:ascii="Times New Roman" w:eastAsia="RMTMI" w:hAnsi="Times New Roman" w:cs="Times New Roman"/>
          <w:sz w:val="24"/>
          <w:szCs w:val="24"/>
        </w:rPr>
        <w:t>in regaining</w:t>
      </w:r>
      <w:r w:rsidRPr="006F4180">
        <w:rPr>
          <w:rFonts w:ascii="Times New Roman" w:eastAsia="RMTMI" w:hAnsi="Times New Roman" w:cs="Times New Roman"/>
          <w:sz w:val="24"/>
          <w:szCs w:val="24"/>
        </w:rPr>
        <w:t xml:space="preserve"> substantial return</w:t>
      </w:r>
      <w:r w:rsidR="00576EFA" w:rsidRPr="006F4180">
        <w:rPr>
          <w:rFonts w:ascii="Times New Roman" w:eastAsia="RMTMI" w:hAnsi="Times New Roman" w:cs="Times New Roman"/>
          <w:sz w:val="24"/>
          <w:szCs w:val="24"/>
        </w:rPr>
        <w:t>s</w:t>
      </w:r>
      <w:r w:rsidRPr="006F4180">
        <w:rPr>
          <w:rFonts w:ascii="Times New Roman" w:eastAsia="RMTMI" w:hAnsi="Times New Roman" w:cs="Times New Roman"/>
          <w:sz w:val="24"/>
          <w:szCs w:val="24"/>
        </w:rPr>
        <w:t xml:space="preserve"> on their investments. For portfolio management and risk mitigation in the emerging markets stocks, findings play a central role in redesigning the portfolios and including diversifiers to escape the uncertainty in the markets.</w:t>
      </w:r>
    </w:p>
    <w:p w14:paraId="5B22E66F" w14:textId="6E1087B7" w:rsidR="0056181A" w:rsidRPr="009A4091" w:rsidRDefault="00EC2731" w:rsidP="009A4091">
      <w:pPr>
        <w:spacing w:line="360" w:lineRule="auto"/>
        <w:ind w:firstLine="720"/>
        <w:jc w:val="both"/>
        <w:rPr>
          <w:rFonts w:ascii="Times New Roman" w:eastAsia="RMTMI" w:hAnsi="Times New Roman" w:cs="Times New Roman"/>
          <w:color w:val="0070C0"/>
          <w:sz w:val="24"/>
          <w:szCs w:val="24"/>
        </w:rPr>
      </w:pPr>
      <w:bookmarkStart w:id="7" w:name="_Hlk110109187"/>
      <w:r w:rsidRPr="00D6284C">
        <w:rPr>
          <w:rFonts w:ascii="Times New Roman" w:eastAsia="RMTMI" w:hAnsi="Times New Roman" w:cs="Times New Roman"/>
          <w:color w:val="0070C0"/>
          <w:sz w:val="24"/>
          <w:szCs w:val="24"/>
        </w:rPr>
        <w:t xml:space="preserve">Our findings are of particular interest for policymakers, regulatory bodies, investors, financial market participants and fund managers. Policymakers and regulatory bodies can relish the findings of the study by devising useful strategies to mitigate tail risk in the face of uneven circumstances. </w:t>
      </w:r>
      <w:r w:rsidR="006E107B" w:rsidRPr="00D6284C">
        <w:rPr>
          <w:rFonts w:ascii="Times New Roman" w:eastAsia="RMTMI" w:hAnsi="Times New Roman" w:cs="Times New Roman"/>
          <w:color w:val="0070C0"/>
          <w:sz w:val="24"/>
          <w:szCs w:val="24"/>
        </w:rPr>
        <w:t xml:space="preserve">For investors and financial partners, the risk of various investments can be diversified by investing in the stocks which possess greater risk absorption capacity and offset the risk of volatile markets. </w:t>
      </w:r>
      <w:r w:rsidR="00FA2F27" w:rsidRPr="00D6284C">
        <w:rPr>
          <w:rFonts w:ascii="Times New Roman" w:eastAsia="RMTMI" w:hAnsi="Times New Roman" w:cs="Times New Roman"/>
          <w:color w:val="0070C0"/>
          <w:sz w:val="24"/>
          <w:szCs w:val="24"/>
        </w:rPr>
        <w:t xml:space="preserve">Apart from these implications, the study suffers from some limitations, for instance, the study </w:t>
      </w:r>
      <w:r w:rsidR="00F0252A" w:rsidRPr="00D6284C">
        <w:rPr>
          <w:rFonts w:ascii="Times New Roman" w:eastAsia="RMTMI" w:hAnsi="Times New Roman" w:cs="Times New Roman"/>
          <w:color w:val="0070C0"/>
          <w:sz w:val="24"/>
          <w:szCs w:val="24"/>
        </w:rPr>
        <w:t xml:space="preserve">employed the data of only emerging markets to estimate tail-risk. However, as a future research direction, the current study can be conducted in various regional backgrounds with varying economic statistics. </w:t>
      </w:r>
      <w:r w:rsidR="004E7BCF" w:rsidRPr="00D6284C">
        <w:rPr>
          <w:rFonts w:ascii="Times New Roman" w:eastAsia="RMTMI" w:hAnsi="Times New Roman" w:cs="Times New Roman"/>
          <w:color w:val="0070C0"/>
          <w:sz w:val="24"/>
          <w:szCs w:val="24"/>
        </w:rPr>
        <w:t xml:space="preserve">Moreover, the study utilized TENET approach to unveil the mechanism of tail-risk among emerging markets while future studies can employ other statistical methods to emphasize on the aspect of tail risk. </w:t>
      </w:r>
      <w:bookmarkEnd w:id="7"/>
      <w:r w:rsidR="0056181A" w:rsidRPr="006F4180">
        <w:rPr>
          <w:rFonts w:ascii="Times New Roman" w:eastAsiaTheme="minorEastAsia" w:hAnsi="Times New Roman" w:cs="Times New Roman"/>
          <w:sz w:val="24"/>
          <w:szCs w:val="24"/>
          <w:lang w:val="en-NZ"/>
        </w:rPr>
        <w:br w:type="page"/>
      </w:r>
    </w:p>
    <w:p w14:paraId="3DD4EB67" w14:textId="702F4EB6" w:rsidR="00895E0B" w:rsidRPr="009A4091" w:rsidRDefault="00895E0B" w:rsidP="0056181A">
      <w:pPr>
        <w:spacing w:line="360" w:lineRule="auto"/>
        <w:jc w:val="both"/>
        <w:rPr>
          <w:rFonts w:ascii="Times New Roman" w:hAnsi="Times New Roman" w:cs="Times New Roman"/>
          <w:b/>
          <w:bCs/>
          <w:sz w:val="24"/>
          <w:szCs w:val="24"/>
        </w:rPr>
      </w:pPr>
      <w:r w:rsidRPr="006F4180">
        <w:rPr>
          <w:rFonts w:ascii="Times New Roman" w:hAnsi="Times New Roman" w:cs="Times New Roman"/>
          <w:b/>
          <w:bCs/>
          <w:sz w:val="24"/>
          <w:szCs w:val="24"/>
        </w:rPr>
        <w:lastRenderedPageBreak/>
        <w:t>References</w:t>
      </w:r>
    </w:p>
    <w:p w14:paraId="4688ED34" w14:textId="77777777" w:rsidR="00D81AD6" w:rsidRPr="009A4091" w:rsidRDefault="00D81AD6" w:rsidP="00ED7BF0">
      <w:pPr>
        <w:spacing w:line="360" w:lineRule="auto"/>
        <w:jc w:val="both"/>
        <w:rPr>
          <w:rFonts w:ascii="Times New Roman" w:hAnsi="Times New Roman" w:cs="Times New Roman"/>
          <w:sz w:val="24"/>
          <w:szCs w:val="24"/>
          <w:lang w:val="en-NZ"/>
        </w:rPr>
      </w:pPr>
      <w:bookmarkStart w:id="8" w:name="_Hlk80480897"/>
      <w:proofErr w:type="spellStart"/>
      <w:r w:rsidRPr="009A4091">
        <w:rPr>
          <w:rFonts w:ascii="Times New Roman" w:hAnsi="Times New Roman" w:cs="Times New Roman"/>
          <w:sz w:val="24"/>
          <w:szCs w:val="24"/>
          <w:shd w:val="clear" w:color="auto" w:fill="FFFFFF"/>
        </w:rPr>
        <w:t>Abuzayed</w:t>
      </w:r>
      <w:bookmarkEnd w:id="8"/>
      <w:proofErr w:type="spellEnd"/>
      <w:r w:rsidRPr="009A4091">
        <w:rPr>
          <w:rFonts w:ascii="Times New Roman" w:hAnsi="Times New Roman" w:cs="Times New Roman"/>
          <w:sz w:val="24"/>
          <w:szCs w:val="24"/>
          <w:shd w:val="clear" w:color="auto" w:fill="FFFFFF"/>
        </w:rPr>
        <w:t xml:space="preserve">, B., </w:t>
      </w:r>
      <w:proofErr w:type="spellStart"/>
      <w:r w:rsidRPr="009A4091">
        <w:rPr>
          <w:rFonts w:ascii="Times New Roman" w:hAnsi="Times New Roman" w:cs="Times New Roman"/>
          <w:sz w:val="24"/>
          <w:szCs w:val="24"/>
          <w:shd w:val="clear" w:color="auto" w:fill="FFFFFF"/>
        </w:rPr>
        <w:t>Bouri</w:t>
      </w:r>
      <w:proofErr w:type="spellEnd"/>
      <w:r w:rsidRPr="009A4091">
        <w:rPr>
          <w:rFonts w:ascii="Times New Roman" w:hAnsi="Times New Roman" w:cs="Times New Roman"/>
          <w:sz w:val="24"/>
          <w:szCs w:val="24"/>
          <w:shd w:val="clear" w:color="auto" w:fill="FFFFFF"/>
        </w:rPr>
        <w:t>, E., Al-</w:t>
      </w:r>
      <w:proofErr w:type="spellStart"/>
      <w:r w:rsidRPr="009A4091">
        <w:rPr>
          <w:rFonts w:ascii="Times New Roman" w:hAnsi="Times New Roman" w:cs="Times New Roman"/>
          <w:sz w:val="24"/>
          <w:szCs w:val="24"/>
          <w:shd w:val="clear" w:color="auto" w:fill="FFFFFF"/>
        </w:rPr>
        <w:t>Fayoumi</w:t>
      </w:r>
      <w:proofErr w:type="spellEnd"/>
      <w:r w:rsidRPr="009A4091">
        <w:rPr>
          <w:rFonts w:ascii="Times New Roman" w:hAnsi="Times New Roman" w:cs="Times New Roman"/>
          <w:sz w:val="24"/>
          <w:szCs w:val="24"/>
          <w:shd w:val="clear" w:color="auto" w:fill="FFFFFF"/>
        </w:rPr>
        <w:t xml:space="preserve">, N., &amp; </w:t>
      </w:r>
      <w:proofErr w:type="spellStart"/>
      <w:r w:rsidRPr="009A4091">
        <w:rPr>
          <w:rFonts w:ascii="Times New Roman" w:hAnsi="Times New Roman" w:cs="Times New Roman"/>
          <w:sz w:val="24"/>
          <w:szCs w:val="24"/>
          <w:shd w:val="clear" w:color="auto" w:fill="FFFFFF"/>
        </w:rPr>
        <w:t>Jalkh</w:t>
      </w:r>
      <w:proofErr w:type="spellEnd"/>
      <w:r w:rsidRPr="009A4091">
        <w:rPr>
          <w:rFonts w:ascii="Times New Roman" w:hAnsi="Times New Roman" w:cs="Times New Roman"/>
          <w:sz w:val="24"/>
          <w:szCs w:val="24"/>
          <w:shd w:val="clear" w:color="auto" w:fill="FFFFFF"/>
        </w:rPr>
        <w:t>, N. (2021). Systemic risk spillover across global and country stock markets during the COVID-19 pandemic. </w:t>
      </w:r>
      <w:r w:rsidRPr="009A4091">
        <w:rPr>
          <w:rFonts w:ascii="Times New Roman" w:hAnsi="Times New Roman" w:cs="Times New Roman"/>
          <w:i/>
          <w:iCs/>
          <w:sz w:val="24"/>
          <w:szCs w:val="24"/>
          <w:shd w:val="clear" w:color="auto" w:fill="FFFFFF"/>
        </w:rPr>
        <w:t>Economic Analysis and Policy</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71</w:t>
      </w:r>
      <w:r w:rsidRPr="009A4091">
        <w:rPr>
          <w:rFonts w:ascii="Times New Roman" w:hAnsi="Times New Roman" w:cs="Times New Roman"/>
          <w:sz w:val="24"/>
          <w:szCs w:val="24"/>
          <w:shd w:val="clear" w:color="auto" w:fill="FFFFFF"/>
        </w:rPr>
        <w:t>, 180-197.</w:t>
      </w:r>
    </w:p>
    <w:p w14:paraId="0E00AD36"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Acharya, V., Engle, R., &amp; Richardson, M. (2012). Capital shortfall: A new approach to ranking and regulating systemic risks. </w:t>
      </w:r>
      <w:r w:rsidRPr="009A4091">
        <w:rPr>
          <w:rFonts w:ascii="Times New Roman" w:hAnsi="Times New Roman" w:cs="Times New Roman"/>
          <w:i/>
          <w:iCs/>
          <w:sz w:val="24"/>
          <w:szCs w:val="24"/>
          <w:shd w:val="clear" w:color="auto" w:fill="FFFFFF"/>
        </w:rPr>
        <w:t>American Economic Review</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102</w:t>
      </w:r>
      <w:r w:rsidRPr="009A4091">
        <w:rPr>
          <w:rFonts w:ascii="Times New Roman" w:hAnsi="Times New Roman" w:cs="Times New Roman"/>
          <w:sz w:val="24"/>
          <w:szCs w:val="24"/>
          <w:shd w:val="clear" w:color="auto" w:fill="FFFFFF"/>
        </w:rPr>
        <w:t>(3), 59-64.</w:t>
      </w:r>
    </w:p>
    <w:p w14:paraId="4B01AD29"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Adrian, T., &amp; </w:t>
      </w:r>
      <w:proofErr w:type="spellStart"/>
      <w:r w:rsidRPr="009A4091">
        <w:rPr>
          <w:rFonts w:ascii="Times New Roman" w:hAnsi="Times New Roman" w:cs="Times New Roman"/>
          <w:sz w:val="24"/>
          <w:szCs w:val="24"/>
          <w:shd w:val="clear" w:color="auto" w:fill="FFFFFF"/>
        </w:rPr>
        <w:t>Brunnermeier</w:t>
      </w:r>
      <w:proofErr w:type="spellEnd"/>
      <w:r w:rsidRPr="009A4091">
        <w:rPr>
          <w:rFonts w:ascii="Times New Roman" w:hAnsi="Times New Roman" w:cs="Times New Roman"/>
          <w:sz w:val="24"/>
          <w:szCs w:val="24"/>
          <w:shd w:val="clear" w:color="auto" w:fill="FFFFFF"/>
        </w:rPr>
        <w:t xml:space="preserve">, M. K. (2011). </w:t>
      </w:r>
      <w:proofErr w:type="spellStart"/>
      <w:r w:rsidRPr="009A4091">
        <w:rPr>
          <w:rFonts w:ascii="Times New Roman" w:hAnsi="Times New Roman" w:cs="Times New Roman"/>
          <w:sz w:val="24"/>
          <w:szCs w:val="24"/>
          <w:shd w:val="clear" w:color="auto" w:fill="FFFFFF"/>
        </w:rPr>
        <w:t>CoVaR</w:t>
      </w:r>
      <w:proofErr w:type="spellEnd"/>
      <w:r w:rsidRPr="009A4091">
        <w:rPr>
          <w:rFonts w:ascii="Times New Roman" w:hAnsi="Times New Roman" w:cs="Times New Roman"/>
          <w:sz w:val="24"/>
          <w:szCs w:val="24"/>
          <w:shd w:val="clear" w:color="auto" w:fill="FFFFFF"/>
        </w:rPr>
        <w:t>. Federal Reserve Bank of New York Staff Report No. 348.</w:t>
      </w:r>
    </w:p>
    <w:p w14:paraId="1A5CCEBF" w14:textId="77777777" w:rsidR="00D81AD6" w:rsidRPr="009A4091" w:rsidRDefault="00D81AD6" w:rsidP="00ED7BF0">
      <w:pPr>
        <w:spacing w:line="360" w:lineRule="auto"/>
        <w:jc w:val="both"/>
        <w:rPr>
          <w:rFonts w:ascii="Times New Roman" w:hAnsi="Times New Roman" w:cs="Times New Roman"/>
          <w:sz w:val="24"/>
          <w:szCs w:val="24"/>
        </w:rPr>
      </w:pPr>
      <w:r w:rsidRPr="009A4091">
        <w:rPr>
          <w:rFonts w:ascii="Times New Roman" w:hAnsi="Times New Roman" w:cs="Times New Roman"/>
          <w:sz w:val="24"/>
          <w:szCs w:val="24"/>
          <w:shd w:val="clear" w:color="auto" w:fill="FFFFFF"/>
        </w:rPr>
        <w:t>Ahmed, R. I., Zhao, G., &amp; Habiba, U. (2021). Dynamics of Return Linkages and Asymmetric Volatility Spillovers among Asian Emerging Stock Markets. </w:t>
      </w:r>
      <w:r w:rsidRPr="009A4091">
        <w:rPr>
          <w:rFonts w:ascii="Times New Roman" w:hAnsi="Times New Roman" w:cs="Times New Roman"/>
          <w:i/>
          <w:iCs/>
          <w:sz w:val="24"/>
          <w:szCs w:val="24"/>
          <w:shd w:val="clear" w:color="auto" w:fill="FFFFFF"/>
        </w:rPr>
        <w:t>The Chinese Economy</w:t>
      </w:r>
      <w:r w:rsidRPr="009A4091">
        <w:rPr>
          <w:rFonts w:ascii="Times New Roman" w:hAnsi="Times New Roman" w:cs="Times New Roman"/>
          <w:sz w:val="24"/>
          <w:szCs w:val="24"/>
          <w:shd w:val="clear" w:color="auto" w:fill="FFFFFF"/>
        </w:rPr>
        <w:t>, 1-12.</w:t>
      </w:r>
    </w:p>
    <w:p w14:paraId="27E1E33A" w14:textId="619D4D70" w:rsidR="001168F5" w:rsidRPr="009A4091" w:rsidRDefault="001168F5" w:rsidP="001168F5">
      <w:pPr>
        <w:pStyle w:val="EndNoteBibliography"/>
        <w:spacing w:after="0"/>
        <w:rPr>
          <w:rFonts w:ascii="Times New Roman" w:hAnsi="Times New Roman" w:cs="Times New Roman"/>
          <w:color w:val="222222"/>
          <w:sz w:val="24"/>
          <w:szCs w:val="24"/>
          <w:shd w:val="clear" w:color="auto" w:fill="FFFFFF"/>
        </w:rPr>
      </w:pPr>
      <w:bookmarkStart w:id="9" w:name="_Hlk80496067"/>
      <w:r w:rsidRPr="009A4091">
        <w:rPr>
          <w:rFonts w:ascii="Times New Roman" w:hAnsi="Times New Roman" w:cs="Times New Roman"/>
          <w:color w:val="222222"/>
          <w:sz w:val="24"/>
          <w:szCs w:val="24"/>
          <w:shd w:val="clear" w:color="auto" w:fill="FFFFFF"/>
        </w:rPr>
        <w:t>Alawi, S. M., Karim, S., Meero, A. A., Rabbani, M. R., &amp; Naeem, M. A. (2022). Information transmission in regional energy stock markets. </w:t>
      </w:r>
      <w:r w:rsidRPr="009A4091">
        <w:rPr>
          <w:rFonts w:ascii="Times New Roman" w:hAnsi="Times New Roman" w:cs="Times New Roman"/>
          <w:i/>
          <w:iCs/>
          <w:color w:val="222222"/>
          <w:sz w:val="24"/>
          <w:szCs w:val="24"/>
          <w:shd w:val="clear" w:color="auto" w:fill="FFFFFF"/>
        </w:rPr>
        <w:t>Environmental Science and Pollution Research</w:t>
      </w:r>
      <w:r w:rsidRPr="009A4091">
        <w:rPr>
          <w:rFonts w:ascii="Times New Roman" w:hAnsi="Times New Roman" w:cs="Times New Roman"/>
          <w:color w:val="222222"/>
          <w:sz w:val="24"/>
          <w:szCs w:val="24"/>
          <w:shd w:val="clear" w:color="auto" w:fill="FFFFFF"/>
        </w:rPr>
        <w:t>, 1-13.</w:t>
      </w:r>
    </w:p>
    <w:p w14:paraId="6AB0AF28" w14:textId="77777777" w:rsidR="001168F5" w:rsidRPr="009A4091" w:rsidRDefault="001168F5" w:rsidP="001168F5">
      <w:pPr>
        <w:pStyle w:val="EndNoteBibliography"/>
        <w:spacing w:after="0"/>
        <w:rPr>
          <w:rFonts w:ascii="Times New Roman" w:hAnsi="Times New Roman" w:cs="Times New Roman"/>
          <w:sz w:val="24"/>
          <w:szCs w:val="24"/>
        </w:rPr>
      </w:pPr>
    </w:p>
    <w:p w14:paraId="0442189C" w14:textId="388D82DB" w:rsidR="00D81AD6" w:rsidRPr="009A4091" w:rsidRDefault="00D81AD6" w:rsidP="00ED7BF0">
      <w:pPr>
        <w:spacing w:line="360" w:lineRule="auto"/>
        <w:jc w:val="both"/>
        <w:rPr>
          <w:rFonts w:ascii="Times New Roman" w:hAnsi="Times New Roman" w:cs="Times New Roman"/>
          <w:sz w:val="24"/>
          <w:szCs w:val="24"/>
        </w:rPr>
      </w:pPr>
      <w:r w:rsidRPr="009A4091">
        <w:rPr>
          <w:rFonts w:ascii="Times New Roman" w:hAnsi="Times New Roman" w:cs="Times New Roman"/>
          <w:sz w:val="24"/>
          <w:szCs w:val="24"/>
          <w:shd w:val="clear" w:color="auto" w:fill="FFFFFF"/>
        </w:rPr>
        <w:t>Alotaibi, A. R., &amp; Mishra, A. V. (2015</w:t>
      </w:r>
      <w:bookmarkEnd w:id="9"/>
      <w:r w:rsidRPr="009A4091">
        <w:rPr>
          <w:rFonts w:ascii="Times New Roman" w:hAnsi="Times New Roman" w:cs="Times New Roman"/>
          <w:sz w:val="24"/>
          <w:szCs w:val="24"/>
          <w:shd w:val="clear" w:color="auto" w:fill="FFFFFF"/>
        </w:rPr>
        <w:t>). Global and regional volatility spillovers to GCC</w:t>
      </w:r>
      <w:r w:rsidR="00D6284C" w:rsidRPr="009A4091">
        <w:rPr>
          <w:rFonts w:ascii="Times New Roman" w:hAnsi="Times New Roman" w:cs="Times New Roman"/>
          <w:sz w:val="24"/>
          <w:szCs w:val="24"/>
          <w:shd w:val="clear" w:color="auto" w:fill="FFFFFF"/>
        </w:rPr>
        <w:t xml:space="preserve"> </w:t>
      </w:r>
      <w:r w:rsidRPr="009A4091">
        <w:rPr>
          <w:rFonts w:ascii="Times New Roman" w:hAnsi="Times New Roman" w:cs="Times New Roman"/>
          <w:sz w:val="24"/>
          <w:szCs w:val="24"/>
          <w:shd w:val="clear" w:color="auto" w:fill="FFFFFF"/>
        </w:rPr>
        <w:t>stock markets. </w:t>
      </w:r>
      <w:r w:rsidRPr="009A4091">
        <w:rPr>
          <w:rFonts w:ascii="Times New Roman" w:hAnsi="Times New Roman" w:cs="Times New Roman"/>
          <w:i/>
          <w:iCs/>
          <w:sz w:val="24"/>
          <w:szCs w:val="24"/>
          <w:shd w:val="clear" w:color="auto" w:fill="FFFFFF"/>
        </w:rPr>
        <w:t>Economic Modelling</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45</w:t>
      </w:r>
      <w:r w:rsidRPr="009A4091">
        <w:rPr>
          <w:rFonts w:ascii="Times New Roman" w:hAnsi="Times New Roman" w:cs="Times New Roman"/>
          <w:sz w:val="24"/>
          <w:szCs w:val="24"/>
          <w:shd w:val="clear" w:color="auto" w:fill="FFFFFF"/>
        </w:rPr>
        <w:t>, 38-49.</w:t>
      </w:r>
    </w:p>
    <w:p w14:paraId="76B6BA03" w14:textId="77777777" w:rsidR="00D81AD6" w:rsidRPr="009A4091" w:rsidRDefault="00D81AD6" w:rsidP="00ED7BF0">
      <w:pPr>
        <w:spacing w:line="360" w:lineRule="auto"/>
        <w:jc w:val="both"/>
        <w:rPr>
          <w:rFonts w:ascii="Times New Roman" w:hAnsi="Times New Roman" w:cs="Times New Roman"/>
          <w:sz w:val="24"/>
          <w:szCs w:val="24"/>
        </w:rPr>
      </w:pPr>
      <w:proofErr w:type="spellStart"/>
      <w:r w:rsidRPr="009A4091">
        <w:rPr>
          <w:rFonts w:ascii="Times New Roman" w:hAnsi="Times New Roman" w:cs="Times New Roman"/>
          <w:sz w:val="24"/>
          <w:szCs w:val="24"/>
        </w:rPr>
        <w:t>Aloui</w:t>
      </w:r>
      <w:proofErr w:type="spellEnd"/>
      <w:r w:rsidRPr="009A4091">
        <w:rPr>
          <w:rFonts w:ascii="Times New Roman" w:hAnsi="Times New Roman" w:cs="Times New Roman"/>
          <w:sz w:val="24"/>
          <w:szCs w:val="24"/>
        </w:rPr>
        <w:t>, C. (2011). Latin American stock markets’ volatility spillovers during the financial crises: a multivariate FIAPARCH-DCC framework. </w:t>
      </w:r>
      <w:r w:rsidRPr="009A4091">
        <w:rPr>
          <w:rFonts w:ascii="Times New Roman" w:hAnsi="Times New Roman" w:cs="Times New Roman"/>
          <w:i/>
          <w:iCs/>
          <w:sz w:val="24"/>
          <w:szCs w:val="24"/>
        </w:rPr>
        <w:t>Macroeconomics and Finance in Emerging Market Economies</w:t>
      </w:r>
      <w:r w:rsidRPr="009A4091">
        <w:rPr>
          <w:rFonts w:ascii="Times New Roman" w:hAnsi="Times New Roman" w:cs="Times New Roman"/>
          <w:sz w:val="24"/>
          <w:szCs w:val="24"/>
        </w:rPr>
        <w:t>, </w:t>
      </w:r>
      <w:r w:rsidRPr="009A4091">
        <w:rPr>
          <w:rFonts w:ascii="Times New Roman" w:hAnsi="Times New Roman" w:cs="Times New Roman"/>
          <w:i/>
          <w:iCs/>
          <w:sz w:val="24"/>
          <w:szCs w:val="24"/>
        </w:rPr>
        <w:t>4</w:t>
      </w:r>
      <w:r w:rsidRPr="009A4091">
        <w:rPr>
          <w:rFonts w:ascii="Times New Roman" w:hAnsi="Times New Roman" w:cs="Times New Roman"/>
          <w:sz w:val="24"/>
          <w:szCs w:val="24"/>
        </w:rPr>
        <w:t>(2), 289-326.</w:t>
      </w:r>
    </w:p>
    <w:p w14:paraId="474968C3" w14:textId="77777777" w:rsidR="00FF65DC" w:rsidRPr="009A4091" w:rsidRDefault="00D81AD6" w:rsidP="00FF65DC">
      <w:pPr>
        <w:spacing w:line="360" w:lineRule="auto"/>
        <w:jc w:val="both"/>
        <w:rPr>
          <w:rFonts w:ascii="Times New Roman" w:hAnsi="Times New Roman" w:cs="Times New Roman"/>
          <w:sz w:val="24"/>
          <w:szCs w:val="24"/>
        </w:rPr>
      </w:pPr>
      <w:bookmarkStart w:id="10" w:name="_Hlk80485182"/>
      <w:proofErr w:type="spellStart"/>
      <w:r w:rsidRPr="009A4091">
        <w:rPr>
          <w:rFonts w:ascii="Times New Roman" w:hAnsi="Times New Roman" w:cs="Times New Roman"/>
          <w:sz w:val="24"/>
          <w:szCs w:val="24"/>
        </w:rPr>
        <w:t>Alqaralleh</w:t>
      </w:r>
      <w:bookmarkEnd w:id="10"/>
      <w:proofErr w:type="spellEnd"/>
      <w:r w:rsidRPr="009A4091">
        <w:rPr>
          <w:rFonts w:ascii="Times New Roman" w:hAnsi="Times New Roman" w:cs="Times New Roman"/>
          <w:sz w:val="24"/>
          <w:szCs w:val="24"/>
        </w:rPr>
        <w:t xml:space="preserve">, H., </w:t>
      </w:r>
      <w:proofErr w:type="spellStart"/>
      <w:r w:rsidRPr="009A4091">
        <w:rPr>
          <w:rFonts w:ascii="Times New Roman" w:hAnsi="Times New Roman" w:cs="Times New Roman"/>
          <w:sz w:val="24"/>
          <w:szCs w:val="24"/>
        </w:rPr>
        <w:t>Awadallah</w:t>
      </w:r>
      <w:proofErr w:type="spellEnd"/>
      <w:r w:rsidRPr="009A4091">
        <w:rPr>
          <w:rFonts w:ascii="Times New Roman" w:hAnsi="Times New Roman" w:cs="Times New Roman"/>
          <w:sz w:val="24"/>
          <w:szCs w:val="24"/>
        </w:rPr>
        <w:t>, D., &amp; Al-</w:t>
      </w:r>
      <w:proofErr w:type="spellStart"/>
      <w:r w:rsidRPr="009A4091">
        <w:rPr>
          <w:rFonts w:ascii="Times New Roman" w:hAnsi="Times New Roman" w:cs="Times New Roman"/>
          <w:sz w:val="24"/>
          <w:szCs w:val="24"/>
        </w:rPr>
        <w:t>Ma'aitah</w:t>
      </w:r>
      <w:proofErr w:type="spellEnd"/>
      <w:r w:rsidRPr="009A4091">
        <w:rPr>
          <w:rFonts w:ascii="Times New Roman" w:hAnsi="Times New Roman" w:cs="Times New Roman"/>
          <w:sz w:val="24"/>
          <w:szCs w:val="24"/>
        </w:rPr>
        <w:t>, N. (2019). Dynamic asymmetric financial connectedness under tail dependence and rendered time variance: Selected evidence from emerging MENA stock markets. </w:t>
      </w:r>
      <w:proofErr w:type="spellStart"/>
      <w:r w:rsidRPr="009A4091">
        <w:rPr>
          <w:rFonts w:ascii="Times New Roman" w:hAnsi="Times New Roman" w:cs="Times New Roman"/>
          <w:i/>
          <w:iCs/>
          <w:sz w:val="24"/>
          <w:szCs w:val="24"/>
        </w:rPr>
        <w:t>Borsa</w:t>
      </w:r>
      <w:proofErr w:type="spellEnd"/>
      <w:r w:rsidRPr="009A4091">
        <w:rPr>
          <w:rFonts w:ascii="Times New Roman" w:hAnsi="Times New Roman" w:cs="Times New Roman"/>
          <w:i/>
          <w:iCs/>
          <w:sz w:val="24"/>
          <w:szCs w:val="24"/>
        </w:rPr>
        <w:t xml:space="preserve"> Istanbul Review</w:t>
      </w:r>
      <w:r w:rsidRPr="009A4091">
        <w:rPr>
          <w:rFonts w:ascii="Times New Roman" w:hAnsi="Times New Roman" w:cs="Times New Roman"/>
          <w:sz w:val="24"/>
          <w:szCs w:val="24"/>
        </w:rPr>
        <w:t>, </w:t>
      </w:r>
      <w:r w:rsidRPr="009A4091">
        <w:rPr>
          <w:rFonts w:ascii="Times New Roman" w:hAnsi="Times New Roman" w:cs="Times New Roman"/>
          <w:i/>
          <w:iCs/>
          <w:sz w:val="24"/>
          <w:szCs w:val="24"/>
        </w:rPr>
        <w:t>19</w:t>
      </w:r>
      <w:r w:rsidRPr="009A4091">
        <w:rPr>
          <w:rFonts w:ascii="Times New Roman" w:hAnsi="Times New Roman" w:cs="Times New Roman"/>
          <w:sz w:val="24"/>
          <w:szCs w:val="24"/>
        </w:rPr>
        <w:t>(4), 323-330</w:t>
      </w:r>
      <w:r w:rsidR="00FF65DC" w:rsidRPr="009A4091">
        <w:rPr>
          <w:rFonts w:ascii="Times New Roman" w:hAnsi="Times New Roman" w:cs="Times New Roman"/>
          <w:sz w:val="24"/>
          <w:szCs w:val="24"/>
        </w:rPr>
        <w:t>.</w:t>
      </w:r>
    </w:p>
    <w:p w14:paraId="21D96910" w14:textId="6644E4B8" w:rsidR="003C061A" w:rsidRPr="009A4091" w:rsidRDefault="003C061A" w:rsidP="00FF65DC">
      <w:pPr>
        <w:spacing w:line="360" w:lineRule="auto"/>
        <w:jc w:val="both"/>
        <w:rPr>
          <w:rFonts w:ascii="Times New Roman" w:hAnsi="Times New Roman" w:cs="Times New Roman"/>
          <w:sz w:val="24"/>
          <w:szCs w:val="24"/>
        </w:rPr>
      </w:pPr>
      <w:proofErr w:type="spellStart"/>
      <w:r w:rsidRPr="009A4091">
        <w:rPr>
          <w:rFonts w:ascii="Times New Roman" w:hAnsi="Times New Roman" w:cs="Times New Roman"/>
          <w:color w:val="222222"/>
          <w:sz w:val="24"/>
          <w:szCs w:val="24"/>
          <w:shd w:val="clear" w:color="auto" w:fill="FFFFFF"/>
        </w:rPr>
        <w:t>Anwer</w:t>
      </w:r>
      <w:proofErr w:type="spellEnd"/>
      <w:r w:rsidRPr="009A4091">
        <w:rPr>
          <w:rFonts w:ascii="Times New Roman" w:hAnsi="Times New Roman" w:cs="Times New Roman"/>
          <w:color w:val="222222"/>
          <w:sz w:val="24"/>
          <w:szCs w:val="24"/>
          <w:shd w:val="clear" w:color="auto" w:fill="FFFFFF"/>
        </w:rPr>
        <w:t>, Z., Naeem, M. A., Hassan, M. K., &amp; Karim, S. (2022). Asymmetric connectedness across Asia-Pacific currencies: Evidence from time-frequency domain analysis. </w:t>
      </w:r>
      <w:r w:rsidRPr="009A4091">
        <w:rPr>
          <w:rFonts w:ascii="Times New Roman" w:hAnsi="Times New Roman" w:cs="Times New Roman"/>
          <w:i/>
          <w:iCs/>
          <w:color w:val="222222"/>
          <w:sz w:val="24"/>
          <w:szCs w:val="24"/>
          <w:shd w:val="clear" w:color="auto" w:fill="FFFFFF"/>
        </w:rPr>
        <w:t>Finance Research Letters</w:t>
      </w:r>
      <w:r w:rsidRPr="009A4091">
        <w:rPr>
          <w:rFonts w:ascii="Times New Roman" w:hAnsi="Times New Roman" w:cs="Times New Roman"/>
          <w:color w:val="222222"/>
          <w:sz w:val="24"/>
          <w:szCs w:val="24"/>
          <w:shd w:val="clear" w:color="auto" w:fill="FFFFFF"/>
        </w:rPr>
        <w:t>, 102782.</w:t>
      </w:r>
    </w:p>
    <w:p w14:paraId="646B1745" w14:textId="6E130396" w:rsidR="00D81AD6" w:rsidRPr="009A4091" w:rsidRDefault="00D81AD6" w:rsidP="0056181A">
      <w:pPr>
        <w:spacing w:line="360" w:lineRule="auto"/>
        <w:jc w:val="both"/>
        <w:rPr>
          <w:rFonts w:ascii="Times New Roman" w:hAnsi="Times New Roman" w:cs="Times New Roman"/>
          <w:sz w:val="24"/>
          <w:szCs w:val="24"/>
          <w:lang w:val="en-NZ"/>
        </w:rPr>
      </w:pPr>
      <w:r w:rsidRPr="009A4091">
        <w:rPr>
          <w:rFonts w:ascii="Times New Roman" w:hAnsi="Times New Roman" w:cs="Times New Roman"/>
          <w:sz w:val="24"/>
          <w:szCs w:val="24"/>
          <w:shd w:val="clear" w:color="auto" w:fill="FFFFFF"/>
        </w:rPr>
        <w:t xml:space="preserve">Ashraf, B. N. (2020). Stock markets’ reaction to COVID-19: Cases or </w:t>
      </w:r>
      <w:proofErr w:type="gramStart"/>
      <w:r w:rsidRPr="009A4091">
        <w:rPr>
          <w:rFonts w:ascii="Times New Roman" w:hAnsi="Times New Roman" w:cs="Times New Roman"/>
          <w:sz w:val="24"/>
          <w:szCs w:val="24"/>
          <w:shd w:val="clear" w:color="auto" w:fill="FFFFFF"/>
        </w:rPr>
        <w:t>fatalities?.</w:t>
      </w:r>
      <w:proofErr w:type="gramEnd"/>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Research in International Business and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54</w:t>
      </w:r>
      <w:r w:rsidRPr="009A4091">
        <w:rPr>
          <w:rFonts w:ascii="Times New Roman" w:hAnsi="Times New Roman" w:cs="Times New Roman"/>
          <w:sz w:val="24"/>
          <w:szCs w:val="24"/>
          <w:shd w:val="clear" w:color="auto" w:fill="FFFFFF"/>
        </w:rPr>
        <w:t>, 101249.</w:t>
      </w:r>
    </w:p>
    <w:p w14:paraId="7B68AC6C"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Asness</w:t>
      </w:r>
      <w:proofErr w:type="spellEnd"/>
      <w:r w:rsidRPr="009A4091">
        <w:rPr>
          <w:rFonts w:ascii="Times New Roman" w:hAnsi="Times New Roman" w:cs="Times New Roman"/>
          <w:sz w:val="24"/>
          <w:szCs w:val="24"/>
          <w:shd w:val="clear" w:color="auto" w:fill="FFFFFF"/>
        </w:rPr>
        <w:t xml:space="preserve">, C. S., </w:t>
      </w:r>
      <w:proofErr w:type="spellStart"/>
      <w:r w:rsidRPr="009A4091">
        <w:rPr>
          <w:rFonts w:ascii="Times New Roman" w:hAnsi="Times New Roman" w:cs="Times New Roman"/>
          <w:sz w:val="24"/>
          <w:szCs w:val="24"/>
          <w:shd w:val="clear" w:color="auto" w:fill="FFFFFF"/>
        </w:rPr>
        <w:t>Israelov</w:t>
      </w:r>
      <w:proofErr w:type="spellEnd"/>
      <w:r w:rsidRPr="009A4091">
        <w:rPr>
          <w:rFonts w:ascii="Times New Roman" w:hAnsi="Times New Roman" w:cs="Times New Roman"/>
          <w:sz w:val="24"/>
          <w:szCs w:val="24"/>
          <w:shd w:val="clear" w:color="auto" w:fill="FFFFFF"/>
        </w:rPr>
        <w:t>, R., &amp; Liew, J. M. (2011). International diversification works (eventually). </w:t>
      </w:r>
      <w:r w:rsidRPr="009A4091">
        <w:rPr>
          <w:rFonts w:ascii="Times New Roman" w:hAnsi="Times New Roman" w:cs="Times New Roman"/>
          <w:i/>
          <w:iCs/>
          <w:sz w:val="24"/>
          <w:szCs w:val="24"/>
          <w:shd w:val="clear" w:color="auto" w:fill="FFFFFF"/>
        </w:rPr>
        <w:t>Financial Analysts Journal</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67</w:t>
      </w:r>
      <w:r w:rsidRPr="009A4091">
        <w:rPr>
          <w:rFonts w:ascii="Times New Roman" w:hAnsi="Times New Roman" w:cs="Times New Roman"/>
          <w:sz w:val="24"/>
          <w:szCs w:val="24"/>
          <w:shd w:val="clear" w:color="auto" w:fill="FFFFFF"/>
        </w:rPr>
        <w:t>(3), 24-38.</w:t>
      </w:r>
    </w:p>
    <w:p w14:paraId="3E0422D7" w14:textId="65B0337F" w:rsidR="00FF65DC" w:rsidRPr="009A4091" w:rsidRDefault="00FF65DC" w:rsidP="0056181A">
      <w:pPr>
        <w:spacing w:line="360" w:lineRule="auto"/>
        <w:jc w:val="both"/>
        <w:rPr>
          <w:rFonts w:ascii="Times New Roman" w:hAnsi="Times New Roman" w:cs="Times New Roman"/>
          <w:color w:val="0070C0"/>
          <w:sz w:val="24"/>
          <w:szCs w:val="24"/>
          <w:shd w:val="clear" w:color="auto" w:fill="FFFFFF"/>
        </w:rPr>
      </w:pPr>
      <w:bookmarkStart w:id="11" w:name="_Hlk80486044"/>
      <w:proofErr w:type="spellStart"/>
      <w:r w:rsidRPr="009A4091">
        <w:rPr>
          <w:rFonts w:ascii="Times New Roman" w:hAnsi="Times New Roman" w:cs="Times New Roman"/>
          <w:color w:val="0070C0"/>
          <w:sz w:val="24"/>
          <w:szCs w:val="24"/>
          <w:shd w:val="clear" w:color="auto" w:fill="FFFFFF"/>
        </w:rPr>
        <w:lastRenderedPageBreak/>
        <w:t>Atilgan</w:t>
      </w:r>
      <w:proofErr w:type="spellEnd"/>
      <w:r w:rsidRPr="009A4091">
        <w:rPr>
          <w:rFonts w:ascii="Times New Roman" w:hAnsi="Times New Roman" w:cs="Times New Roman"/>
          <w:color w:val="0070C0"/>
          <w:sz w:val="24"/>
          <w:szCs w:val="24"/>
          <w:shd w:val="clear" w:color="auto" w:fill="FFFFFF"/>
        </w:rPr>
        <w:t xml:space="preserve">, Y., Bali, T. G., </w:t>
      </w:r>
      <w:proofErr w:type="spellStart"/>
      <w:r w:rsidRPr="009A4091">
        <w:rPr>
          <w:rFonts w:ascii="Times New Roman" w:hAnsi="Times New Roman" w:cs="Times New Roman"/>
          <w:color w:val="0070C0"/>
          <w:sz w:val="24"/>
          <w:szCs w:val="24"/>
          <w:shd w:val="clear" w:color="auto" w:fill="FFFFFF"/>
        </w:rPr>
        <w:t>Demirtas</w:t>
      </w:r>
      <w:proofErr w:type="spellEnd"/>
      <w:r w:rsidRPr="009A4091">
        <w:rPr>
          <w:rFonts w:ascii="Times New Roman" w:hAnsi="Times New Roman" w:cs="Times New Roman"/>
          <w:color w:val="0070C0"/>
          <w:sz w:val="24"/>
          <w:szCs w:val="24"/>
          <w:shd w:val="clear" w:color="auto" w:fill="FFFFFF"/>
        </w:rPr>
        <w:t xml:space="preserve">, K. O., &amp; </w:t>
      </w:r>
      <w:proofErr w:type="spellStart"/>
      <w:r w:rsidRPr="009A4091">
        <w:rPr>
          <w:rFonts w:ascii="Times New Roman" w:hAnsi="Times New Roman" w:cs="Times New Roman"/>
          <w:color w:val="0070C0"/>
          <w:sz w:val="24"/>
          <w:szCs w:val="24"/>
          <w:shd w:val="clear" w:color="auto" w:fill="FFFFFF"/>
        </w:rPr>
        <w:t>Gunaydin</w:t>
      </w:r>
      <w:proofErr w:type="spellEnd"/>
      <w:r w:rsidRPr="009A4091">
        <w:rPr>
          <w:rFonts w:ascii="Times New Roman" w:hAnsi="Times New Roman" w:cs="Times New Roman"/>
          <w:color w:val="0070C0"/>
          <w:sz w:val="24"/>
          <w:szCs w:val="24"/>
          <w:shd w:val="clear" w:color="auto" w:fill="FFFFFF"/>
        </w:rPr>
        <w:t>, A. D. (2020). Left-tail momentum: Underreaction to bad news, costly arbitrage and equity returns. </w:t>
      </w:r>
      <w:r w:rsidRPr="009A4091">
        <w:rPr>
          <w:rFonts w:ascii="Times New Roman" w:hAnsi="Times New Roman" w:cs="Times New Roman"/>
          <w:i/>
          <w:iCs/>
          <w:color w:val="0070C0"/>
          <w:sz w:val="24"/>
          <w:szCs w:val="24"/>
          <w:shd w:val="clear" w:color="auto" w:fill="FFFFFF"/>
        </w:rPr>
        <w:t>Journal of Financial Economics</w:t>
      </w:r>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135</w:t>
      </w:r>
      <w:r w:rsidRPr="009A4091">
        <w:rPr>
          <w:rFonts w:ascii="Times New Roman" w:hAnsi="Times New Roman" w:cs="Times New Roman"/>
          <w:color w:val="0070C0"/>
          <w:sz w:val="24"/>
          <w:szCs w:val="24"/>
          <w:shd w:val="clear" w:color="auto" w:fill="FFFFFF"/>
        </w:rPr>
        <w:t>(3), 725-753.</w:t>
      </w:r>
    </w:p>
    <w:p w14:paraId="79AB9CD3" w14:textId="7C07458D"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Avramov</w:t>
      </w:r>
      <w:proofErr w:type="spellEnd"/>
      <w:r w:rsidRPr="009A4091">
        <w:rPr>
          <w:rFonts w:ascii="Times New Roman" w:hAnsi="Times New Roman" w:cs="Times New Roman"/>
          <w:sz w:val="24"/>
          <w:szCs w:val="24"/>
          <w:shd w:val="clear" w:color="auto" w:fill="FFFFFF"/>
        </w:rPr>
        <w:t xml:space="preserve">, D., Chordia, T., </w:t>
      </w:r>
      <w:proofErr w:type="spellStart"/>
      <w:r w:rsidRPr="009A4091">
        <w:rPr>
          <w:rFonts w:ascii="Times New Roman" w:hAnsi="Times New Roman" w:cs="Times New Roman"/>
          <w:sz w:val="24"/>
          <w:szCs w:val="24"/>
          <w:shd w:val="clear" w:color="auto" w:fill="FFFFFF"/>
        </w:rPr>
        <w:t>Jostova</w:t>
      </w:r>
      <w:proofErr w:type="spellEnd"/>
      <w:r w:rsidRPr="009A4091">
        <w:rPr>
          <w:rFonts w:ascii="Times New Roman" w:hAnsi="Times New Roman" w:cs="Times New Roman"/>
          <w:sz w:val="24"/>
          <w:szCs w:val="24"/>
          <w:shd w:val="clear" w:color="auto" w:fill="FFFFFF"/>
        </w:rPr>
        <w:t xml:space="preserve">, G., &amp; </w:t>
      </w:r>
      <w:proofErr w:type="spellStart"/>
      <w:r w:rsidRPr="009A4091">
        <w:rPr>
          <w:rFonts w:ascii="Times New Roman" w:hAnsi="Times New Roman" w:cs="Times New Roman"/>
          <w:sz w:val="24"/>
          <w:szCs w:val="24"/>
          <w:shd w:val="clear" w:color="auto" w:fill="FFFFFF"/>
        </w:rPr>
        <w:t>Philipov</w:t>
      </w:r>
      <w:proofErr w:type="spellEnd"/>
      <w:r w:rsidRPr="009A4091">
        <w:rPr>
          <w:rFonts w:ascii="Times New Roman" w:hAnsi="Times New Roman" w:cs="Times New Roman"/>
          <w:sz w:val="24"/>
          <w:szCs w:val="24"/>
          <w:shd w:val="clear" w:color="auto" w:fill="FFFFFF"/>
        </w:rPr>
        <w:t>, A. (2021). The Distress Anomaly is Deeper than you Think: Evidence from Stocks and Bonds. </w:t>
      </w:r>
      <w:r w:rsidRPr="009A4091">
        <w:rPr>
          <w:rFonts w:ascii="Times New Roman" w:hAnsi="Times New Roman" w:cs="Times New Roman"/>
          <w:i/>
          <w:iCs/>
          <w:sz w:val="24"/>
          <w:szCs w:val="24"/>
          <w:shd w:val="clear" w:color="auto" w:fill="FFFFFF"/>
        </w:rPr>
        <w:t>Review of Finance</w:t>
      </w:r>
      <w:r w:rsidRPr="009A4091">
        <w:rPr>
          <w:rFonts w:ascii="Times New Roman" w:hAnsi="Times New Roman" w:cs="Times New Roman"/>
          <w:sz w:val="24"/>
          <w:szCs w:val="24"/>
          <w:shd w:val="clear" w:color="auto" w:fill="FFFFFF"/>
        </w:rPr>
        <w:t>.</w:t>
      </w:r>
    </w:p>
    <w:p w14:paraId="47AC3294" w14:textId="77777777" w:rsidR="00D81AD6" w:rsidRPr="009A4091" w:rsidRDefault="00D81AD6" w:rsidP="0056181A">
      <w:pPr>
        <w:spacing w:line="360" w:lineRule="auto"/>
        <w:jc w:val="both"/>
        <w:rPr>
          <w:rFonts w:ascii="Times New Roman" w:hAnsi="Times New Roman" w:cs="Times New Roman"/>
          <w:sz w:val="24"/>
          <w:szCs w:val="24"/>
        </w:rPr>
      </w:pPr>
      <w:proofErr w:type="spellStart"/>
      <w:r w:rsidRPr="009A4091">
        <w:rPr>
          <w:rFonts w:ascii="Times New Roman" w:hAnsi="Times New Roman" w:cs="Times New Roman"/>
          <w:sz w:val="24"/>
          <w:szCs w:val="24"/>
          <w:shd w:val="clear" w:color="auto" w:fill="FFFFFF"/>
        </w:rPr>
        <w:t>Bala</w:t>
      </w:r>
      <w:proofErr w:type="spellEnd"/>
      <w:r w:rsidRPr="009A4091">
        <w:rPr>
          <w:rFonts w:ascii="Times New Roman" w:hAnsi="Times New Roman" w:cs="Times New Roman"/>
          <w:sz w:val="24"/>
          <w:szCs w:val="24"/>
          <w:shd w:val="clear" w:color="auto" w:fill="FFFFFF"/>
        </w:rPr>
        <w:t xml:space="preserve">, D. A., &amp; </w:t>
      </w:r>
      <w:proofErr w:type="spellStart"/>
      <w:r w:rsidRPr="009A4091">
        <w:rPr>
          <w:rFonts w:ascii="Times New Roman" w:hAnsi="Times New Roman" w:cs="Times New Roman"/>
          <w:sz w:val="24"/>
          <w:szCs w:val="24"/>
          <w:shd w:val="clear" w:color="auto" w:fill="FFFFFF"/>
        </w:rPr>
        <w:t>Takimoto</w:t>
      </w:r>
      <w:bookmarkEnd w:id="11"/>
      <w:proofErr w:type="spellEnd"/>
      <w:r w:rsidRPr="009A4091">
        <w:rPr>
          <w:rFonts w:ascii="Times New Roman" w:hAnsi="Times New Roman" w:cs="Times New Roman"/>
          <w:sz w:val="24"/>
          <w:szCs w:val="24"/>
          <w:shd w:val="clear" w:color="auto" w:fill="FFFFFF"/>
        </w:rPr>
        <w:t>, T. (2017). Stock markets volatility spillovers during financial crises: A DCC-MGARCH with skewed-t density approach. </w:t>
      </w:r>
      <w:proofErr w:type="spellStart"/>
      <w:r w:rsidRPr="009A4091">
        <w:rPr>
          <w:rFonts w:ascii="Times New Roman" w:hAnsi="Times New Roman" w:cs="Times New Roman"/>
          <w:i/>
          <w:iCs/>
          <w:sz w:val="24"/>
          <w:szCs w:val="24"/>
          <w:shd w:val="clear" w:color="auto" w:fill="FFFFFF"/>
        </w:rPr>
        <w:t>Borsa</w:t>
      </w:r>
      <w:proofErr w:type="spellEnd"/>
      <w:r w:rsidRPr="009A4091">
        <w:rPr>
          <w:rFonts w:ascii="Times New Roman" w:hAnsi="Times New Roman" w:cs="Times New Roman"/>
          <w:i/>
          <w:iCs/>
          <w:sz w:val="24"/>
          <w:szCs w:val="24"/>
          <w:shd w:val="clear" w:color="auto" w:fill="FFFFFF"/>
        </w:rPr>
        <w:t xml:space="preserve"> Istanbul Review</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17</w:t>
      </w:r>
      <w:r w:rsidRPr="009A4091">
        <w:rPr>
          <w:rFonts w:ascii="Times New Roman" w:hAnsi="Times New Roman" w:cs="Times New Roman"/>
          <w:sz w:val="24"/>
          <w:szCs w:val="24"/>
          <w:shd w:val="clear" w:color="auto" w:fill="FFFFFF"/>
        </w:rPr>
        <w:t>(1), 25-48.</w:t>
      </w:r>
    </w:p>
    <w:p w14:paraId="4C25B5C6" w14:textId="1024FB65" w:rsidR="0045257F" w:rsidRPr="009A4091" w:rsidRDefault="0045257F" w:rsidP="0056181A">
      <w:pPr>
        <w:spacing w:line="360" w:lineRule="auto"/>
        <w:jc w:val="both"/>
        <w:rPr>
          <w:rFonts w:ascii="Times New Roman" w:hAnsi="Times New Roman" w:cs="Times New Roman"/>
          <w:color w:val="0070C0"/>
          <w:sz w:val="24"/>
          <w:szCs w:val="24"/>
          <w:shd w:val="clear" w:color="auto" w:fill="FFFFFF"/>
        </w:rPr>
      </w:pPr>
      <w:r w:rsidRPr="009A4091">
        <w:rPr>
          <w:rFonts w:ascii="Times New Roman" w:hAnsi="Times New Roman" w:cs="Times New Roman"/>
          <w:color w:val="0070C0"/>
          <w:sz w:val="24"/>
          <w:szCs w:val="24"/>
          <w:shd w:val="clear" w:color="auto" w:fill="FFFFFF"/>
        </w:rPr>
        <w:t xml:space="preserve">Bali, T. G., Brown, S. J., &amp; Tang, Y. (2017). Is economic uncertainty priced in the cross-section of stock </w:t>
      </w:r>
      <w:proofErr w:type="gramStart"/>
      <w:r w:rsidRPr="009A4091">
        <w:rPr>
          <w:rFonts w:ascii="Times New Roman" w:hAnsi="Times New Roman" w:cs="Times New Roman"/>
          <w:color w:val="0070C0"/>
          <w:sz w:val="24"/>
          <w:szCs w:val="24"/>
          <w:shd w:val="clear" w:color="auto" w:fill="FFFFFF"/>
        </w:rPr>
        <w:t>returns?.</w:t>
      </w:r>
      <w:proofErr w:type="gramEnd"/>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Journal of Financial Economics</w:t>
      </w:r>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126</w:t>
      </w:r>
      <w:r w:rsidRPr="009A4091">
        <w:rPr>
          <w:rFonts w:ascii="Times New Roman" w:hAnsi="Times New Roman" w:cs="Times New Roman"/>
          <w:color w:val="0070C0"/>
          <w:sz w:val="24"/>
          <w:szCs w:val="24"/>
          <w:shd w:val="clear" w:color="auto" w:fill="FFFFFF"/>
        </w:rPr>
        <w:t>(3), 471-489.</w:t>
      </w:r>
    </w:p>
    <w:p w14:paraId="341D2F35" w14:textId="4BCE8088"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Bathia</w:t>
      </w:r>
      <w:proofErr w:type="spellEnd"/>
      <w:r w:rsidRPr="009A4091">
        <w:rPr>
          <w:rFonts w:ascii="Times New Roman" w:hAnsi="Times New Roman" w:cs="Times New Roman"/>
          <w:sz w:val="24"/>
          <w:szCs w:val="24"/>
          <w:shd w:val="clear" w:color="auto" w:fill="FFFFFF"/>
        </w:rPr>
        <w:t xml:space="preserve">, D., </w:t>
      </w:r>
      <w:proofErr w:type="spellStart"/>
      <w:r w:rsidRPr="009A4091">
        <w:rPr>
          <w:rFonts w:ascii="Times New Roman" w:hAnsi="Times New Roman" w:cs="Times New Roman"/>
          <w:sz w:val="24"/>
          <w:szCs w:val="24"/>
          <w:shd w:val="clear" w:color="auto" w:fill="FFFFFF"/>
        </w:rPr>
        <w:t>Demirer</w:t>
      </w:r>
      <w:proofErr w:type="spellEnd"/>
      <w:r w:rsidRPr="009A4091">
        <w:rPr>
          <w:rFonts w:ascii="Times New Roman" w:hAnsi="Times New Roman" w:cs="Times New Roman"/>
          <w:sz w:val="24"/>
          <w:szCs w:val="24"/>
          <w:shd w:val="clear" w:color="auto" w:fill="FFFFFF"/>
        </w:rPr>
        <w:t xml:space="preserve">, R., Ferrer </w:t>
      </w:r>
      <w:proofErr w:type="spellStart"/>
      <w:r w:rsidRPr="009A4091">
        <w:rPr>
          <w:rFonts w:ascii="Times New Roman" w:hAnsi="Times New Roman" w:cs="Times New Roman"/>
          <w:sz w:val="24"/>
          <w:szCs w:val="24"/>
          <w:shd w:val="clear" w:color="auto" w:fill="FFFFFF"/>
        </w:rPr>
        <w:t>Lapeña</w:t>
      </w:r>
      <w:proofErr w:type="spellEnd"/>
      <w:r w:rsidRPr="009A4091">
        <w:rPr>
          <w:rFonts w:ascii="Times New Roman" w:hAnsi="Times New Roman" w:cs="Times New Roman"/>
          <w:sz w:val="24"/>
          <w:szCs w:val="24"/>
          <w:shd w:val="clear" w:color="auto" w:fill="FFFFFF"/>
        </w:rPr>
        <w:t>, R., &amp; Raheem, I. (2021). Cross-border capital flows and information spillovers across the equity and currency markets in emerging economies. </w:t>
      </w:r>
      <w:r w:rsidRPr="009A4091">
        <w:rPr>
          <w:rFonts w:ascii="Times New Roman" w:hAnsi="Times New Roman" w:cs="Times New Roman"/>
          <w:i/>
          <w:iCs/>
          <w:sz w:val="24"/>
          <w:szCs w:val="24"/>
          <w:shd w:val="clear" w:color="auto" w:fill="FFFFFF"/>
        </w:rPr>
        <w:t>Available at SSRN 3841057</w:t>
      </w:r>
      <w:r w:rsidRPr="009A4091">
        <w:rPr>
          <w:rFonts w:ascii="Times New Roman" w:hAnsi="Times New Roman" w:cs="Times New Roman"/>
          <w:sz w:val="24"/>
          <w:szCs w:val="24"/>
          <w:shd w:val="clear" w:color="auto" w:fill="FFFFFF"/>
        </w:rPr>
        <w:t>.</w:t>
      </w:r>
    </w:p>
    <w:p w14:paraId="5EA8DD1E"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Baumöhl</w:t>
      </w:r>
      <w:proofErr w:type="spellEnd"/>
      <w:r w:rsidRPr="009A4091">
        <w:rPr>
          <w:rFonts w:ascii="Times New Roman" w:hAnsi="Times New Roman" w:cs="Times New Roman"/>
          <w:sz w:val="24"/>
          <w:szCs w:val="24"/>
          <w:shd w:val="clear" w:color="auto" w:fill="FFFFFF"/>
        </w:rPr>
        <w:t>, E., &amp; Shahzad, S. J. H. (2019). Quantile coherency networks of international stock markets.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31</w:t>
      </w:r>
      <w:r w:rsidRPr="009A4091">
        <w:rPr>
          <w:rFonts w:ascii="Times New Roman" w:hAnsi="Times New Roman" w:cs="Times New Roman"/>
          <w:sz w:val="24"/>
          <w:szCs w:val="24"/>
          <w:shd w:val="clear" w:color="auto" w:fill="FFFFFF"/>
        </w:rPr>
        <w:t>, 119-129.</w:t>
      </w:r>
    </w:p>
    <w:p w14:paraId="0F37B213" w14:textId="77777777" w:rsidR="00D81AD6" w:rsidRPr="009A4091" w:rsidRDefault="00D81AD6" w:rsidP="00ED7BF0">
      <w:pPr>
        <w:spacing w:line="360" w:lineRule="auto"/>
        <w:jc w:val="both"/>
        <w:rPr>
          <w:rFonts w:ascii="Times New Roman" w:hAnsi="Times New Roman" w:cs="Times New Roman"/>
          <w:sz w:val="24"/>
          <w:szCs w:val="24"/>
        </w:rPr>
      </w:pPr>
      <w:bookmarkStart w:id="12" w:name="_Hlk80498938"/>
      <w:proofErr w:type="spellStart"/>
      <w:r w:rsidRPr="009A4091">
        <w:rPr>
          <w:rFonts w:ascii="Times New Roman" w:hAnsi="Times New Roman" w:cs="Times New Roman"/>
          <w:sz w:val="24"/>
          <w:szCs w:val="24"/>
          <w:shd w:val="clear" w:color="auto" w:fill="FFFFFF"/>
        </w:rPr>
        <w:t>Beirne</w:t>
      </w:r>
      <w:bookmarkEnd w:id="12"/>
      <w:proofErr w:type="spellEnd"/>
      <w:r w:rsidRPr="009A4091">
        <w:rPr>
          <w:rFonts w:ascii="Times New Roman" w:hAnsi="Times New Roman" w:cs="Times New Roman"/>
          <w:sz w:val="24"/>
          <w:szCs w:val="24"/>
          <w:shd w:val="clear" w:color="auto" w:fill="FFFFFF"/>
        </w:rPr>
        <w:t xml:space="preserve">, J., </w:t>
      </w:r>
      <w:proofErr w:type="spellStart"/>
      <w:r w:rsidRPr="009A4091">
        <w:rPr>
          <w:rFonts w:ascii="Times New Roman" w:hAnsi="Times New Roman" w:cs="Times New Roman"/>
          <w:sz w:val="24"/>
          <w:szCs w:val="24"/>
          <w:shd w:val="clear" w:color="auto" w:fill="FFFFFF"/>
        </w:rPr>
        <w:t>Caporale</w:t>
      </w:r>
      <w:proofErr w:type="spellEnd"/>
      <w:r w:rsidRPr="009A4091">
        <w:rPr>
          <w:rFonts w:ascii="Times New Roman" w:hAnsi="Times New Roman" w:cs="Times New Roman"/>
          <w:sz w:val="24"/>
          <w:szCs w:val="24"/>
          <w:shd w:val="clear" w:color="auto" w:fill="FFFFFF"/>
        </w:rPr>
        <w:t xml:space="preserve">, G. M., Schulze-Ghattas, M., &amp; </w:t>
      </w:r>
      <w:proofErr w:type="spellStart"/>
      <w:r w:rsidRPr="009A4091">
        <w:rPr>
          <w:rFonts w:ascii="Times New Roman" w:hAnsi="Times New Roman" w:cs="Times New Roman"/>
          <w:sz w:val="24"/>
          <w:szCs w:val="24"/>
          <w:shd w:val="clear" w:color="auto" w:fill="FFFFFF"/>
        </w:rPr>
        <w:t>Spagnolo</w:t>
      </w:r>
      <w:proofErr w:type="spellEnd"/>
      <w:r w:rsidRPr="009A4091">
        <w:rPr>
          <w:rFonts w:ascii="Times New Roman" w:hAnsi="Times New Roman" w:cs="Times New Roman"/>
          <w:sz w:val="24"/>
          <w:szCs w:val="24"/>
          <w:shd w:val="clear" w:color="auto" w:fill="FFFFFF"/>
        </w:rPr>
        <w:t>, N. (2010). Global and regional spillovers in emerging stock markets: A multivariate GARCH-in-mean analysis. </w:t>
      </w:r>
      <w:r w:rsidRPr="009A4091">
        <w:rPr>
          <w:rFonts w:ascii="Times New Roman" w:hAnsi="Times New Roman" w:cs="Times New Roman"/>
          <w:i/>
          <w:iCs/>
          <w:sz w:val="24"/>
          <w:szCs w:val="24"/>
          <w:shd w:val="clear" w:color="auto" w:fill="FFFFFF"/>
        </w:rPr>
        <w:t>Emerging Markets Review</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11</w:t>
      </w:r>
      <w:r w:rsidRPr="009A4091">
        <w:rPr>
          <w:rFonts w:ascii="Times New Roman" w:hAnsi="Times New Roman" w:cs="Times New Roman"/>
          <w:sz w:val="24"/>
          <w:szCs w:val="24"/>
          <w:shd w:val="clear" w:color="auto" w:fill="FFFFFF"/>
        </w:rPr>
        <w:t>(3), 250-260.</w:t>
      </w:r>
    </w:p>
    <w:p w14:paraId="66B74523"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Betz, F., </w:t>
      </w:r>
      <w:proofErr w:type="spellStart"/>
      <w:r w:rsidRPr="009A4091">
        <w:rPr>
          <w:rFonts w:ascii="Times New Roman" w:hAnsi="Times New Roman" w:cs="Times New Roman"/>
          <w:sz w:val="24"/>
          <w:szCs w:val="24"/>
          <w:shd w:val="clear" w:color="auto" w:fill="FFFFFF"/>
        </w:rPr>
        <w:t>Hautsch</w:t>
      </w:r>
      <w:proofErr w:type="spellEnd"/>
      <w:r w:rsidRPr="009A4091">
        <w:rPr>
          <w:rFonts w:ascii="Times New Roman" w:hAnsi="Times New Roman" w:cs="Times New Roman"/>
          <w:sz w:val="24"/>
          <w:szCs w:val="24"/>
          <w:shd w:val="clear" w:color="auto" w:fill="FFFFFF"/>
        </w:rPr>
        <w:t xml:space="preserve">, N., </w:t>
      </w:r>
      <w:proofErr w:type="spellStart"/>
      <w:r w:rsidRPr="009A4091">
        <w:rPr>
          <w:rFonts w:ascii="Times New Roman" w:hAnsi="Times New Roman" w:cs="Times New Roman"/>
          <w:sz w:val="24"/>
          <w:szCs w:val="24"/>
          <w:shd w:val="clear" w:color="auto" w:fill="FFFFFF"/>
        </w:rPr>
        <w:t>Peltonen</w:t>
      </w:r>
      <w:proofErr w:type="spellEnd"/>
      <w:r w:rsidRPr="009A4091">
        <w:rPr>
          <w:rFonts w:ascii="Times New Roman" w:hAnsi="Times New Roman" w:cs="Times New Roman"/>
          <w:sz w:val="24"/>
          <w:szCs w:val="24"/>
          <w:shd w:val="clear" w:color="auto" w:fill="FFFFFF"/>
        </w:rPr>
        <w:t xml:space="preserve">, T. A., &amp; </w:t>
      </w:r>
      <w:proofErr w:type="spellStart"/>
      <w:r w:rsidRPr="009A4091">
        <w:rPr>
          <w:rFonts w:ascii="Times New Roman" w:hAnsi="Times New Roman" w:cs="Times New Roman"/>
          <w:sz w:val="24"/>
          <w:szCs w:val="24"/>
          <w:shd w:val="clear" w:color="auto" w:fill="FFFFFF"/>
        </w:rPr>
        <w:t>Schienle</w:t>
      </w:r>
      <w:proofErr w:type="spellEnd"/>
      <w:r w:rsidRPr="009A4091">
        <w:rPr>
          <w:rFonts w:ascii="Times New Roman" w:hAnsi="Times New Roman" w:cs="Times New Roman"/>
          <w:sz w:val="24"/>
          <w:szCs w:val="24"/>
          <w:shd w:val="clear" w:color="auto" w:fill="FFFFFF"/>
        </w:rPr>
        <w:t>, M. (2016). Systemic risk spillovers in the European banking and sovereign network. </w:t>
      </w:r>
      <w:r w:rsidRPr="009A4091">
        <w:rPr>
          <w:rFonts w:ascii="Times New Roman" w:hAnsi="Times New Roman" w:cs="Times New Roman"/>
          <w:i/>
          <w:iCs/>
          <w:sz w:val="24"/>
          <w:szCs w:val="24"/>
          <w:shd w:val="clear" w:color="auto" w:fill="FFFFFF"/>
        </w:rPr>
        <w:t>Journal of Financial Stability</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25</w:t>
      </w:r>
      <w:r w:rsidRPr="009A4091">
        <w:rPr>
          <w:rFonts w:ascii="Times New Roman" w:hAnsi="Times New Roman" w:cs="Times New Roman"/>
          <w:sz w:val="24"/>
          <w:szCs w:val="24"/>
          <w:shd w:val="clear" w:color="auto" w:fill="FFFFFF"/>
        </w:rPr>
        <w:t>, 206-224.</w:t>
      </w:r>
    </w:p>
    <w:p w14:paraId="1FE43F6F" w14:textId="77777777" w:rsidR="00D81AD6" w:rsidRPr="009A4091" w:rsidRDefault="00D81AD6" w:rsidP="00ED7BF0">
      <w:pPr>
        <w:spacing w:line="360" w:lineRule="auto"/>
        <w:jc w:val="both"/>
        <w:rPr>
          <w:rFonts w:ascii="Times New Roman" w:hAnsi="Times New Roman" w:cs="Times New Roman"/>
          <w:sz w:val="24"/>
          <w:szCs w:val="24"/>
        </w:rPr>
      </w:pPr>
      <w:proofErr w:type="spellStart"/>
      <w:r w:rsidRPr="009A4091">
        <w:rPr>
          <w:rFonts w:ascii="Times New Roman" w:hAnsi="Times New Roman" w:cs="Times New Roman"/>
          <w:sz w:val="24"/>
          <w:szCs w:val="24"/>
        </w:rPr>
        <w:t>Bisias</w:t>
      </w:r>
      <w:proofErr w:type="spellEnd"/>
      <w:r w:rsidRPr="009A4091">
        <w:rPr>
          <w:rFonts w:ascii="Times New Roman" w:hAnsi="Times New Roman" w:cs="Times New Roman"/>
          <w:sz w:val="24"/>
          <w:szCs w:val="24"/>
        </w:rPr>
        <w:t xml:space="preserve">, D., Flood, M., Lo, A. W., &amp; </w:t>
      </w:r>
      <w:proofErr w:type="spellStart"/>
      <w:r w:rsidRPr="009A4091">
        <w:rPr>
          <w:rFonts w:ascii="Times New Roman" w:hAnsi="Times New Roman" w:cs="Times New Roman"/>
          <w:sz w:val="24"/>
          <w:szCs w:val="24"/>
        </w:rPr>
        <w:t>Valavanis</w:t>
      </w:r>
      <w:proofErr w:type="spellEnd"/>
      <w:r w:rsidRPr="009A4091">
        <w:rPr>
          <w:rFonts w:ascii="Times New Roman" w:hAnsi="Times New Roman" w:cs="Times New Roman"/>
          <w:sz w:val="24"/>
          <w:szCs w:val="24"/>
        </w:rPr>
        <w:t>, S. (2012). A Survey of Systemic Risk Analytics. </w:t>
      </w:r>
      <w:r w:rsidRPr="009A4091">
        <w:rPr>
          <w:rFonts w:ascii="Times New Roman" w:hAnsi="Times New Roman" w:cs="Times New Roman"/>
          <w:i/>
          <w:iCs/>
          <w:sz w:val="24"/>
          <w:szCs w:val="24"/>
        </w:rPr>
        <w:t>Annual Review of Financial Economics</w:t>
      </w:r>
      <w:r w:rsidRPr="009A4091">
        <w:rPr>
          <w:rFonts w:ascii="Times New Roman" w:hAnsi="Times New Roman" w:cs="Times New Roman"/>
          <w:sz w:val="24"/>
          <w:szCs w:val="24"/>
        </w:rPr>
        <w:t>, </w:t>
      </w:r>
      <w:r w:rsidRPr="009A4091">
        <w:rPr>
          <w:rFonts w:ascii="Times New Roman" w:hAnsi="Times New Roman" w:cs="Times New Roman"/>
          <w:i/>
          <w:iCs/>
          <w:sz w:val="24"/>
          <w:szCs w:val="24"/>
        </w:rPr>
        <w:t>4</w:t>
      </w:r>
      <w:r w:rsidRPr="009A4091">
        <w:rPr>
          <w:rFonts w:ascii="Times New Roman" w:hAnsi="Times New Roman" w:cs="Times New Roman"/>
          <w:sz w:val="24"/>
          <w:szCs w:val="24"/>
        </w:rPr>
        <w:t>(1), 255-296.</w:t>
      </w:r>
    </w:p>
    <w:p w14:paraId="1262587F"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Boss, M., </w:t>
      </w:r>
      <w:proofErr w:type="spellStart"/>
      <w:r w:rsidRPr="009A4091">
        <w:rPr>
          <w:rFonts w:ascii="Times New Roman" w:hAnsi="Times New Roman" w:cs="Times New Roman"/>
          <w:sz w:val="24"/>
          <w:szCs w:val="24"/>
          <w:shd w:val="clear" w:color="auto" w:fill="FFFFFF"/>
        </w:rPr>
        <w:t>Krenn</w:t>
      </w:r>
      <w:proofErr w:type="spellEnd"/>
      <w:r w:rsidRPr="009A4091">
        <w:rPr>
          <w:rFonts w:ascii="Times New Roman" w:hAnsi="Times New Roman" w:cs="Times New Roman"/>
          <w:sz w:val="24"/>
          <w:szCs w:val="24"/>
          <w:shd w:val="clear" w:color="auto" w:fill="FFFFFF"/>
        </w:rPr>
        <w:t xml:space="preserve">, G., </w:t>
      </w:r>
      <w:proofErr w:type="spellStart"/>
      <w:r w:rsidRPr="009A4091">
        <w:rPr>
          <w:rFonts w:ascii="Times New Roman" w:hAnsi="Times New Roman" w:cs="Times New Roman"/>
          <w:sz w:val="24"/>
          <w:szCs w:val="24"/>
          <w:shd w:val="clear" w:color="auto" w:fill="FFFFFF"/>
        </w:rPr>
        <w:t>Puhr</w:t>
      </w:r>
      <w:proofErr w:type="spellEnd"/>
      <w:r w:rsidRPr="009A4091">
        <w:rPr>
          <w:rFonts w:ascii="Times New Roman" w:hAnsi="Times New Roman" w:cs="Times New Roman"/>
          <w:sz w:val="24"/>
          <w:szCs w:val="24"/>
          <w:shd w:val="clear" w:color="auto" w:fill="FFFFFF"/>
        </w:rPr>
        <w:t>, C., &amp; Summer, M. (2006). Systemic risk monitor: A model for systemic risk analysis and stress testing of banking systems. </w:t>
      </w:r>
      <w:r w:rsidRPr="009A4091">
        <w:rPr>
          <w:rFonts w:ascii="Times New Roman" w:hAnsi="Times New Roman" w:cs="Times New Roman"/>
          <w:i/>
          <w:iCs/>
          <w:sz w:val="24"/>
          <w:szCs w:val="24"/>
          <w:shd w:val="clear" w:color="auto" w:fill="FFFFFF"/>
        </w:rPr>
        <w:t>Financial Stability Report</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11</w:t>
      </w:r>
      <w:r w:rsidRPr="009A4091">
        <w:rPr>
          <w:rFonts w:ascii="Times New Roman" w:hAnsi="Times New Roman" w:cs="Times New Roman"/>
          <w:sz w:val="24"/>
          <w:szCs w:val="24"/>
          <w:shd w:val="clear" w:color="auto" w:fill="FFFFFF"/>
        </w:rPr>
        <w:t>(June), 83-95.</w:t>
      </w:r>
    </w:p>
    <w:p w14:paraId="61E9CB70" w14:textId="77777777" w:rsidR="00D81AD6" w:rsidRPr="009A4091" w:rsidRDefault="00D81AD6" w:rsidP="00E82B1E">
      <w:pPr>
        <w:spacing w:before="240" w:line="360" w:lineRule="auto"/>
        <w:jc w:val="both"/>
        <w:rPr>
          <w:rFonts w:ascii="Times New Roman" w:hAnsi="Times New Roman" w:cs="Times New Roman"/>
          <w:color w:val="0070C0"/>
          <w:sz w:val="24"/>
          <w:szCs w:val="24"/>
          <w:shd w:val="clear" w:color="auto" w:fill="FFFFFF"/>
          <w:lang w:val="en-NZ"/>
        </w:rPr>
      </w:pPr>
      <w:proofErr w:type="spellStart"/>
      <w:r w:rsidRPr="009A4091">
        <w:rPr>
          <w:rFonts w:ascii="Times New Roman" w:hAnsi="Times New Roman" w:cs="Times New Roman"/>
          <w:color w:val="0070C0"/>
          <w:sz w:val="24"/>
          <w:szCs w:val="24"/>
          <w:shd w:val="clear" w:color="auto" w:fill="FFFFFF"/>
          <w:lang w:val="en-NZ"/>
        </w:rPr>
        <w:t>Bouri</w:t>
      </w:r>
      <w:proofErr w:type="spellEnd"/>
      <w:r w:rsidRPr="009A4091">
        <w:rPr>
          <w:rFonts w:ascii="Times New Roman" w:hAnsi="Times New Roman" w:cs="Times New Roman"/>
          <w:color w:val="0070C0"/>
          <w:sz w:val="24"/>
          <w:szCs w:val="24"/>
          <w:shd w:val="clear" w:color="auto" w:fill="FFFFFF"/>
          <w:lang w:val="en-NZ"/>
        </w:rPr>
        <w:t>, E. (2015). Return and volatility linkages between oil prices and the Lebanese stock market in crisis periods. Energy, 89, 365-371.</w:t>
      </w:r>
    </w:p>
    <w:p w14:paraId="612E7694" w14:textId="77777777" w:rsidR="00D81AD6" w:rsidRPr="009A4091" w:rsidRDefault="00D81AD6" w:rsidP="00ED7BF0">
      <w:pPr>
        <w:spacing w:line="360" w:lineRule="auto"/>
        <w:jc w:val="both"/>
        <w:rPr>
          <w:rFonts w:ascii="Times New Roman" w:hAnsi="Times New Roman" w:cs="Times New Roman"/>
          <w:sz w:val="24"/>
          <w:szCs w:val="24"/>
        </w:rPr>
      </w:pPr>
      <w:proofErr w:type="spellStart"/>
      <w:r w:rsidRPr="009A4091">
        <w:rPr>
          <w:rFonts w:ascii="Times New Roman" w:hAnsi="Times New Roman" w:cs="Times New Roman"/>
          <w:sz w:val="24"/>
          <w:szCs w:val="24"/>
        </w:rPr>
        <w:t>Brownlees</w:t>
      </w:r>
      <w:proofErr w:type="spellEnd"/>
      <w:r w:rsidRPr="009A4091">
        <w:rPr>
          <w:rFonts w:ascii="Times New Roman" w:hAnsi="Times New Roman" w:cs="Times New Roman"/>
          <w:sz w:val="24"/>
          <w:szCs w:val="24"/>
        </w:rPr>
        <w:t>, C. T., &amp; Engle, R. F. (2016). SRISK: A Conditional Capital Shortfall Measure of Systemic Risk. </w:t>
      </w:r>
      <w:r w:rsidRPr="009A4091">
        <w:rPr>
          <w:rFonts w:ascii="Times New Roman" w:hAnsi="Times New Roman" w:cs="Times New Roman"/>
          <w:i/>
          <w:iCs/>
          <w:sz w:val="24"/>
          <w:szCs w:val="24"/>
        </w:rPr>
        <w:t>Available at SSRN 1611229</w:t>
      </w:r>
      <w:r w:rsidRPr="009A4091">
        <w:rPr>
          <w:rFonts w:ascii="Times New Roman" w:hAnsi="Times New Roman" w:cs="Times New Roman"/>
          <w:sz w:val="24"/>
          <w:szCs w:val="24"/>
        </w:rPr>
        <w:t>.</w:t>
      </w:r>
    </w:p>
    <w:p w14:paraId="4E880560"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color w:val="222222"/>
          <w:sz w:val="24"/>
          <w:szCs w:val="24"/>
          <w:shd w:val="clear" w:color="auto" w:fill="FFFFFF"/>
        </w:rPr>
        <w:lastRenderedPageBreak/>
        <w:t>Bulutay</w:t>
      </w:r>
      <w:proofErr w:type="spellEnd"/>
      <w:r w:rsidRPr="009A4091">
        <w:rPr>
          <w:rFonts w:ascii="Times New Roman" w:hAnsi="Times New Roman" w:cs="Times New Roman"/>
          <w:color w:val="222222"/>
          <w:sz w:val="24"/>
          <w:szCs w:val="24"/>
          <w:shd w:val="clear" w:color="auto" w:fill="FFFFFF"/>
        </w:rPr>
        <w:t xml:space="preserve">, M., Hales, D., Julius, P., &amp; </w:t>
      </w:r>
      <w:proofErr w:type="spellStart"/>
      <w:r w:rsidRPr="009A4091">
        <w:rPr>
          <w:rFonts w:ascii="Times New Roman" w:hAnsi="Times New Roman" w:cs="Times New Roman"/>
          <w:color w:val="222222"/>
          <w:sz w:val="24"/>
          <w:szCs w:val="24"/>
          <w:shd w:val="clear" w:color="auto" w:fill="FFFFFF"/>
        </w:rPr>
        <w:t>Tasch</w:t>
      </w:r>
      <w:proofErr w:type="spellEnd"/>
      <w:r w:rsidRPr="009A4091">
        <w:rPr>
          <w:rFonts w:ascii="Times New Roman" w:hAnsi="Times New Roman" w:cs="Times New Roman"/>
          <w:color w:val="222222"/>
          <w:sz w:val="24"/>
          <w:szCs w:val="24"/>
          <w:shd w:val="clear" w:color="auto" w:fill="FFFFFF"/>
        </w:rPr>
        <w:t xml:space="preserve">, W. (2021). Imperfect Tacit Collusion and Asymmetric Price Transmission. </w:t>
      </w:r>
      <w:r w:rsidRPr="009A4091">
        <w:rPr>
          <w:rFonts w:ascii="Times New Roman" w:hAnsi="Times New Roman" w:cs="Times New Roman"/>
          <w:i/>
          <w:color w:val="222222"/>
          <w:sz w:val="24"/>
          <w:szCs w:val="24"/>
          <w:shd w:val="clear" w:color="auto" w:fill="FFFFFF"/>
        </w:rPr>
        <w:t xml:space="preserve">Journal of Economic Behavior and Organization, </w:t>
      </w:r>
      <w:r w:rsidRPr="009A4091">
        <w:rPr>
          <w:rFonts w:ascii="Times New Roman" w:hAnsi="Times New Roman" w:cs="Times New Roman"/>
          <w:color w:val="222222"/>
          <w:sz w:val="24"/>
          <w:szCs w:val="24"/>
          <w:shd w:val="clear" w:color="auto" w:fill="FFFFFF"/>
        </w:rPr>
        <w:t>192, 584-599.</w:t>
      </w:r>
    </w:p>
    <w:p w14:paraId="53430625" w14:textId="77777777" w:rsidR="00D81AD6" w:rsidRPr="009A4091" w:rsidRDefault="00D81AD6" w:rsidP="0056181A">
      <w:pPr>
        <w:spacing w:line="360" w:lineRule="auto"/>
        <w:jc w:val="both"/>
        <w:rPr>
          <w:rFonts w:ascii="Times New Roman" w:hAnsi="Times New Roman" w:cs="Times New Roman"/>
          <w:sz w:val="24"/>
          <w:szCs w:val="24"/>
          <w:lang w:val="en-NZ"/>
        </w:rPr>
      </w:pPr>
      <w:proofErr w:type="spellStart"/>
      <w:r w:rsidRPr="009A4091">
        <w:rPr>
          <w:rFonts w:ascii="Times New Roman" w:hAnsi="Times New Roman" w:cs="Times New Roman"/>
          <w:sz w:val="24"/>
          <w:szCs w:val="24"/>
          <w:shd w:val="clear" w:color="auto" w:fill="FFFFFF"/>
        </w:rPr>
        <w:t>Bunda</w:t>
      </w:r>
      <w:proofErr w:type="spellEnd"/>
      <w:r w:rsidRPr="009A4091">
        <w:rPr>
          <w:rFonts w:ascii="Times New Roman" w:hAnsi="Times New Roman" w:cs="Times New Roman"/>
          <w:sz w:val="24"/>
          <w:szCs w:val="24"/>
          <w:shd w:val="clear" w:color="auto" w:fill="FFFFFF"/>
        </w:rPr>
        <w:t xml:space="preserve">, I., </w:t>
      </w:r>
      <w:proofErr w:type="spellStart"/>
      <w:r w:rsidRPr="009A4091">
        <w:rPr>
          <w:rFonts w:ascii="Times New Roman" w:hAnsi="Times New Roman" w:cs="Times New Roman"/>
          <w:sz w:val="24"/>
          <w:szCs w:val="24"/>
          <w:shd w:val="clear" w:color="auto" w:fill="FFFFFF"/>
        </w:rPr>
        <w:t>Lall</w:t>
      </w:r>
      <w:proofErr w:type="spellEnd"/>
      <w:r w:rsidRPr="009A4091">
        <w:rPr>
          <w:rFonts w:ascii="Times New Roman" w:hAnsi="Times New Roman" w:cs="Times New Roman"/>
          <w:sz w:val="24"/>
          <w:szCs w:val="24"/>
          <w:shd w:val="clear" w:color="auto" w:fill="FFFFFF"/>
        </w:rPr>
        <w:t>, S., &amp; Sharma, S. (2011). The impact of the global financial crisis on emerging and newly industrialized Asia. In </w:t>
      </w:r>
      <w:r w:rsidRPr="009A4091">
        <w:rPr>
          <w:rFonts w:ascii="Times New Roman" w:hAnsi="Times New Roman" w:cs="Times New Roman"/>
          <w:i/>
          <w:iCs/>
          <w:sz w:val="24"/>
          <w:szCs w:val="24"/>
          <w:shd w:val="clear" w:color="auto" w:fill="FFFFFF"/>
        </w:rPr>
        <w:t>The Impact of the Global Financial Crisis on Emerging Financial Markets</w:t>
      </w:r>
      <w:r w:rsidRPr="009A4091">
        <w:rPr>
          <w:rFonts w:ascii="Times New Roman" w:hAnsi="Times New Roman" w:cs="Times New Roman"/>
          <w:sz w:val="24"/>
          <w:szCs w:val="24"/>
          <w:shd w:val="clear" w:color="auto" w:fill="FFFFFF"/>
        </w:rPr>
        <w:t>. Emerald Group Publishing Limited.</w:t>
      </w:r>
    </w:p>
    <w:p w14:paraId="4D4FA437"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Caporale</w:t>
      </w:r>
      <w:proofErr w:type="spellEnd"/>
      <w:r w:rsidRPr="009A4091">
        <w:rPr>
          <w:rFonts w:ascii="Times New Roman" w:hAnsi="Times New Roman" w:cs="Times New Roman"/>
          <w:sz w:val="24"/>
          <w:szCs w:val="24"/>
          <w:shd w:val="clear" w:color="auto" w:fill="FFFFFF"/>
        </w:rPr>
        <w:t xml:space="preserve">, G. M., </w:t>
      </w:r>
      <w:proofErr w:type="spellStart"/>
      <w:r w:rsidRPr="009A4091">
        <w:rPr>
          <w:rFonts w:ascii="Times New Roman" w:hAnsi="Times New Roman" w:cs="Times New Roman"/>
          <w:sz w:val="24"/>
          <w:szCs w:val="24"/>
          <w:shd w:val="clear" w:color="auto" w:fill="FFFFFF"/>
        </w:rPr>
        <w:t>Spagnolo</w:t>
      </w:r>
      <w:proofErr w:type="spellEnd"/>
      <w:r w:rsidRPr="009A4091">
        <w:rPr>
          <w:rFonts w:ascii="Times New Roman" w:hAnsi="Times New Roman" w:cs="Times New Roman"/>
          <w:sz w:val="24"/>
          <w:szCs w:val="24"/>
          <w:shd w:val="clear" w:color="auto" w:fill="FFFFFF"/>
        </w:rPr>
        <w:t xml:space="preserve">, F., &amp; </w:t>
      </w:r>
      <w:proofErr w:type="spellStart"/>
      <w:r w:rsidRPr="009A4091">
        <w:rPr>
          <w:rFonts w:ascii="Times New Roman" w:hAnsi="Times New Roman" w:cs="Times New Roman"/>
          <w:sz w:val="24"/>
          <w:szCs w:val="24"/>
          <w:shd w:val="clear" w:color="auto" w:fill="FFFFFF"/>
        </w:rPr>
        <w:t>Spagnolo</w:t>
      </w:r>
      <w:proofErr w:type="spellEnd"/>
      <w:r w:rsidRPr="009A4091">
        <w:rPr>
          <w:rFonts w:ascii="Times New Roman" w:hAnsi="Times New Roman" w:cs="Times New Roman"/>
          <w:sz w:val="24"/>
          <w:szCs w:val="24"/>
          <w:shd w:val="clear" w:color="auto" w:fill="FFFFFF"/>
        </w:rPr>
        <w:t>, N. (2017). Macro news and exchange rates in the BRICS.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21</w:t>
      </w:r>
      <w:r w:rsidRPr="009A4091">
        <w:rPr>
          <w:rFonts w:ascii="Times New Roman" w:hAnsi="Times New Roman" w:cs="Times New Roman"/>
          <w:sz w:val="24"/>
          <w:szCs w:val="24"/>
          <w:shd w:val="clear" w:color="auto" w:fill="FFFFFF"/>
        </w:rPr>
        <w:t>, 140-143.</w:t>
      </w:r>
    </w:p>
    <w:p w14:paraId="035BA59B"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Chan-Lau, J. A., Espinosa, M., </w:t>
      </w:r>
      <w:proofErr w:type="spellStart"/>
      <w:r w:rsidRPr="009A4091">
        <w:rPr>
          <w:rFonts w:ascii="Times New Roman" w:hAnsi="Times New Roman" w:cs="Times New Roman"/>
          <w:sz w:val="24"/>
          <w:szCs w:val="24"/>
          <w:shd w:val="clear" w:color="auto" w:fill="FFFFFF"/>
        </w:rPr>
        <w:t>Giesecke</w:t>
      </w:r>
      <w:proofErr w:type="spellEnd"/>
      <w:r w:rsidRPr="009A4091">
        <w:rPr>
          <w:rFonts w:ascii="Times New Roman" w:hAnsi="Times New Roman" w:cs="Times New Roman"/>
          <w:sz w:val="24"/>
          <w:szCs w:val="24"/>
          <w:shd w:val="clear" w:color="auto" w:fill="FFFFFF"/>
        </w:rPr>
        <w:t xml:space="preserve">, K., &amp; </w:t>
      </w:r>
      <w:proofErr w:type="spellStart"/>
      <w:r w:rsidRPr="009A4091">
        <w:rPr>
          <w:rFonts w:ascii="Times New Roman" w:hAnsi="Times New Roman" w:cs="Times New Roman"/>
          <w:sz w:val="24"/>
          <w:szCs w:val="24"/>
          <w:shd w:val="clear" w:color="auto" w:fill="FFFFFF"/>
        </w:rPr>
        <w:t>Solé</w:t>
      </w:r>
      <w:proofErr w:type="spellEnd"/>
      <w:r w:rsidRPr="009A4091">
        <w:rPr>
          <w:rFonts w:ascii="Times New Roman" w:hAnsi="Times New Roman" w:cs="Times New Roman"/>
          <w:sz w:val="24"/>
          <w:szCs w:val="24"/>
          <w:shd w:val="clear" w:color="auto" w:fill="FFFFFF"/>
        </w:rPr>
        <w:t>, J. A. (2009). Assessing the systemic implications of financial linkages. </w:t>
      </w:r>
      <w:r w:rsidRPr="009A4091">
        <w:rPr>
          <w:rFonts w:ascii="Times New Roman" w:hAnsi="Times New Roman" w:cs="Times New Roman"/>
          <w:i/>
          <w:iCs/>
          <w:sz w:val="24"/>
          <w:szCs w:val="24"/>
          <w:shd w:val="clear" w:color="auto" w:fill="FFFFFF"/>
        </w:rPr>
        <w:t>IMF Global Financial Stability Report</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w:t>
      </w:r>
      <w:r w:rsidRPr="009A4091">
        <w:rPr>
          <w:rFonts w:ascii="Times New Roman" w:hAnsi="Times New Roman" w:cs="Times New Roman"/>
          <w:sz w:val="24"/>
          <w:szCs w:val="24"/>
          <w:shd w:val="clear" w:color="auto" w:fill="FFFFFF"/>
        </w:rPr>
        <w:t>.</w:t>
      </w:r>
    </w:p>
    <w:p w14:paraId="6DECD3B1"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Chao, S. K. (2015). Quantile regression in risk calibration.</w:t>
      </w:r>
    </w:p>
    <w:p w14:paraId="318229D5"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Chow, H. K. (2017). Volatility spillovers and linkages in Asian stock markets. </w:t>
      </w:r>
      <w:r w:rsidRPr="009A4091">
        <w:rPr>
          <w:rFonts w:ascii="Times New Roman" w:hAnsi="Times New Roman" w:cs="Times New Roman"/>
          <w:i/>
          <w:iCs/>
          <w:sz w:val="24"/>
          <w:szCs w:val="24"/>
          <w:shd w:val="clear" w:color="auto" w:fill="FFFFFF"/>
        </w:rPr>
        <w:t>Emerging Markets Finance and Trade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53</w:t>
      </w:r>
      <w:r w:rsidRPr="009A4091">
        <w:rPr>
          <w:rFonts w:ascii="Times New Roman" w:hAnsi="Times New Roman" w:cs="Times New Roman"/>
          <w:sz w:val="24"/>
          <w:szCs w:val="24"/>
          <w:shd w:val="clear" w:color="auto" w:fill="FFFFFF"/>
        </w:rPr>
        <w:t>(12), 2770-2781.</w:t>
      </w:r>
    </w:p>
    <w:p w14:paraId="698BA605" w14:textId="77777777" w:rsidR="00D81AD6" w:rsidRPr="009A4091" w:rsidRDefault="00D81AD6" w:rsidP="0056181A">
      <w:pPr>
        <w:spacing w:line="360" w:lineRule="auto"/>
        <w:jc w:val="both"/>
        <w:rPr>
          <w:rFonts w:ascii="Times New Roman" w:hAnsi="Times New Roman" w:cs="Times New Roman"/>
          <w:i/>
          <w:sz w:val="24"/>
          <w:szCs w:val="24"/>
          <w:shd w:val="clear" w:color="auto" w:fill="FFFFFF"/>
        </w:rPr>
      </w:pPr>
      <w:proofErr w:type="spellStart"/>
      <w:r w:rsidRPr="009A4091">
        <w:rPr>
          <w:rFonts w:ascii="Times New Roman" w:hAnsi="Times New Roman" w:cs="Times New Roman"/>
          <w:sz w:val="24"/>
          <w:szCs w:val="24"/>
          <w:shd w:val="clear" w:color="auto" w:fill="FFFFFF"/>
        </w:rPr>
        <w:t>Curfman</w:t>
      </w:r>
      <w:proofErr w:type="spellEnd"/>
      <w:r w:rsidRPr="009A4091">
        <w:rPr>
          <w:rFonts w:ascii="Times New Roman" w:hAnsi="Times New Roman" w:cs="Times New Roman"/>
          <w:sz w:val="24"/>
          <w:szCs w:val="24"/>
          <w:shd w:val="clear" w:color="auto" w:fill="FFFFFF"/>
        </w:rPr>
        <w:t xml:space="preserve">, C. J., &amp; </w:t>
      </w:r>
      <w:proofErr w:type="spellStart"/>
      <w:r w:rsidRPr="009A4091">
        <w:rPr>
          <w:rFonts w:ascii="Times New Roman" w:hAnsi="Times New Roman" w:cs="Times New Roman"/>
          <w:sz w:val="24"/>
          <w:szCs w:val="24"/>
          <w:shd w:val="clear" w:color="auto" w:fill="FFFFFF"/>
        </w:rPr>
        <w:t>Kandrac</w:t>
      </w:r>
      <w:proofErr w:type="spellEnd"/>
      <w:r w:rsidRPr="009A4091">
        <w:rPr>
          <w:rFonts w:ascii="Times New Roman" w:hAnsi="Times New Roman" w:cs="Times New Roman"/>
          <w:sz w:val="24"/>
          <w:szCs w:val="24"/>
          <w:shd w:val="clear" w:color="auto" w:fill="FFFFFF"/>
        </w:rPr>
        <w:t xml:space="preserve">, J. (2021). The costs and benefits of liquidity regulations: lessons from an Idle Monetary Policy Tool. </w:t>
      </w:r>
      <w:r w:rsidRPr="009A4091">
        <w:rPr>
          <w:rFonts w:ascii="Times New Roman" w:hAnsi="Times New Roman" w:cs="Times New Roman"/>
          <w:i/>
          <w:sz w:val="24"/>
          <w:szCs w:val="24"/>
          <w:shd w:val="clear" w:color="auto" w:fill="FFFFFF"/>
        </w:rPr>
        <w:t>Review of Finance, 1-35.</w:t>
      </w:r>
    </w:p>
    <w:p w14:paraId="2D6CFF42"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Das, D., </w:t>
      </w:r>
      <w:proofErr w:type="spellStart"/>
      <w:r w:rsidRPr="009A4091">
        <w:rPr>
          <w:rFonts w:ascii="Times New Roman" w:hAnsi="Times New Roman" w:cs="Times New Roman"/>
          <w:sz w:val="24"/>
          <w:szCs w:val="24"/>
          <w:shd w:val="clear" w:color="auto" w:fill="FFFFFF"/>
        </w:rPr>
        <w:t>Kannadhasan</w:t>
      </w:r>
      <w:proofErr w:type="spellEnd"/>
      <w:r w:rsidRPr="009A4091">
        <w:rPr>
          <w:rFonts w:ascii="Times New Roman" w:hAnsi="Times New Roman" w:cs="Times New Roman"/>
          <w:sz w:val="24"/>
          <w:szCs w:val="24"/>
          <w:shd w:val="clear" w:color="auto" w:fill="FFFFFF"/>
        </w:rPr>
        <w:t>, M., Tiwari, A. K., &amp; Al-</w:t>
      </w:r>
      <w:proofErr w:type="spellStart"/>
      <w:r w:rsidRPr="009A4091">
        <w:rPr>
          <w:rFonts w:ascii="Times New Roman" w:hAnsi="Times New Roman" w:cs="Times New Roman"/>
          <w:sz w:val="24"/>
          <w:szCs w:val="24"/>
          <w:shd w:val="clear" w:color="auto" w:fill="FFFFFF"/>
        </w:rPr>
        <w:t>Yahyaee</w:t>
      </w:r>
      <w:proofErr w:type="spellEnd"/>
      <w:r w:rsidRPr="009A4091">
        <w:rPr>
          <w:rFonts w:ascii="Times New Roman" w:hAnsi="Times New Roman" w:cs="Times New Roman"/>
          <w:sz w:val="24"/>
          <w:szCs w:val="24"/>
          <w:shd w:val="clear" w:color="auto" w:fill="FFFFFF"/>
        </w:rPr>
        <w:t>, K. H. (2018). Has co-movement dynamics in emerging stock markets changed after global financial crisis? New evidence from wavelet analysis. </w:t>
      </w:r>
      <w:r w:rsidRPr="009A4091">
        <w:rPr>
          <w:rFonts w:ascii="Times New Roman" w:hAnsi="Times New Roman" w:cs="Times New Roman"/>
          <w:i/>
          <w:iCs/>
          <w:sz w:val="24"/>
          <w:szCs w:val="24"/>
          <w:shd w:val="clear" w:color="auto" w:fill="FFFFFF"/>
        </w:rPr>
        <w:t>Applied Economics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25</w:t>
      </w:r>
      <w:r w:rsidRPr="009A4091">
        <w:rPr>
          <w:rFonts w:ascii="Times New Roman" w:hAnsi="Times New Roman" w:cs="Times New Roman"/>
          <w:sz w:val="24"/>
          <w:szCs w:val="24"/>
          <w:shd w:val="clear" w:color="auto" w:fill="FFFFFF"/>
        </w:rPr>
        <w:t>(20), 1447-1453.</w:t>
      </w:r>
    </w:p>
    <w:p w14:paraId="498960F7" w14:textId="77777777" w:rsidR="00D81AD6" w:rsidRPr="009A4091" w:rsidRDefault="00D81AD6" w:rsidP="0056181A">
      <w:pPr>
        <w:spacing w:line="360" w:lineRule="auto"/>
        <w:jc w:val="both"/>
        <w:rPr>
          <w:rFonts w:ascii="Times New Roman" w:hAnsi="Times New Roman" w:cs="Times New Roman"/>
          <w:sz w:val="24"/>
          <w:szCs w:val="24"/>
          <w:lang w:val="en-NZ"/>
        </w:rPr>
      </w:pPr>
      <w:bookmarkStart w:id="13" w:name="_Hlk80571716"/>
      <w:r w:rsidRPr="009A4091">
        <w:rPr>
          <w:rFonts w:ascii="Times New Roman" w:hAnsi="Times New Roman" w:cs="Times New Roman"/>
          <w:sz w:val="24"/>
          <w:szCs w:val="24"/>
          <w:shd w:val="clear" w:color="auto" w:fill="FFFFFF"/>
        </w:rPr>
        <w:t xml:space="preserve">Demir, B., &amp; </w:t>
      </w:r>
      <w:proofErr w:type="spellStart"/>
      <w:r w:rsidRPr="009A4091">
        <w:rPr>
          <w:rFonts w:ascii="Times New Roman" w:hAnsi="Times New Roman" w:cs="Times New Roman"/>
          <w:sz w:val="24"/>
          <w:szCs w:val="24"/>
          <w:shd w:val="clear" w:color="auto" w:fill="FFFFFF"/>
        </w:rPr>
        <w:t>Javorcik</w:t>
      </w:r>
      <w:proofErr w:type="spellEnd"/>
      <w:r w:rsidRPr="009A4091">
        <w:rPr>
          <w:rFonts w:ascii="Times New Roman" w:hAnsi="Times New Roman" w:cs="Times New Roman"/>
          <w:sz w:val="24"/>
          <w:szCs w:val="24"/>
          <w:shd w:val="clear" w:color="auto" w:fill="FFFFFF"/>
        </w:rPr>
        <w:t>, B. (2020</w:t>
      </w:r>
      <w:bookmarkEnd w:id="13"/>
      <w:r w:rsidRPr="009A4091">
        <w:rPr>
          <w:rFonts w:ascii="Times New Roman" w:hAnsi="Times New Roman" w:cs="Times New Roman"/>
          <w:sz w:val="24"/>
          <w:szCs w:val="24"/>
          <w:shd w:val="clear" w:color="auto" w:fill="FFFFFF"/>
        </w:rPr>
        <w:t>). Trade finance matters: evidence from the COVID-19 crisis. </w:t>
      </w:r>
      <w:r w:rsidRPr="009A4091">
        <w:rPr>
          <w:rFonts w:ascii="Times New Roman" w:hAnsi="Times New Roman" w:cs="Times New Roman"/>
          <w:i/>
          <w:iCs/>
          <w:sz w:val="24"/>
          <w:szCs w:val="24"/>
          <w:shd w:val="clear" w:color="auto" w:fill="FFFFFF"/>
        </w:rPr>
        <w:t>Oxford Review of Economic Policy</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36</w:t>
      </w:r>
      <w:r w:rsidRPr="009A4091">
        <w:rPr>
          <w:rFonts w:ascii="Times New Roman" w:hAnsi="Times New Roman" w:cs="Times New Roman"/>
          <w:sz w:val="24"/>
          <w:szCs w:val="24"/>
          <w:shd w:val="clear" w:color="auto" w:fill="FFFFFF"/>
        </w:rPr>
        <w:t>(Supplement_1), S397-S408.</w:t>
      </w:r>
    </w:p>
    <w:p w14:paraId="3659C357"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Demir, E., &amp; Ersan, O. (2017). Economic policy uncertainty and cash holdings: Evidence from BRIC countries. </w:t>
      </w:r>
      <w:r w:rsidRPr="009A4091">
        <w:rPr>
          <w:rFonts w:ascii="Times New Roman" w:hAnsi="Times New Roman" w:cs="Times New Roman"/>
          <w:i/>
          <w:iCs/>
          <w:sz w:val="24"/>
          <w:szCs w:val="24"/>
          <w:shd w:val="clear" w:color="auto" w:fill="FFFFFF"/>
        </w:rPr>
        <w:t>Emerging Markets Review</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33</w:t>
      </w:r>
      <w:r w:rsidRPr="009A4091">
        <w:rPr>
          <w:rFonts w:ascii="Times New Roman" w:hAnsi="Times New Roman" w:cs="Times New Roman"/>
          <w:sz w:val="24"/>
          <w:szCs w:val="24"/>
          <w:shd w:val="clear" w:color="auto" w:fill="FFFFFF"/>
        </w:rPr>
        <w:t>, 189-200.</w:t>
      </w:r>
    </w:p>
    <w:p w14:paraId="2CA7B1C1"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Dew-Becker, I., Giglio, S., &amp; Kelly, B. (2021). Hedging macroeconomic and financial uncertainty and volatility. </w:t>
      </w:r>
      <w:r w:rsidRPr="009A4091">
        <w:rPr>
          <w:rFonts w:ascii="Times New Roman" w:hAnsi="Times New Roman" w:cs="Times New Roman"/>
          <w:i/>
          <w:iCs/>
          <w:sz w:val="24"/>
          <w:szCs w:val="24"/>
          <w:shd w:val="clear" w:color="auto" w:fill="FFFFFF"/>
        </w:rPr>
        <w:t>Journal of Financial Economics</w:t>
      </w:r>
      <w:r w:rsidRPr="009A4091">
        <w:rPr>
          <w:rFonts w:ascii="Times New Roman" w:hAnsi="Times New Roman" w:cs="Times New Roman"/>
          <w:sz w:val="24"/>
          <w:szCs w:val="24"/>
          <w:shd w:val="clear" w:color="auto" w:fill="FFFFFF"/>
        </w:rPr>
        <w:t>.</w:t>
      </w:r>
    </w:p>
    <w:p w14:paraId="385B0817"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Didier, T., </w:t>
      </w:r>
      <w:proofErr w:type="spellStart"/>
      <w:r w:rsidRPr="009A4091">
        <w:rPr>
          <w:rFonts w:ascii="Times New Roman" w:hAnsi="Times New Roman" w:cs="Times New Roman"/>
          <w:sz w:val="24"/>
          <w:szCs w:val="24"/>
          <w:shd w:val="clear" w:color="auto" w:fill="FFFFFF"/>
        </w:rPr>
        <w:t>Hevia</w:t>
      </w:r>
      <w:proofErr w:type="spellEnd"/>
      <w:r w:rsidRPr="009A4091">
        <w:rPr>
          <w:rFonts w:ascii="Times New Roman" w:hAnsi="Times New Roman" w:cs="Times New Roman"/>
          <w:sz w:val="24"/>
          <w:szCs w:val="24"/>
          <w:shd w:val="clear" w:color="auto" w:fill="FFFFFF"/>
        </w:rPr>
        <w:t xml:space="preserve">, C., &amp; </w:t>
      </w:r>
      <w:proofErr w:type="spellStart"/>
      <w:r w:rsidRPr="009A4091">
        <w:rPr>
          <w:rFonts w:ascii="Times New Roman" w:hAnsi="Times New Roman" w:cs="Times New Roman"/>
          <w:sz w:val="24"/>
          <w:szCs w:val="24"/>
          <w:shd w:val="clear" w:color="auto" w:fill="FFFFFF"/>
        </w:rPr>
        <w:t>Schmukler</w:t>
      </w:r>
      <w:proofErr w:type="spellEnd"/>
      <w:r w:rsidRPr="009A4091">
        <w:rPr>
          <w:rFonts w:ascii="Times New Roman" w:hAnsi="Times New Roman" w:cs="Times New Roman"/>
          <w:sz w:val="24"/>
          <w:szCs w:val="24"/>
          <w:shd w:val="clear" w:color="auto" w:fill="FFFFFF"/>
        </w:rPr>
        <w:t xml:space="preserve">, S. L. (2012). How resilient and countercyclical were emerging economies during the global financial </w:t>
      </w:r>
      <w:proofErr w:type="gramStart"/>
      <w:r w:rsidRPr="009A4091">
        <w:rPr>
          <w:rFonts w:ascii="Times New Roman" w:hAnsi="Times New Roman" w:cs="Times New Roman"/>
          <w:sz w:val="24"/>
          <w:szCs w:val="24"/>
          <w:shd w:val="clear" w:color="auto" w:fill="FFFFFF"/>
        </w:rPr>
        <w:t>crisis?.</w:t>
      </w:r>
      <w:proofErr w:type="gramEnd"/>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Journal of International Money and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31</w:t>
      </w:r>
      <w:r w:rsidRPr="009A4091">
        <w:rPr>
          <w:rFonts w:ascii="Times New Roman" w:hAnsi="Times New Roman" w:cs="Times New Roman"/>
          <w:sz w:val="24"/>
          <w:szCs w:val="24"/>
          <w:shd w:val="clear" w:color="auto" w:fill="FFFFFF"/>
        </w:rPr>
        <w:t>(8), 2052-2077.</w:t>
      </w:r>
    </w:p>
    <w:p w14:paraId="24F4C3D8" w14:textId="77777777" w:rsidR="003C061A" w:rsidRPr="009A4091" w:rsidRDefault="00D81AD6" w:rsidP="003C06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Diebold, F. X., &amp; </w:t>
      </w:r>
      <w:proofErr w:type="spellStart"/>
      <w:r w:rsidRPr="009A4091">
        <w:rPr>
          <w:rFonts w:ascii="Times New Roman" w:hAnsi="Times New Roman" w:cs="Times New Roman"/>
          <w:sz w:val="24"/>
          <w:szCs w:val="24"/>
          <w:shd w:val="clear" w:color="auto" w:fill="FFFFFF"/>
        </w:rPr>
        <w:t>Yılmaz</w:t>
      </w:r>
      <w:proofErr w:type="spellEnd"/>
      <w:r w:rsidRPr="009A4091">
        <w:rPr>
          <w:rFonts w:ascii="Times New Roman" w:hAnsi="Times New Roman" w:cs="Times New Roman"/>
          <w:sz w:val="24"/>
          <w:szCs w:val="24"/>
          <w:shd w:val="clear" w:color="auto" w:fill="FFFFFF"/>
        </w:rPr>
        <w:t>, K. (2014). On the network topology of variance decompositions: Measuring the connectedness of financial firms. </w:t>
      </w:r>
      <w:r w:rsidRPr="009A4091">
        <w:rPr>
          <w:rFonts w:ascii="Times New Roman" w:hAnsi="Times New Roman" w:cs="Times New Roman"/>
          <w:i/>
          <w:iCs/>
          <w:sz w:val="24"/>
          <w:szCs w:val="24"/>
          <w:shd w:val="clear" w:color="auto" w:fill="FFFFFF"/>
        </w:rPr>
        <w:t>Journal of econometrics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182</w:t>
      </w:r>
      <w:r w:rsidRPr="009A4091">
        <w:rPr>
          <w:rFonts w:ascii="Times New Roman" w:hAnsi="Times New Roman" w:cs="Times New Roman"/>
          <w:sz w:val="24"/>
          <w:szCs w:val="24"/>
          <w:shd w:val="clear" w:color="auto" w:fill="FFFFFF"/>
        </w:rPr>
        <w:t>(1), 119-134.</w:t>
      </w:r>
    </w:p>
    <w:p w14:paraId="6759FFAB" w14:textId="5D09F767" w:rsidR="003C061A" w:rsidRPr="009A4091" w:rsidRDefault="003C061A"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color w:val="222222"/>
          <w:sz w:val="24"/>
          <w:szCs w:val="24"/>
          <w:shd w:val="clear" w:color="auto" w:fill="FFFFFF"/>
        </w:rPr>
        <w:lastRenderedPageBreak/>
        <w:t>Elsayed</w:t>
      </w:r>
      <w:proofErr w:type="spellEnd"/>
      <w:r w:rsidRPr="009A4091">
        <w:rPr>
          <w:rFonts w:ascii="Times New Roman" w:hAnsi="Times New Roman" w:cs="Times New Roman"/>
          <w:color w:val="222222"/>
          <w:sz w:val="24"/>
          <w:szCs w:val="24"/>
          <w:shd w:val="clear" w:color="auto" w:fill="FFFFFF"/>
        </w:rPr>
        <w:t>, A. H., Gozgor, G., &amp; Yarovaya, L. (2022). Volatility and return connectedness of cryptocurrency, gold, and uncertainty: Evidence from the cryptocurrency uncertainty indices. </w:t>
      </w:r>
      <w:r w:rsidRPr="009A4091">
        <w:rPr>
          <w:rFonts w:ascii="Times New Roman" w:hAnsi="Times New Roman" w:cs="Times New Roman"/>
          <w:i/>
          <w:iCs/>
          <w:color w:val="222222"/>
          <w:sz w:val="24"/>
          <w:szCs w:val="24"/>
          <w:shd w:val="clear" w:color="auto" w:fill="FFFFFF"/>
        </w:rPr>
        <w:t>Finance Research Letters</w:t>
      </w:r>
      <w:r w:rsidRPr="009A4091">
        <w:rPr>
          <w:rFonts w:ascii="Times New Roman" w:hAnsi="Times New Roman" w:cs="Times New Roman"/>
          <w:color w:val="222222"/>
          <w:sz w:val="24"/>
          <w:szCs w:val="24"/>
          <w:shd w:val="clear" w:color="auto" w:fill="FFFFFF"/>
        </w:rPr>
        <w:t>, 102732.</w:t>
      </w:r>
    </w:p>
    <w:p w14:paraId="447E984E" w14:textId="1C14DC74"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Fama</w:t>
      </w:r>
      <w:proofErr w:type="spellEnd"/>
      <w:r w:rsidRPr="009A4091">
        <w:rPr>
          <w:rFonts w:ascii="Times New Roman" w:hAnsi="Times New Roman" w:cs="Times New Roman"/>
          <w:sz w:val="24"/>
          <w:szCs w:val="24"/>
          <w:shd w:val="clear" w:color="auto" w:fill="FFFFFF"/>
        </w:rPr>
        <w:t>, E. F., &amp; French, K. R. (2015). A five-factor asset pricing model. </w:t>
      </w:r>
      <w:r w:rsidRPr="009A4091">
        <w:rPr>
          <w:rFonts w:ascii="Times New Roman" w:hAnsi="Times New Roman" w:cs="Times New Roman"/>
          <w:i/>
          <w:iCs/>
          <w:sz w:val="24"/>
          <w:szCs w:val="24"/>
          <w:shd w:val="clear" w:color="auto" w:fill="FFFFFF"/>
        </w:rPr>
        <w:t>Journal of Financial Economics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116</w:t>
      </w:r>
      <w:r w:rsidRPr="009A4091">
        <w:rPr>
          <w:rFonts w:ascii="Times New Roman" w:hAnsi="Times New Roman" w:cs="Times New Roman"/>
          <w:sz w:val="24"/>
          <w:szCs w:val="24"/>
          <w:shd w:val="clear" w:color="auto" w:fill="FFFFFF"/>
        </w:rPr>
        <w:t>(1), 1-22.</w:t>
      </w:r>
    </w:p>
    <w:p w14:paraId="47A5CCF7"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Feldstein, M. (2002). Argentina’s Fall-Lessons from the Latest Financial Crisis. </w:t>
      </w:r>
      <w:r w:rsidRPr="009A4091">
        <w:rPr>
          <w:rFonts w:ascii="Times New Roman" w:hAnsi="Times New Roman" w:cs="Times New Roman"/>
          <w:i/>
          <w:iCs/>
          <w:sz w:val="24"/>
          <w:szCs w:val="24"/>
          <w:shd w:val="clear" w:color="auto" w:fill="FFFFFF"/>
        </w:rPr>
        <w:t xml:space="preserve">Foreign </w:t>
      </w:r>
      <w:proofErr w:type="spellStart"/>
      <w:r w:rsidRPr="009A4091">
        <w:rPr>
          <w:rFonts w:ascii="Times New Roman" w:hAnsi="Times New Roman" w:cs="Times New Roman"/>
          <w:i/>
          <w:iCs/>
          <w:sz w:val="24"/>
          <w:szCs w:val="24"/>
          <w:shd w:val="clear" w:color="auto" w:fill="FFFFFF"/>
        </w:rPr>
        <w:t>Aff</w:t>
      </w:r>
      <w:proofErr w:type="spellEnd"/>
      <w:r w:rsidRPr="009A4091">
        <w:rPr>
          <w:rFonts w:ascii="Times New Roman" w:hAnsi="Times New Roman" w:cs="Times New Roman"/>
          <w:i/>
          <w:iCs/>
          <w:sz w:val="24"/>
          <w:szCs w:val="24"/>
          <w:shd w:val="clear" w:color="auto" w:fill="FFFFFF"/>
        </w:rPr>
        <w:t>.</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81</w:t>
      </w:r>
      <w:r w:rsidRPr="009A4091">
        <w:rPr>
          <w:rFonts w:ascii="Times New Roman" w:hAnsi="Times New Roman" w:cs="Times New Roman"/>
          <w:sz w:val="24"/>
          <w:szCs w:val="24"/>
          <w:shd w:val="clear" w:color="auto" w:fill="FFFFFF"/>
        </w:rPr>
        <w:t>, 8.</w:t>
      </w:r>
    </w:p>
    <w:p w14:paraId="3EB4F766"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Foye, J. (2018). A comprehensive test of the </w:t>
      </w:r>
      <w:proofErr w:type="spellStart"/>
      <w:r w:rsidRPr="009A4091">
        <w:rPr>
          <w:rFonts w:ascii="Times New Roman" w:hAnsi="Times New Roman" w:cs="Times New Roman"/>
          <w:sz w:val="24"/>
          <w:szCs w:val="24"/>
          <w:shd w:val="clear" w:color="auto" w:fill="FFFFFF"/>
        </w:rPr>
        <w:t>Fama</w:t>
      </w:r>
      <w:proofErr w:type="spellEnd"/>
      <w:r w:rsidRPr="009A4091">
        <w:rPr>
          <w:rFonts w:ascii="Times New Roman" w:hAnsi="Times New Roman" w:cs="Times New Roman"/>
          <w:sz w:val="24"/>
          <w:szCs w:val="24"/>
          <w:shd w:val="clear" w:color="auto" w:fill="FFFFFF"/>
        </w:rPr>
        <w:t>-French five-factor model in emerging markets. </w:t>
      </w:r>
      <w:r w:rsidRPr="009A4091">
        <w:rPr>
          <w:rFonts w:ascii="Times New Roman" w:hAnsi="Times New Roman" w:cs="Times New Roman"/>
          <w:i/>
          <w:iCs/>
          <w:sz w:val="24"/>
          <w:szCs w:val="24"/>
          <w:shd w:val="clear" w:color="auto" w:fill="FFFFFF"/>
        </w:rPr>
        <w:t>Emerging Markets Review</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37</w:t>
      </w:r>
      <w:r w:rsidRPr="009A4091">
        <w:rPr>
          <w:rFonts w:ascii="Times New Roman" w:hAnsi="Times New Roman" w:cs="Times New Roman"/>
          <w:sz w:val="24"/>
          <w:szCs w:val="24"/>
          <w:shd w:val="clear" w:color="auto" w:fill="FFFFFF"/>
        </w:rPr>
        <w:t>, 199-222.</w:t>
      </w:r>
    </w:p>
    <w:p w14:paraId="3F83CB76" w14:textId="77777777" w:rsidR="00D81AD6" w:rsidRPr="009A4091" w:rsidRDefault="00D81AD6" w:rsidP="00ED7BF0">
      <w:pPr>
        <w:spacing w:line="360" w:lineRule="auto"/>
        <w:jc w:val="both"/>
        <w:rPr>
          <w:rFonts w:ascii="Times New Roman" w:hAnsi="Times New Roman" w:cs="Times New Roman"/>
          <w:sz w:val="24"/>
          <w:szCs w:val="24"/>
        </w:rPr>
      </w:pPr>
      <w:bookmarkStart w:id="14" w:name="_Hlk80496867"/>
      <w:proofErr w:type="spellStart"/>
      <w:r w:rsidRPr="009A4091">
        <w:rPr>
          <w:rFonts w:ascii="Times New Roman" w:hAnsi="Times New Roman" w:cs="Times New Roman"/>
          <w:sz w:val="24"/>
          <w:szCs w:val="24"/>
          <w:shd w:val="clear" w:color="auto" w:fill="FFFFFF"/>
        </w:rPr>
        <w:t>Gębka</w:t>
      </w:r>
      <w:proofErr w:type="spellEnd"/>
      <w:r w:rsidRPr="009A4091">
        <w:rPr>
          <w:rFonts w:ascii="Times New Roman" w:hAnsi="Times New Roman" w:cs="Times New Roman"/>
          <w:sz w:val="24"/>
          <w:szCs w:val="24"/>
          <w:shd w:val="clear" w:color="auto" w:fill="FFFFFF"/>
        </w:rPr>
        <w:t xml:space="preserve">, B., &amp; Serwa, D. (2007). </w:t>
      </w:r>
      <w:bookmarkEnd w:id="14"/>
      <w:r w:rsidRPr="009A4091">
        <w:rPr>
          <w:rFonts w:ascii="Times New Roman" w:hAnsi="Times New Roman" w:cs="Times New Roman"/>
          <w:sz w:val="24"/>
          <w:szCs w:val="24"/>
          <w:shd w:val="clear" w:color="auto" w:fill="FFFFFF"/>
        </w:rPr>
        <w:t>Intra-and inter-regional spillovers between emerging capital markets around the world. </w:t>
      </w:r>
      <w:r w:rsidRPr="009A4091">
        <w:rPr>
          <w:rFonts w:ascii="Times New Roman" w:hAnsi="Times New Roman" w:cs="Times New Roman"/>
          <w:i/>
          <w:iCs/>
          <w:sz w:val="24"/>
          <w:szCs w:val="24"/>
          <w:shd w:val="clear" w:color="auto" w:fill="FFFFFF"/>
        </w:rPr>
        <w:t>Research in International Business and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21</w:t>
      </w:r>
      <w:r w:rsidRPr="009A4091">
        <w:rPr>
          <w:rFonts w:ascii="Times New Roman" w:hAnsi="Times New Roman" w:cs="Times New Roman"/>
          <w:sz w:val="24"/>
          <w:szCs w:val="24"/>
          <w:shd w:val="clear" w:color="auto" w:fill="FFFFFF"/>
        </w:rPr>
        <w:t>(2), 203-221.</w:t>
      </w:r>
    </w:p>
    <w:p w14:paraId="3E214BAE"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Giglio, S., Kelly, B., &amp; Pruitt, S. (2016). Systemic risk and the macroeconomy: An empirical evaluation. </w:t>
      </w:r>
      <w:r w:rsidRPr="009A4091">
        <w:rPr>
          <w:rFonts w:ascii="Times New Roman" w:hAnsi="Times New Roman" w:cs="Times New Roman"/>
          <w:i/>
          <w:iCs/>
          <w:sz w:val="24"/>
          <w:szCs w:val="24"/>
          <w:shd w:val="clear" w:color="auto" w:fill="FFFFFF"/>
        </w:rPr>
        <w:t>Journal of Financial Economics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119</w:t>
      </w:r>
      <w:r w:rsidRPr="009A4091">
        <w:rPr>
          <w:rFonts w:ascii="Times New Roman" w:hAnsi="Times New Roman" w:cs="Times New Roman"/>
          <w:sz w:val="24"/>
          <w:szCs w:val="24"/>
          <w:shd w:val="clear" w:color="auto" w:fill="FFFFFF"/>
        </w:rPr>
        <w:t>(3), 457-471.</w:t>
      </w:r>
    </w:p>
    <w:p w14:paraId="1E611593" w14:textId="77777777" w:rsidR="00D81AD6" w:rsidRPr="009A4091" w:rsidRDefault="00D81AD6" w:rsidP="0056181A">
      <w:pPr>
        <w:spacing w:line="360" w:lineRule="auto"/>
        <w:jc w:val="both"/>
        <w:rPr>
          <w:rFonts w:ascii="Times New Roman" w:hAnsi="Times New Roman" w:cs="Times New Roman"/>
          <w:sz w:val="24"/>
          <w:szCs w:val="24"/>
          <w:lang w:val="en-NZ"/>
        </w:rPr>
      </w:pPr>
      <w:bookmarkStart w:id="15" w:name="_Hlk80571626"/>
      <w:r w:rsidRPr="009A4091">
        <w:rPr>
          <w:rFonts w:ascii="Times New Roman" w:hAnsi="Times New Roman" w:cs="Times New Roman"/>
          <w:sz w:val="24"/>
          <w:szCs w:val="24"/>
          <w:shd w:val="clear" w:color="auto" w:fill="FFFFFF"/>
        </w:rPr>
        <w:t>Goodell</w:t>
      </w:r>
      <w:bookmarkEnd w:id="15"/>
      <w:r w:rsidRPr="009A4091">
        <w:rPr>
          <w:rFonts w:ascii="Times New Roman" w:hAnsi="Times New Roman" w:cs="Times New Roman"/>
          <w:sz w:val="24"/>
          <w:szCs w:val="24"/>
          <w:shd w:val="clear" w:color="auto" w:fill="FFFFFF"/>
        </w:rPr>
        <w:t>, J. W. (2020). COVID-19 and finance: Agendas for future research.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35</w:t>
      </w:r>
      <w:r w:rsidRPr="009A4091">
        <w:rPr>
          <w:rFonts w:ascii="Times New Roman" w:hAnsi="Times New Roman" w:cs="Times New Roman"/>
          <w:sz w:val="24"/>
          <w:szCs w:val="24"/>
          <w:shd w:val="clear" w:color="auto" w:fill="FFFFFF"/>
        </w:rPr>
        <w:t>, 101512.</w:t>
      </w:r>
    </w:p>
    <w:p w14:paraId="0D856732"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Gormsen</w:t>
      </w:r>
      <w:proofErr w:type="spellEnd"/>
      <w:r w:rsidRPr="009A4091">
        <w:rPr>
          <w:rFonts w:ascii="Times New Roman" w:hAnsi="Times New Roman" w:cs="Times New Roman"/>
          <w:sz w:val="24"/>
          <w:szCs w:val="24"/>
          <w:shd w:val="clear" w:color="auto" w:fill="FFFFFF"/>
        </w:rPr>
        <w:t xml:space="preserve">, N. J., &amp; </w:t>
      </w:r>
      <w:proofErr w:type="spellStart"/>
      <w:r w:rsidRPr="009A4091">
        <w:rPr>
          <w:rFonts w:ascii="Times New Roman" w:hAnsi="Times New Roman" w:cs="Times New Roman"/>
          <w:sz w:val="24"/>
          <w:szCs w:val="24"/>
          <w:shd w:val="clear" w:color="auto" w:fill="FFFFFF"/>
        </w:rPr>
        <w:t>Koijen</w:t>
      </w:r>
      <w:proofErr w:type="spellEnd"/>
      <w:r w:rsidRPr="009A4091">
        <w:rPr>
          <w:rFonts w:ascii="Times New Roman" w:hAnsi="Times New Roman" w:cs="Times New Roman"/>
          <w:sz w:val="24"/>
          <w:szCs w:val="24"/>
          <w:shd w:val="clear" w:color="auto" w:fill="FFFFFF"/>
        </w:rPr>
        <w:t>, R. S. (2020). Coronavirus: Impact on stock prices and growth expectations. </w:t>
      </w:r>
      <w:r w:rsidRPr="009A4091">
        <w:rPr>
          <w:rFonts w:ascii="Times New Roman" w:hAnsi="Times New Roman" w:cs="Times New Roman"/>
          <w:i/>
          <w:iCs/>
          <w:sz w:val="24"/>
          <w:szCs w:val="24"/>
          <w:shd w:val="clear" w:color="auto" w:fill="FFFFFF"/>
        </w:rPr>
        <w:t>The Review of Asset Pricing Studies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10</w:t>
      </w:r>
      <w:r w:rsidRPr="009A4091">
        <w:rPr>
          <w:rFonts w:ascii="Times New Roman" w:hAnsi="Times New Roman" w:cs="Times New Roman"/>
          <w:sz w:val="24"/>
          <w:szCs w:val="24"/>
          <w:shd w:val="clear" w:color="auto" w:fill="FFFFFF"/>
        </w:rPr>
        <w:t>(4), 574-597.</w:t>
      </w:r>
    </w:p>
    <w:p w14:paraId="51D4A4E2" w14:textId="77777777" w:rsidR="00D81AD6" w:rsidRPr="009A4091" w:rsidRDefault="00D81AD6" w:rsidP="00A67D75">
      <w:pPr>
        <w:spacing w:before="240" w:line="360" w:lineRule="auto"/>
        <w:jc w:val="both"/>
        <w:rPr>
          <w:rFonts w:ascii="Times New Roman" w:hAnsi="Times New Roman" w:cs="Times New Roman"/>
          <w:color w:val="0070C0"/>
          <w:sz w:val="24"/>
          <w:szCs w:val="24"/>
          <w:shd w:val="clear" w:color="auto" w:fill="FFFFFF"/>
        </w:rPr>
      </w:pPr>
      <w:proofErr w:type="spellStart"/>
      <w:r w:rsidRPr="009A4091">
        <w:rPr>
          <w:rFonts w:ascii="Times New Roman" w:hAnsi="Times New Roman" w:cs="Times New Roman"/>
          <w:color w:val="0070C0"/>
          <w:sz w:val="24"/>
          <w:szCs w:val="24"/>
          <w:shd w:val="clear" w:color="auto" w:fill="FFFFFF"/>
        </w:rPr>
        <w:t>Gozgor</w:t>
      </w:r>
      <w:proofErr w:type="spellEnd"/>
      <w:r w:rsidRPr="009A4091">
        <w:rPr>
          <w:rFonts w:ascii="Times New Roman" w:hAnsi="Times New Roman" w:cs="Times New Roman"/>
          <w:color w:val="0070C0"/>
          <w:sz w:val="24"/>
          <w:szCs w:val="24"/>
          <w:shd w:val="clear" w:color="auto" w:fill="FFFFFF"/>
        </w:rPr>
        <w:t>, G. (2014). Determinants of domestic credit levels in emerging markets: The role of external factors. </w:t>
      </w:r>
      <w:r w:rsidRPr="009A4091">
        <w:rPr>
          <w:rFonts w:ascii="Times New Roman" w:hAnsi="Times New Roman" w:cs="Times New Roman"/>
          <w:i/>
          <w:iCs/>
          <w:color w:val="0070C0"/>
          <w:sz w:val="24"/>
          <w:szCs w:val="24"/>
          <w:shd w:val="clear" w:color="auto" w:fill="FFFFFF"/>
        </w:rPr>
        <w:t>Emerging Markets Review</w:t>
      </w:r>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18</w:t>
      </w:r>
      <w:r w:rsidRPr="009A4091">
        <w:rPr>
          <w:rFonts w:ascii="Times New Roman" w:hAnsi="Times New Roman" w:cs="Times New Roman"/>
          <w:color w:val="0070C0"/>
          <w:sz w:val="24"/>
          <w:szCs w:val="24"/>
          <w:shd w:val="clear" w:color="auto" w:fill="FFFFFF"/>
        </w:rPr>
        <w:t>, 1-18.</w:t>
      </w:r>
    </w:p>
    <w:p w14:paraId="65C64306" w14:textId="77777777" w:rsidR="00D81AD6" w:rsidRPr="009A4091" w:rsidRDefault="00D81AD6" w:rsidP="00A67D75">
      <w:pPr>
        <w:spacing w:before="240" w:line="360" w:lineRule="auto"/>
        <w:jc w:val="both"/>
        <w:rPr>
          <w:rFonts w:ascii="Times New Roman" w:hAnsi="Times New Roman" w:cs="Times New Roman"/>
          <w:color w:val="0070C0"/>
          <w:sz w:val="24"/>
          <w:szCs w:val="24"/>
          <w:lang w:val="en-NZ"/>
        </w:rPr>
      </w:pPr>
      <w:proofErr w:type="spellStart"/>
      <w:r w:rsidRPr="009A4091">
        <w:rPr>
          <w:rFonts w:ascii="Times New Roman" w:hAnsi="Times New Roman" w:cs="Times New Roman"/>
          <w:color w:val="0070C0"/>
          <w:sz w:val="24"/>
          <w:szCs w:val="24"/>
          <w:shd w:val="clear" w:color="auto" w:fill="FFFFFF"/>
        </w:rPr>
        <w:t>Gozgor</w:t>
      </w:r>
      <w:proofErr w:type="spellEnd"/>
      <w:r w:rsidRPr="009A4091">
        <w:rPr>
          <w:rFonts w:ascii="Times New Roman" w:hAnsi="Times New Roman" w:cs="Times New Roman"/>
          <w:color w:val="0070C0"/>
          <w:sz w:val="24"/>
          <w:szCs w:val="24"/>
          <w:shd w:val="clear" w:color="auto" w:fill="FFFFFF"/>
        </w:rPr>
        <w:t>, G. (2018). Determinants of the domestic credits in developing economies: The role of political risks. </w:t>
      </w:r>
      <w:r w:rsidRPr="009A4091">
        <w:rPr>
          <w:rFonts w:ascii="Times New Roman" w:hAnsi="Times New Roman" w:cs="Times New Roman"/>
          <w:i/>
          <w:iCs/>
          <w:color w:val="0070C0"/>
          <w:sz w:val="24"/>
          <w:szCs w:val="24"/>
          <w:shd w:val="clear" w:color="auto" w:fill="FFFFFF"/>
        </w:rPr>
        <w:t>Research in International Business and Finance</w:t>
      </w:r>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46</w:t>
      </w:r>
      <w:r w:rsidRPr="009A4091">
        <w:rPr>
          <w:rFonts w:ascii="Times New Roman" w:hAnsi="Times New Roman" w:cs="Times New Roman"/>
          <w:color w:val="0070C0"/>
          <w:sz w:val="24"/>
          <w:szCs w:val="24"/>
          <w:shd w:val="clear" w:color="auto" w:fill="FFFFFF"/>
        </w:rPr>
        <w:t>, 430-443.</w:t>
      </w:r>
    </w:p>
    <w:p w14:paraId="02061D9E" w14:textId="77777777" w:rsidR="00D81AD6" w:rsidRPr="009A4091" w:rsidRDefault="00D81AD6" w:rsidP="0056181A">
      <w:pPr>
        <w:spacing w:line="360" w:lineRule="auto"/>
        <w:jc w:val="both"/>
        <w:rPr>
          <w:rFonts w:ascii="Times New Roman" w:hAnsi="Times New Roman" w:cs="Times New Roman"/>
          <w:sz w:val="24"/>
          <w:szCs w:val="24"/>
        </w:rPr>
      </w:pPr>
      <w:bookmarkStart w:id="16" w:name="_Hlk80494224"/>
      <w:proofErr w:type="spellStart"/>
      <w:r w:rsidRPr="009A4091">
        <w:rPr>
          <w:rFonts w:ascii="Times New Roman" w:hAnsi="Times New Roman" w:cs="Times New Roman"/>
          <w:sz w:val="24"/>
          <w:szCs w:val="24"/>
        </w:rPr>
        <w:t>Hammoudeh</w:t>
      </w:r>
      <w:bookmarkEnd w:id="16"/>
      <w:proofErr w:type="spellEnd"/>
      <w:r w:rsidRPr="009A4091">
        <w:rPr>
          <w:rFonts w:ascii="Times New Roman" w:hAnsi="Times New Roman" w:cs="Times New Roman"/>
          <w:sz w:val="24"/>
          <w:szCs w:val="24"/>
        </w:rPr>
        <w:t>, S. M., Yuan, Y., &amp; McAleer, M. (2009). Shock and volatility spillovers among equity sectors of the Gulf Arab stock markets. </w:t>
      </w:r>
      <w:r w:rsidRPr="009A4091">
        <w:rPr>
          <w:rFonts w:ascii="Times New Roman" w:hAnsi="Times New Roman" w:cs="Times New Roman"/>
          <w:i/>
          <w:iCs/>
          <w:sz w:val="24"/>
          <w:szCs w:val="24"/>
        </w:rPr>
        <w:t>The Quarterly Review of Economics and Finance</w:t>
      </w:r>
      <w:r w:rsidRPr="009A4091">
        <w:rPr>
          <w:rFonts w:ascii="Times New Roman" w:hAnsi="Times New Roman" w:cs="Times New Roman"/>
          <w:sz w:val="24"/>
          <w:szCs w:val="24"/>
        </w:rPr>
        <w:t>, </w:t>
      </w:r>
      <w:r w:rsidRPr="009A4091">
        <w:rPr>
          <w:rFonts w:ascii="Times New Roman" w:hAnsi="Times New Roman" w:cs="Times New Roman"/>
          <w:i/>
          <w:iCs/>
          <w:sz w:val="24"/>
          <w:szCs w:val="24"/>
        </w:rPr>
        <w:t>49</w:t>
      </w:r>
      <w:r w:rsidRPr="009A4091">
        <w:rPr>
          <w:rFonts w:ascii="Times New Roman" w:hAnsi="Times New Roman" w:cs="Times New Roman"/>
          <w:sz w:val="24"/>
          <w:szCs w:val="24"/>
        </w:rPr>
        <w:t>(3), 829-842.</w:t>
      </w:r>
    </w:p>
    <w:p w14:paraId="3FAAE11C"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Härdle</w:t>
      </w:r>
      <w:proofErr w:type="spellEnd"/>
      <w:r w:rsidRPr="009A4091">
        <w:rPr>
          <w:rFonts w:ascii="Times New Roman" w:hAnsi="Times New Roman" w:cs="Times New Roman"/>
          <w:sz w:val="24"/>
          <w:szCs w:val="24"/>
          <w:shd w:val="clear" w:color="auto" w:fill="FFFFFF"/>
        </w:rPr>
        <w:t>, W. K., Wang, W., &amp; Yu, L. (2016). Tenet: Tail-event driven network risk. </w:t>
      </w:r>
      <w:r w:rsidRPr="009A4091">
        <w:rPr>
          <w:rFonts w:ascii="Times New Roman" w:hAnsi="Times New Roman" w:cs="Times New Roman"/>
          <w:i/>
          <w:iCs/>
          <w:sz w:val="24"/>
          <w:szCs w:val="24"/>
          <w:shd w:val="clear" w:color="auto" w:fill="FFFFFF"/>
        </w:rPr>
        <w:t>Journal of Econometrics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192</w:t>
      </w:r>
      <w:r w:rsidRPr="009A4091">
        <w:rPr>
          <w:rFonts w:ascii="Times New Roman" w:hAnsi="Times New Roman" w:cs="Times New Roman"/>
          <w:sz w:val="24"/>
          <w:szCs w:val="24"/>
          <w:shd w:val="clear" w:color="auto" w:fill="FFFFFF"/>
        </w:rPr>
        <w:t>(2), 499-513.</w:t>
      </w:r>
    </w:p>
    <w:p w14:paraId="198AB72F" w14:textId="77777777" w:rsidR="00D81AD6" w:rsidRPr="009A4091" w:rsidRDefault="00D81AD6" w:rsidP="00ED7BF0">
      <w:pPr>
        <w:spacing w:line="360" w:lineRule="auto"/>
        <w:jc w:val="both"/>
        <w:rPr>
          <w:rFonts w:ascii="Times New Roman" w:hAnsi="Times New Roman" w:cs="Times New Roman"/>
          <w:sz w:val="24"/>
          <w:szCs w:val="24"/>
        </w:rPr>
      </w:pPr>
      <w:bookmarkStart w:id="17" w:name="_Hlk80568313"/>
      <w:proofErr w:type="spellStart"/>
      <w:r w:rsidRPr="009A4091">
        <w:rPr>
          <w:rFonts w:ascii="Times New Roman" w:hAnsi="Times New Roman" w:cs="Times New Roman"/>
          <w:sz w:val="24"/>
          <w:szCs w:val="24"/>
        </w:rPr>
        <w:t>Harjoto</w:t>
      </w:r>
      <w:bookmarkEnd w:id="17"/>
      <w:proofErr w:type="spellEnd"/>
      <w:r w:rsidRPr="009A4091">
        <w:rPr>
          <w:rFonts w:ascii="Times New Roman" w:hAnsi="Times New Roman" w:cs="Times New Roman"/>
          <w:sz w:val="24"/>
          <w:szCs w:val="24"/>
        </w:rPr>
        <w:t>, M. A., Rossi, F., &amp; Paglia, J. K. (2021). COVID-19: Stock market reactions to the shock and the stimulus. </w:t>
      </w:r>
      <w:r w:rsidRPr="009A4091">
        <w:rPr>
          <w:rFonts w:ascii="Times New Roman" w:hAnsi="Times New Roman" w:cs="Times New Roman"/>
          <w:i/>
          <w:iCs/>
          <w:sz w:val="24"/>
          <w:szCs w:val="24"/>
        </w:rPr>
        <w:t>Applied Economics Letters</w:t>
      </w:r>
      <w:r w:rsidRPr="009A4091">
        <w:rPr>
          <w:rFonts w:ascii="Times New Roman" w:hAnsi="Times New Roman" w:cs="Times New Roman"/>
          <w:sz w:val="24"/>
          <w:szCs w:val="24"/>
        </w:rPr>
        <w:t>, </w:t>
      </w:r>
      <w:r w:rsidRPr="009A4091">
        <w:rPr>
          <w:rFonts w:ascii="Times New Roman" w:hAnsi="Times New Roman" w:cs="Times New Roman"/>
          <w:i/>
          <w:iCs/>
          <w:sz w:val="24"/>
          <w:szCs w:val="24"/>
        </w:rPr>
        <w:t>28</w:t>
      </w:r>
      <w:r w:rsidRPr="009A4091">
        <w:rPr>
          <w:rFonts w:ascii="Times New Roman" w:hAnsi="Times New Roman" w:cs="Times New Roman"/>
          <w:sz w:val="24"/>
          <w:szCs w:val="24"/>
        </w:rPr>
        <w:t>(10), 795-801.</w:t>
      </w:r>
    </w:p>
    <w:p w14:paraId="79A23F8B"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lastRenderedPageBreak/>
        <w:t>Hautsch</w:t>
      </w:r>
      <w:proofErr w:type="spellEnd"/>
      <w:r w:rsidRPr="009A4091">
        <w:rPr>
          <w:rFonts w:ascii="Times New Roman" w:hAnsi="Times New Roman" w:cs="Times New Roman"/>
          <w:sz w:val="24"/>
          <w:szCs w:val="24"/>
          <w:shd w:val="clear" w:color="auto" w:fill="FFFFFF"/>
        </w:rPr>
        <w:t xml:space="preserve">, N., Schaumburg, J., &amp; </w:t>
      </w:r>
      <w:proofErr w:type="spellStart"/>
      <w:r w:rsidRPr="009A4091">
        <w:rPr>
          <w:rFonts w:ascii="Times New Roman" w:hAnsi="Times New Roman" w:cs="Times New Roman"/>
          <w:sz w:val="24"/>
          <w:szCs w:val="24"/>
          <w:shd w:val="clear" w:color="auto" w:fill="FFFFFF"/>
        </w:rPr>
        <w:t>Schienle</w:t>
      </w:r>
      <w:proofErr w:type="spellEnd"/>
      <w:r w:rsidRPr="009A4091">
        <w:rPr>
          <w:rFonts w:ascii="Times New Roman" w:hAnsi="Times New Roman" w:cs="Times New Roman"/>
          <w:sz w:val="24"/>
          <w:szCs w:val="24"/>
          <w:shd w:val="clear" w:color="auto" w:fill="FFFFFF"/>
        </w:rPr>
        <w:t>, M. (2015). Financial network systemic risk contributions. </w:t>
      </w:r>
      <w:r w:rsidRPr="009A4091">
        <w:rPr>
          <w:rFonts w:ascii="Times New Roman" w:hAnsi="Times New Roman" w:cs="Times New Roman"/>
          <w:i/>
          <w:iCs/>
          <w:sz w:val="24"/>
          <w:szCs w:val="24"/>
          <w:shd w:val="clear" w:color="auto" w:fill="FFFFFF"/>
        </w:rPr>
        <w:t>Review of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19</w:t>
      </w:r>
      <w:r w:rsidRPr="009A4091">
        <w:rPr>
          <w:rFonts w:ascii="Times New Roman" w:hAnsi="Times New Roman" w:cs="Times New Roman"/>
          <w:sz w:val="24"/>
          <w:szCs w:val="24"/>
          <w:shd w:val="clear" w:color="auto" w:fill="FFFFFF"/>
        </w:rPr>
        <w:t>(2), 685-738.</w:t>
      </w:r>
    </w:p>
    <w:p w14:paraId="606C9D8C"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Huang, X., Zhou, H., &amp; Zhu, H. (2009). A framework for assessing the systemic risk of major financial institutions. </w:t>
      </w:r>
      <w:r w:rsidRPr="009A4091">
        <w:rPr>
          <w:rFonts w:ascii="Times New Roman" w:hAnsi="Times New Roman" w:cs="Times New Roman"/>
          <w:i/>
          <w:iCs/>
          <w:sz w:val="24"/>
          <w:szCs w:val="24"/>
          <w:shd w:val="clear" w:color="auto" w:fill="FFFFFF"/>
        </w:rPr>
        <w:t>Journal of Banking &amp;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33</w:t>
      </w:r>
      <w:r w:rsidRPr="009A4091">
        <w:rPr>
          <w:rFonts w:ascii="Times New Roman" w:hAnsi="Times New Roman" w:cs="Times New Roman"/>
          <w:sz w:val="24"/>
          <w:szCs w:val="24"/>
          <w:shd w:val="clear" w:color="auto" w:fill="FFFFFF"/>
        </w:rPr>
        <w:t>(11), 2036-2049.</w:t>
      </w:r>
    </w:p>
    <w:p w14:paraId="41E4ECFC"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Hutchison, M. M., Noy, I., &amp; Wang, L. (2010). Fiscal and monetary policies and the cost of sudden stops. </w:t>
      </w:r>
      <w:r w:rsidRPr="009A4091">
        <w:rPr>
          <w:rFonts w:ascii="Times New Roman" w:hAnsi="Times New Roman" w:cs="Times New Roman"/>
          <w:i/>
          <w:iCs/>
          <w:sz w:val="24"/>
          <w:szCs w:val="24"/>
          <w:shd w:val="clear" w:color="auto" w:fill="FFFFFF"/>
        </w:rPr>
        <w:t>Journal of International Money and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29</w:t>
      </w:r>
      <w:r w:rsidRPr="009A4091">
        <w:rPr>
          <w:rFonts w:ascii="Times New Roman" w:hAnsi="Times New Roman" w:cs="Times New Roman"/>
          <w:sz w:val="24"/>
          <w:szCs w:val="24"/>
          <w:shd w:val="clear" w:color="auto" w:fill="FFFFFF"/>
        </w:rPr>
        <w:t>(6), 973-987.</w:t>
      </w:r>
    </w:p>
    <w:p w14:paraId="06645352"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Huynh, T. L. D., </w:t>
      </w:r>
      <w:proofErr w:type="spellStart"/>
      <w:r w:rsidRPr="009A4091">
        <w:rPr>
          <w:rFonts w:ascii="Times New Roman" w:hAnsi="Times New Roman" w:cs="Times New Roman"/>
          <w:sz w:val="24"/>
          <w:szCs w:val="24"/>
          <w:shd w:val="clear" w:color="auto" w:fill="FFFFFF"/>
        </w:rPr>
        <w:t>Foglia</w:t>
      </w:r>
      <w:proofErr w:type="spellEnd"/>
      <w:r w:rsidRPr="009A4091">
        <w:rPr>
          <w:rFonts w:ascii="Times New Roman" w:hAnsi="Times New Roman" w:cs="Times New Roman"/>
          <w:sz w:val="24"/>
          <w:szCs w:val="24"/>
          <w:shd w:val="clear" w:color="auto" w:fill="FFFFFF"/>
        </w:rPr>
        <w:t>, M., Nasir, M. A., &amp; Angelini, E. (2021). Feverish sentiment and global equity markets during the COVID-19 pandemic. </w:t>
      </w:r>
      <w:r w:rsidRPr="009A4091">
        <w:rPr>
          <w:rFonts w:ascii="Times New Roman" w:hAnsi="Times New Roman" w:cs="Times New Roman"/>
          <w:i/>
          <w:iCs/>
          <w:sz w:val="24"/>
          <w:szCs w:val="24"/>
          <w:shd w:val="clear" w:color="auto" w:fill="FFFFFF"/>
        </w:rPr>
        <w:t>Journal of Economic Behavior &amp; Organization</w:t>
      </w:r>
      <w:r w:rsidRPr="009A4091">
        <w:rPr>
          <w:rFonts w:ascii="Times New Roman" w:hAnsi="Times New Roman" w:cs="Times New Roman"/>
          <w:sz w:val="24"/>
          <w:szCs w:val="24"/>
          <w:shd w:val="clear" w:color="auto" w:fill="FFFFFF"/>
        </w:rPr>
        <w:t>.</w:t>
      </w:r>
    </w:p>
    <w:p w14:paraId="51DD271C" w14:textId="77777777" w:rsidR="00D81AD6" w:rsidRPr="009A4091" w:rsidRDefault="00D81AD6" w:rsidP="00ED7BF0">
      <w:pPr>
        <w:spacing w:line="360" w:lineRule="auto"/>
        <w:jc w:val="both"/>
        <w:rPr>
          <w:rFonts w:ascii="Times New Roman" w:hAnsi="Times New Roman" w:cs="Times New Roman"/>
          <w:sz w:val="24"/>
          <w:szCs w:val="24"/>
          <w:lang w:val="en-NZ"/>
        </w:rPr>
      </w:pPr>
      <w:proofErr w:type="spellStart"/>
      <w:r w:rsidRPr="009A4091">
        <w:rPr>
          <w:rFonts w:ascii="Times New Roman" w:hAnsi="Times New Roman" w:cs="Times New Roman"/>
          <w:sz w:val="24"/>
          <w:szCs w:val="24"/>
          <w:shd w:val="clear" w:color="auto" w:fill="FFFFFF"/>
        </w:rPr>
        <w:t>Jin</w:t>
      </w:r>
      <w:proofErr w:type="spellEnd"/>
      <w:r w:rsidRPr="009A4091">
        <w:rPr>
          <w:rFonts w:ascii="Times New Roman" w:hAnsi="Times New Roman" w:cs="Times New Roman"/>
          <w:sz w:val="24"/>
          <w:szCs w:val="24"/>
          <w:shd w:val="clear" w:color="auto" w:fill="FFFFFF"/>
        </w:rPr>
        <w:t>, X., &amp; An, X. (2016). Global financial crisis and emerging stock market contagion: A volatility impulse response function approach. </w:t>
      </w:r>
      <w:r w:rsidRPr="009A4091">
        <w:rPr>
          <w:rFonts w:ascii="Times New Roman" w:hAnsi="Times New Roman" w:cs="Times New Roman"/>
          <w:i/>
          <w:iCs/>
          <w:sz w:val="24"/>
          <w:szCs w:val="24"/>
          <w:shd w:val="clear" w:color="auto" w:fill="FFFFFF"/>
        </w:rPr>
        <w:t>Research in International Business and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36</w:t>
      </w:r>
      <w:r w:rsidRPr="009A4091">
        <w:rPr>
          <w:rFonts w:ascii="Times New Roman" w:hAnsi="Times New Roman" w:cs="Times New Roman"/>
          <w:sz w:val="24"/>
          <w:szCs w:val="24"/>
          <w:shd w:val="clear" w:color="auto" w:fill="FFFFFF"/>
        </w:rPr>
        <w:t>, 179-195.</w:t>
      </w:r>
    </w:p>
    <w:p w14:paraId="0479D514" w14:textId="77777777" w:rsidR="000004F2" w:rsidRPr="009A4091" w:rsidRDefault="00D81AD6" w:rsidP="000004F2">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Joshi, P. (2011). Return and volatility spillovers among Asian stock markets. </w:t>
      </w:r>
      <w:r w:rsidRPr="009A4091">
        <w:rPr>
          <w:rFonts w:ascii="Times New Roman" w:hAnsi="Times New Roman" w:cs="Times New Roman"/>
          <w:i/>
          <w:iCs/>
          <w:sz w:val="24"/>
          <w:szCs w:val="24"/>
          <w:shd w:val="clear" w:color="auto" w:fill="FFFFFF"/>
        </w:rPr>
        <w:t>Sage Open</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w:t>
      </w:r>
      <w:r w:rsidRPr="009A4091">
        <w:rPr>
          <w:rFonts w:ascii="Times New Roman" w:hAnsi="Times New Roman" w:cs="Times New Roman"/>
          <w:sz w:val="24"/>
          <w:szCs w:val="24"/>
          <w:shd w:val="clear" w:color="auto" w:fill="FFFFFF"/>
        </w:rPr>
        <w:t>(1), 2158244011413474.</w:t>
      </w:r>
    </w:p>
    <w:p w14:paraId="7DC54079" w14:textId="50F007FA" w:rsidR="000004F2" w:rsidRPr="009A4091" w:rsidRDefault="000004F2" w:rsidP="003C06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color w:val="222222"/>
          <w:sz w:val="24"/>
          <w:szCs w:val="24"/>
          <w:shd w:val="clear" w:color="auto" w:fill="FFFFFF"/>
        </w:rPr>
        <w:t>KARIM, S., KHAN, S., MIRZA, N., ALAWI, S. M., &amp; TAGHIZADEH-HESARY, F. A. R. H. A. D. (2022). Climate finance in the wake of COVID-19: connectedness of clean energy with conventional energy and regional stock markets. </w:t>
      </w:r>
      <w:r w:rsidRPr="009A4091">
        <w:rPr>
          <w:rFonts w:ascii="Times New Roman" w:hAnsi="Times New Roman" w:cs="Times New Roman"/>
          <w:i/>
          <w:iCs/>
          <w:color w:val="222222"/>
          <w:sz w:val="24"/>
          <w:szCs w:val="24"/>
          <w:shd w:val="clear" w:color="auto" w:fill="FFFFFF"/>
        </w:rPr>
        <w:t>Climate Change Economics</w:t>
      </w:r>
      <w:r w:rsidRPr="009A4091">
        <w:rPr>
          <w:rFonts w:ascii="Times New Roman" w:hAnsi="Times New Roman" w:cs="Times New Roman"/>
          <w:color w:val="222222"/>
          <w:sz w:val="24"/>
          <w:szCs w:val="24"/>
          <w:shd w:val="clear" w:color="auto" w:fill="FFFFFF"/>
        </w:rPr>
        <w:t>, 2240008.</w:t>
      </w:r>
    </w:p>
    <w:p w14:paraId="782A9957" w14:textId="36A1F1C7" w:rsidR="003C061A" w:rsidRPr="009A4091" w:rsidRDefault="003C061A" w:rsidP="003C061A">
      <w:pPr>
        <w:spacing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 xml:space="preserve">Karim, S., Lucey, B. M., Naeem, M. A., &amp; Vigne, S. A. (2022). The dark side of Bitcoin: Do Emerging Asian Islamic markets help subdue the ethical </w:t>
      </w:r>
      <w:proofErr w:type="gramStart"/>
      <w:r w:rsidRPr="009A4091">
        <w:rPr>
          <w:rFonts w:ascii="Times New Roman" w:hAnsi="Times New Roman" w:cs="Times New Roman"/>
          <w:color w:val="222222"/>
          <w:sz w:val="24"/>
          <w:szCs w:val="24"/>
          <w:shd w:val="clear" w:color="auto" w:fill="FFFFFF"/>
        </w:rPr>
        <w:t>risk?.</w:t>
      </w:r>
      <w:proofErr w:type="gramEnd"/>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Emerging Markets Review</w:t>
      </w:r>
      <w:r w:rsidRPr="009A4091">
        <w:rPr>
          <w:rFonts w:ascii="Times New Roman" w:hAnsi="Times New Roman" w:cs="Times New Roman"/>
          <w:color w:val="222222"/>
          <w:sz w:val="24"/>
          <w:szCs w:val="24"/>
          <w:shd w:val="clear" w:color="auto" w:fill="FFFFFF"/>
        </w:rPr>
        <w:t>, 100921.</w:t>
      </w:r>
    </w:p>
    <w:p w14:paraId="5096703E" w14:textId="77777777" w:rsidR="003C061A" w:rsidRPr="009A4091" w:rsidRDefault="003C061A" w:rsidP="003C061A">
      <w:pPr>
        <w:spacing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Karim, S., Lucey, B. M., Naeem, M. A., &amp; Uddin, G. S. (2022). Examining the interrelatedness of NFTs, DeFi tokens and cryptocurrencies. </w:t>
      </w:r>
      <w:r w:rsidRPr="009A4091">
        <w:rPr>
          <w:rFonts w:ascii="Times New Roman" w:hAnsi="Times New Roman" w:cs="Times New Roman"/>
          <w:i/>
          <w:iCs/>
          <w:color w:val="222222"/>
          <w:sz w:val="24"/>
          <w:szCs w:val="24"/>
          <w:shd w:val="clear" w:color="auto" w:fill="FFFFFF"/>
        </w:rPr>
        <w:t>Finance Research Letters</w:t>
      </w:r>
      <w:r w:rsidRPr="009A4091">
        <w:rPr>
          <w:rFonts w:ascii="Times New Roman" w:hAnsi="Times New Roman" w:cs="Times New Roman"/>
          <w:color w:val="222222"/>
          <w:sz w:val="24"/>
          <w:szCs w:val="24"/>
          <w:shd w:val="clear" w:color="auto" w:fill="FFFFFF"/>
        </w:rPr>
        <w:t>, 102696.</w:t>
      </w:r>
    </w:p>
    <w:p w14:paraId="456795B8" w14:textId="77777777" w:rsidR="003C061A" w:rsidRPr="009A4091" w:rsidRDefault="003C061A" w:rsidP="003C061A">
      <w:pPr>
        <w:spacing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Karim, S., Naeem, M. A., Hu, M., Zhang, D., &amp; Taghizadeh–Hesary, F. (2022). Determining dependence, centrality, and dynamic networks between green bonds and financial markets. </w:t>
      </w:r>
      <w:r w:rsidRPr="009A4091">
        <w:rPr>
          <w:rFonts w:ascii="Times New Roman" w:hAnsi="Times New Roman" w:cs="Times New Roman"/>
          <w:i/>
          <w:iCs/>
          <w:color w:val="222222"/>
          <w:sz w:val="24"/>
          <w:szCs w:val="24"/>
          <w:shd w:val="clear" w:color="auto" w:fill="FFFFFF"/>
        </w:rPr>
        <w:t>Journal of Environmental Management</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318</w:t>
      </w:r>
      <w:r w:rsidRPr="009A4091">
        <w:rPr>
          <w:rFonts w:ascii="Times New Roman" w:hAnsi="Times New Roman" w:cs="Times New Roman"/>
          <w:color w:val="222222"/>
          <w:sz w:val="24"/>
          <w:szCs w:val="24"/>
          <w:shd w:val="clear" w:color="auto" w:fill="FFFFFF"/>
        </w:rPr>
        <w:t>, 115618.</w:t>
      </w:r>
    </w:p>
    <w:p w14:paraId="7947B74A" w14:textId="77777777" w:rsidR="003C061A" w:rsidRPr="009A4091" w:rsidRDefault="003C061A" w:rsidP="003C061A">
      <w:pPr>
        <w:spacing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 xml:space="preserve">Karim, S., &amp; Naeem, M. A. (2022). Do global factors drive the interconnectedness among green, Islamic and conventional financial </w:t>
      </w:r>
      <w:proofErr w:type="gramStart"/>
      <w:r w:rsidRPr="009A4091">
        <w:rPr>
          <w:rFonts w:ascii="Times New Roman" w:hAnsi="Times New Roman" w:cs="Times New Roman"/>
          <w:color w:val="222222"/>
          <w:sz w:val="24"/>
          <w:szCs w:val="24"/>
          <w:shd w:val="clear" w:color="auto" w:fill="FFFFFF"/>
        </w:rPr>
        <w:t>markets?.</w:t>
      </w:r>
      <w:proofErr w:type="gramEnd"/>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International Journal of Managerial Finance</w:t>
      </w:r>
      <w:r w:rsidRPr="009A4091">
        <w:rPr>
          <w:rFonts w:ascii="Times New Roman" w:hAnsi="Times New Roman" w:cs="Times New Roman"/>
          <w:color w:val="222222"/>
          <w:sz w:val="24"/>
          <w:szCs w:val="24"/>
          <w:shd w:val="clear" w:color="auto" w:fill="FFFFFF"/>
        </w:rPr>
        <w:t>.</w:t>
      </w:r>
    </w:p>
    <w:p w14:paraId="5C74556A" w14:textId="236EE600" w:rsidR="003C061A" w:rsidRPr="009A4091" w:rsidRDefault="003C061A" w:rsidP="00ED7BF0">
      <w:pPr>
        <w:spacing w:line="360" w:lineRule="auto"/>
        <w:jc w:val="both"/>
        <w:rPr>
          <w:rFonts w:ascii="Times New Roman" w:hAnsi="Times New Roman" w:cs="Times New Roman"/>
          <w:sz w:val="24"/>
          <w:szCs w:val="24"/>
        </w:rPr>
      </w:pPr>
      <w:r w:rsidRPr="009A4091">
        <w:rPr>
          <w:rFonts w:ascii="Times New Roman" w:hAnsi="Times New Roman" w:cs="Times New Roman"/>
          <w:color w:val="222222"/>
          <w:sz w:val="24"/>
          <w:szCs w:val="24"/>
          <w:shd w:val="clear" w:color="auto" w:fill="FFFFFF"/>
        </w:rPr>
        <w:lastRenderedPageBreak/>
        <w:t>Karim, S., &amp; Naeem, M. A. (2021). Clean energy, Australian electricity markets, and information transmission. </w:t>
      </w:r>
      <w:r w:rsidRPr="009A4091">
        <w:rPr>
          <w:rFonts w:ascii="Times New Roman" w:hAnsi="Times New Roman" w:cs="Times New Roman"/>
          <w:i/>
          <w:iCs/>
          <w:color w:val="222222"/>
          <w:sz w:val="24"/>
          <w:szCs w:val="24"/>
          <w:shd w:val="clear" w:color="auto" w:fill="FFFFFF"/>
        </w:rPr>
        <w:t>Energy Research Letters</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3</w:t>
      </w:r>
      <w:r w:rsidRPr="009A4091">
        <w:rPr>
          <w:rFonts w:ascii="Times New Roman" w:hAnsi="Times New Roman" w:cs="Times New Roman"/>
          <w:color w:val="222222"/>
          <w:sz w:val="24"/>
          <w:szCs w:val="24"/>
          <w:shd w:val="clear" w:color="auto" w:fill="FFFFFF"/>
        </w:rPr>
        <w:t>(Early View), 29973.</w:t>
      </w:r>
    </w:p>
    <w:p w14:paraId="216BF21D" w14:textId="776E45AF" w:rsidR="00D81AD6" w:rsidRPr="009A4091" w:rsidRDefault="00D81AD6" w:rsidP="00ED7BF0">
      <w:pPr>
        <w:spacing w:line="360" w:lineRule="auto"/>
        <w:jc w:val="both"/>
        <w:rPr>
          <w:rFonts w:ascii="Times New Roman" w:hAnsi="Times New Roman" w:cs="Times New Roman"/>
          <w:sz w:val="24"/>
          <w:szCs w:val="24"/>
        </w:rPr>
      </w:pPr>
      <w:r w:rsidRPr="009A4091">
        <w:rPr>
          <w:rFonts w:ascii="Times New Roman" w:hAnsi="Times New Roman" w:cs="Times New Roman"/>
          <w:color w:val="222222"/>
          <w:sz w:val="24"/>
          <w:szCs w:val="24"/>
          <w:shd w:val="clear" w:color="auto" w:fill="FFFFFF"/>
        </w:rPr>
        <w:t xml:space="preserve">Kato, R., Okuda, T., &amp; </w:t>
      </w:r>
      <w:proofErr w:type="spellStart"/>
      <w:r w:rsidRPr="009A4091">
        <w:rPr>
          <w:rFonts w:ascii="Times New Roman" w:hAnsi="Times New Roman" w:cs="Times New Roman"/>
          <w:color w:val="222222"/>
          <w:sz w:val="24"/>
          <w:szCs w:val="24"/>
          <w:shd w:val="clear" w:color="auto" w:fill="FFFFFF"/>
        </w:rPr>
        <w:t>Tsuruga</w:t>
      </w:r>
      <w:proofErr w:type="spellEnd"/>
      <w:r w:rsidRPr="009A4091">
        <w:rPr>
          <w:rFonts w:ascii="Times New Roman" w:hAnsi="Times New Roman" w:cs="Times New Roman"/>
          <w:color w:val="222222"/>
          <w:sz w:val="24"/>
          <w:szCs w:val="24"/>
          <w:shd w:val="clear" w:color="auto" w:fill="FFFFFF"/>
        </w:rPr>
        <w:t>, T. (2021). Sectoral inflation persistence, market concentration, and imperfect common knowledge. </w:t>
      </w:r>
      <w:r w:rsidRPr="009A4091">
        <w:rPr>
          <w:rFonts w:ascii="Times New Roman" w:hAnsi="Times New Roman" w:cs="Times New Roman"/>
          <w:i/>
          <w:iCs/>
          <w:color w:val="222222"/>
          <w:sz w:val="24"/>
          <w:szCs w:val="24"/>
          <w:shd w:val="clear" w:color="auto" w:fill="FFFFFF"/>
        </w:rPr>
        <w:t>Journal of Economic Behavior &amp; Organization</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192</w:t>
      </w:r>
      <w:r w:rsidRPr="009A4091">
        <w:rPr>
          <w:rFonts w:ascii="Times New Roman" w:hAnsi="Times New Roman" w:cs="Times New Roman"/>
          <w:color w:val="222222"/>
          <w:sz w:val="24"/>
          <w:szCs w:val="24"/>
          <w:shd w:val="clear" w:color="auto" w:fill="FFFFFF"/>
        </w:rPr>
        <w:t>, 500-517.</w:t>
      </w:r>
    </w:p>
    <w:p w14:paraId="4533F8A2" w14:textId="77777777" w:rsidR="00D81AD6" w:rsidRPr="009A4091" w:rsidRDefault="00D81AD6" w:rsidP="00ED7BF0">
      <w:pPr>
        <w:spacing w:line="360" w:lineRule="auto"/>
        <w:jc w:val="both"/>
        <w:rPr>
          <w:rFonts w:ascii="Times New Roman" w:hAnsi="Times New Roman" w:cs="Times New Roman"/>
          <w:sz w:val="24"/>
          <w:szCs w:val="24"/>
        </w:rPr>
      </w:pPr>
      <w:r w:rsidRPr="009A4091">
        <w:rPr>
          <w:rFonts w:ascii="Times New Roman" w:hAnsi="Times New Roman" w:cs="Times New Roman"/>
          <w:sz w:val="24"/>
          <w:szCs w:val="24"/>
        </w:rPr>
        <w:t xml:space="preserve">Korkmaz, T., </w:t>
      </w:r>
      <w:proofErr w:type="spellStart"/>
      <w:r w:rsidRPr="009A4091">
        <w:rPr>
          <w:rFonts w:ascii="Times New Roman" w:hAnsi="Times New Roman" w:cs="Times New Roman"/>
          <w:sz w:val="24"/>
          <w:szCs w:val="24"/>
        </w:rPr>
        <w:t>Çevik</w:t>
      </w:r>
      <w:proofErr w:type="spellEnd"/>
      <w:r w:rsidRPr="009A4091">
        <w:rPr>
          <w:rFonts w:ascii="Times New Roman" w:hAnsi="Times New Roman" w:cs="Times New Roman"/>
          <w:sz w:val="24"/>
          <w:szCs w:val="24"/>
        </w:rPr>
        <w:t xml:space="preserve">, E. İ., &amp; </w:t>
      </w:r>
      <w:proofErr w:type="spellStart"/>
      <w:r w:rsidRPr="009A4091">
        <w:rPr>
          <w:rFonts w:ascii="Times New Roman" w:hAnsi="Times New Roman" w:cs="Times New Roman"/>
          <w:sz w:val="24"/>
          <w:szCs w:val="24"/>
        </w:rPr>
        <w:t>Atukeren</w:t>
      </w:r>
      <w:proofErr w:type="spellEnd"/>
      <w:r w:rsidRPr="009A4091">
        <w:rPr>
          <w:rFonts w:ascii="Times New Roman" w:hAnsi="Times New Roman" w:cs="Times New Roman"/>
          <w:sz w:val="24"/>
          <w:szCs w:val="24"/>
        </w:rPr>
        <w:t>, E. (2012). Return and volatility spillovers among CIVETS stock markets. </w:t>
      </w:r>
      <w:r w:rsidRPr="009A4091">
        <w:rPr>
          <w:rFonts w:ascii="Times New Roman" w:hAnsi="Times New Roman" w:cs="Times New Roman"/>
          <w:i/>
          <w:iCs/>
          <w:sz w:val="24"/>
          <w:szCs w:val="24"/>
        </w:rPr>
        <w:t>Emerging Markets Review</w:t>
      </w:r>
      <w:r w:rsidRPr="009A4091">
        <w:rPr>
          <w:rFonts w:ascii="Times New Roman" w:hAnsi="Times New Roman" w:cs="Times New Roman"/>
          <w:sz w:val="24"/>
          <w:szCs w:val="24"/>
        </w:rPr>
        <w:t>, </w:t>
      </w:r>
      <w:r w:rsidRPr="009A4091">
        <w:rPr>
          <w:rFonts w:ascii="Times New Roman" w:hAnsi="Times New Roman" w:cs="Times New Roman"/>
          <w:i/>
          <w:iCs/>
          <w:sz w:val="24"/>
          <w:szCs w:val="24"/>
        </w:rPr>
        <w:t>13</w:t>
      </w:r>
      <w:r w:rsidRPr="009A4091">
        <w:rPr>
          <w:rFonts w:ascii="Times New Roman" w:hAnsi="Times New Roman" w:cs="Times New Roman"/>
          <w:sz w:val="24"/>
          <w:szCs w:val="24"/>
        </w:rPr>
        <w:t>(2), 230-252.</w:t>
      </w:r>
    </w:p>
    <w:p w14:paraId="75D63E3B"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Lai, Y., &amp; Hu, Y. (2021). A study of systemic risk of global stock markets under COVID-19 based on complex financial networks. </w:t>
      </w:r>
      <w:proofErr w:type="spellStart"/>
      <w:r w:rsidRPr="009A4091">
        <w:rPr>
          <w:rFonts w:ascii="Times New Roman" w:hAnsi="Times New Roman" w:cs="Times New Roman"/>
          <w:i/>
          <w:iCs/>
          <w:sz w:val="24"/>
          <w:szCs w:val="24"/>
          <w:shd w:val="clear" w:color="auto" w:fill="FFFFFF"/>
        </w:rPr>
        <w:t>Physica</w:t>
      </w:r>
      <w:proofErr w:type="spellEnd"/>
      <w:r w:rsidRPr="009A4091">
        <w:rPr>
          <w:rFonts w:ascii="Times New Roman" w:hAnsi="Times New Roman" w:cs="Times New Roman"/>
          <w:i/>
          <w:iCs/>
          <w:sz w:val="24"/>
          <w:szCs w:val="24"/>
          <w:shd w:val="clear" w:color="auto" w:fill="FFFFFF"/>
        </w:rPr>
        <w:t xml:space="preserve"> A: Statistical Mechanics and its Applications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566</w:t>
      </w:r>
      <w:r w:rsidRPr="009A4091">
        <w:rPr>
          <w:rFonts w:ascii="Times New Roman" w:hAnsi="Times New Roman" w:cs="Times New Roman"/>
          <w:sz w:val="24"/>
          <w:szCs w:val="24"/>
          <w:shd w:val="clear" w:color="auto" w:fill="FFFFFF"/>
        </w:rPr>
        <w:t>, 125613.</w:t>
      </w:r>
    </w:p>
    <w:p w14:paraId="371E6667"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Lee, W. S., &amp; Lee, H. S. (2021). Asymmetric volatility transmission across Northeast Asian stock markets. </w:t>
      </w:r>
      <w:proofErr w:type="spellStart"/>
      <w:r w:rsidRPr="009A4091">
        <w:rPr>
          <w:rFonts w:ascii="Times New Roman" w:hAnsi="Times New Roman" w:cs="Times New Roman"/>
          <w:i/>
          <w:iCs/>
          <w:sz w:val="24"/>
          <w:szCs w:val="24"/>
          <w:shd w:val="clear" w:color="auto" w:fill="FFFFFF"/>
        </w:rPr>
        <w:t>Borsa</w:t>
      </w:r>
      <w:proofErr w:type="spellEnd"/>
      <w:r w:rsidRPr="009A4091">
        <w:rPr>
          <w:rFonts w:ascii="Times New Roman" w:hAnsi="Times New Roman" w:cs="Times New Roman"/>
          <w:i/>
          <w:iCs/>
          <w:sz w:val="24"/>
          <w:szCs w:val="24"/>
          <w:shd w:val="clear" w:color="auto" w:fill="FFFFFF"/>
        </w:rPr>
        <w:t xml:space="preserve"> Istanbul Review</w:t>
      </w:r>
      <w:r w:rsidRPr="009A4091">
        <w:rPr>
          <w:rFonts w:ascii="Times New Roman" w:hAnsi="Times New Roman" w:cs="Times New Roman"/>
          <w:sz w:val="24"/>
          <w:szCs w:val="24"/>
          <w:shd w:val="clear" w:color="auto" w:fill="FFFFFF"/>
        </w:rPr>
        <w:t>.</w:t>
      </w:r>
    </w:p>
    <w:p w14:paraId="244B58C2" w14:textId="77777777" w:rsidR="00D81AD6" w:rsidRPr="009A4091" w:rsidRDefault="00D81AD6" w:rsidP="00ED7BF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Lehar, A. (2005). Measuring systemic risk: A risk management approach. </w:t>
      </w:r>
      <w:r w:rsidRPr="009A4091">
        <w:rPr>
          <w:rFonts w:ascii="Times New Roman" w:hAnsi="Times New Roman" w:cs="Times New Roman"/>
          <w:i/>
          <w:iCs/>
          <w:sz w:val="24"/>
          <w:szCs w:val="24"/>
          <w:shd w:val="clear" w:color="auto" w:fill="FFFFFF"/>
        </w:rPr>
        <w:t>Journal of Banking &amp;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29</w:t>
      </w:r>
      <w:r w:rsidRPr="009A4091">
        <w:rPr>
          <w:rFonts w:ascii="Times New Roman" w:hAnsi="Times New Roman" w:cs="Times New Roman"/>
          <w:sz w:val="24"/>
          <w:szCs w:val="24"/>
          <w:shd w:val="clear" w:color="auto" w:fill="FFFFFF"/>
        </w:rPr>
        <w:t>(10), 2577-2603.</w:t>
      </w:r>
    </w:p>
    <w:p w14:paraId="7998CE0F" w14:textId="77777777" w:rsidR="00D81AD6" w:rsidRPr="009A4091" w:rsidRDefault="00D81AD6" w:rsidP="00E82B1E">
      <w:pPr>
        <w:spacing w:before="240" w:line="360" w:lineRule="auto"/>
        <w:jc w:val="both"/>
        <w:rPr>
          <w:rFonts w:ascii="Times New Roman" w:hAnsi="Times New Roman" w:cs="Times New Roman"/>
          <w:color w:val="0070C0"/>
          <w:sz w:val="24"/>
          <w:szCs w:val="24"/>
          <w:shd w:val="clear" w:color="auto" w:fill="FFFFFF"/>
          <w:lang w:val="en-NZ"/>
        </w:rPr>
      </w:pPr>
      <w:bookmarkStart w:id="18" w:name="_Hlk107091156"/>
      <w:r w:rsidRPr="009A4091">
        <w:rPr>
          <w:rFonts w:ascii="Times New Roman" w:hAnsi="Times New Roman" w:cs="Times New Roman"/>
          <w:color w:val="0070C0"/>
          <w:sz w:val="24"/>
          <w:szCs w:val="24"/>
          <w:shd w:val="clear" w:color="auto" w:fill="FFFFFF"/>
        </w:rPr>
        <w:t xml:space="preserve">Levy, H., &amp; </w:t>
      </w:r>
      <w:proofErr w:type="spellStart"/>
      <w:r w:rsidRPr="009A4091">
        <w:rPr>
          <w:rFonts w:ascii="Times New Roman" w:hAnsi="Times New Roman" w:cs="Times New Roman"/>
          <w:color w:val="0070C0"/>
          <w:sz w:val="24"/>
          <w:szCs w:val="24"/>
          <w:shd w:val="clear" w:color="auto" w:fill="FFFFFF"/>
        </w:rPr>
        <w:t>Sarnat</w:t>
      </w:r>
      <w:proofErr w:type="spellEnd"/>
      <w:r w:rsidRPr="009A4091">
        <w:rPr>
          <w:rFonts w:ascii="Times New Roman" w:hAnsi="Times New Roman" w:cs="Times New Roman"/>
          <w:color w:val="0070C0"/>
          <w:sz w:val="24"/>
          <w:szCs w:val="24"/>
          <w:shd w:val="clear" w:color="auto" w:fill="FFFFFF"/>
        </w:rPr>
        <w:t>, M. (1970</w:t>
      </w:r>
      <w:bookmarkEnd w:id="18"/>
      <w:r w:rsidRPr="009A4091">
        <w:rPr>
          <w:rFonts w:ascii="Times New Roman" w:hAnsi="Times New Roman" w:cs="Times New Roman"/>
          <w:color w:val="0070C0"/>
          <w:sz w:val="24"/>
          <w:szCs w:val="24"/>
          <w:shd w:val="clear" w:color="auto" w:fill="FFFFFF"/>
        </w:rPr>
        <w:t>). International diversification of investment portfolios. </w:t>
      </w:r>
      <w:r w:rsidRPr="009A4091">
        <w:rPr>
          <w:rFonts w:ascii="Times New Roman" w:hAnsi="Times New Roman" w:cs="Times New Roman"/>
          <w:i/>
          <w:iCs/>
          <w:color w:val="0070C0"/>
          <w:sz w:val="24"/>
          <w:szCs w:val="24"/>
          <w:shd w:val="clear" w:color="auto" w:fill="FFFFFF"/>
        </w:rPr>
        <w:t>The American Economic Review</w:t>
      </w:r>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60</w:t>
      </w:r>
      <w:r w:rsidRPr="009A4091">
        <w:rPr>
          <w:rFonts w:ascii="Times New Roman" w:hAnsi="Times New Roman" w:cs="Times New Roman"/>
          <w:color w:val="0070C0"/>
          <w:sz w:val="24"/>
          <w:szCs w:val="24"/>
          <w:shd w:val="clear" w:color="auto" w:fill="FFFFFF"/>
        </w:rPr>
        <w:t>(4), 668-675.</w:t>
      </w:r>
    </w:p>
    <w:p w14:paraId="76260F81" w14:textId="77777777" w:rsidR="00D81AD6" w:rsidRPr="009A4091" w:rsidRDefault="00D81AD6" w:rsidP="0056181A">
      <w:pPr>
        <w:spacing w:line="360" w:lineRule="auto"/>
        <w:jc w:val="both"/>
        <w:rPr>
          <w:rFonts w:ascii="Times New Roman" w:hAnsi="Times New Roman" w:cs="Times New Roman"/>
          <w:sz w:val="24"/>
          <w:szCs w:val="24"/>
        </w:rPr>
      </w:pPr>
      <w:r w:rsidRPr="009A4091">
        <w:rPr>
          <w:rFonts w:ascii="Times New Roman" w:hAnsi="Times New Roman" w:cs="Times New Roman"/>
          <w:sz w:val="24"/>
          <w:szCs w:val="24"/>
          <w:shd w:val="clear" w:color="auto" w:fill="FFFFFF"/>
        </w:rPr>
        <w:t>Lu, W., Gao, Y., &amp; Huang, X. (2019). Volatility spillovers of stock markets between China and the countries along the Belt and Road. </w:t>
      </w:r>
      <w:r w:rsidRPr="009A4091">
        <w:rPr>
          <w:rFonts w:ascii="Times New Roman" w:hAnsi="Times New Roman" w:cs="Times New Roman"/>
          <w:i/>
          <w:iCs/>
          <w:sz w:val="24"/>
          <w:szCs w:val="24"/>
          <w:shd w:val="clear" w:color="auto" w:fill="FFFFFF"/>
        </w:rPr>
        <w:t>Emerging Markets Finance and Trade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55</w:t>
      </w:r>
      <w:r w:rsidRPr="009A4091">
        <w:rPr>
          <w:rFonts w:ascii="Times New Roman" w:hAnsi="Times New Roman" w:cs="Times New Roman"/>
          <w:sz w:val="24"/>
          <w:szCs w:val="24"/>
          <w:shd w:val="clear" w:color="auto" w:fill="FFFFFF"/>
        </w:rPr>
        <w:t>(14), 3311-3331.</w:t>
      </w:r>
    </w:p>
    <w:p w14:paraId="2D2DC405"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Manopimoke</w:t>
      </w:r>
      <w:proofErr w:type="spellEnd"/>
      <w:r w:rsidRPr="009A4091">
        <w:rPr>
          <w:rFonts w:ascii="Times New Roman" w:hAnsi="Times New Roman" w:cs="Times New Roman"/>
          <w:sz w:val="24"/>
          <w:szCs w:val="24"/>
          <w:shd w:val="clear" w:color="auto" w:fill="FFFFFF"/>
        </w:rPr>
        <w:t xml:space="preserve">, P., </w:t>
      </w:r>
      <w:proofErr w:type="spellStart"/>
      <w:r w:rsidRPr="009A4091">
        <w:rPr>
          <w:rFonts w:ascii="Times New Roman" w:hAnsi="Times New Roman" w:cs="Times New Roman"/>
          <w:sz w:val="24"/>
          <w:szCs w:val="24"/>
          <w:shd w:val="clear" w:color="auto" w:fill="FFFFFF"/>
        </w:rPr>
        <w:t>Prukumpai</w:t>
      </w:r>
      <w:proofErr w:type="spellEnd"/>
      <w:r w:rsidRPr="009A4091">
        <w:rPr>
          <w:rFonts w:ascii="Times New Roman" w:hAnsi="Times New Roman" w:cs="Times New Roman"/>
          <w:sz w:val="24"/>
          <w:szCs w:val="24"/>
          <w:shd w:val="clear" w:color="auto" w:fill="FFFFFF"/>
        </w:rPr>
        <w:t xml:space="preserve">, S., &amp; </w:t>
      </w:r>
      <w:proofErr w:type="spellStart"/>
      <w:r w:rsidRPr="009A4091">
        <w:rPr>
          <w:rFonts w:ascii="Times New Roman" w:hAnsi="Times New Roman" w:cs="Times New Roman"/>
          <w:sz w:val="24"/>
          <w:szCs w:val="24"/>
          <w:shd w:val="clear" w:color="auto" w:fill="FFFFFF"/>
        </w:rPr>
        <w:t>Sethapramote</w:t>
      </w:r>
      <w:proofErr w:type="spellEnd"/>
      <w:r w:rsidRPr="009A4091">
        <w:rPr>
          <w:rFonts w:ascii="Times New Roman" w:hAnsi="Times New Roman" w:cs="Times New Roman"/>
          <w:sz w:val="24"/>
          <w:szCs w:val="24"/>
          <w:shd w:val="clear" w:color="auto" w:fill="FFFFFF"/>
        </w:rPr>
        <w:t>, Y. (2018). Dynamic connectedness in emerging Asian equity markets. In </w:t>
      </w:r>
      <w:r w:rsidRPr="009A4091">
        <w:rPr>
          <w:rFonts w:ascii="Times New Roman" w:hAnsi="Times New Roman" w:cs="Times New Roman"/>
          <w:i/>
          <w:iCs/>
          <w:sz w:val="24"/>
          <w:szCs w:val="24"/>
          <w:shd w:val="clear" w:color="auto" w:fill="FFFFFF"/>
        </w:rPr>
        <w:t>Banking and Finance Issues in Emerging Markets</w:t>
      </w:r>
      <w:r w:rsidRPr="009A4091">
        <w:rPr>
          <w:rFonts w:ascii="Times New Roman" w:hAnsi="Times New Roman" w:cs="Times New Roman"/>
          <w:sz w:val="24"/>
          <w:szCs w:val="24"/>
          <w:shd w:val="clear" w:color="auto" w:fill="FFFFFF"/>
        </w:rPr>
        <w:t>. Emerald Publishing Limited.</w:t>
      </w:r>
    </w:p>
    <w:p w14:paraId="4FC5CCE8"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Maurer, T., &amp; Tran, N. K. (2021). Entangled risks in incomplete FX markets. </w:t>
      </w:r>
      <w:r w:rsidRPr="009A4091">
        <w:rPr>
          <w:rFonts w:ascii="Times New Roman" w:hAnsi="Times New Roman" w:cs="Times New Roman"/>
          <w:i/>
          <w:iCs/>
          <w:sz w:val="24"/>
          <w:szCs w:val="24"/>
          <w:shd w:val="clear" w:color="auto" w:fill="FFFFFF"/>
        </w:rPr>
        <w:t>Journal of Financial Economics</w:t>
      </w:r>
      <w:r w:rsidRPr="009A4091">
        <w:rPr>
          <w:rFonts w:ascii="Times New Roman" w:hAnsi="Times New Roman" w:cs="Times New Roman"/>
          <w:sz w:val="24"/>
          <w:szCs w:val="24"/>
          <w:shd w:val="clear" w:color="auto" w:fill="FFFFFF"/>
        </w:rPr>
        <w:t>.</w:t>
      </w:r>
    </w:p>
    <w:p w14:paraId="7252B8FE" w14:textId="77777777" w:rsidR="00D81AD6" w:rsidRPr="009A4091" w:rsidRDefault="00D81AD6" w:rsidP="003775D1">
      <w:pPr>
        <w:spacing w:before="240" w:line="360" w:lineRule="auto"/>
        <w:jc w:val="both"/>
        <w:rPr>
          <w:rFonts w:ascii="Times New Roman" w:hAnsi="Times New Roman" w:cs="Times New Roman"/>
          <w:sz w:val="24"/>
          <w:szCs w:val="24"/>
          <w:shd w:val="clear" w:color="auto" w:fill="FFFFFF"/>
          <w:lang w:val="en-NZ"/>
        </w:rPr>
      </w:pPr>
      <w:proofErr w:type="spellStart"/>
      <w:r w:rsidRPr="009A4091">
        <w:rPr>
          <w:rFonts w:ascii="Times New Roman" w:hAnsi="Times New Roman" w:cs="Times New Roman"/>
          <w:sz w:val="24"/>
          <w:szCs w:val="24"/>
          <w:shd w:val="clear" w:color="auto" w:fill="FFFFFF"/>
        </w:rPr>
        <w:t>Mensi</w:t>
      </w:r>
      <w:proofErr w:type="spellEnd"/>
      <w:r w:rsidRPr="009A4091">
        <w:rPr>
          <w:rFonts w:ascii="Times New Roman" w:hAnsi="Times New Roman" w:cs="Times New Roman"/>
          <w:sz w:val="24"/>
          <w:szCs w:val="24"/>
          <w:shd w:val="clear" w:color="auto" w:fill="FFFFFF"/>
        </w:rPr>
        <w:t>, W., Yousaf, I., Vo, X. V., &amp; Kang, S. H. (2022). Asymmetric spillover and network connectedness between gold, BRENT oil and EU subsector markets. </w:t>
      </w:r>
      <w:r w:rsidRPr="009A4091">
        <w:rPr>
          <w:rFonts w:ascii="Times New Roman" w:hAnsi="Times New Roman" w:cs="Times New Roman"/>
          <w:i/>
          <w:iCs/>
          <w:sz w:val="24"/>
          <w:szCs w:val="24"/>
          <w:shd w:val="clear" w:color="auto" w:fill="FFFFFF"/>
        </w:rPr>
        <w:t>Journal of International Financial Markets, Institutions and Money</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76</w:t>
      </w:r>
      <w:r w:rsidRPr="009A4091">
        <w:rPr>
          <w:rFonts w:ascii="Times New Roman" w:hAnsi="Times New Roman" w:cs="Times New Roman"/>
          <w:sz w:val="24"/>
          <w:szCs w:val="24"/>
          <w:shd w:val="clear" w:color="auto" w:fill="FFFFFF"/>
        </w:rPr>
        <w:t>, 101487.</w:t>
      </w:r>
    </w:p>
    <w:p w14:paraId="6A4AD2FB" w14:textId="77777777" w:rsidR="000004F2" w:rsidRPr="009A4091" w:rsidRDefault="00D81AD6" w:rsidP="000004F2">
      <w:pPr>
        <w:spacing w:before="240" w:line="360" w:lineRule="auto"/>
        <w:jc w:val="both"/>
        <w:rPr>
          <w:rFonts w:ascii="Times New Roman" w:hAnsi="Times New Roman" w:cs="Times New Roman"/>
          <w:color w:val="0070C0"/>
          <w:sz w:val="24"/>
          <w:szCs w:val="24"/>
          <w:shd w:val="clear" w:color="auto" w:fill="FFFFFF"/>
          <w:lang w:val="en-NZ"/>
        </w:rPr>
      </w:pPr>
      <w:proofErr w:type="spellStart"/>
      <w:r w:rsidRPr="009A4091">
        <w:rPr>
          <w:rFonts w:ascii="Times New Roman" w:hAnsi="Times New Roman" w:cs="Times New Roman"/>
          <w:color w:val="0070C0"/>
          <w:sz w:val="24"/>
          <w:szCs w:val="24"/>
          <w:shd w:val="clear" w:color="auto" w:fill="FFFFFF"/>
          <w:lang w:val="en-NZ"/>
        </w:rPr>
        <w:lastRenderedPageBreak/>
        <w:t>Meric</w:t>
      </w:r>
      <w:proofErr w:type="spellEnd"/>
      <w:r w:rsidRPr="009A4091">
        <w:rPr>
          <w:rFonts w:ascii="Times New Roman" w:hAnsi="Times New Roman" w:cs="Times New Roman"/>
          <w:color w:val="0070C0"/>
          <w:sz w:val="24"/>
          <w:szCs w:val="24"/>
          <w:shd w:val="clear" w:color="auto" w:fill="FFFFFF"/>
          <w:lang w:val="en-NZ"/>
        </w:rPr>
        <w:t xml:space="preserve">, I., &amp; </w:t>
      </w:r>
      <w:proofErr w:type="spellStart"/>
      <w:r w:rsidRPr="009A4091">
        <w:rPr>
          <w:rFonts w:ascii="Times New Roman" w:hAnsi="Times New Roman" w:cs="Times New Roman"/>
          <w:color w:val="0070C0"/>
          <w:sz w:val="24"/>
          <w:szCs w:val="24"/>
          <w:shd w:val="clear" w:color="auto" w:fill="FFFFFF"/>
          <w:lang w:val="en-NZ"/>
        </w:rPr>
        <w:t>Meric</w:t>
      </w:r>
      <w:proofErr w:type="spellEnd"/>
      <w:r w:rsidRPr="009A4091">
        <w:rPr>
          <w:rFonts w:ascii="Times New Roman" w:hAnsi="Times New Roman" w:cs="Times New Roman"/>
          <w:color w:val="0070C0"/>
          <w:sz w:val="24"/>
          <w:szCs w:val="24"/>
          <w:shd w:val="clear" w:color="auto" w:fill="FFFFFF"/>
          <w:lang w:val="en-NZ"/>
        </w:rPr>
        <w:t>, G. (1989). Potential gains from international portfolio diversification and inter-temporal stability and seasonality in international stock market relationships. Journal of Banking &amp; Finance, 13(4-5), 627-640.</w:t>
      </w:r>
    </w:p>
    <w:p w14:paraId="0514371F" w14:textId="77777777" w:rsidR="000004F2" w:rsidRPr="009A4091" w:rsidRDefault="000004F2" w:rsidP="000004F2">
      <w:pPr>
        <w:spacing w:before="240"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Naeem, M. A., &amp; Karim, S. (2021). Tail dependence between bitcoin and green financial assets. </w:t>
      </w:r>
      <w:r w:rsidRPr="009A4091">
        <w:rPr>
          <w:rFonts w:ascii="Times New Roman" w:hAnsi="Times New Roman" w:cs="Times New Roman"/>
          <w:i/>
          <w:iCs/>
          <w:color w:val="222222"/>
          <w:sz w:val="24"/>
          <w:szCs w:val="24"/>
          <w:shd w:val="clear" w:color="auto" w:fill="FFFFFF"/>
        </w:rPr>
        <w:t>Economics Letters</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208</w:t>
      </w:r>
      <w:r w:rsidRPr="009A4091">
        <w:rPr>
          <w:rFonts w:ascii="Times New Roman" w:hAnsi="Times New Roman" w:cs="Times New Roman"/>
          <w:color w:val="222222"/>
          <w:sz w:val="24"/>
          <w:szCs w:val="24"/>
          <w:shd w:val="clear" w:color="auto" w:fill="FFFFFF"/>
        </w:rPr>
        <w:t>, 110068.</w:t>
      </w:r>
    </w:p>
    <w:p w14:paraId="707820F4" w14:textId="77777777" w:rsidR="000004F2" w:rsidRPr="009A4091" w:rsidRDefault="000004F2" w:rsidP="000004F2">
      <w:pPr>
        <w:spacing w:before="240"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Naeem, M. A., Rabbani, M. R., Karim, S., &amp; Billah, S. M. (2021). Religion vs ethics: hedge and safe haven properties of Sukuk and green bonds for stock markets pre-and during COVID-19. </w:t>
      </w:r>
      <w:r w:rsidRPr="009A4091">
        <w:rPr>
          <w:rFonts w:ascii="Times New Roman" w:hAnsi="Times New Roman" w:cs="Times New Roman"/>
          <w:i/>
          <w:iCs/>
          <w:color w:val="222222"/>
          <w:sz w:val="24"/>
          <w:szCs w:val="24"/>
          <w:shd w:val="clear" w:color="auto" w:fill="FFFFFF"/>
        </w:rPr>
        <w:t>International Journal of Islamic and Middle Eastern Finance and Management</w:t>
      </w:r>
      <w:r w:rsidRPr="009A4091">
        <w:rPr>
          <w:rFonts w:ascii="Times New Roman" w:hAnsi="Times New Roman" w:cs="Times New Roman"/>
          <w:color w:val="222222"/>
          <w:sz w:val="24"/>
          <w:szCs w:val="24"/>
          <w:shd w:val="clear" w:color="auto" w:fill="FFFFFF"/>
        </w:rPr>
        <w:t>.</w:t>
      </w:r>
    </w:p>
    <w:p w14:paraId="453DB50E" w14:textId="77777777" w:rsidR="000004F2" w:rsidRPr="009A4091" w:rsidRDefault="000004F2" w:rsidP="000004F2">
      <w:pPr>
        <w:spacing w:before="240"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Naeem, M. A., Pham, L., Senthilkumar, A., &amp; Karim, S. (2022). Oil shocks and BRIC markets: Evidence from extreme quantile approach. </w:t>
      </w:r>
      <w:r w:rsidRPr="009A4091">
        <w:rPr>
          <w:rFonts w:ascii="Times New Roman" w:hAnsi="Times New Roman" w:cs="Times New Roman"/>
          <w:i/>
          <w:iCs/>
          <w:color w:val="222222"/>
          <w:sz w:val="24"/>
          <w:szCs w:val="24"/>
          <w:shd w:val="clear" w:color="auto" w:fill="FFFFFF"/>
        </w:rPr>
        <w:t>Energy Economics</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108</w:t>
      </w:r>
      <w:r w:rsidRPr="009A4091">
        <w:rPr>
          <w:rFonts w:ascii="Times New Roman" w:hAnsi="Times New Roman" w:cs="Times New Roman"/>
          <w:color w:val="222222"/>
          <w:sz w:val="24"/>
          <w:szCs w:val="24"/>
          <w:shd w:val="clear" w:color="auto" w:fill="FFFFFF"/>
        </w:rPr>
        <w:t>, 105932.</w:t>
      </w:r>
    </w:p>
    <w:p w14:paraId="40A407A9" w14:textId="77777777" w:rsidR="000004F2" w:rsidRPr="009A4091" w:rsidRDefault="000004F2" w:rsidP="000004F2">
      <w:pPr>
        <w:spacing w:before="240"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Naeem, M. A., Karim, S., &amp; Tiwari, A. K. (2022). Quantifying systemic risk in US industries using neural network quantile regression. </w:t>
      </w:r>
      <w:r w:rsidRPr="009A4091">
        <w:rPr>
          <w:rFonts w:ascii="Times New Roman" w:hAnsi="Times New Roman" w:cs="Times New Roman"/>
          <w:i/>
          <w:iCs/>
          <w:color w:val="222222"/>
          <w:sz w:val="24"/>
          <w:szCs w:val="24"/>
          <w:shd w:val="clear" w:color="auto" w:fill="FFFFFF"/>
        </w:rPr>
        <w:t>Research in International Business and Finance</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61</w:t>
      </w:r>
      <w:r w:rsidRPr="009A4091">
        <w:rPr>
          <w:rFonts w:ascii="Times New Roman" w:hAnsi="Times New Roman" w:cs="Times New Roman"/>
          <w:color w:val="222222"/>
          <w:sz w:val="24"/>
          <w:szCs w:val="24"/>
          <w:shd w:val="clear" w:color="auto" w:fill="FFFFFF"/>
        </w:rPr>
        <w:t>, 101648.</w:t>
      </w:r>
    </w:p>
    <w:p w14:paraId="7945117B" w14:textId="77777777" w:rsidR="000004F2" w:rsidRPr="009A4091" w:rsidRDefault="000004F2" w:rsidP="000004F2">
      <w:pPr>
        <w:spacing w:before="240"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Naeem, M. A., Karim, S., Hasan, M., Lucey, B. M., &amp; Kang, S. H. (2022). Nexus between oil shocks and agriculture commodities: Evidence from time and frequency domain. </w:t>
      </w:r>
      <w:r w:rsidRPr="009A4091">
        <w:rPr>
          <w:rFonts w:ascii="Times New Roman" w:hAnsi="Times New Roman" w:cs="Times New Roman"/>
          <w:i/>
          <w:iCs/>
          <w:color w:val="222222"/>
          <w:sz w:val="24"/>
          <w:szCs w:val="24"/>
          <w:shd w:val="clear" w:color="auto" w:fill="FFFFFF"/>
        </w:rPr>
        <w:t>Energy Economics</w:t>
      </w:r>
      <w:r w:rsidRPr="009A4091">
        <w:rPr>
          <w:rFonts w:ascii="Times New Roman" w:hAnsi="Times New Roman" w:cs="Times New Roman"/>
          <w:color w:val="222222"/>
          <w:sz w:val="24"/>
          <w:szCs w:val="24"/>
          <w:shd w:val="clear" w:color="auto" w:fill="FFFFFF"/>
        </w:rPr>
        <w:t>, 106148.</w:t>
      </w:r>
    </w:p>
    <w:p w14:paraId="2216DE7B" w14:textId="69BC9BF5" w:rsidR="000004F2" w:rsidRPr="009A4091" w:rsidRDefault="000004F2" w:rsidP="000004F2">
      <w:pPr>
        <w:spacing w:before="240" w:line="360" w:lineRule="auto"/>
        <w:jc w:val="both"/>
        <w:rPr>
          <w:rFonts w:ascii="Times New Roman" w:hAnsi="Times New Roman" w:cs="Times New Roman"/>
          <w:color w:val="0070C0"/>
          <w:sz w:val="24"/>
          <w:szCs w:val="24"/>
          <w:shd w:val="clear" w:color="auto" w:fill="FFFFFF"/>
          <w:lang w:val="en-NZ"/>
        </w:rPr>
      </w:pPr>
      <w:r w:rsidRPr="009A4091">
        <w:rPr>
          <w:rFonts w:ascii="Times New Roman" w:hAnsi="Times New Roman" w:cs="Times New Roman"/>
          <w:color w:val="222222"/>
          <w:sz w:val="24"/>
          <w:szCs w:val="24"/>
          <w:shd w:val="clear" w:color="auto" w:fill="FFFFFF"/>
        </w:rPr>
        <w:t>Naeem, M. A., Karim, S., Uddin, G. S., &amp; Junttila, J. (2022). Small fish in big ponds: Connections of green finance assets to commodity and sectoral stock markets. </w:t>
      </w:r>
      <w:r w:rsidRPr="009A4091">
        <w:rPr>
          <w:rFonts w:ascii="Times New Roman" w:hAnsi="Times New Roman" w:cs="Times New Roman"/>
          <w:i/>
          <w:iCs/>
          <w:color w:val="222222"/>
          <w:sz w:val="24"/>
          <w:szCs w:val="24"/>
          <w:shd w:val="clear" w:color="auto" w:fill="FFFFFF"/>
        </w:rPr>
        <w:t>International Review of Financial Analysis</w:t>
      </w:r>
      <w:r w:rsidRPr="009A4091">
        <w:rPr>
          <w:rFonts w:ascii="Times New Roman" w:hAnsi="Times New Roman" w:cs="Times New Roman"/>
          <w:color w:val="222222"/>
          <w:sz w:val="24"/>
          <w:szCs w:val="24"/>
          <w:shd w:val="clear" w:color="auto" w:fill="FFFFFF"/>
        </w:rPr>
        <w:t>, 102283.</w:t>
      </w:r>
    </w:p>
    <w:p w14:paraId="2E325DEE" w14:textId="707A623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Naifar</w:t>
      </w:r>
      <w:proofErr w:type="spellEnd"/>
      <w:r w:rsidRPr="009A4091">
        <w:rPr>
          <w:rFonts w:ascii="Times New Roman" w:hAnsi="Times New Roman" w:cs="Times New Roman"/>
          <w:sz w:val="24"/>
          <w:szCs w:val="24"/>
          <w:shd w:val="clear" w:color="auto" w:fill="FFFFFF"/>
        </w:rPr>
        <w:t>, N., &amp; Shahzad, S. J. H. (2021). Tail event-based sovereign credit risk transmission network during COVID-19 pandemic.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102182.</w:t>
      </w:r>
    </w:p>
    <w:p w14:paraId="5D4A4309" w14:textId="77777777" w:rsidR="00D81AD6" w:rsidRPr="009A4091" w:rsidRDefault="00D81AD6" w:rsidP="005C775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Reinhart, C. M., &amp; Reinhart, V. R. (2009, January). Capital flow bonanzas: An encompassing view of the past and present. In </w:t>
      </w:r>
      <w:r w:rsidRPr="009A4091">
        <w:rPr>
          <w:rFonts w:ascii="Times New Roman" w:hAnsi="Times New Roman" w:cs="Times New Roman"/>
          <w:i/>
          <w:iCs/>
          <w:sz w:val="24"/>
          <w:szCs w:val="24"/>
          <w:shd w:val="clear" w:color="auto" w:fill="FFFFFF"/>
        </w:rPr>
        <w:t>NBER international seminar on macroeconomics</w:t>
      </w:r>
      <w:r w:rsidRPr="009A4091">
        <w:rPr>
          <w:rFonts w:ascii="Times New Roman" w:hAnsi="Times New Roman" w:cs="Times New Roman"/>
          <w:sz w:val="24"/>
          <w:szCs w:val="24"/>
          <w:shd w:val="clear" w:color="auto" w:fill="FFFFFF"/>
        </w:rPr>
        <w:t> (Vol. 5, No. 1, pp. 9-62). Chicago, IL: The University of Chicago Press.</w:t>
      </w:r>
    </w:p>
    <w:p w14:paraId="04FA865E" w14:textId="77777777" w:rsidR="00D81AD6" w:rsidRPr="009A4091" w:rsidRDefault="00D81AD6" w:rsidP="005C775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Rodríguez-Moreno, M., &amp; Peña, J. I. (2013). Systemic risk measures: The simpler the </w:t>
      </w:r>
      <w:proofErr w:type="gramStart"/>
      <w:r w:rsidRPr="009A4091">
        <w:rPr>
          <w:rFonts w:ascii="Times New Roman" w:hAnsi="Times New Roman" w:cs="Times New Roman"/>
          <w:sz w:val="24"/>
          <w:szCs w:val="24"/>
          <w:shd w:val="clear" w:color="auto" w:fill="FFFFFF"/>
        </w:rPr>
        <w:t>better?.</w:t>
      </w:r>
      <w:proofErr w:type="gramEnd"/>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Journal of Banking &amp;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37</w:t>
      </w:r>
      <w:r w:rsidRPr="009A4091">
        <w:rPr>
          <w:rFonts w:ascii="Times New Roman" w:hAnsi="Times New Roman" w:cs="Times New Roman"/>
          <w:sz w:val="24"/>
          <w:szCs w:val="24"/>
          <w:shd w:val="clear" w:color="auto" w:fill="FFFFFF"/>
        </w:rPr>
        <w:t>(6), 1817-1831.</w:t>
      </w:r>
    </w:p>
    <w:p w14:paraId="1A016C50" w14:textId="77777777" w:rsidR="00D81AD6" w:rsidRPr="009A4091" w:rsidRDefault="00D81AD6" w:rsidP="005C775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Salisu, A. A., </w:t>
      </w:r>
      <w:proofErr w:type="spellStart"/>
      <w:r w:rsidRPr="009A4091">
        <w:rPr>
          <w:rFonts w:ascii="Times New Roman" w:hAnsi="Times New Roman" w:cs="Times New Roman"/>
          <w:sz w:val="24"/>
          <w:szCs w:val="24"/>
          <w:shd w:val="clear" w:color="auto" w:fill="FFFFFF"/>
        </w:rPr>
        <w:t>Sikiru</w:t>
      </w:r>
      <w:proofErr w:type="spellEnd"/>
      <w:r w:rsidRPr="009A4091">
        <w:rPr>
          <w:rFonts w:ascii="Times New Roman" w:hAnsi="Times New Roman" w:cs="Times New Roman"/>
          <w:sz w:val="24"/>
          <w:szCs w:val="24"/>
          <w:shd w:val="clear" w:color="auto" w:fill="FFFFFF"/>
        </w:rPr>
        <w:t>, A. A., &amp; Vo, X. V. (2020). Pandemics and the emerging stock markets. </w:t>
      </w:r>
      <w:proofErr w:type="spellStart"/>
      <w:r w:rsidRPr="009A4091">
        <w:rPr>
          <w:rFonts w:ascii="Times New Roman" w:hAnsi="Times New Roman" w:cs="Times New Roman"/>
          <w:i/>
          <w:iCs/>
          <w:sz w:val="24"/>
          <w:szCs w:val="24"/>
          <w:shd w:val="clear" w:color="auto" w:fill="FFFFFF"/>
        </w:rPr>
        <w:t>Borsa</w:t>
      </w:r>
      <w:proofErr w:type="spellEnd"/>
      <w:r w:rsidRPr="009A4091">
        <w:rPr>
          <w:rFonts w:ascii="Times New Roman" w:hAnsi="Times New Roman" w:cs="Times New Roman"/>
          <w:i/>
          <w:iCs/>
          <w:sz w:val="24"/>
          <w:szCs w:val="24"/>
          <w:shd w:val="clear" w:color="auto" w:fill="FFFFFF"/>
        </w:rPr>
        <w:t xml:space="preserve"> Istanbul Review</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20</w:t>
      </w:r>
      <w:r w:rsidRPr="009A4091">
        <w:rPr>
          <w:rFonts w:ascii="Times New Roman" w:hAnsi="Times New Roman" w:cs="Times New Roman"/>
          <w:sz w:val="24"/>
          <w:szCs w:val="24"/>
          <w:shd w:val="clear" w:color="auto" w:fill="FFFFFF"/>
        </w:rPr>
        <w:t>, S40-S48.</w:t>
      </w:r>
    </w:p>
    <w:p w14:paraId="43A4FA53" w14:textId="77777777" w:rsidR="00D81AD6" w:rsidRPr="009A4091" w:rsidRDefault="00D81AD6" w:rsidP="005C7750">
      <w:pPr>
        <w:spacing w:line="360" w:lineRule="auto"/>
        <w:jc w:val="both"/>
        <w:rPr>
          <w:rFonts w:ascii="Times New Roman" w:hAnsi="Times New Roman" w:cs="Times New Roman"/>
          <w:sz w:val="24"/>
          <w:szCs w:val="24"/>
          <w:lang w:val="en-NZ"/>
        </w:rPr>
      </w:pPr>
      <w:r w:rsidRPr="009A4091">
        <w:rPr>
          <w:rFonts w:ascii="Times New Roman" w:hAnsi="Times New Roman" w:cs="Times New Roman"/>
          <w:sz w:val="24"/>
          <w:szCs w:val="24"/>
          <w:shd w:val="clear" w:color="auto" w:fill="FFFFFF"/>
        </w:rPr>
        <w:lastRenderedPageBreak/>
        <w:t>Shahzad, S. J. H., Hernandez, J. A., Rehman, M. U., Al-</w:t>
      </w:r>
      <w:proofErr w:type="spellStart"/>
      <w:r w:rsidRPr="009A4091">
        <w:rPr>
          <w:rFonts w:ascii="Times New Roman" w:hAnsi="Times New Roman" w:cs="Times New Roman"/>
          <w:sz w:val="24"/>
          <w:szCs w:val="24"/>
          <w:shd w:val="clear" w:color="auto" w:fill="FFFFFF"/>
        </w:rPr>
        <w:t>Yahyaee</w:t>
      </w:r>
      <w:proofErr w:type="spellEnd"/>
      <w:r w:rsidRPr="009A4091">
        <w:rPr>
          <w:rFonts w:ascii="Times New Roman" w:hAnsi="Times New Roman" w:cs="Times New Roman"/>
          <w:sz w:val="24"/>
          <w:szCs w:val="24"/>
          <w:shd w:val="clear" w:color="auto" w:fill="FFFFFF"/>
        </w:rPr>
        <w:t>, K. H., &amp; Zakaria, M. (2018). A global network topology of stock markets: Transmitters and receivers of spillover effects. </w:t>
      </w:r>
      <w:proofErr w:type="spellStart"/>
      <w:r w:rsidRPr="009A4091">
        <w:rPr>
          <w:rFonts w:ascii="Times New Roman" w:hAnsi="Times New Roman" w:cs="Times New Roman"/>
          <w:i/>
          <w:iCs/>
          <w:sz w:val="24"/>
          <w:szCs w:val="24"/>
          <w:shd w:val="clear" w:color="auto" w:fill="FFFFFF"/>
        </w:rPr>
        <w:t>Physica</w:t>
      </w:r>
      <w:proofErr w:type="spellEnd"/>
      <w:r w:rsidRPr="009A4091">
        <w:rPr>
          <w:rFonts w:ascii="Times New Roman" w:hAnsi="Times New Roman" w:cs="Times New Roman"/>
          <w:i/>
          <w:iCs/>
          <w:sz w:val="24"/>
          <w:szCs w:val="24"/>
          <w:shd w:val="clear" w:color="auto" w:fill="FFFFFF"/>
        </w:rPr>
        <w:t xml:space="preserve"> A: Statistical Mechanics and its Applications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492</w:t>
      </w:r>
      <w:r w:rsidRPr="009A4091">
        <w:rPr>
          <w:rFonts w:ascii="Times New Roman" w:hAnsi="Times New Roman" w:cs="Times New Roman"/>
          <w:sz w:val="24"/>
          <w:szCs w:val="24"/>
          <w:shd w:val="clear" w:color="auto" w:fill="FFFFFF"/>
        </w:rPr>
        <w:t>, 2136-2153.</w:t>
      </w:r>
    </w:p>
    <w:p w14:paraId="2B242403" w14:textId="77777777" w:rsidR="00D81AD6" w:rsidRPr="009A4091" w:rsidRDefault="00D81AD6" w:rsidP="00E82B1E">
      <w:pPr>
        <w:spacing w:before="240" w:line="360" w:lineRule="auto"/>
        <w:jc w:val="both"/>
        <w:rPr>
          <w:rFonts w:ascii="Times New Roman" w:hAnsi="Times New Roman" w:cs="Times New Roman"/>
          <w:color w:val="0070C0"/>
          <w:sz w:val="24"/>
          <w:szCs w:val="24"/>
          <w:shd w:val="clear" w:color="auto" w:fill="FFFFFF"/>
          <w:lang w:val="en-NZ"/>
        </w:rPr>
      </w:pPr>
      <w:proofErr w:type="spellStart"/>
      <w:r w:rsidRPr="009A4091">
        <w:rPr>
          <w:rFonts w:ascii="Times New Roman" w:hAnsi="Times New Roman" w:cs="Times New Roman"/>
          <w:color w:val="0070C0"/>
          <w:sz w:val="24"/>
          <w:szCs w:val="24"/>
          <w:shd w:val="clear" w:color="auto" w:fill="FFFFFF"/>
          <w:lang w:val="en-NZ"/>
        </w:rPr>
        <w:t>Solnik</w:t>
      </w:r>
      <w:proofErr w:type="spellEnd"/>
      <w:r w:rsidRPr="009A4091">
        <w:rPr>
          <w:rFonts w:ascii="Times New Roman" w:hAnsi="Times New Roman" w:cs="Times New Roman"/>
          <w:color w:val="0070C0"/>
          <w:sz w:val="24"/>
          <w:szCs w:val="24"/>
          <w:shd w:val="clear" w:color="auto" w:fill="FFFFFF"/>
          <w:lang w:val="en-NZ"/>
        </w:rPr>
        <w:t xml:space="preserve">, B. H. (1974). Why not diversify internationally rather than </w:t>
      </w:r>
      <w:proofErr w:type="gramStart"/>
      <w:r w:rsidRPr="009A4091">
        <w:rPr>
          <w:rFonts w:ascii="Times New Roman" w:hAnsi="Times New Roman" w:cs="Times New Roman"/>
          <w:color w:val="0070C0"/>
          <w:sz w:val="24"/>
          <w:szCs w:val="24"/>
          <w:shd w:val="clear" w:color="auto" w:fill="FFFFFF"/>
          <w:lang w:val="en-NZ"/>
        </w:rPr>
        <w:t>domestically?.</w:t>
      </w:r>
      <w:proofErr w:type="gramEnd"/>
      <w:r w:rsidRPr="009A4091">
        <w:rPr>
          <w:rFonts w:ascii="Times New Roman" w:hAnsi="Times New Roman" w:cs="Times New Roman"/>
          <w:color w:val="0070C0"/>
          <w:sz w:val="24"/>
          <w:szCs w:val="24"/>
          <w:shd w:val="clear" w:color="auto" w:fill="FFFFFF"/>
          <w:lang w:val="en-NZ"/>
        </w:rPr>
        <w:t xml:space="preserve"> Financial analysts journal, 30(4), 48-54.</w:t>
      </w:r>
    </w:p>
    <w:p w14:paraId="2486431C" w14:textId="77777777" w:rsidR="00D81AD6" w:rsidRPr="009A4091" w:rsidRDefault="00D81AD6" w:rsidP="005C7750">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Su</w:t>
      </w:r>
      <w:proofErr w:type="spellEnd"/>
      <w:r w:rsidRPr="009A4091">
        <w:rPr>
          <w:rFonts w:ascii="Times New Roman" w:hAnsi="Times New Roman" w:cs="Times New Roman"/>
          <w:sz w:val="24"/>
          <w:szCs w:val="24"/>
          <w:shd w:val="clear" w:color="auto" w:fill="FFFFFF"/>
        </w:rPr>
        <w:t>, X. (2020). Measuring extreme risk spillovers across international stock markets: A quantile variance decomposition analysis. </w:t>
      </w:r>
      <w:r w:rsidRPr="009A4091">
        <w:rPr>
          <w:rFonts w:ascii="Times New Roman" w:hAnsi="Times New Roman" w:cs="Times New Roman"/>
          <w:i/>
          <w:iCs/>
          <w:sz w:val="24"/>
          <w:szCs w:val="24"/>
          <w:shd w:val="clear" w:color="auto" w:fill="FFFFFF"/>
        </w:rPr>
        <w:t>The North American Journal of Economics and Finance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51</w:t>
      </w:r>
      <w:r w:rsidRPr="009A4091">
        <w:rPr>
          <w:rFonts w:ascii="Times New Roman" w:hAnsi="Times New Roman" w:cs="Times New Roman"/>
          <w:sz w:val="24"/>
          <w:szCs w:val="24"/>
          <w:shd w:val="clear" w:color="auto" w:fill="FFFFFF"/>
        </w:rPr>
        <w:t>, 101098.</w:t>
      </w:r>
    </w:p>
    <w:p w14:paraId="4DC94F9B" w14:textId="77777777" w:rsidR="00D81AD6" w:rsidRPr="009A4091" w:rsidRDefault="00D81AD6" w:rsidP="0056181A">
      <w:pPr>
        <w:spacing w:line="360" w:lineRule="auto"/>
        <w:jc w:val="both"/>
        <w:rPr>
          <w:rFonts w:ascii="Times New Roman" w:hAnsi="Times New Roman" w:cs="Times New Roman"/>
          <w:sz w:val="24"/>
          <w:szCs w:val="24"/>
        </w:rPr>
      </w:pPr>
      <w:proofErr w:type="spellStart"/>
      <w:r w:rsidRPr="009A4091">
        <w:rPr>
          <w:rFonts w:ascii="Times New Roman" w:hAnsi="Times New Roman" w:cs="Times New Roman"/>
          <w:sz w:val="24"/>
          <w:szCs w:val="24"/>
          <w:shd w:val="clear" w:color="auto" w:fill="FFFFFF"/>
        </w:rPr>
        <w:t>Taşdemir</w:t>
      </w:r>
      <w:proofErr w:type="spellEnd"/>
      <w:r w:rsidRPr="009A4091">
        <w:rPr>
          <w:rFonts w:ascii="Times New Roman" w:hAnsi="Times New Roman" w:cs="Times New Roman"/>
          <w:sz w:val="24"/>
          <w:szCs w:val="24"/>
          <w:shd w:val="clear" w:color="auto" w:fill="FFFFFF"/>
        </w:rPr>
        <w:t xml:space="preserve">, M., &amp; </w:t>
      </w:r>
      <w:proofErr w:type="spellStart"/>
      <w:r w:rsidRPr="009A4091">
        <w:rPr>
          <w:rFonts w:ascii="Times New Roman" w:hAnsi="Times New Roman" w:cs="Times New Roman"/>
          <w:sz w:val="24"/>
          <w:szCs w:val="24"/>
          <w:shd w:val="clear" w:color="auto" w:fill="FFFFFF"/>
        </w:rPr>
        <w:t>Yalama</w:t>
      </w:r>
      <w:proofErr w:type="spellEnd"/>
      <w:r w:rsidRPr="009A4091">
        <w:rPr>
          <w:rFonts w:ascii="Times New Roman" w:hAnsi="Times New Roman" w:cs="Times New Roman"/>
          <w:sz w:val="24"/>
          <w:szCs w:val="24"/>
          <w:shd w:val="clear" w:color="auto" w:fill="FFFFFF"/>
        </w:rPr>
        <w:t>, A. (2014). Volatility spillover effects in interregional equity markets: empirical evidence from Brazil and Turkey. </w:t>
      </w:r>
      <w:r w:rsidRPr="009A4091">
        <w:rPr>
          <w:rFonts w:ascii="Times New Roman" w:hAnsi="Times New Roman" w:cs="Times New Roman"/>
          <w:i/>
          <w:iCs/>
          <w:sz w:val="24"/>
          <w:szCs w:val="24"/>
          <w:shd w:val="clear" w:color="auto" w:fill="FFFFFF"/>
        </w:rPr>
        <w:t>Emerging Markets Finance and Trade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50</w:t>
      </w:r>
      <w:r w:rsidRPr="009A4091">
        <w:rPr>
          <w:rFonts w:ascii="Times New Roman" w:hAnsi="Times New Roman" w:cs="Times New Roman"/>
          <w:sz w:val="24"/>
          <w:szCs w:val="24"/>
          <w:shd w:val="clear" w:color="auto" w:fill="FFFFFF"/>
        </w:rPr>
        <w:t>(2), 190-202.</w:t>
      </w:r>
    </w:p>
    <w:p w14:paraId="3EFFBD42"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proofErr w:type="spellStart"/>
      <w:r w:rsidRPr="009A4091">
        <w:rPr>
          <w:rFonts w:ascii="Times New Roman" w:hAnsi="Times New Roman" w:cs="Times New Roman"/>
          <w:sz w:val="24"/>
          <w:szCs w:val="24"/>
          <w:shd w:val="clear" w:color="auto" w:fill="FFFFFF"/>
        </w:rPr>
        <w:t>Topcu</w:t>
      </w:r>
      <w:proofErr w:type="spellEnd"/>
      <w:r w:rsidRPr="009A4091">
        <w:rPr>
          <w:rFonts w:ascii="Times New Roman" w:hAnsi="Times New Roman" w:cs="Times New Roman"/>
          <w:sz w:val="24"/>
          <w:szCs w:val="24"/>
          <w:shd w:val="clear" w:color="auto" w:fill="FFFFFF"/>
        </w:rPr>
        <w:t xml:space="preserve">, M., &amp; </w:t>
      </w:r>
      <w:proofErr w:type="spellStart"/>
      <w:r w:rsidRPr="009A4091">
        <w:rPr>
          <w:rFonts w:ascii="Times New Roman" w:hAnsi="Times New Roman" w:cs="Times New Roman"/>
          <w:sz w:val="24"/>
          <w:szCs w:val="24"/>
          <w:shd w:val="clear" w:color="auto" w:fill="FFFFFF"/>
        </w:rPr>
        <w:t>Gulal</w:t>
      </w:r>
      <w:proofErr w:type="spellEnd"/>
      <w:r w:rsidRPr="009A4091">
        <w:rPr>
          <w:rFonts w:ascii="Times New Roman" w:hAnsi="Times New Roman" w:cs="Times New Roman"/>
          <w:sz w:val="24"/>
          <w:szCs w:val="24"/>
          <w:shd w:val="clear" w:color="auto" w:fill="FFFFFF"/>
        </w:rPr>
        <w:t>, O. S. (2020). The impact of COVID-19 on emerging stock markets.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36</w:t>
      </w:r>
      <w:r w:rsidRPr="009A4091">
        <w:rPr>
          <w:rFonts w:ascii="Times New Roman" w:hAnsi="Times New Roman" w:cs="Times New Roman"/>
          <w:sz w:val="24"/>
          <w:szCs w:val="24"/>
          <w:shd w:val="clear" w:color="auto" w:fill="FFFFFF"/>
        </w:rPr>
        <w:t>, 101691.</w:t>
      </w:r>
    </w:p>
    <w:p w14:paraId="740C5F8B" w14:textId="77777777" w:rsidR="00D81AD6" w:rsidRPr="009A4091" w:rsidRDefault="00D81AD6" w:rsidP="00A67D75">
      <w:pPr>
        <w:spacing w:before="240"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 xml:space="preserve">Umar, Z., Yousaf, I., &amp; </w:t>
      </w:r>
      <w:proofErr w:type="spellStart"/>
      <w:r w:rsidRPr="009A4091">
        <w:rPr>
          <w:rFonts w:ascii="Times New Roman" w:hAnsi="Times New Roman" w:cs="Times New Roman"/>
          <w:sz w:val="24"/>
          <w:szCs w:val="24"/>
          <w:shd w:val="clear" w:color="auto" w:fill="FFFFFF"/>
        </w:rPr>
        <w:t>Aharon</w:t>
      </w:r>
      <w:proofErr w:type="spellEnd"/>
      <w:r w:rsidRPr="009A4091">
        <w:rPr>
          <w:rFonts w:ascii="Times New Roman" w:hAnsi="Times New Roman" w:cs="Times New Roman"/>
          <w:sz w:val="24"/>
          <w:szCs w:val="24"/>
          <w:shd w:val="clear" w:color="auto" w:fill="FFFFFF"/>
        </w:rPr>
        <w:t>, D. Y. (2021). The relationship between yield curve components and equity sectorial indices: Evidence from China. Pacific-Basin Finance Journal, 68, 101591.</w:t>
      </w:r>
    </w:p>
    <w:p w14:paraId="19BA5E25"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Womack, B. (2017). International Crises and China’s Rise: Comparing the 2008 Global Financial Crisis and the 2017 Global Political Crisis. </w:t>
      </w:r>
      <w:r w:rsidRPr="009A4091">
        <w:rPr>
          <w:rFonts w:ascii="Times New Roman" w:hAnsi="Times New Roman" w:cs="Times New Roman"/>
          <w:i/>
          <w:iCs/>
          <w:sz w:val="24"/>
          <w:szCs w:val="24"/>
          <w:shd w:val="clear" w:color="auto" w:fill="FFFFFF"/>
        </w:rPr>
        <w:t>The Chinese Journal of International Politics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10</w:t>
      </w:r>
      <w:r w:rsidRPr="009A4091">
        <w:rPr>
          <w:rFonts w:ascii="Times New Roman" w:hAnsi="Times New Roman" w:cs="Times New Roman"/>
          <w:sz w:val="24"/>
          <w:szCs w:val="24"/>
          <w:shd w:val="clear" w:color="auto" w:fill="FFFFFF"/>
        </w:rPr>
        <w:t>(4), 383-401.</w:t>
      </w:r>
    </w:p>
    <w:p w14:paraId="6F7569E2" w14:textId="77777777" w:rsidR="000004F2" w:rsidRPr="009A4091" w:rsidRDefault="00D81AD6" w:rsidP="000004F2">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Yang, Z., &amp; Zhou, Y. (2017). Quantitative easing and volatility spillovers across countries and asset classes. </w:t>
      </w:r>
      <w:r w:rsidRPr="009A4091">
        <w:rPr>
          <w:rFonts w:ascii="Times New Roman" w:hAnsi="Times New Roman" w:cs="Times New Roman"/>
          <w:i/>
          <w:iCs/>
          <w:sz w:val="24"/>
          <w:szCs w:val="24"/>
          <w:shd w:val="clear" w:color="auto" w:fill="FFFFFF"/>
        </w:rPr>
        <w:t>Management Science</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63</w:t>
      </w:r>
      <w:r w:rsidRPr="009A4091">
        <w:rPr>
          <w:rFonts w:ascii="Times New Roman" w:hAnsi="Times New Roman" w:cs="Times New Roman"/>
          <w:sz w:val="24"/>
          <w:szCs w:val="24"/>
          <w:shd w:val="clear" w:color="auto" w:fill="FFFFFF"/>
        </w:rPr>
        <w:t>(2), 333-354.</w:t>
      </w:r>
    </w:p>
    <w:p w14:paraId="53D5D5EF" w14:textId="77777777" w:rsidR="000004F2" w:rsidRPr="009A4091" w:rsidRDefault="000004F2" w:rsidP="000004F2">
      <w:pPr>
        <w:spacing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Yarovaya, L., Brzeszczyński, J., Goodell, J. W., Lucey, B., &amp; Lau, C. K. M. (2022). Rethinking financial contagion: information transmission mechanism during the COVID-19 pandemic. </w:t>
      </w:r>
      <w:r w:rsidRPr="009A4091">
        <w:rPr>
          <w:rFonts w:ascii="Times New Roman" w:hAnsi="Times New Roman" w:cs="Times New Roman"/>
          <w:i/>
          <w:iCs/>
          <w:color w:val="222222"/>
          <w:sz w:val="24"/>
          <w:szCs w:val="24"/>
          <w:shd w:val="clear" w:color="auto" w:fill="FFFFFF"/>
        </w:rPr>
        <w:t>Journal of International Financial Markets, Institutions and Money</w:t>
      </w:r>
      <w:r w:rsidRPr="009A4091">
        <w:rPr>
          <w:rFonts w:ascii="Times New Roman" w:hAnsi="Times New Roman" w:cs="Times New Roman"/>
          <w:color w:val="222222"/>
          <w:sz w:val="24"/>
          <w:szCs w:val="24"/>
          <w:shd w:val="clear" w:color="auto" w:fill="FFFFFF"/>
        </w:rPr>
        <w:t>, 101589.</w:t>
      </w:r>
    </w:p>
    <w:p w14:paraId="58ABCC3C" w14:textId="77777777" w:rsidR="000004F2" w:rsidRPr="009A4091" w:rsidRDefault="000004F2" w:rsidP="000004F2">
      <w:pPr>
        <w:spacing w:line="360" w:lineRule="auto"/>
        <w:jc w:val="both"/>
        <w:rPr>
          <w:rFonts w:ascii="Times New Roman" w:hAnsi="Times New Roman" w:cs="Times New Roman"/>
          <w:color w:val="222222"/>
          <w:sz w:val="24"/>
          <w:szCs w:val="24"/>
          <w:shd w:val="clear" w:color="auto" w:fill="FFFFFF"/>
        </w:rPr>
      </w:pPr>
      <w:r w:rsidRPr="009A4091">
        <w:rPr>
          <w:rFonts w:ascii="Times New Roman" w:hAnsi="Times New Roman" w:cs="Times New Roman"/>
          <w:color w:val="222222"/>
          <w:sz w:val="24"/>
          <w:szCs w:val="24"/>
          <w:shd w:val="clear" w:color="auto" w:fill="FFFFFF"/>
        </w:rPr>
        <w:t>Yarovaya, L., &amp; Zięba, D. (2022). Intraday volume-return nexus in cryptocurrency markets: Novel evidence from cryptocurrency classification. </w:t>
      </w:r>
      <w:r w:rsidRPr="009A4091">
        <w:rPr>
          <w:rFonts w:ascii="Times New Roman" w:hAnsi="Times New Roman" w:cs="Times New Roman"/>
          <w:i/>
          <w:iCs/>
          <w:color w:val="222222"/>
          <w:sz w:val="24"/>
          <w:szCs w:val="24"/>
          <w:shd w:val="clear" w:color="auto" w:fill="FFFFFF"/>
        </w:rPr>
        <w:t>Research in International Business and Finance</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60</w:t>
      </w:r>
      <w:r w:rsidRPr="009A4091">
        <w:rPr>
          <w:rFonts w:ascii="Times New Roman" w:hAnsi="Times New Roman" w:cs="Times New Roman"/>
          <w:color w:val="222222"/>
          <w:sz w:val="24"/>
          <w:szCs w:val="24"/>
          <w:shd w:val="clear" w:color="auto" w:fill="FFFFFF"/>
        </w:rPr>
        <w:t>, 101592.</w:t>
      </w:r>
    </w:p>
    <w:p w14:paraId="23233D11" w14:textId="51C6F835" w:rsidR="000004F2" w:rsidRPr="009A4091" w:rsidRDefault="000004F2"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color w:val="222222"/>
          <w:sz w:val="24"/>
          <w:szCs w:val="24"/>
          <w:shd w:val="clear" w:color="auto" w:fill="FFFFFF"/>
        </w:rPr>
        <w:lastRenderedPageBreak/>
        <w:t>Yarovaya, L., Matkovskyy, R., &amp; Jalan, A. (2022). The COVID-19 black swan crisis: Reaction and recovery of various financial markets. </w:t>
      </w:r>
      <w:r w:rsidRPr="009A4091">
        <w:rPr>
          <w:rFonts w:ascii="Times New Roman" w:hAnsi="Times New Roman" w:cs="Times New Roman"/>
          <w:i/>
          <w:iCs/>
          <w:color w:val="222222"/>
          <w:sz w:val="24"/>
          <w:szCs w:val="24"/>
          <w:shd w:val="clear" w:color="auto" w:fill="FFFFFF"/>
        </w:rPr>
        <w:t>Research in International Business and Finance</w:t>
      </w:r>
      <w:r w:rsidRPr="009A4091">
        <w:rPr>
          <w:rFonts w:ascii="Times New Roman" w:hAnsi="Times New Roman" w:cs="Times New Roman"/>
          <w:color w:val="222222"/>
          <w:sz w:val="24"/>
          <w:szCs w:val="24"/>
          <w:shd w:val="clear" w:color="auto" w:fill="FFFFFF"/>
        </w:rPr>
        <w:t>, </w:t>
      </w:r>
      <w:r w:rsidRPr="009A4091">
        <w:rPr>
          <w:rFonts w:ascii="Times New Roman" w:hAnsi="Times New Roman" w:cs="Times New Roman"/>
          <w:i/>
          <w:iCs/>
          <w:color w:val="222222"/>
          <w:sz w:val="24"/>
          <w:szCs w:val="24"/>
          <w:shd w:val="clear" w:color="auto" w:fill="FFFFFF"/>
        </w:rPr>
        <w:t>59</w:t>
      </w:r>
      <w:r w:rsidRPr="009A4091">
        <w:rPr>
          <w:rFonts w:ascii="Times New Roman" w:hAnsi="Times New Roman" w:cs="Times New Roman"/>
          <w:color w:val="222222"/>
          <w:sz w:val="24"/>
          <w:szCs w:val="24"/>
          <w:shd w:val="clear" w:color="auto" w:fill="FFFFFF"/>
        </w:rPr>
        <w:t>, 101521.</w:t>
      </w:r>
    </w:p>
    <w:p w14:paraId="151A01E3" w14:textId="1288BF65" w:rsidR="00D81AD6" w:rsidRPr="009A4091" w:rsidRDefault="00D81AD6" w:rsidP="0056181A">
      <w:pPr>
        <w:spacing w:line="360" w:lineRule="auto"/>
        <w:jc w:val="both"/>
        <w:rPr>
          <w:rFonts w:ascii="Times New Roman" w:hAnsi="Times New Roman" w:cs="Times New Roman"/>
          <w:sz w:val="24"/>
          <w:szCs w:val="24"/>
        </w:rPr>
      </w:pPr>
      <w:r w:rsidRPr="009A4091">
        <w:rPr>
          <w:rFonts w:ascii="Times New Roman" w:hAnsi="Times New Roman" w:cs="Times New Roman"/>
          <w:sz w:val="24"/>
          <w:szCs w:val="24"/>
          <w:shd w:val="clear" w:color="auto" w:fill="FFFFFF"/>
        </w:rPr>
        <w:t>Yilmaz, K. (2010). Return and volatility spillovers among the East Asian equity markets. </w:t>
      </w:r>
      <w:r w:rsidRPr="009A4091">
        <w:rPr>
          <w:rFonts w:ascii="Times New Roman" w:hAnsi="Times New Roman" w:cs="Times New Roman"/>
          <w:i/>
          <w:iCs/>
          <w:sz w:val="24"/>
          <w:szCs w:val="24"/>
          <w:shd w:val="clear" w:color="auto" w:fill="FFFFFF"/>
        </w:rPr>
        <w:t>Journal of Asian Economics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21</w:t>
      </w:r>
      <w:r w:rsidRPr="009A4091">
        <w:rPr>
          <w:rFonts w:ascii="Times New Roman" w:hAnsi="Times New Roman" w:cs="Times New Roman"/>
          <w:sz w:val="24"/>
          <w:szCs w:val="24"/>
          <w:shd w:val="clear" w:color="auto" w:fill="FFFFFF"/>
        </w:rPr>
        <w:t>(3), 304-313.</w:t>
      </w:r>
      <w:r w:rsidRPr="009A4091">
        <w:rPr>
          <w:rFonts w:ascii="Times New Roman" w:hAnsi="Times New Roman" w:cs="Times New Roman"/>
          <w:sz w:val="24"/>
          <w:szCs w:val="24"/>
        </w:rPr>
        <w:t xml:space="preserve"> </w:t>
      </w:r>
    </w:p>
    <w:p w14:paraId="21C7256D" w14:textId="77777777" w:rsidR="00D81AD6" w:rsidRPr="009A4091" w:rsidRDefault="00D81AD6" w:rsidP="00986311">
      <w:pPr>
        <w:spacing w:before="240" w:line="360" w:lineRule="auto"/>
        <w:jc w:val="both"/>
        <w:rPr>
          <w:rFonts w:ascii="Times New Roman" w:hAnsi="Times New Roman" w:cs="Times New Roman"/>
          <w:sz w:val="24"/>
          <w:szCs w:val="24"/>
          <w:shd w:val="clear" w:color="auto" w:fill="FFFFFF"/>
          <w:lang w:val="en-NZ"/>
        </w:rPr>
      </w:pPr>
      <w:r w:rsidRPr="009A4091">
        <w:rPr>
          <w:rFonts w:ascii="Times New Roman" w:hAnsi="Times New Roman" w:cs="Times New Roman"/>
          <w:sz w:val="24"/>
          <w:szCs w:val="24"/>
          <w:shd w:val="clear" w:color="auto" w:fill="FFFFFF"/>
        </w:rPr>
        <w:t xml:space="preserve">Yousaf, I., &amp; Hassan, A. (2019). Linkages between crude oil and emerging Asian stock markets: </w:t>
      </w:r>
      <w:proofErr w:type="gramStart"/>
      <w:r w:rsidRPr="009A4091">
        <w:rPr>
          <w:rFonts w:ascii="Times New Roman" w:hAnsi="Times New Roman" w:cs="Times New Roman"/>
          <w:sz w:val="24"/>
          <w:szCs w:val="24"/>
          <w:shd w:val="clear" w:color="auto" w:fill="FFFFFF"/>
        </w:rPr>
        <w:t>New</w:t>
      </w:r>
      <w:proofErr w:type="gramEnd"/>
      <w:r w:rsidRPr="009A4091">
        <w:rPr>
          <w:rFonts w:ascii="Times New Roman" w:hAnsi="Times New Roman" w:cs="Times New Roman"/>
          <w:sz w:val="24"/>
          <w:szCs w:val="24"/>
          <w:shd w:val="clear" w:color="auto" w:fill="FFFFFF"/>
        </w:rPr>
        <w:t xml:space="preserve"> evidence from the Chinese stock market crash.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31</w:t>
      </w:r>
      <w:r w:rsidRPr="009A4091">
        <w:rPr>
          <w:rFonts w:ascii="Times New Roman" w:hAnsi="Times New Roman" w:cs="Times New Roman"/>
          <w:sz w:val="24"/>
          <w:szCs w:val="24"/>
          <w:shd w:val="clear" w:color="auto" w:fill="FFFFFF"/>
        </w:rPr>
        <w:t>, 207-217.</w:t>
      </w:r>
    </w:p>
    <w:p w14:paraId="6FF396C5" w14:textId="77777777" w:rsidR="00D81AD6" w:rsidRPr="009A4091" w:rsidRDefault="00D81AD6" w:rsidP="0056181A">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Zhang, D., Hu, M., &amp; Ji, Q. (2020). Financial markets under the global pandemic of COVID-19. </w:t>
      </w:r>
      <w:r w:rsidRPr="009A4091">
        <w:rPr>
          <w:rFonts w:ascii="Times New Roman" w:hAnsi="Times New Roman" w:cs="Times New Roman"/>
          <w:i/>
          <w:iCs/>
          <w:sz w:val="24"/>
          <w:szCs w:val="24"/>
          <w:shd w:val="clear" w:color="auto" w:fill="FFFFFF"/>
        </w:rPr>
        <w:t>Finance Research Letters</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36</w:t>
      </w:r>
      <w:r w:rsidRPr="009A4091">
        <w:rPr>
          <w:rFonts w:ascii="Times New Roman" w:hAnsi="Times New Roman" w:cs="Times New Roman"/>
          <w:sz w:val="24"/>
          <w:szCs w:val="24"/>
          <w:shd w:val="clear" w:color="auto" w:fill="FFFFFF"/>
        </w:rPr>
        <w:t>, 101528.</w:t>
      </w:r>
    </w:p>
    <w:p w14:paraId="6EEBEB0A" w14:textId="77777777" w:rsidR="00D81AD6" w:rsidRPr="009A4091" w:rsidRDefault="00D81AD6" w:rsidP="005C7750">
      <w:pPr>
        <w:spacing w:line="360" w:lineRule="auto"/>
        <w:jc w:val="both"/>
        <w:rPr>
          <w:rFonts w:ascii="Times New Roman" w:hAnsi="Times New Roman" w:cs="Times New Roman"/>
          <w:sz w:val="24"/>
          <w:szCs w:val="24"/>
        </w:rPr>
      </w:pPr>
      <w:r w:rsidRPr="009A4091">
        <w:rPr>
          <w:rFonts w:ascii="Times New Roman" w:hAnsi="Times New Roman" w:cs="Times New Roman"/>
          <w:sz w:val="24"/>
          <w:szCs w:val="24"/>
          <w:shd w:val="clear" w:color="auto" w:fill="FFFFFF"/>
        </w:rPr>
        <w:t>Zhong, Y., &amp; Liu, J. (2021). Correlations and volatility spillovers between China and Southeast Asian stock markets. </w:t>
      </w:r>
      <w:r w:rsidRPr="009A4091">
        <w:rPr>
          <w:rFonts w:ascii="Times New Roman" w:hAnsi="Times New Roman" w:cs="Times New Roman"/>
          <w:i/>
          <w:iCs/>
          <w:sz w:val="24"/>
          <w:szCs w:val="24"/>
          <w:shd w:val="clear" w:color="auto" w:fill="FFFFFF"/>
        </w:rPr>
        <w:t>The Quarterly Review of Economics and Finance</w:t>
      </w:r>
      <w:r w:rsidRPr="009A4091">
        <w:rPr>
          <w:rFonts w:ascii="Times New Roman" w:hAnsi="Times New Roman" w:cs="Times New Roman"/>
          <w:sz w:val="24"/>
          <w:szCs w:val="24"/>
          <w:shd w:val="clear" w:color="auto" w:fill="FFFFFF"/>
        </w:rPr>
        <w:t>.</w:t>
      </w:r>
      <w:r w:rsidRPr="009A4091">
        <w:rPr>
          <w:rFonts w:ascii="Times New Roman" w:hAnsi="Times New Roman" w:cs="Times New Roman"/>
          <w:sz w:val="24"/>
          <w:szCs w:val="24"/>
        </w:rPr>
        <w:t xml:space="preserve"> </w:t>
      </w:r>
    </w:p>
    <w:p w14:paraId="6BA4D8FD" w14:textId="77777777" w:rsidR="00D81AD6" w:rsidRPr="009A4091" w:rsidRDefault="00D81AD6" w:rsidP="00A67D75">
      <w:pPr>
        <w:spacing w:before="240" w:line="360" w:lineRule="auto"/>
        <w:jc w:val="both"/>
        <w:rPr>
          <w:rFonts w:ascii="Times New Roman" w:hAnsi="Times New Roman" w:cs="Times New Roman"/>
          <w:color w:val="0070C0"/>
          <w:sz w:val="24"/>
          <w:szCs w:val="24"/>
          <w:shd w:val="clear" w:color="auto" w:fill="FFFFFF"/>
        </w:rPr>
      </w:pPr>
      <w:r w:rsidRPr="009A4091">
        <w:rPr>
          <w:rFonts w:ascii="Times New Roman" w:hAnsi="Times New Roman" w:cs="Times New Roman"/>
          <w:color w:val="0070C0"/>
          <w:sz w:val="24"/>
          <w:szCs w:val="24"/>
          <w:shd w:val="clear" w:color="auto" w:fill="FFFFFF"/>
        </w:rPr>
        <w:t xml:space="preserve">Zhou, L., </w:t>
      </w:r>
      <w:proofErr w:type="spellStart"/>
      <w:r w:rsidRPr="009A4091">
        <w:rPr>
          <w:rFonts w:ascii="Times New Roman" w:hAnsi="Times New Roman" w:cs="Times New Roman"/>
          <w:color w:val="0070C0"/>
          <w:sz w:val="24"/>
          <w:szCs w:val="24"/>
          <w:shd w:val="clear" w:color="auto" w:fill="FFFFFF"/>
        </w:rPr>
        <w:t>Gozgor</w:t>
      </w:r>
      <w:proofErr w:type="spellEnd"/>
      <w:r w:rsidRPr="009A4091">
        <w:rPr>
          <w:rFonts w:ascii="Times New Roman" w:hAnsi="Times New Roman" w:cs="Times New Roman"/>
          <w:color w:val="0070C0"/>
          <w:sz w:val="24"/>
          <w:szCs w:val="24"/>
          <w:shd w:val="clear" w:color="auto" w:fill="FFFFFF"/>
        </w:rPr>
        <w:t>, G., Huang, M., &amp; Lau, M. C. K. (2020). The impact of geopolitical risks on financial development: evidence from emerging markets. </w:t>
      </w:r>
      <w:r w:rsidRPr="009A4091">
        <w:rPr>
          <w:rFonts w:ascii="Times New Roman" w:hAnsi="Times New Roman" w:cs="Times New Roman"/>
          <w:i/>
          <w:iCs/>
          <w:color w:val="0070C0"/>
          <w:sz w:val="24"/>
          <w:szCs w:val="24"/>
          <w:shd w:val="clear" w:color="auto" w:fill="FFFFFF"/>
        </w:rPr>
        <w:t>Journal of Competitiveness</w:t>
      </w:r>
      <w:r w:rsidRPr="009A4091">
        <w:rPr>
          <w:rFonts w:ascii="Times New Roman" w:hAnsi="Times New Roman" w:cs="Times New Roman"/>
          <w:color w:val="0070C0"/>
          <w:sz w:val="24"/>
          <w:szCs w:val="24"/>
          <w:shd w:val="clear" w:color="auto" w:fill="FFFFFF"/>
        </w:rPr>
        <w:t>, </w:t>
      </w:r>
      <w:r w:rsidRPr="009A4091">
        <w:rPr>
          <w:rFonts w:ascii="Times New Roman" w:hAnsi="Times New Roman" w:cs="Times New Roman"/>
          <w:i/>
          <w:iCs/>
          <w:color w:val="0070C0"/>
          <w:sz w:val="24"/>
          <w:szCs w:val="24"/>
          <w:shd w:val="clear" w:color="auto" w:fill="FFFFFF"/>
        </w:rPr>
        <w:t>12</w:t>
      </w:r>
      <w:r w:rsidRPr="009A4091">
        <w:rPr>
          <w:rFonts w:ascii="Times New Roman" w:hAnsi="Times New Roman" w:cs="Times New Roman"/>
          <w:color w:val="0070C0"/>
          <w:sz w:val="24"/>
          <w:szCs w:val="24"/>
          <w:shd w:val="clear" w:color="auto" w:fill="FFFFFF"/>
        </w:rPr>
        <w:t>(1), 93.</w:t>
      </w:r>
    </w:p>
    <w:p w14:paraId="2E255394" w14:textId="77777777" w:rsidR="00D81AD6" w:rsidRPr="009A4091" w:rsidRDefault="00D81AD6" w:rsidP="005C7750">
      <w:pPr>
        <w:spacing w:line="360" w:lineRule="auto"/>
        <w:jc w:val="both"/>
        <w:rPr>
          <w:rFonts w:ascii="Times New Roman" w:hAnsi="Times New Roman" w:cs="Times New Roman"/>
          <w:sz w:val="24"/>
          <w:szCs w:val="24"/>
          <w:shd w:val="clear" w:color="auto" w:fill="FFFFFF"/>
        </w:rPr>
      </w:pPr>
      <w:r w:rsidRPr="009A4091">
        <w:rPr>
          <w:rFonts w:ascii="Times New Roman" w:hAnsi="Times New Roman" w:cs="Times New Roman"/>
          <w:sz w:val="24"/>
          <w:szCs w:val="24"/>
          <w:shd w:val="clear" w:color="auto" w:fill="FFFFFF"/>
        </w:rPr>
        <w:t>Zhou, X., Zhang, W., &amp; Zhang, J. (2012). Volatility spillovers between the Chinese and world equity markets. </w:t>
      </w:r>
      <w:r w:rsidRPr="009A4091">
        <w:rPr>
          <w:rFonts w:ascii="Times New Roman" w:hAnsi="Times New Roman" w:cs="Times New Roman"/>
          <w:i/>
          <w:iCs/>
          <w:sz w:val="24"/>
          <w:szCs w:val="24"/>
          <w:shd w:val="clear" w:color="auto" w:fill="FFFFFF"/>
        </w:rPr>
        <w:t>Pacific-Basin Finance Journal</w:t>
      </w:r>
      <w:r w:rsidRPr="009A4091">
        <w:rPr>
          <w:rFonts w:ascii="Times New Roman" w:hAnsi="Times New Roman" w:cs="Times New Roman"/>
          <w:sz w:val="24"/>
          <w:szCs w:val="24"/>
          <w:shd w:val="clear" w:color="auto" w:fill="FFFFFF"/>
        </w:rPr>
        <w:t>, </w:t>
      </w:r>
      <w:r w:rsidRPr="009A4091">
        <w:rPr>
          <w:rFonts w:ascii="Times New Roman" w:hAnsi="Times New Roman" w:cs="Times New Roman"/>
          <w:i/>
          <w:iCs/>
          <w:sz w:val="24"/>
          <w:szCs w:val="24"/>
          <w:shd w:val="clear" w:color="auto" w:fill="FFFFFF"/>
        </w:rPr>
        <w:t>20</w:t>
      </w:r>
      <w:r w:rsidRPr="009A4091">
        <w:rPr>
          <w:rFonts w:ascii="Times New Roman" w:hAnsi="Times New Roman" w:cs="Times New Roman"/>
          <w:sz w:val="24"/>
          <w:szCs w:val="24"/>
          <w:shd w:val="clear" w:color="auto" w:fill="FFFFFF"/>
        </w:rPr>
        <w:t>(2), 247-270.</w:t>
      </w:r>
    </w:p>
    <w:p w14:paraId="2A9F2E95" w14:textId="37CADA01" w:rsidR="00650636" w:rsidRDefault="00650636" w:rsidP="00A67D75">
      <w:pPr>
        <w:spacing w:before="240" w:line="360" w:lineRule="auto"/>
        <w:jc w:val="both"/>
        <w:rPr>
          <w:rFonts w:ascii="Arial" w:hAnsi="Arial" w:cs="Arial"/>
          <w:color w:val="0070C0"/>
          <w:sz w:val="20"/>
          <w:szCs w:val="20"/>
          <w:shd w:val="clear" w:color="auto" w:fill="FFFFFF"/>
        </w:rPr>
      </w:pPr>
    </w:p>
    <w:p w14:paraId="7C1A3AF7" w14:textId="1555176F" w:rsidR="00650636" w:rsidRDefault="00650636" w:rsidP="00A67D75">
      <w:pPr>
        <w:spacing w:before="240" w:line="360" w:lineRule="auto"/>
        <w:jc w:val="both"/>
        <w:rPr>
          <w:rFonts w:ascii="Arial" w:hAnsi="Arial" w:cs="Arial"/>
          <w:color w:val="0070C0"/>
          <w:sz w:val="20"/>
          <w:szCs w:val="20"/>
          <w:shd w:val="clear" w:color="auto" w:fill="FFFFFF"/>
        </w:rPr>
      </w:pPr>
    </w:p>
    <w:p w14:paraId="7C70C0FB" w14:textId="4A3A2C5B" w:rsidR="00650636" w:rsidRDefault="00650636" w:rsidP="00A67D75">
      <w:pPr>
        <w:spacing w:before="240" w:line="360" w:lineRule="auto"/>
        <w:jc w:val="both"/>
        <w:rPr>
          <w:rFonts w:ascii="Times New Roman" w:hAnsi="Times New Roman" w:cs="Times New Roman"/>
          <w:color w:val="0070C0"/>
          <w:sz w:val="24"/>
          <w:szCs w:val="24"/>
          <w:lang w:val="en-NZ"/>
        </w:rPr>
      </w:pPr>
    </w:p>
    <w:p w14:paraId="34C46DBC" w14:textId="77777777" w:rsidR="00A90AB9" w:rsidRPr="00A67D75" w:rsidRDefault="00A90AB9" w:rsidP="00A67D75">
      <w:pPr>
        <w:spacing w:before="240" w:line="360" w:lineRule="auto"/>
        <w:jc w:val="both"/>
        <w:rPr>
          <w:rFonts w:ascii="Times New Roman" w:hAnsi="Times New Roman" w:cs="Times New Roman"/>
          <w:color w:val="0070C0"/>
          <w:sz w:val="24"/>
          <w:szCs w:val="24"/>
          <w:lang w:val="en-NZ"/>
        </w:rPr>
      </w:pPr>
    </w:p>
    <w:p w14:paraId="18F14B6C" w14:textId="7BE71C63" w:rsidR="00A67D75" w:rsidRPr="006F4180" w:rsidRDefault="008C1106" w:rsidP="008C1106">
      <w:pPr>
        <w:rPr>
          <w:rFonts w:ascii="Times New Roman" w:hAnsi="Times New Roman" w:cs="Times New Roman"/>
          <w:sz w:val="24"/>
          <w:szCs w:val="24"/>
          <w:lang w:val="en-NZ"/>
        </w:rPr>
      </w:pPr>
      <w:r>
        <w:rPr>
          <w:rFonts w:ascii="Times New Roman" w:hAnsi="Times New Roman" w:cs="Times New Roman"/>
          <w:sz w:val="24"/>
          <w:szCs w:val="24"/>
          <w:lang w:val="en-NZ"/>
        </w:rPr>
        <w:br w:type="page"/>
      </w:r>
    </w:p>
    <w:p w14:paraId="7281FF4D" w14:textId="22E8DF0E" w:rsidR="00994C18" w:rsidRPr="003950B7" w:rsidRDefault="003950B7" w:rsidP="003950B7">
      <w:pPr>
        <w:jc w:val="center"/>
        <w:rPr>
          <w:rFonts w:ascii="Times New Roman" w:hAnsi="Times New Roman" w:cs="Times New Roman"/>
          <w:b/>
          <w:bCs/>
          <w:sz w:val="24"/>
          <w:szCs w:val="24"/>
          <w:lang w:val="en-NZ"/>
        </w:rPr>
      </w:pPr>
      <w:r w:rsidRPr="003950B7">
        <w:rPr>
          <w:rFonts w:ascii="Times New Roman" w:hAnsi="Times New Roman" w:cs="Times New Roman"/>
          <w:b/>
          <w:bCs/>
          <w:sz w:val="24"/>
          <w:szCs w:val="24"/>
          <w:lang w:val="en-NZ"/>
        </w:rPr>
        <w:lastRenderedPageBreak/>
        <w:t>Table 1: Descriptive statistics</w:t>
      </w:r>
    </w:p>
    <w:tbl>
      <w:tblPr>
        <w:tblW w:w="8265" w:type="dxa"/>
        <w:jc w:val="center"/>
        <w:tblCellMar>
          <w:left w:w="0" w:type="dxa"/>
          <w:right w:w="0" w:type="dxa"/>
        </w:tblCellMar>
        <w:tblLook w:val="04A0" w:firstRow="1" w:lastRow="0" w:firstColumn="1" w:lastColumn="0" w:noHBand="0" w:noVBand="1"/>
      </w:tblPr>
      <w:tblGrid>
        <w:gridCol w:w="1843"/>
        <w:gridCol w:w="887"/>
        <w:gridCol w:w="1188"/>
        <w:gridCol w:w="629"/>
        <w:gridCol w:w="717"/>
        <w:gridCol w:w="629"/>
        <w:gridCol w:w="585"/>
        <w:gridCol w:w="629"/>
        <w:gridCol w:w="1158"/>
      </w:tblGrid>
      <w:tr w:rsidR="006F4180" w:rsidRPr="006F4180" w14:paraId="66EEA1FF" w14:textId="77777777" w:rsidTr="00CA7A46">
        <w:trPr>
          <w:trHeight w:val="243"/>
          <w:jc w:val="center"/>
        </w:trPr>
        <w:tc>
          <w:tcPr>
            <w:tcW w:w="1671" w:type="dxa"/>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43171DF0" w14:textId="77777777" w:rsidR="00994C18" w:rsidRPr="003950B7" w:rsidRDefault="00994C18" w:rsidP="00265625">
            <w:pPr>
              <w:spacing w:after="0" w:line="240" w:lineRule="auto"/>
              <w:jc w:val="both"/>
              <w:rPr>
                <w:rFonts w:ascii="Times New Roman" w:hAnsi="Times New Roman" w:cs="Times New Roman"/>
                <w:b/>
                <w:bCs/>
                <w:sz w:val="24"/>
                <w:szCs w:val="24"/>
              </w:rPr>
            </w:pPr>
            <w:r w:rsidRPr="003950B7">
              <w:rPr>
                <w:rFonts w:ascii="Times New Roman" w:hAnsi="Times New Roman" w:cs="Times New Roman"/>
                <w:b/>
                <w:bCs/>
                <w:sz w:val="24"/>
                <w:szCs w:val="24"/>
              </w:rPr>
              <w:t>Country</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68E44678"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Symbol</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187051F9"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Mean (%)</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280571E9"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Max</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73EFB0D0"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Min</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4D5F0C1B"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SD</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52603B0E"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SK</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50C65A5B"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KT</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64853FD4" w14:textId="77777777" w:rsidR="00994C18" w:rsidRPr="003950B7" w:rsidRDefault="00994C18" w:rsidP="00265625">
            <w:pPr>
              <w:spacing w:after="0" w:line="240" w:lineRule="auto"/>
              <w:jc w:val="center"/>
              <w:rPr>
                <w:rFonts w:ascii="Times New Roman" w:hAnsi="Times New Roman" w:cs="Times New Roman"/>
                <w:b/>
                <w:bCs/>
                <w:sz w:val="24"/>
                <w:szCs w:val="24"/>
              </w:rPr>
            </w:pPr>
            <w:r w:rsidRPr="003950B7">
              <w:rPr>
                <w:rFonts w:ascii="Times New Roman" w:hAnsi="Times New Roman" w:cs="Times New Roman"/>
                <w:b/>
                <w:bCs/>
                <w:sz w:val="24"/>
                <w:szCs w:val="24"/>
              </w:rPr>
              <w:t>JB</w:t>
            </w:r>
          </w:p>
        </w:tc>
      </w:tr>
      <w:tr w:rsidR="006F4180" w:rsidRPr="006F4180" w14:paraId="6B4F5655" w14:textId="77777777" w:rsidTr="00CA7A46">
        <w:trPr>
          <w:trHeight w:val="243"/>
          <w:jc w:val="center"/>
        </w:trPr>
        <w:tc>
          <w:tcPr>
            <w:tcW w:w="1671" w:type="dxa"/>
            <w:tcBorders>
              <w:top w:val="single" w:sz="4" w:space="0" w:color="auto"/>
            </w:tcBorders>
            <w:shd w:val="clear" w:color="auto" w:fill="auto"/>
            <w:noWrap/>
            <w:tcMar>
              <w:top w:w="15" w:type="dxa"/>
              <w:left w:w="15" w:type="dxa"/>
              <w:bottom w:w="0" w:type="dxa"/>
              <w:right w:w="15" w:type="dxa"/>
            </w:tcMar>
            <w:vAlign w:val="bottom"/>
            <w:hideMark/>
          </w:tcPr>
          <w:p w14:paraId="6BC9A8BF"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Argentina</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25BA3E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ARG</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0AC440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0.14</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BBA188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42.47</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D4BF36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-70.38</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45C554E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12.39</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E576C1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-1.10</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AD9F14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7.66</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560A7C4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350.82***</w:t>
            </w:r>
          </w:p>
        </w:tc>
      </w:tr>
      <w:tr w:rsidR="006F4180" w:rsidRPr="006F4180" w14:paraId="7B622CA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5DAFFC34"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Brazil</w:t>
            </w:r>
          </w:p>
        </w:tc>
        <w:tc>
          <w:tcPr>
            <w:tcW w:w="0" w:type="auto"/>
            <w:shd w:val="clear" w:color="auto" w:fill="auto"/>
            <w:noWrap/>
            <w:tcMar>
              <w:top w:w="15" w:type="dxa"/>
              <w:left w:w="15" w:type="dxa"/>
              <w:bottom w:w="0" w:type="dxa"/>
              <w:right w:w="15" w:type="dxa"/>
            </w:tcMar>
            <w:vAlign w:val="bottom"/>
            <w:hideMark/>
          </w:tcPr>
          <w:p w14:paraId="436B448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BRA</w:t>
            </w:r>
          </w:p>
        </w:tc>
        <w:tc>
          <w:tcPr>
            <w:tcW w:w="0" w:type="auto"/>
            <w:shd w:val="clear" w:color="auto" w:fill="auto"/>
            <w:noWrap/>
            <w:tcMar>
              <w:top w:w="15" w:type="dxa"/>
              <w:left w:w="15" w:type="dxa"/>
              <w:bottom w:w="0" w:type="dxa"/>
              <w:right w:w="15" w:type="dxa"/>
            </w:tcMar>
            <w:vAlign w:val="bottom"/>
            <w:hideMark/>
          </w:tcPr>
          <w:p w14:paraId="0530257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0.31</w:t>
            </w:r>
          </w:p>
        </w:tc>
        <w:tc>
          <w:tcPr>
            <w:tcW w:w="0" w:type="auto"/>
            <w:shd w:val="clear" w:color="auto" w:fill="auto"/>
            <w:noWrap/>
            <w:tcMar>
              <w:top w:w="15" w:type="dxa"/>
              <w:left w:w="15" w:type="dxa"/>
              <w:bottom w:w="0" w:type="dxa"/>
              <w:right w:w="15" w:type="dxa"/>
            </w:tcMar>
            <w:vAlign w:val="bottom"/>
            <w:hideMark/>
          </w:tcPr>
          <w:p w14:paraId="231A11D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31.12</w:t>
            </w:r>
          </w:p>
        </w:tc>
        <w:tc>
          <w:tcPr>
            <w:tcW w:w="0" w:type="auto"/>
            <w:shd w:val="clear" w:color="auto" w:fill="auto"/>
            <w:noWrap/>
            <w:tcMar>
              <w:top w:w="15" w:type="dxa"/>
              <w:left w:w="15" w:type="dxa"/>
              <w:bottom w:w="0" w:type="dxa"/>
              <w:right w:w="15" w:type="dxa"/>
            </w:tcMar>
            <w:vAlign w:val="bottom"/>
            <w:hideMark/>
          </w:tcPr>
          <w:p w14:paraId="3A2AFCC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-49.44</w:t>
            </w:r>
          </w:p>
        </w:tc>
        <w:tc>
          <w:tcPr>
            <w:tcW w:w="0" w:type="auto"/>
            <w:shd w:val="clear" w:color="auto" w:fill="auto"/>
            <w:noWrap/>
            <w:tcMar>
              <w:top w:w="15" w:type="dxa"/>
              <w:left w:w="15" w:type="dxa"/>
              <w:bottom w:w="0" w:type="dxa"/>
              <w:right w:w="15" w:type="dxa"/>
            </w:tcMar>
            <w:vAlign w:val="bottom"/>
            <w:hideMark/>
          </w:tcPr>
          <w:p w14:paraId="1E306DC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11.03</w:t>
            </w:r>
          </w:p>
        </w:tc>
        <w:tc>
          <w:tcPr>
            <w:tcW w:w="0" w:type="auto"/>
            <w:shd w:val="clear" w:color="auto" w:fill="auto"/>
            <w:noWrap/>
            <w:tcMar>
              <w:top w:w="15" w:type="dxa"/>
              <w:left w:w="15" w:type="dxa"/>
              <w:bottom w:w="0" w:type="dxa"/>
              <w:right w:w="15" w:type="dxa"/>
            </w:tcMar>
            <w:vAlign w:val="bottom"/>
            <w:hideMark/>
          </w:tcPr>
          <w:p w14:paraId="42F0656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-0.89</w:t>
            </w:r>
          </w:p>
        </w:tc>
        <w:tc>
          <w:tcPr>
            <w:tcW w:w="0" w:type="auto"/>
            <w:shd w:val="clear" w:color="auto" w:fill="auto"/>
            <w:noWrap/>
            <w:tcMar>
              <w:top w:w="15" w:type="dxa"/>
              <w:left w:w="15" w:type="dxa"/>
              <w:bottom w:w="0" w:type="dxa"/>
              <w:right w:w="15" w:type="dxa"/>
            </w:tcMar>
            <w:vAlign w:val="bottom"/>
            <w:hideMark/>
          </w:tcPr>
          <w:p w14:paraId="1B6FE34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5.74</w:t>
            </w:r>
          </w:p>
        </w:tc>
        <w:tc>
          <w:tcPr>
            <w:tcW w:w="0" w:type="auto"/>
            <w:shd w:val="clear" w:color="auto" w:fill="auto"/>
            <w:noWrap/>
            <w:tcMar>
              <w:top w:w="15" w:type="dxa"/>
              <w:left w:w="15" w:type="dxa"/>
              <w:bottom w:w="0" w:type="dxa"/>
              <w:right w:w="15" w:type="dxa"/>
            </w:tcMar>
            <w:vAlign w:val="bottom"/>
            <w:hideMark/>
          </w:tcPr>
          <w:p w14:paraId="2E6F357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140.63***</w:t>
            </w:r>
          </w:p>
        </w:tc>
      </w:tr>
      <w:tr w:rsidR="006F4180" w:rsidRPr="006F4180" w14:paraId="734451A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0058057F"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Chile</w:t>
            </w:r>
          </w:p>
        </w:tc>
        <w:tc>
          <w:tcPr>
            <w:tcW w:w="0" w:type="auto"/>
            <w:shd w:val="clear" w:color="auto" w:fill="auto"/>
            <w:noWrap/>
            <w:tcMar>
              <w:top w:w="15" w:type="dxa"/>
              <w:left w:w="15" w:type="dxa"/>
              <w:bottom w:w="0" w:type="dxa"/>
              <w:right w:w="15" w:type="dxa"/>
            </w:tcMar>
            <w:vAlign w:val="bottom"/>
            <w:hideMark/>
          </w:tcPr>
          <w:p w14:paraId="4BD7924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CHI</w:t>
            </w:r>
          </w:p>
        </w:tc>
        <w:tc>
          <w:tcPr>
            <w:tcW w:w="0" w:type="auto"/>
            <w:shd w:val="clear" w:color="auto" w:fill="auto"/>
            <w:noWrap/>
            <w:tcMar>
              <w:top w:w="15" w:type="dxa"/>
              <w:left w:w="15" w:type="dxa"/>
              <w:bottom w:w="0" w:type="dxa"/>
              <w:right w:w="15" w:type="dxa"/>
            </w:tcMar>
            <w:vAlign w:val="bottom"/>
            <w:hideMark/>
          </w:tcPr>
          <w:p w14:paraId="2814AAE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0.07</w:t>
            </w:r>
          </w:p>
        </w:tc>
        <w:tc>
          <w:tcPr>
            <w:tcW w:w="0" w:type="auto"/>
            <w:shd w:val="clear" w:color="auto" w:fill="auto"/>
            <w:noWrap/>
            <w:tcMar>
              <w:top w:w="15" w:type="dxa"/>
              <w:left w:w="15" w:type="dxa"/>
              <w:bottom w:w="0" w:type="dxa"/>
              <w:right w:w="15" w:type="dxa"/>
            </w:tcMar>
            <w:vAlign w:val="bottom"/>
            <w:hideMark/>
          </w:tcPr>
          <w:p w14:paraId="3BEC5B3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18.28</w:t>
            </w:r>
          </w:p>
        </w:tc>
        <w:tc>
          <w:tcPr>
            <w:tcW w:w="0" w:type="auto"/>
            <w:shd w:val="clear" w:color="auto" w:fill="auto"/>
            <w:noWrap/>
            <w:tcMar>
              <w:top w:w="15" w:type="dxa"/>
              <w:left w:w="15" w:type="dxa"/>
              <w:bottom w:w="0" w:type="dxa"/>
              <w:right w:w="15" w:type="dxa"/>
            </w:tcMar>
            <w:vAlign w:val="bottom"/>
            <w:hideMark/>
          </w:tcPr>
          <w:p w14:paraId="7574593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-34.40</w:t>
            </w:r>
          </w:p>
        </w:tc>
        <w:tc>
          <w:tcPr>
            <w:tcW w:w="0" w:type="auto"/>
            <w:shd w:val="clear" w:color="auto" w:fill="auto"/>
            <w:noWrap/>
            <w:tcMar>
              <w:top w:w="15" w:type="dxa"/>
              <w:left w:w="15" w:type="dxa"/>
              <w:bottom w:w="0" w:type="dxa"/>
              <w:right w:w="15" w:type="dxa"/>
            </w:tcMar>
            <w:vAlign w:val="bottom"/>
            <w:hideMark/>
          </w:tcPr>
          <w:p w14:paraId="0B90A0E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6.95</w:t>
            </w:r>
          </w:p>
        </w:tc>
        <w:tc>
          <w:tcPr>
            <w:tcW w:w="0" w:type="auto"/>
            <w:shd w:val="clear" w:color="auto" w:fill="auto"/>
            <w:noWrap/>
            <w:tcMar>
              <w:top w:w="15" w:type="dxa"/>
              <w:left w:w="15" w:type="dxa"/>
              <w:bottom w:w="0" w:type="dxa"/>
              <w:right w:w="15" w:type="dxa"/>
            </w:tcMar>
            <w:vAlign w:val="bottom"/>
            <w:hideMark/>
          </w:tcPr>
          <w:p w14:paraId="467A723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-0.72</w:t>
            </w:r>
          </w:p>
        </w:tc>
        <w:tc>
          <w:tcPr>
            <w:tcW w:w="0" w:type="auto"/>
            <w:shd w:val="clear" w:color="auto" w:fill="auto"/>
            <w:noWrap/>
            <w:tcMar>
              <w:top w:w="15" w:type="dxa"/>
              <w:left w:w="15" w:type="dxa"/>
              <w:bottom w:w="0" w:type="dxa"/>
              <w:right w:w="15" w:type="dxa"/>
            </w:tcMar>
            <w:vAlign w:val="bottom"/>
            <w:hideMark/>
          </w:tcPr>
          <w:p w14:paraId="627DC60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5.41</w:t>
            </w:r>
          </w:p>
        </w:tc>
        <w:tc>
          <w:tcPr>
            <w:tcW w:w="0" w:type="auto"/>
            <w:shd w:val="clear" w:color="auto" w:fill="auto"/>
            <w:noWrap/>
            <w:tcMar>
              <w:top w:w="15" w:type="dxa"/>
              <w:left w:w="15" w:type="dxa"/>
              <w:bottom w:w="0" w:type="dxa"/>
              <w:right w:w="15" w:type="dxa"/>
            </w:tcMar>
            <w:vAlign w:val="bottom"/>
            <w:hideMark/>
          </w:tcPr>
          <w:p w14:paraId="0E23175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103.85***</w:t>
            </w:r>
          </w:p>
        </w:tc>
      </w:tr>
      <w:tr w:rsidR="006F4180" w:rsidRPr="006F4180" w14:paraId="076C8B43"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1EFD7213"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China</w:t>
            </w:r>
          </w:p>
        </w:tc>
        <w:tc>
          <w:tcPr>
            <w:tcW w:w="0" w:type="auto"/>
            <w:shd w:val="clear" w:color="auto" w:fill="auto"/>
            <w:noWrap/>
            <w:tcMar>
              <w:top w:w="15" w:type="dxa"/>
              <w:left w:w="15" w:type="dxa"/>
              <w:bottom w:w="0" w:type="dxa"/>
              <w:right w:w="15" w:type="dxa"/>
            </w:tcMar>
            <w:vAlign w:val="bottom"/>
            <w:hideMark/>
          </w:tcPr>
          <w:p w14:paraId="7C0E06D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CHN</w:t>
            </w:r>
          </w:p>
        </w:tc>
        <w:tc>
          <w:tcPr>
            <w:tcW w:w="0" w:type="auto"/>
            <w:shd w:val="clear" w:color="auto" w:fill="auto"/>
            <w:noWrap/>
            <w:tcMar>
              <w:top w:w="15" w:type="dxa"/>
              <w:left w:w="15" w:type="dxa"/>
              <w:bottom w:w="0" w:type="dxa"/>
              <w:right w:w="15" w:type="dxa"/>
            </w:tcMar>
            <w:vAlign w:val="bottom"/>
            <w:hideMark/>
          </w:tcPr>
          <w:p w14:paraId="412A1C7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0.14</w:t>
            </w:r>
          </w:p>
        </w:tc>
        <w:tc>
          <w:tcPr>
            <w:tcW w:w="0" w:type="auto"/>
            <w:shd w:val="clear" w:color="auto" w:fill="auto"/>
            <w:noWrap/>
            <w:tcMar>
              <w:top w:w="15" w:type="dxa"/>
              <w:left w:w="15" w:type="dxa"/>
              <w:bottom w:w="0" w:type="dxa"/>
              <w:right w:w="15" w:type="dxa"/>
            </w:tcMar>
            <w:vAlign w:val="bottom"/>
            <w:hideMark/>
          </w:tcPr>
          <w:p w14:paraId="07929C2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38.18</w:t>
            </w:r>
          </w:p>
        </w:tc>
        <w:tc>
          <w:tcPr>
            <w:tcW w:w="0" w:type="auto"/>
            <w:shd w:val="clear" w:color="auto" w:fill="auto"/>
            <w:noWrap/>
            <w:tcMar>
              <w:top w:w="15" w:type="dxa"/>
              <w:left w:w="15" w:type="dxa"/>
              <w:bottom w:w="0" w:type="dxa"/>
              <w:right w:w="15" w:type="dxa"/>
            </w:tcMar>
            <w:vAlign w:val="bottom"/>
            <w:hideMark/>
          </w:tcPr>
          <w:p w14:paraId="1E7C7FD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-32.40</w:t>
            </w:r>
          </w:p>
        </w:tc>
        <w:tc>
          <w:tcPr>
            <w:tcW w:w="0" w:type="auto"/>
            <w:shd w:val="clear" w:color="auto" w:fill="auto"/>
            <w:noWrap/>
            <w:tcMar>
              <w:top w:w="15" w:type="dxa"/>
              <w:left w:w="15" w:type="dxa"/>
              <w:bottom w:w="0" w:type="dxa"/>
              <w:right w:w="15" w:type="dxa"/>
            </w:tcMar>
            <w:vAlign w:val="bottom"/>
            <w:hideMark/>
          </w:tcPr>
          <w:p w14:paraId="294163D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9.02</w:t>
            </w:r>
          </w:p>
        </w:tc>
        <w:tc>
          <w:tcPr>
            <w:tcW w:w="0" w:type="auto"/>
            <w:shd w:val="clear" w:color="auto" w:fill="auto"/>
            <w:noWrap/>
            <w:tcMar>
              <w:top w:w="15" w:type="dxa"/>
              <w:left w:w="15" w:type="dxa"/>
              <w:bottom w:w="0" w:type="dxa"/>
              <w:right w:w="15" w:type="dxa"/>
            </w:tcMar>
            <w:vAlign w:val="bottom"/>
            <w:hideMark/>
          </w:tcPr>
          <w:p w14:paraId="4CA068A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-0.10</w:t>
            </w:r>
          </w:p>
        </w:tc>
        <w:tc>
          <w:tcPr>
            <w:tcW w:w="0" w:type="auto"/>
            <w:shd w:val="clear" w:color="auto" w:fill="auto"/>
            <w:noWrap/>
            <w:tcMar>
              <w:top w:w="15" w:type="dxa"/>
              <w:left w:w="15" w:type="dxa"/>
              <w:bottom w:w="0" w:type="dxa"/>
              <w:right w:w="15" w:type="dxa"/>
            </w:tcMar>
            <w:vAlign w:val="bottom"/>
            <w:hideMark/>
          </w:tcPr>
          <w:p w14:paraId="40DAB87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5.38</w:t>
            </w:r>
          </w:p>
        </w:tc>
        <w:tc>
          <w:tcPr>
            <w:tcW w:w="0" w:type="auto"/>
            <w:shd w:val="clear" w:color="auto" w:fill="auto"/>
            <w:noWrap/>
            <w:tcMar>
              <w:top w:w="15" w:type="dxa"/>
              <w:left w:w="15" w:type="dxa"/>
              <w:bottom w:w="0" w:type="dxa"/>
              <w:right w:w="15" w:type="dxa"/>
            </w:tcMar>
            <w:vAlign w:val="bottom"/>
            <w:hideMark/>
          </w:tcPr>
          <w:p w14:paraId="21E2734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75.08***</w:t>
            </w:r>
          </w:p>
        </w:tc>
      </w:tr>
      <w:tr w:rsidR="006F4180" w:rsidRPr="006F4180" w14:paraId="7904612B"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6A274C79"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Columbia</w:t>
            </w:r>
          </w:p>
        </w:tc>
        <w:tc>
          <w:tcPr>
            <w:tcW w:w="0" w:type="auto"/>
            <w:shd w:val="clear" w:color="auto" w:fill="auto"/>
            <w:noWrap/>
            <w:tcMar>
              <w:top w:w="15" w:type="dxa"/>
              <w:left w:w="15" w:type="dxa"/>
              <w:bottom w:w="0" w:type="dxa"/>
              <w:right w:w="15" w:type="dxa"/>
            </w:tcMar>
            <w:vAlign w:val="bottom"/>
            <w:hideMark/>
          </w:tcPr>
          <w:p w14:paraId="00ADB49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COL</w:t>
            </w:r>
          </w:p>
        </w:tc>
        <w:tc>
          <w:tcPr>
            <w:tcW w:w="0" w:type="auto"/>
            <w:shd w:val="clear" w:color="auto" w:fill="auto"/>
            <w:noWrap/>
            <w:tcMar>
              <w:top w:w="15" w:type="dxa"/>
              <w:left w:w="15" w:type="dxa"/>
              <w:bottom w:w="0" w:type="dxa"/>
              <w:right w:w="15" w:type="dxa"/>
            </w:tcMar>
            <w:vAlign w:val="bottom"/>
            <w:hideMark/>
          </w:tcPr>
          <w:p w14:paraId="22F50D1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0.31</w:t>
            </w:r>
          </w:p>
        </w:tc>
        <w:tc>
          <w:tcPr>
            <w:tcW w:w="0" w:type="auto"/>
            <w:shd w:val="clear" w:color="auto" w:fill="auto"/>
            <w:noWrap/>
            <w:tcMar>
              <w:top w:w="15" w:type="dxa"/>
              <w:left w:w="15" w:type="dxa"/>
              <w:bottom w:w="0" w:type="dxa"/>
              <w:right w:w="15" w:type="dxa"/>
            </w:tcMar>
            <w:vAlign w:val="bottom"/>
            <w:hideMark/>
          </w:tcPr>
          <w:p w14:paraId="2E052E1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26.47</w:t>
            </w:r>
          </w:p>
        </w:tc>
        <w:tc>
          <w:tcPr>
            <w:tcW w:w="0" w:type="auto"/>
            <w:shd w:val="clear" w:color="auto" w:fill="auto"/>
            <w:noWrap/>
            <w:tcMar>
              <w:top w:w="15" w:type="dxa"/>
              <w:left w:w="15" w:type="dxa"/>
              <w:bottom w:w="0" w:type="dxa"/>
              <w:right w:w="15" w:type="dxa"/>
            </w:tcMar>
            <w:vAlign w:val="bottom"/>
            <w:hideMark/>
          </w:tcPr>
          <w:p w14:paraId="17C4EBF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-53.69</w:t>
            </w:r>
          </w:p>
        </w:tc>
        <w:tc>
          <w:tcPr>
            <w:tcW w:w="0" w:type="auto"/>
            <w:shd w:val="clear" w:color="auto" w:fill="auto"/>
            <w:noWrap/>
            <w:tcMar>
              <w:top w:w="15" w:type="dxa"/>
              <w:left w:w="15" w:type="dxa"/>
              <w:bottom w:w="0" w:type="dxa"/>
              <w:right w:w="15" w:type="dxa"/>
            </w:tcMar>
            <w:vAlign w:val="bottom"/>
            <w:hideMark/>
          </w:tcPr>
          <w:p w14:paraId="789C9A1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9.38</w:t>
            </w:r>
          </w:p>
        </w:tc>
        <w:tc>
          <w:tcPr>
            <w:tcW w:w="0" w:type="auto"/>
            <w:shd w:val="clear" w:color="auto" w:fill="auto"/>
            <w:noWrap/>
            <w:tcMar>
              <w:top w:w="15" w:type="dxa"/>
              <w:left w:w="15" w:type="dxa"/>
              <w:bottom w:w="0" w:type="dxa"/>
              <w:right w:w="15" w:type="dxa"/>
            </w:tcMar>
            <w:vAlign w:val="bottom"/>
            <w:hideMark/>
          </w:tcPr>
          <w:p w14:paraId="2AD0272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-0.80</w:t>
            </w:r>
          </w:p>
        </w:tc>
        <w:tc>
          <w:tcPr>
            <w:tcW w:w="0" w:type="auto"/>
            <w:shd w:val="clear" w:color="auto" w:fill="auto"/>
            <w:noWrap/>
            <w:tcMar>
              <w:top w:w="15" w:type="dxa"/>
              <w:left w:w="15" w:type="dxa"/>
              <w:bottom w:w="0" w:type="dxa"/>
              <w:right w:w="15" w:type="dxa"/>
            </w:tcMar>
            <w:vAlign w:val="bottom"/>
            <w:hideMark/>
          </w:tcPr>
          <w:p w14:paraId="0E7AEDA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6.61</w:t>
            </w:r>
          </w:p>
        </w:tc>
        <w:tc>
          <w:tcPr>
            <w:tcW w:w="0" w:type="auto"/>
            <w:shd w:val="clear" w:color="auto" w:fill="auto"/>
            <w:noWrap/>
            <w:tcMar>
              <w:top w:w="15" w:type="dxa"/>
              <w:left w:w="15" w:type="dxa"/>
              <w:bottom w:w="0" w:type="dxa"/>
              <w:right w:w="15" w:type="dxa"/>
            </w:tcMar>
            <w:vAlign w:val="bottom"/>
            <w:hideMark/>
          </w:tcPr>
          <w:p w14:paraId="1CFB8AB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205.90***</w:t>
            </w:r>
          </w:p>
        </w:tc>
      </w:tr>
      <w:tr w:rsidR="006F4180" w:rsidRPr="006F4180" w14:paraId="0BC8B7A2"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3810A9A7"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Czech Republic</w:t>
            </w:r>
          </w:p>
        </w:tc>
        <w:tc>
          <w:tcPr>
            <w:tcW w:w="0" w:type="auto"/>
            <w:shd w:val="clear" w:color="auto" w:fill="auto"/>
            <w:noWrap/>
            <w:tcMar>
              <w:top w:w="15" w:type="dxa"/>
              <w:left w:w="15" w:type="dxa"/>
              <w:bottom w:w="0" w:type="dxa"/>
              <w:right w:w="15" w:type="dxa"/>
            </w:tcMar>
            <w:vAlign w:val="bottom"/>
            <w:hideMark/>
          </w:tcPr>
          <w:p w14:paraId="72494F6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CZR</w:t>
            </w:r>
          </w:p>
        </w:tc>
        <w:tc>
          <w:tcPr>
            <w:tcW w:w="0" w:type="auto"/>
            <w:shd w:val="clear" w:color="auto" w:fill="auto"/>
            <w:noWrap/>
            <w:tcMar>
              <w:top w:w="15" w:type="dxa"/>
              <w:left w:w="15" w:type="dxa"/>
              <w:bottom w:w="0" w:type="dxa"/>
              <w:right w:w="15" w:type="dxa"/>
            </w:tcMar>
            <w:vAlign w:val="bottom"/>
            <w:hideMark/>
          </w:tcPr>
          <w:p w14:paraId="0177CCD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0.38</w:t>
            </w:r>
          </w:p>
        </w:tc>
        <w:tc>
          <w:tcPr>
            <w:tcW w:w="0" w:type="auto"/>
            <w:shd w:val="clear" w:color="auto" w:fill="auto"/>
            <w:noWrap/>
            <w:tcMar>
              <w:top w:w="15" w:type="dxa"/>
              <w:left w:w="15" w:type="dxa"/>
              <w:bottom w:w="0" w:type="dxa"/>
              <w:right w:w="15" w:type="dxa"/>
            </w:tcMar>
            <w:vAlign w:val="bottom"/>
            <w:hideMark/>
          </w:tcPr>
          <w:p w14:paraId="6BF9B3A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26.30</w:t>
            </w:r>
          </w:p>
        </w:tc>
        <w:tc>
          <w:tcPr>
            <w:tcW w:w="0" w:type="auto"/>
            <w:shd w:val="clear" w:color="auto" w:fill="auto"/>
            <w:noWrap/>
            <w:tcMar>
              <w:top w:w="15" w:type="dxa"/>
              <w:left w:w="15" w:type="dxa"/>
              <w:bottom w:w="0" w:type="dxa"/>
              <w:right w:w="15" w:type="dxa"/>
            </w:tcMar>
            <w:vAlign w:val="bottom"/>
            <w:hideMark/>
          </w:tcPr>
          <w:p w14:paraId="656E41A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-34.88</w:t>
            </w:r>
          </w:p>
        </w:tc>
        <w:tc>
          <w:tcPr>
            <w:tcW w:w="0" w:type="auto"/>
            <w:shd w:val="clear" w:color="auto" w:fill="auto"/>
            <w:noWrap/>
            <w:tcMar>
              <w:top w:w="15" w:type="dxa"/>
              <w:left w:w="15" w:type="dxa"/>
              <w:bottom w:w="0" w:type="dxa"/>
              <w:right w:w="15" w:type="dxa"/>
            </w:tcMar>
            <w:vAlign w:val="bottom"/>
            <w:hideMark/>
          </w:tcPr>
          <w:p w14:paraId="51D947D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8.07</w:t>
            </w:r>
          </w:p>
        </w:tc>
        <w:tc>
          <w:tcPr>
            <w:tcW w:w="0" w:type="auto"/>
            <w:shd w:val="clear" w:color="auto" w:fill="auto"/>
            <w:noWrap/>
            <w:tcMar>
              <w:top w:w="15" w:type="dxa"/>
              <w:left w:w="15" w:type="dxa"/>
              <w:bottom w:w="0" w:type="dxa"/>
              <w:right w:w="15" w:type="dxa"/>
            </w:tcMar>
            <w:vAlign w:val="bottom"/>
            <w:hideMark/>
          </w:tcPr>
          <w:p w14:paraId="17A6928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-0.63</w:t>
            </w:r>
          </w:p>
        </w:tc>
        <w:tc>
          <w:tcPr>
            <w:tcW w:w="0" w:type="auto"/>
            <w:shd w:val="clear" w:color="auto" w:fill="auto"/>
            <w:noWrap/>
            <w:tcMar>
              <w:top w:w="15" w:type="dxa"/>
              <w:left w:w="15" w:type="dxa"/>
              <w:bottom w:w="0" w:type="dxa"/>
              <w:right w:w="15" w:type="dxa"/>
            </w:tcMar>
            <w:vAlign w:val="bottom"/>
            <w:hideMark/>
          </w:tcPr>
          <w:p w14:paraId="6C4EE83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5.33</w:t>
            </w:r>
          </w:p>
        </w:tc>
        <w:tc>
          <w:tcPr>
            <w:tcW w:w="0" w:type="auto"/>
            <w:shd w:val="clear" w:color="auto" w:fill="auto"/>
            <w:noWrap/>
            <w:tcMar>
              <w:top w:w="15" w:type="dxa"/>
              <w:left w:w="15" w:type="dxa"/>
              <w:bottom w:w="0" w:type="dxa"/>
              <w:right w:w="15" w:type="dxa"/>
            </w:tcMar>
            <w:vAlign w:val="bottom"/>
            <w:hideMark/>
          </w:tcPr>
          <w:p w14:paraId="2A2FEDF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93.04***</w:t>
            </w:r>
          </w:p>
        </w:tc>
      </w:tr>
      <w:tr w:rsidR="006F4180" w:rsidRPr="006F4180" w14:paraId="1B9D45C4"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2E397D59"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Egypt</w:t>
            </w:r>
          </w:p>
        </w:tc>
        <w:tc>
          <w:tcPr>
            <w:tcW w:w="0" w:type="auto"/>
            <w:shd w:val="clear" w:color="auto" w:fill="auto"/>
            <w:noWrap/>
            <w:tcMar>
              <w:top w:w="15" w:type="dxa"/>
              <w:left w:w="15" w:type="dxa"/>
              <w:bottom w:w="0" w:type="dxa"/>
              <w:right w:w="15" w:type="dxa"/>
            </w:tcMar>
            <w:vAlign w:val="bottom"/>
            <w:hideMark/>
          </w:tcPr>
          <w:p w14:paraId="6E8A7B5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EGY</w:t>
            </w:r>
          </w:p>
        </w:tc>
        <w:tc>
          <w:tcPr>
            <w:tcW w:w="0" w:type="auto"/>
            <w:shd w:val="clear" w:color="auto" w:fill="auto"/>
            <w:noWrap/>
            <w:tcMar>
              <w:top w:w="15" w:type="dxa"/>
              <w:left w:w="15" w:type="dxa"/>
              <w:bottom w:w="0" w:type="dxa"/>
              <w:right w:w="15" w:type="dxa"/>
            </w:tcMar>
            <w:vAlign w:val="bottom"/>
            <w:hideMark/>
          </w:tcPr>
          <w:p w14:paraId="51AAF22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0.48</w:t>
            </w:r>
          </w:p>
        </w:tc>
        <w:tc>
          <w:tcPr>
            <w:tcW w:w="0" w:type="auto"/>
            <w:shd w:val="clear" w:color="auto" w:fill="auto"/>
            <w:noWrap/>
            <w:tcMar>
              <w:top w:w="15" w:type="dxa"/>
              <w:left w:w="15" w:type="dxa"/>
              <w:bottom w:w="0" w:type="dxa"/>
              <w:right w:w="15" w:type="dxa"/>
            </w:tcMar>
            <w:vAlign w:val="bottom"/>
            <w:hideMark/>
          </w:tcPr>
          <w:p w14:paraId="2617ABF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35.08</w:t>
            </w:r>
          </w:p>
        </w:tc>
        <w:tc>
          <w:tcPr>
            <w:tcW w:w="0" w:type="auto"/>
            <w:shd w:val="clear" w:color="auto" w:fill="auto"/>
            <w:noWrap/>
            <w:tcMar>
              <w:top w:w="15" w:type="dxa"/>
              <w:left w:w="15" w:type="dxa"/>
              <w:bottom w:w="0" w:type="dxa"/>
              <w:right w:w="15" w:type="dxa"/>
            </w:tcMar>
            <w:vAlign w:val="bottom"/>
            <w:hideMark/>
          </w:tcPr>
          <w:p w14:paraId="752BE8C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-40.82</w:t>
            </w:r>
          </w:p>
        </w:tc>
        <w:tc>
          <w:tcPr>
            <w:tcW w:w="0" w:type="auto"/>
            <w:shd w:val="clear" w:color="auto" w:fill="auto"/>
            <w:noWrap/>
            <w:tcMar>
              <w:top w:w="15" w:type="dxa"/>
              <w:left w:w="15" w:type="dxa"/>
              <w:bottom w:w="0" w:type="dxa"/>
              <w:right w:w="15" w:type="dxa"/>
            </w:tcMar>
            <w:vAlign w:val="bottom"/>
            <w:hideMark/>
          </w:tcPr>
          <w:p w14:paraId="308D3AC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9.17</w:t>
            </w:r>
          </w:p>
        </w:tc>
        <w:tc>
          <w:tcPr>
            <w:tcW w:w="0" w:type="auto"/>
            <w:shd w:val="clear" w:color="auto" w:fill="auto"/>
            <w:noWrap/>
            <w:tcMar>
              <w:top w:w="15" w:type="dxa"/>
              <w:left w:w="15" w:type="dxa"/>
              <w:bottom w:w="0" w:type="dxa"/>
              <w:right w:w="15" w:type="dxa"/>
            </w:tcMar>
            <w:vAlign w:val="bottom"/>
            <w:hideMark/>
          </w:tcPr>
          <w:p w14:paraId="35140E0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-0.35</w:t>
            </w:r>
          </w:p>
        </w:tc>
        <w:tc>
          <w:tcPr>
            <w:tcW w:w="0" w:type="auto"/>
            <w:shd w:val="clear" w:color="auto" w:fill="auto"/>
            <w:noWrap/>
            <w:tcMar>
              <w:top w:w="15" w:type="dxa"/>
              <w:left w:w="15" w:type="dxa"/>
              <w:bottom w:w="0" w:type="dxa"/>
              <w:right w:w="15" w:type="dxa"/>
            </w:tcMar>
            <w:vAlign w:val="bottom"/>
            <w:hideMark/>
          </w:tcPr>
          <w:p w14:paraId="5D6BDFF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5.83</w:t>
            </w:r>
          </w:p>
        </w:tc>
        <w:tc>
          <w:tcPr>
            <w:tcW w:w="0" w:type="auto"/>
            <w:shd w:val="clear" w:color="auto" w:fill="auto"/>
            <w:noWrap/>
            <w:tcMar>
              <w:top w:w="15" w:type="dxa"/>
              <w:left w:w="15" w:type="dxa"/>
              <w:bottom w:w="0" w:type="dxa"/>
              <w:right w:w="15" w:type="dxa"/>
            </w:tcMar>
            <w:vAlign w:val="bottom"/>
            <w:hideMark/>
          </w:tcPr>
          <w:p w14:paraId="0E7AE48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112.36***</w:t>
            </w:r>
          </w:p>
        </w:tc>
      </w:tr>
      <w:tr w:rsidR="006F4180" w:rsidRPr="006F4180" w14:paraId="08132F52"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7B8A3150"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Greece</w:t>
            </w:r>
          </w:p>
        </w:tc>
        <w:tc>
          <w:tcPr>
            <w:tcW w:w="0" w:type="auto"/>
            <w:shd w:val="clear" w:color="auto" w:fill="auto"/>
            <w:noWrap/>
            <w:tcMar>
              <w:top w:w="15" w:type="dxa"/>
              <w:left w:w="15" w:type="dxa"/>
              <w:bottom w:w="0" w:type="dxa"/>
              <w:right w:w="15" w:type="dxa"/>
            </w:tcMar>
            <w:vAlign w:val="bottom"/>
            <w:hideMark/>
          </w:tcPr>
          <w:p w14:paraId="7F92C45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GRE</w:t>
            </w:r>
          </w:p>
        </w:tc>
        <w:tc>
          <w:tcPr>
            <w:tcW w:w="0" w:type="auto"/>
            <w:shd w:val="clear" w:color="auto" w:fill="auto"/>
            <w:noWrap/>
            <w:tcMar>
              <w:top w:w="15" w:type="dxa"/>
              <w:left w:w="15" w:type="dxa"/>
              <w:bottom w:w="0" w:type="dxa"/>
              <w:right w:w="15" w:type="dxa"/>
            </w:tcMar>
            <w:vAlign w:val="bottom"/>
            <w:hideMark/>
          </w:tcPr>
          <w:p w14:paraId="3C834E9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-0.74</w:t>
            </w:r>
          </w:p>
        </w:tc>
        <w:tc>
          <w:tcPr>
            <w:tcW w:w="0" w:type="auto"/>
            <w:shd w:val="clear" w:color="auto" w:fill="auto"/>
            <w:noWrap/>
            <w:tcMar>
              <w:top w:w="15" w:type="dxa"/>
              <w:left w:w="15" w:type="dxa"/>
              <w:bottom w:w="0" w:type="dxa"/>
              <w:right w:w="15" w:type="dxa"/>
            </w:tcMar>
            <w:vAlign w:val="bottom"/>
            <w:hideMark/>
          </w:tcPr>
          <w:p w14:paraId="146AE2F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26.77</w:t>
            </w:r>
          </w:p>
        </w:tc>
        <w:tc>
          <w:tcPr>
            <w:tcW w:w="0" w:type="auto"/>
            <w:shd w:val="clear" w:color="auto" w:fill="auto"/>
            <w:noWrap/>
            <w:tcMar>
              <w:top w:w="15" w:type="dxa"/>
              <w:left w:w="15" w:type="dxa"/>
              <w:bottom w:w="0" w:type="dxa"/>
              <w:right w:w="15" w:type="dxa"/>
            </w:tcMar>
            <w:vAlign w:val="bottom"/>
            <w:hideMark/>
          </w:tcPr>
          <w:p w14:paraId="63926EC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-45.78</w:t>
            </w:r>
          </w:p>
        </w:tc>
        <w:tc>
          <w:tcPr>
            <w:tcW w:w="0" w:type="auto"/>
            <w:shd w:val="clear" w:color="auto" w:fill="auto"/>
            <w:noWrap/>
            <w:tcMar>
              <w:top w:w="15" w:type="dxa"/>
              <w:left w:w="15" w:type="dxa"/>
              <w:bottom w:w="0" w:type="dxa"/>
              <w:right w:w="15" w:type="dxa"/>
            </w:tcMar>
            <w:vAlign w:val="bottom"/>
            <w:hideMark/>
          </w:tcPr>
          <w:p w14:paraId="03B0BFF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10.91</w:t>
            </w:r>
          </w:p>
        </w:tc>
        <w:tc>
          <w:tcPr>
            <w:tcW w:w="0" w:type="auto"/>
            <w:shd w:val="clear" w:color="auto" w:fill="auto"/>
            <w:noWrap/>
            <w:tcMar>
              <w:top w:w="15" w:type="dxa"/>
              <w:left w:w="15" w:type="dxa"/>
              <w:bottom w:w="0" w:type="dxa"/>
              <w:right w:w="15" w:type="dxa"/>
            </w:tcMar>
            <w:vAlign w:val="bottom"/>
            <w:hideMark/>
          </w:tcPr>
          <w:p w14:paraId="2EC0D08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-0.80</w:t>
            </w:r>
          </w:p>
        </w:tc>
        <w:tc>
          <w:tcPr>
            <w:tcW w:w="0" w:type="auto"/>
            <w:shd w:val="clear" w:color="auto" w:fill="auto"/>
            <w:noWrap/>
            <w:tcMar>
              <w:top w:w="15" w:type="dxa"/>
              <w:left w:w="15" w:type="dxa"/>
              <w:bottom w:w="0" w:type="dxa"/>
              <w:right w:w="15" w:type="dxa"/>
            </w:tcMar>
            <w:vAlign w:val="bottom"/>
            <w:hideMark/>
          </w:tcPr>
          <w:p w14:paraId="360D940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4.96</w:t>
            </w:r>
          </w:p>
        </w:tc>
        <w:tc>
          <w:tcPr>
            <w:tcW w:w="0" w:type="auto"/>
            <w:shd w:val="clear" w:color="auto" w:fill="auto"/>
            <w:noWrap/>
            <w:tcMar>
              <w:top w:w="15" w:type="dxa"/>
              <w:left w:w="15" w:type="dxa"/>
              <w:bottom w:w="0" w:type="dxa"/>
              <w:right w:w="15" w:type="dxa"/>
            </w:tcMar>
            <w:vAlign w:val="bottom"/>
            <w:hideMark/>
          </w:tcPr>
          <w:p w14:paraId="41F5A6F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84.27***</w:t>
            </w:r>
          </w:p>
        </w:tc>
      </w:tr>
      <w:tr w:rsidR="006F4180" w:rsidRPr="006F4180" w14:paraId="4393220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630B0B3E"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Hungary</w:t>
            </w:r>
          </w:p>
        </w:tc>
        <w:tc>
          <w:tcPr>
            <w:tcW w:w="0" w:type="auto"/>
            <w:shd w:val="clear" w:color="auto" w:fill="auto"/>
            <w:noWrap/>
            <w:tcMar>
              <w:top w:w="15" w:type="dxa"/>
              <w:left w:w="15" w:type="dxa"/>
              <w:bottom w:w="0" w:type="dxa"/>
              <w:right w:w="15" w:type="dxa"/>
            </w:tcMar>
            <w:vAlign w:val="bottom"/>
            <w:hideMark/>
          </w:tcPr>
          <w:p w14:paraId="39BB3B0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HUN</w:t>
            </w:r>
          </w:p>
        </w:tc>
        <w:tc>
          <w:tcPr>
            <w:tcW w:w="0" w:type="auto"/>
            <w:shd w:val="clear" w:color="auto" w:fill="auto"/>
            <w:noWrap/>
            <w:tcMar>
              <w:top w:w="15" w:type="dxa"/>
              <w:left w:w="15" w:type="dxa"/>
              <w:bottom w:w="0" w:type="dxa"/>
              <w:right w:w="15" w:type="dxa"/>
            </w:tcMar>
            <w:vAlign w:val="bottom"/>
            <w:hideMark/>
          </w:tcPr>
          <w:p w14:paraId="5ED4CF9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0.69</w:t>
            </w:r>
          </w:p>
        </w:tc>
        <w:tc>
          <w:tcPr>
            <w:tcW w:w="0" w:type="auto"/>
            <w:shd w:val="clear" w:color="auto" w:fill="auto"/>
            <w:noWrap/>
            <w:tcMar>
              <w:top w:w="15" w:type="dxa"/>
              <w:left w:w="15" w:type="dxa"/>
              <w:bottom w:w="0" w:type="dxa"/>
              <w:right w:w="15" w:type="dxa"/>
            </w:tcMar>
            <w:vAlign w:val="bottom"/>
            <w:hideMark/>
          </w:tcPr>
          <w:p w14:paraId="252CAF5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37.96</w:t>
            </w:r>
          </w:p>
        </w:tc>
        <w:tc>
          <w:tcPr>
            <w:tcW w:w="0" w:type="auto"/>
            <w:shd w:val="clear" w:color="auto" w:fill="auto"/>
            <w:noWrap/>
            <w:tcMar>
              <w:top w:w="15" w:type="dxa"/>
              <w:left w:w="15" w:type="dxa"/>
              <w:bottom w:w="0" w:type="dxa"/>
              <w:right w:w="15" w:type="dxa"/>
            </w:tcMar>
            <w:vAlign w:val="bottom"/>
            <w:hideMark/>
          </w:tcPr>
          <w:p w14:paraId="3E4F947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-56.83</w:t>
            </w:r>
          </w:p>
        </w:tc>
        <w:tc>
          <w:tcPr>
            <w:tcW w:w="0" w:type="auto"/>
            <w:shd w:val="clear" w:color="auto" w:fill="auto"/>
            <w:noWrap/>
            <w:tcMar>
              <w:top w:w="15" w:type="dxa"/>
              <w:left w:w="15" w:type="dxa"/>
              <w:bottom w:w="0" w:type="dxa"/>
              <w:right w:w="15" w:type="dxa"/>
            </w:tcMar>
            <w:vAlign w:val="bottom"/>
            <w:hideMark/>
          </w:tcPr>
          <w:p w14:paraId="0E00713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10.42</w:t>
            </w:r>
          </w:p>
        </w:tc>
        <w:tc>
          <w:tcPr>
            <w:tcW w:w="0" w:type="auto"/>
            <w:shd w:val="clear" w:color="auto" w:fill="auto"/>
            <w:noWrap/>
            <w:tcMar>
              <w:top w:w="15" w:type="dxa"/>
              <w:left w:w="15" w:type="dxa"/>
              <w:bottom w:w="0" w:type="dxa"/>
              <w:right w:w="15" w:type="dxa"/>
            </w:tcMar>
            <w:vAlign w:val="bottom"/>
            <w:hideMark/>
          </w:tcPr>
          <w:p w14:paraId="4204948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-1.02</w:t>
            </w:r>
          </w:p>
        </w:tc>
        <w:tc>
          <w:tcPr>
            <w:tcW w:w="0" w:type="auto"/>
            <w:shd w:val="clear" w:color="auto" w:fill="auto"/>
            <w:noWrap/>
            <w:tcMar>
              <w:top w:w="15" w:type="dxa"/>
              <w:left w:w="15" w:type="dxa"/>
              <w:bottom w:w="0" w:type="dxa"/>
              <w:right w:w="15" w:type="dxa"/>
            </w:tcMar>
            <w:vAlign w:val="bottom"/>
            <w:hideMark/>
          </w:tcPr>
          <w:p w14:paraId="44C33D2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7.75</w:t>
            </w:r>
          </w:p>
        </w:tc>
        <w:tc>
          <w:tcPr>
            <w:tcW w:w="0" w:type="auto"/>
            <w:shd w:val="clear" w:color="auto" w:fill="auto"/>
            <w:noWrap/>
            <w:tcMar>
              <w:top w:w="15" w:type="dxa"/>
              <w:left w:w="15" w:type="dxa"/>
              <w:bottom w:w="0" w:type="dxa"/>
              <w:right w:w="15" w:type="dxa"/>
            </w:tcMar>
            <w:vAlign w:val="bottom"/>
            <w:hideMark/>
          </w:tcPr>
          <w:p w14:paraId="110D3AB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353.26***</w:t>
            </w:r>
          </w:p>
        </w:tc>
      </w:tr>
      <w:tr w:rsidR="006F4180" w:rsidRPr="006F4180" w14:paraId="75424406"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7E8D3750"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India</w:t>
            </w:r>
          </w:p>
        </w:tc>
        <w:tc>
          <w:tcPr>
            <w:tcW w:w="0" w:type="auto"/>
            <w:shd w:val="clear" w:color="auto" w:fill="auto"/>
            <w:noWrap/>
            <w:tcMar>
              <w:top w:w="15" w:type="dxa"/>
              <w:left w:w="15" w:type="dxa"/>
              <w:bottom w:w="0" w:type="dxa"/>
              <w:right w:w="15" w:type="dxa"/>
            </w:tcMar>
            <w:vAlign w:val="bottom"/>
            <w:hideMark/>
          </w:tcPr>
          <w:p w14:paraId="0A8FF0E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IND</w:t>
            </w:r>
          </w:p>
        </w:tc>
        <w:tc>
          <w:tcPr>
            <w:tcW w:w="0" w:type="auto"/>
            <w:shd w:val="clear" w:color="auto" w:fill="auto"/>
            <w:noWrap/>
            <w:tcMar>
              <w:top w:w="15" w:type="dxa"/>
              <w:left w:w="15" w:type="dxa"/>
              <w:bottom w:w="0" w:type="dxa"/>
              <w:right w:w="15" w:type="dxa"/>
            </w:tcMar>
            <w:vAlign w:val="bottom"/>
            <w:hideMark/>
          </w:tcPr>
          <w:p w14:paraId="4F1A672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0.52</w:t>
            </w:r>
          </w:p>
        </w:tc>
        <w:tc>
          <w:tcPr>
            <w:tcW w:w="0" w:type="auto"/>
            <w:shd w:val="clear" w:color="auto" w:fill="auto"/>
            <w:noWrap/>
            <w:tcMar>
              <w:top w:w="15" w:type="dxa"/>
              <w:left w:w="15" w:type="dxa"/>
              <w:bottom w:w="0" w:type="dxa"/>
              <w:right w:w="15" w:type="dxa"/>
            </w:tcMar>
            <w:vAlign w:val="bottom"/>
            <w:hideMark/>
          </w:tcPr>
          <w:p w14:paraId="42F304D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31.21</w:t>
            </w:r>
          </w:p>
        </w:tc>
        <w:tc>
          <w:tcPr>
            <w:tcW w:w="0" w:type="auto"/>
            <w:shd w:val="clear" w:color="auto" w:fill="auto"/>
            <w:noWrap/>
            <w:tcMar>
              <w:top w:w="15" w:type="dxa"/>
              <w:left w:w="15" w:type="dxa"/>
              <w:bottom w:w="0" w:type="dxa"/>
              <w:right w:w="15" w:type="dxa"/>
            </w:tcMar>
            <w:vAlign w:val="bottom"/>
            <w:hideMark/>
          </w:tcPr>
          <w:p w14:paraId="000DEAF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-33.63</w:t>
            </w:r>
          </w:p>
        </w:tc>
        <w:tc>
          <w:tcPr>
            <w:tcW w:w="0" w:type="auto"/>
            <w:shd w:val="clear" w:color="auto" w:fill="auto"/>
            <w:noWrap/>
            <w:tcMar>
              <w:top w:w="15" w:type="dxa"/>
              <w:left w:w="15" w:type="dxa"/>
              <w:bottom w:w="0" w:type="dxa"/>
              <w:right w:w="15" w:type="dxa"/>
            </w:tcMar>
            <w:vAlign w:val="bottom"/>
            <w:hideMark/>
          </w:tcPr>
          <w:p w14:paraId="30FB384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8.22</w:t>
            </w:r>
          </w:p>
        </w:tc>
        <w:tc>
          <w:tcPr>
            <w:tcW w:w="0" w:type="auto"/>
            <w:shd w:val="clear" w:color="auto" w:fill="auto"/>
            <w:noWrap/>
            <w:tcMar>
              <w:top w:w="15" w:type="dxa"/>
              <w:left w:w="15" w:type="dxa"/>
              <w:bottom w:w="0" w:type="dxa"/>
              <w:right w:w="15" w:type="dxa"/>
            </w:tcMar>
            <w:vAlign w:val="bottom"/>
            <w:hideMark/>
          </w:tcPr>
          <w:p w14:paraId="30A9F68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-0.36</w:t>
            </w:r>
          </w:p>
        </w:tc>
        <w:tc>
          <w:tcPr>
            <w:tcW w:w="0" w:type="auto"/>
            <w:shd w:val="clear" w:color="auto" w:fill="auto"/>
            <w:noWrap/>
            <w:tcMar>
              <w:top w:w="15" w:type="dxa"/>
              <w:left w:w="15" w:type="dxa"/>
              <w:bottom w:w="0" w:type="dxa"/>
              <w:right w:w="15" w:type="dxa"/>
            </w:tcMar>
            <w:vAlign w:val="bottom"/>
            <w:hideMark/>
          </w:tcPr>
          <w:p w14:paraId="0362484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4.29</w:t>
            </w:r>
          </w:p>
        </w:tc>
        <w:tc>
          <w:tcPr>
            <w:tcW w:w="0" w:type="auto"/>
            <w:shd w:val="clear" w:color="auto" w:fill="auto"/>
            <w:noWrap/>
            <w:tcMar>
              <w:top w:w="15" w:type="dxa"/>
              <w:left w:w="15" w:type="dxa"/>
              <w:bottom w:w="0" w:type="dxa"/>
              <w:right w:w="15" w:type="dxa"/>
            </w:tcMar>
            <w:vAlign w:val="bottom"/>
            <w:hideMark/>
          </w:tcPr>
          <w:p w14:paraId="6C7C3D2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29.12***</w:t>
            </w:r>
          </w:p>
        </w:tc>
      </w:tr>
      <w:tr w:rsidR="006F4180" w:rsidRPr="006F4180" w14:paraId="66C7EA2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0A3891FE"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Indonesia</w:t>
            </w:r>
          </w:p>
        </w:tc>
        <w:tc>
          <w:tcPr>
            <w:tcW w:w="0" w:type="auto"/>
            <w:shd w:val="clear" w:color="auto" w:fill="auto"/>
            <w:noWrap/>
            <w:tcMar>
              <w:top w:w="15" w:type="dxa"/>
              <w:left w:w="15" w:type="dxa"/>
              <w:bottom w:w="0" w:type="dxa"/>
              <w:right w:w="15" w:type="dxa"/>
            </w:tcMar>
            <w:vAlign w:val="bottom"/>
            <w:hideMark/>
          </w:tcPr>
          <w:p w14:paraId="374581D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INDO</w:t>
            </w:r>
          </w:p>
        </w:tc>
        <w:tc>
          <w:tcPr>
            <w:tcW w:w="0" w:type="auto"/>
            <w:shd w:val="clear" w:color="auto" w:fill="auto"/>
            <w:noWrap/>
            <w:tcMar>
              <w:top w:w="15" w:type="dxa"/>
              <w:left w:w="15" w:type="dxa"/>
              <w:bottom w:w="0" w:type="dxa"/>
              <w:right w:w="15" w:type="dxa"/>
            </w:tcMar>
            <w:vAlign w:val="bottom"/>
            <w:hideMark/>
          </w:tcPr>
          <w:p w14:paraId="0092A9F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0.13</w:t>
            </w:r>
          </w:p>
        </w:tc>
        <w:tc>
          <w:tcPr>
            <w:tcW w:w="0" w:type="auto"/>
            <w:shd w:val="clear" w:color="auto" w:fill="auto"/>
            <w:noWrap/>
            <w:tcMar>
              <w:top w:w="15" w:type="dxa"/>
              <w:left w:w="15" w:type="dxa"/>
              <w:bottom w:w="0" w:type="dxa"/>
              <w:right w:w="15" w:type="dxa"/>
            </w:tcMar>
            <w:vAlign w:val="bottom"/>
            <w:hideMark/>
          </w:tcPr>
          <w:p w14:paraId="158E22B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44.20</w:t>
            </w:r>
          </w:p>
        </w:tc>
        <w:tc>
          <w:tcPr>
            <w:tcW w:w="0" w:type="auto"/>
            <w:shd w:val="clear" w:color="auto" w:fill="auto"/>
            <w:noWrap/>
            <w:tcMar>
              <w:top w:w="15" w:type="dxa"/>
              <w:left w:w="15" w:type="dxa"/>
              <w:bottom w:w="0" w:type="dxa"/>
              <w:right w:w="15" w:type="dxa"/>
            </w:tcMar>
            <w:vAlign w:val="bottom"/>
            <w:hideMark/>
          </w:tcPr>
          <w:p w14:paraId="08D5DD9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-52.47</w:t>
            </w:r>
          </w:p>
        </w:tc>
        <w:tc>
          <w:tcPr>
            <w:tcW w:w="0" w:type="auto"/>
            <w:shd w:val="clear" w:color="auto" w:fill="auto"/>
            <w:noWrap/>
            <w:tcMar>
              <w:top w:w="15" w:type="dxa"/>
              <w:left w:w="15" w:type="dxa"/>
              <w:bottom w:w="0" w:type="dxa"/>
              <w:right w:w="15" w:type="dxa"/>
            </w:tcMar>
            <w:vAlign w:val="bottom"/>
            <w:hideMark/>
          </w:tcPr>
          <w:p w14:paraId="0FA2771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11.85</w:t>
            </w:r>
          </w:p>
        </w:tc>
        <w:tc>
          <w:tcPr>
            <w:tcW w:w="0" w:type="auto"/>
            <w:shd w:val="clear" w:color="auto" w:fill="auto"/>
            <w:noWrap/>
            <w:tcMar>
              <w:top w:w="15" w:type="dxa"/>
              <w:left w:w="15" w:type="dxa"/>
              <w:bottom w:w="0" w:type="dxa"/>
              <w:right w:w="15" w:type="dxa"/>
            </w:tcMar>
            <w:vAlign w:val="bottom"/>
            <w:hideMark/>
          </w:tcPr>
          <w:p w14:paraId="66BF299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-0.70</w:t>
            </w:r>
          </w:p>
        </w:tc>
        <w:tc>
          <w:tcPr>
            <w:tcW w:w="0" w:type="auto"/>
            <w:shd w:val="clear" w:color="auto" w:fill="auto"/>
            <w:noWrap/>
            <w:tcMar>
              <w:top w:w="15" w:type="dxa"/>
              <w:left w:w="15" w:type="dxa"/>
              <w:bottom w:w="0" w:type="dxa"/>
              <w:right w:w="15" w:type="dxa"/>
            </w:tcMar>
            <w:vAlign w:val="bottom"/>
            <w:hideMark/>
          </w:tcPr>
          <w:p w14:paraId="4EAAAC6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7.05</w:t>
            </w:r>
          </w:p>
        </w:tc>
        <w:tc>
          <w:tcPr>
            <w:tcW w:w="0" w:type="auto"/>
            <w:shd w:val="clear" w:color="auto" w:fill="auto"/>
            <w:noWrap/>
            <w:tcMar>
              <w:top w:w="15" w:type="dxa"/>
              <w:left w:w="15" w:type="dxa"/>
              <w:bottom w:w="0" w:type="dxa"/>
              <w:right w:w="15" w:type="dxa"/>
            </w:tcMar>
            <w:vAlign w:val="bottom"/>
            <w:hideMark/>
          </w:tcPr>
          <w:p w14:paraId="04A5C6C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242.46***</w:t>
            </w:r>
          </w:p>
        </w:tc>
      </w:tr>
      <w:tr w:rsidR="006F4180" w:rsidRPr="006F4180" w14:paraId="58371B5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1E6ED1E8"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South Korea</w:t>
            </w:r>
          </w:p>
        </w:tc>
        <w:tc>
          <w:tcPr>
            <w:tcW w:w="0" w:type="auto"/>
            <w:shd w:val="clear" w:color="auto" w:fill="auto"/>
            <w:noWrap/>
            <w:tcMar>
              <w:top w:w="15" w:type="dxa"/>
              <w:left w:w="15" w:type="dxa"/>
              <w:bottom w:w="0" w:type="dxa"/>
              <w:right w:w="15" w:type="dxa"/>
            </w:tcMar>
            <w:vAlign w:val="bottom"/>
            <w:hideMark/>
          </w:tcPr>
          <w:p w14:paraId="1C776EC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KOR</w:t>
            </w:r>
          </w:p>
        </w:tc>
        <w:tc>
          <w:tcPr>
            <w:tcW w:w="0" w:type="auto"/>
            <w:shd w:val="clear" w:color="auto" w:fill="auto"/>
            <w:noWrap/>
            <w:tcMar>
              <w:top w:w="15" w:type="dxa"/>
              <w:left w:w="15" w:type="dxa"/>
              <w:bottom w:w="0" w:type="dxa"/>
              <w:right w:w="15" w:type="dxa"/>
            </w:tcMar>
            <w:vAlign w:val="bottom"/>
            <w:hideMark/>
          </w:tcPr>
          <w:p w14:paraId="2CE266D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0.43</w:t>
            </w:r>
          </w:p>
        </w:tc>
        <w:tc>
          <w:tcPr>
            <w:tcW w:w="0" w:type="auto"/>
            <w:shd w:val="clear" w:color="auto" w:fill="auto"/>
            <w:noWrap/>
            <w:tcMar>
              <w:top w:w="15" w:type="dxa"/>
              <w:left w:w="15" w:type="dxa"/>
              <w:bottom w:w="0" w:type="dxa"/>
              <w:right w:w="15" w:type="dxa"/>
            </w:tcMar>
            <w:vAlign w:val="bottom"/>
            <w:hideMark/>
          </w:tcPr>
          <w:p w14:paraId="048F508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53.41</w:t>
            </w:r>
          </w:p>
        </w:tc>
        <w:tc>
          <w:tcPr>
            <w:tcW w:w="0" w:type="auto"/>
            <w:shd w:val="clear" w:color="auto" w:fill="auto"/>
            <w:noWrap/>
            <w:tcMar>
              <w:top w:w="15" w:type="dxa"/>
              <w:left w:w="15" w:type="dxa"/>
              <w:bottom w:w="0" w:type="dxa"/>
              <w:right w:w="15" w:type="dxa"/>
            </w:tcMar>
            <w:vAlign w:val="bottom"/>
            <w:hideMark/>
          </w:tcPr>
          <w:p w14:paraId="0911BE9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-37.48</w:t>
            </w:r>
          </w:p>
        </w:tc>
        <w:tc>
          <w:tcPr>
            <w:tcW w:w="0" w:type="auto"/>
            <w:shd w:val="clear" w:color="auto" w:fill="auto"/>
            <w:noWrap/>
            <w:tcMar>
              <w:top w:w="15" w:type="dxa"/>
              <w:left w:w="15" w:type="dxa"/>
              <w:bottom w:w="0" w:type="dxa"/>
              <w:right w:w="15" w:type="dxa"/>
            </w:tcMar>
            <w:vAlign w:val="bottom"/>
            <w:hideMark/>
          </w:tcPr>
          <w:p w14:paraId="08C85A8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9.89</w:t>
            </w:r>
          </w:p>
        </w:tc>
        <w:tc>
          <w:tcPr>
            <w:tcW w:w="0" w:type="auto"/>
            <w:shd w:val="clear" w:color="auto" w:fill="auto"/>
            <w:noWrap/>
            <w:tcMar>
              <w:top w:w="15" w:type="dxa"/>
              <w:left w:w="15" w:type="dxa"/>
              <w:bottom w:w="0" w:type="dxa"/>
              <w:right w:w="15" w:type="dxa"/>
            </w:tcMar>
            <w:vAlign w:val="bottom"/>
            <w:hideMark/>
          </w:tcPr>
          <w:p w14:paraId="0945BA1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0.19</w:t>
            </w:r>
          </w:p>
        </w:tc>
        <w:tc>
          <w:tcPr>
            <w:tcW w:w="0" w:type="auto"/>
            <w:shd w:val="clear" w:color="auto" w:fill="auto"/>
            <w:noWrap/>
            <w:tcMar>
              <w:top w:w="15" w:type="dxa"/>
              <w:left w:w="15" w:type="dxa"/>
              <w:bottom w:w="0" w:type="dxa"/>
              <w:right w:w="15" w:type="dxa"/>
            </w:tcMar>
            <w:vAlign w:val="bottom"/>
            <w:hideMark/>
          </w:tcPr>
          <w:p w14:paraId="530013E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6.93</w:t>
            </w:r>
          </w:p>
        </w:tc>
        <w:tc>
          <w:tcPr>
            <w:tcW w:w="0" w:type="auto"/>
            <w:shd w:val="clear" w:color="auto" w:fill="auto"/>
            <w:noWrap/>
            <w:tcMar>
              <w:top w:w="15" w:type="dxa"/>
              <w:left w:w="15" w:type="dxa"/>
              <w:bottom w:w="0" w:type="dxa"/>
              <w:right w:w="15" w:type="dxa"/>
            </w:tcMar>
            <w:vAlign w:val="bottom"/>
            <w:hideMark/>
          </w:tcPr>
          <w:p w14:paraId="4507D30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205.49***</w:t>
            </w:r>
          </w:p>
        </w:tc>
      </w:tr>
      <w:tr w:rsidR="006F4180" w:rsidRPr="006F4180" w14:paraId="7FEF65A9"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5520BF1B"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Malaysia</w:t>
            </w:r>
          </w:p>
        </w:tc>
        <w:tc>
          <w:tcPr>
            <w:tcW w:w="0" w:type="auto"/>
            <w:shd w:val="clear" w:color="auto" w:fill="auto"/>
            <w:noWrap/>
            <w:tcMar>
              <w:top w:w="15" w:type="dxa"/>
              <w:left w:w="15" w:type="dxa"/>
              <w:bottom w:w="0" w:type="dxa"/>
              <w:right w:w="15" w:type="dxa"/>
            </w:tcMar>
            <w:vAlign w:val="bottom"/>
            <w:hideMark/>
          </w:tcPr>
          <w:p w14:paraId="64505B3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MAL</w:t>
            </w:r>
          </w:p>
        </w:tc>
        <w:tc>
          <w:tcPr>
            <w:tcW w:w="0" w:type="auto"/>
            <w:shd w:val="clear" w:color="auto" w:fill="auto"/>
            <w:noWrap/>
            <w:tcMar>
              <w:top w:w="15" w:type="dxa"/>
              <w:left w:w="15" w:type="dxa"/>
              <w:bottom w:w="0" w:type="dxa"/>
              <w:right w:w="15" w:type="dxa"/>
            </w:tcMar>
            <w:vAlign w:val="bottom"/>
            <w:hideMark/>
          </w:tcPr>
          <w:p w14:paraId="79C8B9E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-0.02</w:t>
            </w:r>
          </w:p>
        </w:tc>
        <w:tc>
          <w:tcPr>
            <w:tcW w:w="0" w:type="auto"/>
            <w:shd w:val="clear" w:color="auto" w:fill="auto"/>
            <w:noWrap/>
            <w:tcMar>
              <w:top w:w="15" w:type="dxa"/>
              <w:left w:w="15" w:type="dxa"/>
              <w:bottom w:w="0" w:type="dxa"/>
              <w:right w:w="15" w:type="dxa"/>
            </w:tcMar>
            <w:vAlign w:val="bottom"/>
            <w:hideMark/>
          </w:tcPr>
          <w:p w14:paraId="2490BA1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40.51</w:t>
            </w:r>
          </w:p>
        </w:tc>
        <w:tc>
          <w:tcPr>
            <w:tcW w:w="0" w:type="auto"/>
            <w:shd w:val="clear" w:color="auto" w:fill="auto"/>
            <w:noWrap/>
            <w:tcMar>
              <w:top w:w="15" w:type="dxa"/>
              <w:left w:w="15" w:type="dxa"/>
              <w:bottom w:w="0" w:type="dxa"/>
              <w:right w:w="15" w:type="dxa"/>
            </w:tcMar>
            <w:vAlign w:val="bottom"/>
            <w:hideMark/>
          </w:tcPr>
          <w:p w14:paraId="5F40093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-36.11</w:t>
            </w:r>
          </w:p>
        </w:tc>
        <w:tc>
          <w:tcPr>
            <w:tcW w:w="0" w:type="auto"/>
            <w:shd w:val="clear" w:color="auto" w:fill="auto"/>
            <w:noWrap/>
            <w:tcMar>
              <w:top w:w="15" w:type="dxa"/>
              <w:left w:w="15" w:type="dxa"/>
              <w:bottom w:w="0" w:type="dxa"/>
              <w:right w:w="15" w:type="dxa"/>
            </w:tcMar>
            <w:vAlign w:val="bottom"/>
            <w:hideMark/>
          </w:tcPr>
          <w:p w14:paraId="36ADEB9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7.50</w:t>
            </w:r>
          </w:p>
        </w:tc>
        <w:tc>
          <w:tcPr>
            <w:tcW w:w="0" w:type="auto"/>
            <w:shd w:val="clear" w:color="auto" w:fill="auto"/>
            <w:noWrap/>
            <w:tcMar>
              <w:top w:w="15" w:type="dxa"/>
              <w:left w:w="15" w:type="dxa"/>
              <w:bottom w:w="0" w:type="dxa"/>
              <w:right w:w="15" w:type="dxa"/>
            </w:tcMar>
            <w:vAlign w:val="bottom"/>
            <w:hideMark/>
          </w:tcPr>
          <w:p w14:paraId="4934595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-0.20</w:t>
            </w:r>
          </w:p>
        </w:tc>
        <w:tc>
          <w:tcPr>
            <w:tcW w:w="0" w:type="auto"/>
            <w:shd w:val="clear" w:color="auto" w:fill="auto"/>
            <w:noWrap/>
            <w:tcMar>
              <w:top w:w="15" w:type="dxa"/>
              <w:left w:w="15" w:type="dxa"/>
              <w:bottom w:w="0" w:type="dxa"/>
              <w:right w:w="15" w:type="dxa"/>
            </w:tcMar>
            <w:vAlign w:val="bottom"/>
            <w:hideMark/>
          </w:tcPr>
          <w:p w14:paraId="785576F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9.44</w:t>
            </w:r>
          </w:p>
        </w:tc>
        <w:tc>
          <w:tcPr>
            <w:tcW w:w="0" w:type="auto"/>
            <w:shd w:val="clear" w:color="auto" w:fill="auto"/>
            <w:noWrap/>
            <w:tcMar>
              <w:top w:w="15" w:type="dxa"/>
              <w:left w:w="15" w:type="dxa"/>
              <w:bottom w:w="0" w:type="dxa"/>
              <w:right w:w="15" w:type="dxa"/>
            </w:tcMar>
            <w:vAlign w:val="bottom"/>
            <w:hideMark/>
          </w:tcPr>
          <w:p w14:paraId="01C1B95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550.29***</w:t>
            </w:r>
          </w:p>
        </w:tc>
      </w:tr>
      <w:tr w:rsidR="006F4180" w:rsidRPr="006F4180" w14:paraId="3235508B"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1E1C13AA"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Mexico</w:t>
            </w:r>
          </w:p>
        </w:tc>
        <w:tc>
          <w:tcPr>
            <w:tcW w:w="0" w:type="auto"/>
            <w:shd w:val="clear" w:color="auto" w:fill="auto"/>
            <w:noWrap/>
            <w:tcMar>
              <w:top w:w="15" w:type="dxa"/>
              <w:left w:w="15" w:type="dxa"/>
              <w:bottom w:w="0" w:type="dxa"/>
              <w:right w:w="15" w:type="dxa"/>
            </w:tcMar>
            <w:vAlign w:val="bottom"/>
            <w:hideMark/>
          </w:tcPr>
          <w:p w14:paraId="362B105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MEX</w:t>
            </w:r>
          </w:p>
        </w:tc>
        <w:tc>
          <w:tcPr>
            <w:tcW w:w="0" w:type="auto"/>
            <w:shd w:val="clear" w:color="auto" w:fill="auto"/>
            <w:noWrap/>
            <w:tcMar>
              <w:top w:w="15" w:type="dxa"/>
              <w:left w:w="15" w:type="dxa"/>
              <w:bottom w:w="0" w:type="dxa"/>
              <w:right w:w="15" w:type="dxa"/>
            </w:tcMar>
            <w:vAlign w:val="bottom"/>
            <w:hideMark/>
          </w:tcPr>
          <w:p w14:paraId="2D1E9A3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0.48</w:t>
            </w:r>
          </w:p>
        </w:tc>
        <w:tc>
          <w:tcPr>
            <w:tcW w:w="0" w:type="auto"/>
            <w:shd w:val="clear" w:color="auto" w:fill="auto"/>
            <w:noWrap/>
            <w:tcMar>
              <w:top w:w="15" w:type="dxa"/>
              <w:left w:w="15" w:type="dxa"/>
              <w:bottom w:w="0" w:type="dxa"/>
              <w:right w:w="15" w:type="dxa"/>
            </w:tcMar>
            <w:vAlign w:val="bottom"/>
            <w:hideMark/>
          </w:tcPr>
          <w:p w14:paraId="0A0E39A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17.76</w:t>
            </w:r>
          </w:p>
        </w:tc>
        <w:tc>
          <w:tcPr>
            <w:tcW w:w="0" w:type="auto"/>
            <w:shd w:val="clear" w:color="auto" w:fill="auto"/>
            <w:noWrap/>
            <w:tcMar>
              <w:top w:w="15" w:type="dxa"/>
              <w:left w:w="15" w:type="dxa"/>
              <w:bottom w:w="0" w:type="dxa"/>
              <w:right w:w="15" w:type="dxa"/>
            </w:tcMar>
            <w:vAlign w:val="bottom"/>
            <w:hideMark/>
          </w:tcPr>
          <w:p w14:paraId="5EC7363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-41.95</w:t>
            </w:r>
          </w:p>
        </w:tc>
        <w:tc>
          <w:tcPr>
            <w:tcW w:w="0" w:type="auto"/>
            <w:shd w:val="clear" w:color="auto" w:fill="auto"/>
            <w:noWrap/>
            <w:tcMar>
              <w:top w:w="15" w:type="dxa"/>
              <w:left w:w="15" w:type="dxa"/>
              <w:bottom w:w="0" w:type="dxa"/>
              <w:right w:w="15" w:type="dxa"/>
            </w:tcMar>
            <w:vAlign w:val="bottom"/>
            <w:hideMark/>
          </w:tcPr>
          <w:p w14:paraId="1B78387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8.08</w:t>
            </w:r>
          </w:p>
        </w:tc>
        <w:tc>
          <w:tcPr>
            <w:tcW w:w="0" w:type="auto"/>
            <w:shd w:val="clear" w:color="auto" w:fill="auto"/>
            <w:noWrap/>
            <w:tcMar>
              <w:top w:w="15" w:type="dxa"/>
              <w:left w:w="15" w:type="dxa"/>
              <w:bottom w:w="0" w:type="dxa"/>
              <w:right w:w="15" w:type="dxa"/>
            </w:tcMar>
            <w:vAlign w:val="bottom"/>
            <w:hideMark/>
          </w:tcPr>
          <w:p w14:paraId="6E1C296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-1.30</w:t>
            </w:r>
          </w:p>
        </w:tc>
        <w:tc>
          <w:tcPr>
            <w:tcW w:w="0" w:type="auto"/>
            <w:shd w:val="clear" w:color="auto" w:fill="auto"/>
            <w:noWrap/>
            <w:tcMar>
              <w:top w:w="15" w:type="dxa"/>
              <w:left w:w="15" w:type="dxa"/>
              <w:bottom w:w="0" w:type="dxa"/>
              <w:right w:w="15" w:type="dxa"/>
            </w:tcMar>
            <w:vAlign w:val="bottom"/>
            <w:hideMark/>
          </w:tcPr>
          <w:p w14:paraId="496DBA1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7.35</w:t>
            </w:r>
          </w:p>
        </w:tc>
        <w:tc>
          <w:tcPr>
            <w:tcW w:w="0" w:type="auto"/>
            <w:shd w:val="clear" w:color="auto" w:fill="auto"/>
            <w:noWrap/>
            <w:tcMar>
              <w:top w:w="15" w:type="dxa"/>
              <w:left w:w="15" w:type="dxa"/>
              <w:bottom w:w="0" w:type="dxa"/>
              <w:right w:w="15" w:type="dxa"/>
            </w:tcMar>
            <w:vAlign w:val="bottom"/>
            <w:hideMark/>
          </w:tcPr>
          <w:p w14:paraId="11883A6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339.18***</w:t>
            </w:r>
          </w:p>
        </w:tc>
      </w:tr>
      <w:tr w:rsidR="006F4180" w:rsidRPr="006F4180" w14:paraId="5521AA1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425FB724"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Pakistan</w:t>
            </w:r>
          </w:p>
        </w:tc>
        <w:tc>
          <w:tcPr>
            <w:tcW w:w="0" w:type="auto"/>
            <w:shd w:val="clear" w:color="auto" w:fill="auto"/>
            <w:noWrap/>
            <w:tcMar>
              <w:top w:w="15" w:type="dxa"/>
              <w:left w:w="15" w:type="dxa"/>
              <w:bottom w:w="0" w:type="dxa"/>
              <w:right w:w="15" w:type="dxa"/>
            </w:tcMar>
            <w:vAlign w:val="bottom"/>
            <w:hideMark/>
          </w:tcPr>
          <w:p w14:paraId="6D01C75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PAK</w:t>
            </w:r>
          </w:p>
        </w:tc>
        <w:tc>
          <w:tcPr>
            <w:tcW w:w="0" w:type="auto"/>
            <w:shd w:val="clear" w:color="auto" w:fill="auto"/>
            <w:noWrap/>
            <w:tcMar>
              <w:top w:w="15" w:type="dxa"/>
              <w:left w:w="15" w:type="dxa"/>
              <w:bottom w:w="0" w:type="dxa"/>
              <w:right w:w="15" w:type="dxa"/>
            </w:tcMar>
            <w:vAlign w:val="bottom"/>
            <w:hideMark/>
          </w:tcPr>
          <w:p w14:paraId="7848C6E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-0.32</w:t>
            </w:r>
          </w:p>
        </w:tc>
        <w:tc>
          <w:tcPr>
            <w:tcW w:w="0" w:type="auto"/>
            <w:shd w:val="clear" w:color="auto" w:fill="auto"/>
            <w:noWrap/>
            <w:tcMar>
              <w:top w:w="15" w:type="dxa"/>
              <w:left w:w="15" w:type="dxa"/>
              <w:bottom w:w="0" w:type="dxa"/>
              <w:right w:w="15" w:type="dxa"/>
            </w:tcMar>
            <w:vAlign w:val="bottom"/>
            <w:hideMark/>
          </w:tcPr>
          <w:p w14:paraId="1B030FE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31.68</w:t>
            </w:r>
          </w:p>
        </w:tc>
        <w:tc>
          <w:tcPr>
            <w:tcW w:w="0" w:type="auto"/>
            <w:shd w:val="clear" w:color="auto" w:fill="auto"/>
            <w:noWrap/>
            <w:tcMar>
              <w:top w:w="15" w:type="dxa"/>
              <w:left w:w="15" w:type="dxa"/>
              <w:bottom w:w="0" w:type="dxa"/>
              <w:right w:w="15" w:type="dxa"/>
            </w:tcMar>
            <w:vAlign w:val="bottom"/>
            <w:hideMark/>
          </w:tcPr>
          <w:p w14:paraId="5F85696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-70.33</w:t>
            </w:r>
          </w:p>
        </w:tc>
        <w:tc>
          <w:tcPr>
            <w:tcW w:w="0" w:type="auto"/>
            <w:shd w:val="clear" w:color="auto" w:fill="auto"/>
            <w:noWrap/>
            <w:tcMar>
              <w:top w:w="15" w:type="dxa"/>
              <w:left w:w="15" w:type="dxa"/>
              <w:bottom w:w="0" w:type="dxa"/>
              <w:right w:w="15" w:type="dxa"/>
            </w:tcMar>
            <w:vAlign w:val="bottom"/>
            <w:hideMark/>
          </w:tcPr>
          <w:p w14:paraId="1C2A855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10.57</w:t>
            </w:r>
          </w:p>
        </w:tc>
        <w:tc>
          <w:tcPr>
            <w:tcW w:w="0" w:type="auto"/>
            <w:shd w:val="clear" w:color="auto" w:fill="auto"/>
            <w:noWrap/>
            <w:tcMar>
              <w:top w:w="15" w:type="dxa"/>
              <w:left w:w="15" w:type="dxa"/>
              <w:bottom w:w="0" w:type="dxa"/>
              <w:right w:w="15" w:type="dxa"/>
            </w:tcMar>
            <w:vAlign w:val="bottom"/>
            <w:hideMark/>
          </w:tcPr>
          <w:p w14:paraId="264B29E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-1.31</w:t>
            </w:r>
          </w:p>
        </w:tc>
        <w:tc>
          <w:tcPr>
            <w:tcW w:w="0" w:type="auto"/>
            <w:shd w:val="clear" w:color="auto" w:fill="auto"/>
            <w:noWrap/>
            <w:tcMar>
              <w:top w:w="15" w:type="dxa"/>
              <w:left w:w="15" w:type="dxa"/>
              <w:bottom w:w="0" w:type="dxa"/>
              <w:right w:w="15" w:type="dxa"/>
            </w:tcMar>
            <w:vAlign w:val="bottom"/>
            <w:hideMark/>
          </w:tcPr>
          <w:p w14:paraId="2C93A36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10.84</w:t>
            </w:r>
          </w:p>
        </w:tc>
        <w:tc>
          <w:tcPr>
            <w:tcW w:w="0" w:type="auto"/>
            <w:shd w:val="clear" w:color="auto" w:fill="auto"/>
            <w:noWrap/>
            <w:tcMar>
              <w:top w:w="15" w:type="dxa"/>
              <w:left w:w="15" w:type="dxa"/>
              <w:bottom w:w="0" w:type="dxa"/>
              <w:right w:w="15" w:type="dxa"/>
            </w:tcMar>
            <w:vAlign w:val="bottom"/>
            <w:hideMark/>
          </w:tcPr>
          <w:p w14:paraId="36F0F63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902.26***</w:t>
            </w:r>
          </w:p>
        </w:tc>
      </w:tr>
      <w:tr w:rsidR="006F4180" w:rsidRPr="006F4180" w14:paraId="3FDAC3D8"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07870A9A"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Peru</w:t>
            </w:r>
          </w:p>
        </w:tc>
        <w:tc>
          <w:tcPr>
            <w:tcW w:w="0" w:type="auto"/>
            <w:shd w:val="clear" w:color="auto" w:fill="auto"/>
            <w:noWrap/>
            <w:tcMar>
              <w:top w:w="15" w:type="dxa"/>
              <w:left w:w="15" w:type="dxa"/>
              <w:bottom w:w="0" w:type="dxa"/>
              <w:right w:w="15" w:type="dxa"/>
            </w:tcMar>
            <w:vAlign w:val="bottom"/>
            <w:hideMark/>
          </w:tcPr>
          <w:p w14:paraId="62AE6C0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PER</w:t>
            </w:r>
          </w:p>
        </w:tc>
        <w:tc>
          <w:tcPr>
            <w:tcW w:w="0" w:type="auto"/>
            <w:shd w:val="clear" w:color="auto" w:fill="auto"/>
            <w:noWrap/>
            <w:tcMar>
              <w:top w:w="15" w:type="dxa"/>
              <w:left w:w="15" w:type="dxa"/>
              <w:bottom w:w="0" w:type="dxa"/>
              <w:right w:w="15" w:type="dxa"/>
            </w:tcMar>
            <w:vAlign w:val="bottom"/>
            <w:hideMark/>
          </w:tcPr>
          <w:p w14:paraId="5873C16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0.64</w:t>
            </w:r>
          </w:p>
        </w:tc>
        <w:tc>
          <w:tcPr>
            <w:tcW w:w="0" w:type="auto"/>
            <w:shd w:val="clear" w:color="auto" w:fill="auto"/>
            <w:noWrap/>
            <w:tcMar>
              <w:top w:w="15" w:type="dxa"/>
              <w:left w:w="15" w:type="dxa"/>
              <w:bottom w:w="0" w:type="dxa"/>
              <w:right w:w="15" w:type="dxa"/>
            </w:tcMar>
            <w:vAlign w:val="bottom"/>
            <w:hideMark/>
          </w:tcPr>
          <w:p w14:paraId="6BCE88D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30.44</w:t>
            </w:r>
          </w:p>
        </w:tc>
        <w:tc>
          <w:tcPr>
            <w:tcW w:w="0" w:type="auto"/>
            <w:shd w:val="clear" w:color="auto" w:fill="auto"/>
            <w:noWrap/>
            <w:tcMar>
              <w:top w:w="15" w:type="dxa"/>
              <w:left w:w="15" w:type="dxa"/>
              <w:bottom w:w="0" w:type="dxa"/>
              <w:right w:w="15" w:type="dxa"/>
            </w:tcMar>
            <w:vAlign w:val="bottom"/>
            <w:hideMark/>
          </w:tcPr>
          <w:p w14:paraId="6D64A1C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-44.70</w:t>
            </w:r>
          </w:p>
        </w:tc>
        <w:tc>
          <w:tcPr>
            <w:tcW w:w="0" w:type="auto"/>
            <w:shd w:val="clear" w:color="auto" w:fill="auto"/>
            <w:noWrap/>
            <w:tcMar>
              <w:top w:w="15" w:type="dxa"/>
              <w:left w:w="15" w:type="dxa"/>
              <w:bottom w:w="0" w:type="dxa"/>
              <w:right w:w="15" w:type="dxa"/>
            </w:tcMar>
            <w:vAlign w:val="bottom"/>
            <w:hideMark/>
          </w:tcPr>
          <w:p w14:paraId="48A045D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8.45</w:t>
            </w:r>
          </w:p>
        </w:tc>
        <w:tc>
          <w:tcPr>
            <w:tcW w:w="0" w:type="auto"/>
            <w:shd w:val="clear" w:color="auto" w:fill="auto"/>
            <w:noWrap/>
            <w:tcMar>
              <w:top w:w="15" w:type="dxa"/>
              <w:left w:w="15" w:type="dxa"/>
              <w:bottom w:w="0" w:type="dxa"/>
              <w:right w:w="15" w:type="dxa"/>
            </w:tcMar>
            <w:vAlign w:val="bottom"/>
            <w:hideMark/>
          </w:tcPr>
          <w:p w14:paraId="47A4E3A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-0.83</w:t>
            </w:r>
          </w:p>
        </w:tc>
        <w:tc>
          <w:tcPr>
            <w:tcW w:w="0" w:type="auto"/>
            <w:shd w:val="clear" w:color="auto" w:fill="auto"/>
            <w:noWrap/>
            <w:tcMar>
              <w:top w:w="15" w:type="dxa"/>
              <w:left w:w="15" w:type="dxa"/>
              <w:bottom w:w="0" w:type="dxa"/>
              <w:right w:w="15" w:type="dxa"/>
            </w:tcMar>
            <w:vAlign w:val="bottom"/>
            <w:hideMark/>
          </w:tcPr>
          <w:p w14:paraId="1BBEA2F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7.17</w:t>
            </w:r>
          </w:p>
        </w:tc>
        <w:tc>
          <w:tcPr>
            <w:tcW w:w="0" w:type="auto"/>
            <w:shd w:val="clear" w:color="auto" w:fill="auto"/>
            <w:noWrap/>
            <w:tcMar>
              <w:top w:w="15" w:type="dxa"/>
              <w:left w:w="15" w:type="dxa"/>
              <w:bottom w:w="0" w:type="dxa"/>
              <w:right w:w="15" w:type="dxa"/>
            </w:tcMar>
            <w:vAlign w:val="bottom"/>
            <w:hideMark/>
          </w:tcPr>
          <w:p w14:paraId="7B7E85A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266.46***</w:t>
            </w:r>
          </w:p>
        </w:tc>
      </w:tr>
      <w:tr w:rsidR="006F4180" w:rsidRPr="006F4180" w14:paraId="7A506E0A"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4697FD53"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Philippines</w:t>
            </w:r>
          </w:p>
        </w:tc>
        <w:tc>
          <w:tcPr>
            <w:tcW w:w="0" w:type="auto"/>
            <w:shd w:val="clear" w:color="auto" w:fill="auto"/>
            <w:noWrap/>
            <w:tcMar>
              <w:top w:w="15" w:type="dxa"/>
              <w:left w:w="15" w:type="dxa"/>
              <w:bottom w:w="0" w:type="dxa"/>
              <w:right w:w="15" w:type="dxa"/>
            </w:tcMar>
            <w:vAlign w:val="bottom"/>
            <w:hideMark/>
          </w:tcPr>
          <w:p w14:paraId="4FDE3A6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PHI</w:t>
            </w:r>
          </w:p>
        </w:tc>
        <w:tc>
          <w:tcPr>
            <w:tcW w:w="0" w:type="auto"/>
            <w:shd w:val="clear" w:color="auto" w:fill="auto"/>
            <w:noWrap/>
            <w:tcMar>
              <w:top w:w="15" w:type="dxa"/>
              <w:left w:w="15" w:type="dxa"/>
              <w:bottom w:w="0" w:type="dxa"/>
              <w:right w:w="15" w:type="dxa"/>
            </w:tcMar>
            <w:vAlign w:val="bottom"/>
            <w:hideMark/>
          </w:tcPr>
          <w:p w14:paraId="1B739F2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-0.07</w:t>
            </w:r>
          </w:p>
        </w:tc>
        <w:tc>
          <w:tcPr>
            <w:tcW w:w="0" w:type="auto"/>
            <w:shd w:val="clear" w:color="auto" w:fill="auto"/>
            <w:noWrap/>
            <w:tcMar>
              <w:top w:w="15" w:type="dxa"/>
              <w:left w:w="15" w:type="dxa"/>
              <w:bottom w:w="0" w:type="dxa"/>
              <w:right w:w="15" w:type="dxa"/>
            </w:tcMar>
            <w:vAlign w:val="bottom"/>
            <w:hideMark/>
          </w:tcPr>
          <w:p w14:paraId="3DAD0F7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36.01</w:t>
            </w:r>
          </w:p>
        </w:tc>
        <w:tc>
          <w:tcPr>
            <w:tcW w:w="0" w:type="auto"/>
            <w:shd w:val="clear" w:color="auto" w:fill="auto"/>
            <w:noWrap/>
            <w:tcMar>
              <w:top w:w="15" w:type="dxa"/>
              <w:left w:w="15" w:type="dxa"/>
              <w:bottom w:w="0" w:type="dxa"/>
              <w:right w:w="15" w:type="dxa"/>
            </w:tcMar>
            <w:vAlign w:val="bottom"/>
            <w:hideMark/>
          </w:tcPr>
          <w:p w14:paraId="3337AEA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-34.65</w:t>
            </w:r>
          </w:p>
        </w:tc>
        <w:tc>
          <w:tcPr>
            <w:tcW w:w="0" w:type="auto"/>
            <w:shd w:val="clear" w:color="auto" w:fill="auto"/>
            <w:noWrap/>
            <w:tcMar>
              <w:top w:w="15" w:type="dxa"/>
              <w:left w:w="15" w:type="dxa"/>
              <w:bottom w:w="0" w:type="dxa"/>
              <w:right w:w="15" w:type="dxa"/>
            </w:tcMar>
            <w:vAlign w:val="bottom"/>
            <w:hideMark/>
          </w:tcPr>
          <w:p w14:paraId="7A336B9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8.00</w:t>
            </w:r>
          </w:p>
        </w:tc>
        <w:tc>
          <w:tcPr>
            <w:tcW w:w="0" w:type="auto"/>
            <w:shd w:val="clear" w:color="auto" w:fill="auto"/>
            <w:noWrap/>
            <w:tcMar>
              <w:top w:w="15" w:type="dxa"/>
              <w:left w:w="15" w:type="dxa"/>
              <w:bottom w:w="0" w:type="dxa"/>
              <w:right w:w="15" w:type="dxa"/>
            </w:tcMar>
            <w:vAlign w:val="bottom"/>
            <w:hideMark/>
          </w:tcPr>
          <w:p w14:paraId="21B391E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-0.33</w:t>
            </w:r>
          </w:p>
        </w:tc>
        <w:tc>
          <w:tcPr>
            <w:tcW w:w="0" w:type="auto"/>
            <w:shd w:val="clear" w:color="auto" w:fill="auto"/>
            <w:noWrap/>
            <w:tcMar>
              <w:top w:w="15" w:type="dxa"/>
              <w:left w:w="15" w:type="dxa"/>
              <w:bottom w:w="0" w:type="dxa"/>
              <w:right w:w="15" w:type="dxa"/>
            </w:tcMar>
            <w:vAlign w:val="bottom"/>
            <w:hideMark/>
          </w:tcPr>
          <w:p w14:paraId="00F0B26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6.03</w:t>
            </w:r>
          </w:p>
        </w:tc>
        <w:tc>
          <w:tcPr>
            <w:tcW w:w="0" w:type="auto"/>
            <w:shd w:val="clear" w:color="auto" w:fill="auto"/>
            <w:noWrap/>
            <w:tcMar>
              <w:top w:w="15" w:type="dxa"/>
              <w:left w:w="15" w:type="dxa"/>
              <w:bottom w:w="0" w:type="dxa"/>
              <w:right w:w="15" w:type="dxa"/>
            </w:tcMar>
            <w:vAlign w:val="bottom"/>
            <w:hideMark/>
          </w:tcPr>
          <w:p w14:paraId="2CF97D8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126.74***</w:t>
            </w:r>
          </w:p>
        </w:tc>
      </w:tr>
      <w:tr w:rsidR="006F4180" w:rsidRPr="006F4180" w14:paraId="28DBB4F1"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7A9A7977"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Poland</w:t>
            </w:r>
          </w:p>
        </w:tc>
        <w:tc>
          <w:tcPr>
            <w:tcW w:w="0" w:type="auto"/>
            <w:shd w:val="clear" w:color="auto" w:fill="auto"/>
            <w:noWrap/>
            <w:tcMar>
              <w:top w:w="15" w:type="dxa"/>
              <w:left w:w="15" w:type="dxa"/>
              <w:bottom w:w="0" w:type="dxa"/>
              <w:right w:w="15" w:type="dxa"/>
            </w:tcMar>
            <w:vAlign w:val="bottom"/>
            <w:hideMark/>
          </w:tcPr>
          <w:p w14:paraId="1332CE2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POL</w:t>
            </w:r>
          </w:p>
        </w:tc>
        <w:tc>
          <w:tcPr>
            <w:tcW w:w="0" w:type="auto"/>
            <w:shd w:val="clear" w:color="auto" w:fill="auto"/>
            <w:noWrap/>
            <w:tcMar>
              <w:top w:w="15" w:type="dxa"/>
              <w:left w:w="15" w:type="dxa"/>
              <w:bottom w:w="0" w:type="dxa"/>
              <w:right w:w="15" w:type="dxa"/>
            </w:tcMar>
            <w:vAlign w:val="bottom"/>
            <w:hideMark/>
          </w:tcPr>
          <w:p w14:paraId="1F1C8F9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0.16</w:t>
            </w:r>
          </w:p>
        </w:tc>
        <w:tc>
          <w:tcPr>
            <w:tcW w:w="0" w:type="auto"/>
            <w:shd w:val="clear" w:color="auto" w:fill="auto"/>
            <w:noWrap/>
            <w:tcMar>
              <w:top w:w="15" w:type="dxa"/>
              <w:left w:w="15" w:type="dxa"/>
              <w:bottom w:w="0" w:type="dxa"/>
              <w:right w:w="15" w:type="dxa"/>
            </w:tcMar>
            <w:vAlign w:val="bottom"/>
            <w:hideMark/>
          </w:tcPr>
          <w:p w14:paraId="25BDFF6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33.93</w:t>
            </w:r>
          </w:p>
        </w:tc>
        <w:tc>
          <w:tcPr>
            <w:tcW w:w="0" w:type="auto"/>
            <w:shd w:val="clear" w:color="auto" w:fill="auto"/>
            <w:noWrap/>
            <w:tcMar>
              <w:top w:w="15" w:type="dxa"/>
              <w:left w:w="15" w:type="dxa"/>
              <w:bottom w:w="0" w:type="dxa"/>
              <w:right w:w="15" w:type="dxa"/>
            </w:tcMar>
            <w:vAlign w:val="bottom"/>
            <w:hideMark/>
          </w:tcPr>
          <w:p w14:paraId="04FCFBC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-42.98</w:t>
            </w:r>
          </w:p>
        </w:tc>
        <w:tc>
          <w:tcPr>
            <w:tcW w:w="0" w:type="auto"/>
            <w:shd w:val="clear" w:color="auto" w:fill="auto"/>
            <w:noWrap/>
            <w:tcMar>
              <w:top w:w="15" w:type="dxa"/>
              <w:left w:w="15" w:type="dxa"/>
              <w:bottom w:w="0" w:type="dxa"/>
              <w:right w:w="15" w:type="dxa"/>
            </w:tcMar>
            <w:vAlign w:val="bottom"/>
            <w:hideMark/>
          </w:tcPr>
          <w:p w14:paraId="78549CF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9.89</w:t>
            </w:r>
          </w:p>
        </w:tc>
        <w:tc>
          <w:tcPr>
            <w:tcW w:w="0" w:type="auto"/>
            <w:shd w:val="clear" w:color="auto" w:fill="auto"/>
            <w:noWrap/>
            <w:tcMar>
              <w:top w:w="15" w:type="dxa"/>
              <w:left w:w="15" w:type="dxa"/>
              <w:bottom w:w="0" w:type="dxa"/>
              <w:right w:w="15" w:type="dxa"/>
            </w:tcMar>
            <w:vAlign w:val="bottom"/>
            <w:hideMark/>
          </w:tcPr>
          <w:p w14:paraId="6116CA7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-0.39</w:t>
            </w:r>
          </w:p>
        </w:tc>
        <w:tc>
          <w:tcPr>
            <w:tcW w:w="0" w:type="auto"/>
            <w:shd w:val="clear" w:color="auto" w:fill="auto"/>
            <w:noWrap/>
            <w:tcMar>
              <w:top w:w="15" w:type="dxa"/>
              <w:left w:w="15" w:type="dxa"/>
              <w:bottom w:w="0" w:type="dxa"/>
              <w:right w:w="15" w:type="dxa"/>
            </w:tcMar>
            <w:vAlign w:val="bottom"/>
            <w:hideMark/>
          </w:tcPr>
          <w:p w14:paraId="4261C7C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5.03</w:t>
            </w:r>
          </w:p>
        </w:tc>
        <w:tc>
          <w:tcPr>
            <w:tcW w:w="0" w:type="auto"/>
            <w:shd w:val="clear" w:color="auto" w:fill="auto"/>
            <w:noWrap/>
            <w:tcMar>
              <w:top w:w="15" w:type="dxa"/>
              <w:left w:w="15" w:type="dxa"/>
              <w:bottom w:w="0" w:type="dxa"/>
              <w:right w:w="15" w:type="dxa"/>
            </w:tcMar>
            <w:vAlign w:val="bottom"/>
            <w:hideMark/>
          </w:tcPr>
          <w:p w14:paraId="3C3A6FB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62.45***</w:t>
            </w:r>
          </w:p>
        </w:tc>
      </w:tr>
      <w:tr w:rsidR="006F4180" w:rsidRPr="006F4180" w14:paraId="26A7F58C"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0FB93AA6"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Russia</w:t>
            </w:r>
          </w:p>
        </w:tc>
        <w:tc>
          <w:tcPr>
            <w:tcW w:w="0" w:type="auto"/>
            <w:shd w:val="clear" w:color="auto" w:fill="auto"/>
            <w:noWrap/>
            <w:tcMar>
              <w:top w:w="15" w:type="dxa"/>
              <w:left w:w="15" w:type="dxa"/>
              <w:bottom w:w="0" w:type="dxa"/>
              <w:right w:w="15" w:type="dxa"/>
            </w:tcMar>
            <w:vAlign w:val="bottom"/>
            <w:hideMark/>
          </w:tcPr>
          <w:p w14:paraId="500BB58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RUS</w:t>
            </w:r>
          </w:p>
        </w:tc>
        <w:tc>
          <w:tcPr>
            <w:tcW w:w="0" w:type="auto"/>
            <w:shd w:val="clear" w:color="auto" w:fill="auto"/>
            <w:noWrap/>
            <w:tcMar>
              <w:top w:w="15" w:type="dxa"/>
              <w:left w:w="15" w:type="dxa"/>
              <w:bottom w:w="0" w:type="dxa"/>
              <w:right w:w="15" w:type="dxa"/>
            </w:tcMar>
            <w:vAlign w:val="bottom"/>
            <w:hideMark/>
          </w:tcPr>
          <w:p w14:paraId="6C3F602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0.64</w:t>
            </w:r>
          </w:p>
        </w:tc>
        <w:tc>
          <w:tcPr>
            <w:tcW w:w="0" w:type="auto"/>
            <w:shd w:val="clear" w:color="auto" w:fill="auto"/>
            <w:noWrap/>
            <w:tcMar>
              <w:top w:w="15" w:type="dxa"/>
              <w:left w:w="15" w:type="dxa"/>
              <w:bottom w:w="0" w:type="dxa"/>
              <w:right w:w="15" w:type="dxa"/>
            </w:tcMar>
            <w:vAlign w:val="bottom"/>
            <w:hideMark/>
          </w:tcPr>
          <w:p w14:paraId="56593BF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47.71</w:t>
            </w:r>
          </w:p>
        </w:tc>
        <w:tc>
          <w:tcPr>
            <w:tcW w:w="0" w:type="auto"/>
            <w:shd w:val="clear" w:color="auto" w:fill="auto"/>
            <w:noWrap/>
            <w:tcMar>
              <w:top w:w="15" w:type="dxa"/>
              <w:left w:w="15" w:type="dxa"/>
              <w:bottom w:w="0" w:type="dxa"/>
              <w:right w:w="15" w:type="dxa"/>
            </w:tcMar>
            <w:vAlign w:val="bottom"/>
            <w:hideMark/>
          </w:tcPr>
          <w:p w14:paraId="385D832A"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-93.07</w:t>
            </w:r>
          </w:p>
        </w:tc>
        <w:tc>
          <w:tcPr>
            <w:tcW w:w="0" w:type="auto"/>
            <w:shd w:val="clear" w:color="auto" w:fill="auto"/>
            <w:noWrap/>
            <w:tcMar>
              <w:top w:w="15" w:type="dxa"/>
              <w:left w:w="15" w:type="dxa"/>
              <w:bottom w:w="0" w:type="dxa"/>
              <w:right w:w="15" w:type="dxa"/>
            </w:tcMar>
            <w:vAlign w:val="bottom"/>
            <w:hideMark/>
          </w:tcPr>
          <w:p w14:paraId="767DAA56"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14.12</w:t>
            </w:r>
          </w:p>
        </w:tc>
        <w:tc>
          <w:tcPr>
            <w:tcW w:w="0" w:type="auto"/>
            <w:shd w:val="clear" w:color="auto" w:fill="auto"/>
            <w:noWrap/>
            <w:tcMar>
              <w:top w:w="15" w:type="dxa"/>
              <w:left w:w="15" w:type="dxa"/>
              <w:bottom w:w="0" w:type="dxa"/>
              <w:right w:w="15" w:type="dxa"/>
            </w:tcMar>
            <w:vAlign w:val="bottom"/>
            <w:hideMark/>
          </w:tcPr>
          <w:p w14:paraId="4DFC9B6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-1.05</w:t>
            </w:r>
          </w:p>
        </w:tc>
        <w:tc>
          <w:tcPr>
            <w:tcW w:w="0" w:type="auto"/>
            <w:shd w:val="clear" w:color="auto" w:fill="auto"/>
            <w:noWrap/>
            <w:tcMar>
              <w:top w:w="15" w:type="dxa"/>
              <w:left w:w="15" w:type="dxa"/>
              <w:bottom w:w="0" w:type="dxa"/>
              <w:right w:w="15" w:type="dxa"/>
            </w:tcMar>
            <w:vAlign w:val="bottom"/>
            <w:hideMark/>
          </w:tcPr>
          <w:p w14:paraId="6EE2A97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10.03</w:t>
            </w:r>
          </w:p>
        </w:tc>
        <w:tc>
          <w:tcPr>
            <w:tcW w:w="0" w:type="auto"/>
            <w:shd w:val="clear" w:color="auto" w:fill="auto"/>
            <w:noWrap/>
            <w:tcMar>
              <w:top w:w="15" w:type="dxa"/>
              <w:left w:w="15" w:type="dxa"/>
              <w:bottom w:w="0" w:type="dxa"/>
              <w:right w:w="15" w:type="dxa"/>
            </w:tcMar>
            <w:vAlign w:val="bottom"/>
            <w:hideMark/>
          </w:tcPr>
          <w:p w14:paraId="088D0FE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711.15***</w:t>
            </w:r>
          </w:p>
        </w:tc>
      </w:tr>
      <w:tr w:rsidR="006F4180" w:rsidRPr="006F4180" w14:paraId="77DBDEBA"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1483D387"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South Africa</w:t>
            </w:r>
          </w:p>
        </w:tc>
        <w:tc>
          <w:tcPr>
            <w:tcW w:w="0" w:type="auto"/>
            <w:shd w:val="clear" w:color="auto" w:fill="auto"/>
            <w:noWrap/>
            <w:tcMar>
              <w:top w:w="15" w:type="dxa"/>
              <w:left w:w="15" w:type="dxa"/>
              <w:bottom w:w="0" w:type="dxa"/>
              <w:right w:w="15" w:type="dxa"/>
            </w:tcMar>
            <w:vAlign w:val="bottom"/>
            <w:hideMark/>
          </w:tcPr>
          <w:p w14:paraId="2056A97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SAF</w:t>
            </w:r>
          </w:p>
        </w:tc>
        <w:tc>
          <w:tcPr>
            <w:tcW w:w="0" w:type="auto"/>
            <w:shd w:val="clear" w:color="auto" w:fill="auto"/>
            <w:noWrap/>
            <w:tcMar>
              <w:top w:w="15" w:type="dxa"/>
              <w:left w:w="15" w:type="dxa"/>
              <w:bottom w:w="0" w:type="dxa"/>
              <w:right w:w="15" w:type="dxa"/>
            </w:tcMar>
            <w:vAlign w:val="bottom"/>
            <w:hideMark/>
          </w:tcPr>
          <w:p w14:paraId="37AF7E9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0.28</w:t>
            </w:r>
          </w:p>
        </w:tc>
        <w:tc>
          <w:tcPr>
            <w:tcW w:w="0" w:type="auto"/>
            <w:shd w:val="clear" w:color="auto" w:fill="auto"/>
            <w:noWrap/>
            <w:tcMar>
              <w:top w:w="15" w:type="dxa"/>
              <w:left w:w="15" w:type="dxa"/>
              <w:bottom w:w="0" w:type="dxa"/>
              <w:right w:w="15" w:type="dxa"/>
            </w:tcMar>
            <w:vAlign w:val="bottom"/>
            <w:hideMark/>
          </w:tcPr>
          <w:p w14:paraId="62982A3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17.73</w:t>
            </w:r>
          </w:p>
        </w:tc>
        <w:tc>
          <w:tcPr>
            <w:tcW w:w="0" w:type="auto"/>
            <w:shd w:val="clear" w:color="auto" w:fill="auto"/>
            <w:noWrap/>
            <w:tcMar>
              <w:top w:w="15" w:type="dxa"/>
              <w:left w:w="15" w:type="dxa"/>
              <w:bottom w:w="0" w:type="dxa"/>
              <w:right w:w="15" w:type="dxa"/>
            </w:tcMar>
            <w:vAlign w:val="bottom"/>
            <w:hideMark/>
          </w:tcPr>
          <w:p w14:paraId="0298652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-36.88</w:t>
            </w:r>
          </w:p>
        </w:tc>
        <w:tc>
          <w:tcPr>
            <w:tcW w:w="0" w:type="auto"/>
            <w:shd w:val="clear" w:color="auto" w:fill="auto"/>
            <w:noWrap/>
            <w:tcMar>
              <w:top w:w="15" w:type="dxa"/>
              <w:left w:w="15" w:type="dxa"/>
              <w:bottom w:w="0" w:type="dxa"/>
              <w:right w:w="15" w:type="dxa"/>
            </w:tcMar>
            <w:vAlign w:val="bottom"/>
            <w:hideMark/>
          </w:tcPr>
          <w:p w14:paraId="2B6CAB6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7.83</w:t>
            </w:r>
          </w:p>
        </w:tc>
        <w:tc>
          <w:tcPr>
            <w:tcW w:w="0" w:type="auto"/>
            <w:shd w:val="clear" w:color="auto" w:fill="auto"/>
            <w:noWrap/>
            <w:tcMar>
              <w:top w:w="15" w:type="dxa"/>
              <w:left w:w="15" w:type="dxa"/>
              <w:bottom w:w="0" w:type="dxa"/>
              <w:right w:w="15" w:type="dxa"/>
            </w:tcMar>
            <w:vAlign w:val="bottom"/>
            <w:hideMark/>
          </w:tcPr>
          <w:p w14:paraId="02F9924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-0.92</w:t>
            </w:r>
          </w:p>
        </w:tc>
        <w:tc>
          <w:tcPr>
            <w:tcW w:w="0" w:type="auto"/>
            <w:shd w:val="clear" w:color="auto" w:fill="auto"/>
            <w:noWrap/>
            <w:tcMar>
              <w:top w:w="15" w:type="dxa"/>
              <w:left w:w="15" w:type="dxa"/>
              <w:bottom w:w="0" w:type="dxa"/>
              <w:right w:w="15" w:type="dxa"/>
            </w:tcMar>
            <w:vAlign w:val="bottom"/>
            <w:hideMark/>
          </w:tcPr>
          <w:p w14:paraId="3B6C7253"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5.26</w:t>
            </w:r>
          </w:p>
        </w:tc>
        <w:tc>
          <w:tcPr>
            <w:tcW w:w="0" w:type="auto"/>
            <w:shd w:val="clear" w:color="auto" w:fill="auto"/>
            <w:noWrap/>
            <w:tcMar>
              <w:top w:w="15" w:type="dxa"/>
              <w:left w:w="15" w:type="dxa"/>
              <w:bottom w:w="0" w:type="dxa"/>
              <w:right w:w="15" w:type="dxa"/>
            </w:tcMar>
            <w:vAlign w:val="bottom"/>
            <w:hideMark/>
          </w:tcPr>
          <w:p w14:paraId="4A6AA22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111.84***</w:t>
            </w:r>
          </w:p>
        </w:tc>
      </w:tr>
      <w:tr w:rsidR="006F4180" w:rsidRPr="006F4180" w14:paraId="2A81FA47"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48FC6B9F"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Taiwan</w:t>
            </w:r>
          </w:p>
        </w:tc>
        <w:tc>
          <w:tcPr>
            <w:tcW w:w="0" w:type="auto"/>
            <w:shd w:val="clear" w:color="auto" w:fill="auto"/>
            <w:noWrap/>
            <w:tcMar>
              <w:top w:w="15" w:type="dxa"/>
              <w:left w:w="15" w:type="dxa"/>
              <w:bottom w:w="0" w:type="dxa"/>
              <w:right w:w="15" w:type="dxa"/>
            </w:tcMar>
            <w:vAlign w:val="bottom"/>
            <w:hideMark/>
          </w:tcPr>
          <w:p w14:paraId="16B99BE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TAI</w:t>
            </w:r>
          </w:p>
        </w:tc>
        <w:tc>
          <w:tcPr>
            <w:tcW w:w="0" w:type="auto"/>
            <w:shd w:val="clear" w:color="auto" w:fill="auto"/>
            <w:noWrap/>
            <w:tcMar>
              <w:top w:w="15" w:type="dxa"/>
              <w:left w:w="15" w:type="dxa"/>
              <w:bottom w:w="0" w:type="dxa"/>
              <w:right w:w="15" w:type="dxa"/>
            </w:tcMar>
            <w:vAlign w:val="bottom"/>
            <w:hideMark/>
          </w:tcPr>
          <w:p w14:paraId="699E273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0.24</w:t>
            </w:r>
          </w:p>
        </w:tc>
        <w:tc>
          <w:tcPr>
            <w:tcW w:w="0" w:type="auto"/>
            <w:shd w:val="clear" w:color="auto" w:fill="auto"/>
            <w:noWrap/>
            <w:tcMar>
              <w:top w:w="15" w:type="dxa"/>
              <w:left w:w="15" w:type="dxa"/>
              <w:bottom w:w="0" w:type="dxa"/>
              <w:right w:w="15" w:type="dxa"/>
            </w:tcMar>
            <w:vAlign w:val="bottom"/>
            <w:hideMark/>
          </w:tcPr>
          <w:p w14:paraId="7354057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25.64</w:t>
            </w:r>
          </w:p>
        </w:tc>
        <w:tc>
          <w:tcPr>
            <w:tcW w:w="0" w:type="auto"/>
            <w:shd w:val="clear" w:color="auto" w:fill="auto"/>
            <w:noWrap/>
            <w:tcMar>
              <w:top w:w="15" w:type="dxa"/>
              <w:left w:w="15" w:type="dxa"/>
              <w:bottom w:w="0" w:type="dxa"/>
              <w:right w:w="15" w:type="dxa"/>
            </w:tcMar>
            <w:vAlign w:val="bottom"/>
            <w:hideMark/>
          </w:tcPr>
          <w:p w14:paraId="796333F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-24.68</w:t>
            </w:r>
          </w:p>
        </w:tc>
        <w:tc>
          <w:tcPr>
            <w:tcW w:w="0" w:type="auto"/>
            <w:shd w:val="clear" w:color="auto" w:fill="auto"/>
            <w:noWrap/>
            <w:tcMar>
              <w:top w:w="15" w:type="dxa"/>
              <w:left w:w="15" w:type="dxa"/>
              <w:bottom w:w="0" w:type="dxa"/>
              <w:right w:w="15" w:type="dxa"/>
            </w:tcMar>
            <w:vAlign w:val="bottom"/>
            <w:hideMark/>
          </w:tcPr>
          <w:p w14:paraId="6DCDADB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7.49</w:t>
            </w:r>
          </w:p>
        </w:tc>
        <w:tc>
          <w:tcPr>
            <w:tcW w:w="0" w:type="auto"/>
            <w:shd w:val="clear" w:color="auto" w:fill="auto"/>
            <w:noWrap/>
            <w:tcMar>
              <w:top w:w="15" w:type="dxa"/>
              <w:left w:w="15" w:type="dxa"/>
              <w:bottom w:w="0" w:type="dxa"/>
              <w:right w:w="15" w:type="dxa"/>
            </w:tcMar>
            <w:vAlign w:val="bottom"/>
            <w:hideMark/>
          </w:tcPr>
          <w:p w14:paraId="068D889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-0.12</w:t>
            </w:r>
          </w:p>
        </w:tc>
        <w:tc>
          <w:tcPr>
            <w:tcW w:w="0" w:type="auto"/>
            <w:shd w:val="clear" w:color="auto" w:fill="auto"/>
            <w:noWrap/>
            <w:tcMar>
              <w:top w:w="15" w:type="dxa"/>
              <w:left w:w="15" w:type="dxa"/>
              <w:bottom w:w="0" w:type="dxa"/>
              <w:right w:w="15" w:type="dxa"/>
            </w:tcMar>
            <w:vAlign w:val="bottom"/>
            <w:hideMark/>
          </w:tcPr>
          <w:p w14:paraId="7EBCE2B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3.88</w:t>
            </w:r>
          </w:p>
        </w:tc>
        <w:tc>
          <w:tcPr>
            <w:tcW w:w="0" w:type="auto"/>
            <w:shd w:val="clear" w:color="auto" w:fill="auto"/>
            <w:noWrap/>
            <w:tcMar>
              <w:top w:w="15" w:type="dxa"/>
              <w:left w:w="15" w:type="dxa"/>
              <w:bottom w:w="0" w:type="dxa"/>
              <w:right w:w="15" w:type="dxa"/>
            </w:tcMar>
            <w:vAlign w:val="bottom"/>
            <w:hideMark/>
          </w:tcPr>
          <w:p w14:paraId="2F53521D"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11.06***</w:t>
            </w:r>
          </w:p>
        </w:tc>
      </w:tr>
      <w:tr w:rsidR="006F4180" w:rsidRPr="006F4180" w14:paraId="5DE5320A" w14:textId="77777777" w:rsidTr="00CA7A46">
        <w:trPr>
          <w:trHeight w:val="243"/>
          <w:jc w:val="center"/>
        </w:trPr>
        <w:tc>
          <w:tcPr>
            <w:tcW w:w="1671" w:type="dxa"/>
            <w:shd w:val="clear" w:color="auto" w:fill="auto"/>
            <w:noWrap/>
            <w:tcMar>
              <w:top w:w="15" w:type="dxa"/>
              <w:left w:w="15" w:type="dxa"/>
              <w:bottom w:w="0" w:type="dxa"/>
              <w:right w:w="15" w:type="dxa"/>
            </w:tcMar>
            <w:vAlign w:val="bottom"/>
            <w:hideMark/>
          </w:tcPr>
          <w:p w14:paraId="576B442B"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Thailand</w:t>
            </w:r>
          </w:p>
        </w:tc>
        <w:tc>
          <w:tcPr>
            <w:tcW w:w="0" w:type="auto"/>
            <w:shd w:val="clear" w:color="auto" w:fill="auto"/>
            <w:noWrap/>
            <w:tcMar>
              <w:top w:w="15" w:type="dxa"/>
              <w:left w:w="15" w:type="dxa"/>
              <w:bottom w:w="0" w:type="dxa"/>
              <w:right w:w="15" w:type="dxa"/>
            </w:tcMar>
            <w:vAlign w:val="bottom"/>
            <w:hideMark/>
          </w:tcPr>
          <w:p w14:paraId="4922FF4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THL</w:t>
            </w:r>
          </w:p>
        </w:tc>
        <w:tc>
          <w:tcPr>
            <w:tcW w:w="0" w:type="auto"/>
            <w:shd w:val="clear" w:color="auto" w:fill="auto"/>
            <w:noWrap/>
            <w:tcMar>
              <w:top w:w="15" w:type="dxa"/>
              <w:left w:w="15" w:type="dxa"/>
              <w:bottom w:w="0" w:type="dxa"/>
              <w:right w:w="15" w:type="dxa"/>
            </w:tcMar>
            <w:vAlign w:val="bottom"/>
            <w:hideMark/>
          </w:tcPr>
          <w:p w14:paraId="5EA963C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-0.10</w:t>
            </w:r>
          </w:p>
        </w:tc>
        <w:tc>
          <w:tcPr>
            <w:tcW w:w="0" w:type="auto"/>
            <w:shd w:val="clear" w:color="auto" w:fill="auto"/>
            <w:noWrap/>
            <w:tcMar>
              <w:top w:w="15" w:type="dxa"/>
              <w:left w:w="15" w:type="dxa"/>
              <w:bottom w:w="0" w:type="dxa"/>
              <w:right w:w="15" w:type="dxa"/>
            </w:tcMar>
            <w:vAlign w:val="bottom"/>
            <w:hideMark/>
          </w:tcPr>
          <w:p w14:paraId="23666AB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35.90</w:t>
            </w:r>
          </w:p>
        </w:tc>
        <w:tc>
          <w:tcPr>
            <w:tcW w:w="0" w:type="auto"/>
            <w:shd w:val="clear" w:color="auto" w:fill="auto"/>
            <w:noWrap/>
            <w:tcMar>
              <w:top w:w="15" w:type="dxa"/>
              <w:left w:w="15" w:type="dxa"/>
              <w:bottom w:w="0" w:type="dxa"/>
              <w:right w:w="15" w:type="dxa"/>
            </w:tcMar>
            <w:vAlign w:val="bottom"/>
            <w:hideMark/>
          </w:tcPr>
          <w:p w14:paraId="2B19C880"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-41.63</w:t>
            </w:r>
          </w:p>
        </w:tc>
        <w:tc>
          <w:tcPr>
            <w:tcW w:w="0" w:type="auto"/>
            <w:shd w:val="clear" w:color="auto" w:fill="auto"/>
            <w:noWrap/>
            <w:tcMar>
              <w:top w:w="15" w:type="dxa"/>
              <w:left w:w="15" w:type="dxa"/>
              <w:bottom w:w="0" w:type="dxa"/>
              <w:right w:w="15" w:type="dxa"/>
            </w:tcMar>
            <w:vAlign w:val="bottom"/>
            <w:hideMark/>
          </w:tcPr>
          <w:p w14:paraId="172DA94C"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10.21</w:t>
            </w:r>
          </w:p>
        </w:tc>
        <w:tc>
          <w:tcPr>
            <w:tcW w:w="0" w:type="auto"/>
            <w:shd w:val="clear" w:color="auto" w:fill="auto"/>
            <w:noWrap/>
            <w:tcMar>
              <w:top w:w="15" w:type="dxa"/>
              <w:left w:w="15" w:type="dxa"/>
              <w:bottom w:w="0" w:type="dxa"/>
              <w:right w:w="15" w:type="dxa"/>
            </w:tcMar>
            <w:vAlign w:val="bottom"/>
            <w:hideMark/>
          </w:tcPr>
          <w:p w14:paraId="4DC4976F"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-0.53</w:t>
            </w:r>
          </w:p>
        </w:tc>
        <w:tc>
          <w:tcPr>
            <w:tcW w:w="0" w:type="auto"/>
            <w:shd w:val="clear" w:color="auto" w:fill="auto"/>
            <w:noWrap/>
            <w:tcMar>
              <w:top w:w="15" w:type="dxa"/>
              <w:left w:w="15" w:type="dxa"/>
              <w:bottom w:w="0" w:type="dxa"/>
              <w:right w:w="15" w:type="dxa"/>
            </w:tcMar>
            <w:vAlign w:val="bottom"/>
            <w:hideMark/>
          </w:tcPr>
          <w:p w14:paraId="09F25A77"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6.31</w:t>
            </w:r>
          </w:p>
        </w:tc>
        <w:tc>
          <w:tcPr>
            <w:tcW w:w="0" w:type="auto"/>
            <w:shd w:val="clear" w:color="auto" w:fill="auto"/>
            <w:noWrap/>
            <w:tcMar>
              <w:top w:w="15" w:type="dxa"/>
              <w:left w:w="15" w:type="dxa"/>
              <w:bottom w:w="0" w:type="dxa"/>
              <w:right w:w="15" w:type="dxa"/>
            </w:tcMar>
            <w:vAlign w:val="bottom"/>
            <w:hideMark/>
          </w:tcPr>
          <w:p w14:paraId="3185323E"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160.04***</w:t>
            </w:r>
          </w:p>
        </w:tc>
      </w:tr>
      <w:tr w:rsidR="006F4180" w:rsidRPr="006F4180" w14:paraId="297949A9" w14:textId="77777777" w:rsidTr="00CA7A46">
        <w:trPr>
          <w:trHeight w:val="243"/>
          <w:jc w:val="center"/>
        </w:trPr>
        <w:tc>
          <w:tcPr>
            <w:tcW w:w="1671" w:type="dxa"/>
            <w:tcBorders>
              <w:bottom w:val="single" w:sz="4" w:space="0" w:color="auto"/>
            </w:tcBorders>
            <w:shd w:val="clear" w:color="auto" w:fill="auto"/>
            <w:noWrap/>
            <w:tcMar>
              <w:top w:w="15" w:type="dxa"/>
              <w:left w:w="15" w:type="dxa"/>
              <w:bottom w:w="0" w:type="dxa"/>
              <w:right w:w="15" w:type="dxa"/>
            </w:tcMar>
            <w:vAlign w:val="bottom"/>
            <w:hideMark/>
          </w:tcPr>
          <w:p w14:paraId="3CBD8858"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Turkey</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E246239"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TUR</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64D8FEC5"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0.16</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73B2B22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54.41</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29690278"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-53.18</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3C9084F1"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13.70</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F48F91B"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-0.24</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7D893554"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4.95</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13CFE462" w14:textId="77777777" w:rsidR="00994C18" w:rsidRPr="006F4180" w:rsidRDefault="00994C18" w:rsidP="00265625">
            <w:pPr>
              <w:spacing w:after="0" w:line="240" w:lineRule="auto"/>
              <w:jc w:val="center"/>
              <w:rPr>
                <w:rFonts w:ascii="Times New Roman" w:hAnsi="Times New Roman" w:cs="Times New Roman"/>
                <w:sz w:val="24"/>
                <w:szCs w:val="24"/>
              </w:rPr>
            </w:pPr>
            <w:r w:rsidRPr="006F4180">
              <w:rPr>
                <w:rFonts w:ascii="Times New Roman" w:hAnsi="Times New Roman" w:cs="Times New Roman"/>
                <w:sz w:val="24"/>
                <w:szCs w:val="24"/>
              </w:rPr>
              <w:t>53.10***</w:t>
            </w:r>
          </w:p>
        </w:tc>
      </w:tr>
      <w:tr w:rsidR="006F4180" w:rsidRPr="006F4180" w14:paraId="5FFCA146" w14:textId="77777777" w:rsidTr="00CA7A46">
        <w:trPr>
          <w:trHeight w:val="243"/>
          <w:jc w:val="center"/>
        </w:trPr>
        <w:tc>
          <w:tcPr>
            <w:tcW w:w="8265" w:type="dxa"/>
            <w:gridSpan w:val="9"/>
            <w:tcBorders>
              <w:top w:val="single" w:sz="4" w:space="0" w:color="auto"/>
            </w:tcBorders>
            <w:shd w:val="clear" w:color="auto" w:fill="auto"/>
            <w:tcMar>
              <w:top w:w="15" w:type="dxa"/>
              <w:left w:w="15" w:type="dxa"/>
              <w:bottom w:w="0" w:type="dxa"/>
              <w:right w:w="15" w:type="dxa"/>
            </w:tcMar>
            <w:vAlign w:val="bottom"/>
            <w:hideMark/>
          </w:tcPr>
          <w:p w14:paraId="2D0BABDE" w14:textId="77777777" w:rsidR="00994C18" w:rsidRPr="006F4180" w:rsidRDefault="00994C18" w:rsidP="00265625">
            <w:pPr>
              <w:spacing w:after="0" w:line="240" w:lineRule="auto"/>
              <w:jc w:val="both"/>
              <w:rPr>
                <w:rFonts w:ascii="Times New Roman" w:hAnsi="Times New Roman" w:cs="Times New Roman"/>
                <w:sz w:val="24"/>
                <w:szCs w:val="24"/>
              </w:rPr>
            </w:pPr>
            <w:r w:rsidRPr="00CA7A46">
              <w:rPr>
                <w:rFonts w:ascii="Times New Roman" w:hAnsi="Times New Roman" w:cs="Times New Roman"/>
                <w:i/>
                <w:iCs/>
                <w:sz w:val="24"/>
                <w:szCs w:val="24"/>
              </w:rPr>
              <w:t>Note</w:t>
            </w:r>
            <w:r w:rsidRPr="006F4180">
              <w:rPr>
                <w:rFonts w:ascii="Times New Roman" w:hAnsi="Times New Roman" w:cs="Times New Roman"/>
                <w:sz w:val="24"/>
                <w:szCs w:val="24"/>
              </w:rPr>
              <w:t>: Max = Maximum, Min = Minimum, SD = Standard Deviation, SK = Skewness, KT = Kurtosis, and JB = Jarque-</w:t>
            </w:r>
            <w:proofErr w:type="spellStart"/>
            <w:r w:rsidRPr="006F4180">
              <w:rPr>
                <w:rFonts w:ascii="Times New Roman" w:hAnsi="Times New Roman" w:cs="Times New Roman"/>
                <w:sz w:val="24"/>
                <w:szCs w:val="24"/>
              </w:rPr>
              <w:t>Bera</w:t>
            </w:r>
            <w:proofErr w:type="spellEnd"/>
            <w:r w:rsidRPr="006F4180">
              <w:rPr>
                <w:rFonts w:ascii="Times New Roman" w:hAnsi="Times New Roman" w:cs="Times New Roman"/>
                <w:sz w:val="24"/>
                <w:szCs w:val="24"/>
              </w:rPr>
              <w:t xml:space="preserve"> test of normality.</w:t>
            </w:r>
          </w:p>
          <w:p w14:paraId="33CD2476" w14:textId="77777777" w:rsidR="00994C18" w:rsidRPr="006F4180" w:rsidRDefault="00994C18" w:rsidP="00265625">
            <w:pPr>
              <w:spacing w:after="0" w:line="240" w:lineRule="auto"/>
              <w:jc w:val="both"/>
              <w:rPr>
                <w:rFonts w:ascii="Times New Roman" w:hAnsi="Times New Roman" w:cs="Times New Roman"/>
                <w:sz w:val="24"/>
                <w:szCs w:val="24"/>
              </w:rPr>
            </w:pPr>
            <w:r w:rsidRPr="006F4180">
              <w:rPr>
                <w:rFonts w:ascii="Times New Roman" w:hAnsi="Times New Roman" w:cs="Times New Roman"/>
                <w:sz w:val="24"/>
                <w:szCs w:val="24"/>
              </w:rPr>
              <w:t>*** indicates significance at 1%.</w:t>
            </w:r>
          </w:p>
        </w:tc>
      </w:tr>
    </w:tbl>
    <w:p w14:paraId="79C3F589" w14:textId="77777777" w:rsidR="00994C18" w:rsidRPr="006F4180" w:rsidRDefault="00994C18" w:rsidP="00994C18"/>
    <w:p w14:paraId="6DAF7351" w14:textId="77777777" w:rsidR="00994C18" w:rsidRPr="006F4180" w:rsidRDefault="00994C18" w:rsidP="00994C18"/>
    <w:p w14:paraId="7EE7CFA7" w14:textId="77777777" w:rsidR="00994C18" w:rsidRPr="006F4180" w:rsidRDefault="00994C18" w:rsidP="00994C18"/>
    <w:p w14:paraId="1E1622CB"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52419997"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39AE1983"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67158064"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3EEB794F"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6A99A4A3"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4D62F14B"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67CF9B04"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234DF25C" w14:textId="346948B2" w:rsidR="00994C18" w:rsidRPr="006F4180" w:rsidRDefault="00994C18" w:rsidP="00CA7A46">
      <w:pPr>
        <w:spacing w:line="360" w:lineRule="auto"/>
        <w:jc w:val="center"/>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lastRenderedPageBreak/>
        <w:t>Figure 1: Correlation heat</w:t>
      </w:r>
      <w:r w:rsidR="00D575FD" w:rsidRPr="006F4180">
        <w:rPr>
          <w:rFonts w:ascii="Times New Roman" w:hAnsi="Times New Roman" w:cs="Times New Roman"/>
          <w:b/>
          <w:bCs/>
          <w:sz w:val="24"/>
          <w:szCs w:val="24"/>
          <w:lang w:val="en-NZ"/>
        </w:rPr>
        <w:t>-</w:t>
      </w:r>
      <w:r w:rsidRPr="006F4180">
        <w:rPr>
          <w:rFonts w:ascii="Times New Roman" w:hAnsi="Times New Roman" w:cs="Times New Roman"/>
          <w:b/>
          <w:bCs/>
          <w:sz w:val="24"/>
          <w:szCs w:val="24"/>
          <w:lang w:val="en-NZ"/>
        </w:rPr>
        <w:t>map of Emerging markets</w:t>
      </w:r>
    </w:p>
    <w:p w14:paraId="0057718B"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7BAD6F8E" wp14:editId="479D9D7C">
            <wp:extent cx="5722620" cy="5100324"/>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a:extLst>
                        <a:ext uri="{28A0092B-C50C-407E-A947-70E740481C1C}">
                          <a14:useLocalDpi xmlns:a14="http://schemas.microsoft.com/office/drawing/2010/main" val="0"/>
                        </a:ext>
                      </a:extLst>
                    </a:blip>
                    <a:srcRect l="8508" r="10393"/>
                    <a:stretch/>
                  </pic:blipFill>
                  <pic:spPr bwMode="auto">
                    <a:xfrm>
                      <a:off x="0" y="0"/>
                      <a:ext cx="5731792" cy="5108499"/>
                    </a:xfrm>
                    <a:prstGeom prst="rect">
                      <a:avLst/>
                    </a:prstGeom>
                    <a:noFill/>
                    <a:ln>
                      <a:noFill/>
                    </a:ln>
                    <a:extLst>
                      <a:ext uri="{53640926-AAD7-44D8-BBD7-CCE9431645EC}">
                        <a14:shadowObscured xmlns:a14="http://schemas.microsoft.com/office/drawing/2010/main"/>
                      </a:ext>
                    </a:extLst>
                  </pic:spPr>
                </pic:pic>
              </a:graphicData>
            </a:graphic>
          </wp:inline>
        </w:drawing>
      </w:r>
      <w:r w:rsidRPr="006F4180">
        <w:rPr>
          <w:rFonts w:ascii="Times New Roman" w:hAnsi="Times New Roman" w:cs="Times New Roman"/>
          <w:sz w:val="24"/>
          <w:szCs w:val="24"/>
          <w:lang w:val="en-NZ"/>
        </w:rPr>
        <w:br w:type="page"/>
      </w:r>
    </w:p>
    <w:p w14:paraId="35AB84DD" w14:textId="77777777" w:rsidR="00994C18" w:rsidRPr="006F4180" w:rsidRDefault="00994C18" w:rsidP="00D530E8">
      <w:pPr>
        <w:spacing w:line="360" w:lineRule="auto"/>
        <w:jc w:val="center"/>
        <w:rPr>
          <w:rFonts w:ascii="Times New Roman" w:hAnsi="Times New Roman" w:cs="Times New Roman"/>
          <w:b/>
          <w:bCs/>
          <w:sz w:val="24"/>
          <w:szCs w:val="24"/>
        </w:rPr>
      </w:pPr>
      <w:r w:rsidRPr="006F4180">
        <w:rPr>
          <w:rFonts w:ascii="Times New Roman" w:hAnsi="Times New Roman" w:cs="Times New Roman"/>
          <w:b/>
          <w:bCs/>
          <w:sz w:val="24"/>
          <w:szCs w:val="24"/>
          <w:lang w:val="en-NZ"/>
        </w:rPr>
        <w:lastRenderedPageBreak/>
        <w:t xml:space="preserve">Figure 2: </w:t>
      </w:r>
      <w:r w:rsidRPr="006F4180">
        <w:rPr>
          <w:rFonts w:ascii="Times New Roman" w:hAnsi="Times New Roman" w:cs="Times New Roman"/>
          <w:b/>
          <w:bCs/>
          <w:sz w:val="24"/>
          <w:szCs w:val="24"/>
        </w:rPr>
        <w:t xml:space="preserve">Log returns and </w:t>
      </w:r>
      <w:proofErr w:type="spellStart"/>
      <w:r w:rsidRPr="006F4180">
        <w:rPr>
          <w:rFonts w:ascii="Times New Roman" w:hAnsi="Times New Roman" w:cs="Times New Roman"/>
          <w:b/>
          <w:bCs/>
          <w:sz w:val="24"/>
          <w:szCs w:val="24"/>
        </w:rPr>
        <w:t>CoVaR</w:t>
      </w:r>
      <w:proofErr w:type="spellEnd"/>
      <w:r w:rsidRPr="006F4180">
        <w:rPr>
          <w:rFonts w:ascii="Times New Roman" w:hAnsi="Times New Roman" w:cs="Times New Roman"/>
          <w:b/>
          <w:bCs/>
          <w:sz w:val="24"/>
          <w:szCs w:val="24"/>
        </w:rPr>
        <w:t xml:space="preserve"> estimates for BRIC</w:t>
      </w:r>
    </w:p>
    <w:p w14:paraId="1014E1F0" w14:textId="77777777" w:rsidR="00994C18" w:rsidRPr="006F4180" w:rsidRDefault="00994C18" w:rsidP="00994C18">
      <w:pPr>
        <w:spacing w:line="360" w:lineRule="auto"/>
        <w:jc w:val="both"/>
        <w:rPr>
          <w:rFonts w:ascii="Times New Roman" w:hAnsi="Times New Roman" w:cs="Times New Roman"/>
          <w:sz w:val="24"/>
          <w:szCs w:val="24"/>
        </w:rPr>
      </w:pPr>
      <w:r w:rsidRPr="006F4180">
        <w:rPr>
          <w:rFonts w:ascii="Times New Roman" w:hAnsi="Times New Roman" w:cs="Times New Roman"/>
          <w:sz w:val="24"/>
          <w:szCs w:val="24"/>
        </w:rPr>
        <w:t>a) Brazil</w:t>
      </w:r>
      <w:r w:rsidRPr="006F4180">
        <w:rPr>
          <w:rFonts w:ascii="Times New Roman" w:hAnsi="Times New Roman" w:cs="Times New Roman"/>
          <w:sz w:val="24"/>
          <w:szCs w:val="24"/>
        </w:rPr>
        <w:tab/>
      </w:r>
      <w:r w:rsidRPr="006F4180">
        <w:rPr>
          <w:rFonts w:ascii="Times New Roman" w:hAnsi="Times New Roman" w:cs="Times New Roman"/>
          <w:sz w:val="24"/>
          <w:szCs w:val="24"/>
        </w:rPr>
        <w:tab/>
      </w:r>
      <w:r w:rsidRPr="006F4180">
        <w:rPr>
          <w:rFonts w:ascii="Times New Roman" w:hAnsi="Times New Roman" w:cs="Times New Roman"/>
          <w:sz w:val="24"/>
          <w:szCs w:val="24"/>
        </w:rPr>
        <w:tab/>
      </w:r>
      <w:r w:rsidRPr="006F4180">
        <w:rPr>
          <w:rFonts w:ascii="Times New Roman" w:hAnsi="Times New Roman" w:cs="Times New Roman"/>
          <w:sz w:val="24"/>
          <w:szCs w:val="24"/>
        </w:rPr>
        <w:tab/>
      </w:r>
      <w:r w:rsidRPr="006F4180">
        <w:rPr>
          <w:rFonts w:ascii="Times New Roman" w:hAnsi="Times New Roman" w:cs="Times New Roman"/>
          <w:sz w:val="24"/>
          <w:szCs w:val="24"/>
        </w:rPr>
        <w:tab/>
        <w:t>b) Russia</w:t>
      </w:r>
    </w:p>
    <w:p w14:paraId="0C2C7946"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04AF847A" wp14:editId="5C79FB69">
            <wp:extent cx="2674620" cy="16147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59" t="12858" r="4410" b="9628"/>
                    <a:stretch/>
                  </pic:blipFill>
                  <pic:spPr bwMode="auto">
                    <a:xfrm>
                      <a:off x="0" y="0"/>
                      <a:ext cx="2714747" cy="1638946"/>
                    </a:xfrm>
                    <a:prstGeom prst="rect">
                      <a:avLst/>
                    </a:prstGeom>
                    <a:noFill/>
                    <a:ln>
                      <a:noFill/>
                    </a:ln>
                    <a:extLst>
                      <a:ext uri="{53640926-AAD7-44D8-BBD7-CCE9431645EC}">
                        <a14:shadowObscured xmlns:a14="http://schemas.microsoft.com/office/drawing/2010/main"/>
                      </a:ext>
                    </a:extLst>
                  </pic:spPr>
                </pic:pic>
              </a:graphicData>
            </a:graphic>
          </wp:inline>
        </w:drawing>
      </w:r>
      <w:r w:rsidRPr="006F4180">
        <w:rPr>
          <w:rFonts w:ascii="Times New Roman" w:hAnsi="Times New Roman" w:cs="Times New Roman"/>
          <w:sz w:val="24"/>
          <w:szCs w:val="24"/>
          <w:lang w:val="en-NZ"/>
        </w:rPr>
        <w:tab/>
      </w:r>
      <w:r w:rsidRPr="006F4180">
        <w:rPr>
          <w:rFonts w:ascii="Times New Roman" w:hAnsi="Times New Roman" w:cs="Times New Roman"/>
          <w:noProof/>
          <w:sz w:val="24"/>
          <w:szCs w:val="24"/>
        </w:rPr>
        <w:drawing>
          <wp:inline distT="0" distB="0" distL="0" distR="0" wp14:anchorId="4EAEC2BC" wp14:editId="21718D1A">
            <wp:extent cx="2689860" cy="16423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93" t="11388" r="4408" b="9995"/>
                    <a:stretch/>
                  </pic:blipFill>
                  <pic:spPr bwMode="auto">
                    <a:xfrm>
                      <a:off x="0" y="0"/>
                      <a:ext cx="2759885" cy="1685063"/>
                    </a:xfrm>
                    <a:prstGeom prst="rect">
                      <a:avLst/>
                    </a:prstGeom>
                    <a:noFill/>
                    <a:ln>
                      <a:noFill/>
                    </a:ln>
                    <a:extLst>
                      <a:ext uri="{53640926-AAD7-44D8-BBD7-CCE9431645EC}">
                        <a14:shadowObscured xmlns:a14="http://schemas.microsoft.com/office/drawing/2010/main"/>
                      </a:ext>
                    </a:extLst>
                  </pic:spPr>
                </pic:pic>
              </a:graphicData>
            </a:graphic>
          </wp:inline>
        </w:drawing>
      </w:r>
    </w:p>
    <w:p w14:paraId="2135380A"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c) India</w:t>
      </w:r>
      <w:r w:rsidRPr="006F4180">
        <w:rPr>
          <w:rFonts w:ascii="Times New Roman" w:hAnsi="Times New Roman" w:cs="Times New Roman"/>
          <w:sz w:val="24"/>
          <w:szCs w:val="24"/>
          <w:lang w:val="en-NZ"/>
        </w:rPr>
        <w:tab/>
      </w:r>
      <w:r w:rsidRPr="006F4180">
        <w:rPr>
          <w:rFonts w:ascii="Times New Roman" w:hAnsi="Times New Roman" w:cs="Times New Roman"/>
          <w:sz w:val="24"/>
          <w:szCs w:val="24"/>
          <w:lang w:val="en-NZ"/>
        </w:rPr>
        <w:tab/>
      </w:r>
      <w:r w:rsidRPr="006F4180">
        <w:rPr>
          <w:rFonts w:ascii="Times New Roman" w:hAnsi="Times New Roman" w:cs="Times New Roman"/>
          <w:sz w:val="24"/>
          <w:szCs w:val="24"/>
          <w:lang w:val="en-NZ"/>
        </w:rPr>
        <w:tab/>
      </w:r>
      <w:r w:rsidRPr="006F4180">
        <w:rPr>
          <w:rFonts w:ascii="Times New Roman" w:hAnsi="Times New Roman" w:cs="Times New Roman"/>
          <w:sz w:val="24"/>
          <w:szCs w:val="24"/>
          <w:lang w:val="en-NZ"/>
        </w:rPr>
        <w:tab/>
      </w:r>
      <w:r w:rsidRPr="006F4180">
        <w:rPr>
          <w:rFonts w:ascii="Times New Roman" w:hAnsi="Times New Roman" w:cs="Times New Roman"/>
          <w:sz w:val="24"/>
          <w:szCs w:val="24"/>
          <w:lang w:val="en-NZ"/>
        </w:rPr>
        <w:tab/>
        <w:t>d) China</w:t>
      </w:r>
    </w:p>
    <w:p w14:paraId="11B3A7A9"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1C3EDA04" wp14:editId="323E8E71">
            <wp:extent cx="2668850" cy="1645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26" t="11037" r="5207" b="10239"/>
                    <a:stretch/>
                  </pic:blipFill>
                  <pic:spPr bwMode="auto">
                    <a:xfrm>
                      <a:off x="0" y="0"/>
                      <a:ext cx="2724423" cy="1680193"/>
                    </a:xfrm>
                    <a:prstGeom prst="rect">
                      <a:avLst/>
                    </a:prstGeom>
                    <a:noFill/>
                    <a:ln>
                      <a:noFill/>
                    </a:ln>
                    <a:extLst>
                      <a:ext uri="{53640926-AAD7-44D8-BBD7-CCE9431645EC}">
                        <a14:shadowObscured xmlns:a14="http://schemas.microsoft.com/office/drawing/2010/main"/>
                      </a:ext>
                    </a:extLst>
                  </pic:spPr>
                </pic:pic>
              </a:graphicData>
            </a:graphic>
          </wp:inline>
        </w:drawing>
      </w:r>
      <w:r w:rsidRPr="006F4180">
        <w:rPr>
          <w:rFonts w:ascii="Times New Roman" w:hAnsi="Times New Roman" w:cs="Times New Roman"/>
          <w:sz w:val="24"/>
          <w:szCs w:val="24"/>
          <w:lang w:val="en-NZ"/>
        </w:rPr>
        <w:tab/>
      </w:r>
      <w:r w:rsidRPr="006F4180">
        <w:rPr>
          <w:rFonts w:ascii="Times New Roman" w:hAnsi="Times New Roman" w:cs="Times New Roman"/>
          <w:noProof/>
          <w:sz w:val="24"/>
          <w:szCs w:val="24"/>
        </w:rPr>
        <w:drawing>
          <wp:inline distT="0" distB="0" distL="0" distR="0" wp14:anchorId="24EB475D" wp14:editId="711D8B1B">
            <wp:extent cx="2674509" cy="16541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791" t="11037" r="5207" b="10239"/>
                    <a:stretch/>
                  </pic:blipFill>
                  <pic:spPr bwMode="auto">
                    <a:xfrm>
                      <a:off x="0" y="0"/>
                      <a:ext cx="2745948" cy="1698360"/>
                    </a:xfrm>
                    <a:prstGeom prst="rect">
                      <a:avLst/>
                    </a:prstGeom>
                    <a:noFill/>
                    <a:ln>
                      <a:noFill/>
                    </a:ln>
                    <a:extLst>
                      <a:ext uri="{53640926-AAD7-44D8-BBD7-CCE9431645EC}">
                        <a14:shadowObscured xmlns:a14="http://schemas.microsoft.com/office/drawing/2010/main"/>
                      </a:ext>
                    </a:extLst>
                  </pic:spPr>
                </pic:pic>
              </a:graphicData>
            </a:graphic>
          </wp:inline>
        </w:drawing>
      </w:r>
    </w:p>
    <w:p w14:paraId="3433B192" w14:textId="77777777" w:rsidR="00994C18" w:rsidRPr="006F4180" w:rsidRDefault="00994C18" w:rsidP="00994C18">
      <w:pPr>
        <w:spacing w:line="240" w:lineRule="auto"/>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 xml:space="preserve">Note: Log difference returns (black points), </w:t>
      </w:r>
      <w:proofErr w:type="spellStart"/>
      <w:r w:rsidRPr="006F4180">
        <w:rPr>
          <w:rFonts w:ascii="Times New Roman" w:hAnsi="Times New Roman" w:cs="Times New Roman"/>
          <w:sz w:val="24"/>
          <w:szCs w:val="24"/>
          <w:lang w:val="en-NZ"/>
        </w:rPr>
        <w:t>VaR</w:t>
      </w:r>
      <w:proofErr w:type="spellEnd"/>
      <w:r w:rsidRPr="006F4180">
        <w:rPr>
          <w:rFonts w:ascii="Times New Roman" w:hAnsi="Times New Roman" w:cs="Times New Roman"/>
          <w:sz w:val="24"/>
          <w:szCs w:val="24"/>
          <w:lang w:val="en-NZ"/>
        </w:rPr>
        <w:t xml:space="preserve"> (red), </w:t>
      </w:r>
      <w:proofErr w:type="spellStart"/>
      <w:r w:rsidRPr="006F4180">
        <w:rPr>
          <w:rFonts w:ascii="Times New Roman" w:hAnsi="Times New Roman" w:cs="Times New Roman"/>
          <w:sz w:val="24"/>
          <w:szCs w:val="24"/>
          <w:lang w:val="en-NZ"/>
        </w:rPr>
        <w:t>CoVaR</w:t>
      </w:r>
      <w:r w:rsidRPr="006F4180">
        <w:rPr>
          <w:rFonts w:ascii="Times New Roman" w:hAnsi="Times New Roman" w:cs="Times New Roman"/>
          <w:sz w:val="24"/>
          <w:szCs w:val="24"/>
          <w:vertAlign w:val="superscript"/>
          <w:lang w:val="en-NZ"/>
        </w:rPr>
        <w:t>TENET</w:t>
      </w:r>
      <w:proofErr w:type="spellEnd"/>
      <w:r w:rsidRPr="006F4180">
        <w:rPr>
          <w:rFonts w:ascii="Times New Roman" w:hAnsi="Times New Roman" w:cs="Times New Roman"/>
          <w:sz w:val="24"/>
          <w:szCs w:val="24"/>
          <w:lang w:val="en-NZ"/>
        </w:rPr>
        <w:t xml:space="preserve"> (blue), and </w:t>
      </w:r>
      <w:proofErr w:type="spellStart"/>
      <w:r w:rsidRPr="006F4180">
        <w:rPr>
          <w:rFonts w:ascii="Times New Roman" w:hAnsi="Times New Roman" w:cs="Times New Roman"/>
          <w:sz w:val="24"/>
          <w:szCs w:val="24"/>
          <w:lang w:val="en-NZ"/>
        </w:rPr>
        <w:t>CoVaR</w:t>
      </w:r>
      <w:r w:rsidRPr="006F4180">
        <w:rPr>
          <w:rFonts w:ascii="Times New Roman" w:hAnsi="Times New Roman" w:cs="Times New Roman"/>
          <w:sz w:val="24"/>
          <w:szCs w:val="24"/>
          <w:vertAlign w:val="superscript"/>
          <w:lang w:val="en-NZ"/>
        </w:rPr>
        <w:t>L</w:t>
      </w:r>
      <w:proofErr w:type="spellEnd"/>
      <w:r w:rsidRPr="006F4180">
        <w:rPr>
          <w:rFonts w:ascii="Times New Roman" w:hAnsi="Times New Roman" w:cs="Times New Roman"/>
          <w:sz w:val="24"/>
          <w:szCs w:val="24"/>
          <w:lang w:val="en-NZ"/>
        </w:rPr>
        <w:t xml:space="preserve"> (green). Tau = 0.05, n = 60, T = 255.</w:t>
      </w:r>
    </w:p>
    <w:p w14:paraId="3E300A34" w14:textId="77777777" w:rsidR="00994C18" w:rsidRPr="006F4180" w:rsidRDefault="00994C18" w:rsidP="00994C18">
      <w:pPr>
        <w:spacing w:line="360" w:lineRule="auto"/>
        <w:jc w:val="both"/>
        <w:rPr>
          <w:rFonts w:ascii="Times New Roman" w:hAnsi="Times New Roman" w:cs="Times New Roman"/>
          <w:sz w:val="24"/>
          <w:szCs w:val="24"/>
          <w:lang w:val="en-NZ"/>
        </w:rPr>
      </w:pPr>
    </w:p>
    <w:p w14:paraId="227AE151"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5F229360"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4C7CB77F"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67985302"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59B565B1"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1F0B1BB5"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0832B185"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1BD0E8BA"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387CDDE5"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54043066" w14:textId="77777777" w:rsidR="00994C18" w:rsidRPr="006F4180" w:rsidRDefault="00994C18" w:rsidP="00D530E8">
      <w:pPr>
        <w:spacing w:line="360" w:lineRule="auto"/>
        <w:jc w:val="center"/>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lastRenderedPageBreak/>
        <w:t>Figure 3: Total connectedness and average lambda</w:t>
      </w:r>
    </w:p>
    <w:p w14:paraId="3FC1AC25"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156E8039" wp14:editId="4B39D676">
            <wp:extent cx="5735368" cy="3497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3590" t="11957" r="4409" b="10423"/>
                    <a:stretch/>
                  </pic:blipFill>
                  <pic:spPr bwMode="auto">
                    <a:xfrm>
                      <a:off x="0" y="0"/>
                      <a:ext cx="5746140" cy="3504149"/>
                    </a:xfrm>
                    <a:prstGeom prst="rect">
                      <a:avLst/>
                    </a:prstGeom>
                    <a:noFill/>
                    <a:ln>
                      <a:noFill/>
                    </a:ln>
                    <a:extLst>
                      <a:ext uri="{53640926-AAD7-44D8-BBD7-CCE9431645EC}">
                        <a14:shadowObscured xmlns:a14="http://schemas.microsoft.com/office/drawing/2010/main"/>
                      </a:ext>
                    </a:extLst>
                  </pic:spPr>
                </pic:pic>
              </a:graphicData>
            </a:graphic>
          </wp:inline>
        </w:drawing>
      </w:r>
    </w:p>
    <w:p w14:paraId="03F5E149" w14:textId="77777777" w:rsidR="00994C18" w:rsidRPr="006F4180" w:rsidRDefault="00994C18" w:rsidP="00994C18">
      <w:pPr>
        <w:spacing w:line="240" w:lineRule="auto"/>
        <w:jc w:val="both"/>
        <w:rPr>
          <w:rFonts w:ascii="Times New Roman" w:hAnsi="Times New Roman" w:cs="Times New Roman"/>
          <w:sz w:val="24"/>
          <w:szCs w:val="24"/>
        </w:rPr>
      </w:pPr>
      <w:r w:rsidRPr="006F4180">
        <w:rPr>
          <w:rFonts w:ascii="Times New Roman" w:hAnsi="Times New Roman" w:cs="Times New Roman"/>
          <w:sz w:val="24"/>
          <w:szCs w:val="24"/>
        </w:rPr>
        <w:t xml:space="preserve">Note: Total connectedness (blue line) and average lambda (dashed black line) of 23 Emerging markets from Jan 2000 to May 2021. </w:t>
      </w:r>
      <w:r w:rsidRPr="006F4180">
        <w:rPr>
          <w:rFonts w:ascii="Times New Roman" w:hAnsi="Times New Roman" w:cs="Times New Roman"/>
          <w:sz w:val="24"/>
          <w:szCs w:val="24"/>
          <w:lang w:val="en-NZ"/>
        </w:rPr>
        <w:t>Tau = 0.05, n = 60, T = 255.</w:t>
      </w:r>
    </w:p>
    <w:p w14:paraId="0AD058D5" w14:textId="77777777" w:rsidR="00994C18" w:rsidRPr="006F4180" w:rsidRDefault="00994C18" w:rsidP="00994C18">
      <w:pPr>
        <w:spacing w:line="360" w:lineRule="auto"/>
        <w:jc w:val="both"/>
        <w:rPr>
          <w:rFonts w:ascii="Times New Roman" w:hAnsi="Times New Roman" w:cs="Times New Roman"/>
          <w:sz w:val="24"/>
          <w:szCs w:val="24"/>
        </w:rPr>
      </w:pPr>
    </w:p>
    <w:p w14:paraId="2959681E"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65FC1D24"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13F6CA8B"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7DC4EF83"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07257D90"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444EB249"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1A1A8479"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0658C34B"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1648C39B"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0084BCFF"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7F533223"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75EC9667" w14:textId="77777777" w:rsidR="00994C18" w:rsidRPr="006F4180" w:rsidRDefault="00994C18" w:rsidP="00D530E8">
      <w:pPr>
        <w:spacing w:line="360" w:lineRule="auto"/>
        <w:jc w:val="center"/>
        <w:rPr>
          <w:rFonts w:ascii="Times New Roman" w:hAnsi="Times New Roman" w:cs="Times New Roman"/>
          <w:b/>
          <w:bCs/>
          <w:sz w:val="24"/>
          <w:szCs w:val="24"/>
        </w:rPr>
      </w:pPr>
      <w:r w:rsidRPr="006F4180">
        <w:rPr>
          <w:rStyle w:val="label"/>
          <w:rFonts w:ascii="Times New Roman" w:hAnsi="Times New Roman" w:cs="Times New Roman"/>
          <w:b/>
          <w:bCs/>
          <w:sz w:val="24"/>
          <w:szCs w:val="24"/>
        </w:rPr>
        <w:lastRenderedPageBreak/>
        <w:t>Fig. 4</w:t>
      </w:r>
      <w:r w:rsidRPr="006F4180">
        <w:rPr>
          <w:rFonts w:ascii="Times New Roman" w:hAnsi="Times New Roman" w:cs="Times New Roman"/>
          <w:b/>
          <w:bCs/>
          <w:sz w:val="24"/>
          <w:szCs w:val="24"/>
        </w:rPr>
        <w:t>. Top incoming links</w:t>
      </w:r>
    </w:p>
    <w:p w14:paraId="1052E202"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04E538D9" wp14:editId="68C29759">
            <wp:extent cx="5718901" cy="34594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3457" t="12508" r="4675" b="10607"/>
                    <a:stretch/>
                  </pic:blipFill>
                  <pic:spPr bwMode="auto">
                    <a:xfrm>
                      <a:off x="0" y="0"/>
                      <a:ext cx="5728107" cy="3465049"/>
                    </a:xfrm>
                    <a:prstGeom prst="rect">
                      <a:avLst/>
                    </a:prstGeom>
                    <a:noFill/>
                    <a:ln>
                      <a:noFill/>
                    </a:ln>
                    <a:extLst>
                      <a:ext uri="{53640926-AAD7-44D8-BBD7-CCE9431645EC}">
                        <a14:shadowObscured xmlns:a14="http://schemas.microsoft.com/office/drawing/2010/main"/>
                      </a:ext>
                    </a:extLst>
                  </pic:spPr>
                </pic:pic>
              </a:graphicData>
            </a:graphic>
          </wp:inline>
        </w:drawing>
      </w:r>
    </w:p>
    <w:p w14:paraId="56B5327A" w14:textId="77777777" w:rsidR="00994C18" w:rsidRPr="006F4180" w:rsidRDefault="00994C18" w:rsidP="00994C18">
      <w:pPr>
        <w:spacing w:line="240" w:lineRule="auto"/>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Note: Pakistan (red), Indonesia (blue), Argentina (green), Poland (purple), Russia (yellow). Tau = 0.05, n = 60, T = 255</w:t>
      </w:r>
    </w:p>
    <w:p w14:paraId="005E64AA" w14:textId="77777777" w:rsidR="00994C18" w:rsidRPr="006F4180" w:rsidRDefault="00994C18" w:rsidP="00994C18"/>
    <w:p w14:paraId="40488847" w14:textId="77777777" w:rsidR="00994C18" w:rsidRPr="006F4180" w:rsidRDefault="00994C18" w:rsidP="00994C18"/>
    <w:p w14:paraId="39A0E050" w14:textId="77777777" w:rsidR="00994C18" w:rsidRPr="006F4180" w:rsidRDefault="00994C18" w:rsidP="00994C18"/>
    <w:p w14:paraId="6BCA4117" w14:textId="77777777" w:rsidR="00994C18" w:rsidRPr="006F4180" w:rsidRDefault="00994C18" w:rsidP="00994C18"/>
    <w:p w14:paraId="492FFC00"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50E37486"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40FA216E"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56E15040"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1CD0988B"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0978D88D"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7C185AB5"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4D5CC884"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35B76F10" w14:textId="77777777" w:rsidR="00994C18" w:rsidRPr="006F4180" w:rsidRDefault="00994C18" w:rsidP="00994C18">
      <w:pPr>
        <w:spacing w:line="360" w:lineRule="auto"/>
        <w:jc w:val="both"/>
        <w:rPr>
          <w:rStyle w:val="label"/>
          <w:rFonts w:ascii="Times New Roman" w:hAnsi="Times New Roman" w:cs="Times New Roman"/>
          <w:b/>
          <w:bCs/>
          <w:sz w:val="24"/>
          <w:szCs w:val="24"/>
        </w:rPr>
      </w:pPr>
    </w:p>
    <w:p w14:paraId="7B85460B" w14:textId="77777777" w:rsidR="00994C18" w:rsidRPr="006F4180" w:rsidRDefault="00994C18" w:rsidP="00D530E8">
      <w:pPr>
        <w:spacing w:line="360" w:lineRule="auto"/>
        <w:jc w:val="center"/>
        <w:rPr>
          <w:rFonts w:ascii="Times New Roman" w:hAnsi="Times New Roman" w:cs="Times New Roman"/>
          <w:b/>
          <w:bCs/>
          <w:sz w:val="24"/>
          <w:szCs w:val="24"/>
        </w:rPr>
      </w:pPr>
      <w:r w:rsidRPr="006F4180">
        <w:rPr>
          <w:rStyle w:val="label"/>
          <w:rFonts w:ascii="Times New Roman" w:hAnsi="Times New Roman" w:cs="Times New Roman"/>
          <w:b/>
          <w:bCs/>
          <w:sz w:val="24"/>
          <w:szCs w:val="24"/>
        </w:rPr>
        <w:lastRenderedPageBreak/>
        <w:t>Fig. 5</w:t>
      </w:r>
      <w:r w:rsidRPr="006F4180">
        <w:rPr>
          <w:rFonts w:ascii="Times New Roman" w:hAnsi="Times New Roman" w:cs="Times New Roman"/>
          <w:b/>
          <w:bCs/>
          <w:sz w:val="24"/>
          <w:szCs w:val="24"/>
        </w:rPr>
        <w:t>. Top Outgoing links</w:t>
      </w:r>
    </w:p>
    <w:p w14:paraId="42DD08E2"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0C352C38" wp14:editId="6EEE0F9F">
            <wp:extent cx="5736466" cy="3489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3590" t="12140" r="4409" b="10423"/>
                    <a:stretch/>
                  </pic:blipFill>
                  <pic:spPr bwMode="auto">
                    <a:xfrm>
                      <a:off x="0" y="0"/>
                      <a:ext cx="5745409" cy="3495401"/>
                    </a:xfrm>
                    <a:prstGeom prst="rect">
                      <a:avLst/>
                    </a:prstGeom>
                    <a:noFill/>
                    <a:ln>
                      <a:noFill/>
                    </a:ln>
                    <a:extLst>
                      <a:ext uri="{53640926-AAD7-44D8-BBD7-CCE9431645EC}">
                        <a14:shadowObscured xmlns:a14="http://schemas.microsoft.com/office/drawing/2010/main"/>
                      </a:ext>
                    </a:extLst>
                  </pic:spPr>
                </pic:pic>
              </a:graphicData>
            </a:graphic>
          </wp:inline>
        </w:drawing>
      </w:r>
    </w:p>
    <w:p w14:paraId="34AAADBA" w14:textId="77777777" w:rsidR="00994C18" w:rsidRPr="006F4180" w:rsidRDefault="00994C18" w:rsidP="00994C18">
      <w:pPr>
        <w:spacing w:line="240" w:lineRule="auto"/>
        <w:jc w:val="both"/>
        <w:rPr>
          <w:rFonts w:ascii="Times New Roman" w:hAnsi="Times New Roman" w:cs="Times New Roman"/>
          <w:sz w:val="24"/>
          <w:szCs w:val="24"/>
          <w:lang w:val="en-NZ"/>
        </w:rPr>
      </w:pPr>
      <w:r w:rsidRPr="006F4180">
        <w:rPr>
          <w:rFonts w:ascii="Times New Roman" w:hAnsi="Times New Roman" w:cs="Times New Roman"/>
          <w:sz w:val="24"/>
          <w:szCs w:val="24"/>
          <w:lang w:val="en-NZ"/>
        </w:rPr>
        <w:t>Note: Turkey (red), Hungary (blue), Russia (green), Indonesia (purple), India (yellow). Tau = 0.05, n = 60, T = 255.</w:t>
      </w:r>
    </w:p>
    <w:p w14:paraId="12D79A6E" w14:textId="77777777" w:rsidR="00994C18" w:rsidRPr="006F4180" w:rsidRDefault="00994C18" w:rsidP="00994C18"/>
    <w:p w14:paraId="592C920D"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1DEBE360"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7D7EADDE"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7FE10F3C"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78127F15"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78A2466E"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0474E945"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1425A08F"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028D530A"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02B745E2"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4C0098C3"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744C29FA" w14:textId="77777777" w:rsidR="00994C18" w:rsidRPr="006F4180" w:rsidRDefault="00994C18" w:rsidP="00994C18">
      <w:pPr>
        <w:spacing w:line="360" w:lineRule="auto"/>
        <w:jc w:val="both"/>
        <w:rPr>
          <w:rFonts w:ascii="Times New Roman" w:hAnsi="Times New Roman" w:cs="Times New Roman"/>
          <w:b/>
          <w:bCs/>
          <w:sz w:val="24"/>
          <w:szCs w:val="24"/>
        </w:rPr>
      </w:pPr>
      <w:r w:rsidRPr="006F4180">
        <w:rPr>
          <w:rFonts w:ascii="Times New Roman" w:hAnsi="Times New Roman" w:cs="Times New Roman"/>
          <w:b/>
          <w:bCs/>
          <w:sz w:val="24"/>
          <w:szCs w:val="24"/>
          <w:lang w:val="en-NZ"/>
        </w:rPr>
        <w:lastRenderedPageBreak/>
        <w:t xml:space="preserve">Figure 6. </w:t>
      </w:r>
      <w:r w:rsidRPr="006F4180">
        <w:rPr>
          <w:rFonts w:ascii="Times New Roman" w:hAnsi="Times New Roman" w:cs="Times New Roman"/>
          <w:b/>
          <w:bCs/>
          <w:sz w:val="24"/>
          <w:szCs w:val="24"/>
        </w:rPr>
        <w:t>Network representation of a weighted adjacency matrix – Full sample.</w:t>
      </w:r>
    </w:p>
    <w:p w14:paraId="28F3489E"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3DDA3834" wp14:editId="77AAFD07">
            <wp:extent cx="5697823" cy="4282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l="8243" t="6254" r="8265" b="6928"/>
                    <a:stretch/>
                  </pic:blipFill>
                  <pic:spPr bwMode="auto">
                    <a:xfrm>
                      <a:off x="0" y="0"/>
                      <a:ext cx="5719662" cy="4298854"/>
                    </a:xfrm>
                    <a:prstGeom prst="rect">
                      <a:avLst/>
                    </a:prstGeom>
                    <a:noFill/>
                    <a:ln>
                      <a:noFill/>
                    </a:ln>
                    <a:extLst>
                      <a:ext uri="{53640926-AAD7-44D8-BBD7-CCE9431645EC}">
                        <a14:shadowObscured xmlns:a14="http://schemas.microsoft.com/office/drawing/2010/main"/>
                      </a:ext>
                    </a:extLst>
                  </pic:spPr>
                </pic:pic>
              </a:graphicData>
            </a:graphic>
          </wp:inline>
        </w:drawing>
      </w:r>
    </w:p>
    <w:p w14:paraId="1835A55A" w14:textId="77777777" w:rsidR="00994C18" w:rsidRPr="006F4180" w:rsidRDefault="00994C18" w:rsidP="00994C18">
      <w:pPr>
        <w:spacing w:line="240" w:lineRule="auto"/>
        <w:jc w:val="both"/>
        <w:rPr>
          <w:rFonts w:ascii="Times New Roman" w:hAnsi="Times New Roman" w:cs="Times New Roman"/>
          <w:sz w:val="24"/>
          <w:szCs w:val="24"/>
        </w:rPr>
      </w:pPr>
      <w:r w:rsidRPr="006F4180">
        <w:rPr>
          <w:rFonts w:ascii="Times New Roman" w:hAnsi="Times New Roman" w:cs="Times New Roman"/>
          <w:sz w:val="24"/>
          <w:szCs w:val="24"/>
        </w:rPr>
        <w:t>Note. This elliptical network representation is weighted adjacency matrices for the full sample. The values smaller than average of first 100 largest partial derivatives are set to be 0.</w:t>
      </w:r>
    </w:p>
    <w:p w14:paraId="5D1519E7" w14:textId="77777777" w:rsidR="00994C18" w:rsidRPr="006F4180" w:rsidRDefault="00994C18" w:rsidP="00994C18"/>
    <w:p w14:paraId="0D8F9334" w14:textId="77777777" w:rsidR="00994C18" w:rsidRPr="006F4180" w:rsidRDefault="00994C18" w:rsidP="00994C18"/>
    <w:p w14:paraId="580EF506" w14:textId="77777777" w:rsidR="00994C18" w:rsidRPr="006F4180" w:rsidRDefault="00994C18" w:rsidP="00994C18"/>
    <w:p w14:paraId="50DADDCA" w14:textId="77777777" w:rsidR="00994C18" w:rsidRPr="006F4180" w:rsidRDefault="00994C18" w:rsidP="00994C18"/>
    <w:p w14:paraId="777B7CD3" w14:textId="77777777" w:rsidR="00994C18" w:rsidRPr="006F4180" w:rsidRDefault="00994C18" w:rsidP="00994C18"/>
    <w:p w14:paraId="5770A0D0" w14:textId="77777777" w:rsidR="00994C18" w:rsidRPr="006F4180" w:rsidRDefault="00994C18" w:rsidP="00994C18"/>
    <w:p w14:paraId="16D636A3" w14:textId="77777777" w:rsidR="00994C18" w:rsidRPr="006F4180" w:rsidRDefault="00994C18" w:rsidP="00994C18"/>
    <w:p w14:paraId="32FAD459" w14:textId="77777777" w:rsidR="00994C18" w:rsidRPr="006F4180" w:rsidRDefault="00994C18" w:rsidP="00994C18"/>
    <w:p w14:paraId="5BB11899" w14:textId="77777777" w:rsidR="00994C18" w:rsidRPr="006F4180" w:rsidRDefault="00994C18" w:rsidP="00994C18"/>
    <w:p w14:paraId="34097D40" w14:textId="77777777" w:rsidR="00994C18" w:rsidRPr="006F4180" w:rsidRDefault="00994C18" w:rsidP="00994C18"/>
    <w:p w14:paraId="4DF16160" w14:textId="77777777" w:rsidR="00994C18" w:rsidRPr="006F4180" w:rsidRDefault="00994C18" w:rsidP="00994C18"/>
    <w:p w14:paraId="6B16C7A8" w14:textId="77777777" w:rsidR="00994C18" w:rsidRPr="006F4180" w:rsidRDefault="00994C18" w:rsidP="00994C18"/>
    <w:tbl>
      <w:tblPr>
        <w:tblW w:w="8360" w:type="dxa"/>
        <w:jc w:val="center"/>
        <w:tblCellMar>
          <w:left w:w="0" w:type="dxa"/>
          <w:right w:w="0" w:type="dxa"/>
        </w:tblCellMar>
        <w:tblLook w:val="04A0" w:firstRow="1" w:lastRow="0" w:firstColumn="1" w:lastColumn="0" w:noHBand="0" w:noVBand="1"/>
      </w:tblPr>
      <w:tblGrid>
        <w:gridCol w:w="545"/>
        <w:gridCol w:w="825"/>
        <w:gridCol w:w="1067"/>
        <w:gridCol w:w="581"/>
        <w:gridCol w:w="581"/>
        <w:gridCol w:w="581"/>
        <w:gridCol w:w="545"/>
        <w:gridCol w:w="825"/>
        <w:gridCol w:w="1067"/>
        <w:gridCol w:w="581"/>
        <w:gridCol w:w="581"/>
        <w:gridCol w:w="581"/>
      </w:tblGrid>
      <w:tr w:rsidR="006F4180" w:rsidRPr="006F4180" w14:paraId="7C4802D3" w14:textId="77777777" w:rsidTr="00D530E8">
        <w:trPr>
          <w:trHeight w:val="288"/>
          <w:jc w:val="center"/>
        </w:trPr>
        <w:tc>
          <w:tcPr>
            <w:tcW w:w="8360" w:type="dxa"/>
            <w:gridSpan w:val="12"/>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63F655D7" w14:textId="379230F9" w:rsidR="00994C18" w:rsidRPr="006F4180" w:rsidRDefault="00D530E8" w:rsidP="00265625">
            <w:pPr>
              <w:spacing w:line="240" w:lineRule="auto"/>
              <w:jc w:val="both"/>
              <w:rPr>
                <w:rFonts w:ascii="Times New Roman" w:hAnsi="Times New Roman" w:cs="Times New Roman"/>
                <w:b/>
                <w:bCs/>
                <w:sz w:val="20"/>
                <w:szCs w:val="20"/>
              </w:rPr>
            </w:pPr>
            <w:r w:rsidRPr="00D530E8">
              <w:rPr>
                <w:rFonts w:ascii="Times New Roman" w:hAnsi="Times New Roman" w:cs="Times New Roman"/>
                <w:b/>
                <w:bCs/>
                <w:sz w:val="20"/>
                <w:szCs w:val="20"/>
              </w:rPr>
              <w:lastRenderedPageBreak/>
              <w:t>Table 2: Country ranking and top three links</w:t>
            </w:r>
          </w:p>
        </w:tc>
      </w:tr>
      <w:tr w:rsidR="006F4180" w:rsidRPr="006F4180" w14:paraId="4A103521" w14:textId="77777777" w:rsidTr="00D530E8">
        <w:trPr>
          <w:trHeight w:val="288"/>
          <w:jc w:val="center"/>
        </w:trPr>
        <w:tc>
          <w:tcPr>
            <w:tcW w:w="4180" w:type="dxa"/>
            <w:gridSpan w:val="6"/>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1A1642B"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Risk receivers</w:t>
            </w:r>
          </w:p>
        </w:tc>
        <w:tc>
          <w:tcPr>
            <w:tcW w:w="4180" w:type="dxa"/>
            <w:gridSpan w:val="6"/>
            <w:tcBorders>
              <w:top w:val="single" w:sz="4" w:space="0" w:color="auto"/>
              <w:left w:val="single" w:sz="4" w:space="0" w:color="auto"/>
              <w:bottom w:val="single" w:sz="4" w:space="0" w:color="auto"/>
            </w:tcBorders>
            <w:shd w:val="clear" w:color="auto" w:fill="auto"/>
            <w:vAlign w:val="bottom"/>
          </w:tcPr>
          <w:p w14:paraId="578CA7DA"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Risk transmitters</w:t>
            </w:r>
          </w:p>
        </w:tc>
      </w:tr>
      <w:tr w:rsidR="006F4180" w:rsidRPr="006F4180" w14:paraId="0E25318E" w14:textId="77777777" w:rsidTr="00D530E8">
        <w:trPr>
          <w:trHeight w:val="288"/>
          <w:jc w:val="center"/>
        </w:trPr>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6AD31225"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Rank</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3E6C0981"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Country</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51B581A3"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Percentage</w:t>
            </w:r>
          </w:p>
        </w:tc>
        <w:tc>
          <w:tcPr>
            <w:tcW w:w="0" w:type="auto"/>
            <w:gridSpan w:val="3"/>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B3A02"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Incoming links</w:t>
            </w:r>
          </w:p>
        </w:tc>
        <w:tc>
          <w:tcPr>
            <w:tcW w:w="0" w:type="auto"/>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bottom"/>
            <w:hideMark/>
          </w:tcPr>
          <w:p w14:paraId="6A2D38DD"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Rank</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63EB63D4"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Country</w:t>
            </w:r>
          </w:p>
        </w:tc>
        <w:tc>
          <w:tcPr>
            <w:tcW w:w="0" w:type="auto"/>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5861AB48"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Percentage</w:t>
            </w:r>
          </w:p>
        </w:tc>
        <w:tc>
          <w:tcPr>
            <w:tcW w:w="0" w:type="auto"/>
            <w:gridSpan w:val="3"/>
            <w:tcBorders>
              <w:top w:val="single" w:sz="4" w:space="0" w:color="auto"/>
              <w:bottom w:val="single" w:sz="4" w:space="0" w:color="auto"/>
            </w:tcBorders>
            <w:shd w:val="clear" w:color="auto" w:fill="auto"/>
            <w:noWrap/>
            <w:tcMar>
              <w:top w:w="15" w:type="dxa"/>
              <w:left w:w="15" w:type="dxa"/>
              <w:bottom w:w="0" w:type="dxa"/>
              <w:right w:w="15" w:type="dxa"/>
            </w:tcMar>
            <w:vAlign w:val="bottom"/>
            <w:hideMark/>
          </w:tcPr>
          <w:p w14:paraId="35F4DF3F" w14:textId="77777777" w:rsidR="00994C18" w:rsidRPr="006F4180" w:rsidRDefault="00994C18" w:rsidP="00265625">
            <w:pPr>
              <w:spacing w:line="240" w:lineRule="auto"/>
              <w:jc w:val="center"/>
              <w:rPr>
                <w:rFonts w:ascii="Times New Roman" w:hAnsi="Times New Roman" w:cs="Times New Roman"/>
                <w:b/>
                <w:bCs/>
                <w:sz w:val="20"/>
                <w:szCs w:val="20"/>
              </w:rPr>
            </w:pPr>
            <w:r w:rsidRPr="006F4180">
              <w:rPr>
                <w:rFonts w:ascii="Times New Roman" w:hAnsi="Times New Roman" w:cs="Times New Roman"/>
                <w:b/>
                <w:bCs/>
                <w:sz w:val="20"/>
                <w:szCs w:val="20"/>
              </w:rPr>
              <w:t>Outgoing links</w:t>
            </w:r>
          </w:p>
        </w:tc>
      </w:tr>
      <w:tr w:rsidR="006F4180" w:rsidRPr="006F4180" w14:paraId="04FD8D64" w14:textId="77777777" w:rsidTr="00D530E8">
        <w:trPr>
          <w:trHeight w:val="288"/>
          <w:jc w:val="center"/>
        </w:trPr>
        <w:tc>
          <w:tcPr>
            <w:tcW w:w="0" w:type="auto"/>
            <w:tcBorders>
              <w:top w:val="single" w:sz="4" w:space="0" w:color="auto"/>
            </w:tcBorders>
            <w:shd w:val="clear" w:color="auto" w:fill="auto"/>
            <w:noWrap/>
            <w:tcMar>
              <w:top w:w="15" w:type="dxa"/>
              <w:left w:w="15" w:type="dxa"/>
              <w:bottom w:w="0" w:type="dxa"/>
              <w:right w:w="15" w:type="dxa"/>
            </w:tcMar>
            <w:vAlign w:val="bottom"/>
            <w:hideMark/>
          </w:tcPr>
          <w:p w14:paraId="43EADAD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3DB5F0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1D943F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62.04%</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771246C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13333D6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top w:val="single" w:sz="4" w:space="0" w:color="auto"/>
              <w:right w:val="single" w:sz="4" w:space="0" w:color="auto"/>
            </w:tcBorders>
            <w:shd w:val="clear" w:color="auto" w:fill="auto"/>
            <w:noWrap/>
            <w:tcMar>
              <w:top w:w="15" w:type="dxa"/>
              <w:left w:w="15" w:type="dxa"/>
              <w:bottom w:w="0" w:type="dxa"/>
              <w:right w:w="15" w:type="dxa"/>
            </w:tcMar>
            <w:vAlign w:val="bottom"/>
            <w:hideMark/>
          </w:tcPr>
          <w:p w14:paraId="2FC6857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tcBorders>
              <w:top w:val="single" w:sz="4" w:space="0" w:color="auto"/>
              <w:left w:val="single" w:sz="4" w:space="0" w:color="auto"/>
            </w:tcBorders>
            <w:shd w:val="clear" w:color="auto" w:fill="auto"/>
            <w:noWrap/>
            <w:tcMar>
              <w:top w:w="15" w:type="dxa"/>
              <w:left w:w="15" w:type="dxa"/>
              <w:bottom w:w="0" w:type="dxa"/>
              <w:right w:w="15" w:type="dxa"/>
            </w:tcMar>
            <w:vAlign w:val="bottom"/>
            <w:hideMark/>
          </w:tcPr>
          <w:p w14:paraId="6DFBB85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6CDAE63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4BE063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42.87%</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29018E8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3BC49D84"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tcBorders>
              <w:top w:val="single" w:sz="4" w:space="0" w:color="auto"/>
            </w:tcBorders>
            <w:shd w:val="clear" w:color="auto" w:fill="auto"/>
            <w:noWrap/>
            <w:tcMar>
              <w:top w:w="15" w:type="dxa"/>
              <w:left w:w="15" w:type="dxa"/>
              <w:bottom w:w="0" w:type="dxa"/>
              <w:right w:w="15" w:type="dxa"/>
            </w:tcMar>
            <w:vAlign w:val="bottom"/>
            <w:hideMark/>
          </w:tcPr>
          <w:p w14:paraId="00DBA2B4" w14:textId="77777777" w:rsidR="00994C18" w:rsidRPr="006F4180" w:rsidRDefault="00994C18" w:rsidP="00265625">
            <w:pPr>
              <w:spacing w:line="240" w:lineRule="auto"/>
              <w:jc w:val="center"/>
              <w:rPr>
                <w:rFonts w:ascii="Times New Roman" w:hAnsi="Times New Roman" w:cs="Times New Roman"/>
                <w:sz w:val="20"/>
                <w:szCs w:val="20"/>
              </w:rPr>
            </w:pPr>
          </w:p>
        </w:tc>
      </w:tr>
      <w:tr w:rsidR="006F4180" w:rsidRPr="006F4180" w14:paraId="16EC1A1D"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0E25D91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w:t>
            </w:r>
          </w:p>
        </w:tc>
        <w:tc>
          <w:tcPr>
            <w:tcW w:w="0" w:type="auto"/>
            <w:shd w:val="clear" w:color="auto" w:fill="auto"/>
            <w:noWrap/>
            <w:tcMar>
              <w:top w:w="15" w:type="dxa"/>
              <w:left w:w="15" w:type="dxa"/>
              <w:bottom w:w="0" w:type="dxa"/>
              <w:right w:w="15" w:type="dxa"/>
            </w:tcMar>
            <w:vAlign w:val="bottom"/>
            <w:hideMark/>
          </w:tcPr>
          <w:p w14:paraId="5D055F2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32209DB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35.78%</w:t>
            </w:r>
          </w:p>
        </w:tc>
        <w:tc>
          <w:tcPr>
            <w:tcW w:w="0" w:type="auto"/>
            <w:shd w:val="clear" w:color="auto" w:fill="auto"/>
            <w:noWrap/>
            <w:tcMar>
              <w:top w:w="15" w:type="dxa"/>
              <w:left w:w="15" w:type="dxa"/>
              <w:bottom w:w="0" w:type="dxa"/>
              <w:right w:w="15" w:type="dxa"/>
            </w:tcMar>
            <w:vAlign w:val="bottom"/>
            <w:hideMark/>
          </w:tcPr>
          <w:p w14:paraId="285032A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27B4061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405A568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64B65F6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w:t>
            </w:r>
          </w:p>
        </w:tc>
        <w:tc>
          <w:tcPr>
            <w:tcW w:w="0" w:type="auto"/>
            <w:shd w:val="clear" w:color="auto" w:fill="auto"/>
            <w:noWrap/>
            <w:tcMar>
              <w:top w:w="15" w:type="dxa"/>
              <w:left w:w="15" w:type="dxa"/>
              <w:bottom w:w="0" w:type="dxa"/>
              <w:right w:w="15" w:type="dxa"/>
            </w:tcMar>
            <w:vAlign w:val="bottom"/>
            <w:hideMark/>
          </w:tcPr>
          <w:p w14:paraId="4376842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shd w:val="clear" w:color="auto" w:fill="auto"/>
            <w:noWrap/>
            <w:tcMar>
              <w:top w:w="15" w:type="dxa"/>
              <w:left w:w="15" w:type="dxa"/>
              <w:bottom w:w="0" w:type="dxa"/>
              <w:right w:w="15" w:type="dxa"/>
            </w:tcMar>
            <w:vAlign w:val="bottom"/>
            <w:hideMark/>
          </w:tcPr>
          <w:p w14:paraId="34B98E1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40.41%</w:t>
            </w:r>
          </w:p>
        </w:tc>
        <w:tc>
          <w:tcPr>
            <w:tcW w:w="0" w:type="auto"/>
            <w:shd w:val="clear" w:color="auto" w:fill="auto"/>
            <w:noWrap/>
            <w:tcMar>
              <w:top w:w="15" w:type="dxa"/>
              <w:left w:w="15" w:type="dxa"/>
              <w:bottom w:w="0" w:type="dxa"/>
              <w:right w:w="15" w:type="dxa"/>
            </w:tcMar>
            <w:vAlign w:val="bottom"/>
            <w:hideMark/>
          </w:tcPr>
          <w:p w14:paraId="4D8BBBE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shd w:val="clear" w:color="auto" w:fill="auto"/>
            <w:noWrap/>
            <w:tcMar>
              <w:top w:w="15" w:type="dxa"/>
              <w:left w:w="15" w:type="dxa"/>
              <w:bottom w:w="0" w:type="dxa"/>
              <w:right w:w="15" w:type="dxa"/>
            </w:tcMar>
            <w:vAlign w:val="bottom"/>
            <w:hideMark/>
          </w:tcPr>
          <w:p w14:paraId="04B365D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COL</w:t>
            </w:r>
          </w:p>
        </w:tc>
        <w:tc>
          <w:tcPr>
            <w:tcW w:w="0" w:type="auto"/>
            <w:shd w:val="clear" w:color="auto" w:fill="auto"/>
            <w:noWrap/>
            <w:tcMar>
              <w:top w:w="15" w:type="dxa"/>
              <w:left w:w="15" w:type="dxa"/>
              <w:bottom w:w="0" w:type="dxa"/>
              <w:right w:w="15" w:type="dxa"/>
            </w:tcMar>
            <w:vAlign w:val="bottom"/>
            <w:hideMark/>
          </w:tcPr>
          <w:p w14:paraId="71564D9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r>
      <w:tr w:rsidR="006F4180" w:rsidRPr="006F4180" w14:paraId="7992DAD6"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7AB2861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3</w:t>
            </w:r>
          </w:p>
        </w:tc>
        <w:tc>
          <w:tcPr>
            <w:tcW w:w="0" w:type="auto"/>
            <w:shd w:val="clear" w:color="auto" w:fill="auto"/>
            <w:noWrap/>
            <w:tcMar>
              <w:top w:w="15" w:type="dxa"/>
              <w:left w:w="15" w:type="dxa"/>
              <w:bottom w:w="0" w:type="dxa"/>
              <w:right w:w="15" w:type="dxa"/>
            </w:tcMar>
            <w:vAlign w:val="bottom"/>
            <w:hideMark/>
          </w:tcPr>
          <w:p w14:paraId="2DCF7CC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shd w:val="clear" w:color="auto" w:fill="auto"/>
            <w:noWrap/>
            <w:tcMar>
              <w:top w:w="15" w:type="dxa"/>
              <w:left w:w="15" w:type="dxa"/>
              <w:bottom w:w="0" w:type="dxa"/>
              <w:right w:w="15" w:type="dxa"/>
            </w:tcMar>
            <w:vAlign w:val="bottom"/>
            <w:hideMark/>
          </w:tcPr>
          <w:p w14:paraId="0BF3609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29.93%</w:t>
            </w:r>
          </w:p>
        </w:tc>
        <w:tc>
          <w:tcPr>
            <w:tcW w:w="0" w:type="auto"/>
            <w:shd w:val="clear" w:color="auto" w:fill="auto"/>
            <w:noWrap/>
            <w:tcMar>
              <w:top w:w="15" w:type="dxa"/>
              <w:left w:w="15" w:type="dxa"/>
              <w:bottom w:w="0" w:type="dxa"/>
              <w:right w:w="15" w:type="dxa"/>
            </w:tcMar>
            <w:vAlign w:val="bottom"/>
            <w:hideMark/>
          </w:tcPr>
          <w:p w14:paraId="12CC9F4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4F0813C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03EBAC1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033585F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3</w:t>
            </w:r>
          </w:p>
        </w:tc>
        <w:tc>
          <w:tcPr>
            <w:tcW w:w="0" w:type="auto"/>
            <w:shd w:val="clear" w:color="auto" w:fill="auto"/>
            <w:noWrap/>
            <w:tcMar>
              <w:top w:w="15" w:type="dxa"/>
              <w:left w:w="15" w:type="dxa"/>
              <w:bottom w:w="0" w:type="dxa"/>
              <w:right w:w="15" w:type="dxa"/>
            </w:tcMar>
            <w:vAlign w:val="bottom"/>
            <w:hideMark/>
          </w:tcPr>
          <w:p w14:paraId="3760EA2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1C03FEC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38.47%</w:t>
            </w:r>
          </w:p>
        </w:tc>
        <w:tc>
          <w:tcPr>
            <w:tcW w:w="0" w:type="auto"/>
            <w:shd w:val="clear" w:color="auto" w:fill="auto"/>
            <w:noWrap/>
            <w:tcMar>
              <w:top w:w="15" w:type="dxa"/>
              <w:left w:w="15" w:type="dxa"/>
              <w:bottom w:w="0" w:type="dxa"/>
              <w:right w:w="15" w:type="dxa"/>
            </w:tcMar>
            <w:vAlign w:val="bottom"/>
            <w:hideMark/>
          </w:tcPr>
          <w:p w14:paraId="6052585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shd w:val="clear" w:color="auto" w:fill="auto"/>
            <w:noWrap/>
            <w:tcMar>
              <w:top w:w="15" w:type="dxa"/>
              <w:left w:w="15" w:type="dxa"/>
              <w:bottom w:w="0" w:type="dxa"/>
              <w:right w:w="15" w:type="dxa"/>
            </w:tcMar>
            <w:vAlign w:val="bottom"/>
            <w:hideMark/>
          </w:tcPr>
          <w:p w14:paraId="5213A39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5678F66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r>
      <w:tr w:rsidR="006F4180" w:rsidRPr="006F4180" w14:paraId="5098DFBF"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11E22DC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w:t>
            </w:r>
          </w:p>
        </w:tc>
        <w:tc>
          <w:tcPr>
            <w:tcW w:w="0" w:type="auto"/>
            <w:shd w:val="clear" w:color="auto" w:fill="auto"/>
            <w:noWrap/>
            <w:tcMar>
              <w:top w:w="15" w:type="dxa"/>
              <w:left w:w="15" w:type="dxa"/>
              <w:bottom w:w="0" w:type="dxa"/>
              <w:right w:w="15" w:type="dxa"/>
            </w:tcMar>
            <w:vAlign w:val="bottom"/>
            <w:hideMark/>
          </w:tcPr>
          <w:p w14:paraId="2D0292F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POL</w:t>
            </w:r>
          </w:p>
        </w:tc>
        <w:tc>
          <w:tcPr>
            <w:tcW w:w="0" w:type="auto"/>
            <w:shd w:val="clear" w:color="auto" w:fill="auto"/>
            <w:noWrap/>
            <w:tcMar>
              <w:top w:w="15" w:type="dxa"/>
              <w:left w:w="15" w:type="dxa"/>
              <w:bottom w:w="0" w:type="dxa"/>
              <w:right w:w="15" w:type="dxa"/>
            </w:tcMar>
            <w:vAlign w:val="bottom"/>
            <w:hideMark/>
          </w:tcPr>
          <w:p w14:paraId="56CC001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19.57%</w:t>
            </w:r>
          </w:p>
        </w:tc>
        <w:tc>
          <w:tcPr>
            <w:tcW w:w="0" w:type="auto"/>
            <w:shd w:val="clear" w:color="auto" w:fill="auto"/>
            <w:noWrap/>
            <w:tcMar>
              <w:top w:w="15" w:type="dxa"/>
              <w:left w:w="15" w:type="dxa"/>
              <w:bottom w:w="0" w:type="dxa"/>
              <w:right w:w="15" w:type="dxa"/>
            </w:tcMar>
            <w:vAlign w:val="bottom"/>
            <w:hideMark/>
          </w:tcPr>
          <w:p w14:paraId="6B2D4D3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43F7704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069A0F1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MAL</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5F42601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w:t>
            </w:r>
          </w:p>
        </w:tc>
        <w:tc>
          <w:tcPr>
            <w:tcW w:w="0" w:type="auto"/>
            <w:shd w:val="clear" w:color="auto" w:fill="auto"/>
            <w:noWrap/>
            <w:tcMar>
              <w:top w:w="15" w:type="dxa"/>
              <w:left w:w="15" w:type="dxa"/>
              <w:bottom w:w="0" w:type="dxa"/>
              <w:right w:w="15" w:type="dxa"/>
            </w:tcMar>
            <w:vAlign w:val="bottom"/>
            <w:hideMark/>
          </w:tcPr>
          <w:p w14:paraId="106C3D2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2373A86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35.64%</w:t>
            </w:r>
          </w:p>
        </w:tc>
        <w:tc>
          <w:tcPr>
            <w:tcW w:w="0" w:type="auto"/>
            <w:shd w:val="clear" w:color="auto" w:fill="auto"/>
            <w:noWrap/>
            <w:tcMar>
              <w:top w:w="15" w:type="dxa"/>
              <w:left w:w="15" w:type="dxa"/>
              <w:bottom w:w="0" w:type="dxa"/>
              <w:right w:w="15" w:type="dxa"/>
            </w:tcMar>
            <w:vAlign w:val="bottom"/>
            <w:hideMark/>
          </w:tcPr>
          <w:p w14:paraId="270FAAE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TAI</w:t>
            </w:r>
          </w:p>
        </w:tc>
        <w:tc>
          <w:tcPr>
            <w:tcW w:w="0" w:type="auto"/>
            <w:shd w:val="clear" w:color="auto" w:fill="auto"/>
            <w:noWrap/>
            <w:tcMar>
              <w:top w:w="15" w:type="dxa"/>
              <w:left w:w="15" w:type="dxa"/>
              <w:bottom w:w="0" w:type="dxa"/>
              <w:right w:w="15" w:type="dxa"/>
            </w:tcMar>
            <w:vAlign w:val="bottom"/>
            <w:hideMark/>
          </w:tcPr>
          <w:p w14:paraId="1F1CC1C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2D41CE6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COL</w:t>
            </w:r>
          </w:p>
        </w:tc>
      </w:tr>
      <w:tr w:rsidR="006F4180" w:rsidRPr="006F4180" w14:paraId="35005F22"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13CC8C6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5</w:t>
            </w:r>
          </w:p>
        </w:tc>
        <w:tc>
          <w:tcPr>
            <w:tcW w:w="0" w:type="auto"/>
            <w:shd w:val="clear" w:color="auto" w:fill="auto"/>
            <w:noWrap/>
            <w:tcMar>
              <w:top w:w="15" w:type="dxa"/>
              <w:left w:w="15" w:type="dxa"/>
              <w:bottom w:w="0" w:type="dxa"/>
              <w:right w:w="15" w:type="dxa"/>
            </w:tcMar>
            <w:vAlign w:val="bottom"/>
            <w:hideMark/>
          </w:tcPr>
          <w:p w14:paraId="293372C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35C840C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19.39%</w:t>
            </w:r>
          </w:p>
        </w:tc>
        <w:tc>
          <w:tcPr>
            <w:tcW w:w="0" w:type="auto"/>
            <w:shd w:val="clear" w:color="auto" w:fill="auto"/>
            <w:noWrap/>
            <w:tcMar>
              <w:top w:w="15" w:type="dxa"/>
              <w:left w:w="15" w:type="dxa"/>
              <w:bottom w:w="0" w:type="dxa"/>
              <w:right w:w="15" w:type="dxa"/>
            </w:tcMar>
            <w:vAlign w:val="bottom"/>
            <w:hideMark/>
          </w:tcPr>
          <w:p w14:paraId="5E6AA48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shd w:val="clear" w:color="auto" w:fill="auto"/>
            <w:noWrap/>
            <w:tcMar>
              <w:top w:w="15" w:type="dxa"/>
              <w:left w:w="15" w:type="dxa"/>
              <w:bottom w:w="0" w:type="dxa"/>
              <w:right w:w="15" w:type="dxa"/>
            </w:tcMar>
            <w:vAlign w:val="bottom"/>
            <w:hideMark/>
          </w:tcPr>
          <w:p w14:paraId="3C36C7C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1C9A027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5B5E6B4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5</w:t>
            </w:r>
          </w:p>
        </w:tc>
        <w:tc>
          <w:tcPr>
            <w:tcW w:w="0" w:type="auto"/>
            <w:shd w:val="clear" w:color="auto" w:fill="auto"/>
            <w:noWrap/>
            <w:tcMar>
              <w:top w:w="15" w:type="dxa"/>
              <w:left w:w="15" w:type="dxa"/>
              <w:bottom w:w="0" w:type="dxa"/>
              <w:right w:w="15" w:type="dxa"/>
            </w:tcMar>
            <w:vAlign w:val="bottom"/>
            <w:hideMark/>
          </w:tcPr>
          <w:p w14:paraId="50462B8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w:t>
            </w:r>
          </w:p>
        </w:tc>
        <w:tc>
          <w:tcPr>
            <w:tcW w:w="0" w:type="auto"/>
            <w:shd w:val="clear" w:color="auto" w:fill="auto"/>
            <w:noWrap/>
            <w:tcMar>
              <w:top w:w="15" w:type="dxa"/>
              <w:left w:w="15" w:type="dxa"/>
              <w:bottom w:w="0" w:type="dxa"/>
              <w:right w:w="15" w:type="dxa"/>
            </w:tcMar>
            <w:vAlign w:val="bottom"/>
            <w:hideMark/>
          </w:tcPr>
          <w:p w14:paraId="2F01B93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22.18%</w:t>
            </w:r>
          </w:p>
        </w:tc>
        <w:tc>
          <w:tcPr>
            <w:tcW w:w="0" w:type="auto"/>
            <w:shd w:val="clear" w:color="auto" w:fill="auto"/>
            <w:noWrap/>
            <w:tcMar>
              <w:top w:w="15" w:type="dxa"/>
              <w:left w:w="15" w:type="dxa"/>
              <w:bottom w:w="0" w:type="dxa"/>
              <w:right w:w="15" w:type="dxa"/>
            </w:tcMar>
            <w:vAlign w:val="bottom"/>
            <w:hideMark/>
          </w:tcPr>
          <w:p w14:paraId="702BF3A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613065F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18C4125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r>
      <w:tr w:rsidR="006F4180" w:rsidRPr="006F4180" w14:paraId="17505C53"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6A4E78C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6</w:t>
            </w:r>
          </w:p>
        </w:tc>
        <w:tc>
          <w:tcPr>
            <w:tcW w:w="0" w:type="auto"/>
            <w:shd w:val="clear" w:color="auto" w:fill="auto"/>
            <w:noWrap/>
            <w:tcMar>
              <w:top w:w="15" w:type="dxa"/>
              <w:left w:w="15" w:type="dxa"/>
              <w:bottom w:w="0" w:type="dxa"/>
              <w:right w:w="15" w:type="dxa"/>
            </w:tcMar>
            <w:vAlign w:val="bottom"/>
            <w:hideMark/>
          </w:tcPr>
          <w:p w14:paraId="5F7CA44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shd w:val="clear" w:color="auto" w:fill="auto"/>
            <w:noWrap/>
            <w:tcMar>
              <w:top w:w="15" w:type="dxa"/>
              <w:left w:w="15" w:type="dxa"/>
              <w:bottom w:w="0" w:type="dxa"/>
              <w:right w:w="15" w:type="dxa"/>
            </w:tcMar>
            <w:vAlign w:val="bottom"/>
            <w:hideMark/>
          </w:tcPr>
          <w:p w14:paraId="4BB6981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18.41%</w:t>
            </w:r>
          </w:p>
        </w:tc>
        <w:tc>
          <w:tcPr>
            <w:tcW w:w="0" w:type="auto"/>
            <w:shd w:val="clear" w:color="auto" w:fill="auto"/>
            <w:noWrap/>
            <w:tcMar>
              <w:top w:w="15" w:type="dxa"/>
              <w:left w:w="15" w:type="dxa"/>
              <w:bottom w:w="0" w:type="dxa"/>
              <w:right w:w="15" w:type="dxa"/>
            </w:tcMar>
            <w:vAlign w:val="bottom"/>
            <w:hideMark/>
          </w:tcPr>
          <w:p w14:paraId="36F5D74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shd w:val="clear" w:color="auto" w:fill="auto"/>
            <w:noWrap/>
            <w:tcMar>
              <w:top w:w="15" w:type="dxa"/>
              <w:left w:w="15" w:type="dxa"/>
              <w:bottom w:w="0" w:type="dxa"/>
              <w:right w:w="15" w:type="dxa"/>
            </w:tcMar>
            <w:vAlign w:val="bottom"/>
            <w:hideMark/>
          </w:tcPr>
          <w:p w14:paraId="1051146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POL</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1188FAE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4F0D517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6</w:t>
            </w:r>
          </w:p>
        </w:tc>
        <w:tc>
          <w:tcPr>
            <w:tcW w:w="0" w:type="auto"/>
            <w:shd w:val="clear" w:color="auto" w:fill="auto"/>
            <w:noWrap/>
            <w:tcMar>
              <w:top w:w="15" w:type="dxa"/>
              <w:left w:w="15" w:type="dxa"/>
              <w:bottom w:w="0" w:type="dxa"/>
              <w:right w:w="15" w:type="dxa"/>
            </w:tcMar>
            <w:vAlign w:val="bottom"/>
            <w:hideMark/>
          </w:tcPr>
          <w:p w14:paraId="4CFA55B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shd w:val="clear" w:color="auto" w:fill="auto"/>
            <w:noWrap/>
            <w:tcMar>
              <w:top w:w="15" w:type="dxa"/>
              <w:left w:w="15" w:type="dxa"/>
              <w:bottom w:w="0" w:type="dxa"/>
              <w:right w:w="15" w:type="dxa"/>
            </w:tcMar>
            <w:vAlign w:val="bottom"/>
            <w:hideMark/>
          </w:tcPr>
          <w:p w14:paraId="3AB7E68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15.95%</w:t>
            </w:r>
          </w:p>
        </w:tc>
        <w:tc>
          <w:tcPr>
            <w:tcW w:w="0" w:type="auto"/>
            <w:shd w:val="clear" w:color="auto" w:fill="auto"/>
            <w:noWrap/>
            <w:tcMar>
              <w:top w:w="15" w:type="dxa"/>
              <w:left w:w="15" w:type="dxa"/>
              <w:bottom w:w="0" w:type="dxa"/>
              <w:right w:w="15" w:type="dxa"/>
            </w:tcMar>
            <w:vAlign w:val="bottom"/>
            <w:hideMark/>
          </w:tcPr>
          <w:p w14:paraId="3C13FC6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shd w:val="clear" w:color="auto" w:fill="auto"/>
            <w:noWrap/>
            <w:tcMar>
              <w:top w:w="15" w:type="dxa"/>
              <w:left w:w="15" w:type="dxa"/>
              <w:bottom w:w="0" w:type="dxa"/>
              <w:right w:w="15" w:type="dxa"/>
            </w:tcMar>
            <w:vAlign w:val="bottom"/>
            <w:hideMark/>
          </w:tcPr>
          <w:p w14:paraId="65C78F3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33CE95A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r>
      <w:tr w:rsidR="006F4180" w:rsidRPr="006F4180" w14:paraId="013284F2"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00F28D2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7</w:t>
            </w:r>
          </w:p>
        </w:tc>
        <w:tc>
          <w:tcPr>
            <w:tcW w:w="0" w:type="auto"/>
            <w:shd w:val="clear" w:color="auto" w:fill="auto"/>
            <w:noWrap/>
            <w:tcMar>
              <w:top w:w="15" w:type="dxa"/>
              <w:left w:w="15" w:type="dxa"/>
              <w:bottom w:w="0" w:type="dxa"/>
              <w:right w:w="15" w:type="dxa"/>
            </w:tcMar>
            <w:vAlign w:val="bottom"/>
            <w:hideMark/>
          </w:tcPr>
          <w:p w14:paraId="741E096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PHI</w:t>
            </w:r>
          </w:p>
        </w:tc>
        <w:tc>
          <w:tcPr>
            <w:tcW w:w="0" w:type="auto"/>
            <w:shd w:val="clear" w:color="auto" w:fill="auto"/>
            <w:noWrap/>
            <w:tcMar>
              <w:top w:w="15" w:type="dxa"/>
              <w:left w:w="15" w:type="dxa"/>
              <w:bottom w:w="0" w:type="dxa"/>
              <w:right w:w="15" w:type="dxa"/>
            </w:tcMar>
            <w:vAlign w:val="bottom"/>
            <w:hideMark/>
          </w:tcPr>
          <w:p w14:paraId="3F5C88E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16.00%</w:t>
            </w:r>
          </w:p>
        </w:tc>
        <w:tc>
          <w:tcPr>
            <w:tcW w:w="0" w:type="auto"/>
            <w:shd w:val="clear" w:color="auto" w:fill="auto"/>
            <w:noWrap/>
            <w:tcMar>
              <w:top w:w="15" w:type="dxa"/>
              <w:left w:w="15" w:type="dxa"/>
              <w:bottom w:w="0" w:type="dxa"/>
              <w:right w:w="15" w:type="dxa"/>
            </w:tcMar>
            <w:vAlign w:val="bottom"/>
            <w:hideMark/>
          </w:tcPr>
          <w:p w14:paraId="5BFC869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shd w:val="clear" w:color="auto" w:fill="auto"/>
            <w:noWrap/>
            <w:tcMar>
              <w:top w:w="15" w:type="dxa"/>
              <w:left w:w="15" w:type="dxa"/>
              <w:bottom w:w="0" w:type="dxa"/>
              <w:right w:w="15" w:type="dxa"/>
            </w:tcMar>
            <w:vAlign w:val="bottom"/>
            <w:hideMark/>
          </w:tcPr>
          <w:p w14:paraId="01C4410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61003C4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6116591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7</w:t>
            </w:r>
          </w:p>
        </w:tc>
        <w:tc>
          <w:tcPr>
            <w:tcW w:w="0" w:type="auto"/>
            <w:shd w:val="clear" w:color="auto" w:fill="auto"/>
            <w:noWrap/>
            <w:tcMar>
              <w:top w:w="15" w:type="dxa"/>
              <w:left w:w="15" w:type="dxa"/>
              <w:bottom w:w="0" w:type="dxa"/>
              <w:right w:w="15" w:type="dxa"/>
            </w:tcMar>
            <w:vAlign w:val="bottom"/>
            <w:hideMark/>
          </w:tcPr>
          <w:p w14:paraId="3164FFF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shd w:val="clear" w:color="auto" w:fill="auto"/>
            <w:noWrap/>
            <w:tcMar>
              <w:top w:w="15" w:type="dxa"/>
              <w:left w:w="15" w:type="dxa"/>
              <w:bottom w:w="0" w:type="dxa"/>
              <w:right w:w="15" w:type="dxa"/>
            </w:tcMar>
            <w:vAlign w:val="bottom"/>
            <w:hideMark/>
          </w:tcPr>
          <w:p w14:paraId="0ABD093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13.16%</w:t>
            </w:r>
          </w:p>
        </w:tc>
        <w:tc>
          <w:tcPr>
            <w:tcW w:w="0" w:type="auto"/>
            <w:shd w:val="clear" w:color="auto" w:fill="auto"/>
            <w:noWrap/>
            <w:tcMar>
              <w:top w:w="15" w:type="dxa"/>
              <w:left w:w="15" w:type="dxa"/>
              <w:bottom w:w="0" w:type="dxa"/>
              <w:right w:w="15" w:type="dxa"/>
            </w:tcMar>
            <w:vAlign w:val="bottom"/>
            <w:hideMark/>
          </w:tcPr>
          <w:p w14:paraId="111846D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shd w:val="clear" w:color="auto" w:fill="auto"/>
            <w:noWrap/>
            <w:tcMar>
              <w:top w:w="15" w:type="dxa"/>
              <w:left w:w="15" w:type="dxa"/>
              <w:bottom w:w="0" w:type="dxa"/>
              <w:right w:w="15" w:type="dxa"/>
            </w:tcMar>
            <w:vAlign w:val="bottom"/>
            <w:hideMark/>
          </w:tcPr>
          <w:p w14:paraId="6B61C21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PHI</w:t>
            </w:r>
          </w:p>
        </w:tc>
        <w:tc>
          <w:tcPr>
            <w:tcW w:w="0" w:type="auto"/>
            <w:shd w:val="clear" w:color="auto" w:fill="auto"/>
            <w:noWrap/>
            <w:tcMar>
              <w:top w:w="15" w:type="dxa"/>
              <w:left w:w="15" w:type="dxa"/>
              <w:bottom w:w="0" w:type="dxa"/>
              <w:right w:w="15" w:type="dxa"/>
            </w:tcMar>
            <w:vAlign w:val="bottom"/>
            <w:hideMark/>
          </w:tcPr>
          <w:p w14:paraId="205F404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r>
      <w:tr w:rsidR="006F4180" w:rsidRPr="006F4180" w14:paraId="34727A81"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0A22E98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w:t>
            </w:r>
          </w:p>
        </w:tc>
        <w:tc>
          <w:tcPr>
            <w:tcW w:w="0" w:type="auto"/>
            <w:shd w:val="clear" w:color="auto" w:fill="auto"/>
            <w:noWrap/>
            <w:tcMar>
              <w:top w:w="15" w:type="dxa"/>
              <w:left w:w="15" w:type="dxa"/>
              <w:bottom w:w="0" w:type="dxa"/>
              <w:right w:w="15" w:type="dxa"/>
            </w:tcMar>
            <w:vAlign w:val="bottom"/>
            <w:hideMark/>
          </w:tcPr>
          <w:p w14:paraId="7865503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shd w:val="clear" w:color="auto" w:fill="auto"/>
            <w:noWrap/>
            <w:tcMar>
              <w:top w:w="15" w:type="dxa"/>
              <w:left w:w="15" w:type="dxa"/>
              <w:bottom w:w="0" w:type="dxa"/>
              <w:right w:w="15" w:type="dxa"/>
            </w:tcMar>
            <w:vAlign w:val="bottom"/>
            <w:hideMark/>
          </w:tcPr>
          <w:p w14:paraId="61C3E69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13.52%</w:t>
            </w:r>
          </w:p>
        </w:tc>
        <w:tc>
          <w:tcPr>
            <w:tcW w:w="0" w:type="auto"/>
            <w:shd w:val="clear" w:color="auto" w:fill="auto"/>
            <w:noWrap/>
            <w:tcMar>
              <w:top w:w="15" w:type="dxa"/>
              <w:left w:w="15" w:type="dxa"/>
              <w:bottom w:w="0" w:type="dxa"/>
              <w:right w:w="15" w:type="dxa"/>
            </w:tcMar>
            <w:vAlign w:val="bottom"/>
            <w:hideMark/>
          </w:tcPr>
          <w:p w14:paraId="33735BA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6B909D4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25EE13F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3981CC7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w:t>
            </w:r>
          </w:p>
        </w:tc>
        <w:tc>
          <w:tcPr>
            <w:tcW w:w="0" w:type="auto"/>
            <w:shd w:val="clear" w:color="auto" w:fill="auto"/>
            <w:noWrap/>
            <w:tcMar>
              <w:top w:w="15" w:type="dxa"/>
              <w:left w:w="15" w:type="dxa"/>
              <w:bottom w:w="0" w:type="dxa"/>
              <w:right w:w="15" w:type="dxa"/>
            </w:tcMar>
            <w:vAlign w:val="bottom"/>
            <w:hideMark/>
          </w:tcPr>
          <w:p w14:paraId="438DDF3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PHI</w:t>
            </w:r>
          </w:p>
        </w:tc>
        <w:tc>
          <w:tcPr>
            <w:tcW w:w="0" w:type="auto"/>
            <w:shd w:val="clear" w:color="auto" w:fill="auto"/>
            <w:noWrap/>
            <w:tcMar>
              <w:top w:w="15" w:type="dxa"/>
              <w:left w:w="15" w:type="dxa"/>
              <w:bottom w:w="0" w:type="dxa"/>
              <w:right w:w="15" w:type="dxa"/>
            </w:tcMar>
            <w:vAlign w:val="bottom"/>
            <w:hideMark/>
          </w:tcPr>
          <w:p w14:paraId="34B9806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12.50%</w:t>
            </w:r>
          </w:p>
        </w:tc>
        <w:tc>
          <w:tcPr>
            <w:tcW w:w="0" w:type="auto"/>
            <w:shd w:val="clear" w:color="auto" w:fill="auto"/>
            <w:noWrap/>
            <w:tcMar>
              <w:top w:w="15" w:type="dxa"/>
              <w:left w:w="15" w:type="dxa"/>
              <w:bottom w:w="0" w:type="dxa"/>
              <w:right w:w="15" w:type="dxa"/>
            </w:tcMar>
            <w:vAlign w:val="bottom"/>
            <w:hideMark/>
          </w:tcPr>
          <w:p w14:paraId="4B808C9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1D9E898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shd w:val="clear" w:color="auto" w:fill="auto"/>
            <w:noWrap/>
            <w:tcMar>
              <w:top w:w="15" w:type="dxa"/>
              <w:left w:w="15" w:type="dxa"/>
              <w:bottom w:w="0" w:type="dxa"/>
              <w:right w:w="15" w:type="dxa"/>
            </w:tcMar>
            <w:vAlign w:val="bottom"/>
            <w:hideMark/>
          </w:tcPr>
          <w:p w14:paraId="660DA4A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r>
      <w:tr w:rsidR="006F4180" w:rsidRPr="006F4180" w14:paraId="7511E28C"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26D2668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9</w:t>
            </w:r>
          </w:p>
        </w:tc>
        <w:tc>
          <w:tcPr>
            <w:tcW w:w="0" w:type="auto"/>
            <w:shd w:val="clear" w:color="auto" w:fill="auto"/>
            <w:noWrap/>
            <w:tcMar>
              <w:top w:w="15" w:type="dxa"/>
              <w:left w:w="15" w:type="dxa"/>
              <w:bottom w:w="0" w:type="dxa"/>
              <w:right w:w="15" w:type="dxa"/>
            </w:tcMar>
            <w:vAlign w:val="bottom"/>
            <w:hideMark/>
          </w:tcPr>
          <w:p w14:paraId="70B5183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COL</w:t>
            </w:r>
          </w:p>
        </w:tc>
        <w:tc>
          <w:tcPr>
            <w:tcW w:w="0" w:type="auto"/>
            <w:shd w:val="clear" w:color="auto" w:fill="auto"/>
            <w:noWrap/>
            <w:tcMar>
              <w:top w:w="15" w:type="dxa"/>
              <w:left w:w="15" w:type="dxa"/>
              <w:bottom w:w="0" w:type="dxa"/>
              <w:right w:w="15" w:type="dxa"/>
            </w:tcMar>
            <w:vAlign w:val="bottom"/>
            <w:hideMark/>
          </w:tcPr>
          <w:p w14:paraId="6E6E225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12.01%</w:t>
            </w:r>
          </w:p>
        </w:tc>
        <w:tc>
          <w:tcPr>
            <w:tcW w:w="0" w:type="auto"/>
            <w:shd w:val="clear" w:color="auto" w:fill="auto"/>
            <w:noWrap/>
            <w:tcMar>
              <w:top w:w="15" w:type="dxa"/>
              <w:left w:w="15" w:type="dxa"/>
              <w:bottom w:w="0" w:type="dxa"/>
              <w:right w:w="15" w:type="dxa"/>
            </w:tcMar>
            <w:vAlign w:val="bottom"/>
            <w:hideMark/>
          </w:tcPr>
          <w:p w14:paraId="1229085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shd w:val="clear" w:color="auto" w:fill="auto"/>
            <w:noWrap/>
            <w:tcMar>
              <w:top w:w="15" w:type="dxa"/>
              <w:left w:w="15" w:type="dxa"/>
              <w:bottom w:w="0" w:type="dxa"/>
              <w:right w:w="15" w:type="dxa"/>
            </w:tcMar>
            <w:vAlign w:val="bottom"/>
            <w:hideMark/>
          </w:tcPr>
          <w:p w14:paraId="4B3231F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5FB2F52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6F744DC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9</w:t>
            </w:r>
          </w:p>
        </w:tc>
        <w:tc>
          <w:tcPr>
            <w:tcW w:w="0" w:type="auto"/>
            <w:shd w:val="clear" w:color="auto" w:fill="auto"/>
            <w:noWrap/>
            <w:tcMar>
              <w:top w:w="15" w:type="dxa"/>
              <w:left w:w="15" w:type="dxa"/>
              <w:bottom w:w="0" w:type="dxa"/>
              <w:right w:w="15" w:type="dxa"/>
            </w:tcMar>
            <w:vAlign w:val="bottom"/>
            <w:hideMark/>
          </w:tcPr>
          <w:p w14:paraId="5BD9DA3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4F95258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11.89%</w:t>
            </w:r>
          </w:p>
        </w:tc>
        <w:tc>
          <w:tcPr>
            <w:tcW w:w="0" w:type="auto"/>
            <w:shd w:val="clear" w:color="auto" w:fill="auto"/>
            <w:noWrap/>
            <w:tcMar>
              <w:top w:w="15" w:type="dxa"/>
              <w:left w:w="15" w:type="dxa"/>
              <w:bottom w:w="0" w:type="dxa"/>
              <w:right w:w="15" w:type="dxa"/>
            </w:tcMar>
            <w:vAlign w:val="bottom"/>
            <w:hideMark/>
          </w:tcPr>
          <w:p w14:paraId="27CE8D8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POL</w:t>
            </w:r>
          </w:p>
        </w:tc>
        <w:tc>
          <w:tcPr>
            <w:tcW w:w="0" w:type="auto"/>
            <w:shd w:val="clear" w:color="auto" w:fill="auto"/>
            <w:noWrap/>
            <w:tcMar>
              <w:top w:w="15" w:type="dxa"/>
              <w:left w:w="15" w:type="dxa"/>
              <w:bottom w:w="0" w:type="dxa"/>
              <w:right w:w="15" w:type="dxa"/>
            </w:tcMar>
            <w:vAlign w:val="bottom"/>
            <w:hideMark/>
          </w:tcPr>
          <w:p w14:paraId="3A1959A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shd w:val="clear" w:color="auto" w:fill="auto"/>
            <w:noWrap/>
            <w:tcMar>
              <w:top w:w="15" w:type="dxa"/>
              <w:left w:w="15" w:type="dxa"/>
              <w:bottom w:w="0" w:type="dxa"/>
              <w:right w:w="15" w:type="dxa"/>
            </w:tcMar>
            <w:vAlign w:val="bottom"/>
            <w:hideMark/>
          </w:tcPr>
          <w:p w14:paraId="79921A8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MEX</w:t>
            </w:r>
          </w:p>
        </w:tc>
      </w:tr>
      <w:tr w:rsidR="006F4180" w:rsidRPr="006F4180" w14:paraId="0D21DFC0"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4A2D05C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10</w:t>
            </w:r>
          </w:p>
        </w:tc>
        <w:tc>
          <w:tcPr>
            <w:tcW w:w="0" w:type="auto"/>
            <w:shd w:val="clear" w:color="auto" w:fill="auto"/>
            <w:noWrap/>
            <w:tcMar>
              <w:top w:w="15" w:type="dxa"/>
              <w:left w:w="15" w:type="dxa"/>
              <w:bottom w:w="0" w:type="dxa"/>
              <w:right w:w="15" w:type="dxa"/>
            </w:tcMar>
            <w:vAlign w:val="bottom"/>
            <w:hideMark/>
          </w:tcPr>
          <w:p w14:paraId="3C4372F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029D649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11.28%</w:t>
            </w:r>
          </w:p>
        </w:tc>
        <w:tc>
          <w:tcPr>
            <w:tcW w:w="0" w:type="auto"/>
            <w:shd w:val="clear" w:color="auto" w:fill="auto"/>
            <w:noWrap/>
            <w:tcMar>
              <w:top w:w="15" w:type="dxa"/>
              <w:left w:w="15" w:type="dxa"/>
              <w:bottom w:w="0" w:type="dxa"/>
              <w:right w:w="15" w:type="dxa"/>
            </w:tcMar>
            <w:vAlign w:val="bottom"/>
            <w:hideMark/>
          </w:tcPr>
          <w:p w14:paraId="6B29A57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37BCA1B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5A93D25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73F9925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10</w:t>
            </w:r>
          </w:p>
        </w:tc>
        <w:tc>
          <w:tcPr>
            <w:tcW w:w="0" w:type="auto"/>
            <w:shd w:val="clear" w:color="auto" w:fill="auto"/>
            <w:noWrap/>
            <w:tcMar>
              <w:top w:w="15" w:type="dxa"/>
              <w:left w:w="15" w:type="dxa"/>
              <w:bottom w:w="0" w:type="dxa"/>
              <w:right w:w="15" w:type="dxa"/>
            </w:tcMar>
            <w:vAlign w:val="bottom"/>
            <w:hideMark/>
          </w:tcPr>
          <w:p w14:paraId="487131E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shd w:val="clear" w:color="auto" w:fill="auto"/>
            <w:noWrap/>
            <w:tcMar>
              <w:top w:w="15" w:type="dxa"/>
              <w:left w:w="15" w:type="dxa"/>
              <w:bottom w:w="0" w:type="dxa"/>
              <w:right w:w="15" w:type="dxa"/>
            </w:tcMar>
            <w:vAlign w:val="bottom"/>
            <w:hideMark/>
          </w:tcPr>
          <w:p w14:paraId="3993902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8.39%</w:t>
            </w:r>
          </w:p>
        </w:tc>
        <w:tc>
          <w:tcPr>
            <w:tcW w:w="0" w:type="auto"/>
            <w:shd w:val="clear" w:color="auto" w:fill="auto"/>
            <w:noWrap/>
            <w:tcMar>
              <w:top w:w="15" w:type="dxa"/>
              <w:left w:w="15" w:type="dxa"/>
              <w:bottom w:w="0" w:type="dxa"/>
              <w:right w:w="15" w:type="dxa"/>
            </w:tcMar>
            <w:vAlign w:val="bottom"/>
            <w:hideMark/>
          </w:tcPr>
          <w:p w14:paraId="6D0F0FD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75DEE6B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03451AC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r>
      <w:tr w:rsidR="006F4180" w:rsidRPr="006F4180" w14:paraId="06EAAA76"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679181D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11</w:t>
            </w:r>
          </w:p>
        </w:tc>
        <w:tc>
          <w:tcPr>
            <w:tcW w:w="0" w:type="auto"/>
            <w:shd w:val="clear" w:color="auto" w:fill="auto"/>
            <w:noWrap/>
            <w:tcMar>
              <w:top w:w="15" w:type="dxa"/>
              <w:left w:w="15" w:type="dxa"/>
              <w:bottom w:w="0" w:type="dxa"/>
              <w:right w:w="15" w:type="dxa"/>
            </w:tcMar>
            <w:vAlign w:val="bottom"/>
            <w:hideMark/>
          </w:tcPr>
          <w:p w14:paraId="542F3C0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shd w:val="clear" w:color="auto" w:fill="auto"/>
            <w:noWrap/>
            <w:tcMar>
              <w:top w:w="15" w:type="dxa"/>
              <w:left w:w="15" w:type="dxa"/>
              <w:bottom w:w="0" w:type="dxa"/>
              <w:right w:w="15" w:type="dxa"/>
            </w:tcMar>
            <w:vAlign w:val="bottom"/>
            <w:hideMark/>
          </w:tcPr>
          <w:p w14:paraId="331F0A8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10.77%</w:t>
            </w:r>
          </w:p>
        </w:tc>
        <w:tc>
          <w:tcPr>
            <w:tcW w:w="0" w:type="auto"/>
            <w:shd w:val="clear" w:color="auto" w:fill="auto"/>
            <w:noWrap/>
            <w:tcMar>
              <w:top w:w="15" w:type="dxa"/>
              <w:left w:w="15" w:type="dxa"/>
              <w:bottom w:w="0" w:type="dxa"/>
              <w:right w:w="15" w:type="dxa"/>
            </w:tcMar>
            <w:vAlign w:val="bottom"/>
            <w:hideMark/>
          </w:tcPr>
          <w:p w14:paraId="48E2933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shd w:val="clear" w:color="auto" w:fill="auto"/>
            <w:noWrap/>
            <w:tcMar>
              <w:top w:w="15" w:type="dxa"/>
              <w:left w:w="15" w:type="dxa"/>
              <w:bottom w:w="0" w:type="dxa"/>
              <w:right w:w="15" w:type="dxa"/>
            </w:tcMar>
            <w:vAlign w:val="bottom"/>
            <w:hideMark/>
          </w:tcPr>
          <w:p w14:paraId="3735653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1679B5F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MAL</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5646B8A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11</w:t>
            </w:r>
          </w:p>
        </w:tc>
        <w:tc>
          <w:tcPr>
            <w:tcW w:w="0" w:type="auto"/>
            <w:shd w:val="clear" w:color="auto" w:fill="auto"/>
            <w:noWrap/>
            <w:tcMar>
              <w:top w:w="15" w:type="dxa"/>
              <w:left w:w="15" w:type="dxa"/>
              <w:bottom w:w="0" w:type="dxa"/>
              <w:right w:w="15" w:type="dxa"/>
            </w:tcMar>
            <w:vAlign w:val="bottom"/>
            <w:hideMark/>
          </w:tcPr>
          <w:p w14:paraId="72266BB4"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MAL</w:t>
            </w:r>
          </w:p>
        </w:tc>
        <w:tc>
          <w:tcPr>
            <w:tcW w:w="0" w:type="auto"/>
            <w:shd w:val="clear" w:color="auto" w:fill="auto"/>
            <w:noWrap/>
            <w:tcMar>
              <w:top w:w="15" w:type="dxa"/>
              <w:left w:w="15" w:type="dxa"/>
              <w:bottom w:w="0" w:type="dxa"/>
              <w:right w:w="15" w:type="dxa"/>
            </w:tcMar>
            <w:vAlign w:val="bottom"/>
            <w:hideMark/>
          </w:tcPr>
          <w:p w14:paraId="46FEC97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8.38%</w:t>
            </w:r>
          </w:p>
        </w:tc>
        <w:tc>
          <w:tcPr>
            <w:tcW w:w="0" w:type="auto"/>
            <w:shd w:val="clear" w:color="auto" w:fill="auto"/>
            <w:noWrap/>
            <w:tcMar>
              <w:top w:w="15" w:type="dxa"/>
              <w:left w:w="15" w:type="dxa"/>
              <w:bottom w:w="0" w:type="dxa"/>
              <w:right w:w="15" w:type="dxa"/>
            </w:tcMar>
            <w:vAlign w:val="bottom"/>
            <w:hideMark/>
          </w:tcPr>
          <w:p w14:paraId="37836B1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47B0262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PHI</w:t>
            </w:r>
          </w:p>
        </w:tc>
        <w:tc>
          <w:tcPr>
            <w:tcW w:w="0" w:type="auto"/>
            <w:shd w:val="clear" w:color="auto" w:fill="auto"/>
            <w:noWrap/>
            <w:tcMar>
              <w:top w:w="15" w:type="dxa"/>
              <w:left w:w="15" w:type="dxa"/>
              <w:bottom w:w="0" w:type="dxa"/>
              <w:right w:w="15" w:type="dxa"/>
            </w:tcMar>
            <w:vAlign w:val="bottom"/>
            <w:hideMark/>
          </w:tcPr>
          <w:p w14:paraId="4BB5578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KOR</w:t>
            </w:r>
          </w:p>
        </w:tc>
      </w:tr>
      <w:tr w:rsidR="006F4180" w:rsidRPr="006F4180" w14:paraId="38FD1FCD"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739A25F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12</w:t>
            </w:r>
          </w:p>
        </w:tc>
        <w:tc>
          <w:tcPr>
            <w:tcW w:w="0" w:type="auto"/>
            <w:shd w:val="clear" w:color="auto" w:fill="auto"/>
            <w:noWrap/>
            <w:tcMar>
              <w:top w:w="15" w:type="dxa"/>
              <w:left w:w="15" w:type="dxa"/>
              <w:bottom w:w="0" w:type="dxa"/>
              <w:right w:w="15" w:type="dxa"/>
            </w:tcMar>
            <w:vAlign w:val="bottom"/>
            <w:hideMark/>
          </w:tcPr>
          <w:p w14:paraId="7BB052C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shd w:val="clear" w:color="auto" w:fill="auto"/>
            <w:noWrap/>
            <w:tcMar>
              <w:top w:w="15" w:type="dxa"/>
              <w:left w:w="15" w:type="dxa"/>
              <w:bottom w:w="0" w:type="dxa"/>
              <w:right w:w="15" w:type="dxa"/>
            </w:tcMar>
            <w:vAlign w:val="bottom"/>
            <w:hideMark/>
          </w:tcPr>
          <w:p w14:paraId="3665279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8.49%</w:t>
            </w:r>
          </w:p>
        </w:tc>
        <w:tc>
          <w:tcPr>
            <w:tcW w:w="0" w:type="auto"/>
            <w:shd w:val="clear" w:color="auto" w:fill="auto"/>
            <w:noWrap/>
            <w:tcMar>
              <w:top w:w="15" w:type="dxa"/>
              <w:left w:w="15" w:type="dxa"/>
              <w:bottom w:w="0" w:type="dxa"/>
              <w:right w:w="15" w:type="dxa"/>
            </w:tcMar>
            <w:vAlign w:val="bottom"/>
            <w:hideMark/>
          </w:tcPr>
          <w:p w14:paraId="61AB95D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0EA0C48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48A0644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MAL</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4C34E87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12</w:t>
            </w:r>
          </w:p>
        </w:tc>
        <w:tc>
          <w:tcPr>
            <w:tcW w:w="0" w:type="auto"/>
            <w:shd w:val="clear" w:color="auto" w:fill="auto"/>
            <w:noWrap/>
            <w:tcMar>
              <w:top w:w="15" w:type="dxa"/>
              <w:left w:w="15" w:type="dxa"/>
              <w:bottom w:w="0" w:type="dxa"/>
              <w:right w:w="15" w:type="dxa"/>
            </w:tcMar>
            <w:vAlign w:val="bottom"/>
            <w:hideMark/>
          </w:tcPr>
          <w:p w14:paraId="24C6044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shd w:val="clear" w:color="auto" w:fill="auto"/>
            <w:noWrap/>
            <w:tcMar>
              <w:top w:w="15" w:type="dxa"/>
              <w:left w:w="15" w:type="dxa"/>
              <w:bottom w:w="0" w:type="dxa"/>
              <w:right w:w="15" w:type="dxa"/>
            </w:tcMar>
            <w:vAlign w:val="bottom"/>
            <w:hideMark/>
          </w:tcPr>
          <w:p w14:paraId="5B9FE23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8.19%</w:t>
            </w:r>
          </w:p>
        </w:tc>
        <w:tc>
          <w:tcPr>
            <w:tcW w:w="0" w:type="auto"/>
            <w:shd w:val="clear" w:color="auto" w:fill="auto"/>
            <w:noWrap/>
            <w:tcMar>
              <w:top w:w="15" w:type="dxa"/>
              <w:left w:w="15" w:type="dxa"/>
              <w:bottom w:w="0" w:type="dxa"/>
              <w:right w:w="15" w:type="dxa"/>
            </w:tcMar>
            <w:vAlign w:val="bottom"/>
            <w:hideMark/>
          </w:tcPr>
          <w:p w14:paraId="1FB6A64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3D150DF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6BC67ED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r>
      <w:tr w:rsidR="006F4180" w:rsidRPr="006F4180" w14:paraId="262FF604"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61B9D4B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13</w:t>
            </w:r>
          </w:p>
        </w:tc>
        <w:tc>
          <w:tcPr>
            <w:tcW w:w="0" w:type="auto"/>
            <w:shd w:val="clear" w:color="auto" w:fill="auto"/>
            <w:noWrap/>
            <w:tcMar>
              <w:top w:w="15" w:type="dxa"/>
              <w:left w:w="15" w:type="dxa"/>
              <w:bottom w:w="0" w:type="dxa"/>
              <w:right w:w="15" w:type="dxa"/>
            </w:tcMar>
            <w:vAlign w:val="bottom"/>
            <w:hideMark/>
          </w:tcPr>
          <w:p w14:paraId="312230C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KOR</w:t>
            </w:r>
          </w:p>
        </w:tc>
        <w:tc>
          <w:tcPr>
            <w:tcW w:w="0" w:type="auto"/>
            <w:shd w:val="clear" w:color="auto" w:fill="auto"/>
            <w:noWrap/>
            <w:tcMar>
              <w:top w:w="15" w:type="dxa"/>
              <w:left w:w="15" w:type="dxa"/>
              <w:bottom w:w="0" w:type="dxa"/>
              <w:right w:w="15" w:type="dxa"/>
            </w:tcMar>
            <w:vAlign w:val="bottom"/>
            <w:hideMark/>
          </w:tcPr>
          <w:p w14:paraId="07B5C99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8.27%</w:t>
            </w:r>
          </w:p>
        </w:tc>
        <w:tc>
          <w:tcPr>
            <w:tcW w:w="0" w:type="auto"/>
            <w:shd w:val="clear" w:color="auto" w:fill="auto"/>
            <w:noWrap/>
            <w:tcMar>
              <w:top w:w="15" w:type="dxa"/>
              <w:left w:w="15" w:type="dxa"/>
              <w:bottom w:w="0" w:type="dxa"/>
              <w:right w:w="15" w:type="dxa"/>
            </w:tcMar>
            <w:vAlign w:val="bottom"/>
            <w:hideMark/>
          </w:tcPr>
          <w:p w14:paraId="6402648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4AD7EA0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583B18D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6E33DBD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13</w:t>
            </w:r>
          </w:p>
        </w:tc>
        <w:tc>
          <w:tcPr>
            <w:tcW w:w="0" w:type="auto"/>
            <w:shd w:val="clear" w:color="auto" w:fill="auto"/>
            <w:noWrap/>
            <w:tcMar>
              <w:top w:w="15" w:type="dxa"/>
              <w:left w:w="15" w:type="dxa"/>
              <w:bottom w:w="0" w:type="dxa"/>
              <w:right w:w="15" w:type="dxa"/>
            </w:tcMar>
            <w:vAlign w:val="bottom"/>
            <w:hideMark/>
          </w:tcPr>
          <w:p w14:paraId="5684F59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shd w:val="clear" w:color="auto" w:fill="auto"/>
            <w:noWrap/>
            <w:tcMar>
              <w:top w:w="15" w:type="dxa"/>
              <w:left w:w="15" w:type="dxa"/>
              <w:bottom w:w="0" w:type="dxa"/>
              <w:right w:w="15" w:type="dxa"/>
            </w:tcMar>
            <w:vAlign w:val="bottom"/>
            <w:hideMark/>
          </w:tcPr>
          <w:p w14:paraId="45CE3D5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8.06%</w:t>
            </w:r>
          </w:p>
        </w:tc>
        <w:tc>
          <w:tcPr>
            <w:tcW w:w="0" w:type="auto"/>
            <w:shd w:val="clear" w:color="auto" w:fill="auto"/>
            <w:noWrap/>
            <w:tcMar>
              <w:top w:w="15" w:type="dxa"/>
              <w:left w:w="15" w:type="dxa"/>
              <w:bottom w:w="0" w:type="dxa"/>
              <w:right w:w="15" w:type="dxa"/>
            </w:tcMar>
            <w:vAlign w:val="bottom"/>
            <w:hideMark/>
          </w:tcPr>
          <w:p w14:paraId="141498F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753BF09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178A0D6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r>
      <w:tr w:rsidR="006F4180" w:rsidRPr="006F4180" w14:paraId="367A7A48"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18FDBEA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14</w:t>
            </w:r>
          </w:p>
        </w:tc>
        <w:tc>
          <w:tcPr>
            <w:tcW w:w="0" w:type="auto"/>
            <w:shd w:val="clear" w:color="auto" w:fill="auto"/>
            <w:noWrap/>
            <w:tcMar>
              <w:top w:w="15" w:type="dxa"/>
              <w:left w:w="15" w:type="dxa"/>
              <w:bottom w:w="0" w:type="dxa"/>
              <w:right w:w="15" w:type="dxa"/>
            </w:tcMar>
            <w:vAlign w:val="bottom"/>
            <w:hideMark/>
          </w:tcPr>
          <w:p w14:paraId="59873C1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shd w:val="clear" w:color="auto" w:fill="auto"/>
            <w:noWrap/>
            <w:tcMar>
              <w:top w:w="15" w:type="dxa"/>
              <w:left w:w="15" w:type="dxa"/>
              <w:bottom w:w="0" w:type="dxa"/>
              <w:right w:w="15" w:type="dxa"/>
            </w:tcMar>
            <w:vAlign w:val="bottom"/>
            <w:hideMark/>
          </w:tcPr>
          <w:p w14:paraId="341A40F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7.19%</w:t>
            </w:r>
          </w:p>
        </w:tc>
        <w:tc>
          <w:tcPr>
            <w:tcW w:w="0" w:type="auto"/>
            <w:shd w:val="clear" w:color="auto" w:fill="auto"/>
            <w:noWrap/>
            <w:tcMar>
              <w:top w:w="15" w:type="dxa"/>
              <w:left w:w="15" w:type="dxa"/>
              <w:bottom w:w="0" w:type="dxa"/>
              <w:right w:w="15" w:type="dxa"/>
            </w:tcMar>
            <w:vAlign w:val="bottom"/>
            <w:hideMark/>
          </w:tcPr>
          <w:p w14:paraId="6E3BE79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0B2FDF0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468CB7E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1F7741D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14</w:t>
            </w:r>
          </w:p>
        </w:tc>
        <w:tc>
          <w:tcPr>
            <w:tcW w:w="0" w:type="auto"/>
            <w:shd w:val="clear" w:color="auto" w:fill="auto"/>
            <w:noWrap/>
            <w:tcMar>
              <w:top w:w="15" w:type="dxa"/>
              <w:left w:w="15" w:type="dxa"/>
              <w:bottom w:w="0" w:type="dxa"/>
              <w:right w:w="15" w:type="dxa"/>
            </w:tcMar>
            <w:vAlign w:val="bottom"/>
            <w:hideMark/>
          </w:tcPr>
          <w:p w14:paraId="3D261F7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POL</w:t>
            </w:r>
          </w:p>
        </w:tc>
        <w:tc>
          <w:tcPr>
            <w:tcW w:w="0" w:type="auto"/>
            <w:shd w:val="clear" w:color="auto" w:fill="auto"/>
            <w:noWrap/>
            <w:tcMar>
              <w:top w:w="15" w:type="dxa"/>
              <w:left w:w="15" w:type="dxa"/>
              <w:bottom w:w="0" w:type="dxa"/>
              <w:right w:w="15" w:type="dxa"/>
            </w:tcMar>
            <w:vAlign w:val="bottom"/>
            <w:hideMark/>
          </w:tcPr>
          <w:p w14:paraId="7A92C95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7.07%</w:t>
            </w:r>
          </w:p>
        </w:tc>
        <w:tc>
          <w:tcPr>
            <w:tcW w:w="0" w:type="auto"/>
            <w:shd w:val="clear" w:color="auto" w:fill="auto"/>
            <w:noWrap/>
            <w:tcMar>
              <w:top w:w="15" w:type="dxa"/>
              <w:left w:w="15" w:type="dxa"/>
              <w:bottom w:w="0" w:type="dxa"/>
              <w:right w:w="15" w:type="dxa"/>
            </w:tcMar>
            <w:vAlign w:val="bottom"/>
            <w:hideMark/>
          </w:tcPr>
          <w:p w14:paraId="6C42DAA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5BCB46F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COL</w:t>
            </w:r>
          </w:p>
        </w:tc>
        <w:tc>
          <w:tcPr>
            <w:tcW w:w="0" w:type="auto"/>
            <w:shd w:val="clear" w:color="auto" w:fill="auto"/>
            <w:noWrap/>
            <w:tcMar>
              <w:top w:w="15" w:type="dxa"/>
              <w:left w:w="15" w:type="dxa"/>
              <w:bottom w:w="0" w:type="dxa"/>
              <w:right w:w="15" w:type="dxa"/>
            </w:tcMar>
            <w:vAlign w:val="bottom"/>
            <w:hideMark/>
          </w:tcPr>
          <w:p w14:paraId="206DFC7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r>
      <w:tr w:rsidR="006F4180" w:rsidRPr="006F4180" w14:paraId="13EED1F5"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13B1DFF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15</w:t>
            </w:r>
          </w:p>
        </w:tc>
        <w:tc>
          <w:tcPr>
            <w:tcW w:w="0" w:type="auto"/>
            <w:shd w:val="clear" w:color="auto" w:fill="auto"/>
            <w:noWrap/>
            <w:tcMar>
              <w:top w:w="15" w:type="dxa"/>
              <w:left w:w="15" w:type="dxa"/>
              <w:bottom w:w="0" w:type="dxa"/>
              <w:right w:w="15" w:type="dxa"/>
            </w:tcMar>
            <w:vAlign w:val="bottom"/>
            <w:hideMark/>
          </w:tcPr>
          <w:p w14:paraId="29E9EF5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PER</w:t>
            </w:r>
          </w:p>
        </w:tc>
        <w:tc>
          <w:tcPr>
            <w:tcW w:w="0" w:type="auto"/>
            <w:shd w:val="clear" w:color="auto" w:fill="auto"/>
            <w:noWrap/>
            <w:tcMar>
              <w:top w:w="15" w:type="dxa"/>
              <w:left w:w="15" w:type="dxa"/>
              <w:bottom w:w="0" w:type="dxa"/>
              <w:right w:w="15" w:type="dxa"/>
            </w:tcMar>
            <w:vAlign w:val="bottom"/>
            <w:hideMark/>
          </w:tcPr>
          <w:p w14:paraId="0E8F593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6.14%</w:t>
            </w:r>
          </w:p>
        </w:tc>
        <w:tc>
          <w:tcPr>
            <w:tcW w:w="0" w:type="auto"/>
            <w:shd w:val="clear" w:color="auto" w:fill="auto"/>
            <w:noWrap/>
            <w:tcMar>
              <w:top w:w="15" w:type="dxa"/>
              <w:left w:w="15" w:type="dxa"/>
              <w:bottom w:w="0" w:type="dxa"/>
              <w:right w:w="15" w:type="dxa"/>
            </w:tcMar>
            <w:vAlign w:val="bottom"/>
            <w:hideMark/>
          </w:tcPr>
          <w:p w14:paraId="2C5F25F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shd w:val="clear" w:color="auto" w:fill="auto"/>
            <w:noWrap/>
            <w:tcMar>
              <w:top w:w="15" w:type="dxa"/>
              <w:left w:w="15" w:type="dxa"/>
              <w:bottom w:w="0" w:type="dxa"/>
              <w:right w:w="15" w:type="dxa"/>
            </w:tcMar>
            <w:vAlign w:val="bottom"/>
            <w:hideMark/>
          </w:tcPr>
          <w:p w14:paraId="5940666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16A51F9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57B990B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15</w:t>
            </w:r>
          </w:p>
        </w:tc>
        <w:tc>
          <w:tcPr>
            <w:tcW w:w="0" w:type="auto"/>
            <w:shd w:val="clear" w:color="auto" w:fill="auto"/>
            <w:noWrap/>
            <w:tcMar>
              <w:top w:w="15" w:type="dxa"/>
              <w:left w:w="15" w:type="dxa"/>
              <w:bottom w:w="0" w:type="dxa"/>
              <w:right w:w="15" w:type="dxa"/>
            </w:tcMar>
            <w:vAlign w:val="bottom"/>
            <w:hideMark/>
          </w:tcPr>
          <w:p w14:paraId="04F274E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647CB93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5.98%</w:t>
            </w:r>
          </w:p>
        </w:tc>
        <w:tc>
          <w:tcPr>
            <w:tcW w:w="0" w:type="auto"/>
            <w:shd w:val="clear" w:color="auto" w:fill="auto"/>
            <w:noWrap/>
            <w:tcMar>
              <w:top w:w="15" w:type="dxa"/>
              <w:left w:w="15" w:type="dxa"/>
              <w:bottom w:w="0" w:type="dxa"/>
              <w:right w:w="15" w:type="dxa"/>
            </w:tcMar>
            <w:vAlign w:val="bottom"/>
            <w:hideMark/>
          </w:tcPr>
          <w:p w14:paraId="1FDB066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3092059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6CEE7AE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r>
      <w:tr w:rsidR="006F4180" w:rsidRPr="006F4180" w14:paraId="37D88C56"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4BF9613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16</w:t>
            </w:r>
          </w:p>
        </w:tc>
        <w:tc>
          <w:tcPr>
            <w:tcW w:w="0" w:type="auto"/>
            <w:shd w:val="clear" w:color="auto" w:fill="auto"/>
            <w:noWrap/>
            <w:tcMar>
              <w:top w:w="15" w:type="dxa"/>
              <w:left w:w="15" w:type="dxa"/>
              <w:bottom w:w="0" w:type="dxa"/>
              <w:right w:w="15" w:type="dxa"/>
            </w:tcMar>
            <w:vAlign w:val="bottom"/>
            <w:hideMark/>
          </w:tcPr>
          <w:p w14:paraId="39138A8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MEX</w:t>
            </w:r>
          </w:p>
        </w:tc>
        <w:tc>
          <w:tcPr>
            <w:tcW w:w="0" w:type="auto"/>
            <w:shd w:val="clear" w:color="auto" w:fill="auto"/>
            <w:noWrap/>
            <w:tcMar>
              <w:top w:w="15" w:type="dxa"/>
              <w:left w:w="15" w:type="dxa"/>
              <w:bottom w:w="0" w:type="dxa"/>
              <w:right w:w="15" w:type="dxa"/>
            </w:tcMar>
            <w:vAlign w:val="bottom"/>
            <w:hideMark/>
          </w:tcPr>
          <w:p w14:paraId="3DB6D13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4.47%</w:t>
            </w:r>
          </w:p>
        </w:tc>
        <w:tc>
          <w:tcPr>
            <w:tcW w:w="0" w:type="auto"/>
            <w:shd w:val="clear" w:color="auto" w:fill="auto"/>
            <w:noWrap/>
            <w:tcMar>
              <w:top w:w="15" w:type="dxa"/>
              <w:left w:w="15" w:type="dxa"/>
              <w:bottom w:w="0" w:type="dxa"/>
              <w:right w:w="15" w:type="dxa"/>
            </w:tcMar>
            <w:vAlign w:val="bottom"/>
            <w:hideMark/>
          </w:tcPr>
          <w:p w14:paraId="2985C35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0BA4951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43F83FB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25B1175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16</w:t>
            </w:r>
          </w:p>
        </w:tc>
        <w:tc>
          <w:tcPr>
            <w:tcW w:w="0" w:type="auto"/>
            <w:shd w:val="clear" w:color="auto" w:fill="auto"/>
            <w:noWrap/>
            <w:tcMar>
              <w:top w:w="15" w:type="dxa"/>
              <w:left w:w="15" w:type="dxa"/>
              <w:bottom w:w="0" w:type="dxa"/>
              <w:right w:w="15" w:type="dxa"/>
            </w:tcMar>
            <w:vAlign w:val="bottom"/>
            <w:hideMark/>
          </w:tcPr>
          <w:p w14:paraId="15D91F8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KOR</w:t>
            </w:r>
          </w:p>
        </w:tc>
        <w:tc>
          <w:tcPr>
            <w:tcW w:w="0" w:type="auto"/>
            <w:shd w:val="clear" w:color="auto" w:fill="auto"/>
            <w:noWrap/>
            <w:tcMar>
              <w:top w:w="15" w:type="dxa"/>
              <w:left w:w="15" w:type="dxa"/>
              <w:bottom w:w="0" w:type="dxa"/>
              <w:right w:w="15" w:type="dxa"/>
            </w:tcMar>
            <w:vAlign w:val="bottom"/>
            <w:hideMark/>
          </w:tcPr>
          <w:p w14:paraId="459A427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4.79%</w:t>
            </w:r>
          </w:p>
        </w:tc>
        <w:tc>
          <w:tcPr>
            <w:tcW w:w="0" w:type="auto"/>
            <w:shd w:val="clear" w:color="auto" w:fill="auto"/>
            <w:noWrap/>
            <w:tcMar>
              <w:top w:w="15" w:type="dxa"/>
              <w:left w:w="15" w:type="dxa"/>
              <w:bottom w:w="0" w:type="dxa"/>
              <w:right w:w="15" w:type="dxa"/>
            </w:tcMar>
            <w:vAlign w:val="bottom"/>
            <w:hideMark/>
          </w:tcPr>
          <w:p w14:paraId="49F5E98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7A0D201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shd w:val="clear" w:color="auto" w:fill="auto"/>
            <w:noWrap/>
            <w:tcMar>
              <w:top w:w="15" w:type="dxa"/>
              <w:left w:w="15" w:type="dxa"/>
              <w:bottom w:w="0" w:type="dxa"/>
              <w:right w:w="15" w:type="dxa"/>
            </w:tcMar>
            <w:vAlign w:val="bottom"/>
            <w:hideMark/>
          </w:tcPr>
          <w:p w14:paraId="6494B45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r>
      <w:tr w:rsidR="006F4180" w:rsidRPr="006F4180" w14:paraId="5F585822"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098C815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17</w:t>
            </w:r>
          </w:p>
        </w:tc>
        <w:tc>
          <w:tcPr>
            <w:tcW w:w="0" w:type="auto"/>
            <w:shd w:val="clear" w:color="auto" w:fill="auto"/>
            <w:noWrap/>
            <w:tcMar>
              <w:top w:w="15" w:type="dxa"/>
              <w:left w:w="15" w:type="dxa"/>
              <w:bottom w:w="0" w:type="dxa"/>
              <w:right w:w="15" w:type="dxa"/>
            </w:tcMar>
            <w:vAlign w:val="bottom"/>
            <w:hideMark/>
          </w:tcPr>
          <w:p w14:paraId="6E4A554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MAL</w:t>
            </w:r>
          </w:p>
        </w:tc>
        <w:tc>
          <w:tcPr>
            <w:tcW w:w="0" w:type="auto"/>
            <w:shd w:val="clear" w:color="auto" w:fill="auto"/>
            <w:noWrap/>
            <w:tcMar>
              <w:top w:w="15" w:type="dxa"/>
              <w:left w:w="15" w:type="dxa"/>
              <w:bottom w:w="0" w:type="dxa"/>
              <w:right w:w="15" w:type="dxa"/>
            </w:tcMar>
            <w:vAlign w:val="bottom"/>
            <w:hideMark/>
          </w:tcPr>
          <w:p w14:paraId="34B7200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4.12%</w:t>
            </w:r>
          </w:p>
        </w:tc>
        <w:tc>
          <w:tcPr>
            <w:tcW w:w="0" w:type="auto"/>
            <w:shd w:val="clear" w:color="auto" w:fill="auto"/>
            <w:noWrap/>
            <w:tcMar>
              <w:top w:w="15" w:type="dxa"/>
              <w:left w:w="15" w:type="dxa"/>
              <w:bottom w:w="0" w:type="dxa"/>
              <w:right w:w="15" w:type="dxa"/>
            </w:tcMar>
            <w:vAlign w:val="bottom"/>
            <w:hideMark/>
          </w:tcPr>
          <w:p w14:paraId="705450B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HUN</w:t>
            </w:r>
          </w:p>
        </w:tc>
        <w:tc>
          <w:tcPr>
            <w:tcW w:w="0" w:type="auto"/>
            <w:shd w:val="clear" w:color="auto" w:fill="auto"/>
            <w:noWrap/>
            <w:tcMar>
              <w:top w:w="15" w:type="dxa"/>
              <w:left w:w="15" w:type="dxa"/>
              <w:bottom w:w="0" w:type="dxa"/>
              <w:right w:w="15" w:type="dxa"/>
            </w:tcMar>
            <w:vAlign w:val="bottom"/>
            <w:hideMark/>
          </w:tcPr>
          <w:p w14:paraId="6DAA0BD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2F96404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322BDA2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17</w:t>
            </w:r>
          </w:p>
        </w:tc>
        <w:tc>
          <w:tcPr>
            <w:tcW w:w="0" w:type="auto"/>
            <w:shd w:val="clear" w:color="auto" w:fill="auto"/>
            <w:noWrap/>
            <w:tcMar>
              <w:top w:w="15" w:type="dxa"/>
              <w:left w:w="15" w:type="dxa"/>
              <w:bottom w:w="0" w:type="dxa"/>
              <w:right w:w="15" w:type="dxa"/>
            </w:tcMar>
            <w:vAlign w:val="bottom"/>
            <w:hideMark/>
          </w:tcPr>
          <w:p w14:paraId="575CCA2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PER</w:t>
            </w:r>
          </w:p>
        </w:tc>
        <w:tc>
          <w:tcPr>
            <w:tcW w:w="0" w:type="auto"/>
            <w:shd w:val="clear" w:color="auto" w:fill="auto"/>
            <w:noWrap/>
            <w:tcMar>
              <w:top w:w="15" w:type="dxa"/>
              <w:left w:w="15" w:type="dxa"/>
              <w:bottom w:w="0" w:type="dxa"/>
              <w:right w:w="15" w:type="dxa"/>
            </w:tcMar>
            <w:vAlign w:val="bottom"/>
            <w:hideMark/>
          </w:tcPr>
          <w:p w14:paraId="1DC43F0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4.68%</w:t>
            </w:r>
          </w:p>
        </w:tc>
        <w:tc>
          <w:tcPr>
            <w:tcW w:w="0" w:type="auto"/>
            <w:shd w:val="clear" w:color="auto" w:fill="auto"/>
            <w:noWrap/>
            <w:tcMar>
              <w:top w:w="15" w:type="dxa"/>
              <w:left w:w="15" w:type="dxa"/>
              <w:bottom w:w="0" w:type="dxa"/>
              <w:right w:w="15" w:type="dxa"/>
            </w:tcMar>
            <w:vAlign w:val="bottom"/>
            <w:hideMark/>
          </w:tcPr>
          <w:p w14:paraId="0CB2582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30ED29B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c>
          <w:tcPr>
            <w:tcW w:w="0" w:type="auto"/>
            <w:shd w:val="clear" w:color="auto" w:fill="auto"/>
            <w:noWrap/>
            <w:tcMar>
              <w:top w:w="15" w:type="dxa"/>
              <w:left w:w="15" w:type="dxa"/>
              <w:bottom w:w="0" w:type="dxa"/>
              <w:right w:w="15" w:type="dxa"/>
            </w:tcMar>
            <w:vAlign w:val="bottom"/>
            <w:hideMark/>
          </w:tcPr>
          <w:p w14:paraId="1565040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r>
      <w:tr w:rsidR="006F4180" w:rsidRPr="006F4180" w14:paraId="4A16F5BD"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5B39F72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18</w:t>
            </w:r>
          </w:p>
        </w:tc>
        <w:tc>
          <w:tcPr>
            <w:tcW w:w="0" w:type="auto"/>
            <w:shd w:val="clear" w:color="auto" w:fill="auto"/>
            <w:noWrap/>
            <w:tcMar>
              <w:top w:w="15" w:type="dxa"/>
              <w:left w:w="15" w:type="dxa"/>
              <w:bottom w:w="0" w:type="dxa"/>
              <w:right w:w="15" w:type="dxa"/>
            </w:tcMar>
            <w:vAlign w:val="bottom"/>
            <w:hideMark/>
          </w:tcPr>
          <w:p w14:paraId="59CB751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CHI</w:t>
            </w:r>
          </w:p>
        </w:tc>
        <w:tc>
          <w:tcPr>
            <w:tcW w:w="0" w:type="auto"/>
            <w:shd w:val="clear" w:color="auto" w:fill="auto"/>
            <w:noWrap/>
            <w:tcMar>
              <w:top w:w="15" w:type="dxa"/>
              <w:left w:w="15" w:type="dxa"/>
              <w:bottom w:w="0" w:type="dxa"/>
              <w:right w:w="15" w:type="dxa"/>
            </w:tcMar>
            <w:vAlign w:val="bottom"/>
            <w:hideMark/>
          </w:tcPr>
          <w:p w14:paraId="6D58296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3.55%</w:t>
            </w:r>
          </w:p>
        </w:tc>
        <w:tc>
          <w:tcPr>
            <w:tcW w:w="0" w:type="auto"/>
            <w:shd w:val="clear" w:color="auto" w:fill="auto"/>
            <w:noWrap/>
            <w:tcMar>
              <w:top w:w="15" w:type="dxa"/>
              <w:left w:w="15" w:type="dxa"/>
              <w:bottom w:w="0" w:type="dxa"/>
              <w:right w:w="15" w:type="dxa"/>
            </w:tcMar>
            <w:vAlign w:val="bottom"/>
            <w:hideMark/>
          </w:tcPr>
          <w:p w14:paraId="6A3A49A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c>
          <w:tcPr>
            <w:tcW w:w="0" w:type="auto"/>
            <w:shd w:val="clear" w:color="auto" w:fill="auto"/>
            <w:noWrap/>
            <w:tcMar>
              <w:top w:w="15" w:type="dxa"/>
              <w:left w:w="15" w:type="dxa"/>
              <w:bottom w:w="0" w:type="dxa"/>
              <w:right w:w="15" w:type="dxa"/>
            </w:tcMar>
            <w:vAlign w:val="bottom"/>
            <w:hideMark/>
          </w:tcPr>
          <w:p w14:paraId="5927C29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6561D70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GRE</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7583FBA4"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18</w:t>
            </w:r>
          </w:p>
        </w:tc>
        <w:tc>
          <w:tcPr>
            <w:tcW w:w="0" w:type="auto"/>
            <w:shd w:val="clear" w:color="auto" w:fill="auto"/>
            <w:noWrap/>
            <w:tcMar>
              <w:top w:w="15" w:type="dxa"/>
              <w:left w:w="15" w:type="dxa"/>
              <w:bottom w:w="0" w:type="dxa"/>
              <w:right w:w="15" w:type="dxa"/>
            </w:tcMar>
            <w:vAlign w:val="bottom"/>
            <w:hideMark/>
          </w:tcPr>
          <w:p w14:paraId="6359AE5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COL</w:t>
            </w:r>
          </w:p>
        </w:tc>
        <w:tc>
          <w:tcPr>
            <w:tcW w:w="0" w:type="auto"/>
            <w:shd w:val="clear" w:color="auto" w:fill="auto"/>
            <w:noWrap/>
            <w:tcMar>
              <w:top w:w="15" w:type="dxa"/>
              <w:left w:w="15" w:type="dxa"/>
              <w:bottom w:w="0" w:type="dxa"/>
              <w:right w:w="15" w:type="dxa"/>
            </w:tcMar>
            <w:vAlign w:val="bottom"/>
            <w:hideMark/>
          </w:tcPr>
          <w:p w14:paraId="028187C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4.15%</w:t>
            </w:r>
          </w:p>
        </w:tc>
        <w:tc>
          <w:tcPr>
            <w:tcW w:w="0" w:type="auto"/>
            <w:shd w:val="clear" w:color="auto" w:fill="auto"/>
            <w:noWrap/>
            <w:tcMar>
              <w:top w:w="15" w:type="dxa"/>
              <w:left w:w="15" w:type="dxa"/>
              <w:bottom w:w="0" w:type="dxa"/>
              <w:right w:w="15" w:type="dxa"/>
            </w:tcMar>
            <w:vAlign w:val="bottom"/>
            <w:hideMark/>
          </w:tcPr>
          <w:p w14:paraId="3E42F77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2A1D95F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4C0DD7A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TUR</w:t>
            </w:r>
          </w:p>
        </w:tc>
      </w:tr>
      <w:tr w:rsidR="006F4180" w:rsidRPr="006F4180" w14:paraId="7915A830"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6DDE25D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19</w:t>
            </w:r>
          </w:p>
        </w:tc>
        <w:tc>
          <w:tcPr>
            <w:tcW w:w="0" w:type="auto"/>
            <w:shd w:val="clear" w:color="auto" w:fill="auto"/>
            <w:noWrap/>
            <w:tcMar>
              <w:top w:w="15" w:type="dxa"/>
              <w:left w:w="15" w:type="dxa"/>
              <w:bottom w:w="0" w:type="dxa"/>
              <w:right w:w="15" w:type="dxa"/>
            </w:tcMar>
            <w:vAlign w:val="bottom"/>
            <w:hideMark/>
          </w:tcPr>
          <w:p w14:paraId="7E5F265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CHN</w:t>
            </w:r>
          </w:p>
        </w:tc>
        <w:tc>
          <w:tcPr>
            <w:tcW w:w="0" w:type="auto"/>
            <w:shd w:val="clear" w:color="auto" w:fill="auto"/>
            <w:noWrap/>
            <w:tcMar>
              <w:top w:w="15" w:type="dxa"/>
              <w:left w:w="15" w:type="dxa"/>
              <w:bottom w:w="0" w:type="dxa"/>
              <w:right w:w="15" w:type="dxa"/>
            </w:tcMar>
            <w:vAlign w:val="bottom"/>
            <w:hideMark/>
          </w:tcPr>
          <w:p w14:paraId="234F958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2.87%</w:t>
            </w:r>
          </w:p>
        </w:tc>
        <w:tc>
          <w:tcPr>
            <w:tcW w:w="0" w:type="auto"/>
            <w:shd w:val="clear" w:color="auto" w:fill="auto"/>
            <w:noWrap/>
            <w:tcMar>
              <w:top w:w="15" w:type="dxa"/>
              <w:left w:w="15" w:type="dxa"/>
              <w:bottom w:w="0" w:type="dxa"/>
              <w:right w:w="15" w:type="dxa"/>
            </w:tcMar>
            <w:vAlign w:val="bottom"/>
            <w:hideMark/>
          </w:tcPr>
          <w:p w14:paraId="3F282A7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shd w:val="clear" w:color="auto" w:fill="auto"/>
            <w:noWrap/>
            <w:tcMar>
              <w:top w:w="15" w:type="dxa"/>
              <w:left w:w="15" w:type="dxa"/>
              <w:bottom w:w="0" w:type="dxa"/>
              <w:right w:w="15" w:type="dxa"/>
            </w:tcMar>
            <w:vAlign w:val="bottom"/>
            <w:hideMark/>
          </w:tcPr>
          <w:p w14:paraId="02F3046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3FFDD5F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08053A3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19</w:t>
            </w:r>
          </w:p>
        </w:tc>
        <w:tc>
          <w:tcPr>
            <w:tcW w:w="0" w:type="auto"/>
            <w:shd w:val="clear" w:color="auto" w:fill="auto"/>
            <w:noWrap/>
            <w:tcMar>
              <w:top w:w="15" w:type="dxa"/>
              <w:left w:w="15" w:type="dxa"/>
              <w:bottom w:w="0" w:type="dxa"/>
              <w:right w:w="15" w:type="dxa"/>
            </w:tcMar>
            <w:vAlign w:val="bottom"/>
            <w:hideMark/>
          </w:tcPr>
          <w:p w14:paraId="4B96711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TAI</w:t>
            </w:r>
          </w:p>
        </w:tc>
        <w:tc>
          <w:tcPr>
            <w:tcW w:w="0" w:type="auto"/>
            <w:shd w:val="clear" w:color="auto" w:fill="auto"/>
            <w:noWrap/>
            <w:tcMar>
              <w:top w:w="15" w:type="dxa"/>
              <w:left w:w="15" w:type="dxa"/>
              <w:bottom w:w="0" w:type="dxa"/>
              <w:right w:w="15" w:type="dxa"/>
            </w:tcMar>
            <w:vAlign w:val="bottom"/>
            <w:hideMark/>
          </w:tcPr>
          <w:p w14:paraId="657E8DB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2.93%</w:t>
            </w:r>
          </w:p>
        </w:tc>
        <w:tc>
          <w:tcPr>
            <w:tcW w:w="0" w:type="auto"/>
            <w:shd w:val="clear" w:color="auto" w:fill="auto"/>
            <w:noWrap/>
            <w:tcMar>
              <w:top w:w="15" w:type="dxa"/>
              <w:left w:w="15" w:type="dxa"/>
              <w:bottom w:w="0" w:type="dxa"/>
              <w:right w:w="15" w:type="dxa"/>
            </w:tcMar>
            <w:vAlign w:val="bottom"/>
            <w:hideMark/>
          </w:tcPr>
          <w:p w14:paraId="4310D04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EGY</w:t>
            </w:r>
          </w:p>
        </w:tc>
        <w:tc>
          <w:tcPr>
            <w:tcW w:w="0" w:type="auto"/>
            <w:shd w:val="clear" w:color="auto" w:fill="auto"/>
            <w:noWrap/>
            <w:tcMar>
              <w:top w:w="15" w:type="dxa"/>
              <w:left w:w="15" w:type="dxa"/>
              <w:bottom w:w="0" w:type="dxa"/>
              <w:right w:w="15" w:type="dxa"/>
            </w:tcMar>
            <w:vAlign w:val="bottom"/>
            <w:hideMark/>
          </w:tcPr>
          <w:p w14:paraId="7712D8E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29172C9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CZR</w:t>
            </w:r>
          </w:p>
        </w:tc>
      </w:tr>
      <w:tr w:rsidR="006F4180" w:rsidRPr="006F4180" w14:paraId="35F035FE"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4EE240C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20</w:t>
            </w:r>
          </w:p>
        </w:tc>
        <w:tc>
          <w:tcPr>
            <w:tcW w:w="0" w:type="auto"/>
            <w:shd w:val="clear" w:color="auto" w:fill="auto"/>
            <w:noWrap/>
            <w:tcMar>
              <w:top w:w="15" w:type="dxa"/>
              <w:left w:w="15" w:type="dxa"/>
              <w:bottom w:w="0" w:type="dxa"/>
              <w:right w:w="15" w:type="dxa"/>
            </w:tcMar>
            <w:vAlign w:val="bottom"/>
            <w:hideMark/>
          </w:tcPr>
          <w:p w14:paraId="58DB2E1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w:t>
            </w:r>
          </w:p>
        </w:tc>
        <w:tc>
          <w:tcPr>
            <w:tcW w:w="0" w:type="auto"/>
            <w:shd w:val="clear" w:color="auto" w:fill="auto"/>
            <w:noWrap/>
            <w:tcMar>
              <w:top w:w="15" w:type="dxa"/>
              <w:left w:w="15" w:type="dxa"/>
              <w:bottom w:w="0" w:type="dxa"/>
              <w:right w:w="15" w:type="dxa"/>
            </w:tcMar>
            <w:vAlign w:val="bottom"/>
            <w:hideMark/>
          </w:tcPr>
          <w:p w14:paraId="6B84EDF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2.72%</w:t>
            </w:r>
          </w:p>
        </w:tc>
        <w:tc>
          <w:tcPr>
            <w:tcW w:w="0" w:type="auto"/>
            <w:shd w:val="clear" w:color="auto" w:fill="auto"/>
            <w:noWrap/>
            <w:tcMar>
              <w:top w:w="15" w:type="dxa"/>
              <w:left w:w="15" w:type="dxa"/>
              <w:bottom w:w="0" w:type="dxa"/>
              <w:right w:w="15" w:type="dxa"/>
            </w:tcMar>
            <w:vAlign w:val="bottom"/>
            <w:hideMark/>
          </w:tcPr>
          <w:p w14:paraId="65AB12D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6EFEE61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43CF248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7CBA27A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20</w:t>
            </w:r>
          </w:p>
        </w:tc>
        <w:tc>
          <w:tcPr>
            <w:tcW w:w="0" w:type="auto"/>
            <w:shd w:val="clear" w:color="auto" w:fill="auto"/>
            <w:noWrap/>
            <w:tcMar>
              <w:top w:w="15" w:type="dxa"/>
              <w:left w:w="15" w:type="dxa"/>
              <w:bottom w:w="0" w:type="dxa"/>
              <w:right w:w="15" w:type="dxa"/>
            </w:tcMar>
            <w:vAlign w:val="bottom"/>
            <w:hideMark/>
          </w:tcPr>
          <w:p w14:paraId="0C8F801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CHI</w:t>
            </w:r>
          </w:p>
        </w:tc>
        <w:tc>
          <w:tcPr>
            <w:tcW w:w="0" w:type="auto"/>
            <w:shd w:val="clear" w:color="auto" w:fill="auto"/>
            <w:noWrap/>
            <w:tcMar>
              <w:top w:w="15" w:type="dxa"/>
              <w:left w:w="15" w:type="dxa"/>
              <w:bottom w:w="0" w:type="dxa"/>
              <w:right w:w="15" w:type="dxa"/>
            </w:tcMar>
            <w:vAlign w:val="bottom"/>
            <w:hideMark/>
          </w:tcPr>
          <w:p w14:paraId="7830DCB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1.56%</w:t>
            </w:r>
          </w:p>
        </w:tc>
        <w:tc>
          <w:tcPr>
            <w:tcW w:w="0" w:type="auto"/>
            <w:shd w:val="clear" w:color="auto" w:fill="auto"/>
            <w:noWrap/>
            <w:tcMar>
              <w:top w:w="15" w:type="dxa"/>
              <w:left w:w="15" w:type="dxa"/>
              <w:bottom w:w="0" w:type="dxa"/>
              <w:right w:w="15" w:type="dxa"/>
            </w:tcMar>
            <w:vAlign w:val="bottom"/>
            <w:hideMark/>
          </w:tcPr>
          <w:p w14:paraId="0590892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THL</w:t>
            </w:r>
          </w:p>
        </w:tc>
        <w:tc>
          <w:tcPr>
            <w:tcW w:w="0" w:type="auto"/>
            <w:shd w:val="clear" w:color="auto" w:fill="auto"/>
            <w:noWrap/>
            <w:tcMar>
              <w:top w:w="15" w:type="dxa"/>
              <w:left w:w="15" w:type="dxa"/>
              <w:bottom w:w="0" w:type="dxa"/>
              <w:right w:w="15" w:type="dxa"/>
            </w:tcMar>
            <w:vAlign w:val="bottom"/>
            <w:hideMark/>
          </w:tcPr>
          <w:p w14:paraId="14EACFB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0F2FC04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CHN</w:t>
            </w:r>
          </w:p>
        </w:tc>
      </w:tr>
      <w:tr w:rsidR="006F4180" w:rsidRPr="006F4180" w14:paraId="2ADE3C53"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5B540EB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21</w:t>
            </w:r>
          </w:p>
        </w:tc>
        <w:tc>
          <w:tcPr>
            <w:tcW w:w="0" w:type="auto"/>
            <w:shd w:val="clear" w:color="auto" w:fill="auto"/>
            <w:noWrap/>
            <w:tcMar>
              <w:top w:w="15" w:type="dxa"/>
              <w:left w:w="15" w:type="dxa"/>
              <w:bottom w:w="0" w:type="dxa"/>
              <w:right w:w="15" w:type="dxa"/>
            </w:tcMar>
            <w:vAlign w:val="bottom"/>
            <w:hideMark/>
          </w:tcPr>
          <w:p w14:paraId="42C55A3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shd w:val="clear" w:color="auto" w:fill="auto"/>
            <w:noWrap/>
            <w:tcMar>
              <w:top w:w="15" w:type="dxa"/>
              <w:left w:w="15" w:type="dxa"/>
              <w:bottom w:w="0" w:type="dxa"/>
              <w:right w:w="15" w:type="dxa"/>
            </w:tcMar>
            <w:vAlign w:val="bottom"/>
            <w:hideMark/>
          </w:tcPr>
          <w:p w14:paraId="28230B1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2.45%</w:t>
            </w:r>
          </w:p>
        </w:tc>
        <w:tc>
          <w:tcPr>
            <w:tcW w:w="0" w:type="auto"/>
            <w:shd w:val="clear" w:color="auto" w:fill="auto"/>
            <w:noWrap/>
            <w:tcMar>
              <w:top w:w="15" w:type="dxa"/>
              <w:left w:w="15" w:type="dxa"/>
              <w:bottom w:w="0" w:type="dxa"/>
              <w:right w:w="15" w:type="dxa"/>
            </w:tcMar>
            <w:vAlign w:val="bottom"/>
            <w:hideMark/>
          </w:tcPr>
          <w:p w14:paraId="636CFE5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CHN</w:t>
            </w:r>
          </w:p>
        </w:tc>
        <w:tc>
          <w:tcPr>
            <w:tcW w:w="0" w:type="auto"/>
            <w:shd w:val="clear" w:color="auto" w:fill="auto"/>
            <w:noWrap/>
            <w:tcMar>
              <w:top w:w="15" w:type="dxa"/>
              <w:left w:w="15" w:type="dxa"/>
              <w:bottom w:w="0" w:type="dxa"/>
              <w:right w:w="15" w:type="dxa"/>
            </w:tcMar>
            <w:vAlign w:val="bottom"/>
            <w:hideMark/>
          </w:tcPr>
          <w:p w14:paraId="6765538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35421D50"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446B538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21</w:t>
            </w:r>
          </w:p>
        </w:tc>
        <w:tc>
          <w:tcPr>
            <w:tcW w:w="0" w:type="auto"/>
            <w:shd w:val="clear" w:color="auto" w:fill="auto"/>
            <w:noWrap/>
            <w:tcMar>
              <w:top w:w="15" w:type="dxa"/>
              <w:left w:w="15" w:type="dxa"/>
              <w:bottom w:w="0" w:type="dxa"/>
              <w:right w:w="15" w:type="dxa"/>
            </w:tcMar>
            <w:vAlign w:val="bottom"/>
            <w:hideMark/>
          </w:tcPr>
          <w:p w14:paraId="6470A7E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MEX</w:t>
            </w:r>
          </w:p>
        </w:tc>
        <w:tc>
          <w:tcPr>
            <w:tcW w:w="0" w:type="auto"/>
            <w:shd w:val="clear" w:color="auto" w:fill="auto"/>
            <w:noWrap/>
            <w:tcMar>
              <w:top w:w="15" w:type="dxa"/>
              <w:left w:w="15" w:type="dxa"/>
              <w:bottom w:w="0" w:type="dxa"/>
              <w:right w:w="15" w:type="dxa"/>
            </w:tcMar>
            <w:vAlign w:val="bottom"/>
            <w:hideMark/>
          </w:tcPr>
          <w:p w14:paraId="50E7244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0.96%</w:t>
            </w:r>
          </w:p>
        </w:tc>
        <w:tc>
          <w:tcPr>
            <w:tcW w:w="0" w:type="auto"/>
            <w:shd w:val="clear" w:color="auto" w:fill="auto"/>
            <w:noWrap/>
            <w:tcMar>
              <w:top w:w="15" w:type="dxa"/>
              <w:left w:w="15" w:type="dxa"/>
              <w:bottom w:w="0" w:type="dxa"/>
              <w:right w:w="15" w:type="dxa"/>
            </w:tcMar>
            <w:vAlign w:val="bottom"/>
            <w:hideMark/>
          </w:tcPr>
          <w:p w14:paraId="4E67E1A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c>
          <w:tcPr>
            <w:tcW w:w="0" w:type="auto"/>
            <w:shd w:val="clear" w:color="auto" w:fill="auto"/>
            <w:noWrap/>
            <w:tcMar>
              <w:top w:w="15" w:type="dxa"/>
              <w:left w:w="15" w:type="dxa"/>
              <w:bottom w:w="0" w:type="dxa"/>
              <w:right w:w="15" w:type="dxa"/>
            </w:tcMar>
            <w:vAlign w:val="bottom"/>
            <w:hideMark/>
          </w:tcPr>
          <w:p w14:paraId="0248BB6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shd w:val="clear" w:color="auto" w:fill="auto"/>
            <w:noWrap/>
            <w:tcMar>
              <w:top w:w="15" w:type="dxa"/>
              <w:left w:w="15" w:type="dxa"/>
              <w:bottom w:w="0" w:type="dxa"/>
              <w:right w:w="15" w:type="dxa"/>
            </w:tcMar>
            <w:vAlign w:val="bottom"/>
            <w:hideMark/>
          </w:tcPr>
          <w:p w14:paraId="3B4A424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MAL</w:t>
            </w:r>
          </w:p>
        </w:tc>
      </w:tr>
      <w:tr w:rsidR="006F4180" w:rsidRPr="006F4180" w14:paraId="3E84264C" w14:textId="77777777" w:rsidTr="00D530E8">
        <w:trPr>
          <w:trHeight w:val="288"/>
          <w:jc w:val="center"/>
        </w:trPr>
        <w:tc>
          <w:tcPr>
            <w:tcW w:w="0" w:type="auto"/>
            <w:shd w:val="clear" w:color="auto" w:fill="auto"/>
            <w:noWrap/>
            <w:tcMar>
              <w:top w:w="15" w:type="dxa"/>
              <w:left w:w="15" w:type="dxa"/>
              <w:bottom w:w="0" w:type="dxa"/>
              <w:right w:w="15" w:type="dxa"/>
            </w:tcMar>
            <w:vAlign w:val="bottom"/>
            <w:hideMark/>
          </w:tcPr>
          <w:p w14:paraId="2ABCF70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22</w:t>
            </w:r>
          </w:p>
        </w:tc>
        <w:tc>
          <w:tcPr>
            <w:tcW w:w="0" w:type="auto"/>
            <w:shd w:val="clear" w:color="auto" w:fill="auto"/>
            <w:noWrap/>
            <w:tcMar>
              <w:top w:w="15" w:type="dxa"/>
              <w:left w:w="15" w:type="dxa"/>
              <w:bottom w:w="0" w:type="dxa"/>
              <w:right w:w="15" w:type="dxa"/>
            </w:tcMar>
            <w:vAlign w:val="bottom"/>
            <w:hideMark/>
          </w:tcPr>
          <w:p w14:paraId="2E5E585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TAI</w:t>
            </w:r>
          </w:p>
        </w:tc>
        <w:tc>
          <w:tcPr>
            <w:tcW w:w="0" w:type="auto"/>
            <w:shd w:val="clear" w:color="auto" w:fill="auto"/>
            <w:noWrap/>
            <w:tcMar>
              <w:top w:w="15" w:type="dxa"/>
              <w:left w:w="15" w:type="dxa"/>
              <w:bottom w:w="0" w:type="dxa"/>
              <w:right w:w="15" w:type="dxa"/>
            </w:tcMar>
            <w:vAlign w:val="bottom"/>
            <w:hideMark/>
          </w:tcPr>
          <w:p w14:paraId="7470827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0.37%</w:t>
            </w:r>
          </w:p>
        </w:tc>
        <w:tc>
          <w:tcPr>
            <w:tcW w:w="0" w:type="auto"/>
            <w:shd w:val="clear" w:color="auto" w:fill="auto"/>
            <w:noWrap/>
            <w:tcMar>
              <w:top w:w="15" w:type="dxa"/>
              <w:left w:w="15" w:type="dxa"/>
              <w:bottom w:w="0" w:type="dxa"/>
              <w:right w:w="15" w:type="dxa"/>
            </w:tcMar>
            <w:vAlign w:val="bottom"/>
            <w:hideMark/>
          </w:tcPr>
          <w:p w14:paraId="1B49B5D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75D101BE"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KOR</w:t>
            </w:r>
          </w:p>
        </w:tc>
        <w:tc>
          <w:tcPr>
            <w:tcW w:w="0" w:type="auto"/>
            <w:tcBorders>
              <w:right w:val="single" w:sz="4" w:space="0" w:color="auto"/>
            </w:tcBorders>
            <w:shd w:val="clear" w:color="auto" w:fill="auto"/>
            <w:noWrap/>
            <w:tcMar>
              <w:top w:w="15" w:type="dxa"/>
              <w:left w:w="15" w:type="dxa"/>
              <w:bottom w:w="0" w:type="dxa"/>
              <w:right w:w="15" w:type="dxa"/>
            </w:tcMar>
            <w:vAlign w:val="bottom"/>
            <w:hideMark/>
          </w:tcPr>
          <w:p w14:paraId="6E3CC8A9"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PHI</w:t>
            </w:r>
          </w:p>
        </w:tc>
        <w:tc>
          <w:tcPr>
            <w:tcW w:w="0" w:type="auto"/>
            <w:tcBorders>
              <w:left w:val="single" w:sz="4" w:space="0" w:color="auto"/>
            </w:tcBorders>
            <w:shd w:val="clear" w:color="auto" w:fill="auto"/>
            <w:noWrap/>
            <w:tcMar>
              <w:top w:w="15" w:type="dxa"/>
              <w:left w:w="15" w:type="dxa"/>
              <w:bottom w:w="0" w:type="dxa"/>
              <w:right w:w="15" w:type="dxa"/>
            </w:tcMar>
            <w:vAlign w:val="bottom"/>
            <w:hideMark/>
          </w:tcPr>
          <w:p w14:paraId="2CEAF84D"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22</w:t>
            </w:r>
          </w:p>
        </w:tc>
        <w:tc>
          <w:tcPr>
            <w:tcW w:w="0" w:type="auto"/>
            <w:shd w:val="clear" w:color="auto" w:fill="auto"/>
            <w:noWrap/>
            <w:tcMar>
              <w:top w:w="15" w:type="dxa"/>
              <w:left w:w="15" w:type="dxa"/>
              <w:bottom w:w="0" w:type="dxa"/>
              <w:right w:w="15" w:type="dxa"/>
            </w:tcMar>
            <w:vAlign w:val="bottom"/>
            <w:hideMark/>
          </w:tcPr>
          <w:p w14:paraId="4D447405"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CHN</w:t>
            </w:r>
          </w:p>
        </w:tc>
        <w:tc>
          <w:tcPr>
            <w:tcW w:w="0" w:type="auto"/>
            <w:shd w:val="clear" w:color="auto" w:fill="auto"/>
            <w:noWrap/>
            <w:tcMar>
              <w:top w:w="15" w:type="dxa"/>
              <w:left w:w="15" w:type="dxa"/>
              <w:bottom w:w="0" w:type="dxa"/>
              <w:right w:w="15" w:type="dxa"/>
            </w:tcMar>
            <w:vAlign w:val="bottom"/>
            <w:hideMark/>
          </w:tcPr>
          <w:p w14:paraId="5623B9A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0.67%</w:t>
            </w:r>
          </w:p>
        </w:tc>
        <w:tc>
          <w:tcPr>
            <w:tcW w:w="0" w:type="auto"/>
            <w:shd w:val="clear" w:color="auto" w:fill="auto"/>
            <w:noWrap/>
            <w:tcMar>
              <w:top w:w="15" w:type="dxa"/>
              <w:left w:w="15" w:type="dxa"/>
              <w:bottom w:w="0" w:type="dxa"/>
              <w:right w:w="15" w:type="dxa"/>
            </w:tcMar>
            <w:vAlign w:val="bottom"/>
            <w:hideMark/>
          </w:tcPr>
          <w:p w14:paraId="33974E8F"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INDO</w:t>
            </w:r>
          </w:p>
        </w:tc>
        <w:tc>
          <w:tcPr>
            <w:tcW w:w="0" w:type="auto"/>
            <w:shd w:val="clear" w:color="auto" w:fill="auto"/>
            <w:noWrap/>
            <w:tcMar>
              <w:top w:w="15" w:type="dxa"/>
              <w:left w:w="15" w:type="dxa"/>
              <w:bottom w:w="0" w:type="dxa"/>
              <w:right w:w="15" w:type="dxa"/>
            </w:tcMar>
            <w:vAlign w:val="bottom"/>
            <w:hideMark/>
          </w:tcPr>
          <w:p w14:paraId="4EAD919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PHI</w:t>
            </w:r>
          </w:p>
        </w:tc>
        <w:tc>
          <w:tcPr>
            <w:tcW w:w="0" w:type="auto"/>
            <w:shd w:val="clear" w:color="auto" w:fill="auto"/>
            <w:noWrap/>
            <w:tcMar>
              <w:top w:w="15" w:type="dxa"/>
              <w:left w:w="15" w:type="dxa"/>
              <w:bottom w:w="0" w:type="dxa"/>
              <w:right w:w="15" w:type="dxa"/>
            </w:tcMar>
            <w:vAlign w:val="bottom"/>
            <w:hideMark/>
          </w:tcPr>
          <w:p w14:paraId="73B6952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KOR</w:t>
            </w:r>
          </w:p>
        </w:tc>
      </w:tr>
      <w:tr w:rsidR="006F4180" w:rsidRPr="006F4180" w14:paraId="6EFC9D8A" w14:textId="77777777" w:rsidTr="00D530E8">
        <w:trPr>
          <w:trHeight w:val="288"/>
          <w:jc w:val="center"/>
        </w:trPr>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6EBE0FA4"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23</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C6B0536"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SAF</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0B39B3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0.14%</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55597F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3FB2DD08"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65122"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BRA</w:t>
            </w:r>
          </w:p>
        </w:tc>
        <w:tc>
          <w:tcPr>
            <w:tcW w:w="0" w:type="auto"/>
            <w:tcBorders>
              <w:left w:val="single" w:sz="4" w:space="0" w:color="auto"/>
              <w:bottom w:val="single" w:sz="4" w:space="0" w:color="auto"/>
            </w:tcBorders>
            <w:shd w:val="clear" w:color="auto" w:fill="auto"/>
            <w:noWrap/>
            <w:tcMar>
              <w:top w:w="15" w:type="dxa"/>
              <w:left w:w="15" w:type="dxa"/>
              <w:bottom w:w="0" w:type="dxa"/>
              <w:right w:w="15" w:type="dxa"/>
            </w:tcMar>
            <w:vAlign w:val="bottom"/>
            <w:hideMark/>
          </w:tcPr>
          <w:p w14:paraId="77F35C0A"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23</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4E1EF1E7"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SAF</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143317F1"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0.57%</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072A370B"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ARG</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798E6733"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RUS</w:t>
            </w:r>
          </w:p>
        </w:tc>
        <w:tc>
          <w:tcPr>
            <w:tcW w:w="0" w:type="auto"/>
            <w:tcBorders>
              <w:bottom w:val="single" w:sz="4" w:space="0" w:color="auto"/>
            </w:tcBorders>
            <w:shd w:val="clear" w:color="auto" w:fill="auto"/>
            <w:noWrap/>
            <w:tcMar>
              <w:top w:w="15" w:type="dxa"/>
              <w:left w:w="15" w:type="dxa"/>
              <w:bottom w:w="0" w:type="dxa"/>
              <w:right w:w="15" w:type="dxa"/>
            </w:tcMar>
            <w:vAlign w:val="bottom"/>
            <w:hideMark/>
          </w:tcPr>
          <w:p w14:paraId="671A174C" w14:textId="77777777" w:rsidR="00994C18" w:rsidRPr="006F4180" w:rsidRDefault="00994C18" w:rsidP="00265625">
            <w:pPr>
              <w:spacing w:line="240" w:lineRule="auto"/>
              <w:jc w:val="center"/>
              <w:rPr>
                <w:rFonts w:ascii="Times New Roman" w:hAnsi="Times New Roman" w:cs="Times New Roman"/>
                <w:sz w:val="20"/>
                <w:szCs w:val="20"/>
              </w:rPr>
            </w:pPr>
            <w:r w:rsidRPr="006F4180">
              <w:rPr>
                <w:rFonts w:ascii="Times New Roman" w:hAnsi="Times New Roman" w:cs="Times New Roman"/>
                <w:sz w:val="20"/>
                <w:szCs w:val="20"/>
              </w:rPr>
              <w:t>PAK</w:t>
            </w:r>
          </w:p>
        </w:tc>
      </w:tr>
    </w:tbl>
    <w:p w14:paraId="6C34BCA7" w14:textId="77777777" w:rsidR="00994C18" w:rsidRPr="006F4180" w:rsidRDefault="00994C18" w:rsidP="00994C18">
      <w:pPr>
        <w:spacing w:line="360" w:lineRule="auto"/>
        <w:jc w:val="both"/>
        <w:rPr>
          <w:rFonts w:ascii="Times New Roman" w:hAnsi="Times New Roman" w:cs="Times New Roman"/>
          <w:sz w:val="24"/>
          <w:szCs w:val="24"/>
          <w:lang w:val="en-NZ"/>
        </w:rPr>
      </w:pPr>
    </w:p>
    <w:p w14:paraId="3E3646E2" w14:textId="77777777" w:rsidR="00994C18" w:rsidRPr="006F4180" w:rsidRDefault="00994C18" w:rsidP="00994C18">
      <w:pPr>
        <w:rPr>
          <w:rFonts w:ascii="Times New Roman" w:hAnsi="Times New Roman" w:cs="Times New Roman"/>
          <w:b/>
          <w:bCs/>
          <w:sz w:val="24"/>
          <w:szCs w:val="24"/>
          <w:lang w:val="en-NZ"/>
        </w:rPr>
      </w:pPr>
      <w:r w:rsidRPr="006F4180">
        <w:rPr>
          <w:rFonts w:ascii="Times New Roman" w:hAnsi="Times New Roman" w:cs="Times New Roman"/>
          <w:b/>
          <w:bCs/>
          <w:sz w:val="24"/>
          <w:szCs w:val="24"/>
          <w:lang w:val="en-NZ"/>
        </w:rPr>
        <w:br w:type="page"/>
      </w:r>
    </w:p>
    <w:p w14:paraId="434A1B73" w14:textId="77777777" w:rsidR="00994C18" w:rsidRPr="006F4180" w:rsidRDefault="00994C18" w:rsidP="00994C18">
      <w:pPr>
        <w:spacing w:line="360" w:lineRule="auto"/>
        <w:jc w:val="both"/>
        <w:rPr>
          <w:rFonts w:ascii="Times New Roman" w:hAnsi="Times New Roman" w:cs="Times New Roman"/>
          <w:b/>
          <w:bCs/>
          <w:sz w:val="24"/>
          <w:szCs w:val="24"/>
        </w:rPr>
      </w:pPr>
      <w:r w:rsidRPr="006F4180">
        <w:rPr>
          <w:rFonts w:ascii="Times New Roman" w:hAnsi="Times New Roman" w:cs="Times New Roman"/>
          <w:b/>
          <w:bCs/>
          <w:sz w:val="24"/>
          <w:szCs w:val="24"/>
          <w:lang w:val="en-NZ"/>
        </w:rPr>
        <w:lastRenderedPageBreak/>
        <w:t xml:space="preserve">Figure 7. </w:t>
      </w:r>
      <w:r w:rsidRPr="006F4180">
        <w:rPr>
          <w:rFonts w:ascii="Times New Roman" w:hAnsi="Times New Roman" w:cs="Times New Roman"/>
          <w:b/>
          <w:bCs/>
          <w:sz w:val="24"/>
          <w:szCs w:val="24"/>
        </w:rPr>
        <w:t>Network representation of a weighted adjacency matrix – Global Financial Crisis.</w:t>
      </w:r>
    </w:p>
    <w:p w14:paraId="0D0BF255" w14:textId="77777777" w:rsidR="00994C18" w:rsidRPr="006F4180" w:rsidRDefault="00994C18" w:rsidP="00994C18">
      <w:r w:rsidRPr="006F4180">
        <w:rPr>
          <w:rFonts w:ascii="Times New Roman" w:hAnsi="Times New Roman" w:cs="Times New Roman"/>
          <w:noProof/>
          <w:sz w:val="24"/>
          <w:szCs w:val="24"/>
        </w:rPr>
        <w:drawing>
          <wp:inline distT="0" distB="0" distL="0" distR="0" wp14:anchorId="75B9E316" wp14:editId="7749B268">
            <wp:extent cx="5707380" cy="4253441"/>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7977" t="6623" r="7999" b="6744"/>
                    <a:stretch/>
                  </pic:blipFill>
                  <pic:spPr bwMode="auto">
                    <a:xfrm>
                      <a:off x="0" y="0"/>
                      <a:ext cx="5837238" cy="4350218"/>
                    </a:xfrm>
                    <a:prstGeom prst="rect">
                      <a:avLst/>
                    </a:prstGeom>
                    <a:noFill/>
                    <a:ln>
                      <a:noFill/>
                    </a:ln>
                    <a:extLst>
                      <a:ext uri="{53640926-AAD7-44D8-BBD7-CCE9431645EC}">
                        <a14:shadowObscured xmlns:a14="http://schemas.microsoft.com/office/drawing/2010/main"/>
                      </a:ext>
                    </a:extLst>
                  </pic:spPr>
                </pic:pic>
              </a:graphicData>
            </a:graphic>
          </wp:inline>
        </w:drawing>
      </w:r>
    </w:p>
    <w:p w14:paraId="1E5C5B68" w14:textId="77777777" w:rsidR="00994C18" w:rsidRPr="006F4180" w:rsidRDefault="00994C18" w:rsidP="00994C18">
      <w:pPr>
        <w:spacing w:line="240" w:lineRule="auto"/>
        <w:jc w:val="both"/>
        <w:rPr>
          <w:rFonts w:ascii="Times New Roman" w:hAnsi="Times New Roman" w:cs="Times New Roman"/>
          <w:sz w:val="24"/>
          <w:szCs w:val="24"/>
        </w:rPr>
      </w:pPr>
      <w:r w:rsidRPr="006F4180">
        <w:rPr>
          <w:rFonts w:ascii="Times New Roman" w:hAnsi="Times New Roman" w:cs="Times New Roman"/>
          <w:sz w:val="24"/>
          <w:szCs w:val="24"/>
        </w:rPr>
        <w:t>Note. This elliptical network representation is weighted adjacency matrices for the financial crisis sample. The values smaller than average of first 100 largest partial derivatives are set to be 0.</w:t>
      </w:r>
    </w:p>
    <w:p w14:paraId="582B64EB" w14:textId="77777777" w:rsidR="00994C18" w:rsidRPr="006F4180" w:rsidRDefault="00994C18" w:rsidP="00994C18"/>
    <w:p w14:paraId="13CB77CC"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7FBF7A36"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6FC07727"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45A81804"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5CAE2D3D"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210A6A8F"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27A6AAEB"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10D637EC" w14:textId="77777777" w:rsidR="00994C18" w:rsidRPr="006F4180" w:rsidRDefault="00994C18" w:rsidP="00994C18">
      <w:pPr>
        <w:spacing w:line="360" w:lineRule="auto"/>
        <w:jc w:val="both"/>
        <w:rPr>
          <w:rFonts w:ascii="Times New Roman" w:hAnsi="Times New Roman" w:cs="Times New Roman"/>
          <w:b/>
          <w:bCs/>
          <w:sz w:val="24"/>
          <w:szCs w:val="24"/>
          <w:lang w:val="en-NZ"/>
        </w:rPr>
      </w:pPr>
    </w:p>
    <w:p w14:paraId="3FF7D156" w14:textId="77777777" w:rsidR="00994C18" w:rsidRPr="006F4180" w:rsidRDefault="00994C18" w:rsidP="00994C18">
      <w:pPr>
        <w:spacing w:line="360" w:lineRule="auto"/>
        <w:jc w:val="both"/>
        <w:rPr>
          <w:rFonts w:ascii="Times New Roman" w:hAnsi="Times New Roman" w:cs="Times New Roman"/>
          <w:b/>
          <w:bCs/>
          <w:sz w:val="24"/>
          <w:szCs w:val="24"/>
        </w:rPr>
      </w:pPr>
      <w:r w:rsidRPr="006F4180">
        <w:rPr>
          <w:rFonts w:ascii="Times New Roman" w:hAnsi="Times New Roman" w:cs="Times New Roman"/>
          <w:b/>
          <w:bCs/>
          <w:sz w:val="24"/>
          <w:szCs w:val="24"/>
          <w:lang w:val="en-NZ"/>
        </w:rPr>
        <w:lastRenderedPageBreak/>
        <w:t xml:space="preserve">Figure 8. </w:t>
      </w:r>
      <w:r w:rsidRPr="006F4180">
        <w:rPr>
          <w:rFonts w:ascii="Times New Roman" w:hAnsi="Times New Roman" w:cs="Times New Roman"/>
          <w:b/>
          <w:bCs/>
          <w:sz w:val="24"/>
          <w:szCs w:val="24"/>
        </w:rPr>
        <w:t>Network representation of a weighted adjacency matrix – COVID-19 crisis.</w:t>
      </w:r>
    </w:p>
    <w:p w14:paraId="2126B386" w14:textId="77777777" w:rsidR="00994C18" w:rsidRPr="006F4180" w:rsidRDefault="00994C18" w:rsidP="00994C18">
      <w:pPr>
        <w:spacing w:line="360" w:lineRule="auto"/>
        <w:jc w:val="both"/>
        <w:rPr>
          <w:rFonts w:ascii="Times New Roman" w:hAnsi="Times New Roman" w:cs="Times New Roman"/>
          <w:sz w:val="24"/>
          <w:szCs w:val="24"/>
          <w:lang w:val="en-NZ"/>
        </w:rPr>
      </w:pPr>
      <w:r w:rsidRPr="006F4180">
        <w:rPr>
          <w:rFonts w:ascii="Times New Roman" w:hAnsi="Times New Roman" w:cs="Times New Roman"/>
          <w:noProof/>
          <w:sz w:val="24"/>
          <w:szCs w:val="24"/>
        </w:rPr>
        <w:drawing>
          <wp:inline distT="0" distB="0" distL="0" distR="0" wp14:anchorId="614E43E1" wp14:editId="128EF192">
            <wp:extent cx="5716935" cy="43510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l="7977" t="5518" r="7999" b="6008"/>
                    <a:stretch/>
                  </pic:blipFill>
                  <pic:spPr bwMode="auto">
                    <a:xfrm>
                      <a:off x="0" y="0"/>
                      <a:ext cx="5804371" cy="4417566"/>
                    </a:xfrm>
                    <a:prstGeom prst="rect">
                      <a:avLst/>
                    </a:prstGeom>
                    <a:noFill/>
                    <a:ln>
                      <a:noFill/>
                    </a:ln>
                    <a:extLst>
                      <a:ext uri="{53640926-AAD7-44D8-BBD7-CCE9431645EC}">
                        <a14:shadowObscured xmlns:a14="http://schemas.microsoft.com/office/drawing/2010/main"/>
                      </a:ext>
                    </a:extLst>
                  </pic:spPr>
                </pic:pic>
              </a:graphicData>
            </a:graphic>
          </wp:inline>
        </w:drawing>
      </w:r>
    </w:p>
    <w:p w14:paraId="64C1E901" w14:textId="77777777" w:rsidR="00994C18" w:rsidRPr="006F4180" w:rsidRDefault="00994C18" w:rsidP="00994C18">
      <w:pPr>
        <w:spacing w:line="240" w:lineRule="auto"/>
        <w:jc w:val="both"/>
        <w:rPr>
          <w:rFonts w:ascii="Times New Roman" w:hAnsi="Times New Roman" w:cs="Times New Roman"/>
          <w:sz w:val="24"/>
          <w:szCs w:val="24"/>
        </w:rPr>
      </w:pPr>
      <w:r w:rsidRPr="006F4180">
        <w:rPr>
          <w:rFonts w:ascii="Times New Roman" w:hAnsi="Times New Roman" w:cs="Times New Roman"/>
          <w:sz w:val="24"/>
          <w:szCs w:val="24"/>
        </w:rPr>
        <w:t>Note. This elliptical network representation is weighted adjacency matrices for the COVID-19 sample. The values smaller than average of first 100 largest partial derivatives are set to be 0.</w:t>
      </w:r>
    </w:p>
    <w:p w14:paraId="7E14B695" w14:textId="77777777" w:rsidR="00994C18" w:rsidRPr="006F4180" w:rsidRDefault="00994C18" w:rsidP="00994C18"/>
    <w:p w14:paraId="7BD33A41" w14:textId="77777777" w:rsidR="0056181A" w:rsidRPr="006F4180" w:rsidRDefault="0056181A" w:rsidP="0056181A">
      <w:pPr>
        <w:spacing w:line="360" w:lineRule="auto"/>
        <w:jc w:val="both"/>
        <w:rPr>
          <w:rFonts w:ascii="Times New Roman" w:hAnsi="Times New Roman" w:cs="Times New Roman"/>
          <w:sz w:val="24"/>
          <w:szCs w:val="24"/>
          <w:lang w:val="en-NZ"/>
        </w:rPr>
      </w:pPr>
    </w:p>
    <w:sectPr w:rsidR="0056181A" w:rsidRPr="006F418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38E2" w14:textId="77777777" w:rsidR="00962CBE" w:rsidRDefault="00962CBE" w:rsidP="00424A73">
      <w:pPr>
        <w:spacing w:after="0" w:line="240" w:lineRule="auto"/>
      </w:pPr>
      <w:r>
        <w:separator/>
      </w:r>
    </w:p>
  </w:endnote>
  <w:endnote w:type="continuationSeparator" w:id="0">
    <w:p w14:paraId="342B7F4E" w14:textId="77777777" w:rsidR="00962CBE" w:rsidRDefault="00962CBE"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MTMI">
    <w:altName w:val="Arial Unicode MS"/>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384836"/>
      <w:docPartObj>
        <w:docPartGallery w:val="Page Numbers (Bottom of Page)"/>
        <w:docPartUnique/>
      </w:docPartObj>
    </w:sdtPr>
    <w:sdtEndPr>
      <w:rPr>
        <w:noProof/>
      </w:rPr>
    </w:sdtEndPr>
    <w:sdtContent>
      <w:p w14:paraId="5855FA70" w14:textId="380C794F" w:rsidR="00A82303" w:rsidRDefault="00A823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5CC49" w14:textId="77777777" w:rsidR="00A82303" w:rsidRDefault="00A82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24A6" w14:textId="77777777" w:rsidR="00962CBE" w:rsidRDefault="00962CBE" w:rsidP="00424A73">
      <w:pPr>
        <w:spacing w:after="0" w:line="240" w:lineRule="auto"/>
      </w:pPr>
      <w:r>
        <w:separator/>
      </w:r>
    </w:p>
  </w:footnote>
  <w:footnote w:type="continuationSeparator" w:id="0">
    <w:p w14:paraId="143BFE3D" w14:textId="77777777" w:rsidR="00962CBE" w:rsidRDefault="00962CBE" w:rsidP="00424A73">
      <w:pPr>
        <w:spacing w:after="0" w:line="240" w:lineRule="auto"/>
      </w:pPr>
      <w:r>
        <w:continuationSeparator/>
      </w:r>
    </w:p>
  </w:footnote>
  <w:footnote w:id="1">
    <w:p w14:paraId="157AD15B" w14:textId="34A1F3CA" w:rsidR="000C56BD" w:rsidRPr="000C56BD" w:rsidRDefault="000C56BD">
      <w:pPr>
        <w:pStyle w:val="FootnoteText"/>
      </w:pPr>
      <w:r>
        <w:rPr>
          <w:rStyle w:val="FootnoteReference"/>
        </w:rPr>
        <w:t>*</w:t>
      </w:r>
      <w:r>
        <w:t xml:space="preserve"> Corresponding author </w:t>
      </w:r>
    </w:p>
  </w:footnote>
  <w:footnote w:id="2">
    <w:p w14:paraId="5105D313" w14:textId="71F0C3EC" w:rsidR="001B6ADC" w:rsidRPr="00FC0D75" w:rsidRDefault="001B6ADC">
      <w:pPr>
        <w:pStyle w:val="FootnoteText"/>
        <w:rPr>
          <w:rFonts w:ascii="Times New Roman" w:hAnsi="Times New Roman" w:cs="Times New Roman"/>
        </w:rPr>
      </w:pPr>
      <w:r w:rsidRPr="00FC0D75">
        <w:rPr>
          <w:rStyle w:val="FootnoteReference"/>
          <w:rFonts w:ascii="Times New Roman" w:hAnsi="Times New Roman" w:cs="Times New Roman"/>
        </w:rPr>
        <w:footnoteRef/>
      </w:r>
      <w:r w:rsidRPr="00FC0D75">
        <w:rPr>
          <w:rFonts w:ascii="Times New Roman" w:hAnsi="Times New Roman" w:cs="Times New Roman"/>
        </w:rPr>
        <w:t xml:space="preserve"> Source: </w:t>
      </w:r>
      <w:hyperlink r:id="rId1" w:history="1">
        <w:r w:rsidRPr="00FC0D75">
          <w:rPr>
            <w:rStyle w:val="Hyperlink"/>
            <w:rFonts w:ascii="Times New Roman" w:hAnsi="Times New Roman" w:cs="Times New Roman"/>
          </w:rPr>
          <w:t>https://www.who.int/emergencies/diseases/novel-coronavirus-2019</w:t>
        </w:r>
      </w:hyperlink>
      <w:r w:rsidRPr="00FC0D75">
        <w:rPr>
          <w:rFonts w:ascii="Times New Roman" w:hAnsi="Times New Roman" w:cs="Times New Roman"/>
        </w:rPr>
        <w:t xml:space="preserve"> </w:t>
      </w:r>
    </w:p>
  </w:footnote>
  <w:footnote w:id="3">
    <w:p w14:paraId="5D60F0E2" w14:textId="77777777" w:rsidR="001B6ADC" w:rsidRDefault="001B6ADC" w:rsidP="00CF3A87">
      <w:pPr>
        <w:pStyle w:val="FootnoteText"/>
      </w:pPr>
      <w:r>
        <w:rPr>
          <w:rStyle w:val="FootnoteReference"/>
        </w:rPr>
        <w:footnoteRef/>
      </w:r>
      <w:r>
        <w:t xml:space="preserve"> </w:t>
      </w:r>
      <w:r w:rsidRPr="007C44E6">
        <w:rPr>
          <w:rFonts w:ascii="Times New Roman" w:hAnsi="Times New Roman" w:cs="Times New Roman"/>
        </w:rPr>
        <w:t xml:space="preserve">Source: </w:t>
      </w:r>
      <w:hyperlink r:id="rId2" w:history="1">
        <w:r w:rsidRPr="00C57157">
          <w:rPr>
            <w:rStyle w:val="Hyperlink"/>
            <w:rFonts w:ascii="Times New Roman" w:hAnsi="Times New Roman" w:cs="Times New Roman"/>
          </w:rPr>
          <w:t>https://markets.businessinsider.com</w:t>
        </w:r>
      </w:hyperlink>
      <w:r>
        <w:rPr>
          <w:rFonts w:ascii="Times New Roman" w:hAnsi="Times New Roman" w:cs="Times New Roman"/>
        </w:rPr>
        <w:t xml:space="preserve"> </w:t>
      </w:r>
    </w:p>
  </w:footnote>
  <w:footnote w:id="4">
    <w:p w14:paraId="62D446CB" w14:textId="1CEC7EB2" w:rsidR="001B6ADC" w:rsidRPr="00355571" w:rsidRDefault="001B6ADC">
      <w:pPr>
        <w:pStyle w:val="FootnoteText"/>
        <w:rPr>
          <w:rFonts w:ascii="Times New Roman" w:hAnsi="Times New Roman" w:cs="Times New Roman"/>
        </w:rPr>
      </w:pPr>
      <w:r w:rsidRPr="00355571">
        <w:rPr>
          <w:rStyle w:val="FootnoteReference"/>
          <w:rFonts w:ascii="Times New Roman" w:hAnsi="Times New Roman" w:cs="Times New Roman"/>
        </w:rPr>
        <w:footnoteRef/>
      </w:r>
      <w:r w:rsidRPr="00355571">
        <w:rPr>
          <w:rFonts w:ascii="Times New Roman" w:hAnsi="Times New Roman" w:cs="Times New Roman"/>
        </w:rPr>
        <w:t xml:space="preserve"> Please see: </w:t>
      </w:r>
      <w:hyperlink r:id="rId3" w:history="1">
        <w:r w:rsidRPr="00355571">
          <w:rPr>
            <w:rStyle w:val="Hyperlink"/>
            <w:rFonts w:ascii="Times New Roman" w:hAnsi="Times New Roman" w:cs="Times New Roman"/>
          </w:rPr>
          <w:t>https://www.reuters.com/article/us-turkey-economy-gdp-idUSKCN2AT1UE</w:t>
        </w:r>
      </w:hyperlink>
      <w:r w:rsidRPr="00355571">
        <w:rPr>
          <w:rFonts w:ascii="Times New Roman" w:hAnsi="Times New Roman" w:cs="Times New Roman"/>
        </w:rPr>
        <w:t xml:space="preserve"> </w:t>
      </w:r>
    </w:p>
  </w:footnote>
  <w:footnote w:id="5">
    <w:p w14:paraId="551C9F8F" w14:textId="5F23A790" w:rsidR="001B6ADC" w:rsidRDefault="001B6ADC">
      <w:pPr>
        <w:pStyle w:val="FootnoteText"/>
      </w:pPr>
      <w:r w:rsidRPr="00355571">
        <w:rPr>
          <w:rStyle w:val="FootnoteReference"/>
          <w:rFonts w:ascii="Times New Roman" w:hAnsi="Times New Roman" w:cs="Times New Roman"/>
        </w:rPr>
        <w:footnoteRef/>
      </w:r>
      <w:r w:rsidRPr="00355571">
        <w:rPr>
          <w:rFonts w:ascii="Times New Roman" w:hAnsi="Times New Roman" w:cs="Times New Roman"/>
        </w:rPr>
        <w:t xml:space="preserve"> Please see: </w:t>
      </w:r>
      <w:hyperlink r:id="rId4" w:history="1">
        <w:r w:rsidRPr="00355571">
          <w:rPr>
            <w:rStyle w:val="Hyperlink"/>
            <w:rFonts w:ascii="Times New Roman" w:hAnsi="Times New Roman" w:cs="Times New Roman"/>
          </w:rPr>
          <w:t>https://www.worldbank.org/en/country/turkey/overview</w:t>
        </w:r>
      </w:hyperlink>
      <w:r>
        <w:t xml:space="preserve"> </w:t>
      </w:r>
    </w:p>
  </w:footnote>
  <w:footnote w:id="6">
    <w:p w14:paraId="2E5B0C15" w14:textId="1948DE3C" w:rsidR="00450D52" w:rsidRPr="00450D52" w:rsidRDefault="00450D52">
      <w:pPr>
        <w:pStyle w:val="FootnoteText"/>
        <w:rPr>
          <w:rFonts w:ascii="Times New Roman" w:hAnsi="Times New Roman" w:cs="Times New Roman"/>
        </w:rPr>
      </w:pPr>
      <w:r w:rsidRPr="00450D52">
        <w:rPr>
          <w:rStyle w:val="FootnoteReference"/>
          <w:rFonts w:ascii="Times New Roman" w:hAnsi="Times New Roman" w:cs="Times New Roman"/>
        </w:rPr>
        <w:footnoteRef/>
      </w:r>
      <w:r w:rsidRPr="00450D52">
        <w:rPr>
          <w:rFonts w:ascii="Times New Roman" w:hAnsi="Times New Roman" w:cs="Times New Roman"/>
        </w:rPr>
        <w:t xml:space="preserve"> Please see: </w:t>
      </w:r>
      <w:hyperlink r:id="rId5" w:history="1">
        <w:r w:rsidRPr="00450D52">
          <w:rPr>
            <w:rStyle w:val="Hyperlink"/>
            <w:rFonts w:ascii="Times New Roman" w:hAnsi="Times New Roman" w:cs="Times New Roman"/>
          </w:rPr>
          <w:t>https://mba.tuck.dartmouth.edu/pages/faculty/ken.french/Data_Library/f-f_5emerging.html</w:t>
        </w:r>
      </w:hyperlink>
      <w:r w:rsidRPr="00450D52">
        <w:rPr>
          <w:rFonts w:ascii="Times New Roman" w:hAnsi="Times New Roman" w:cs="Times New Roman"/>
        </w:rPr>
        <w:t xml:space="preserve"> </w:t>
      </w:r>
    </w:p>
  </w:footnote>
  <w:footnote w:id="7">
    <w:p w14:paraId="2E09A58B" w14:textId="24AC5CC9" w:rsidR="001B6ADC" w:rsidRPr="008C411C" w:rsidRDefault="001B6ADC">
      <w:pPr>
        <w:pStyle w:val="FootnoteText"/>
        <w:rPr>
          <w:rFonts w:ascii="Times New Roman" w:hAnsi="Times New Roman" w:cs="Times New Roman"/>
        </w:rPr>
      </w:pPr>
      <w:r w:rsidRPr="008C411C">
        <w:rPr>
          <w:rStyle w:val="FootnoteReference"/>
          <w:rFonts w:ascii="Times New Roman" w:hAnsi="Times New Roman" w:cs="Times New Roman"/>
        </w:rPr>
        <w:footnoteRef/>
      </w:r>
      <w:r w:rsidRPr="008C411C">
        <w:rPr>
          <w:rFonts w:ascii="Times New Roman" w:hAnsi="Times New Roman" w:cs="Times New Roman"/>
        </w:rPr>
        <w:t xml:space="preserve"> </w:t>
      </w:r>
      <w:r>
        <w:rPr>
          <w:rFonts w:ascii="Times New Roman" w:hAnsi="Times New Roman" w:cs="Times New Roman"/>
        </w:rPr>
        <w:t xml:space="preserve">Please see: </w:t>
      </w:r>
      <w:hyperlink r:id="rId6" w:history="1">
        <w:r w:rsidRPr="008C411C">
          <w:rPr>
            <w:rStyle w:val="Hyperlink"/>
            <w:rFonts w:ascii="Times New Roman" w:hAnsi="Times New Roman" w:cs="Times New Roman"/>
          </w:rPr>
          <w:t>https://www.worldometers.info/coronavirus/?utm_campaign=homeAdvegas1</w:t>
        </w:r>
      </w:hyperlink>
      <w:r w:rsidRPr="008C411C">
        <w:rPr>
          <w:rFonts w:ascii="Times New Roman" w:hAnsi="Times New Roman" w:cs="Times New Roman"/>
        </w:rPr>
        <w:t xml:space="preserve">? </w:t>
      </w:r>
    </w:p>
  </w:footnote>
  <w:footnote w:id="8">
    <w:p w14:paraId="066E7FFB" w14:textId="2784B593" w:rsidR="001B6ADC" w:rsidRPr="00021094" w:rsidRDefault="001B6ADC">
      <w:pPr>
        <w:pStyle w:val="FootnoteText"/>
        <w:rPr>
          <w:rFonts w:ascii="Times New Roman" w:hAnsi="Times New Roman" w:cs="Times New Roman"/>
        </w:rPr>
      </w:pPr>
      <w:r w:rsidRPr="00021094">
        <w:rPr>
          <w:rStyle w:val="FootnoteReference"/>
          <w:rFonts w:ascii="Times New Roman" w:hAnsi="Times New Roman" w:cs="Times New Roman"/>
        </w:rPr>
        <w:footnoteRef/>
      </w:r>
      <w:r w:rsidRPr="00021094">
        <w:rPr>
          <w:rFonts w:ascii="Times New Roman" w:hAnsi="Times New Roman" w:cs="Times New Roman"/>
        </w:rPr>
        <w:t xml:space="preserve"> Please see: </w:t>
      </w:r>
      <w:hyperlink r:id="rId7" w:history="1">
        <w:r w:rsidRPr="00021094">
          <w:rPr>
            <w:rStyle w:val="Hyperlink"/>
            <w:rFonts w:ascii="Times New Roman" w:hAnsi="Times New Roman" w:cs="Times New Roman"/>
          </w:rPr>
          <w:t>https://corporatefinanceinstitute.com/resources/knowledge/economics/emerging-markets/</w:t>
        </w:r>
      </w:hyperlink>
      <w:r w:rsidRPr="0002109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818E2"/>
    <w:multiLevelType w:val="multilevel"/>
    <w:tmpl w:val="B3C4EE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CF5AAD"/>
    <w:multiLevelType w:val="hybridMultilevel"/>
    <w:tmpl w:val="6A523AEA"/>
    <w:lvl w:ilvl="0" w:tplc="D4647B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MDUwMTUzMbY0MjVU0lEKTi0uzszPAykwqQUANAFA3CwAAAA="/>
  </w:docVars>
  <w:rsids>
    <w:rsidRoot w:val="0098729A"/>
    <w:rsid w:val="000004F2"/>
    <w:rsid w:val="00007C75"/>
    <w:rsid w:val="00011703"/>
    <w:rsid w:val="00014792"/>
    <w:rsid w:val="00014E53"/>
    <w:rsid w:val="00017E73"/>
    <w:rsid w:val="00021094"/>
    <w:rsid w:val="00021FDA"/>
    <w:rsid w:val="00022D8D"/>
    <w:rsid w:val="000320F8"/>
    <w:rsid w:val="00045A8D"/>
    <w:rsid w:val="0005313F"/>
    <w:rsid w:val="00054C5E"/>
    <w:rsid w:val="00071725"/>
    <w:rsid w:val="00085DBD"/>
    <w:rsid w:val="00086458"/>
    <w:rsid w:val="00091A18"/>
    <w:rsid w:val="000955C9"/>
    <w:rsid w:val="0009577E"/>
    <w:rsid w:val="000A3E1E"/>
    <w:rsid w:val="000A3ECB"/>
    <w:rsid w:val="000B11B3"/>
    <w:rsid w:val="000B433B"/>
    <w:rsid w:val="000B5674"/>
    <w:rsid w:val="000C1F43"/>
    <w:rsid w:val="000C56BD"/>
    <w:rsid w:val="000D519A"/>
    <w:rsid w:val="000F621C"/>
    <w:rsid w:val="00110B28"/>
    <w:rsid w:val="001168F5"/>
    <w:rsid w:val="0012101E"/>
    <w:rsid w:val="001262CE"/>
    <w:rsid w:val="00130E8E"/>
    <w:rsid w:val="001319BC"/>
    <w:rsid w:val="001465D2"/>
    <w:rsid w:val="00157774"/>
    <w:rsid w:val="00157FFC"/>
    <w:rsid w:val="0016239A"/>
    <w:rsid w:val="00162958"/>
    <w:rsid w:val="00167D83"/>
    <w:rsid w:val="00170D7B"/>
    <w:rsid w:val="00171719"/>
    <w:rsid w:val="0019697F"/>
    <w:rsid w:val="001974CD"/>
    <w:rsid w:val="001A2EE8"/>
    <w:rsid w:val="001A71B1"/>
    <w:rsid w:val="001B3CF8"/>
    <w:rsid w:val="001B4FD6"/>
    <w:rsid w:val="001B6ADC"/>
    <w:rsid w:val="001B6FF2"/>
    <w:rsid w:val="001C25CF"/>
    <w:rsid w:val="001C6B68"/>
    <w:rsid w:val="001D01ED"/>
    <w:rsid w:val="001D024A"/>
    <w:rsid w:val="001D3528"/>
    <w:rsid w:val="001D51C1"/>
    <w:rsid w:val="001F27A3"/>
    <w:rsid w:val="001F5014"/>
    <w:rsid w:val="002003F5"/>
    <w:rsid w:val="002130C5"/>
    <w:rsid w:val="00213D0F"/>
    <w:rsid w:val="00214020"/>
    <w:rsid w:val="002164CF"/>
    <w:rsid w:val="002227F7"/>
    <w:rsid w:val="00237A4D"/>
    <w:rsid w:val="00255A42"/>
    <w:rsid w:val="00255E23"/>
    <w:rsid w:val="00265625"/>
    <w:rsid w:val="002735F5"/>
    <w:rsid w:val="00273A06"/>
    <w:rsid w:val="00274B59"/>
    <w:rsid w:val="00275918"/>
    <w:rsid w:val="00287845"/>
    <w:rsid w:val="00291829"/>
    <w:rsid w:val="002941FE"/>
    <w:rsid w:val="002A6BA6"/>
    <w:rsid w:val="002B28DB"/>
    <w:rsid w:val="002C2A52"/>
    <w:rsid w:val="002C7428"/>
    <w:rsid w:val="002D30F0"/>
    <w:rsid w:val="002D5F5C"/>
    <w:rsid w:val="002E1DAC"/>
    <w:rsid w:val="002E50D6"/>
    <w:rsid w:val="002F359A"/>
    <w:rsid w:val="00313B36"/>
    <w:rsid w:val="003173A4"/>
    <w:rsid w:val="0032253B"/>
    <w:rsid w:val="00324CA8"/>
    <w:rsid w:val="00332861"/>
    <w:rsid w:val="00345397"/>
    <w:rsid w:val="00355571"/>
    <w:rsid w:val="0036203E"/>
    <w:rsid w:val="00364909"/>
    <w:rsid w:val="003775D1"/>
    <w:rsid w:val="00381532"/>
    <w:rsid w:val="00381F11"/>
    <w:rsid w:val="00387F3D"/>
    <w:rsid w:val="003940CB"/>
    <w:rsid w:val="003950B7"/>
    <w:rsid w:val="00396330"/>
    <w:rsid w:val="003A071C"/>
    <w:rsid w:val="003A1A6F"/>
    <w:rsid w:val="003A2F22"/>
    <w:rsid w:val="003B145F"/>
    <w:rsid w:val="003B2FE8"/>
    <w:rsid w:val="003B5504"/>
    <w:rsid w:val="003B6D38"/>
    <w:rsid w:val="003C061A"/>
    <w:rsid w:val="003D50C4"/>
    <w:rsid w:val="003E7D44"/>
    <w:rsid w:val="003F5DF8"/>
    <w:rsid w:val="003F7915"/>
    <w:rsid w:val="00405CDF"/>
    <w:rsid w:val="004144D3"/>
    <w:rsid w:val="00424A73"/>
    <w:rsid w:val="00430271"/>
    <w:rsid w:val="00432395"/>
    <w:rsid w:val="0043668F"/>
    <w:rsid w:val="00441E19"/>
    <w:rsid w:val="00445CFC"/>
    <w:rsid w:val="0045037C"/>
    <w:rsid w:val="00450D52"/>
    <w:rsid w:val="0045257F"/>
    <w:rsid w:val="00454BE3"/>
    <w:rsid w:val="00455D1B"/>
    <w:rsid w:val="00463BAD"/>
    <w:rsid w:val="004656DE"/>
    <w:rsid w:val="00466683"/>
    <w:rsid w:val="004725A4"/>
    <w:rsid w:val="004759CC"/>
    <w:rsid w:val="004809BB"/>
    <w:rsid w:val="0048610B"/>
    <w:rsid w:val="004961A7"/>
    <w:rsid w:val="004A23B2"/>
    <w:rsid w:val="004A2A5B"/>
    <w:rsid w:val="004B1F17"/>
    <w:rsid w:val="004B2A63"/>
    <w:rsid w:val="004B6F4C"/>
    <w:rsid w:val="004C6C7A"/>
    <w:rsid w:val="004E2B92"/>
    <w:rsid w:val="004E7BCF"/>
    <w:rsid w:val="004F3AB5"/>
    <w:rsid w:val="005062A0"/>
    <w:rsid w:val="00507D55"/>
    <w:rsid w:val="0051260F"/>
    <w:rsid w:val="005209CE"/>
    <w:rsid w:val="00520B51"/>
    <w:rsid w:val="00526061"/>
    <w:rsid w:val="00537224"/>
    <w:rsid w:val="0056181A"/>
    <w:rsid w:val="00561DBE"/>
    <w:rsid w:val="00562A21"/>
    <w:rsid w:val="00563527"/>
    <w:rsid w:val="00564BDC"/>
    <w:rsid w:val="0056717E"/>
    <w:rsid w:val="00570667"/>
    <w:rsid w:val="005717B0"/>
    <w:rsid w:val="00576EFA"/>
    <w:rsid w:val="00594C9A"/>
    <w:rsid w:val="005A3A04"/>
    <w:rsid w:val="005B08A5"/>
    <w:rsid w:val="005B2390"/>
    <w:rsid w:val="005B5AB2"/>
    <w:rsid w:val="005C0A26"/>
    <w:rsid w:val="005C5BBB"/>
    <w:rsid w:val="005C5F55"/>
    <w:rsid w:val="005C7750"/>
    <w:rsid w:val="005C7888"/>
    <w:rsid w:val="005E01FE"/>
    <w:rsid w:val="005E396B"/>
    <w:rsid w:val="00601090"/>
    <w:rsid w:val="006017D4"/>
    <w:rsid w:val="00620077"/>
    <w:rsid w:val="00627107"/>
    <w:rsid w:val="006370C6"/>
    <w:rsid w:val="00643780"/>
    <w:rsid w:val="00650636"/>
    <w:rsid w:val="00651D65"/>
    <w:rsid w:val="006521EC"/>
    <w:rsid w:val="00654706"/>
    <w:rsid w:val="0066040A"/>
    <w:rsid w:val="00665110"/>
    <w:rsid w:val="00666461"/>
    <w:rsid w:val="00684CA3"/>
    <w:rsid w:val="006A30BC"/>
    <w:rsid w:val="006A6554"/>
    <w:rsid w:val="006B2EC7"/>
    <w:rsid w:val="006B55AA"/>
    <w:rsid w:val="006E107B"/>
    <w:rsid w:val="006F0503"/>
    <w:rsid w:val="006F18D0"/>
    <w:rsid w:val="006F4180"/>
    <w:rsid w:val="00716349"/>
    <w:rsid w:val="00716CE0"/>
    <w:rsid w:val="00721EC7"/>
    <w:rsid w:val="00723BBE"/>
    <w:rsid w:val="0072759E"/>
    <w:rsid w:val="00735497"/>
    <w:rsid w:val="00737F0C"/>
    <w:rsid w:val="0074366D"/>
    <w:rsid w:val="00753AB9"/>
    <w:rsid w:val="0075697D"/>
    <w:rsid w:val="00761CCB"/>
    <w:rsid w:val="00776207"/>
    <w:rsid w:val="0078081A"/>
    <w:rsid w:val="00785B5B"/>
    <w:rsid w:val="0078664F"/>
    <w:rsid w:val="0079581C"/>
    <w:rsid w:val="007967F0"/>
    <w:rsid w:val="007B4576"/>
    <w:rsid w:val="007B495D"/>
    <w:rsid w:val="007B7D28"/>
    <w:rsid w:val="00805B2C"/>
    <w:rsid w:val="008076E2"/>
    <w:rsid w:val="00813586"/>
    <w:rsid w:val="00815B30"/>
    <w:rsid w:val="00820AF6"/>
    <w:rsid w:val="00834D56"/>
    <w:rsid w:val="00842351"/>
    <w:rsid w:val="00850C05"/>
    <w:rsid w:val="0085310A"/>
    <w:rsid w:val="008631C4"/>
    <w:rsid w:val="008654F0"/>
    <w:rsid w:val="00867FBA"/>
    <w:rsid w:val="00872E69"/>
    <w:rsid w:val="00883237"/>
    <w:rsid w:val="00895E0B"/>
    <w:rsid w:val="00896457"/>
    <w:rsid w:val="008A5DB3"/>
    <w:rsid w:val="008C1106"/>
    <w:rsid w:val="008C208C"/>
    <w:rsid w:val="008C2EC8"/>
    <w:rsid w:val="008C411C"/>
    <w:rsid w:val="008D6E0A"/>
    <w:rsid w:val="008D7035"/>
    <w:rsid w:val="008E409D"/>
    <w:rsid w:val="008F3F83"/>
    <w:rsid w:val="008F7006"/>
    <w:rsid w:val="00900DA0"/>
    <w:rsid w:val="0090733E"/>
    <w:rsid w:val="0091118A"/>
    <w:rsid w:val="009141DC"/>
    <w:rsid w:val="00920979"/>
    <w:rsid w:val="00936B06"/>
    <w:rsid w:val="0095042A"/>
    <w:rsid w:val="00957469"/>
    <w:rsid w:val="00962CBE"/>
    <w:rsid w:val="00963E10"/>
    <w:rsid w:val="0096563E"/>
    <w:rsid w:val="0097201C"/>
    <w:rsid w:val="00986311"/>
    <w:rsid w:val="0098729A"/>
    <w:rsid w:val="009944C2"/>
    <w:rsid w:val="009946D8"/>
    <w:rsid w:val="00994C18"/>
    <w:rsid w:val="00994EA2"/>
    <w:rsid w:val="00995628"/>
    <w:rsid w:val="009A0037"/>
    <w:rsid w:val="009A0CDE"/>
    <w:rsid w:val="009A4091"/>
    <w:rsid w:val="009B3F97"/>
    <w:rsid w:val="009C2ECF"/>
    <w:rsid w:val="009C35D0"/>
    <w:rsid w:val="009E2FF6"/>
    <w:rsid w:val="009F2557"/>
    <w:rsid w:val="00A169E7"/>
    <w:rsid w:val="00A226BF"/>
    <w:rsid w:val="00A36F70"/>
    <w:rsid w:val="00A46A4D"/>
    <w:rsid w:val="00A67686"/>
    <w:rsid w:val="00A67D75"/>
    <w:rsid w:val="00A72259"/>
    <w:rsid w:val="00A74876"/>
    <w:rsid w:val="00A82303"/>
    <w:rsid w:val="00A85147"/>
    <w:rsid w:val="00A85904"/>
    <w:rsid w:val="00A90AB9"/>
    <w:rsid w:val="00A91BF3"/>
    <w:rsid w:val="00AA1E48"/>
    <w:rsid w:val="00AB0F08"/>
    <w:rsid w:val="00AC31B8"/>
    <w:rsid w:val="00AD09BE"/>
    <w:rsid w:val="00AD2928"/>
    <w:rsid w:val="00AE4A88"/>
    <w:rsid w:val="00AF1E4F"/>
    <w:rsid w:val="00B02ADA"/>
    <w:rsid w:val="00B11466"/>
    <w:rsid w:val="00B12A6D"/>
    <w:rsid w:val="00B31812"/>
    <w:rsid w:val="00B31C89"/>
    <w:rsid w:val="00B4213E"/>
    <w:rsid w:val="00B47A57"/>
    <w:rsid w:val="00B54C42"/>
    <w:rsid w:val="00B554D1"/>
    <w:rsid w:val="00B55EC3"/>
    <w:rsid w:val="00B74BF4"/>
    <w:rsid w:val="00B75935"/>
    <w:rsid w:val="00B90C97"/>
    <w:rsid w:val="00BA51A6"/>
    <w:rsid w:val="00BC4B10"/>
    <w:rsid w:val="00BD2CC0"/>
    <w:rsid w:val="00BE00CC"/>
    <w:rsid w:val="00BE263B"/>
    <w:rsid w:val="00C12A74"/>
    <w:rsid w:val="00C20F87"/>
    <w:rsid w:val="00C27F0D"/>
    <w:rsid w:val="00C30DD0"/>
    <w:rsid w:val="00C32A8A"/>
    <w:rsid w:val="00C433BC"/>
    <w:rsid w:val="00C458A1"/>
    <w:rsid w:val="00C467E0"/>
    <w:rsid w:val="00C5258F"/>
    <w:rsid w:val="00C551BC"/>
    <w:rsid w:val="00C56AE6"/>
    <w:rsid w:val="00C64A59"/>
    <w:rsid w:val="00C901C5"/>
    <w:rsid w:val="00C93293"/>
    <w:rsid w:val="00C9480C"/>
    <w:rsid w:val="00CA7A46"/>
    <w:rsid w:val="00CC014A"/>
    <w:rsid w:val="00CF2FD0"/>
    <w:rsid w:val="00CF3675"/>
    <w:rsid w:val="00CF3A87"/>
    <w:rsid w:val="00D06BE0"/>
    <w:rsid w:val="00D06DB6"/>
    <w:rsid w:val="00D0711C"/>
    <w:rsid w:val="00D1042D"/>
    <w:rsid w:val="00D13B3E"/>
    <w:rsid w:val="00D23C54"/>
    <w:rsid w:val="00D32566"/>
    <w:rsid w:val="00D34BAA"/>
    <w:rsid w:val="00D34FDA"/>
    <w:rsid w:val="00D47DF9"/>
    <w:rsid w:val="00D5026C"/>
    <w:rsid w:val="00D530E8"/>
    <w:rsid w:val="00D575FD"/>
    <w:rsid w:val="00D6284C"/>
    <w:rsid w:val="00D72CC1"/>
    <w:rsid w:val="00D81AD6"/>
    <w:rsid w:val="00D843C4"/>
    <w:rsid w:val="00DB063B"/>
    <w:rsid w:val="00DC0C52"/>
    <w:rsid w:val="00DC0EDA"/>
    <w:rsid w:val="00DC370F"/>
    <w:rsid w:val="00DD39DC"/>
    <w:rsid w:val="00DD506A"/>
    <w:rsid w:val="00DE6BC8"/>
    <w:rsid w:val="00DF34F4"/>
    <w:rsid w:val="00DF3BD4"/>
    <w:rsid w:val="00DF426A"/>
    <w:rsid w:val="00DF7D2B"/>
    <w:rsid w:val="00E05953"/>
    <w:rsid w:val="00E1186F"/>
    <w:rsid w:val="00E12F3C"/>
    <w:rsid w:val="00E2424E"/>
    <w:rsid w:val="00E264A3"/>
    <w:rsid w:val="00E441C9"/>
    <w:rsid w:val="00E5242E"/>
    <w:rsid w:val="00E5578B"/>
    <w:rsid w:val="00E62DD4"/>
    <w:rsid w:val="00E73654"/>
    <w:rsid w:val="00E75275"/>
    <w:rsid w:val="00E82B1E"/>
    <w:rsid w:val="00E87DF2"/>
    <w:rsid w:val="00EA5082"/>
    <w:rsid w:val="00EB69D2"/>
    <w:rsid w:val="00EC18BC"/>
    <w:rsid w:val="00EC2731"/>
    <w:rsid w:val="00ED2A5E"/>
    <w:rsid w:val="00ED7BF0"/>
    <w:rsid w:val="00EE52E7"/>
    <w:rsid w:val="00EE61BC"/>
    <w:rsid w:val="00EF3BF1"/>
    <w:rsid w:val="00EF73E5"/>
    <w:rsid w:val="00F00FD7"/>
    <w:rsid w:val="00F0252A"/>
    <w:rsid w:val="00F1074B"/>
    <w:rsid w:val="00F33760"/>
    <w:rsid w:val="00F62ED9"/>
    <w:rsid w:val="00F81AA1"/>
    <w:rsid w:val="00FA2F27"/>
    <w:rsid w:val="00FB26F7"/>
    <w:rsid w:val="00FB279E"/>
    <w:rsid w:val="00FC0D75"/>
    <w:rsid w:val="00FC78FB"/>
    <w:rsid w:val="00FE4FA9"/>
    <w:rsid w:val="00FE6F23"/>
    <w:rsid w:val="00FF324B"/>
    <w:rsid w:val="00FF65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8EC2"/>
  <w15:docId w15:val="{60481E00-400D-4B1C-AB6D-B784D63D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3555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79581C"/>
  </w:style>
  <w:style w:type="character" w:styleId="Emphasis">
    <w:name w:val="Emphasis"/>
    <w:basedOn w:val="DefaultParagraphFont"/>
    <w:uiPriority w:val="20"/>
    <w:qFormat/>
    <w:rsid w:val="00157774"/>
    <w:rPr>
      <w:i/>
      <w:iCs/>
    </w:rPr>
  </w:style>
  <w:style w:type="character" w:styleId="PlaceholderText">
    <w:name w:val="Placeholder Text"/>
    <w:basedOn w:val="DefaultParagraphFont"/>
    <w:uiPriority w:val="99"/>
    <w:semiHidden/>
    <w:rsid w:val="00813586"/>
    <w:rPr>
      <w:color w:val="808080"/>
    </w:rPr>
  </w:style>
  <w:style w:type="paragraph" w:styleId="FootnoteText">
    <w:name w:val="footnote text"/>
    <w:basedOn w:val="Normal"/>
    <w:link w:val="FootnoteTextChar"/>
    <w:uiPriority w:val="99"/>
    <w:semiHidden/>
    <w:unhideWhenUsed/>
    <w:rsid w:val="00424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A73"/>
    <w:rPr>
      <w:sz w:val="20"/>
      <w:szCs w:val="20"/>
      <w:lang w:val="en-US"/>
    </w:rPr>
  </w:style>
  <w:style w:type="character" w:styleId="FootnoteReference">
    <w:name w:val="footnote reference"/>
    <w:basedOn w:val="DefaultParagraphFont"/>
    <w:uiPriority w:val="99"/>
    <w:semiHidden/>
    <w:unhideWhenUsed/>
    <w:rsid w:val="00424A73"/>
    <w:rPr>
      <w:vertAlign w:val="superscript"/>
    </w:rPr>
  </w:style>
  <w:style w:type="character" w:styleId="CommentReference">
    <w:name w:val="annotation reference"/>
    <w:basedOn w:val="DefaultParagraphFont"/>
    <w:uiPriority w:val="99"/>
    <w:semiHidden/>
    <w:unhideWhenUsed/>
    <w:rsid w:val="00237A4D"/>
    <w:rPr>
      <w:sz w:val="16"/>
      <w:szCs w:val="16"/>
    </w:rPr>
  </w:style>
  <w:style w:type="paragraph" w:styleId="CommentText">
    <w:name w:val="annotation text"/>
    <w:basedOn w:val="Normal"/>
    <w:link w:val="CommentTextChar"/>
    <w:uiPriority w:val="99"/>
    <w:semiHidden/>
    <w:unhideWhenUsed/>
    <w:rsid w:val="00237A4D"/>
    <w:pPr>
      <w:spacing w:line="240" w:lineRule="auto"/>
    </w:pPr>
    <w:rPr>
      <w:sz w:val="20"/>
      <w:szCs w:val="20"/>
    </w:rPr>
  </w:style>
  <w:style w:type="character" w:customStyle="1" w:styleId="CommentTextChar">
    <w:name w:val="Comment Text Char"/>
    <w:basedOn w:val="DefaultParagraphFont"/>
    <w:link w:val="CommentText"/>
    <w:uiPriority w:val="99"/>
    <w:semiHidden/>
    <w:rsid w:val="00237A4D"/>
    <w:rPr>
      <w:sz w:val="20"/>
      <w:szCs w:val="20"/>
      <w:lang w:val="en-US"/>
    </w:rPr>
  </w:style>
  <w:style w:type="paragraph" w:styleId="CommentSubject">
    <w:name w:val="annotation subject"/>
    <w:basedOn w:val="CommentText"/>
    <w:next w:val="CommentText"/>
    <w:link w:val="CommentSubjectChar"/>
    <w:uiPriority w:val="99"/>
    <w:semiHidden/>
    <w:unhideWhenUsed/>
    <w:rsid w:val="00237A4D"/>
    <w:rPr>
      <w:b/>
      <w:bCs/>
    </w:rPr>
  </w:style>
  <w:style w:type="character" w:customStyle="1" w:styleId="CommentSubjectChar">
    <w:name w:val="Comment Subject Char"/>
    <w:basedOn w:val="CommentTextChar"/>
    <w:link w:val="CommentSubject"/>
    <w:uiPriority w:val="99"/>
    <w:semiHidden/>
    <w:rsid w:val="00237A4D"/>
    <w:rPr>
      <w:b/>
      <w:bCs/>
      <w:sz w:val="20"/>
      <w:szCs w:val="20"/>
      <w:lang w:val="en-US"/>
    </w:rPr>
  </w:style>
  <w:style w:type="paragraph" w:styleId="BalloonText">
    <w:name w:val="Balloon Text"/>
    <w:basedOn w:val="Normal"/>
    <w:link w:val="BalloonTextChar"/>
    <w:uiPriority w:val="99"/>
    <w:semiHidden/>
    <w:unhideWhenUsed/>
    <w:rsid w:val="0023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A4D"/>
    <w:rPr>
      <w:rFonts w:ascii="Segoe UI" w:hAnsi="Segoe UI" w:cs="Segoe UI"/>
      <w:sz w:val="18"/>
      <w:szCs w:val="18"/>
      <w:lang w:val="en-US"/>
    </w:rPr>
  </w:style>
  <w:style w:type="paragraph" w:styleId="ListParagraph">
    <w:name w:val="List Paragraph"/>
    <w:basedOn w:val="Normal"/>
    <w:uiPriority w:val="34"/>
    <w:qFormat/>
    <w:rsid w:val="00DC0C52"/>
    <w:pPr>
      <w:ind w:left="720"/>
      <w:contextualSpacing/>
    </w:pPr>
    <w:rPr>
      <w:lang w:val="en-GB"/>
    </w:rPr>
  </w:style>
  <w:style w:type="character" w:styleId="Hyperlink">
    <w:name w:val="Hyperlink"/>
    <w:basedOn w:val="DefaultParagraphFont"/>
    <w:uiPriority w:val="99"/>
    <w:unhideWhenUsed/>
    <w:rsid w:val="00FC78FB"/>
    <w:rPr>
      <w:color w:val="0563C1" w:themeColor="hyperlink"/>
      <w:u w:val="single"/>
    </w:rPr>
  </w:style>
  <w:style w:type="character" w:customStyle="1" w:styleId="Heading1Char">
    <w:name w:val="Heading 1 Char"/>
    <w:basedOn w:val="DefaultParagraphFont"/>
    <w:link w:val="Heading1"/>
    <w:uiPriority w:val="9"/>
    <w:rsid w:val="00355571"/>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A82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303"/>
    <w:rPr>
      <w:lang w:val="en-US"/>
    </w:rPr>
  </w:style>
  <w:style w:type="paragraph" w:styleId="Footer">
    <w:name w:val="footer"/>
    <w:basedOn w:val="Normal"/>
    <w:link w:val="FooterChar"/>
    <w:uiPriority w:val="99"/>
    <w:unhideWhenUsed/>
    <w:rsid w:val="00A82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303"/>
    <w:rPr>
      <w:lang w:val="en-US"/>
    </w:rPr>
  </w:style>
  <w:style w:type="paragraph" w:customStyle="1" w:styleId="EndNoteBibliography">
    <w:name w:val="EndNote Bibliography"/>
    <w:basedOn w:val="Normal"/>
    <w:link w:val="EndNoteBibliographyChar"/>
    <w:rsid w:val="001168F5"/>
    <w:pPr>
      <w:spacing w:line="240" w:lineRule="auto"/>
    </w:pPr>
    <w:rPr>
      <w:rFonts w:ascii="Calibri" w:eastAsiaTheme="minorEastAsia" w:hAnsi="Calibri" w:cs="Calibri"/>
      <w:noProof/>
      <w:lang w:eastAsia="zh-CN"/>
    </w:rPr>
  </w:style>
  <w:style w:type="character" w:customStyle="1" w:styleId="EndNoteBibliographyChar">
    <w:name w:val="EndNote Bibliography Char"/>
    <w:basedOn w:val="DefaultParagraphFont"/>
    <w:link w:val="EndNoteBibliography"/>
    <w:rsid w:val="001168F5"/>
    <w:rPr>
      <w:rFonts w:ascii="Calibri" w:eastAsiaTheme="minorEastAsia" w:hAnsi="Calibri" w:cs="Calibri"/>
      <w:noProof/>
      <w:lang w:val="en-US" w:eastAsia="zh-CN"/>
    </w:rPr>
  </w:style>
  <w:style w:type="character" w:styleId="UnresolvedMention">
    <w:name w:val="Unresolved Mention"/>
    <w:basedOn w:val="DefaultParagraphFont"/>
    <w:uiPriority w:val="99"/>
    <w:semiHidden/>
    <w:unhideWhenUsed/>
    <w:rsid w:val="00450D52"/>
    <w:rPr>
      <w:color w:val="605E5C"/>
      <w:shd w:val="clear" w:color="auto" w:fill="E1DFDD"/>
    </w:rPr>
  </w:style>
  <w:style w:type="paragraph" w:styleId="NormalWeb">
    <w:name w:val="Normal (Web)"/>
    <w:basedOn w:val="Normal"/>
    <w:uiPriority w:val="99"/>
    <w:semiHidden/>
    <w:unhideWhenUsed/>
    <w:rsid w:val="000C56B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3976">
      <w:bodyDiv w:val="1"/>
      <w:marLeft w:val="0"/>
      <w:marRight w:val="0"/>
      <w:marTop w:val="0"/>
      <w:marBottom w:val="0"/>
      <w:divBdr>
        <w:top w:val="none" w:sz="0" w:space="0" w:color="auto"/>
        <w:left w:val="none" w:sz="0" w:space="0" w:color="auto"/>
        <w:bottom w:val="none" w:sz="0" w:space="0" w:color="auto"/>
        <w:right w:val="none" w:sz="0" w:space="0" w:color="auto"/>
      </w:divBdr>
    </w:div>
    <w:div w:id="553783757">
      <w:bodyDiv w:val="1"/>
      <w:marLeft w:val="0"/>
      <w:marRight w:val="0"/>
      <w:marTop w:val="0"/>
      <w:marBottom w:val="0"/>
      <w:divBdr>
        <w:top w:val="none" w:sz="0" w:space="0" w:color="auto"/>
        <w:left w:val="none" w:sz="0" w:space="0" w:color="auto"/>
        <w:bottom w:val="none" w:sz="0" w:space="0" w:color="auto"/>
        <w:right w:val="none" w:sz="0" w:space="0" w:color="auto"/>
      </w:divBdr>
    </w:div>
    <w:div w:id="1047530552">
      <w:bodyDiv w:val="1"/>
      <w:marLeft w:val="0"/>
      <w:marRight w:val="0"/>
      <w:marTop w:val="0"/>
      <w:marBottom w:val="0"/>
      <w:divBdr>
        <w:top w:val="none" w:sz="0" w:space="0" w:color="auto"/>
        <w:left w:val="none" w:sz="0" w:space="0" w:color="auto"/>
        <w:bottom w:val="none" w:sz="0" w:space="0" w:color="auto"/>
        <w:right w:val="none" w:sz="0" w:space="0" w:color="auto"/>
      </w:divBdr>
    </w:div>
    <w:div w:id="1168403772">
      <w:bodyDiv w:val="1"/>
      <w:marLeft w:val="0"/>
      <w:marRight w:val="0"/>
      <w:marTop w:val="0"/>
      <w:marBottom w:val="0"/>
      <w:divBdr>
        <w:top w:val="none" w:sz="0" w:space="0" w:color="auto"/>
        <w:left w:val="none" w:sz="0" w:space="0" w:color="auto"/>
        <w:bottom w:val="none" w:sz="0" w:space="0" w:color="auto"/>
        <w:right w:val="none" w:sz="0" w:space="0" w:color="auto"/>
      </w:divBdr>
    </w:div>
    <w:div w:id="1198354222">
      <w:bodyDiv w:val="1"/>
      <w:marLeft w:val="0"/>
      <w:marRight w:val="0"/>
      <w:marTop w:val="0"/>
      <w:marBottom w:val="0"/>
      <w:divBdr>
        <w:top w:val="none" w:sz="0" w:space="0" w:color="auto"/>
        <w:left w:val="none" w:sz="0" w:space="0" w:color="auto"/>
        <w:bottom w:val="none" w:sz="0" w:space="0" w:color="auto"/>
        <w:right w:val="none" w:sz="0" w:space="0" w:color="auto"/>
      </w:divBdr>
    </w:div>
    <w:div w:id="1512256337">
      <w:bodyDiv w:val="1"/>
      <w:marLeft w:val="0"/>
      <w:marRight w:val="0"/>
      <w:marTop w:val="0"/>
      <w:marBottom w:val="0"/>
      <w:divBdr>
        <w:top w:val="none" w:sz="0" w:space="0" w:color="auto"/>
        <w:left w:val="none" w:sz="0" w:space="0" w:color="auto"/>
        <w:bottom w:val="none" w:sz="0" w:space="0" w:color="auto"/>
        <w:right w:val="none" w:sz="0" w:space="0" w:color="auto"/>
      </w:divBdr>
    </w:div>
    <w:div w:id="184523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s://www.reuters.com/article/us-turkey-economy-gdp-idUSKCN2AT1UE" TargetMode="External"/><Relationship Id="rId7" Type="http://schemas.openxmlformats.org/officeDocument/2006/relationships/hyperlink" Target="https://corporatefinanceinstitute.com/resources/knowledge/economics/emerging-markets/" TargetMode="External"/><Relationship Id="rId2" Type="http://schemas.openxmlformats.org/officeDocument/2006/relationships/hyperlink" Target="https://markets.businessinsider.com" TargetMode="External"/><Relationship Id="rId1" Type="http://schemas.openxmlformats.org/officeDocument/2006/relationships/hyperlink" Target="https://www.who.int/emergencies/diseases/novel-coronavirus-2019" TargetMode="External"/><Relationship Id="rId6" Type="http://schemas.openxmlformats.org/officeDocument/2006/relationships/hyperlink" Target="https://www.worldometers.info/coronavirus/?utm_campaign=homeAdvegas1" TargetMode="External"/><Relationship Id="rId5" Type="http://schemas.openxmlformats.org/officeDocument/2006/relationships/hyperlink" Target="https://mba.tuck.dartmouth.edu/pages/faculty/ken.french/Data_Library/f-f_5emerging.html" TargetMode="External"/><Relationship Id="rId4" Type="http://schemas.openxmlformats.org/officeDocument/2006/relationships/hyperlink" Target="https://www.worldbank.org/en/country/turke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D57C-D951-42AC-AA8A-A31608BA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2572</TotalTime>
  <Pages>38</Pages>
  <Words>9852</Words>
  <Characters>56157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Naeem</dc:creator>
  <cp:keywords/>
  <dc:description/>
  <cp:lastModifiedBy>Larisa Yarovaya</cp:lastModifiedBy>
  <cp:revision>203</cp:revision>
  <dcterms:created xsi:type="dcterms:W3CDTF">2021-08-26T17:43:00Z</dcterms:created>
  <dcterms:modified xsi:type="dcterms:W3CDTF">2022-11-14T16:51:00Z</dcterms:modified>
</cp:coreProperties>
</file>