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F3287" w14:textId="77777777" w:rsidR="00206BEF" w:rsidRPr="00356ADA" w:rsidRDefault="00206BEF" w:rsidP="00206BEF">
      <w:pPr>
        <w:jc w:val="center"/>
        <w:rPr>
          <w:rFonts w:ascii="Times New Roman" w:hAnsi="Times New Roman" w:cs="Times New Roman"/>
          <w:sz w:val="24"/>
          <w:szCs w:val="24"/>
        </w:rPr>
      </w:pPr>
      <w:bookmarkStart w:id="0" w:name="_Hlk117335027"/>
      <w:r>
        <w:rPr>
          <w:rFonts w:ascii="Times New Roman" w:hAnsi="Times New Roman" w:cs="Times New Roman"/>
          <w:b/>
          <w:sz w:val="24"/>
          <w:szCs w:val="24"/>
        </w:rPr>
        <w:t xml:space="preserve">Non-financial reporting in non-profit organisations: The case of risk and governance disclosures in UK higher education institutions </w:t>
      </w:r>
    </w:p>
    <w:p w14:paraId="79023B95" w14:textId="77777777" w:rsidR="00206BEF" w:rsidRDefault="00206BEF" w:rsidP="00206BEF">
      <w:pPr>
        <w:jc w:val="center"/>
        <w:rPr>
          <w:rFonts w:asciiTheme="majorBidi" w:hAnsiTheme="majorBidi" w:cstheme="majorBidi"/>
          <w:bCs/>
          <w:sz w:val="24"/>
          <w:szCs w:val="24"/>
        </w:rPr>
      </w:pPr>
    </w:p>
    <w:p w14:paraId="65B4BB76" w14:textId="77777777" w:rsidR="00206BEF" w:rsidRDefault="00206BEF" w:rsidP="00206BEF">
      <w:pPr>
        <w:jc w:val="center"/>
        <w:rPr>
          <w:rFonts w:asciiTheme="majorBidi" w:hAnsiTheme="majorBidi" w:cstheme="majorBidi"/>
          <w:bCs/>
          <w:sz w:val="24"/>
          <w:szCs w:val="24"/>
        </w:rPr>
      </w:pPr>
    </w:p>
    <w:p w14:paraId="61889347" w14:textId="77777777" w:rsidR="00206BEF" w:rsidRDefault="00206BEF" w:rsidP="00206BEF">
      <w:pPr>
        <w:jc w:val="center"/>
        <w:rPr>
          <w:rFonts w:asciiTheme="majorBidi" w:hAnsiTheme="majorBidi" w:cstheme="majorBidi"/>
          <w:bCs/>
          <w:sz w:val="24"/>
          <w:szCs w:val="24"/>
        </w:rPr>
      </w:pPr>
    </w:p>
    <w:p w14:paraId="4F86FCD5" w14:textId="77777777" w:rsidR="00206BEF" w:rsidRDefault="00206BEF" w:rsidP="00206BEF">
      <w:pPr>
        <w:jc w:val="center"/>
        <w:rPr>
          <w:rFonts w:asciiTheme="majorBidi" w:hAnsiTheme="majorBidi" w:cstheme="majorBidi"/>
          <w:bCs/>
          <w:sz w:val="24"/>
          <w:szCs w:val="24"/>
        </w:rPr>
      </w:pPr>
    </w:p>
    <w:p w14:paraId="089E62C1" w14:textId="77777777" w:rsidR="00206BEF" w:rsidRDefault="00206BEF" w:rsidP="00206BEF">
      <w:pPr>
        <w:jc w:val="center"/>
        <w:rPr>
          <w:rFonts w:asciiTheme="majorBidi" w:hAnsiTheme="majorBidi" w:cstheme="majorBidi"/>
          <w:bCs/>
          <w:sz w:val="24"/>
          <w:szCs w:val="24"/>
        </w:rPr>
      </w:pPr>
    </w:p>
    <w:p w14:paraId="3F3F44C1" w14:textId="77777777" w:rsidR="00206BEF" w:rsidRDefault="00206BEF" w:rsidP="00206BEF">
      <w:pPr>
        <w:jc w:val="center"/>
        <w:rPr>
          <w:rFonts w:asciiTheme="majorBidi" w:hAnsiTheme="majorBidi" w:cstheme="majorBidi"/>
          <w:bCs/>
          <w:sz w:val="24"/>
          <w:szCs w:val="24"/>
          <w:vertAlign w:val="superscript"/>
        </w:rPr>
      </w:pPr>
      <w:r>
        <w:rPr>
          <w:rFonts w:asciiTheme="majorBidi" w:hAnsiTheme="majorBidi" w:cstheme="majorBidi"/>
          <w:bCs/>
          <w:sz w:val="24"/>
          <w:szCs w:val="24"/>
        </w:rPr>
        <w:t>Mohamed H. Elmagrhi</w:t>
      </w:r>
      <w:r>
        <w:rPr>
          <w:rFonts w:asciiTheme="majorBidi" w:hAnsiTheme="majorBidi" w:cstheme="majorBidi"/>
          <w:bCs/>
          <w:sz w:val="24"/>
          <w:szCs w:val="24"/>
          <w:vertAlign w:val="superscript"/>
        </w:rPr>
        <w:t>*</w:t>
      </w:r>
      <w:r>
        <w:rPr>
          <w:rFonts w:asciiTheme="majorBidi" w:hAnsiTheme="majorBidi" w:cstheme="majorBidi"/>
          <w:bCs/>
          <w:sz w:val="24"/>
          <w:szCs w:val="24"/>
        </w:rPr>
        <w:t xml:space="preserve"> and Collins G. Ntim</w:t>
      </w:r>
      <w:r>
        <w:rPr>
          <w:rFonts w:asciiTheme="majorBidi" w:hAnsiTheme="majorBidi" w:cstheme="majorBidi"/>
          <w:bCs/>
          <w:sz w:val="24"/>
          <w:szCs w:val="24"/>
          <w:vertAlign w:val="superscript"/>
        </w:rPr>
        <w:t>**</w:t>
      </w:r>
    </w:p>
    <w:p w14:paraId="793D7441" w14:textId="77777777" w:rsidR="00206BEF" w:rsidRDefault="00206BEF" w:rsidP="00206BEF">
      <w:pPr>
        <w:jc w:val="center"/>
        <w:rPr>
          <w:rFonts w:asciiTheme="majorBidi" w:hAnsiTheme="majorBidi" w:cstheme="majorBidi"/>
          <w:bCs/>
          <w:sz w:val="24"/>
          <w:szCs w:val="24"/>
        </w:rPr>
      </w:pPr>
    </w:p>
    <w:p w14:paraId="45A1E124" w14:textId="77777777" w:rsidR="00206BEF" w:rsidRDefault="00206BEF" w:rsidP="00206BEF">
      <w:pPr>
        <w:jc w:val="center"/>
        <w:rPr>
          <w:rFonts w:asciiTheme="majorBidi" w:hAnsiTheme="majorBidi" w:cstheme="majorBidi"/>
          <w:bCs/>
          <w:sz w:val="24"/>
          <w:szCs w:val="24"/>
        </w:rPr>
      </w:pPr>
    </w:p>
    <w:p w14:paraId="6E4701E9" w14:textId="77777777" w:rsidR="00206BEF" w:rsidRDefault="00206BEF" w:rsidP="00206BEF">
      <w:pPr>
        <w:spacing w:after="0"/>
        <w:rPr>
          <w:rFonts w:asciiTheme="majorBidi" w:hAnsiTheme="majorBidi" w:cstheme="majorBidi"/>
          <w:bCs/>
          <w:sz w:val="24"/>
          <w:szCs w:val="24"/>
        </w:rPr>
      </w:pPr>
    </w:p>
    <w:p w14:paraId="35212DB3" w14:textId="77777777" w:rsidR="00206BEF" w:rsidRDefault="00206BEF" w:rsidP="00206BEF">
      <w:pPr>
        <w:spacing w:after="0"/>
        <w:jc w:val="center"/>
        <w:rPr>
          <w:rFonts w:asciiTheme="majorBidi" w:hAnsiTheme="majorBidi" w:cstheme="majorBidi"/>
          <w:bCs/>
          <w:sz w:val="24"/>
          <w:szCs w:val="24"/>
        </w:rPr>
      </w:pPr>
      <w:r>
        <w:rPr>
          <w:rFonts w:asciiTheme="majorBidi" w:hAnsiTheme="majorBidi" w:cstheme="majorBidi"/>
          <w:bCs/>
          <w:sz w:val="24"/>
          <w:szCs w:val="24"/>
        </w:rPr>
        <w:t>Mohamed H. Elmagrhi (</w:t>
      </w:r>
      <w:r>
        <w:rPr>
          <w:rFonts w:asciiTheme="majorBidi" w:hAnsiTheme="majorBidi" w:cstheme="majorBidi"/>
          <w:bCs/>
          <w:i/>
          <w:iCs/>
          <w:sz w:val="24"/>
          <w:szCs w:val="24"/>
        </w:rPr>
        <w:t>Corresponding Author</w:t>
      </w:r>
      <w:r>
        <w:rPr>
          <w:rFonts w:asciiTheme="majorBidi" w:hAnsiTheme="majorBidi" w:cstheme="majorBidi"/>
          <w:bCs/>
          <w:sz w:val="24"/>
          <w:szCs w:val="24"/>
        </w:rPr>
        <w:t>)</w:t>
      </w:r>
    </w:p>
    <w:p w14:paraId="54E2EECA" w14:textId="77777777" w:rsidR="00206BEF" w:rsidRDefault="00206BEF" w:rsidP="00206BEF">
      <w:pPr>
        <w:spacing w:after="0"/>
        <w:jc w:val="center"/>
        <w:rPr>
          <w:rFonts w:asciiTheme="majorBidi" w:hAnsiTheme="majorBidi" w:cstheme="majorBidi"/>
          <w:bCs/>
          <w:sz w:val="24"/>
          <w:szCs w:val="24"/>
          <w:vertAlign w:val="superscript"/>
        </w:rPr>
      </w:pPr>
      <w:r>
        <w:rPr>
          <w:rFonts w:asciiTheme="majorBidi" w:hAnsiTheme="majorBidi" w:cstheme="majorBidi"/>
          <w:bCs/>
          <w:sz w:val="24"/>
          <w:szCs w:val="24"/>
        </w:rPr>
        <w:t>Sustainable Finance Research Group</w:t>
      </w:r>
      <w:r>
        <w:rPr>
          <w:rFonts w:asciiTheme="majorBidi" w:hAnsiTheme="majorBidi" w:cstheme="majorBidi"/>
          <w:bCs/>
          <w:sz w:val="24"/>
          <w:szCs w:val="24"/>
          <w:vertAlign w:val="superscript"/>
        </w:rPr>
        <w:t>*</w:t>
      </w:r>
    </w:p>
    <w:p w14:paraId="20EF8F28" w14:textId="77777777" w:rsidR="00206BEF" w:rsidRDefault="00206BEF" w:rsidP="00206BEF">
      <w:pPr>
        <w:spacing w:after="0"/>
        <w:jc w:val="center"/>
        <w:rPr>
          <w:rFonts w:asciiTheme="majorBidi" w:hAnsiTheme="majorBidi" w:cstheme="majorBidi"/>
          <w:bCs/>
          <w:sz w:val="24"/>
          <w:szCs w:val="24"/>
          <w:vertAlign w:val="superscript"/>
        </w:rPr>
      </w:pPr>
      <w:r>
        <w:rPr>
          <w:rFonts w:asciiTheme="majorBidi" w:hAnsiTheme="majorBidi" w:cstheme="majorBidi"/>
          <w:bCs/>
          <w:sz w:val="24"/>
          <w:szCs w:val="24"/>
        </w:rPr>
        <w:t>Department of Accounting and Finance</w:t>
      </w:r>
    </w:p>
    <w:p w14:paraId="2153A7DB" w14:textId="77777777" w:rsidR="00206BEF" w:rsidRDefault="00206BEF" w:rsidP="00206BEF">
      <w:pPr>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School of Management</w:t>
      </w:r>
    </w:p>
    <w:p w14:paraId="215B4A7C" w14:textId="77777777" w:rsidR="00206BEF" w:rsidRDefault="00206BEF" w:rsidP="00206BEF">
      <w:pPr>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Swansea University</w:t>
      </w:r>
    </w:p>
    <w:p w14:paraId="46454D4A" w14:textId="77777777" w:rsidR="00206BEF" w:rsidRDefault="00206BEF" w:rsidP="00206BEF">
      <w:pPr>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Swansea, UK</w:t>
      </w:r>
    </w:p>
    <w:p w14:paraId="6BB2EC58" w14:textId="77777777" w:rsidR="00206BEF" w:rsidRDefault="00206BEF" w:rsidP="00206BEF">
      <w:pPr>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 xml:space="preserve">E-mail: </w:t>
      </w:r>
      <w:hyperlink r:id="rId8" w:history="1">
        <w:r>
          <w:rPr>
            <w:rStyle w:val="Hyperlink"/>
            <w:rFonts w:asciiTheme="majorBidi" w:hAnsiTheme="majorBidi"/>
            <w:bCs/>
            <w:sz w:val="24"/>
            <w:szCs w:val="24"/>
          </w:rPr>
          <w:t>m.h.a.elmagrhi@Swansea.ac.uk</w:t>
        </w:r>
      </w:hyperlink>
    </w:p>
    <w:p w14:paraId="4A21CB5A" w14:textId="77777777" w:rsidR="00206BEF" w:rsidRDefault="00206BEF" w:rsidP="00206BEF">
      <w:pPr>
        <w:spacing w:after="0" w:line="240" w:lineRule="auto"/>
        <w:jc w:val="center"/>
        <w:rPr>
          <w:rFonts w:asciiTheme="majorBidi" w:hAnsiTheme="majorBidi" w:cstheme="majorBidi"/>
          <w:bCs/>
          <w:sz w:val="24"/>
          <w:szCs w:val="24"/>
        </w:rPr>
      </w:pPr>
    </w:p>
    <w:p w14:paraId="0D831E61" w14:textId="77777777" w:rsidR="00206BEF" w:rsidRDefault="00206BEF" w:rsidP="00206BEF">
      <w:pPr>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and</w:t>
      </w:r>
    </w:p>
    <w:p w14:paraId="7A312B2D" w14:textId="77777777" w:rsidR="00206BEF" w:rsidRDefault="00206BEF" w:rsidP="00206BEF">
      <w:pPr>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Department of Accounting and Finance</w:t>
      </w:r>
      <w:r>
        <w:rPr>
          <w:rFonts w:asciiTheme="majorBidi" w:hAnsiTheme="majorBidi" w:cstheme="majorBidi"/>
          <w:bCs/>
          <w:sz w:val="24"/>
          <w:szCs w:val="24"/>
          <w:vertAlign w:val="superscript"/>
        </w:rPr>
        <w:t>*</w:t>
      </w:r>
    </w:p>
    <w:p w14:paraId="4B52698A" w14:textId="77777777" w:rsidR="00206BEF" w:rsidRDefault="00206BEF" w:rsidP="00206BEF">
      <w:pPr>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Faculty of Economics and Commerce</w:t>
      </w:r>
    </w:p>
    <w:p w14:paraId="33A7A747" w14:textId="77777777" w:rsidR="00206BEF" w:rsidRDefault="00206BEF" w:rsidP="00206BEF">
      <w:pPr>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Al-Asmarya University for Islamic Sciences</w:t>
      </w:r>
    </w:p>
    <w:p w14:paraId="41C927F5" w14:textId="77777777" w:rsidR="00206BEF" w:rsidRDefault="00206BEF" w:rsidP="00206BEF">
      <w:pPr>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Zliten, Libya</w:t>
      </w:r>
    </w:p>
    <w:p w14:paraId="5D0EC1B0" w14:textId="77777777" w:rsidR="00206BEF" w:rsidRDefault="00206BEF" w:rsidP="00206BEF">
      <w:pPr>
        <w:spacing w:after="0" w:line="240" w:lineRule="auto"/>
        <w:jc w:val="center"/>
        <w:rPr>
          <w:rFonts w:asciiTheme="majorBidi" w:hAnsiTheme="majorBidi" w:cstheme="majorBidi"/>
          <w:bCs/>
          <w:sz w:val="24"/>
          <w:szCs w:val="24"/>
        </w:rPr>
      </w:pPr>
    </w:p>
    <w:p w14:paraId="1A29550E" w14:textId="77777777" w:rsidR="00206BEF" w:rsidRDefault="00206BEF" w:rsidP="00206BEF">
      <w:pPr>
        <w:spacing w:after="0" w:line="240" w:lineRule="auto"/>
        <w:jc w:val="center"/>
        <w:rPr>
          <w:rFonts w:asciiTheme="majorBidi" w:hAnsiTheme="majorBidi" w:cstheme="majorBidi"/>
          <w:bCs/>
          <w:sz w:val="24"/>
          <w:szCs w:val="24"/>
        </w:rPr>
      </w:pPr>
    </w:p>
    <w:p w14:paraId="3EB0C4F1" w14:textId="77777777" w:rsidR="00206BEF" w:rsidRDefault="00206BEF" w:rsidP="00206BEF">
      <w:pPr>
        <w:spacing w:after="0" w:line="240" w:lineRule="auto"/>
        <w:jc w:val="center"/>
        <w:rPr>
          <w:rFonts w:asciiTheme="majorBidi" w:hAnsiTheme="majorBidi" w:cstheme="majorBidi"/>
          <w:bCs/>
          <w:sz w:val="24"/>
          <w:szCs w:val="24"/>
        </w:rPr>
      </w:pPr>
    </w:p>
    <w:p w14:paraId="1E8016A3" w14:textId="77777777" w:rsidR="00206BEF" w:rsidRDefault="00206BEF" w:rsidP="00206BEF">
      <w:pPr>
        <w:spacing w:after="0" w:line="240" w:lineRule="auto"/>
        <w:jc w:val="center"/>
        <w:rPr>
          <w:rFonts w:asciiTheme="majorBidi" w:hAnsiTheme="majorBidi" w:cstheme="majorBidi"/>
          <w:bCs/>
          <w:sz w:val="24"/>
          <w:szCs w:val="24"/>
        </w:rPr>
      </w:pPr>
    </w:p>
    <w:p w14:paraId="32F130D3" w14:textId="77777777" w:rsidR="00206BEF" w:rsidRDefault="00206BEF" w:rsidP="00206BEF">
      <w:pPr>
        <w:spacing w:after="0" w:line="240" w:lineRule="auto"/>
        <w:jc w:val="center"/>
        <w:rPr>
          <w:rFonts w:asciiTheme="majorBidi" w:hAnsiTheme="majorBidi" w:cstheme="majorBidi"/>
          <w:bCs/>
          <w:sz w:val="24"/>
          <w:szCs w:val="24"/>
        </w:rPr>
      </w:pPr>
    </w:p>
    <w:p w14:paraId="69EADEAC" w14:textId="77777777" w:rsidR="00206BEF" w:rsidRDefault="00206BEF" w:rsidP="00206BEF">
      <w:pPr>
        <w:spacing w:after="0" w:line="240" w:lineRule="auto"/>
        <w:jc w:val="center"/>
        <w:rPr>
          <w:rFonts w:asciiTheme="majorBidi" w:hAnsiTheme="majorBidi" w:cstheme="majorBidi"/>
          <w:bCs/>
          <w:sz w:val="24"/>
          <w:szCs w:val="24"/>
        </w:rPr>
      </w:pPr>
    </w:p>
    <w:p w14:paraId="726D6C62" w14:textId="77777777" w:rsidR="00206BEF" w:rsidRDefault="00206BEF" w:rsidP="00206BEF">
      <w:pPr>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 xml:space="preserve">Collins G. Ntim </w:t>
      </w:r>
    </w:p>
    <w:p w14:paraId="6AE3EE20" w14:textId="77777777" w:rsidR="00206BEF" w:rsidRDefault="00206BEF" w:rsidP="00206BEF">
      <w:pPr>
        <w:spacing w:after="0" w:line="240" w:lineRule="auto"/>
        <w:jc w:val="center"/>
        <w:rPr>
          <w:rFonts w:asciiTheme="majorBidi" w:hAnsiTheme="majorBidi" w:cstheme="majorBidi"/>
          <w:bCs/>
          <w:sz w:val="24"/>
          <w:szCs w:val="24"/>
          <w:vertAlign w:val="superscript"/>
        </w:rPr>
      </w:pPr>
      <w:r>
        <w:rPr>
          <w:rFonts w:asciiTheme="majorBidi" w:hAnsiTheme="majorBidi" w:cstheme="majorBidi"/>
          <w:bCs/>
          <w:sz w:val="24"/>
          <w:szCs w:val="24"/>
        </w:rPr>
        <w:t>Centre for Research in Accounting, Accountability and Governance (CRAAG)</w:t>
      </w:r>
      <w:r>
        <w:rPr>
          <w:rFonts w:asciiTheme="majorBidi" w:hAnsiTheme="majorBidi" w:cstheme="majorBidi"/>
          <w:bCs/>
          <w:sz w:val="24"/>
          <w:szCs w:val="24"/>
          <w:vertAlign w:val="superscript"/>
        </w:rPr>
        <w:t>**</w:t>
      </w:r>
    </w:p>
    <w:p w14:paraId="45332BA6" w14:textId="77777777" w:rsidR="00206BEF" w:rsidRDefault="00206BEF" w:rsidP="00206BEF">
      <w:pPr>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Department of Accounting</w:t>
      </w:r>
    </w:p>
    <w:p w14:paraId="571E5A0B" w14:textId="77777777" w:rsidR="00206BEF" w:rsidRDefault="00206BEF" w:rsidP="00206BEF">
      <w:pPr>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Southampton Business School</w:t>
      </w:r>
    </w:p>
    <w:p w14:paraId="42713090" w14:textId="77777777" w:rsidR="00206BEF" w:rsidRDefault="00206BEF" w:rsidP="00206BEF">
      <w:pPr>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University of Southampton</w:t>
      </w:r>
    </w:p>
    <w:p w14:paraId="0B60D29E" w14:textId="77777777" w:rsidR="00206BEF" w:rsidRDefault="00206BEF" w:rsidP="00206BEF">
      <w:pPr>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 xml:space="preserve">Southampton, UK </w:t>
      </w:r>
    </w:p>
    <w:p w14:paraId="1C7CA3C2" w14:textId="77777777" w:rsidR="00206BEF" w:rsidRDefault="00206BEF" w:rsidP="00206BEF">
      <w:pPr>
        <w:jc w:val="center"/>
      </w:pPr>
      <w:r>
        <w:rPr>
          <w:rFonts w:asciiTheme="majorBidi" w:hAnsiTheme="majorBidi" w:cstheme="majorBidi"/>
          <w:bCs/>
          <w:sz w:val="24"/>
          <w:szCs w:val="24"/>
        </w:rPr>
        <w:t xml:space="preserve">E-mail: </w:t>
      </w:r>
      <w:hyperlink r:id="rId9" w:history="1">
        <w:r>
          <w:rPr>
            <w:rStyle w:val="Hyperlink"/>
            <w:rFonts w:asciiTheme="majorBidi" w:hAnsiTheme="majorBidi"/>
            <w:bCs/>
            <w:sz w:val="24"/>
            <w:szCs w:val="24"/>
          </w:rPr>
          <w:t>c.g.ntim@soton.ac.uk</w:t>
        </w:r>
      </w:hyperlink>
    </w:p>
    <w:p w14:paraId="352FFABC" w14:textId="77777777" w:rsidR="00206BEF" w:rsidRDefault="00206BEF" w:rsidP="00AD468C">
      <w:pPr>
        <w:jc w:val="center"/>
        <w:rPr>
          <w:rFonts w:ascii="Times New Roman" w:hAnsi="Times New Roman" w:cs="Times New Roman"/>
          <w:b/>
          <w:sz w:val="24"/>
          <w:szCs w:val="24"/>
        </w:rPr>
      </w:pPr>
    </w:p>
    <w:p w14:paraId="4049345C" w14:textId="77777777" w:rsidR="00206BEF" w:rsidRDefault="00206BEF" w:rsidP="00AD468C">
      <w:pPr>
        <w:jc w:val="center"/>
        <w:rPr>
          <w:rFonts w:ascii="Times New Roman" w:hAnsi="Times New Roman" w:cs="Times New Roman"/>
          <w:b/>
          <w:sz w:val="24"/>
          <w:szCs w:val="24"/>
        </w:rPr>
      </w:pPr>
    </w:p>
    <w:p w14:paraId="36054758" w14:textId="77777777" w:rsidR="00206BEF" w:rsidRDefault="00206BEF" w:rsidP="00AD468C">
      <w:pPr>
        <w:jc w:val="center"/>
        <w:rPr>
          <w:rFonts w:ascii="Times New Roman" w:hAnsi="Times New Roman" w:cs="Times New Roman"/>
          <w:b/>
          <w:sz w:val="24"/>
          <w:szCs w:val="24"/>
        </w:rPr>
      </w:pPr>
    </w:p>
    <w:p w14:paraId="18A0E538" w14:textId="77777777" w:rsidR="00206BEF" w:rsidRDefault="00206BEF" w:rsidP="00AD468C">
      <w:pPr>
        <w:jc w:val="center"/>
        <w:rPr>
          <w:rFonts w:ascii="Times New Roman" w:hAnsi="Times New Roman" w:cs="Times New Roman"/>
          <w:b/>
          <w:sz w:val="24"/>
          <w:szCs w:val="24"/>
        </w:rPr>
      </w:pPr>
    </w:p>
    <w:p w14:paraId="167CF253" w14:textId="038ECED1" w:rsidR="00356ADA" w:rsidRPr="00356ADA" w:rsidRDefault="00356ADA" w:rsidP="00AD468C">
      <w:pPr>
        <w:jc w:val="center"/>
        <w:rPr>
          <w:rFonts w:ascii="Times New Roman" w:hAnsi="Times New Roman" w:cs="Times New Roman"/>
          <w:sz w:val="24"/>
          <w:szCs w:val="24"/>
        </w:rPr>
      </w:pPr>
      <w:r>
        <w:rPr>
          <w:rFonts w:ascii="Times New Roman" w:hAnsi="Times New Roman" w:cs="Times New Roman"/>
          <w:b/>
          <w:sz w:val="24"/>
          <w:szCs w:val="24"/>
        </w:rPr>
        <w:lastRenderedPageBreak/>
        <w:t>Non-</w:t>
      </w:r>
      <w:r w:rsidR="00954003">
        <w:rPr>
          <w:rFonts w:ascii="Times New Roman" w:hAnsi="Times New Roman" w:cs="Times New Roman"/>
          <w:b/>
          <w:sz w:val="24"/>
          <w:szCs w:val="24"/>
        </w:rPr>
        <w:t>f</w:t>
      </w:r>
      <w:r>
        <w:rPr>
          <w:rFonts w:ascii="Times New Roman" w:hAnsi="Times New Roman" w:cs="Times New Roman"/>
          <w:b/>
          <w:sz w:val="24"/>
          <w:szCs w:val="24"/>
        </w:rPr>
        <w:t>inancial</w:t>
      </w:r>
      <w:r w:rsidR="004634D3">
        <w:rPr>
          <w:rFonts w:ascii="Times New Roman" w:hAnsi="Times New Roman" w:cs="Times New Roman"/>
          <w:b/>
          <w:sz w:val="24"/>
          <w:szCs w:val="24"/>
        </w:rPr>
        <w:t xml:space="preserve"> </w:t>
      </w:r>
      <w:r w:rsidR="00954003">
        <w:rPr>
          <w:rFonts w:ascii="Times New Roman" w:hAnsi="Times New Roman" w:cs="Times New Roman"/>
          <w:b/>
          <w:sz w:val="24"/>
          <w:szCs w:val="24"/>
        </w:rPr>
        <w:t>r</w:t>
      </w:r>
      <w:r>
        <w:rPr>
          <w:rFonts w:ascii="Times New Roman" w:hAnsi="Times New Roman" w:cs="Times New Roman"/>
          <w:b/>
          <w:sz w:val="24"/>
          <w:szCs w:val="24"/>
        </w:rPr>
        <w:t xml:space="preserve">eporting in </w:t>
      </w:r>
      <w:r w:rsidR="00245D90">
        <w:rPr>
          <w:rFonts w:ascii="Times New Roman" w:hAnsi="Times New Roman" w:cs="Times New Roman"/>
          <w:b/>
          <w:sz w:val="24"/>
          <w:szCs w:val="24"/>
        </w:rPr>
        <w:t>non-profit</w:t>
      </w:r>
      <w:r w:rsidR="00766330">
        <w:rPr>
          <w:rFonts w:ascii="Times New Roman" w:hAnsi="Times New Roman" w:cs="Times New Roman"/>
          <w:b/>
          <w:sz w:val="24"/>
          <w:szCs w:val="24"/>
        </w:rPr>
        <w:t xml:space="preserve"> </w:t>
      </w:r>
      <w:r w:rsidR="00954003">
        <w:rPr>
          <w:rFonts w:ascii="Times New Roman" w:hAnsi="Times New Roman" w:cs="Times New Roman"/>
          <w:b/>
          <w:sz w:val="24"/>
          <w:szCs w:val="24"/>
        </w:rPr>
        <w:t>o</w:t>
      </w:r>
      <w:r w:rsidR="00766330">
        <w:rPr>
          <w:rFonts w:ascii="Times New Roman" w:hAnsi="Times New Roman" w:cs="Times New Roman"/>
          <w:b/>
          <w:sz w:val="24"/>
          <w:szCs w:val="24"/>
        </w:rPr>
        <w:t>rganisation</w:t>
      </w:r>
      <w:r w:rsidR="00187FB8">
        <w:rPr>
          <w:rFonts w:ascii="Times New Roman" w:hAnsi="Times New Roman" w:cs="Times New Roman"/>
          <w:b/>
          <w:sz w:val="24"/>
          <w:szCs w:val="24"/>
        </w:rPr>
        <w:t>s</w:t>
      </w:r>
      <w:r>
        <w:rPr>
          <w:rFonts w:ascii="Times New Roman" w:hAnsi="Times New Roman" w:cs="Times New Roman"/>
          <w:b/>
          <w:sz w:val="24"/>
          <w:szCs w:val="24"/>
        </w:rPr>
        <w:t xml:space="preserve">: The </w:t>
      </w:r>
      <w:r w:rsidR="00954003">
        <w:rPr>
          <w:rFonts w:ascii="Times New Roman" w:hAnsi="Times New Roman" w:cs="Times New Roman"/>
          <w:b/>
          <w:sz w:val="24"/>
          <w:szCs w:val="24"/>
        </w:rPr>
        <w:t>c</w:t>
      </w:r>
      <w:r>
        <w:rPr>
          <w:rFonts w:ascii="Times New Roman" w:hAnsi="Times New Roman" w:cs="Times New Roman"/>
          <w:b/>
          <w:sz w:val="24"/>
          <w:szCs w:val="24"/>
        </w:rPr>
        <w:t xml:space="preserve">ase of </w:t>
      </w:r>
      <w:r w:rsidR="00954003">
        <w:rPr>
          <w:rFonts w:ascii="Times New Roman" w:hAnsi="Times New Roman" w:cs="Times New Roman"/>
          <w:b/>
          <w:sz w:val="24"/>
          <w:szCs w:val="24"/>
        </w:rPr>
        <w:t>r</w:t>
      </w:r>
      <w:r>
        <w:rPr>
          <w:rFonts w:ascii="Times New Roman" w:hAnsi="Times New Roman" w:cs="Times New Roman"/>
          <w:b/>
          <w:sz w:val="24"/>
          <w:szCs w:val="24"/>
        </w:rPr>
        <w:t>isk</w:t>
      </w:r>
      <w:r w:rsidR="00524575">
        <w:rPr>
          <w:rFonts w:ascii="Times New Roman" w:hAnsi="Times New Roman" w:cs="Times New Roman"/>
          <w:b/>
          <w:sz w:val="24"/>
          <w:szCs w:val="24"/>
        </w:rPr>
        <w:t xml:space="preserve"> </w:t>
      </w:r>
      <w:r w:rsidR="00B96A04">
        <w:rPr>
          <w:rFonts w:ascii="Times New Roman" w:hAnsi="Times New Roman" w:cs="Times New Roman"/>
          <w:b/>
          <w:sz w:val="24"/>
          <w:szCs w:val="24"/>
        </w:rPr>
        <w:t>and</w:t>
      </w:r>
      <w:r>
        <w:rPr>
          <w:rFonts w:ascii="Times New Roman" w:hAnsi="Times New Roman" w:cs="Times New Roman"/>
          <w:b/>
          <w:sz w:val="24"/>
          <w:szCs w:val="24"/>
        </w:rPr>
        <w:t xml:space="preserve"> </w:t>
      </w:r>
      <w:r w:rsidR="00B96A04">
        <w:rPr>
          <w:rFonts w:ascii="Times New Roman" w:hAnsi="Times New Roman" w:cs="Times New Roman"/>
          <w:b/>
          <w:sz w:val="24"/>
          <w:szCs w:val="24"/>
        </w:rPr>
        <w:t>governance</w:t>
      </w:r>
      <w:r w:rsidR="00766330">
        <w:rPr>
          <w:rFonts w:ascii="Times New Roman" w:hAnsi="Times New Roman" w:cs="Times New Roman"/>
          <w:b/>
          <w:sz w:val="24"/>
          <w:szCs w:val="24"/>
        </w:rPr>
        <w:t xml:space="preserve"> </w:t>
      </w:r>
      <w:r w:rsidR="00954003">
        <w:rPr>
          <w:rFonts w:ascii="Times New Roman" w:hAnsi="Times New Roman" w:cs="Times New Roman"/>
          <w:b/>
          <w:sz w:val="24"/>
          <w:szCs w:val="24"/>
        </w:rPr>
        <w:t>d</w:t>
      </w:r>
      <w:r w:rsidR="00766330">
        <w:rPr>
          <w:rFonts w:ascii="Times New Roman" w:hAnsi="Times New Roman" w:cs="Times New Roman"/>
          <w:b/>
          <w:sz w:val="24"/>
          <w:szCs w:val="24"/>
        </w:rPr>
        <w:t xml:space="preserve">isclosures in UK </w:t>
      </w:r>
      <w:r w:rsidR="00954003">
        <w:rPr>
          <w:rFonts w:ascii="Times New Roman" w:hAnsi="Times New Roman" w:cs="Times New Roman"/>
          <w:b/>
          <w:sz w:val="24"/>
          <w:szCs w:val="24"/>
        </w:rPr>
        <w:t>h</w:t>
      </w:r>
      <w:r w:rsidR="00766330">
        <w:rPr>
          <w:rFonts w:ascii="Times New Roman" w:hAnsi="Times New Roman" w:cs="Times New Roman"/>
          <w:b/>
          <w:sz w:val="24"/>
          <w:szCs w:val="24"/>
        </w:rPr>
        <w:t xml:space="preserve">igher </w:t>
      </w:r>
      <w:r w:rsidR="00954003">
        <w:rPr>
          <w:rFonts w:ascii="Times New Roman" w:hAnsi="Times New Roman" w:cs="Times New Roman"/>
          <w:b/>
          <w:sz w:val="24"/>
          <w:szCs w:val="24"/>
        </w:rPr>
        <w:t>e</w:t>
      </w:r>
      <w:r w:rsidR="00766330">
        <w:rPr>
          <w:rFonts w:ascii="Times New Roman" w:hAnsi="Times New Roman" w:cs="Times New Roman"/>
          <w:b/>
          <w:sz w:val="24"/>
          <w:szCs w:val="24"/>
        </w:rPr>
        <w:t xml:space="preserve">ducation </w:t>
      </w:r>
      <w:r w:rsidR="00954003">
        <w:rPr>
          <w:rFonts w:ascii="Times New Roman" w:hAnsi="Times New Roman" w:cs="Times New Roman"/>
          <w:b/>
          <w:sz w:val="24"/>
          <w:szCs w:val="24"/>
        </w:rPr>
        <w:t>i</w:t>
      </w:r>
      <w:r w:rsidR="00766330">
        <w:rPr>
          <w:rFonts w:ascii="Times New Roman" w:hAnsi="Times New Roman" w:cs="Times New Roman"/>
          <w:b/>
          <w:sz w:val="24"/>
          <w:szCs w:val="24"/>
        </w:rPr>
        <w:t xml:space="preserve">nstitutions </w:t>
      </w:r>
    </w:p>
    <w:p w14:paraId="6A570505" w14:textId="272845C5" w:rsidR="005272AE" w:rsidRPr="00356ADA" w:rsidRDefault="005272AE" w:rsidP="005272AE">
      <w:pPr>
        <w:rPr>
          <w:rFonts w:ascii="Times New Roman" w:hAnsi="Times New Roman" w:cs="Times New Roman"/>
          <w:b/>
          <w:sz w:val="24"/>
          <w:szCs w:val="24"/>
        </w:rPr>
      </w:pPr>
    </w:p>
    <w:p w14:paraId="27689345" w14:textId="4FC849DF" w:rsidR="005272AE" w:rsidRPr="00356ADA" w:rsidRDefault="00954003" w:rsidP="005272AE">
      <w:pPr>
        <w:rPr>
          <w:rFonts w:ascii="Times New Roman" w:hAnsi="Times New Roman" w:cs="Times New Roman"/>
          <w:b/>
          <w:sz w:val="24"/>
          <w:szCs w:val="24"/>
        </w:rPr>
      </w:pPr>
      <w:r>
        <w:rPr>
          <w:rFonts w:ascii="Times New Roman" w:hAnsi="Times New Roman" w:cs="Times New Roman"/>
          <w:b/>
          <w:sz w:val="24"/>
          <w:szCs w:val="24"/>
        </w:rPr>
        <w:t>Abstract</w:t>
      </w:r>
    </w:p>
    <w:p w14:paraId="5A2B1C7A" w14:textId="2B7F71BB" w:rsidR="00AD468C" w:rsidRPr="00AD0755" w:rsidRDefault="00766330" w:rsidP="009044E9">
      <w:pPr>
        <w:jc w:val="both"/>
        <w:rPr>
          <w:rFonts w:asciiTheme="majorBidi" w:hAnsiTheme="majorBidi" w:cstheme="majorBidi"/>
          <w:sz w:val="24"/>
          <w:szCs w:val="24"/>
        </w:rPr>
      </w:pPr>
      <w:r>
        <w:rPr>
          <w:rFonts w:ascii="Times New Roman" w:hAnsi="Times New Roman" w:cs="Times New Roman"/>
          <w:sz w:val="24"/>
          <w:szCs w:val="24"/>
        </w:rPr>
        <w:t>This paper investigates non-financial reporting</w:t>
      </w:r>
      <w:r w:rsidR="003D494C">
        <w:rPr>
          <w:rFonts w:ascii="Times New Roman" w:hAnsi="Times New Roman" w:cs="Times New Roman"/>
          <w:sz w:val="24"/>
          <w:szCs w:val="24"/>
        </w:rPr>
        <w:t xml:space="preserve"> </w:t>
      </w:r>
      <w:r>
        <w:rPr>
          <w:rFonts w:ascii="Times New Roman" w:hAnsi="Times New Roman" w:cs="Times New Roman"/>
          <w:sz w:val="24"/>
          <w:szCs w:val="24"/>
        </w:rPr>
        <w:t xml:space="preserve">in </w:t>
      </w:r>
      <w:r w:rsidR="00245D90">
        <w:rPr>
          <w:rFonts w:ascii="Times New Roman" w:hAnsi="Times New Roman" w:cs="Times New Roman"/>
          <w:sz w:val="24"/>
          <w:szCs w:val="24"/>
        </w:rPr>
        <w:t>non-profit</w:t>
      </w:r>
      <w:r w:rsidR="00187FB8">
        <w:rPr>
          <w:rFonts w:ascii="Times New Roman" w:hAnsi="Times New Roman" w:cs="Times New Roman"/>
          <w:sz w:val="24"/>
          <w:szCs w:val="24"/>
        </w:rPr>
        <w:t xml:space="preserve"> organisations.</w:t>
      </w:r>
      <w:r>
        <w:rPr>
          <w:rFonts w:ascii="Times New Roman" w:hAnsi="Times New Roman" w:cs="Times New Roman"/>
          <w:sz w:val="24"/>
          <w:szCs w:val="24"/>
        </w:rPr>
        <w:t xml:space="preserve"> </w:t>
      </w:r>
      <w:r w:rsidR="00523F1A">
        <w:rPr>
          <w:rFonts w:ascii="Times New Roman" w:hAnsi="Times New Roman" w:cs="Times New Roman"/>
          <w:sz w:val="24"/>
          <w:szCs w:val="24"/>
        </w:rPr>
        <w:t xml:space="preserve">Specifically, </w:t>
      </w:r>
      <w:r w:rsidR="00EC1065">
        <w:rPr>
          <w:rFonts w:ascii="Times New Roman" w:hAnsi="Times New Roman" w:cs="Times New Roman"/>
          <w:sz w:val="24"/>
          <w:szCs w:val="24"/>
        </w:rPr>
        <w:t>it</w:t>
      </w:r>
      <w:r w:rsidR="005272AE" w:rsidRPr="00356ADA">
        <w:rPr>
          <w:rFonts w:ascii="Times New Roman" w:hAnsi="Times New Roman" w:cs="Times New Roman"/>
          <w:sz w:val="24"/>
          <w:szCs w:val="24"/>
        </w:rPr>
        <w:t xml:space="preserve"> examines the extent to which UK higher education institutions (HEIs) </w:t>
      </w:r>
      <w:r w:rsidR="003D494C">
        <w:rPr>
          <w:rFonts w:ascii="Times New Roman" w:hAnsi="Times New Roman" w:cs="Times New Roman"/>
          <w:sz w:val="24"/>
          <w:szCs w:val="24"/>
        </w:rPr>
        <w:t xml:space="preserve">make </w:t>
      </w:r>
      <w:r w:rsidR="002019F7">
        <w:rPr>
          <w:rFonts w:ascii="Times New Roman" w:hAnsi="Times New Roman" w:cs="Times New Roman"/>
          <w:sz w:val="24"/>
          <w:szCs w:val="24"/>
        </w:rPr>
        <w:t xml:space="preserve">voluntary </w:t>
      </w:r>
      <w:r w:rsidR="003D494C">
        <w:rPr>
          <w:rFonts w:ascii="Times New Roman" w:hAnsi="Times New Roman" w:cs="Times New Roman"/>
          <w:sz w:val="24"/>
          <w:szCs w:val="24"/>
        </w:rPr>
        <w:t>disclosures relating to</w:t>
      </w:r>
      <w:r w:rsidR="00523F1A">
        <w:rPr>
          <w:rFonts w:ascii="Times New Roman" w:hAnsi="Times New Roman" w:cs="Times New Roman"/>
          <w:sz w:val="24"/>
          <w:szCs w:val="24"/>
        </w:rPr>
        <w:t xml:space="preserve"> </w:t>
      </w:r>
      <w:r w:rsidR="005272AE" w:rsidRPr="00356ADA">
        <w:rPr>
          <w:rFonts w:ascii="Times New Roman" w:hAnsi="Times New Roman" w:cs="Times New Roman"/>
          <w:sz w:val="24"/>
          <w:szCs w:val="24"/>
        </w:rPr>
        <w:t xml:space="preserve">risk management </w:t>
      </w:r>
      <w:r w:rsidR="002019F7">
        <w:rPr>
          <w:rFonts w:ascii="Times New Roman" w:hAnsi="Times New Roman" w:cs="Times New Roman"/>
          <w:sz w:val="24"/>
          <w:szCs w:val="24"/>
        </w:rPr>
        <w:t>practices</w:t>
      </w:r>
      <w:r w:rsidR="005272AE" w:rsidRPr="00356ADA">
        <w:rPr>
          <w:rFonts w:ascii="Times New Roman" w:hAnsi="Times New Roman" w:cs="Times New Roman"/>
          <w:sz w:val="24"/>
          <w:szCs w:val="24"/>
        </w:rPr>
        <w:t>, and investigates whethe</w:t>
      </w:r>
      <w:r w:rsidR="00002C1F" w:rsidRPr="00356ADA">
        <w:rPr>
          <w:rFonts w:ascii="Times New Roman" w:hAnsi="Times New Roman" w:cs="Times New Roman"/>
          <w:sz w:val="24"/>
          <w:szCs w:val="24"/>
        </w:rPr>
        <w:t xml:space="preserve">r </w:t>
      </w:r>
      <w:r w:rsidR="00D25889">
        <w:rPr>
          <w:rFonts w:ascii="Times New Roman" w:hAnsi="Times New Roman" w:cs="Times New Roman"/>
          <w:sz w:val="24"/>
          <w:szCs w:val="24"/>
        </w:rPr>
        <w:t>composite</w:t>
      </w:r>
      <w:r w:rsidR="00002C1F" w:rsidRPr="00356ADA">
        <w:rPr>
          <w:rFonts w:ascii="Times New Roman" w:hAnsi="Times New Roman" w:cs="Times New Roman"/>
          <w:sz w:val="24"/>
          <w:szCs w:val="24"/>
        </w:rPr>
        <w:t xml:space="preserve"> governance quality</w:t>
      </w:r>
      <w:r w:rsidR="001A184F" w:rsidRPr="00356ADA">
        <w:rPr>
          <w:rFonts w:ascii="Times New Roman" w:hAnsi="Times New Roman" w:cs="Times New Roman"/>
          <w:sz w:val="24"/>
          <w:szCs w:val="24"/>
        </w:rPr>
        <w:t xml:space="preserve"> </w:t>
      </w:r>
      <w:r w:rsidR="005A3940">
        <w:rPr>
          <w:rFonts w:ascii="Times New Roman" w:hAnsi="Times New Roman" w:cs="Times New Roman"/>
          <w:sz w:val="24"/>
          <w:szCs w:val="24"/>
        </w:rPr>
        <w:t xml:space="preserve">index </w:t>
      </w:r>
      <w:r w:rsidR="001A184F" w:rsidRPr="00356ADA">
        <w:rPr>
          <w:rFonts w:ascii="Times New Roman" w:hAnsi="Times New Roman" w:cs="Times New Roman"/>
          <w:sz w:val="24"/>
          <w:szCs w:val="24"/>
        </w:rPr>
        <w:t>and senior management team characteristics</w:t>
      </w:r>
      <w:r w:rsidR="00B56B72">
        <w:rPr>
          <w:rFonts w:ascii="Times New Roman" w:hAnsi="Times New Roman" w:cs="Times New Roman"/>
          <w:sz w:val="24"/>
          <w:szCs w:val="24"/>
        </w:rPr>
        <w:t xml:space="preserve"> can</w:t>
      </w:r>
      <w:r w:rsidR="005272AE" w:rsidRPr="00356ADA">
        <w:rPr>
          <w:rFonts w:ascii="Times New Roman" w:hAnsi="Times New Roman" w:cs="Times New Roman"/>
          <w:sz w:val="24"/>
          <w:szCs w:val="24"/>
        </w:rPr>
        <w:t xml:space="preserve"> influence </w:t>
      </w:r>
      <w:r w:rsidR="00BA25D8" w:rsidRPr="00356ADA">
        <w:rPr>
          <w:rFonts w:ascii="Times New Roman" w:hAnsi="Times New Roman" w:cs="Times New Roman"/>
          <w:sz w:val="24"/>
          <w:szCs w:val="24"/>
        </w:rPr>
        <w:t xml:space="preserve">such </w:t>
      </w:r>
      <w:r w:rsidR="00002C1F" w:rsidRPr="00356ADA">
        <w:rPr>
          <w:rFonts w:ascii="Times New Roman" w:hAnsi="Times New Roman" w:cs="Times New Roman"/>
          <w:sz w:val="24"/>
          <w:szCs w:val="24"/>
        </w:rPr>
        <w:t xml:space="preserve">risk </w:t>
      </w:r>
      <w:r w:rsidR="005272AE" w:rsidRPr="00356ADA">
        <w:rPr>
          <w:rFonts w:ascii="Times New Roman" w:hAnsi="Times New Roman" w:cs="Times New Roman"/>
          <w:sz w:val="24"/>
          <w:szCs w:val="24"/>
        </w:rPr>
        <w:t xml:space="preserve">disclosures. </w:t>
      </w:r>
      <w:r w:rsidR="00AD468C" w:rsidRPr="00356ADA">
        <w:rPr>
          <w:rFonts w:ascii="Times New Roman" w:hAnsi="Times New Roman" w:cs="Times New Roman"/>
          <w:sz w:val="24"/>
          <w:szCs w:val="24"/>
        </w:rPr>
        <w:t xml:space="preserve">Using a sample of UK HEIs over a </w:t>
      </w:r>
      <w:r w:rsidR="00A42784">
        <w:rPr>
          <w:rFonts w:ascii="Times New Roman" w:hAnsi="Times New Roman" w:cs="Times New Roman"/>
          <w:sz w:val="24"/>
          <w:szCs w:val="24"/>
        </w:rPr>
        <w:t>number of years</w:t>
      </w:r>
      <w:r w:rsidR="00236903">
        <w:rPr>
          <w:rFonts w:ascii="Times New Roman" w:hAnsi="Times New Roman" w:cs="Times New Roman"/>
          <w:sz w:val="24"/>
          <w:szCs w:val="24"/>
        </w:rPr>
        <w:t xml:space="preserve"> and drawing insights from neo-institutional theory</w:t>
      </w:r>
      <w:r w:rsidR="00AD468C" w:rsidRPr="00356ADA">
        <w:rPr>
          <w:rFonts w:ascii="Times New Roman" w:hAnsi="Times New Roman" w:cs="Times New Roman"/>
          <w:sz w:val="24"/>
          <w:szCs w:val="24"/>
        </w:rPr>
        <w:t xml:space="preserve">, </w:t>
      </w:r>
      <w:r w:rsidR="00826559">
        <w:rPr>
          <w:rFonts w:ascii="Times New Roman" w:hAnsi="Times New Roman" w:cs="Times New Roman"/>
          <w:sz w:val="24"/>
          <w:szCs w:val="24"/>
        </w:rPr>
        <w:t xml:space="preserve">our findings are three-fold. First, </w:t>
      </w:r>
      <w:r w:rsidR="00AD468C" w:rsidRPr="00356ADA">
        <w:rPr>
          <w:rFonts w:ascii="Times New Roman" w:hAnsi="Times New Roman" w:cs="Times New Roman"/>
          <w:sz w:val="24"/>
          <w:szCs w:val="24"/>
        </w:rPr>
        <w:t xml:space="preserve">our baseline findings </w:t>
      </w:r>
      <w:r w:rsidR="00565CEE">
        <w:rPr>
          <w:rFonts w:ascii="Times New Roman" w:hAnsi="Times New Roman" w:cs="Times New Roman"/>
          <w:sz w:val="24"/>
          <w:szCs w:val="24"/>
        </w:rPr>
        <w:t xml:space="preserve">contribute to the literature by </w:t>
      </w:r>
      <w:r w:rsidR="00D84DE4">
        <w:rPr>
          <w:rFonts w:ascii="Times New Roman" w:hAnsi="Times New Roman" w:cs="Times New Roman"/>
          <w:sz w:val="24"/>
          <w:szCs w:val="24"/>
        </w:rPr>
        <w:t>showing</w:t>
      </w:r>
      <w:r w:rsidR="00AD468C" w:rsidRPr="00356ADA">
        <w:rPr>
          <w:rFonts w:ascii="Times New Roman" w:hAnsi="Times New Roman" w:cs="Times New Roman"/>
          <w:sz w:val="24"/>
          <w:szCs w:val="24"/>
        </w:rPr>
        <w:t xml:space="preserve"> that the level of risk disclosure among HEIs in the UK is relatively low, especially when compared to </w:t>
      </w:r>
      <w:r w:rsidR="00A675B9">
        <w:rPr>
          <w:rFonts w:ascii="Times New Roman" w:hAnsi="Times New Roman" w:cs="Times New Roman"/>
          <w:sz w:val="24"/>
          <w:szCs w:val="24"/>
        </w:rPr>
        <w:t xml:space="preserve">the </w:t>
      </w:r>
      <w:r w:rsidR="00B96A04" w:rsidRPr="00356ADA">
        <w:rPr>
          <w:rFonts w:ascii="Times New Roman" w:hAnsi="Times New Roman" w:cs="Times New Roman"/>
          <w:sz w:val="24"/>
          <w:szCs w:val="24"/>
        </w:rPr>
        <w:t xml:space="preserve">findings of prior studies that have been conducted </w:t>
      </w:r>
      <w:r w:rsidR="00B56B72">
        <w:rPr>
          <w:rFonts w:ascii="Times New Roman" w:hAnsi="Times New Roman" w:cs="Times New Roman"/>
          <w:sz w:val="24"/>
          <w:szCs w:val="24"/>
        </w:rPr>
        <w:t>on</w:t>
      </w:r>
      <w:r w:rsidR="00B56B72" w:rsidRPr="00356ADA">
        <w:rPr>
          <w:rFonts w:ascii="Times New Roman" w:hAnsi="Times New Roman" w:cs="Times New Roman"/>
          <w:sz w:val="24"/>
          <w:szCs w:val="24"/>
        </w:rPr>
        <w:t xml:space="preserve"> </w:t>
      </w:r>
      <w:r w:rsidR="00B96A04" w:rsidRPr="00356ADA">
        <w:rPr>
          <w:rFonts w:ascii="Times New Roman" w:hAnsi="Times New Roman" w:cs="Times New Roman"/>
          <w:sz w:val="24"/>
          <w:szCs w:val="24"/>
        </w:rPr>
        <w:t>similar-sized publicly traded corporations</w:t>
      </w:r>
      <w:r w:rsidR="00AD468C" w:rsidRPr="00356ADA">
        <w:rPr>
          <w:rFonts w:ascii="Times New Roman" w:hAnsi="Times New Roman" w:cs="Times New Roman"/>
          <w:sz w:val="24"/>
          <w:szCs w:val="24"/>
        </w:rPr>
        <w:t xml:space="preserve">. Second, </w:t>
      </w:r>
      <w:r w:rsidR="00FD2695">
        <w:rPr>
          <w:rFonts w:ascii="Times New Roman" w:hAnsi="Times New Roman" w:cs="Times New Roman"/>
          <w:sz w:val="24"/>
          <w:szCs w:val="24"/>
        </w:rPr>
        <w:t xml:space="preserve">we contribute to the literature </w:t>
      </w:r>
      <w:r w:rsidR="00FD2695" w:rsidRPr="00FD2695">
        <w:rPr>
          <w:rFonts w:ascii="Times New Roman" w:hAnsi="Times New Roman" w:cs="Times New Roman"/>
          <w:sz w:val="24"/>
          <w:szCs w:val="24"/>
        </w:rPr>
        <w:t xml:space="preserve">by providing </w:t>
      </w:r>
      <w:r w:rsidR="00FD2695">
        <w:rPr>
          <w:rFonts w:ascii="Times New Roman" w:hAnsi="Times New Roman" w:cs="Times New Roman"/>
          <w:sz w:val="24"/>
          <w:szCs w:val="24"/>
        </w:rPr>
        <w:t>timely</w:t>
      </w:r>
      <w:r w:rsidR="00FD2695" w:rsidRPr="00FD2695">
        <w:rPr>
          <w:rFonts w:ascii="Times New Roman" w:hAnsi="Times New Roman" w:cs="Times New Roman"/>
          <w:sz w:val="24"/>
          <w:szCs w:val="24"/>
        </w:rPr>
        <w:t xml:space="preserve"> evidence </w:t>
      </w:r>
      <w:r w:rsidR="00FD2695">
        <w:rPr>
          <w:rFonts w:ascii="Times New Roman" w:hAnsi="Times New Roman" w:cs="Times New Roman"/>
          <w:sz w:val="24"/>
          <w:szCs w:val="24"/>
        </w:rPr>
        <w:t xml:space="preserve">on the impact of governance quality on risk disclosure. </w:t>
      </w:r>
      <w:r w:rsidR="00F43176">
        <w:rPr>
          <w:rFonts w:ascii="Times New Roman" w:hAnsi="Times New Roman" w:cs="Times New Roman"/>
          <w:sz w:val="24"/>
          <w:szCs w:val="24"/>
        </w:rPr>
        <w:t>In particular</w:t>
      </w:r>
      <w:r w:rsidR="00F12949">
        <w:rPr>
          <w:rFonts w:ascii="Times New Roman" w:hAnsi="Times New Roman" w:cs="Times New Roman"/>
          <w:sz w:val="24"/>
          <w:szCs w:val="24"/>
        </w:rPr>
        <w:t>, o</w:t>
      </w:r>
      <w:r w:rsidR="00FD2695">
        <w:rPr>
          <w:rFonts w:ascii="Times New Roman" w:hAnsi="Times New Roman" w:cs="Times New Roman"/>
          <w:sz w:val="24"/>
          <w:szCs w:val="24"/>
        </w:rPr>
        <w:t xml:space="preserve">ur evidence </w:t>
      </w:r>
      <w:r w:rsidR="00F12949">
        <w:rPr>
          <w:rFonts w:ascii="Times New Roman" w:hAnsi="Times New Roman" w:cs="Times New Roman"/>
          <w:sz w:val="24"/>
          <w:szCs w:val="24"/>
        </w:rPr>
        <w:t>contributes</w:t>
      </w:r>
      <w:r w:rsidR="00275CA8">
        <w:rPr>
          <w:rFonts w:ascii="Times New Roman" w:hAnsi="Times New Roman" w:cs="Times New Roman"/>
          <w:sz w:val="24"/>
          <w:szCs w:val="24"/>
        </w:rPr>
        <w:t xml:space="preserve"> to</w:t>
      </w:r>
      <w:r w:rsidR="00F12949">
        <w:rPr>
          <w:rFonts w:ascii="Times New Roman" w:hAnsi="Times New Roman" w:cs="Times New Roman"/>
          <w:sz w:val="24"/>
          <w:szCs w:val="24"/>
        </w:rPr>
        <w:t xml:space="preserve"> the ex</w:t>
      </w:r>
      <w:r w:rsidR="00F43176">
        <w:rPr>
          <w:rFonts w:ascii="Times New Roman" w:hAnsi="Times New Roman" w:cs="Times New Roman"/>
          <w:sz w:val="24"/>
          <w:szCs w:val="24"/>
        </w:rPr>
        <w:t>isting</w:t>
      </w:r>
      <w:r w:rsidR="00F12949">
        <w:rPr>
          <w:rFonts w:ascii="Times New Roman" w:hAnsi="Times New Roman" w:cs="Times New Roman"/>
          <w:sz w:val="24"/>
          <w:szCs w:val="24"/>
        </w:rPr>
        <w:t xml:space="preserve"> literature by demonstrating</w:t>
      </w:r>
      <w:r w:rsidR="00FD2695">
        <w:rPr>
          <w:rFonts w:ascii="Times New Roman" w:hAnsi="Times New Roman" w:cs="Times New Roman"/>
          <w:sz w:val="24"/>
          <w:szCs w:val="24"/>
        </w:rPr>
        <w:t xml:space="preserve"> </w:t>
      </w:r>
      <w:r w:rsidR="009044E9" w:rsidRPr="00356ADA">
        <w:rPr>
          <w:rFonts w:ascii="Times New Roman" w:hAnsi="Times New Roman" w:cs="Times New Roman"/>
          <w:sz w:val="24"/>
          <w:szCs w:val="24"/>
        </w:rPr>
        <w:t xml:space="preserve">that </w:t>
      </w:r>
      <w:r w:rsidR="001A184F" w:rsidRPr="00356ADA">
        <w:rPr>
          <w:rFonts w:ascii="Times New Roman" w:hAnsi="Times New Roman" w:cs="Times New Roman"/>
          <w:sz w:val="24"/>
          <w:szCs w:val="24"/>
        </w:rPr>
        <w:t>better-governed HEIs tend to engage in higher risk disclosures than their poorly-governed counterparts.</w:t>
      </w:r>
      <w:r w:rsidR="009044E9" w:rsidRPr="00356ADA">
        <w:rPr>
          <w:rFonts w:ascii="Times New Roman" w:hAnsi="Times New Roman" w:cs="Times New Roman"/>
          <w:sz w:val="24"/>
          <w:szCs w:val="24"/>
        </w:rPr>
        <w:t xml:space="preserve"> </w:t>
      </w:r>
      <w:r w:rsidR="00FD2695">
        <w:rPr>
          <w:rFonts w:ascii="Times New Roman" w:hAnsi="Times New Roman" w:cs="Times New Roman"/>
          <w:sz w:val="24"/>
          <w:szCs w:val="24"/>
        </w:rPr>
        <w:t>Finally</w:t>
      </w:r>
      <w:r w:rsidR="007E5D30">
        <w:rPr>
          <w:rFonts w:ascii="Times New Roman" w:hAnsi="Times New Roman" w:cs="Times New Roman"/>
          <w:sz w:val="24"/>
          <w:szCs w:val="24"/>
        </w:rPr>
        <w:t xml:space="preserve">, </w:t>
      </w:r>
      <w:r w:rsidR="001B1F17">
        <w:rPr>
          <w:rFonts w:asciiTheme="majorBidi" w:hAnsiTheme="majorBidi" w:cstheme="majorBidi"/>
          <w:sz w:val="24"/>
          <w:szCs w:val="24"/>
        </w:rPr>
        <w:t>our</w:t>
      </w:r>
      <w:r w:rsidR="007E5D30">
        <w:rPr>
          <w:rFonts w:asciiTheme="majorBidi" w:hAnsiTheme="majorBidi" w:cstheme="majorBidi"/>
          <w:sz w:val="24"/>
          <w:szCs w:val="24"/>
        </w:rPr>
        <w:t xml:space="preserve"> study contributes to the extant literature by </w:t>
      </w:r>
      <w:r w:rsidR="00275CA8">
        <w:rPr>
          <w:rFonts w:asciiTheme="majorBidi" w:hAnsiTheme="majorBidi" w:cstheme="majorBidi"/>
          <w:sz w:val="24"/>
          <w:szCs w:val="24"/>
        </w:rPr>
        <w:t>providing</w:t>
      </w:r>
      <w:r w:rsidR="007E5D30">
        <w:rPr>
          <w:rFonts w:asciiTheme="majorBidi" w:hAnsiTheme="majorBidi" w:cstheme="majorBidi"/>
          <w:sz w:val="24"/>
          <w:szCs w:val="24"/>
        </w:rPr>
        <w:t xml:space="preserve"> new </w:t>
      </w:r>
      <w:r w:rsidR="00275CA8">
        <w:rPr>
          <w:rFonts w:asciiTheme="majorBidi" w:hAnsiTheme="majorBidi" w:cstheme="majorBidi"/>
          <w:sz w:val="24"/>
          <w:szCs w:val="24"/>
        </w:rPr>
        <w:t xml:space="preserve">evidence that offers </w:t>
      </w:r>
      <w:r w:rsidR="00AD0755">
        <w:rPr>
          <w:rFonts w:asciiTheme="majorBidi" w:hAnsiTheme="majorBidi" w:cstheme="majorBidi"/>
          <w:sz w:val="24"/>
          <w:szCs w:val="24"/>
        </w:rPr>
        <w:t>support</w:t>
      </w:r>
      <w:r w:rsidR="00275CA8">
        <w:rPr>
          <w:rFonts w:asciiTheme="majorBidi" w:hAnsiTheme="majorBidi" w:cstheme="majorBidi"/>
          <w:sz w:val="24"/>
          <w:szCs w:val="24"/>
        </w:rPr>
        <w:t xml:space="preserve"> for</w:t>
      </w:r>
      <w:r w:rsidR="00AD0755">
        <w:rPr>
          <w:rFonts w:asciiTheme="majorBidi" w:hAnsiTheme="majorBidi" w:cstheme="majorBidi"/>
          <w:sz w:val="24"/>
          <w:szCs w:val="24"/>
        </w:rPr>
        <w:t xml:space="preserve"> the </w:t>
      </w:r>
      <w:r w:rsidR="00094C4C">
        <w:rPr>
          <w:rFonts w:asciiTheme="majorBidi" w:hAnsiTheme="majorBidi" w:cstheme="majorBidi"/>
          <w:sz w:val="24"/>
          <w:szCs w:val="24"/>
        </w:rPr>
        <w:t xml:space="preserve">“shared” governance </w:t>
      </w:r>
      <w:r w:rsidR="00826559">
        <w:rPr>
          <w:rFonts w:asciiTheme="majorBidi" w:hAnsiTheme="majorBidi" w:cstheme="majorBidi"/>
          <w:sz w:val="24"/>
          <w:szCs w:val="24"/>
        </w:rPr>
        <w:t>model among UK HEIs</w:t>
      </w:r>
      <w:r w:rsidR="00AD0755">
        <w:rPr>
          <w:rFonts w:asciiTheme="majorBidi" w:hAnsiTheme="majorBidi" w:cstheme="majorBidi"/>
          <w:sz w:val="24"/>
          <w:szCs w:val="24"/>
        </w:rPr>
        <w:t>. Specifically, o</w:t>
      </w:r>
      <w:r w:rsidR="007E5D30">
        <w:rPr>
          <w:rFonts w:asciiTheme="majorBidi" w:hAnsiTheme="majorBidi" w:cstheme="majorBidi"/>
          <w:sz w:val="24"/>
          <w:szCs w:val="24"/>
        </w:rPr>
        <w:t xml:space="preserve">ur </w:t>
      </w:r>
      <w:r w:rsidR="009044E9" w:rsidRPr="00356ADA">
        <w:rPr>
          <w:rFonts w:ascii="Times New Roman" w:hAnsi="Times New Roman" w:cs="Times New Roman"/>
          <w:sz w:val="24"/>
          <w:szCs w:val="24"/>
        </w:rPr>
        <w:t>findings show that the positive governance</w:t>
      </w:r>
      <w:r w:rsidR="00B549C1">
        <w:rPr>
          <w:rFonts w:ascii="Times New Roman" w:hAnsi="Times New Roman" w:cs="Times New Roman"/>
          <w:sz w:val="24"/>
          <w:szCs w:val="24"/>
        </w:rPr>
        <w:t xml:space="preserve"> quality</w:t>
      </w:r>
      <w:r w:rsidR="00143B8E" w:rsidRPr="00356ADA">
        <w:rPr>
          <w:rFonts w:ascii="Times New Roman" w:hAnsi="Times New Roman" w:cs="Times New Roman"/>
          <w:sz w:val="24"/>
          <w:szCs w:val="24"/>
        </w:rPr>
        <w:t>–</w:t>
      </w:r>
      <w:r w:rsidR="009044E9" w:rsidRPr="00356ADA">
        <w:rPr>
          <w:rFonts w:ascii="Times New Roman" w:hAnsi="Times New Roman" w:cs="Times New Roman"/>
          <w:sz w:val="24"/>
          <w:szCs w:val="24"/>
        </w:rPr>
        <w:t>risk disclosure relationship is moderated</w:t>
      </w:r>
      <w:r w:rsidR="00153D95">
        <w:rPr>
          <w:rFonts w:ascii="Times New Roman" w:hAnsi="Times New Roman" w:cs="Times New Roman"/>
          <w:sz w:val="24"/>
          <w:szCs w:val="24"/>
        </w:rPr>
        <w:t>/explained</w:t>
      </w:r>
      <w:r w:rsidR="009044E9" w:rsidRPr="00356ADA">
        <w:rPr>
          <w:rFonts w:ascii="Times New Roman" w:hAnsi="Times New Roman" w:cs="Times New Roman"/>
          <w:sz w:val="24"/>
          <w:szCs w:val="24"/>
        </w:rPr>
        <w:t xml:space="preserve"> largely by the characteristics of </w:t>
      </w:r>
      <w:r w:rsidR="00171B28">
        <w:rPr>
          <w:rFonts w:ascii="Times New Roman" w:hAnsi="Times New Roman" w:cs="Times New Roman"/>
          <w:sz w:val="24"/>
          <w:szCs w:val="24"/>
        </w:rPr>
        <w:t xml:space="preserve">the </w:t>
      </w:r>
      <w:r w:rsidR="009044E9" w:rsidRPr="00356ADA">
        <w:rPr>
          <w:rFonts w:ascii="Times New Roman" w:hAnsi="Times New Roman" w:cs="Times New Roman"/>
          <w:sz w:val="24"/>
          <w:szCs w:val="24"/>
        </w:rPr>
        <w:t xml:space="preserve">senior management team. Our findings </w:t>
      </w:r>
      <w:r w:rsidR="00143B8E" w:rsidRPr="00356ADA">
        <w:rPr>
          <w:rFonts w:ascii="Times New Roman" w:hAnsi="Times New Roman" w:cs="Times New Roman"/>
          <w:sz w:val="24"/>
          <w:szCs w:val="24"/>
        </w:rPr>
        <w:t xml:space="preserve">are </w:t>
      </w:r>
      <w:r w:rsidR="009044E9" w:rsidRPr="00356ADA">
        <w:rPr>
          <w:rFonts w:ascii="Times New Roman" w:hAnsi="Times New Roman" w:cs="Times New Roman"/>
          <w:sz w:val="24"/>
          <w:szCs w:val="24"/>
        </w:rPr>
        <w:t>robust to controlling for endogeneities and alternative estimation techniques</w:t>
      </w:r>
      <w:r w:rsidR="003A5308">
        <w:rPr>
          <w:rFonts w:ascii="Times New Roman" w:hAnsi="Times New Roman" w:cs="Times New Roman"/>
          <w:sz w:val="24"/>
          <w:szCs w:val="24"/>
        </w:rPr>
        <w:t>, with major implications for non-financial reporting</w:t>
      </w:r>
      <w:r w:rsidR="009044E9" w:rsidRPr="00356ADA">
        <w:rPr>
          <w:rFonts w:ascii="Times New Roman" w:hAnsi="Times New Roman" w:cs="Times New Roman"/>
          <w:sz w:val="24"/>
          <w:szCs w:val="24"/>
        </w:rPr>
        <w:t xml:space="preserve">. </w:t>
      </w:r>
    </w:p>
    <w:p w14:paraId="72945EDA" w14:textId="77777777" w:rsidR="005272AE" w:rsidRPr="00356ADA" w:rsidRDefault="005272AE" w:rsidP="005272AE">
      <w:pPr>
        <w:rPr>
          <w:rFonts w:ascii="Times New Roman" w:hAnsi="Times New Roman" w:cs="Times New Roman"/>
          <w:sz w:val="24"/>
          <w:szCs w:val="24"/>
        </w:rPr>
      </w:pPr>
    </w:p>
    <w:p w14:paraId="4107D3B8" w14:textId="7EFE1141" w:rsidR="005272AE" w:rsidRPr="00356ADA" w:rsidRDefault="005272AE" w:rsidP="009044E9">
      <w:pPr>
        <w:jc w:val="both"/>
        <w:rPr>
          <w:rFonts w:ascii="Times New Roman" w:hAnsi="Times New Roman" w:cs="Times New Roman"/>
          <w:sz w:val="24"/>
          <w:szCs w:val="24"/>
        </w:rPr>
      </w:pPr>
      <w:r w:rsidRPr="00356ADA">
        <w:rPr>
          <w:rFonts w:ascii="Times New Roman" w:hAnsi="Times New Roman" w:cs="Times New Roman"/>
          <w:b/>
          <w:bCs/>
          <w:i/>
          <w:iCs/>
          <w:sz w:val="24"/>
          <w:szCs w:val="24"/>
        </w:rPr>
        <w:t>Keywords:</w:t>
      </w:r>
      <w:r w:rsidRPr="00356ADA">
        <w:rPr>
          <w:rFonts w:ascii="Times New Roman" w:hAnsi="Times New Roman" w:cs="Times New Roman"/>
          <w:b/>
          <w:bCs/>
          <w:sz w:val="24"/>
          <w:szCs w:val="24"/>
        </w:rPr>
        <w:t xml:space="preserve"> </w:t>
      </w:r>
      <w:r w:rsidR="00A6580F">
        <w:rPr>
          <w:rFonts w:ascii="Times New Roman" w:hAnsi="Times New Roman" w:cs="Times New Roman"/>
          <w:i/>
          <w:iCs/>
          <w:sz w:val="24"/>
          <w:szCs w:val="24"/>
        </w:rPr>
        <w:t xml:space="preserve">Non-financial reporting, </w:t>
      </w:r>
      <w:r w:rsidRPr="00356ADA">
        <w:rPr>
          <w:rFonts w:ascii="Times New Roman" w:hAnsi="Times New Roman" w:cs="Times New Roman"/>
          <w:bCs/>
          <w:i/>
          <w:iCs/>
          <w:sz w:val="24"/>
          <w:szCs w:val="24"/>
        </w:rPr>
        <w:t>risk</w:t>
      </w:r>
      <w:r w:rsidR="00025040">
        <w:rPr>
          <w:rFonts w:ascii="Times New Roman" w:hAnsi="Times New Roman" w:cs="Times New Roman"/>
          <w:bCs/>
          <w:i/>
          <w:iCs/>
          <w:sz w:val="24"/>
          <w:szCs w:val="24"/>
        </w:rPr>
        <w:t xml:space="preserve"> </w:t>
      </w:r>
      <w:r w:rsidR="00E9321E">
        <w:rPr>
          <w:rFonts w:ascii="Times New Roman" w:hAnsi="Times New Roman" w:cs="Times New Roman"/>
          <w:bCs/>
          <w:i/>
          <w:iCs/>
          <w:sz w:val="24"/>
          <w:szCs w:val="24"/>
        </w:rPr>
        <w:t xml:space="preserve">and governance </w:t>
      </w:r>
      <w:r w:rsidRPr="00356ADA">
        <w:rPr>
          <w:rFonts w:ascii="Times New Roman" w:hAnsi="Times New Roman" w:cs="Times New Roman"/>
          <w:bCs/>
          <w:i/>
          <w:iCs/>
          <w:sz w:val="24"/>
          <w:szCs w:val="24"/>
        </w:rPr>
        <w:t>disclosure</w:t>
      </w:r>
      <w:r w:rsidR="00025040">
        <w:rPr>
          <w:rFonts w:ascii="Times New Roman" w:hAnsi="Times New Roman" w:cs="Times New Roman"/>
          <w:bCs/>
          <w:i/>
          <w:iCs/>
          <w:sz w:val="24"/>
          <w:szCs w:val="24"/>
        </w:rPr>
        <w:t>s</w:t>
      </w:r>
      <w:r w:rsidRPr="00356ADA">
        <w:rPr>
          <w:rFonts w:ascii="Times New Roman" w:hAnsi="Times New Roman" w:cs="Times New Roman"/>
          <w:bCs/>
          <w:i/>
          <w:iCs/>
          <w:sz w:val="24"/>
          <w:szCs w:val="24"/>
        </w:rPr>
        <w:t>,</w:t>
      </w:r>
      <w:r w:rsidR="00A6580F" w:rsidRPr="00356ADA">
        <w:rPr>
          <w:rFonts w:ascii="Times New Roman" w:hAnsi="Times New Roman" w:cs="Times New Roman"/>
          <w:bCs/>
          <w:i/>
          <w:iCs/>
          <w:sz w:val="24"/>
          <w:szCs w:val="24"/>
        </w:rPr>
        <w:t xml:space="preserve"> senior management team</w:t>
      </w:r>
      <w:r w:rsidR="0019700D">
        <w:rPr>
          <w:rFonts w:ascii="Times New Roman" w:hAnsi="Times New Roman" w:cs="Times New Roman"/>
          <w:bCs/>
          <w:i/>
          <w:iCs/>
          <w:sz w:val="24"/>
          <w:szCs w:val="24"/>
        </w:rPr>
        <w:t xml:space="preserve"> </w:t>
      </w:r>
      <w:r w:rsidR="00E9321E">
        <w:rPr>
          <w:rFonts w:ascii="Times New Roman" w:hAnsi="Times New Roman" w:cs="Times New Roman"/>
          <w:bCs/>
          <w:i/>
          <w:iCs/>
          <w:sz w:val="24"/>
          <w:szCs w:val="24"/>
        </w:rPr>
        <w:t>characteristics</w:t>
      </w:r>
      <w:r w:rsidR="00A6580F" w:rsidRPr="00356ADA">
        <w:rPr>
          <w:rFonts w:ascii="Times New Roman" w:hAnsi="Times New Roman" w:cs="Times New Roman"/>
          <w:bCs/>
          <w:i/>
          <w:iCs/>
          <w:sz w:val="24"/>
          <w:szCs w:val="24"/>
        </w:rPr>
        <w:t xml:space="preserve">, </w:t>
      </w:r>
      <w:r w:rsidRPr="00356ADA">
        <w:rPr>
          <w:rFonts w:ascii="Times New Roman" w:hAnsi="Times New Roman" w:cs="Times New Roman"/>
          <w:bCs/>
          <w:i/>
          <w:iCs/>
          <w:sz w:val="24"/>
          <w:szCs w:val="24"/>
        </w:rPr>
        <w:t xml:space="preserve">reforms, </w:t>
      </w:r>
      <w:r w:rsidR="00207253">
        <w:rPr>
          <w:rFonts w:ascii="Times New Roman" w:hAnsi="Times New Roman" w:cs="Times New Roman"/>
          <w:bCs/>
          <w:i/>
          <w:iCs/>
          <w:sz w:val="24"/>
          <w:szCs w:val="24"/>
        </w:rPr>
        <w:t>non-profit</w:t>
      </w:r>
      <w:r w:rsidR="00B64752">
        <w:rPr>
          <w:rFonts w:ascii="Times New Roman" w:hAnsi="Times New Roman" w:cs="Times New Roman"/>
          <w:bCs/>
          <w:i/>
          <w:iCs/>
          <w:sz w:val="24"/>
          <w:szCs w:val="24"/>
        </w:rPr>
        <w:t xml:space="preserve"> organisations, </w:t>
      </w:r>
      <w:r w:rsidR="00236903">
        <w:rPr>
          <w:rFonts w:ascii="Times New Roman" w:hAnsi="Times New Roman" w:cs="Times New Roman"/>
          <w:bCs/>
          <w:i/>
          <w:iCs/>
          <w:sz w:val="24"/>
          <w:szCs w:val="24"/>
        </w:rPr>
        <w:t xml:space="preserve">neo-institutional theory, </w:t>
      </w:r>
      <w:r w:rsidR="00E0619D">
        <w:rPr>
          <w:rFonts w:ascii="Times New Roman" w:hAnsi="Times New Roman" w:cs="Times New Roman"/>
          <w:bCs/>
          <w:i/>
          <w:iCs/>
          <w:sz w:val="24"/>
          <w:szCs w:val="24"/>
        </w:rPr>
        <w:t xml:space="preserve">UK </w:t>
      </w:r>
      <w:r w:rsidR="009044E9" w:rsidRPr="00356ADA">
        <w:rPr>
          <w:rFonts w:ascii="Times New Roman" w:hAnsi="Times New Roman" w:cs="Times New Roman"/>
          <w:bCs/>
          <w:i/>
          <w:iCs/>
          <w:sz w:val="24"/>
          <w:szCs w:val="24"/>
        </w:rPr>
        <w:t>HEIs</w:t>
      </w:r>
    </w:p>
    <w:p w14:paraId="645223DE" w14:textId="77777777" w:rsidR="00CA65C3" w:rsidRPr="00233EC8" w:rsidRDefault="00CA65C3" w:rsidP="005272AE">
      <w:pPr>
        <w:rPr>
          <w:rFonts w:ascii="Times New Roman" w:hAnsi="Times New Roman" w:cs="Times New Roman"/>
        </w:rPr>
      </w:pPr>
    </w:p>
    <w:p w14:paraId="0938B378" w14:textId="77777777" w:rsidR="00C212FD" w:rsidRPr="00233EC8" w:rsidRDefault="00C212FD" w:rsidP="005272AE">
      <w:pPr>
        <w:rPr>
          <w:rFonts w:ascii="Times New Roman" w:hAnsi="Times New Roman" w:cs="Times New Roman"/>
          <w:b/>
        </w:rPr>
      </w:pPr>
    </w:p>
    <w:p w14:paraId="5F49B817" w14:textId="77777777" w:rsidR="00C212FD" w:rsidRPr="00233EC8" w:rsidRDefault="00C212FD" w:rsidP="005272AE">
      <w:pPr>
        <w:rPr>
          <w:rFonts w:ascii="Times New Roman" w:hAnsi="Times New Roman" w:cs="Times New Roman"/>
          <w:b/>
        </w:rPr>
      </w:pPr>
    </w:p>
    <w:p w14:paraId="2A283EB9" w14:textId="77777777" w:rsidR="00C212FD" w:rsidRPr="00233EC8" w:rsidRDefault="00C212FD" w:rsidP="005272AE">
      <w:pPr>
        <w:rPr>
          <w:rFonts w:ascii="Times New Roman" w:hAnsi="Times New Roman" w:cs="Times New Roman"/>
          <w:b/>
        </w:rPr>
      </w:pPr>
    </w:p>
    <w:p w14:paraId="64FAF60D" w14:textId="77777777" w:rsidR="00C212FD" w:rsidRPr="00233EC8" w:rsidRDefault="00C212FD" w:rsidP="005272AE">
      <w:pPr>
        <w:rPr>
          <w:rFonts w:ascii="Times New Roman" w:hAnsi="Times New Roman" w:cs="Times New Roman"/>
          <w:b/>
        </w:rPr>
      </w:pPr>
    </w:p>
    <w:p w14:paraId="0ABE4F6E" w14:textId="77777777" w:rsidR="00C212FD" w:rsidRPr="00233EC8" w:rsidRDefault="00C212FD" w:rsidP="005272AE">
      <w:pPr>
        <w:rPr>
          <w:rFonts w:ascii="Times New Roman" w:hAnsi="Times New Roman" w:cs="Times New Roman"/>
          <w:b/>
        </w:rPr>
      </w:pPr>
    </w:p>
    <w:p w14:paraId="41F9E85B" w14:textId="77777777" w:rsidR="00C212FD" w:rsidRPr="00233EC8" w:rsidRDefault="00C212FD" w:rsidP="005272AE">
      <w:pPr>
        <w:rPr>
          <w:rFonts w:ascii="Times New Roman" w:hAnsi="Times New Roman" w:cs="Times New Roman"/>
          <w:b/>
        </w:rPr>
      </w:pPr>
    </w:p>
    <w:p w14:paraId="2B53CA25" w14:textId="77777777" w:rsidR="00C212FD" w:rsidRPr="00233EC8" w:rsidRDefault="00C212FD" w:rsidP="005272AE">
      <w:pPr>
        <w:rPr>
          <w:rFonts w:ascii="Times New Roman" w:hAnsi="Times New Roman" w:cs="Times New Roman"/>
          <w:b/>
        </w:rPr>
      </w:pPr>
    </w:p>
    <w:p w14:paraId="487EB42C" w14:textId="77777777" w:rsidR="00C212FD" w:rsidRPr="00233EC8" w:rsidRDefault="00C212FD" w:rsidP="005272AE">
      <w:pPr>
        <w:rPr>
          <w:rFonts w:ascii="Times New Roman" w:hAnsi="Times New Roman" w:cs="Times New Roman"/>
          <w:b/>
        </w:rPr>
      </w:pPr>
    </w:p>
    <w:p w14:paraId="3FD2E7CE" w14:textId="77777777" w:rsidR="00C212FD" w:rsidRPr="00233EC8" w:rsidRDefault="00C212FD" w:rsidP="005272AE">
      <w:pPr>
        <w:rPr>
          <w:rFonts w:ascii="Times New Roman" w:hAnsi="Times New Roman" w:cs="Times New Roman"/>
          <w:b/>
        </w:rPr>
      </w:pPr>
    </w:p>
    <w:p w14:paraId="1913B24A" w14:textId="660ACDD8" w:rsidR="00C212FD" w:rsidRDefault="00C212FD" w:rsidP="005272AE">
      <w:pPr>
        <w:rPr>
          <w:rFonts w:ascii="Times New Roman" w:hAnsi="Times New Roman" w:cs="Times New Roman"/>
          <w:b/>
        </w:rPr>
      </w:pPr>
    </w:p>
    <w:p w14:paraId="4787D127" w14:textId="783E90A2" w:rsidR="00114B77" w:rsidRDefault="00114B77" w:rsidP="005272AE">
      <w:pPr>
        <w:rPr>
          <w:rFonts w:ascii="Times New Roman" w:hAnsi="Times New Roman" w:cs="Times New Roman"/>
          <w:b/>
        </w:rPr>
      </w:pPr>
    </w:p>
    <w:p w14:paraId="133F7EB5" w14:textId="77777777" w:rsidR="00BE36FA" w:rsidRDefault="00BE36FA" w:rsidP="005272AE">
      <w:pPr>
        <w:rPr>
          <w:rFonts w:ascii="Times New Roman" w:hAnsi="Times New Roman" w:cs="Times New Roman"/>
          <w:b/>
        </w:rPr>
      </w:pPr>
    </w:p>
    <w:p w14:paraId="151CE270" w14:textId="77777777" w:rsidR="00114B77" w:rsidRPr="00233EC8" w:rsidRDefault="00114B77" w:rsidP="005272AE">
      <w:pPr>
        <w:rPr>
          <w:rFonts w:ascii="Times New Roman" w:hAnsi="Times New Roman" w:cs="Times New Roman"/>
          <w:b/>
        </w:rPr>
      </w:pPr>
    </w:p>
    <w:p w14:paraId="2FBFE890" w14:textId="009D2CA1" w:rsidR="00A4297A" w:rsidRPr="00356ADA" w:rsidRDefault="00A007FB" w:rsidP="00BB7FF8">
      <w:pPr>
        <w:pStyle w:val="ListParagraph"/>
        <w:numPr>
          <w:ilvl w:val="0"/>
          <w:numId w:val="21"/>
        </w:numPr>
        <w:spacing w:after="0" w:line="240" w:lineRule="auto"/>
        <w:ind w:left="284" w:hanging="284"/>
        <w:rPr>
          <w:rFonts w:ascii="Times New Roman" w:hAnsi="Times New Roman" w:cs="Times New Roman"/>
          <w:b/>
          <w:sz w:val="24"/>
          <w:szCs w:val="24"/>
        </w:rPr>
      </w:pPr>
      <w:r w:rsidRPr="00356ADA">
        <w:rPr>
          <w:rFonts w:ascii="Times New Roman" w:hAnsi="Times New Roman" w:cs="Times New Roman"/>
          <w:b/>
          <w:sz w:val="24"/>
          <w:szCs w:val="24"/>
        </w:rPr>
        <w:lastRenderedPageBreak/>
        <w:t>Introduction</w:t>
      </w:r>
    </w:p>
    <w:p w14:paraId="256F77B7" w14:textId="77777777" w:rsidR="00BB7FF8" w:rsidRPr="00356ADA" w:rsidRDefault="00BB7FF8" w:rsidP="00BB7FF8">
      <w:pPr>
        <w:spacing w:after="0" w:line="240" w:lineRule="auto"/>
        <w:rPr>
          <w:rFonts w:ascii="Times New Roman" w:hAnsi="Times New Roman" w:cs="Times New Roman"/>
          <w:b/>
          <w:sz w:val="24"/>
          <w:szCs w:val="24"/>
        </w:rPr>
      </w:pPr>
    </w:p>
    <w:p w14:paraId="36956CCA" w14:textId="27D876A4" w:rsidR="00513519" w:rsidRDefault="009C7972" w:rsidP="005135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041BDE">
        <w:rPr>
          <w:rFonts w:ascii="Times New Roman" w:hAnsi="Times New Roman" w:cs="Times New Roman"/>
          <w:sz w:val="24"/>
          <w:szCs w:val="24"/>
        </w:rPr>
        <w:t>past decades have witnessed increased demand</w:t>
      </w:r>
      <w:r w:rsidR="00F41DEB">
        <w:rPr>
          <w:rFonts w:ascii="Times New Roman" w:hAnsi="Times New Roman" w:cs="Times New Roman"/>
          <w:sz w:val="24"/>
          <w:szCs w:val="24"/>
        </w:rPr>
        <w:t xml:space="preserve"> by activists</w:t>
      </w:r>
      <w:r w:rsidR="00E37725">
        <w:rPr>
          <w:rFonts w:ascii="Times New Roman" w:hAnsi="Times New Roman" w:cs="Times New Roman"/>
          <w:sz w:val="24"/>
          <w:szCs w:val="24"/>
        </w:rPr>
        <w:t>/</w:t>
      </w:r>
      <w:r w:rsidR="00F41DEB">
        <w:rPr>
          <w:rFonts w:ascii="Times New Roman" w:hAnsi="Times New Roman" w:cs="Times New Roman"/>
          <w:sz w:val="24"/>
          <w:szCs w:val="24"/>
        </w:rPr>
        <w:t xml:space="preserve">non-governmental organisations, </w:t>
      </w:r>
      <w:r w:rsidR="00E37725">
        <w:rPr>
          <w:rFonts w:ascii="Times New Roman" w:hAnsi="Times New Roman" w:cs="Times New Roman"/>
          <w:sz w:val="24"/>
          <w:szCs w:val="24"/>
        </w:rPr>
        <w:t xml:space="preserve">capital markets, </w:t>
      </w:r>
      <w:r w:rsidR="00D22ABB">
        <w:rPr>
          <w:rFonts w:ascii="Times New Roman" w:hAnsi="Times New Roman" w:cs="Times New Roman"/>
          <w:sz w:val="24"/>
          <w:szCs w:val="24"/>
        </w:rPr>
        <w:t xml:space="preserve">investors/professional bodies, </w:t>
      </w:r>
      <w:r w:rsidR="00F41DEB">
        <w:rPr>
          <w:rFonts w:ascii="Times New Roman" w:hAnsi="Times New Roman" w:cs="Times New Roman"/>
          <w:sz w:val="24"/>
          <w:szCs w:val="24"/>
        </w:rPr>
        <w:t>multinational</w:t>
      </w:r>
      <w:r w:rsidR="0095247C">
        <w:rPr>
          <w:rFonts w:ascii="Times New Roman" w:hAnsi="Times New Roman" w:cs="Times New Roman"/>
          <w:sz w:val="24"/>
          <w:szCs w:val="24"/>
        </w:rPr>
        <w:t>/</w:t>
      </w:r>
      <w:r w:rsidR="00F41DEB">
        <w:rPr>
          <w:rFonts w:ascii="Times New Roman" w:hAnsi="Times New Roman" w:cs="Times New Roman"/>
          <w:sz w:val="24"/>
          <w:szCs w:val="24"/>
        </w:rPr>
        <w:t xml:space="preserve">supra-national agencies, </w:t>
      </w:r>
      <w:r w:rsidR="00E37725">
        <w:rPr>
          <w:rFonts w:ascii="Times New Roman" w:hAnsi="Times New Roman" w:cs="Times New Roman"/>
          <w:sz w:val="24"/>
          <w:szCs w:val="24"/>
        </w:rPr>
        <w:t xml:space="preserve">national governments, </w:t>
      </w:r>
      <w:r w:rsidR="00D22ABB">
        <w:rPr>
          <w:rFonts w:ascii="Times New Roman" w:hAnsi="Times New Roman" w:cs="Times New Roman"/>
          <w:sz w:val="24"/>
          <w:szCs w:val="24"/>
        </w:rPr>
        <w:t>regulators/</w:t>
      </w:r>
      <w:r w:rsidR="00F41DEB">
        <w:rPr>
          <w:rFonts w:ascii="Times New Roman" w:hAnsi="Times New Roman" w:cs="Times New Roman"/>
          <w:sz w:val="24"/>
          <w:szCs w:val="24"/>
        </w:rPr>
        <w:t xml:space="preserve">policy-makers, </w:t>
      </w:r>
      <w:r w:rsidR="00E37725">
        <w:rPr>
          <w:rFonts w:ascii="Times New Roman" w:hAnsi="Times New Roman" w:cs="Times New Roman"/>
          <w:sz w:val="24"/>
          <w:szCs w:val="24"/>
        </w:rPr>
        <w:t>and standard-setters</w:t>
      </w:r>
      <w:r w:rsidR="00F41DEB">
        <w:rPr>
          <w:rFonts w:ascii="Times New Roman" w:hAnsi="Times New Roman" w:cs="Times New Roman"/>
          <w:sz w:val="24"/>
          <w:szCs w:val="24"/>
        </w:rPr>
        <w:t xml:space="preserve"> </w:t>
      </w:r>
      <w:r w:rsidR="00041BDE">
        <w:rPr>
          <w:rFonts w:ascii="Times New Roman" w:hAnsi="Times New Roman" w:cs="Times New Roman"/>
          <w:sz w:val="24"/>
          <w:szCs w:val="24"/>
        </w:rPr>
        <w:t>for non-financial</w:t>
      </w:r>
      <w:r w:rsidR="0006178A">
        <w:rPr>
          <w:rFonts w:ascii="Times New Roman" w:hAnsi="Times New Roman" w:cs="Times New Roman"/>
          <w:sz w:val="24"/>
          <w:szCs w:val="24"/>
        </w:rPr>
        <w:t xml:space="preserve"> reporting</w:t>
      </w:r>
      <w:r w:rsidR="00501323">
        <w:rPr>
          <w:rFonts w:ascii="Times New Roman" w:hAnsi="Times New Roman" w:cs="Times New Roman"/>
          <w:sz w:val="24"/>
          <w:szCs w:val="24"/>
        </w:rPr>
        <w:t xml:space="preserve"> (NFR)</w:t>
      </w:r>
      <w:r w:rsidR="005039D2">
        <w:rPr>
          <w:rFonts w:ascii="Times New Roman" w:hAnsi="Times New Roman" w:cs="Times New Roman"/>
          <w:sz w:val="24"/>
          <w:szCs w:val="24"/>
        </w:rPr>
        <w:t xml:space="preserve"> by</w:t>
      </w:r>
      <w:r w:rsidR="0006178A">
        <w:rPr>
          <w:rFonts w:ascii="Times New Roman" w:hAnsi="Times New Roman" w:cs="Times New Roman"/>
          <w:sz w:val="24"/>
          <w:szCs w:val="24"/>
        </w:rPr>
        <w:t xml:space="preserve"> </w:t>
      </w:r>
      <w:r w:rsidR="005039D2">
        <w:rPr>
          <w:rFonts w:ascii="Times New Roman" w:hAnsi="Times New Roman" w:cs="Times New Roman"/>
          <w:sz w:val="24"/>
          <w:szCs w:val="24"/>
        </w:rPr>
        <w:t>both p</w:t>
      </w:r>
      <w:r w:rsidR="00910D44">
        <w:rPr>
          <w:rFonts w:ascii="Times New Roman" w:hAnsi="Times New Roman" w:cs="Times New Roman"/>
          <w:sz w:val="24"/>
          <w:szCs w:val="24"/>
        </w:rPr>
        <w:t>rofit</w:t>
      </w:r>
      <w:r w:rsidR="005039D2">
        <w:rPr>
          <w:rFonts w:ascii="Times New Roman" w:hAnsi="Times New Roman" w:cs="Times New Roman"/>
          <w:sz w:val="24"/>
          <w:szCs w:val="24"/>
        </w:rPr>
        <w:t xml:space="preserve"> and</w:t>
      </w:r>
      <w:r w:rsidR="00910D44">
        <w:rPr>
          <w:rFonts w:ascii="Times New Roman" w:hAnsi="Times New Roman" w:cs="Times New Roman"/>
          <w:sz w:val="24"/>
          <w:szCs w:val="24"/>
        </w:rPr>
        <w:t xml:space="preserve"> non-profit</w:t>
      </w:r>
      <w:r w:rsidR="005039D2">
        <w:rPr>
          <w:rFonts w:ascii="Times New Roman" w:hAnsi="Times New Roman" w:cs="Times New Roman"/>
          <w:sz w:val="24"/>
          <w:szCs w:val="24"/>
        </w:rPr>
        <w:t xml:space="preserve"> </w:t>
      </w:r>
      <w:r w:rsidR="0006178A">
        <w:rPr>
          <w:rFonts w:ascii="Times New Roman" w:hAnsi="Times New Roman" w:cs="Times New Roman"/>
          <w:sz w:val="24"/>
          <w:szCs w:val="24"/>
        </w:rPr>
        <w:t>organisations (</w:t>
      </w:r>
      <w:r w:rsidR="008827C2" w:rsidRPr="00A64AC1">
        <w:rPr>
          <w:rFonts w:ascii="Times New Roman" w:hAnsi="Times New Roman" w:cs="Times New Roman"/>
          <w:sz w:val="24"/>
          <w:szCs w:val="24"/>
        </w:rPr>
        <w:t>Baboukardos</w:t>
      </w:r>
      <w:r w:rsidR="008827C2">
        <w:rPr>
          <w:rFonts w:ascii="Times New Roman" w:hAnsi="Times New Roman" w:cs="Times New Roman"/>
          <w:sz w:val="24"/>
          <w:szCs w:val="24"/>
        </w:rPr>
        <w:t xml:space="preserve">, 2018; </w:t>
      </w:r>
      <w:r w:rsidR="00E25D38" w:rsidRPr="00646DFD">
        <w:rPr>
          <w:rFonts w:ascii="Times New Roman" w:hAnsi="Times New Roman" w:cs="Times New Roman"/>
          <w:sz w:val="24"/>
          <w:szCs w:val="24"/>
        </w:rPr>
        <w:t>Gaia &amp; Jones</w:t>
      </w:r>
      <w:r w:rsidR="00E25D38">
        <w:rPr>
          <w:rFonts w:ascii="Times New Roman" w:hAnsi="Times New Roman" w:cs="Times New Roman"/>
          <w:sz w:val="24"/>
          <w:szCs w:val="24"/>
        </w:rPr>
        <w:t>, 2019)</w:t>
      </w:r>
      <w:r w:rsidR="0006178A">
        <w:rPr>
          <w:rFonts w:ascii="Times New Roman" w:hAnsi="Times New Roman" w:cs="Times New Roman"/>
          <w:sz w:val="24"/>
          <w:szCs w:val="24"/>
        </w:rPr>
        <w:t xml:space="preserve">. </w:t>
      </w:r>
      <w:r w:rsidR="00501323">
        <w:rPr>
          <w:rFonts w:ascii="Times New Roman" w:hAnsi="Times New Roman" w:cs="Times New Roman"/>
          <w:sz w:val="24"/>
          <w:szCs w:val="24"/>
        </w:rPr>
        <w:t xml:space="preserve">In particular, observable increases in NFR </w:t>
      </w:r>
      <w:r w:rsidR="00355CE2">
        <w:rPr>
          <w:rFonts w:ascii="Times New Roman" w:hAnsi="Times New Roman" w:cs="Times New Roman"/>
          <w:sz w:val="24"/>
          <w:szCs w:val="24"/>
        </w:rPr>
        <w:t xml:space="preserve">globally </w:t>
      </w:r>
      <w:r w:rsidR="00501323">
        <w:rPr>
          <w:rFonts w:ascii="Times New Roman" w:hAnsi="Times New Roman" w:cs="Times New Roman"/>
          <w:sz w:val="24"/>
          <w:szCs w:val="24"/>
        </w:rPr>
        <w:t xml:space="preserve">relating to </w:t>
      </w:r>
      <w:r w:rsidR="001933AD">
        <w:rPr>
          <w:rFonts w:ascii="Times New Roman" w:hAnsi="Times New Roman" w:cs="Times New Roman"/>
          <w:sz w:val="24"/>
          <w:szCs w:val="24"/>
        </w:rPr>
        <w:t xml:space="preserve">enhanced </w:t>
      </w:r>
      <w:r w:rsidR="00075564">
        <w:rPr>
          <w:rFonts w:ascii="Times New Roman" w:hAnsi="Times New Roman" w:cs="Times New Roman"/>
          <w:sz w:val="24"/>
          <w:szCs w:val="24"/>
        </w:rPr>
        <w:t xml:space="preserve">carbon/climate change, </w:t>
      </w:r>
      <w:r w:rsidR="0030007F">
        <w:rPr>
          <w:rFonts w:ascii="Times New Roman" w:hAnsi="Times New Roman" w:cs="Times New Roman"/>
          <w:sz w:val="24"/>
          <w:szCs w:val="24"/>
        </w:rPr>
        <w:t xml:space="preserve">corporate governance, </w:t>
      </w:r>
      <w:r w:rsidR="0006178A">
        <w:rPr>
          <w:rFonts w:ascii="Times New Roman" w:hAnsi="Times New Roman" w:cs="Times New Roman"/>
          <w:sz w:val="24"/>
          <w:szCs w:val="24"/>
        </w:rPr>
        <w:t xml:space="preserve">corporate social responsibility, </w:t>
      </w:r>
      <w:r w:rsidR="0030007F">
        <w:rPr>
          <w:rFonts w:ascii="Times New Roman" w:hAnsi="Times New Roman" w:cs="Times New Roman"/>
          <w:sz w:val="24"/>
          <w:szCs w:val="24"/>
        </w:rPr>
        <w:t>environment, social and governance, human</w:t>
      </w:r>
      <w:r w:rsidR="00AD0E56">
        <w:rPr>
          <w:rFonts w:ascii="Times New Roman" w:hAnsi="Times New Roman" w:cs="Times New Roman"/>
          <w:sz w:val="24"/>
          <w:szCs w:val="24"/>
        </w:rPr>
        <w:t>/intellectual</w:t>
      </w:r>
      <w:r w:rsidR="0030007F">
        <w:rPr>
          <w:rFonts w:ascii="Times New Roman" w:hAnsi="Times New Roman" w:cs="Times New Roman"/>
          <w:sz w:val="24"/>
          <w:szCs w:val="24"/>
        </w:rPr>
        <w:t xml:space="preserve"> capital</w:t>
      </w:r>
      <w:r w:rsidR="00501323">
        <w:rPr>
          <w:rFonts w:ascii="Times New Roman" w:hAnsi="Times New Roman" w:cs="Times New Roman"/>
          <w:sz w:val="24"/>
          <w:szCs w:val="24"/>
        </w:rPr>
        <w:t>,</w:t>
      </w:r>
      <w:r w:rsidR="0006178A">
        <w:rPr>
          <w:rFonts w:ascii="Times New Roman" w:hAnsi="Times New Roman" w:cs="Times New Roman"/>
          <w:sz w:val="24"/>
          <w:szCs w:val="24"/>
        </w:rPr>
        <w:t xml:space="preserve"> </w:t>
      </w:r>
      <w:r w:rsidR="0030007F">
        <w:rPr>
          <w:rFonts w:ascii="Times New Roman" w:hAnsi="Times New Roman" w:cs="Times New Roman"/>
          <w:sz w:val="24"/>
          <w:szCs w:val="24"/>
        </w:rPr>
        <w:t>risk</w:t>
      </w:r>
      <w:r w:rsidR="0006178A">
        <w:rPr>
          <w:rFonts w:ascii="Times New Roman" w:hAnsi="Times New Roman" w:cs="Times New Roman"/>
          <w:sz w:val="24"/>
          <w:szCs w:val="24"/>
        </w:rPr>
        <w:t xml:space="preserve"> and </w:t>
      </w:r>
      <w:r w:rsidR="008C78E2">
        <w:rPr>
          <w:rFonts w:ascii="Times New Roman" w:hAnsi="Times New Roman" w:cs="Times New Roman"/>
          <w:sz w:val="24"/>
          <w:szCs w:val="24"/>
        </w:rPr>
        <w:t>sustainability</w:t>
      </w:r>
      <w:r w:rsidR="0006178A">
        <w:rPr>
          <w:rFonts w:ascii="Times New Roman" w:hAnsi="Times New Roman" w:cs="Times New Roman"/>
          <w:sz w:val="24"/>
          <w:szCs w:val="24"/>
        </w:rPr>
        <w:t xml:space="preserve"> reporting, including those relating </w:t>
      </w:r>
      <w:r w:rsidR="00E05234">
        <w:rPr>
          <w:rFonts w:ascii="Times New Roman" w:hAnsi="Times New Roman" w:cs="Times New Roman"/>
          <w:sz w:val="24"/>
          <w:szCs w:val="24"/>
        </w:rPr>
        <w:t xml:space="preserve">to </w:t>
      </w:r>
      <w:r w:rsidR="0006178A">
        <w:rPr>
          <w:rFonts w:ascii="Times New Roman" w:hAnsi="Times New Roman" w:cs="Times New Roman"/>
          <w:sz w:val="24"/>
          <w:szCs w:val="24"/>
        </w:rPr>
        <w:t>the UN sustainable development goals</w:t>
      </w:r>
      <w:r w:rsidR="00501323">
        <w:rPr>
          <w:rFonts w:ascii="Times New Roman" w:hAnsi="Times New Roman" w:cs="Times New Roman"/>
          <w:sz w:val="24"/>
          <w:szCs w:val="24"/>
        </w:rPr>
        <w:t>, amongst many others, are evident</w:t>
      </w:r>
      <w:r w:rsidR="0030007F">
        <w:rPr>
          <w:rFonts w:ascii="Times New Roman" w:hAnsi="Times New Roman" w:cs="Times New Roman"/>
          <w:sz w:val="24"/>
          <w:szCs w:val="24"/>
        </w:rPr>
        <w:t xml:space="preserve"> (</w:t>
      </w:r>
      <w:r w:rsidR="00A64AC1" w:rsidRPr="00A64AC1">
        <w:rPr>
          <w:rFonts w:ascii="Times New Roman" w:hAnsi="Times New Roman" w:cs="Times New Roman"/>
          <w:sz w:val="24"/>
          <w:szCs w:val="24"/>
        </w:rPr>
        <w:t>Baboukardos</w:t>
      </w:r>
      <w:r w:rsidR="00A64AC1">
        <w:rPr>
          <w:rFonts w:ascii="Times New Roman" w:hAnsi="Times New Roman" w:cs="Times New Roman"/>
          <w:sz w:val="24"/>
          <w:szCs w:val="24"/>
        </w:rPr>
        <w:t>, 2018;</w:t>
      </w:r>
      <w:r w:rsidR="00E25D38">
        <w:rPr>
          <w:rFonts w:ascii="Times New Roman" w:hAnsi="Times New Roman" w:cs="Times New Roman"/>
          <w:sz w:val="24"/>
          <w:szCs w:val="24"/>
        </w:rPr>
        <w:t xml:space="preserve"> </w:t>
      </w:r>
      <w:r w:rsidR="00E25D38" w:rsidRPr="00646DFD">
        <w:rPr>
          <w:rFonts w:ascii="Times New Roman" w:hAnsi="Times New Roman" w:cs="Times New Roman"/>
          <w:sz w:val="24"/>
          <w:szCs w:val="24"/>
        </w:rPr>
        <w:t>Gaia &amp; Jones</w:t>
      </w:r>
      <w:r w:rsidR="00E25D38">
        <w:rPr>
          <w:rFonts w:ascii="Times New Roman" w:hAnsi="Times New Roman" w:cs="Times New Roman"/>
          <w:sz w:val="24"/>
          <w:szCs w:val="24"/>
        </w:rPr>
        <w:t>, 2019)</w:t>
      </w:r>
      <w:r w:rsidR="0030007F">
        <w:rPr>
          <w:rFonts w:ascii="Times New Roman" w:hAnsi="Times New Roman" w:cs="Times New Roman"/>
          <w:sz w:val="24"/>
          <w:szCs w:val="24"/>
        </w:rPr>
        <w:t xml:space="preserve">. </w:t>
      </w:r>
      <w:r w:rsidR="00355CE2">
        <w:rPr>
          <w:rFonts w:ascii="Times New Roman" w:hAnsi="Times New Roman" w:cs="Times New Roman"/>
          <w:sz w:val="24"/>
          <w:szCs w:val="24"/>
        </w:rPr>
        <w:t>Discernibly, whilst most of these NFR</w:t>
      </w:r>
      <w:r w:rsidR="00BE3D8F">
        <w:rPr>
          <w:rFonts w:ascii="Times New Roman" w:hAnsi="Times New Roman" w:cs="Times New Roman"/>
          <w:sz w:val="24"/>
          <w:szCs w:val="24"/>
        </w:rPr>
        <w:t xml:space="preserve"> and their associated studies have focused essentially on</w:t>
      </w:r>
      <w:r w:rsidR="00355CE2">
        <w:rPr>
          <w:rFonts w:ascii="Times New Roman" w:hAnsi="Times New Roman" w:cs="Times New Roman"/>
          <w:sz w:val="24"/>
          <w:szCs w:val="24"/>
        </w:rPr>
        <w:t xml:space="preserve"> large profit-oriented publicly listed/traded organisations (</w:t>
      </w:r>
      <w:r w:rsidR="00E25D38" w:rsidRPr="00356ADA">
        <w:rPr>
          <w:rFonts w:ascii="Times New Roman" w:hAnsi="Times New Roman" w:cs="Times New Roman"/>
          <w:sz w:val="24"/>
          <w:szCs w:val="24"/>
        </w:rPr>
        <w:t>Abraham &amp; Cox,</w:t>
      </w:r>
      <w:r w:rsidR="00E25D38">
        <w:rPr>
          <w:rFonts w:ascii="Times New Roman" w:hAnsi="Times New Roman" w:cs="Times New Roman"/>
          <w:sz w:val="24"/>
          <w:szCs w:val="24"/>
        </w:rPr>
        <w:t xml:space="preserve"> 2007; </w:t>
      </w:r>
      <w:r w:rsidR="00E25D38" w:rsidRPr="00356ADA">
        <w:rPr>
          <w:rFonts w:ascii="Times New Roman" w:hAnsi="Times New Roman" w:cs="Times New Roman"/>
          <w:sz w:val="24"/>
          <w:szCs w:val="24"/>
        </w:rPr>
        <w:t>Dixon &amp; Coy</w:t>
      </w:r>
      <w:r w:rsidR="00E25D38">
        <w:rPr>
          <w:rFonts w:ascii="Times New Roman" w:hAnsi="Times New Roman" w:cs="Times New Roman"/>
          <w:sz w:val="24"/>
          <w:szCs w:val="24"/>
        </w:rPr>
        <w:t xml:space="preserve">, 2007; </w:t>
      </w:r>
      <w:r w:rsidR="00454F1E">
        <w:rPr>
          <w:rFonts w:ascii="Times New Roman" w:hAnsi="Times New Roman" w:cs="Times New Roman"/>
          <w:sz w:val="24"/>
          <w:szCs w:val="24"/>
        </w:rPr>
        <w:t>Ntim et al., 2013)</w:t>
      </w:r>
      <w:r w:rsidR="00355CE2">
        <w:rPr>
          <w:rFonts w:ascii="Times New Roman" w:hAnsi="Times New Roman" w:cs="Times New Roman"/>
          <w:sz w:val="24"/>
          <w:szCs w:val="24"/>
        </w:rPr>
        <w:t xml:space="preserve">, a few of them </w:t>
      </w:r>
      <w:r w:rsidR="00BE3D8F">
        <w:rPr>
          <w:rFonts w:ascii="Times New Roman" w:hAnsi="Times New Roman" w:cs="Times New Roman"/>
          <w:sz w:val="24"/>
          <w:szCs w:val="24"/>
        </w:rPr>
        <w:t>relate to</w:t>
      </w:r>
      <w:r w:rsidR="00355CE2">
        <w:rPr>
          <w:rFonts w:ascii="Times New Roman" w:hAnsi="Times New Roman" w:cs="Times New Roman"/>
          <w:sz w:val="24"/>
          <w:szCs w:val="24"/>
        </w:rPr>
        <w:t xml:space="preserve"> non-profit, charitable, local government and public sector organisations operating in areas, such as education and health</w:t>
      </w:r>
      <w:r w:rsidR="00F41DEB">
        <w:rPr>
          <w:rFonts w:ascii="Times New Roman" w:hAnsi="Times New Roman" w:cs="Times New Roman"/>
          <w:sz w:val="24"/>
          <w:szCs w:val="24"/>
        </w:rPr>
        <w:t xml:space="preserve"> (</w:t>
      </w:r>
      <w:r w:rsidR="00B56B72" w:rsidRPr="00356ADA">
        <w:rPr>
          <w:rFonts w:ascii="Times New Roman" w:hAnsi="Times New Roman" w:cs="Times New Roman"/>
          <w:sz w:val="24"/>
          <w:szCs w:val="24"/>
        </w:rPr>
        <w:t>Coy et al., 1997, 2001</w:t>
      </w:r>
      <w:r w:rsidR="00B56B72">
        <w:rPr>
          <w:rFonts w:ascii="Times New Roman" w:hAnsi="Times New Roman" w:cs="Times New Roman"/>
          <w:sz w:val="24"/>
          <w:szCs w:val="24"/>
        </w:rPr>
        <w:t xml:space="preserve">; </w:t>
      </w:r>
      <w:r w:rsidR="00646DFD" w:rsidRPr="001A1B1D">
        <w:rPr>
          <w:rFonts w:ascii="Times New Roman" w:hAnsi="Times New Roman" w:cs="Times New Roman"/>
          <w:sz w:val="24"/>
          <w:szCs w:val="24"/>
        </w:rPr>
        <w:t>Gaia &amp; Jones</w:t>
      </w:r>
      <w:r w:rsidR="00646DFD">
        <w:rPr>
          <w:rFonts w:ascii="Times New Roman" w:hAnsi="Times New Roman" w:cs="Times New Roman"/>
          <w:sz w:val="24"/>
          <w:szCs w:val="24"/>
        </w:rPr>
        <w:t>, 2019</w:t>
      </w:r>
      <w:r w:rsidR="00F41DEB">
        <w:rPr>
          <w:rFonts w:ascii="Times New Roman" w:hAnsi="Times New Roman" w:cs="Times New Roman"/>
          <w:sz w:val="24"/>
          <w:szCs w:val="24"/>
        </w:rPr>
        <w:t>)</w:t>
      </w:r>
      <w:r w:rsidR="00355CE2">
        <w:rPr>
          <w:rFonts w:ascii="Times New Roman" w:hAnsi="Times New Roman" w:cs="Times New Roman"/>
          <w:sz w:val="24"/>
          <w:szCs w:val="24"/>
        </w:rPr>
        <w:t>.</w:t>
      </w:r>
      <w:r w:rsidR="0030007F">
        <w:rPr>
          <w:rFonts w:ascii="Times New Roman" w:hAnsi="Times New Roman" w:cs="Times New Roman"/>
          <w:sz w:val="24"/>
          <w:szCs w:val="24"/>
        </w:rPr>
        <w:t xml:space="preserve"> </w:t>
      </w:r>
      <w:r w:rsidR="00BE3D8F">
        <w:rPr>
          <w:rFonts w:ascii="Times New Roman" w:hAnsi="Times New Roman" w:cs="Times New Roman"/>
          <w:sz w:val="24"/>
          <w:szCs w:val="24"/>
        </w:rPr>
        <w:t xml:space="preserve">In this paper, we seek </w:t>
      </w:r>
      <w:r w:rsidR="001933AD">
        <w:rPr>
          <w:rFonts w:ascii="Times New Roman" w:hAnsi="Times New Roman" w:cs="Times New Roman"/>
          <w:sz w:val="24"/>
          <w:szCs w:val="24"/>
        </w:rPr>
        <w:t xml:space="preserve">to </w:t>
      </w:r>
      <w:r w:rsidR="00BE3D8F">
        <w:rPr>
          <w:rFonts w:ascii="Times New Roman" w:hAnsi="Times New Roman" w:cs="Times New Roman"/>
          <w:sz w:val="24"/>
          <w:szCs w:val="24"/>
        </w:rPr>
        <w:t>address this</w:t>
      </w:r>
      <w:r w:rsidR="00910D44">
        <w:rPr>
          <w:rFonts w:ascii="Times New Roman" w:hAnsi="Times New Roman" w:cs="Times New Roman"/>
          <w:sz w:val="24"/>
          <w:szCs w:val="24"/>
        </w:rPr>
        <w:t xml:space="preserve"> crucial</w:t>
      </w:r>
      <w:r w:rsidR="00BE3D8F">
        <w:rPr>
          <w:rFonts w:ascii="Times New Roman" w:hAnsi="Times New Roman" w:cs="Times New Roman"/>
          <w:sz w:val="24"/>
          <w:szCs w:val="24"/>
        </w:rPr>
        <w:t xml:space="preserve"> lacuna in the extant</w:t>
      </w:r>
      <w:r w:rsidR="00845808">
        <w:rPr>
          <w:rFonts w:ascii="Times New Roman" w:hAnsi="Times New Roman" w:cs="Times New Roman"/>
          <w:sz w:val="24"/>
          <w:szCs w:val="24"/>
        </w:rPr>
        <w:t xml:space="preserve"> accounting</w:t>
      </w:r>
      <w:r w:rsidR="00BE3D8F">
        <w:rPr>
          <w:rFonts w:ascii="Times New Roman" w:hAnsi="Times New Roman" w:cs="Times New Roman"/>
          <w:sz w:val="24"/>
          <w:szCs w:val="24"/>
        </w:rPr>
        <w:t xml:space="preserve"> literature by investigating NFR in </w:t>
      </w:r>
      <w:r w:rsidR="00F85AB7">
        <w:rPr>
          <w:rFonts w:ascii="Times New Roman" w:hAnsi="Times New Roman" w:cs="Times New Roman"/>
          <w:sz w:val="24"/>
          <w:szCs w:val="24"/>
        </w:rPr>
        <w:t>non-profit</w:t>
      </w:r>
      <w:r w:rsidR="00BE3D8F">
        <w:rPr>
          <w:rFonts w:ascii="Times New Roman" w:hAnsi="Times New Roman" w:cs="Times New Roman"/>
          <w:sz w:val="24"/>
          <w:szCs w:val="24"/>
        </w:rPr>
        <w:t xml:space="preserve"> organisations</w:t>
      </w:r>
      <w:r w:rsidR="00B56B72">
        <w:rPr>
          <w:rFonts w:ascii="Times New Roman" w:hAnsi="Times New Roman" w:cs="Times New Roman"/>
          <w:sz w:val="24"/>
          <w:szCs w:val="24"/>
        </w:rPr>
        <w:t>,</w:t>
      </w:r>
      <w:r w:rsidR="00BE3D8F">
        <w:rPr>
          <w:rFonts w:ascii="Times New Roman" w:hAnsi="Times New Roman" w:cs="Times New Roman"/>
          <w:sz w:val="24"/>
          <w:szCs w:val="24"/>
        </w:rPr>
        <w:t xml:space="preserve"> with specific focus on risk reporting </w:t>
      </w:r>
      <w:r w:rsidR="004D2AEB">
        <w:rPr>
          <w:rFonts w:ascii="Times New Roman" w:hAnsi="Times New Roman" w:cs="Times New Roman"/>
          <w:sz w:val="24"/>
          <w:szCs w:val="24"/>
        </w:rPr>
        <w:t>by</w:t>
      </w:r>
      <w:r w:rsidR="00BE3D8F">
        <w:rPr>
          <w:rFonts w:ascii="Times New Roman" w:hAnsi="Times New Roman" w:cs="Times New Roman"/>
          <w:sz w:val="24"/>
          <w:szCs w:val="24"/>
        </w:rPr>
        <w:t xml:space="preserve"> higher education institutions (HEIs</w:t>
      </w:r>
      <w:r w:rsidR="007F6F48">
        <w:rPr>
          <w:rFonts w:ascii="Times New Roman" w:hAnsi="Times New Roman" w:cs="Times New Roman"/>
          <w:sz w:val="24"/>
          <w:szCs w:val="24"/>
        </w:rPr>
        <w:t>)</w:t>
      </w:r>
      <w:r w:rsidR="00BE3D8F">
        <w:rPr>
          <w:rFonts w:ascii="Times New Roman" w:hAnsi="Times New Roman" w:cs="Times New Roman"/>
          <w:sz w:val="24"/>
          <w:szCs w:val="24"/>
        </w:rPr>
        <w:t xml:space="preserve">. In particular, </w:t>
      </w:r>
      <w:r w:rsidR="00513519">
        <w:rPr>
          <w:rFonts w:ascii="Times New Roman" w:hAnsi="Times New Roman" w:cs="Times New Roman"/>
          <w:sz w:val="24"/>
          <w:szCs w:val="24"/>
        </w:rPr>
        <w:t>t</w:t>
      </w:r>
      <w:r w:rsidR="00513519" w:rsidRPr="00513519">
        <w:rPr>
          <w:rFonts w:ascii="Times New Roman" w:hAnsi="Times New Roman" w:cs="Times New Roman"/>
          <w:sz w:val="24"/>
          <w:szCs w:val="24"/>
        </w:rPr>
        <w:t>his study</w:t>
      </w:r>
      <w:r w:rsidR="00513519">
        <w:rPr>
          <w:rFonts w:ascii="Times New Roman" w:hAnsi="Times New Roman" w:cs="Times New Roman"/>
          <w:sz w:val="24"/>
          <w:szCs w:val="24"/>
        </w:rPr>
        <w:t xml:space="preserve"> attempts to contribute to the extant literature by addressing </w:t>
      </w:r>
      <w:r w:rsidR="00513519" w:rsidRPr="00513519">
        <w:rPr>
          <w:rFonts w:ascii="Times New Roman" w:hAnsi="Times New Roman" w:cs="Times New Roman"/>
          <w:sz w:val="24"/>
          <w:szCs w:val="24"/>
        </w:rPr>
        <w:t>the following</w:t>
      </w:r>
      <w:r w:rsidR="00AA6D72">
        <w:rPr>
          <w:rFonts w:ascii="Times New Roman" w:hAnsi="Times New Roman" w:cs="Times New Roman"/>
          <w:sz w:val="24"/>
          <w:szCs w:val="24"/>
        </w:rPr>
        <w:t xml:space="preserve"> three</w:t>
      </w:r>
      <w:r w:rsidR="00513519" w:rsidRPr="00513519">
        <w:rPr>
          <w:rFonts w:ascii="Times New Roman" w:hAnsi="Times New Roman" w:cs="Times New Roman"/>
          <w:sz w:val="24"/>
          <w:szCs w:val="24"/>
        </w:rPr>
        <w:t xml:space="preserve"> research questions:</w:t>
      </w:r>
    </w:p>
    <w:p w14:paraId="377249F2" w14:textId="2E829AA0" w:rsidR="00513519" w:rsidRDefault="00513519" w:rsidP="00513519">
      <w:pPr>
        <w:pStyle w:val="ListParagraph"/>
        <w:numPr>
          <w:ilvl w:val="0"/>
          <w:numId w:val="24"/>
        </w:numPr>
        <w:spacing w:after="0" w:line="240" w:lineRule="auto"/>
        <w:ind w:left="284" w:hanging="283"/>
        <w:jc w:val="both"/>
        <w:rPr>
          <w:rFonts w:ascii="Times New Roman" w:hAnsi="Times New Roman" w:cs="Times New Roman"/>
          <w:sz w:val="24"/>
          <w:szCs w:val="24"/>
        </w:rPr>
      </w:pPr>
      <w:r>
        <w:rPr>
          <w:rFonts w:ascii="Times New Roman" w:hAnsi="Times New Roman" w:cs="Times New Roman"/>
          <w:sz w:val="24"/>
          <w:szCs w:val="24"/>
        </w:rPr>
        <w:t>To what extent do UK HEIs</w:t>
      </w:r>
      <w:r w:rsidR="00FC27BC">
        <w:rPr>
          <w:rFonts w:ascii="Times New Roman" w:hAnsi="Times New Roman" w:cs="Times New Roman"/>
          <w:sz w:val="24"/>
          <w:szCs w:val="24"/>
        </w:rPr>
        <w:t xml:space="preserve"> voluntarily</w:t>
      </w:r>
      <w:r>
        <w:rPr>
          <w:rFonts w:ascii="Times New Roman" w:hAnsi="Times New Roman" w:cs="Times New Roman"/>
          <w:sz w:val="24"/>
          <w:szCs w:val="24"/>
        </w:rPr>
        <w:t xml:space="preserve"> engage in risk disclosur</w:t>
      </w:r>
      <w:r w:rsidR="00FC27BC">
        <w:rPr>
          <w:rFonts w:ascii="Times New Roman" w:hAnsi="Times New Roman" w:cs="Times New Roman"/>
          <w:sz w:val="24"/>
          <w:szCs w:val="24"/>
        </w:rPr>
        <w:t>es in their annual reports</w:t>
      </w:r>
      <w:r>
        <w:rPr>
          <w:rFonts w:ascii="Times New Roman" w:hAnsi="Times New Roman" w:cs="Times New Roman"/>
          <w:sz w:val="24"/>
          <w:szCs w:val="24"/>
        </w:rPr>
        <w:t>?</w:t>
      </w:r>
    </w:p>
    <w:p w14:paraId="009C96AE" w14:textId="73838508" w:rsidR="00513519" w:rsidRDefault="00513519" w:rsidP="00513519">
      <w:pPr>
        <w:pStyle w:val="ListParagraph"/>
        <w:numPr>
          <w:ilvl w:val="0"/>
          <w:numId w:val="24"/>
        </w:numPr>
        <w:spacing w:after="0" w:line="240" w:lineRule="auto"/>
        <w:ind w:left="284" w:hanging="283"/>
        <w:jc w:val="both"/>
        <w:rPr>
          <w:rFonts w:ascii="Times New Roman" w:hAnsi="Times New Roman" w:cs="Times New Roman"/>
          <w:sz w:val="24"/>
          <w:szCs w:val="24"/>
        </w:rPr>
      </w:pPr>
      <w:r>
        <w:rPr>
          <w:rFonts w:ascii="Times New Roman" w:hAnsi="Times New Roman" w:cs="Times New Roman"/>
          <w:sz w:val="24"/>
          <w:szCs w:val="24"/>
        </w:rPr>
        <w:t xml:space="preserve">What is the effect of </w:t>
      </w:r>
      <w:r w:rsidR="006F1110">
        <w:rPr>
          <w:rFonts w:ascii="Times New Roman" w:hAnsi="Times New Roman" w:cs="Times New Roman"/>
          <w:sz w:val="24"/>
          <w:szCs w:val="24"/>
        </w:rPr>
        <w:t xml:space="preserve">UK </w:t>
      </w:r>
      <w:r>
        <w:rPr>
          <w:rFonts w:ascii="Times New Roman" w:hAnsi="Times New Roman" w:cs="Times New Roman"/>
          <w:sz w:val="24"/>
          <w:szCs w:val="24"/>
        </w:rPr>
        <w:t>HEIs’ governance quality on</w:t>
      </w:r>
      <w:r w:rsidR="004B4EB5">
        <w:rPr>
          <w:rFonts w:ascii="Times New Roman" w:hAnsi="Times New Roman" w:cs="Times New Roman"/>
          <w:sz w:val="24"/>
          <w:szCs w:val="24"/>
        </w:rPr>
        <w:t xml:space="preserve"> the level of</w:t>
      </w:r>
      <w:r>
        <w:rPr>
          <w:rFonts w:ascii="Times New Roman" w:hAnsi="Times New Roman" w:cs="Times New Roman"/>
          <w:sz w:val="24"/>
          <w:szCs w:val="24"/>
        </w:rPr>
        <w:t xml:space="preserve"> risk disclosure</w:t>
      </w:r>
      <w:r w:rsidR="00FC27BC">
        <w:rPr>
          <w:rFonts w:ascii="Times New Roman" w:hAnsi="Times New Roman" w:cs="Times New Roman"/>
          <w:sz w:val="24"/>
          <w:szCs w:val="24"/>
        </w:rPr>
        <w:t>s</w:t>
      </w:r>
      <w:r>
        <w:rPr>
          <w:rFonts w:ascii="Times New Roman" w:hAnsi="Times New Roman" w:cs="Times New Roman"/>
          <w:sz w:val="24"/>
          <w:szCs w:val="24"/>
        </w:rPr>
        <w:t>?</w:t>
      </w:r>
    </w:p>
    <w:p w14:paraId="4298AA70" w14:textId="51D5ADE7" w:rsidR="00513519" w:rsidRPr="008E42E1" w:rsidRDefault="00513519" w:rsidP="003C7474">
      <w:pPr>
        <w:pStyle w:val="ListParagraph"/>
        <w:numPr>
          <w:ilvl w:val="0"/>
          <w:numId w:val="24"/>
        </w:numPr>
        <w:spacing w:line="240" w:lineRule="auto"/>
        <w:ind w:left="284" w:hanging="283"/>
        <w:jc w:val="both"/>
        <w:rPr>
          <w:rFonts w:ascii="Times New Roman" w:hAnsi="Times New Roman" w:cs="Times New Roman"/>
          <w:sz w:val="24"/>
          <w:szCs w:val="24"/>
        </w:rPr>
      </w:pPr>
      <w:r>
        <w:rPr>
          <w:rFonts w:ascii="Times New Roman" w:hAnsi="Times New Roman" w:cs="Times New Roman"/>
          <w:sz w:val="24"/>
          <w:szCs w:val="24"/>
        </w:rPr>
        <w:t xml:space="preserve"> Do senior management team characteristics moderate the governance</w:t>
      </w:r>
      <w:r w:rsidR="003C7474">
        <w:rPr>
          <w:rFonts w:ascii="Times New Roman" w:hAnsi="Times New Roman" w:cs="Times New Roman"/>
          <w:sz w:val="24"/>
          <w:szCs w:val="24"/>
        </w:rPr>
        <w:t xml:space="preserve"> quality–</w:t>
      </w:r>
      <w:r w:rsidRPr="008E42E1">
        <w:rPr>
          <w:rFonts w:ascii="Times New Roman" w:hAnsi="Times New Roman" w:cs="Times New Roman"/>
          <w:sz w:val="24"/>
          <w:szCs w:val="24"/>
        </w:rPr>
        <w:t>risk disclosures nexus</w:t>
      </w:r>
      <w:r w:rsidR="00EA4DD0">
        <w:rPr>
          <w:rFonts w:ascii="Times New Roman" w:hAnsi="Times New Roman" w:cs="Times New Roman"/>
          <w:sz w:val="24"/>
          <w:szCs w:val="24"/>
        </w:rPr>
        <w:t xml:space="preserve"> </w:t>
      </w:r>
      <w:r w:rsidR="001C0AF5">
        <w:rPr>
          <w:rFonts w:ascii="Times New Roman" w:hAnsi="Times New Roman" w:cs="Times New Roman"/>
          <w:sz w:val="24"/>
          <w:szCs w:val="24"/>
        </w:rPr>
        <w:t>in the</w:t>
      </w:r>
      <w:r w:rsidR="00EA4DD0">
        <w:rPr>
          <w:rFonts w:ascii="Times New Roman" w:hAnsi="Times New Roman" w:cs="Times New Roman"/>
          <w:sz w:val="24"/>
          <w:szCs w:val="24"/>
        </w:rPr>
        <w:t xml:space="preserve"> UK HEIs</w:t>
      </w:r>
      <w:r w:rsidRPr="008E42E1">
        <w:rPr>
          <w:rFonts w:ascii="Times New Roman" w:hAnsi="Times New Roman" w:cs="Times New Roman"/>
          <w:sz w:val="24"/>
          <w:szCs w:val="24"/>
        </w:rPr>
        <w:t>?</w:t>
      </w:r>
    </w:p>
    <w:p w14:paraId="4FB55538" w14:textId="03042741" w:rsidR="00A4286B" w:rsidRPr="00356ADA" w:rsidRDefault="00F97479" w:rsidP="002019F7">
      <w:pPr>
        <w:spacing w:after="0" w:line="240" w:lineRule="auto"/>
        <w:ind w:firstLine="720"/>
        <w:jc w:val="both"/>
        <w:rPr>
          <w:rFonts w:ascii="Times New Roman" w:hAnsi="Times New Roman" w:cs="Times New Roman"/>
          <w:sz w:val="24"/>
          <w:szCs w:val="24"/>
          <w:lang w:val="en"/>
        </w:rPr>
      </w:pPr>
      <w:r>
        <w:rPr>
          <w:rFonts w:ascii="Times New Roman" w:hAnsi="Times New Roman" w:cs="Times New Roman"/>
          <w:sz w:val="24"/>
          <w:szCs w:val="24"/>
        </w:rPr>
        <w:t>Th</w:t>
      </w:r>
      <w:r w:rsidR="003C7474">
        <w:rPr>
          <w:rFonts w:ascii="Times New Roman" w:hAnsi="Times New Roman" w:cs="Times New Roman"/>
          <w:sz w:val="24"/>
          <w:szCs w:val="24"/>
        </w:rPr>
        <w:t>e decision to address these questions</w:t>
      </w:r>
      <w:r>
        <w:rPr>
          <w:rFonts w:ascii="Times New Roman" w:hAnsi="Times New Roman" w:cs="Times New Roman"/>
          <w:sz w:val="24"/>
          <w:szCs w:val="24"/>
        </w:rPr>
        <w:t xml:space="preserve"> is </w:t>
      </w:r>
      <w:r w:rsidR="003C7474">
        <w:rPr>
          <w:rFonts w:ascii="Times New Roman" w:hAnsi="Times New Roman" w:cs="Times New Roman"/>
          <w:sz w:val="24"/>
          <w:szCs w:val="24"/>
        </w:rPr>
        <w:t>motivated</w:t>
      </w:r>
      <w:r>
        <w:rPr>
          <w:rFonts w:ascii="Times New Roman" w:hAnsi="Times New Roman" w:cs="Times New Roman"/>
          <w:sz w:val="24"/>
          <w:szCs w:val="24"/>
        </w:rPr>
        <w:t xml:space="preserve"> by the fact that</w:t>
      </w:r>
      <w:r w:rsidR="001933AD">
        <w:rPr>
          <w:rFonts w:ascii="Times New Roman" w:hAnsi="Times New Roman" w:cs="Times New Roman"/>
          <w:sz w:val="24"/>
          <w:szCs w:val="24"/>
        </w:rPr>
        <w:t xml:space="preserve"> </w:t>
      </w:r>
      <w:r w:rsidR="00541CF0">
        <w:rPr>
          <w:rFonts w:ascii="Times New Roman" w:hAnsi="Times New Roman" w:cs="Times New Roman"/>
          <w:sz w:val="24"/>
          <w:szCs w:val="24"/>
        </w:rPr>
        <w:t>w</w:t>
      </w:r>
      <w:r w:rsidR="00137428" w:rsidRPr="00356ADA">
        <w:rPr>
          <w:rFonts w:ascii="Times New Roman" w:hAnsi="Times New Roman" w:cs="Times New Roman"/>
          <w:sz w:val="24"/>
          <w:szCs w:val="24"/>
        </w:rPr>
        <w:t xml:space="preserve">orldwide HEIs </w:t>
      </w:r>
      <w:r w:rsidR="006B5BD0" w:rsidRPr="00356ADA">
        <w:rPr>
          <w:rFonts w:ascii="Times New Roman" w:hAnsi="Times New Roman" w:cs="Times New Roman"/>
          <w:sz w:val="24"/>
          <w:szCs w:val="24"/>
        </w:rPr>
        <w:t>have and continue to experience</w:t>
      </w:r>
      <w:r w:rsidR="00137428" w:rsidRPr="00356ADA">
        <w:rPr>
          <w:rFonts w:ascii="Times New Roman" w:hAnsi="Times New Roman" w:cs="Times New Roman"/>
          <w:sz w:val="24"/>
          <w:szCs w:val="24"/>
        </w:rPr>
        <w:t xml:space="preserve"> rapid </w:t>
      </w:r>
      <w:r w:rsidR="006B5BD0" w:rsidRPr="00356ADA">
        <w:rPr>
          <w:rFonts w:ascii="Times New Roman" w:hAnsi="Times New Roman" w:cs="Times New Roman"/>
          <w:sz w:val="24"/>
          <w:szCs w:val="24"/>
        </w:rPr>
        <w:t xml:space="preserve">changes and </w:t>
      </w:r>
      <w:r w:rsidR="009B3603">
        <w:rPr>
          <w:rFonts w:ascii="Times New Roman" w:hAnsi="Times New Roman" w:cs="Times New Roman"/>
          <w:sz w:val="24"/>
          <w:szCs w:val="24"/>
        </w:rPr>
        <w:t xml:space="preserve">regulatory </w:t>
      </w:r>
      <w:r w:rsidR="00137428" w:rsidRPr="00356ADA">
        <w:rPr>
          <w:rFonts w:ascii="Times New Roman" w:hAnsi="Times New Roman" w:cs="Times New Roman"/>
          <w:sz w:val="24"/>
          <w:szCs w:val="24"/>
        </w:rPr>
        <w:t>reforms</w:t>
      </w:r>
      <w:r w:rsidR="00CD455C">
        <w:rPr>
          <w:rFonts w:ascii="Times New Roman" w:hAnsi="Times New Roman" w:cs="Times New Roman"/>
          <w:sz w:val="24"/>
          <w:szCs w:val="24"/>
        </w:rPr>
        <w:t xml:space="preserve"> (Browne Report, 2010; Augur Review, 2019)</w:t>
      </w:r>
      <w:r w:rsidR="001D279F" w:rsidRPr="00356ADA">
        <w:rPr>
          <w:rFonts w:ascii="Times New Roman" w:hAnsi="Times New Roman" w:cs="Times New Roman"/>
          <w:sz w:val="24"/>
          <w:szCs w:val="24"/>
        </w:rPr>
        <w:t xml:space="preserve">. </w:t>
      </w:r>
      <w:r w:rsidR="00972D28" w:rsidRPr="00356ADA">
        <w:rPr>
          <w:rFonts w:ascii="Times New Roman" w:hAnsi="Times New Roman" w:cs="Times New Roman"/>
          <w:sz w:val="24"/>
          <w:szCs w:val="24"/>
        </w:rPr>
        <w:t>Specifically, the H</w:t>
      </w:r>
      <w:r w:rsidR="009166DF">
        <w:rPr>
          <w:rFonts w:ascii="Times New Roman" w:hAnsi="Times New Roman" w:cs="Times New Roman"/>
          <w:sz w:val="24"/>
          <w:szCs w:val="24"/>
        </w:rPr>
        <w:t xml:space="preserve">igher </w:t>
      </w:r>
      <w:r w:rsidR="00972D28" w:rsidRPr="00356ADA">
        <w:rPr>
          <w:rFonts w:ascii="Times New Roman" w:hAnsi="Times New Roman" w:cs="Times New Roman"/>
          <w:sz w:val="24"/>
          <w:szCs w:val="24"/>
        </w:rPr>
        <w:t>E</w:t>
      </w:r>
      <w:r w:rsidR="009166DF">
        <w:rPr>
          <w:rFonts w:ascii="Times New Roman" w:hAnsi="Times New Roman" w:cs="Times New Roman"/>
          <w:sz w:val="24"/>
          <w:szCs w:val="24"/>
        </w:rPr>
        <w:t>ducation (HE)</w:t>
      </w:r>
      <w:r w:rsidR="00972D28" w:rsidRPr="00356ADA">
        <w:rPr>
          <w:rFonts w:ascii="Times New Roman" w:hAnsi="Times New Roman" w:cs="Times New Roman"/>
          <w:sz w:val="24"/>
          <w:szCs w:val="24"/>
        </w:rPr>
        <w:t xml:space="preserve"> sector is gradually moving towards private/hybrid sources of </w:t>
      </w:r>
      <w:r w:rsidR="008056B8" w:rsidRPr="00356ADA">
        <w:rPr>
          <w:rFonts w:ascii="Times New Roman" w:hAnsi="Times New Roman" w:cs="Times New Roman"/>
          <w:sz w:val="24"/>
          <w:szCs w:val="24"/>
        </w:rPr>
        <w:t>financing</w:t>
      </w:r>
      <w:r w:rsidR="00482785" w:rsidRPr="00356ADA">
        <w:rPr>
          <w:rFonts w:ascii="Times New Roman" w:hAnsi="Times New Roman" w:cs="Times New Roman"/>
          <w:sz w:val="24"/>
          <w:szCs w:val="24"/>
        </w:rPr>
        <w:t>,</w:t>
      </w:r>
      <w:r w:rsidR="00972D28" w:rsidRPr="00356ADA">
        <w:rPr>
          <w:rFonts w:ascii="Times New Roman" w:hAnsi="Times New Roman" w:cs="Times New Roman"/>
          <w:sz w:val="24"/>
          <w:szCs w:val="24"/>
        </w:rPr>
        <w:t xml:space="preserve"> and this is </w:t>
      </w:r>
      <w:r w:rsidR="00AE7842">
        <w:rPr>
          <w:rFonts w:ascii="Times New Roman" w:hAnsi="Times New Roman" w:cs="Times New Roman"/>
          <w:sz w:val="24"/>
          <w:szCs w:val="24"/>
        </w:rPr>
        <w:t xml:space="preserve">often </w:t>
      </w:r>
      <w:r w:rsidR="00972D28" w:rsidRPr="00356ADA">
        <w:rPr>
          <w:rFonts w:ascii="Times New Roman" w:hAnsi="Times New Roman" w:cs="Times New Roman"/>
          <w:sz w:val="24"/>
          <w:szCs w:val="24"/>
        </w:rPr>
        <w:t>largely due to significant cut</w:t>
      </w:r>
      <w:r w:rsidR="0019397D">
        <w:rPr>
          <w:rFonts w:ascii="Times New Roman" w:hAnsi="Times New Roman" w:cs="Times New Roman"/>
          <w:sz w:val="24"/>
          <w:szCs w:val="24"/>
        </w:rPr>
        <w:t>s</w:t>
      </w:r>
      <w:r w:rsidR="00972D28" w:rsidRPr="00356ADA">
        <w:rPr>
          <w:rFonts w:ascii="Times New Roman" w:hAnsi="Times New Roman" w:cs="Times New Roman"/>
          <w:sz w:val="24"/>
          <w:szCs w:val="24"/>
        </w:rPr>
        <w:t xml:space="preserve"> </w:t>
      </w:r>
      <w:r w:rsidR="005E2CA3" w:rsidRPr="00356ADA">
        <w:rPr>
          <w:rFonts w:ascii="Times New Roman" w:hAnsi="Times New Roman" w:cs="Times New Roman"/>
          <w:sz w:val="24"/>
          <w:szCs w:val="24"/>
        </w:rPr>
        <w:t>in</w:t>
      </w:r>
      <w:r w:rsidR="00972D28" w:rsidRPr="00356ADA">
        <w:rPr>
          <w:rFonts w:ascii="Times New Roman" w:hAnsi="Times New Roman" w:cs="Times New Roman"/>
          <w:sz w:val="24"/>
          <w:szCs w:val="24"/>
        </w:rPr>
        <w:t xml:space="preserve"> </w:t>
      </w:r>
      <w:r w:rsidR="00EC4429" w:rsidRPr="00356ADA">
        <w:rPr>
          <w:rFonts w:ascii="Times New Roman" w:hAnsi="Times New Roman" w:cs="Times New Roman"/>
          <w:sz w:val="24"/>
          <w:szCs w:val="24"/>
        </w:rPr>
        <w:t xml:space="preserve">central </w:t>
      </w:r>
      <w:r w:rsidR="00972D28" w:rsidRPr="00356ADA">
        <w:rPr>
          <w:rFonts w:ascii="Times New Roman" w:hAnsi="Times New Roman" w:cs="Times New Roman"/>
          <w:sz w:val="24"/>
          <w:szCs w:val="24"/>
        </w:rPr>
        <w:t xml:space="preserve">government funding available to HEIs (Parker, 2013). </w:t>
      </w:r>
      <w:r w:rsidR="0046100F" w:rsidRPr="00356ADA">
        <w:rPr>
          <w:rFonts w:ascii="Times New Roman" w:hAnsi="Times New Roman" w:cs="Times New Roman"/>
          <w:sz w:val="24"/>
          <w:szCs w:val="24"/>
        </w:rPr>
        <w:t xml:space="preserve">At the same time, the </w:t>
      </w:r>
      <w:r w:rsidR="007C59B4" w:rsidRPr="00356ADA">
        <w:rPr>
          <w:rFonts w:ascii="Times New Roman" w:hAnsi="Times New Roman" w:cs="Times New Roman"/>
          <w:sz w:val="24"/>
          <w:szCs w:val="24"/>
        </w:rPr>
        <w:t xml:space="preserve">introduction of </w:t>
      </w:r>
      <w:r w:rsidR="0046100F" w:rsidRPr="00356ADA">
        <w:rPr>
          <w:rFonts w:ascii="Times New Roman" w:hAnsi="Times New Roman" w:cs="Times New Roman"/>
          <w:sz w:val="24"/>
          <w:szCs w:val="24"/>
        </w:rPr>
        <w:t>market/quasi</w:t>
      </w:r>
      <w:r w:rsidR="005E2CA3" w:rsidRPr="00356ADA">
        <w:rPr>
          <w:rFonts w:ascii="Times New Roman" w:hAnsi="Times New Roman" w:cs="Times New Roman"/>
          <w:sz w:val="24"/>
          <w:szCs w:val="24"/>
        </w:rPr>
        <w:t xml:space="preserve"> </w:t>
      </w:r>
      <w:r w:rsidR="0046100F" w:rsidRPr="00356ADA">
        <w:rPr>
          <w:rFonts w:ascii="Times New Roman" w:hAnsi="Times New Roman" w:cs="Times New Roman"/>
          <w:sz w:val="24"/>
          <w:szCs w:val="24"/>
        </w:rPr>
        <w:t>market</w:t>
      </w:r>
      <w:r w:rsidR="005E2CA3" w:rsidRPr="00356ADA">
        <w:rPr>
          <w:rFonts w:ascii="Times New Roman" w:hAnsi="Times New Roman" w:cs="Times New Roman"/>
          <w:sz w:val="24"/>
          <w:szCs w:val="24"/>
        </w:rPr>
        <w:t>-</w:t>
      </w:r>
      <w:r w:rsidR="00DE6816" w:rsidRPr="00356ADA">
        <w:rPr>
          <w:rFonts w:ascii="Times New Roman" w:hAnsi="Times New Roman" w:cs="Times New Roman"/>
          <w:sz w:val="24"/>
          <w:szCs w:val="24"/>
        </w:rPr>
        <w:t xml:space="preserve">oriented </w:t>
      </w:r>
      <w:r w:rsidR="005B3F7E">
        <w:rPr>
          <w:rFonts w:ascii="Times New Roman" w:hAnsi="Times New Roman" w:cs="Times New Roman"/>
          <w:sz w:val="24"/>
          <w:szCs w:val="24"/>
        </w:rPr>
        <w:t xml:space="preserve">regulatory </w:t>
      </w:r>
      <w:r w:rsidR="0046100F" w:rsidRPr="00356ADA">
        <w:rPr>
          <w:rFonts w:ascii="Times New Roman" w:hAnsi="Times New Roman" w:cs="Times New Roman"/>
          <w:sz w:val="24"/>
          <w:szCs w:val="24"/>
        </w:rPr>
        <w:t xml:space="preserve">reforms </w:t>
      </w:r>
      <w:r w:rsidR="00721225" w:rsidRPr="00356ADA">
        <w:rPr>
          <w:rFonts w:ascii="Times New Roman" w:hAnsi="Times New Roman" w:cs="Times New Roman"/>
          <w:sz w:val="24"/>
          <w:szCs w:val="24"/>
        </w:rPr>
        <w:t>among</w:t>
      </w:r>
      <w:r w:rsidR="0046100F" w:rsidRPr="00356ADA">
        <w:rPr>
          <w:rFonts w:ascii="Times New Roman" w:hAnsi="Times New Roman" w:cs="Times New Roman"/>
          <w:sz w:val="24"/>
          <w:szCs w:val="24"/>
        </w:rPr>
        <w:t xml:space="preserve"> HEIs, which </w:t>
      </w:r>
      <w:r w:rsidR="00AB3BFA" w:rsidRPr="00356ADA">
        <w:rPr>
          <w:rFonts w:ascii="Times New Roman" w:hAnsi="Times New Roman" w:cs="Times New Roman"/>
          <w:sz w:val="24"/>
          <w:szCs w:val="24"/>
        </w:rPr>
        <w:t>are</w:t>
      </w:r>
      <w:r w:rsidR="005B3F7E">
        <w:rPr>
          <w:rFonts w:ascii="Times New Roman" w:hAnsi="Times New Roman" w:cs="Times New Roman"/>
          <w:sz w:val="24"/>
          <w:szCs w:val="24"/>
        </w:rPr>
        <w:t xml:space="preserve"> usually</w:t>
      </w:r>
      <w:r w:rsidR="00AB3BFA" w:rsidRPr="00356ADA">
        <w:rPr>
          <w:rFonts w:ascii="Times New Roman" w:hAnsi="Times New Roman" w:cs="Times New Roman"/>
          <w:sz w:val="24"/>
          <w:szCs w:val="24"/>
        </w:rPr>
        <w:t xml:space="preserve"> </w:t>
      </w:r>
      <w:r w:rsidR="0046100F" w:rsidRPr="00356ADA">
        <w:rPr>
          <w:rFonts w:ascii="Times New Roman" w:hAnsi="Times New Roman" w:cs="Times New Roman"/>
          <w:sz w:val="24"/>
          <w:szCs w:val="24"/>
        </w:rPr>
        <w:t xml:space="preserve">aimed at reducing costs and </w:t>
      </w:r>
      <w:r w:rsidR="0046100F" w:rsidRPr="00356ADA">
        <w:rPr>
          <w:rFonts w:asciiTheme="majorBidi" w:hAnsiTheme="majorBidi" w:cstheme="majorBidi"/>
          <w:sz w:val="24"/>
          <w:szCs w:val="24"/>
        </w:rPr>
        <w:t xml:space="preserve">promoting student choice, has increased </w:t>
      </w:r>
      <w:r w:rsidR="007C59B4" w:rsidRPr="00356ADA">
        <w:rPr>
          <w:rFonts w:asciiTheme="majorBidi" w:hAnsiTheme="majorBidi" w:cstheme="majorBidi"/>
          <w:sz w:val="24"/>
          <w:szCs w:val="24"/>
        </w:rPr>
        <w:t>uncertainty, operational complexity and competition in the HE sector (</w:t>
      </w:r>
      <w:r w:rsidR="007C59B4" w:rsidRPr="00356ADA">
        <w:rPr>
          <w:rFonts w:ascii="Times New Roman" w:hAnsi="Times New Roman" w:cs="Times New Roman"/>
          <w:sz w:val="24"/>
          <w:szCs w:val="24"/>
        </w:rPr>
        <w:t>Taylor, 2013)</w:t>
      </w:r>
      <w:r w:rsidR="00380BAB">
        <w:rPr>
          <w:rFonts w:asciiTheme="majorBidi" w:hAnsiTheme="majorBidi" w:cstheme="majorBidi"/>
          <w:sz w:val="24"/>
          <w:szCs w:val="24"/>
        </w:rPr>
        <w:t xml:space="preserve">. </w:t>
      </w:r>
      <w:r w:rsidR="00DE6816" w:rsidRPr="00356ADA">
        <w:rPr>
          <w:rFonts w:asciiTheme="majorBidi" w:hAnsiTheme="majorBidi" w:cstheme="majorBidi"/>
          <w:sz w:val="24"/>
          <w:szCs w:val="24"/>
        </w:rPr>
        <w:t xml:space="preserve">Additionally, HEIs in general, and in the UK in particular, </w:t>
      </w:r>
      <w:r w:rsidR="009E7A5A" w:rsidRPr="00356ADA">
        <w:rPr>
          <w:rFonts w:asciiTheme="majorBidi" w:hAnsiTheme="majorBidi" w:cstheme="majorBidi"/>
          <w:sz w:val="24"/>
          <w:szCs w:val="24"/>
        </w:rPr>
        <w:t>are increasingly becoming large and complex corporations</w:t>
      </w:r>
      <w:r w:rsidR="00EC4DB5" w:rsidRPr="00356ADA">
        <w:rPr>
          <w:rFonts w:asciiTheme="majorBidi" w:hAnsiTheme="majorBidi" w:cstheme="majorBidi"/>
          <w:sz w:val="24"/>
          <w:szCs w:val="24"/>
        </w:rPr>
        <w:t>,</w:t>
      </w:r>
      <w:r w:rsidR="009E7A5A" w:rsidRPr="00356ADA">
        <w:rPr>
          <w:rFonts w:asciiTheme="majorBidi" w:hAnsiTheme="majorBidi" w:cstheme="majorBidi"/>
          <w:sz w:val="24"/>
          <w:szCs w:val="24"/>
        </w:rPr>
        <w:t xml:space="preserve"> </w:t>
      </w:r>
      <w:r w:rsidR="00EC4DB5" w:rsidRPr="00356ADA">
        <w:rPr>
          <w:rFonts w:asciiTheme="majorBidi" w:hAnsiTheme="majorBidi" w:cstheme="majorBidi"/>
          <w:sz w:val="24"/>
          <w:szCs w:val="24"/>
        </w:rPr>
        <w:t xml:space="preserve">which usually </w:t>
      </w:r>
      <w:r w:rsidR="00DE6816" w:rsidRPr="00356ADA">
        <w:rPr>
          <w:rFonts w:asciiTheme="majorBidi" w:hAnsiTheme="majorBidi" w:cstheme="majorBidi"/>
          <w:sz w:val="24"/>
          <w:szCs w:val="24"/>
        </w:rPr>
        <w:t xml:space="preserve">need to meet </w:t>
      </w:r>
      <w:r w:rsidR="000B4B52" w:rsidRPr="00356ADA">
        <w:rPr>
          <w:rFonts w:asciiTheme="majorBidi" w:hAnsiTheme="majorBidi" w:cstheme="majorBidi"/>
          <w:sz w:val="24"/>
          <w:szCs w:val="24"/>
        </w:rPr>
        <w:t>diverse and mostly conflicting</w:t>
      </w:r>
      <w:r w:rsidR="00DE6816" w:rsidRPr="00356ADA">
        <w:rPr>
          <w:rFonts w:asciiTheme="majorBidi" w:hAnsiTheme="majorBidi" w:cstheme="majorBidi"/>
          <w:sz w:val="24"/>
          <w:szCs w:val="24"/>
        </w:rPr>
        <w:t xml:space="preserve"> </w:t>
      </w:r>
      <w:r w:rsidR="000B4B52" w:rsidRPr="00356ADA">
        <w:rPr>
          <w:rFonts w:asciiTheme="majorBidi" w:hAnsiTheme="majorBidi" w:cstheme="majorBidi"/>
          <w:sz w:val="24"/>
          <w:szCs w:val="24"/>
        </w:rPr>
        <w:t xml:space="preserve">performance </w:t>
      </w:r>
      <w:r w:rsidR="001E56A4" w:rsidRPr="00356ADA">
        <w:rPr>
          <w:rFonts w:asciiTheme="majorBidi" w:hAnsiTheme="majorBidi" w:cstheme="majorBidi"/>
          <w:sz w:val="24"/>
          <w:szCs w:val="24"/>
        </w:rPr>
        <w:t>targets</w:t>
      </w:r>
      <w:r w:rsidR="009E7A5A" w:rsidRPr="00356ADA">
        <w:rPr>
          <w:rFonts w:asciiTheme="majorBidi" w:hAnsiTheme="majorBidi" w:cstheme="majorBidi"/>
          <w:sz w:val="24"/>
          <w:szCs w:val="24"/>
        </w:rPr>
        <w:t xml:space="preserve"> </w:t>
      </w:r>
      <w:r w:rsidR="00DE6816" w:rsidRPr="00356ADA">
        <w:rPr>
          <w:rFonts w:asciiTheme="majorBidi" w:hAnsiTheme="majorBidi" w:cstheme="majorBidi"/>
          <w:sz w:val="24"/>
          <w:szCs w:val="24"/>
        </w:rPr>
        <w:t>(</w:t>
      </w:r>
      <w:r w:rsidR="001E56A4" w:rsidRPr="00356ADA">
        <w:rPr>
          <w:rFonts w:asciiTheme="majorBidi" w:hAnsiTheme="majorBidi" w:cstheme="majorBidi"/>
          <w:sz w:val="24"/>
          <w:szCs w:val="24"/>
        </w:rPr>
        <w:t xml:space="preserve">i.e., </w:t>
      </w:r>
      <w:r w:rsidR="000B0B52" w:rsidRPr="00356ADA">
        <w:rPr>
          <w:rFonts w:asciiTheme="majorBidi" w:hAnsiTheme="majorBidi" w:cstheme="majorBidi"/>
          <w:sz w:val="24"/>
          <w:szCs w:val="24"/>
        </w:rPr>
        <w:t xml:space="preserve">debt and </w:t>
      </w:r>
      <w:r w:rsidR="003B07C1" w:rsidRPr="00356ADA">
        <w:rPr>
          <w:rFonts w:asciiTheme="majorBidi" w:hAnsiTheme="majorBidi" w:cstheme="majorBidi"/>
          <w:sz w:val="24"/>
          <w:szCs w:val="24"/>
        </w:rPr>
        <w:t xml:space="preserve">financial sustainability, </w:t>
      </w:r>
      <w:r w:rsidR="004F4D69" w:rsidRPr="00356ADA">
        <w:rPr>
          <w:rFonts w:asciiTheme="majorBidi" w:hAnsiTheme="majorBidi" w:cstheme="majorBidi"/>
          <w:sz w:val="24"/>
          <w:szCs w:val="24"/>
        </w:rPr>
        <w:t>widening access</w:t>
      </w:r>
      <w:r w:rsidR="009D764B" w:rsidRPr="00356ADA">
        <w:rPr>
          <w:rFonts w:asciiTheme="majorBidi" w:hAnsiTheme="majorBidi" w:cstheme="majorBidi"/>
          <w:sz w:val="24"/>
          <w:szCs w:val="24"/>
        </w:rPr>
        <w:t>,</w:t>
      </w:r>
      <w:r w:rsidR="008E4F81" w:rsidRPr="00356ADA">
        <w:rPr>
          <w:rFonts w:asciiTheme="majorBidi" w:hAnsiTheme="majorBidi" w:cstheme="majorBidi"/>
          <w:sz w:val="24"/>
          <w:szCs w:val="24"/>
        </w:rPr>
        <w:t xml:space="preserve"> and</w:t>
      </w:r>
      <w:r w:rsidR="004F4D69" w:rsidRPr="00356ADA">
        <w:rPr>
          <w:rFonts w:asciiTheme="majorBidi" w:hAnsiTheme="majorBidi" w:cstheme="majorBidi"/>
          <w:sz w:val="24"/>
          <w:szCs w:val="24"/>
        </w:rPr>
        <w:t xml:space="preserve"> </w:t>
      </w:r>
      <w:r w:rsidR="008E4F81" w:rsidRPr="00356ADA">
        <w:rPr>
          <w:rFonts w:asciiTheme="majorBidi" w:hAnsiTheme="majorBidi" w:cstheme="majorBidi"/>
          <w:sz w:val="24"/>
          <w:szCs w:val="24"/>
        </w:rPr>
        <w:t xml:space="preserve">building and maintaining reputation via </w:t>
      </w:r>
      <w:r w:rsidR="009E7A5A" w:rsidRPr="00356ADA">
        <w:rPr>
          <w:rFonts w:asciiTheme="majorBidi" w:hAnsiTheme="majorBidi" w:cstheme="majorBidi"/>
          <w:sz w:val="24"/>
          <w:szCs w:val="24"/>
        </w:rPr>
        <w:t>national and international rankings)</w:t>
      </w:r>
      <w:r w:rsidR="001E56A4" w:rsidRPr="00356ADA">
        <w:rPr>
          <w:rFonts w:asciiTheme="majorBidi" w:hAnsiTheme="majorBidi" w:cstheme="majorBidi"/>
          <w:sz w:val="24"/>
          <w:szCs w:val="24"/>
        </w:rPr>
        <w:t>, and this has arguably i</w:t>
      </w:r>
      <w:r w:rsidR="001E56A4" w:rsidRPr="00356ADA">
        <w:rPr>
          <w:rFonts w:ascii="Times New Roman" w:hAnsi="Times New Roman" w:cs="Times New Roman"/>
          <w:sz w:val="24"/>
          <w:szCs w:val="24"/>
        </w:rPr>
        <w:t>ncreased the levels of complexity, uncertainty and risk, and thereby posing serious threats to the long-term sustainability of the HE secto</w:t>
      </w:r>
      <w:r w:rsidR="00A228F8">
        <w:rPr>
          <w:rFonts w:ascii="Times New Roman" w:hAnsi="Times New Roman" w:cs="Times New Roman"/>
          <w:sz w:val="24"/>
          <w:szCs w:val="24"/>
        </w:rPr>
        <w:t>r.</w:t>
      </w:r>
      <w:r w:rsidR="00A228F8">
        <w:rPr>
          <w:rStyle w:val="FootnoteReference"/>
          <w:rFonts w:ascii="Times New Roman" w:hAnsi="Times New Roman" w:cs="Times New Roman"/>
          <w:sz w:val="24"/>
          <w:szCs w:val="24"/>
        </w:rPr>
        <w:footnoteReference w:id="1"/>
      </w:r>
      <w:r w:rsidR="00A228F8">
        <w:rPr>
          <w:rFonts w:ascii="Times New Roman" w:hAnsi="Times New Roman" w:cs="Times New Roman"/>
          <w:sz w:val="24"/>
          <w:szCs w:val="24"/>
        </w:rPr>
        <w:t xml:space="preserve"> </w:t>
      </w:r>
      <w:r w:rsidR="001E56A4" w:rsidRPr="00356ADA">
        <w:rPr>
          <w:rFonts w:ascii="Times New Roman" w:hAnsi="Times New Roman" w:cs="Times New Roman"/>
          <w:sz w:val="24"/>
          <w:szCs w:val="24"/>
        </w:rPr>
        <w:t xml:space="preserve">Despite </w:t>
      </w:r>
      <w:r w:rsidR="00A4286B" w:rsidRPr="00356ADA">
        <w:rPr>
          <w:rFonts w:ascii="Times New Roman" w:hAnsi="Times New Roman" w:cs="Times New Roman"/>
          <w:sz w:val="24"/>
          <w:szCs w:val="24"/>
        </w:rPr>
        <w:t xml:space="preserve">increasing importance of </w:t>
      </w:r>
      <w:r w:rsidR="000B3FE7" w:rsidRPr="00356ADA">
        <w:rPr>
          <w:rFonts w:ascii="Times New Roman" w:hAnsi="Times New Roman" w:cs="Times New Roman"/>
          <w:sz w:val="24"/>
          <w:szCs w:val="24"/>
        </w:rPr>
        <w:t>good</w:t>
      </w:r>
      <w:r w:rsidR="00A4286B" w:rsidRPr="00356ADA">
        <w:rPr>
          <w:rFonts w:ascii="Times New Roman" w:hAnsi="Times New Roman" w:cs="Times New Roman"/>
          <w:sz w:val="24"/>
          <w:szCs w:val="24"/>
        </w:rPr>
        <w:t xml:space="preserve"> governance, risk management and disclosure </w:t>
      </w:r>
      <w:r w:rsidR="000B3FE7" w:rsidRPr="00356ADA">
        <w:rPr>
          <w:rFonts w:ascii="Times New Roman" w:hAnsi="Times New Roman" w:cs="Times New Roman"/>
          <w:sz w:val="24"/>
          <w:szCs w:val="24"/>
        </w:rPr>
        <w:t>reforms that have been pursued in the UK</w:t>
      </w:r>
      <w:r w:rsidR="00A4286B" w:rsidRPr="00356ADA">
        <w:rPr>
          <w:rFonts w:ascii="Times New Roman" w:hAnsi="Times New Roman" w:cs="Times New Roman"/>
          <w:sz w:val="24"/>
          <w:szCs w:val="24"/>
        </w:rPr>
        <w:t xml:space="preserve"> (HEFCE, 2005; Taylor, 2013), </w:t>
      </w:r>
      <w:r w:rsidR="00C52D9B" w:rsidRPr="00356ADA">
        <w:rPr>
          <w:rFonts w:ascii="Times New Roman" w:hAnsi="Times New Roman" w:cs="Times New Roman"/>
          <w:sz w:val="24"/>
          <w:szCs w:val="24"/>
        </w:rPr>
        <w:t xml:space="preserve">no </w:t>
      </w:r>
      <w:r w:rsidR="002657F8" w:rsidRPr="00356ADA">
        <w:rPr>
          <w:rFonts w:ascii="Times New Roman" w:hAnsi="Times New Roman" w:cs="Times New Roman"/>
          <w:sz w:val="24"/>
          <w:szCs w:val="24"/>
        </w:rPr>
        <w:t>(to the best of our knowledge</w:t>
      </w:r>
      <w:r w:rsidR="00356ADA">
        <w:rPr>
          <w:rFonts w:ascii="Times New Roman" w:hAnsi="Times New Roman" w:cs="Times New Roman"/>
          <w:sz w:val="24"/>
          <w:szCs w:val="24"/>
        </w:rPr>
        <w:t xml:space="preserve"> and extensive literature search</w:t>
      </w:r>
      <w:r w:rsidR="002657F8" w:rsidRPr="00356ADA">
        <w:rPr>
          <w:rFonts w:ascii="Times New Roman" w:hAnsi="Times New Roman" w:cs="Times New Roman"/>
          <w:sz w:val="24"/>
          <w:szCs w:val="24"/>
        </w:rPr>
        <w:t xml:space="preserve">) </w:t>
      </w:r>
      <w:r w:rsidR="00C52D9B" w:rsidRPr="00356ADA">
        <w:rPr>
          <w:rFonts w:ascii="Times New Roman" w:hAnsi="Times New Roman" w:cs="Times New Roman"/>
          <w:sz w:val="24"/>
          <w:szCs w:val="24"/>
        </w:rPr>
        <w:t>prior research</w:t>
      </w:r>
      <w:r w:rsidR="00C52D9B" w:rsidRPr="00356ADA">
        <w:rPr>
          <w:rFonts w:ascii="Times New Roman" w:hAnsi="Times New Roman" w:cs="Times New Roman"/>
          <w:sz w:val="24"/>
          <w:szCs w:val="24"/>
          <w:lang w:val="en"/>
        </w:rPr>
        <w:t xml:space="preserve"> has investigated</w:t>
      </w:r>
      <w:r w:rsidR="002019F7">
        <w:rPr>
          <w:rFonts w:ascii="Times New Roman" w:hAnsi="Times New Roman" w:cs="Times New Roman"/>
          <w:sz w:val="24"/>
          <w:szCs w:val="24"/>
          <w:lang w:val="en"/>
        </w:rPr>
        <w:t xml:space="preserve"> voluntary</w:t>
      </w:r>
      <w:r w:rsidR="00C52D9B" w:rsidRPr="00356ADA">
        <w:rPr>
          <w:rFonts w:ascii="Times New Roman" w:hAnsi="Times New Roman" w:cs="Times New Roman"/>
          <w:sz w:val="24"/>
          <w:szCs w:val="24"/>
          <w:lang w:val="en"/>
        </w:rPr>
        <w:t xml:space="preserve"> </w:t>
      </w:r>
      <w:r w:rsidR="002019F7">
        <w:rPr>
          <w:rFonts w:ascii="Times New Roman" w:hAnsi="Times New Roman" w:cs="Times New Roman"/>
          <w:sz w:val="24"/>
          <w:szCs w:val="24"/>
          <w:lang w:val="en"/>
        </w:rPr>
        <w:t>risk disclosures in the annual reports of HEIs and their determinants.</w:t>
      </w:r>
      <w:r w:rsidR="00C52D9B" w:rsidRPr="00356ADA">
        <w:rPr>
          <w:rFonts w:ascii="Times New Roman" w:hAnsi="Times New Roman" w:cs="Times New Roman"/>
          <w:sz w:val="24"/>
          <w:szCs w:val="24"/>
          <w:lang w:val="en"/>
        </w:rPr>
        <w:t xml:space="preserve"> This study, therefore, seeks to investigate the </w:t>
      </w:r>
      <w:r w:rsidR="00CA0528">
        <w:rPr>
          <w:rFonts w:ascii="Times New Roman" w:hAnsi="Times New Roman" w:cs="Times New Roman"/>
          <w:sz w:val="24"/>
          <w:szCs w:val="24"/>
          <w:lang w:val="en"/>
        </w:rPr>
        <w:t xml:space="preserve">extent </w:t>
      </w:r>
      <w:r w:rsidR="002019F7">
        <w:rPr>
          <w:rFonts w:ascii="Times New Roman" w:hAnsi="Times New Roman" w:cs="Times New Roman"/>
          <w:sz w:val="24"/>
          <w:szCs w:val="24"/>
          <w:lang w:val="en"/>
        </w:rPr>
        <w:t>to which UK HEIs voluntarily engage in risk disclosures in their annual reports</w:t>
      </w:r>
      <w:r w:rsidR="00C52D9B" w:rsidRPr="00356ADA">
        <w:rPr>
          <w:rFonts w:ascii="Times New Roman" w:hAnsi="Times New Roman" w:cs="Times New Roman"/>
          <w:sz w:val="24"/>
          <w:szCs w:val="24"/>
          <w:lang w:val="en"/>
        </w:rPr>
        <w:t xml:space="preserve">, and consequently ascertain the </w:t>
      </w:r>
      <w:bookmarkStart w:id="1" w:name="_Hlk94603745"/>
      <w:r w:rsidR="00C52D9B" w:rsidRPr="00356ADA">
        <w:rPr>
          <w:rFonts w:ascii="Times New Roman" w:hAnsi="Times New Roman" w:cs="Times New Roman"/>
          <w:sz w:val="24"/>
          <w:szCs w:val="24"/>
          <w:lang w:val="en"/>
        </w:rPr>
        <w:t xml:space="preserve">extent to which the </w:t>
      </w:r>
      <w:r w:rsidR="00D25889">
        <w:rPr>
          <w:rFonts w:ascii="Times New Roman" w:hAnsi="Times New Roman" w:cs="Times New Roman"/>
          <w:sz w:val="24"/>
          <w:szCs w:val="24"/>
          <w:lang w:val="en"/>
        </w:rPr>
        <w:t>composit</w:t>
      </w:r>
      <w:r w:rsidR="006A3ACE">
        <w:rPr>
          <w:rFonts w:ascii="Times New Roman" w:hAnsi="Times New Roman" w:cs="Times New Roman"/>
          <w:sz w:val="24"/>
          <w:szCs w:val="24"/>
          <w:lang w:val="en"/>
        </w:rPr>
        <w:t>e</w:t>
      </w:r>
      <w:r w:rsidR="00E24AB1" w:rsidRPr="00356ADA">
        <w:rPr>
          <w:rFonts w:ascii="Times New Roman" w:hAnsi="Times New Roman" w:cs="Times New Roman"/>
          <w:sz w:val="24"/>
          <w:szCs w:val="24"/>
          <w:lang w:val="en"/>
        </w:rPr>
        <w:t xml:space="preserve"> </w:t>
      </w:r>
      <w:r w:rsidR="00C52D9B" w:rsidRPr="00356ADA">
        <w:rPr>
          <w:rFonts w:ascii="Times New Roman" w:hAnsi="Times New Roman" w:cs="Times New Roman"/>
          <w:sz w:val="24"/>
          <w:szCs w:val="24"/>
          <w:lang w:val="en"/>
        </w:rPr>
        <w:t>governance</w:t>
      </w:r>
      <w:r w:rsidR="00CA0528">
        <w:rPr>
          <w:rFonts w:ascii="Times New Roman" w:hAnsi="Times New Roman" w:cs="Times New Roman"/>
          <w:sz w:val="24"/>
          <w:szCs w:val="24"/>
          <w:lang w:val="en"/>
        </w:rPr>
        <w:t xml:space="preserve"> quality</w:t>
      </w:r>
      <w:r w:rsidR="002657F8" w:rsidRPr="00356ADA">
        <w:rPr>
          <w:rFonts w:ascii="Times New Roman" w:hAnsi="Times New Roman" w:cs="Times New Roman"/>
          <w:sz w:val="24"/>
          <w:szCs w:val="24"/>
          <w:lang w:val="en"/>
        </w:rPr>
        <w:t>–</w:t>
      </w:r>
      <w:r w:rsidR="00C52D9B" w:rsidRPr="00356ADA">
        <w:rPr>
          <w:rFonts w:ascii="Times New Roman" w:hAnsi="Times New Roman" w:cs="Times New Roman"/>
          <w:sz w:val="24"/>
          <w:szCs w:val="24"/>
          <w:lang w:val="en"/>
        </w:rPr>
        <w:t>risk disclosure nexus is moderated by senior management team characteristics</w:t>
      </w:r>
      <w:bookmarkEnd w:id="1"/>
      <w:r w:rsidR="00C52D9B" w:rsidRPr="00356ADA">
        <w:rPr>
          <w:rFonts w:ascii="Times New Roman" w:hAnsi="Times New Roman" w:cs="Times New Roman"/>
          <w:sz w:val="24"/>
          <w:szCs w:val="24"/>
          <w:lang w:val="en"/>
        </w:rPr>
        <w:t xml:space="preserve">.  </w:t>
      </w:r>
    </w:p>
    <w:p w14:paraId="179BAF6E" w14:textId="1E4A76D2" w:rsidR="00F04AF4" w:rsidRDefault="00EE4247" w:rsidP="001F13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a theoretical standpoint, </w:t>
      </w:r>
      <w:r w:rsidR="00FB1ED2" w:rsidRPr="00FB1ED2">
        <w:rPr>
          <w:rFonts w:ascii="Times New Roman" w:hAnsi="Times New Roman" w:cs="Times New Roman"/>
          <w:sz w:val="24"/>
          <w:szCs w:val="24"/>
        </w:rPr>
        <w:t>neo-institutional theory (Ntim &amp; Soobaroyen, 2013; Suchman, 1995) proposes that</w:t>
      </w:r>
      <w:r w:rsidR="00FB1ED2">
        <w:rPr>
          <w:rFonts w:ascii="Times New Roman" w:hAnsi="Times New Roman" w:cs="Times New Roman"/>
          <w:sz w:val="24"/>
          <w:szCs w:val="24"/>
        </w:rPr>
        <w:t xml:space="preserve"> </w:t>
      </w:r>
      <w:r w:rsidR="00FB1ED2" w:rsidRPr="00FB1ED2">
        <w:rPr>
          <w:rFonts w:ascii="Times New Roman" w:hAnsi="Times New Roman" w:cs="Times New Roman"/>
          <w:sz w:val="24"/>
          <w:szCs w:val="24"/>
        </w:rPr>
        <w:t xml:space="preserve">coercive, mimetic and normative </w:t>
      </w:r>
      <w:r w:rsidR="00FB1ED2">
        <w:rPr>
          <w:rFonts w:ascii="Times New Roman" w:hAnsi="Times New Roman" w:cs="Times New Roman"/>
          <w:sz w:val="24"/>
          <w:szCs w:val="24"/>
        </w:rPr>
        <w:t xml:space="preserve">institutional pressures, which </w:t>
      </w:r>
      <w:r w:rsidR="00FB1ED2" w:rsidRPr="00FB1ED2">
        <w:rPr>
          <w:rFonts w:ascii="Times New Roman" w:hAnsi="Times New Roman" w:cs="Times New Roman"/>
          <w:sz w:val="24"/>
          <w:szCs w:val="24"/>
        </w:rPr>
        <w:t xml:space="preserve">can </w:t>
      </w:r>
      <w:r w:rsidR="00FB1ED2" w:rsidRPr="00FB1ED2">
        <w:rPr>
          <w:rFonts w:ascii="Times New Roman" w:hAnsi="Times New Roman" w:cs="Times New Roman"/>
          <w:sz w:val="24"/>
          <w:szCs w:val="24"/>
        </w:rPr>
        <w:lastRenderedPageBreak/>
        <w:t>influence the implementation of good organisational practices (e.g., good governance and risk practices), are mainly driven by efficiency and legitimisation reasons.</w:t>
      </w:r>
      <w:r w:rsidR="001F13A2">
        <w:rPr>
          <w:rFonts w:ascii="Times New Roman" w:hAnsi="Times New Roman" w:cs="Times New Roman"/>
          <w:sz w:val="24"/>
          <w:szCs w:val="24"/>
        </w:rPr>
        <w:t xml:space="preserve"> </w:t>
      </w:r>
      <w:r w:rsidR="00860378">
        <w:rPr>
          <w:rFonts w:ascii="Times New Roman" w:hAnsi="Times New Roman" w:cs="Times New Roman"/>
          <w:sz w:val="24"/>
          <w:szCs w:val="24"/>
        </w:rPr>
        <w:t xml:space="preserve">Briefly, the efficiency perspective of </w:t>
      </w:r>
      <w:r w:rsidR="001826CB">
        <w:rPr>
          <w:rFonts w:ascii="Times New Roman" w:hAnsi="Times New Roman" w:cs="Times New Roman"/>
          <w:sz w:val="24"/>
          <w:szCs w:val="24"/>
        </w:rPr>
        <w:t>neo-institutional theory (</w:t>
      </w:r>
      <w:r w:rsidR="003D1660">
        <w:rPr>
          <w:rFonts w:ascii="Times New Roman" w:hAnsi="Times New Roman" w:cs="Times New Roman"/>
          <w:sz w:val="24"/>
          <w:szCs w:val="24"/>
        </w:rPr>
        <w:t>Ntim &amp; Soobaroyen, 2013)</w:t>
      </w:r>
      <w:r w:rsidR="007C77C8">
        <w:rPr>
          <w:rFonts w:ascii="Times New Roman" w:hAnsi="Times New Roman" w:cs="Times New Roman"/>
          <w:sz w:val="24"/>
          <w:szCs w:val="24"/>
        </w:rPr>
        <w:t xml:space="preserve"> </w:t>
      </w:r>
      <w:r w:rsidR="00D27080">
        <w:rPr>
          <w:rFonts w:ascii="Times New Roman" w:hAnsi="Times New Roman" w:cs="Times New Roman"/>
          <w:sz w:val="24"/>
          <w:szCs w:val="24"/>
        </w:rPr>
        <w:t xml:space="preserve">suggests that </w:t>
      </w:r>
      <w:r w:rsidR="00D33BAD">
        <w:rPr>
          <w:rFonts w:ascii="Times New Roman" w:hAnsi="Times New Roman" w:cs="Times New Roman"/>
          <w:sz w:val="24"/>
          <w:szCs w:val="24"/>
        </w:rPr>
        <w:t>coercive, m</w:t>
      </w:r>
      <w:r w:rsidR="00D11509">
        <w:rPr>
          <w:rFonts w:ascii="Times New Roman" w:hAnsi="Times New Roman" w:cs="Times New Roman"/>
          <w:sz w:val="24"/>
          <w:szCs w:val="24"/>
        </w:rPr>
        <w:t>i</w:t>
      </w:r>
      <w:r w:rsidR="00D33BAD">
        <w:rPr>
          <w:rFonts w:ascii="Times New Roman" w:hAnsi="Times New Roman" w:cs="Times New Roman"/>
          <w:sz w:val="24"/>
          <w:szCs w:val="24"/>
        </w:rPr>
        <w:t>metic and normative</w:t>
      </w:r>
      <w:r w:rsidR="00156335">
        <w:rPr>
          <w:rFonts w:ascii="Times New Roman" w:hAnsi="Times New Roman" w:cs="Times New Roman"/>
          <w:sz w:val="24"/>
          <w:szCs w:val="24"/>
        </w:rPr>
        <w:t xml:space="preserve"> institutional drivers</w:t>
      </w:r>
      <w:r w:rsidR="00D33BAD">
        <w:rPr>
          <w:rFonts w:ascii="Times New Roman" w:hAnsi="Times New Roman" w:cs="Times New Roman"/>
          <w:sz w:val="24"/>
          <w:szCs w:val="24"/>
        </w:rPr>
        <w:t xml:space="preserve"> may </w:t>
      </w:r>
      <w:r w:rsidR="00D11509">
        <w:rPr>
          <w:rFonts w:ascii="Times New Roman" w:hAnsi="Times New Roman" w:cs="Times New Roman"/>
          <w:sz w:val="24"/>
          <w:szCs w:val="24"/>
        </w:rPr>
        <w:t>intensify</w:t>
      </w:r>
      <w:r w:rsidR="00F03B3E">
        <w:rPr>
          <w:rFonts w:ascii="Times New Roman" w:hAnsi="Times New Roman" w:cs="Times New Roman"/>
          <w:sz w:val="24"/>
          <w:szCs w:val="24"/>
        </w:rPr>
        <w:t xml:space="preserve"> competition</w:t>
      </w:r>
      <w:r w:rsidR="00273417">
        <w:rPr>
          <w:rFonts w:ascii="Times New Roman" w:hAnsi="Times New Roman" w:cs="Times New Roman"/>
          <w:sz w:val="24"/>
          <w:szCs w:val="24"/>
        </w:rPr>
        <w:t xml:space="preserve"> among HEIs for crucial </w:t>
      </w:r>
      <w:r w:rsidR="00156335">
        <w:rPr>
          <w:rFonts w:ascii="Times New Roman" w:hAnsi="Times New Roman" w:cs="Times New Roman"/>
          <w:sz w:val="24"/>
          <w:szCs w:val="24"/>
        </w:rPr>
        <w:t xml:space="preserve">resources </w:t>
      </w:r>
      <w:r w:rsidR="00273417">
        <w:rPr>
          <w:rFonts w:ascii="Times New Roman" w:hAnsi="Times New Roman" w:cs="Times New Roman"/>
          <w:sz w:val="24"/>
          <w:szCs w:val="24"/>
        </w:rPr>
        <w:t>in order to protect the interests of stakeholders</w:t>
      </w:r>
      <w:r w:rsidR="00185E08">
        <w:rPr>
          <w:rFonts w:ascii="Times New Roman" w:hAnsi="Times New Roman" w:cs="Times New Roman"/>
          <w:sz w:val="24"/>
          <w:szCs w:val="24"/>
        </w:rPr>
        <w:t xml:space="preserve">, as well as </w:t>
      </w:r>
      <w:r w:rsidR="00273417">
        <w:rPr>
          <w:rFonts w:ascii="Times New Roman" w:hAnsi="Times New Roman" w:cs="Times New Roman"/>
          <w:sz w:val="24"/>
          <w:szCs w:val="24"/>
        </w:rPr>
        <w:t xml:space="preserve">maintain sustainable operations. Consistent with this view, </w:t>
      </w:r>
      <w:r w:rsidR="00E64F4F">
        <w:rPr>
          <w:rFonts w:ascii="Times New Roman" w:hAnsi="Times New Roman" w:cs="Times New Roman"/>
          <w:sz w:val="24"/>
          <w:szCs w:val="24"/>
        </w:rPr>
        <w:t>committing to good governance practices</w:t>
      </w:r>
      <w:r w:rsidR="001F13A2">
        <w:rPr>
          <w:rFonts w:ascii="Times New Roman" w:hAnsi="Times New Roman" w:cs="Times New Roman"/>
          <w:sz w:val="24"/>
          <w:szCs w:val="24"/>
        </w:rPr>
        <w:t xml:space="preserve"> (e.g., the ‘shared’ governance model) </w:t>
      </w:r>
      <w:r w:rsidR="00E64F4F">
        <w:rPr>
          <w:rFonts w:ascii="Times New Roman" w:hAnsi="Times New Roman" w:cs="Times New Roman"/>
          <w:sz w:val="24"/>
          <w:szCs w:val="24"/>
        </w:rPr>
        <w:t xml:space="preserve">can </w:t>
      </w:r>
      <w:r w:rsidR="003B29DF">
        <w:rPr>
          <w:rFonts w:ascii="Times New Roman" w:hAnsi="Times New Roman" w:cs="Times New Roman"/>
          <w:sz w:val="24"/>
          <w:szCs w:val="24"/>
        </w:rPr>
        <w:t>compel</w:t>
      </w:r>
      <w:r w:rsidR="00E64F4F">
        <w:rPr>
          <w:rFonts w:ascii="Times New Roman" w:hAnsi="Times New Roman" w:cs="Times New Roman"/>
          <w:sz w:val="24"/>
          <w:szCs w:val="24"/>
        </w:rPr>
        <w:t xml:space="preserve"> HEIs to engage in increased voluntary risk disclosures in order to demonstrate </w:t>
      </w:r>
      <w:r w:rsidR="00E64F4F" w:rsidRPr="00E64F4F">
        <w:rPr>
          <w:rFonts w:ascii="Times New Roman" w:hAnsi="Times New Roman" w:cs="Times New Roman"/>
          <w:sz w:val="24"/>
          <w:szCs w:val="24"/>
        </w:rPr>
        <w:t>greater accountability and transparency to the wider community</w:t>
      </w:r>
      <w:r w:rsidR="00E64F4F">
        <w:rPr>
          <w:rFonts w:ascii="Times New Roman" w:hAnsi="Times New Roman" w:cs="Times New Roman"/>
          <w:sz w:val="24"/>
          <w:szCs w:val="24"/>
        </w:rPr>
        <w:t>, as well as</w:t>
      </w:r>
      <w:r w:rsidR="00D25889">
        <w:rPr>
          <w:rFonts w:ascii="Times New Roman" w:hAnsi="Times New Roman" w:cs="Times New Roman"/>
          <w:sz w:val="24"/>
          <w:szCs w:val="24"/>
        </w:rPr>
        <w:t xml:space="preserve"> gain</w:t>
      </w:r>
      <w:r w:rsidR="00D27080">
        <w:rPr>
          <w:rFonts w:ascii="Times New Roman" w:hAnsi="Times New Roman" w:cs="Times New Roman"/>
          <w:sz w:val="24"/>
          <w:szCs w:val="24"/>
        </w:rPr>
        <w:t xml:space="preserve"> </w:t>
      </w:r>
      <w:r w:rsidR="00E64F4F">
        <w:rPr>
          <w:rFonts w:ascii="Times New Roman" w:hAnsi="Times New Roman" w:cs="Times New Roman"/>
          <w:sz w:val="24"/>
          <w:szCs w:val="24"/>
        </w:rPr>
        <w:t>access</w:t>
      </w:r>
      <w:r w:rsidR="00C8378D">
        <w:rPr>
          <w:rFonts w:ascii="Times New Roman" w:hAnsi="Times New Roman" w:cs="Times New Roman"/>
          <w:sz w:val="24"/>
          <w:szCs w:val="24"/>
        </w:rPr>
        <w:t xml:space="preserve"> to</w:t>
      </w:r>
      <w:r w:rsidR="00E64F4F">
        <w:rPr>
          <w:rFonts w:ascii="Times New Roman" w:hAnsi="Times New Roman" w:cs="Times New Roman"/>
          <w:sz w:val="24"/>
          <w:szCs w:val="24"/>
        </w:rPr>
        <w:t xml:space="preserve"> crucial resources (</w:t>
      </w:r>
      <w:r w:rsidR="00547007" w:rsidRPr="00356ADA">
        <w:rPr>
          <w:rFonts w:ascii="Times New Roman" w:hAnsi="Times New Roman" w:cs="Times New Roman"/>
          <w:sz w:val="24"/>
          <w:szCs w:val="24"/>
        </w:rPr>
        <w:t>Abraham &amp; Cox</w:t>
      </w:r>
      <w:r w:rsidR="00547007">
        <w:rPr>
          <w:rFonts w:ascii="Times New Roman" w:hAnsi="Times New Roman" w:cs="Times New Roman"/>
          <w:sz w:val="24"/>
          <w:szCs w:val="24"/>
        </w:rPr>
        <w:t>, 2007)</w:t>
      </w:r>
      <w:r w:rsidR="00E64F4F">
        <w:rPr>
          <w:rFonts w:ascii="Times New Roman" w:hAnsi="Times New Roman" w:cs="Times New Roman"/>
          <w:sz w:val="24"/>
          <w:szCs w:val="24"/>
          <w:lang w:val="en"/>
        </w:rPr>
        <w:t>.</w:t>
      </w:r>
      <w:r w:rsidR="003B6481">
        <w:rPr>
          <w:rFonts w:ascii="Times New Roman" w:hAnsi="Times New Roman" w:cs="Times New Roman"/>
          <w:sz w:val="24"/>
          <w:szCs w:val="24"/>
          <w:lang w:val="en"/>
        </w:rPr>
        <w:t xml:space="preserve"> </w:t>
      </w:r>
      <w:r w:rsidR="007F1E95">
        <w:rPr>
          <w:rFonts w:ascii="Times New Roman" w:hAnsi="Times New Roman" w:cs="Times New Roman"/>
          <w:sz w:val="24"/>
          <w:szCs w:val="24"/>
        </w:rPr>
        <w:t>In addition</w:t>
      </w:r>
      <w:r w:rsidR="00D27080">
        <w:rPr>
          <w:rFonts w:ascii="Times New Roman" w:hAnsi="Times New Roman" w:cs="Times New Roman"/>
          <w:sz w:val="24"/>
          <w:szCs w:val="24"/>
        </w:rPr>
        <w:t xml:space="preserve">, the legitimisation perspective of neo-institutional theory </w:t>
      </w:r>
      <w:r w:rsidR="00B14CEF">
        <w:rPr>
          <w:rFonts w:ascii="Times New Roman" w:hAnsi="Times New Roman" w:cs="Times New Roman"/>
          <w:sz w:val="24"/>
          <w:szCs w:val="24"/>
        </w:rPr>
        <w:t>(</w:t>
      </w:r>
      <w:r w:rsidR="00B14CEF" w:rsidRPr="00D27080">
        <w:rPr>
          <w:rFonts w:ascii="Times New Roman" w:hAnsi="Times New Roman" w:cs="Times New Roman"/>
          <w:sz w:val="24"/>
          <w:szCs w:val="24"/>
        </w:rPr>
        <w:t>Suchman, 1995</w:t>
      </w:r>
      <w:r w:rsidR="00B14CEF">
        <w:rPr>
          <w:rFonts w:ascii="Times New Roman" w:hAnsi="Times New Roman" w:cs="Times New Roman"/>
          <w:sz w:val="24"/>
          <w:szCs w:val="24"/>
        </w:rPr>
        <w:t xml:space="preserve">) </w:t>
      </w:r>
      <w:r w:rsidR="00D27080">
        <w:rPr>
          <w:rFonts w:ascii="Times New Roman" w:hAnsi="Times New Roman" w:cs="Times New Roman"/>
          <w:sz w:val="24"/>
          <w:szCs w:val="24"/>
        </w:rPr>
        <w:t xml:space="preserve">indicates that </w:t>
      </w:r>
      <w:r w:rsidR="00B14CEF">
        <w:rPr>
          <w:rFonts w:ascii="Times New Roman" w:hAnsi="Times New Roman" w:cs="Times New Roman"/>
          <w:sz w:val="24"/>
          <w:szCs w:val="24"/>
        </w:rPr>
        <w:t xml:space="preserve">committing to good </w:t>
      </w:r>
      <w:r w:rsidR="008E14C9">
        <w:rPr>
          <w:rFonts w:ascii="Times New Roman" w:hAnsi="Times New Roman" w:cs="Times New Roman"/>
          <w:sz w:val="24"/>
          <w:szCs w:val="24"/>
        </w:rPr>
        <w:t xml:space="preserve">governance </w:t>
      </w:r>
      <w:r w:rsidR="00B14CEF">
        <w:rPr>
          <w:rFonts w:ascii="Times New Roman" w:hAnsi="Times New Roman" w:cs="Times New Roman"/>
          <w:sz w:val="24"/>
          <w:szCs w:val="24"/>
        </w:rPr>
        <w:t xml:space="preserve">practices may not only improve HEIs’ efficiency, but </w:t>
      </w:r>
      <w:r w:rsidR="005745E7">
        <w:rPr>
          <w:rFonts w:ascii="Times New Roman" w:hAnsi="Times New Roman" w:cs="Times New Roman"/>
          <w:sz w:val="24"/>
          <w:szCs w:val="24"/>
        </w:rPr>
        <w:t xml:space="preserve">also </w:t>
      </w:r>
      <w:r w:rsidR="00B14CEF">
        <w:rPr>
          <w:rFonts w:ascii="Times New Roman" w:hAnsi="Times New Roman" w:cs="Times New Roman"/>
          <w:sz w:val="24"/>
          <w:szCs w:val="24"/>
        </w:rPr>
        <w:t xml:space="preserve">can improve their legitimacy and social acceptance. </w:t>
      </w:r>
      <w:r w:rsidRPr="00EE4247">
        <w:rPr>
          <w:rFonts w:ascii="Times New Roman" w:hAnsi="Times New Roman" w:cs="Times New Roman"/>
          <w:sz w:val="24"/>
          <w:szCs w:val="24"/>
        </w:rPr>
        <w:t xml:space="preserve">Consistent with this view, </w:t>
      </w:r>
      <w:r w:rsidR="00897606">
        <w:rPr>
          <w:rFonts w:ascii="Times New Roman" w:hAnsi="Times New Roman" w:cs="Times New Roman"/>
          <w:sz w:val="24"/>
          <w:szCs w:val="24"/>
        </w:rPr>
        <w:t xml:space="preserve">we argue that </w:t>
      </w:r>
      <w:r w:rsidR="00FC2B2A">
        <w:rPr>
          <w:rFonts w:ascii="Times New Roman" w:hAnsi="Times New Roman" w:cs="Times New Roman"/>
          <w:sz w:val="24"/>
          <w:szCs w:val="24"/>
        </w:rPr>
        <w:t>a major</w:t>
      </w:r>
      <w:r w:rsidRPr="00EE4247">
        <w:rPr>
          <w:rFonts w:ascii="Times New Roman" w:hAnsi="Times New Roman" w:cs="Times New Roman"/>
          <w:sz w:val="24"/>
          <w:szCs w:val="24"/>
        </w:rPr>
        <w:t xml:space="preserve"> goal for engaging in greater risk disclosures among HEIs can be to show that their norms and values are congruent with those of the wider community, as well as to </w:t>
      </w:r>
      <w:r w:rsidR="001B3B1A">
        <w:rPr>
          <w:rFonts w:ascii="Times New Roman" w:hAnsi="Times New Roman" w:cs="Times New Roman"/>
          <w:sz w:val="24"/>
          <w:szCs w:val="24"/>
        </w:rPr>
        <w:t>demonstrate</w:t>
      </w:r>
      <w:r w:rsidRPr="00EE4247">
        <w:rPr>
          <w:rFonts w:ascii="Times New Roman" w:hAnsi="Times New Roman" w:cs="Times New Roman"/>
          <w:sz w:val="24"/>
          <w:szCs w:val="24"/>
        </w:rPr>
        <w:t xml:space="preserve"> that their operations/activities are legitimate</w:t>
      </w:r>
      <w:r>
        <w:rPr>
          <w:rFonts w:ascii="Times New Roman" w:hAnsi="Times New Roman" w:cs="Times New Roman"/>
          <w:sz w:val="24"/>
          <w:szCs w:val="24"/>
        </w:rPr>
        <w:t>.</w:t>
      </w:r>
      <w:r w:rsidR="007F1E95">
        <w:rPr>
          <w:rFonts w:ascii="Times New Roman" w:hAnsi="Times New Roman" w:cs="Times New Roman"/>
          <w:sz w:val="24"/>
          <w:szCs w:val="24"/>
        </w:rPr>
        <w:t xml:space="preserve"> </w:t>
      </w:r>
    </w:p>
    <w:p w14:paraId="6D9C20C5" w14:textId="149B8616" w:rsidR="00702539" w:rsidRPr="004629BD" w:rsidRDefault="00DE1F8A" w:rsidP="00A228F8">
      <w:pPr>
        <w:tabs>
          <w:tab w:val="left" w:pos="6663"/>
        </w:tabs>
        <w:spacing w:after="0" w:line="240" w:lineRule="auto"/>
        <w:ind w:firstLine="720"/>
        <w:jc w:val="both"/>
        <w:rPr>
          <w:rFonts w:asciiTheme="majorBidi" w:hAnsiTheme="majorBidi" w:cstheme="majorBidi"/>
          <w:sz w:val="24"/>
          <w:szCs w:val="24"/>
        </w:rPr>
      </w:pPr>
      <w:r>
        <w:rPr>
          <w:rFonts w:ascii="Times New Roman" w:hAnsi="Times New Roman" w:cs="Times New Roman"/>
          <w:sz w:val="24"/>
          <w:szCs w:val="24"/>
        </w:rPr>
        <w:t>Empirically</w:t>
      </w:r>
      <w:r w:rsidR="006F7AE3" w:rsidRPr="00356ADA">
        <w:rPr>
          <w:rFonts w:ascii="Times New Roman" w:hAnsi="Times New Roman" w:cs="Times New Roman"/>
          <w:sz w:val="24"/>
          <w:szCs w:val="24"/>
        </w:rPr>
        <w:t>,</w:t>
      </w:r>
      <w:r w:rsidR="007D149A" w:rsidRPr="00356ADA">
        <w:rPr>
          <w:rFonts w:ascii="Times New Roman" w:hAnsi="Times New Roman" w:cs="Times New Roman"/>
          <w:sz w:val="24"/>
          <w:szCs w:val="24"/>
        </w:rPr>
        <w:t xml:space="preserve"> </w:t>
      </w:r>
      <w:r w:rsidR="006F7AE3" w:rsidRPr="00356ADA">
        <w:rPr>
          <w:rFonts w:ascii="Times New Roman" w:hAnsi="Times New Roman" w:cs="Times New Roman"/>
          <w:sz w:val="24"/>
          <w:szCs w:val="24"/>
        </w:rPr>
        <w:t xml:space="preserve">a number of prior </w:t>
      </w:r>
      <w:r w:rsidR="00255007" w:rsidRPr="00356ADA">
        <w:rPr>
          <w:rFonts w:ascii="Times New Roman" w:hAnsi="Times New Roman" w:cs="Times New Roman"/>
          <w:sz w:val="24"/>
          <w:szCs w:val="24"/>
        </w:rPr>
        <w:t>studies have</w:t>
      </w:r>
      <w:r w:rsidR="00702539" w:rsidRPr="00356ADA">
        <w:rPr>
          <w:rFonts w:ascii="Times New Roman" w:hAnsi="Times New Roman" w:cs="Times New Roman"/>
          <w:sz w:val="24"/>
          <w:szCs w:val="24"/>
        </w:rPr>
        <w:t xml:space="preserve"> </w:t>
      </w:r>
      <w:r w:rsidR="006F7AE3" w:rsidRPr="00356ADA">
        <w:rPr>
          <w:rFonts w:ascii="Times New Roman" w:hAnsi="Times New Roman" w:cs="Times New Roman"/>
          <w:sz w:val="24"/>
          <w:szCs w:val="24"/>
        </w:rPr>
        <w:t xml:space="preserve">investigated </w:t>
      </w:r>
      <w:r w:rsidR="00E30CAA" w:rsidRPr="00356ADA">
        <w:rPr>
          <w:rFonts w:ascii="Times New Roman" w:hAnsi="Times New Roman" w:cs="Times New Roman"/>
          <w:sz w:val="24"/>
          <w:szCs w:val="24"/>
        </w:rPr>
        <w:t>accountability</w:t>
      </w:r>
      <w:r w:rsidR="00EA1854" w:rsidRPr="00356ADA">
        <w:rPr>
          <w:rFonts w:ascii="Times New Roman" w:hAnsi="Times New Roman" w:cs="Times New Roman"/>
          <w:sz w:val="24"/>
          <w:szCs w:val="24"/>
        </w:rPr>
        <w:t xml:space="preserve"> </w:t>
      </w:r>
      <w:r w:rsidR="00255007" w:rsidRPr="00356ADA">
        <w:rPr>
          <w:rFonts w:ascii="Times New Roman" w:hAnsi="Times New Roman" w:cs="Times New Roman"/>
          <w:sz w:val="24"/>
          <w:szCs w:val="24"/>
        </w:rPr>
        <w:t xml:space="preserve">disclosure practices in HEIs around the world (Gray &amp; Haslam, 1990; </w:t>
      </w:r>
      <w:r w:rsidR="00DB447E" w:rsidRPr="00356ADA">
        <w:rPr>
          <w:rFonts w:ascii="Times New Roman" w:hAnsi="Times New Roman" w:cs="Times New Roman"/>
          <w:sz w:val="24"/>
          <w:szCs w:val="24"/>
        </w:rPr>
        <w:t xml:space="preserve">Cameron &amp; Guthrie, 1993; </w:t>
      </w:r>
      <w:r w:rsidR="00FB578D" w:rsidRPr="00356ADA">
        <w:rPr>
          <w:rFonts w:ascii="Times New Roman" w:hAnsi="Times New Roman" w:cs="Times New Roman"/>
          <w:sz w:val="24"/>
          <w:szCs w:val="24"/>
        </w:rPr>
        <w:t>Dixon &amp; Coy, 2007</w:t>
      </w:r>
      <w:r w:rsidR="001A1D65" w:rsidRPr="00356ADA">
        <w:rPr>
          <w:rFonts w:ascii="Times New Roman" w:hAnsi="Times New Roman" w:cs="Times New Roman"/>
          <w:sz w:val="24"/>
          <w:szCs w:val="24"/>
        </w:rPr>
        <w:t>)</w:t>
      </w:r>
      <w:r w:rsidR="00511F19" w:rsidRPr="00356ADA">
        <w:rPr>
          <w:rFonts w:ascii="Times New Roman" w:hAnsi="Times New Roman" w:cs="Times New Roman"/>
          <w:sz w:val="24"/>
          <w:szCs w:val="24"/>
        </w:rPr>
        <w:t>.</w:t>
      </w:r>
      <w:r w:rsidR="006F7AE3" w:rsidRPr="00356ADA">
        <w:rPr>
          <w:rFonts w:ascii="Times New Roman" w:hAnsi="Times New Roman" w:cs="Times New Roman"/>
          <w:sz w:val="24"/>
          <w:szCs w:val="24"/>
        </w:rPr>
        <w:t xml:space="preserve"> </w:t>
      </w:r>
      <w:r w:rsidR="00511F19" w:rsidRPr="00356ADA">
        <w:rPr>
          <w:rFonts w:ascii="Times New Roman" w:hAnsi="Times New Roman" w:cs="Times New Roman"/>
          <w:sz w:val="24"/>
          <w:szCs w:val="24"/>
        </w:rPr>
        <w:t>H</w:t>
      </w:r>
      <w:r w:rsidR="006F7AE3" w:rsidRPr="00356ADA">
        <w:rPr>
          <w:rFonts w:ascii="Times New Roman" w:hAnsi="Times New Roman" w:cs="Times New Roman"/>
          <w:sz w:val="24"/>
          <w:szCs w:val="24"/>
        </w:rPr>
        <w:t>owever, these studies</w:t>
      </w:r>
      <w:r w:rsidR="00702539" w:rsidRPr="00356ADA">
        <w:rPr>
          <w:rFonts w:ascii="Times New Roman" w:hAnsi="Times New Roman" w:cs="Times New Roman"/>
          <w:sz w:val="24"/>
          <w:szCs w:val="24"/>
        </w:rPr>
        <w:t xml:space="preserve"> seem to </w:t>
      </w:r>
      <w:r w:rsidR="00646DE2" w:rsidRPr="00356ADA">
        <w:rPr>
          <w:rFonts w:ascii="Times New Roman" w:hAnsi="Times New Roman" w:cs="Times New Roman"/>
          <w:sz w:val="24"/>
          <w:szCs w:val="24"/>
        </w:rPr>
        <w:t>be impaired by a number of discernible weaknesses</w:t>
      </w:r>
      <w:r w:rsidR="001A1D65" w:rsidRPr="00356ADA">
        <w:rPr>
          <w:rFonts w:ascii="Times New Roman" w:hAnsi="Times New Roman" w:cs="Times New Roman"/>
          <w:sz w:val="24"/>
          <w:szCs w:val="24"/>
        </w:rPr>
        <w:t>.</w:t>
      </w:r>
      <w:r w:rsidR="00702539" w:rsidRPr="00356ADA">
        <w:rPr>
          <w:rFonts w:ascii="Times New Roman" w:hAnsi="Times New Roman" w:cs="Times New Roman"/>
          <w:sz w:val="24"/>
          <w:szCs w:val="24"/>
        </w:rPr>
        <w:t xml:space="preserve"> </w:t>
      </w:r>
      <w:r w:rsidR="003C6EDB" w:rsidRPr="00356ADA">
        <w:rPr>
          <w:rFonts w:ascii="Times New Roman" w:hAnsi="Times New Roman" w:cs="Times New Roman"/>
          <w:sz w:val="24"/>
          <w:szCs w:val="24"/>
        </w:rPr>
        <w:t>First, much of the existing studies in HEIs have</w:t>
      </w:r>
      <w:r w:rsidR="006F7AE3" w:rsidRPr="00356ADA">
        <w:rPr>
          <w:rFonts w:ascii="Times New Roman" w:hAnsi="Times New Roman" w:cs="Times New Roman"/>
          <w:sz w:val="24"/>
          <w:szCs w:val="24"/>
        </w:rPr>
        <w:t xml:space="preserve"> either</w:t>
      </w:r>
      <w:r w:rsidR="003C6EDB" w:rsidRPr="00356ADA">
        <w:rPr>
          <w:rFonts w:ascii="Times New Roman" w:hAnsi="Times New Roman" w:cs="Times New Roman"/>
          <w:sz w:val="24"/>
          <w:szCs w:val="24"/>
        </w:rPr>
        <w:t xml:space="preserve"> focused </w:t>
      </w:r>
      <w:r w:rsidR="006F7AE3" w:rsidRPr="00356ADA">
        <w:rPr>
          <w:rFonts w:ascii="Times New Roman" w:hAnsi="Times New Roman" w:cs="Times New Roman"/>
          <w:sz w:val="24"/>
          <w:szCs w:val="24"/>
        </w:rPr>
        <w:t xml:space="preserve">largely </w:t>
      </w:r>
      <w:r w:rsidR="003C6EDB" w:rsidRPr="00356ADA">
        <w:rPr>
          <w:rFonts w:ascii="Times New Roman" w:hAnsi="Times New Roman" w:cs="Times New Roman"/>
          <w:sz w:val="24"/>
          <w:szCs w:val="24"/>
        </w:rPr>
        <w:t xml:space="preserve">on </w:t>
      </w:r>
      <w:r w:rsidR="006F7AE3" w:rsidRPr="00356ADA">
        <w:rPr>
          <w:rFonts w:ascii="Times New Roman" w:hAnsi="Times New Roman" w:cs="Times New Roman"/>
          <w:sz w:val="24"/>
          <w:szCs w:val="24"/>
        </w:rPr>
        <w:t xml:space="preserve">the effect of general institutional attributes (i.e., </w:t>
      </w:r>
      <w:r w:rsidR="00621F9D" w:rsidRPr="00356ADA">
        <w:rPr>
          <w:rFonts w:ascii="Times New Roman" w:hAnsi="Times New Roman" w:cs="Times New Roman"/>
          <w:sz w:val="24"/>
          <w:szCs w:val="24"/>
        </w:rPr>
        <w:t xml:space="preserve">revenue and </w:t>
      </w:r>
      <w:r w:rsidR="006F7AE3" w:rsidRPr="00356ADA">
        <w:rPr>
          <w:rFonts w:ascii="Times New Roman" w:hAnsi="Times New Roman" w:cs="Times New Roman"/>
          <w:sz w:val="24"/>
          <w:szCs w:val="24"/>
        </w:rPr>
        <w:t>size) on accountability disclosures (Banks et al., 1997; Coy &amp; Pratt, 1998; Nelson et al., 2003)</w:t>
      </w:r>
      <w:r w:rsidR="00FC4D5A">
        <w:rPr>
          <w:rStyle w:val="FootnoteReference"/>
          <w:rFonts w:ascii="Times New Roman" w:hAnsi="Times New Roman" w:cs="Times New Roman"/>
          <w:sz w:val="24"/>
          <w:szCs w:val="24"/>
        </w:rPr>
        <w:footnoteReference w:id="2"/>
      </w:r>
      <w:r w:rsidR="006F7AE3" w:rsidRPr="00356ADA">
        <w:rPr>
          <w:rFonts w:ascii="Times New Roman" w:hAnsi="Times New Roman" w:cs="Times New Roman"/>
          <w:sz w:val="24"/>
          <w:szCs w:val="24"/>
        </w:rPr>
        <w:t>, or have mainly been descriptive with limited theoretical insights (</w:t>
      </w:r>
      <w:r w:rsidR="003C6EDB" w:rsidRPr="00356ADA">
        <w:rPr>
          <w:rFonts w:ascii="Times New Roman" w:hAnsi="Times New Roman" w:cs="Times New Roman"/>
          <w:sz w:val="24"/>
          <w:szCs w:val="24"/>
        </w:rPr>
        <w:t xml:space="preserve">CUC, 2006; </w:t>
      </w:r>
      <w:r w:rsidR="00454F1E">
        <w:rPr>
          <w:rFonts w:ascii="Times New Roman" w:hAnsi="Times New Roman" w:cs="Times New Roman"/>
          <w:sz w:val="24"/>
          <w:szCs w:val="24"/>
        </w:rPr>
        <w:t>Gordon et al., 2002</w:t>
      </w:r>
      <w:r w:rsidR="003C6EDB" w:rsidRPr="00356ADA">
        <w:rPr>
          <w:rFonts w:ascii="Times New Roman" w:hAnsi="Times New Roman" w:cs="Times New Roman"/>
          <w:sz w:val="24"/>
          <w:szCs w:val="24"/>
        </w:rPr>
        <w:t xml:space="preserve"> Schofield, 2009). Second</w:t>
      </w:r>
      <w:r w:rsidR="006F7AE3" w:rsidRPr="00356ADA">
        <w:rPr>
          <w:rFonts w:ascii="Times New Roman" w:hAnsi="Times New Roman" w:cs="Times New Roman"/>
          <w:sz w:val="24"/>
          <w:szCs w:val="24"/>
        </w:rPr>
        <w:t xml:space="preserve">, </w:t>
      </w:r>
      <w:r w:rsidR="00E30CAA" w:rsidRPr="00356ADA">
        <w:rPr>
          <w:rFonts w:ascii="Times New Roman" w:hAnsi="Times New Roman" w:cs="Times New Roman"/>
          <w:sz w:val="24"/>
          <w:szCs w:val="24"/>
        </w:rPr>
        <w:t>none</w:t>
      </w:r>
      <w:r w:rsidR="00533003" w:rsidRPr="00356ADA">
        <w:rPr>
          <w:rFonts w:ascii="Times New Roman" w:hAnsi="Times New Roman" w:cs="Times New Roman"/>
          <w:sz w:val="24"/>
          <w:szCs w:val="24"/>
        </w:rPr>
        <w:t xml:space="preserve"> </w:t>
      </w:r>
      <w:r w:rsidR="00E30CAA" w:rsidRPr="00356ADA">
        <w:rPr>
          <w:rFonts w:ascii="Times New Roman" w:hAnsi="Times New Roman" w:cs="Times New Roman"/>
          <w:sz w:val="24"/>
          <w:szCs w:val="24"/>
        </w:rPr>
        <w:t>of the existing studies</w:t>
      </w:r>
      <w:r w:rsidR="00A530F4" w:rsidRPr="00356ADA">
        <w:rPr>
          <w:rFonts w:ascii="Times New Roman" w:hAnsi="Times New Roman" w:cs="Times New Roman"/>
          <w:sz w:val="24"/>
          <w:szCs w:val="24"/>
        </w:rPr>
        <w:t xml:space="preserve"> </w:t>
      </w:r>
      <w:r w:rsidR="008905B6" w:rsidRPr="00356ADA">
        <w:rPr>
          <w:rFonts w:ascii="Times New Roman" w:hAnsi="Times New Roman" w:cs="Times New Roman"/>
          <w:sz w:val="24"/>
          <w:szCs w:val="24"/>
        </w:rPr>
        <w:t>ha</w:t>
      </w:r>
      <w:r w:rsidR="002D51AC">
        <w:rPr>
          <w:rFonts w:ascii="Times New Roman" w:hAnsi="Times New Roman" w:cs="Times New Roman"/>
          <w:sz w:val="24"/>
          <w:szCs w:val="24"/>
        </w:rPr>
        <w:t>ve</w:t>
      </w:r>
      <w:r w:rsidR="008905B6" w:rsidRPr="00356ADA">
        <w:rPr>
          <w:rFonts w:ascii="Times New Roman" w:hAnsi="Times New Roman" w:cs="Times New Roman"/>
          <w:sz w:val="24"/>
          <w:szCs w:val="24"/>
        </w:rPr>
        <w:t xml:space="preserve"> examined risk disclosures</w:t>
      </w:r>
      <w:r w:rsidR="00666601" w:rsidRPr="00356ADA">
        <w:rPr>
          <w:rFonts w:ascii="Times New Roman" w:hAnsi="Times New Roman" w:cs="Times New Roman"/>
          <w:sz w:val="24"/>
          <w:szCs w:val="24"/>
        </w:rPr>
        <w:t xml:space="preserve"> in HEIs</w:t>
      </w:r>
      <w:r w:rsidR="008905B6" w:rsidRPr="00356ADA">
        <w:rPr>
          <w:rFonts w:ascii="Times New Roman" w:hAnsi="Times New Roman" w:cs="Times New Roman"/>
          <w:sz w:val="24"/>
          <w:szCs w:val="24"/>
        </w:rPr>
        <w:t xml:space="preserve"> to-date</w:t>
      </w:r>
      <w:r w:rsidR="00D97FFB" w:rsidRPr="00356ADA">
        <w:rPr>
          <w:rFonts w:ascii="Times New Roman" w:hAnsi="Times New Roman" w:cs="Times New Roman"/>
          <w:sz w:val="24"/>
          <w:szCs w:val="24"/>
        </w:rPr>
        <w:t xml:space="preserve"> (Coy et al., 1994, 1997, 2001)</w:t>
      </w:r>
      <w:r w:rsidR="003C6EDB" w:rsidRPr="00356ADA">
        <w:rPr>
          <w:rFonts w:ascii="Times New Roman" w:hAnsi="Times New Roman" w:cs="Times New Roman"/>
          <w:sz w:val="24"/>
          <w:szCs w:val="24"/>
        </w:rPr>
        <w:t>.</w:t>
      </w:r>
      <w:r w:rsidR="00816F14" w:rsidRPr="00356ADA">
        <w:rPr>
          <w:rFonts w:ascii="Times New Roman" w:hAnsi="Times New Roman" w:cs="Times New Roman"/>
          <w:sz w:val="24"/>
          <w:szCs w:val="24"/>
        </w:rPr>
        <w:t xml:space="preserve"> Third</w:t>
      </w:r>
      <w:r w:rsidR="00A530F4" w:rsidRPr="00356ADA">
        <w:rPr>
          <w:rFonts w:ascii="Times New Roman" w:hAnsi="Times New Roman" w:cs="Times New Roman"/>
          <w:sz w:val="24"/>
          <w:szCs w:val="24"/>
        </w:rPr>
        <w:t>,</w:t>
      </w:r>
      <w:r w:rsidR="00A313D6" w:rsidRPr="00356ADA">
        <w:rPr>
          <w:rFonts w:ascii="Times New Roman" w:hAnsi="Times New Roman" w:cs="Times New Roman"/>
          <w:sz w:val="24"/>
          <w:szCs w:val="24"/>
        </w:rPr>
        <w:t xml:space="preserve"> despite increasing evidence</w:t>
      </w:r>
      <w:r w:rsidR="00E30CAA" w:rsidRPr="00356ADA">
        <w:rPr>
          <w:rFonts w:ascii="Times New Roman" w:hAnsi="Times New Roman" w:cs="Times New Roman"/>
          <w:sz w:val="24"/>
          <w:szCs w:val="24"/>
        </w:rPr>
        <w:t xml:space="preserve"> that indicates </w:t>
      </w:r>
      <w:r w:rsidR="005F0935" w:rsidRPr="00356ADA">
        <w:rPr>
          <w:rFonts w:ascii="Times New Roman" w:hAnsi="Times New Roman" w:cs="Times New Roman"/>
          <w:sz w:val="24"/>
          <w:szCs w:val="24"/>
        </w:rPr>
        <w:t xml:space="preserve">that </w:t>
      </w:r>
      <w:r w:rsidR="00E30CAA" w:rsidRPr="00356ADA">
        <w:rPr>
          <w:rFonts w:ascii="Times New Roman" w:hAnsi="Times New Roman" w:cs="Times New Roman"/>
          <w:sz w:val="24"/>
          <w:szCs w:val="24"/>
        </w:rPr>
        <w:t>the decision to disclose information relating to institutions</w:t>
      </w:r>
      <w:r w:rsidR="00DF5273" w:rsidRPr="00356ADA">
        <w:rPr>
          <w:rFonts w:ascii="Times New Roman" w:hAnsi="Times New Roman" w:cs="Times New Roman"/>
          <w:sz w:val="24"/>
          <w:szCs w:val="24"/>
        </w:rPr>
        <w:t>, including risk ones,</w:t>
      </w:r>
      <w:r w:rsidR="00E30CAA" w:rsidRPr="00356ADA">
        <w:rPr>
          <w:rFonts w:ascii="Times New Roman" w:hAnsi="Times New Roman" w:cs="Times New Roman"/>
          <w:sz w:val="24"/>
          <w:szCs w:val="24"/>
        </w:rPr>
        <w:t xml:space="preserve"> are mainly a function of </w:t>
      </w:r>
      <w:r w:rsidR="005F0935" w:rsidRPr="00356ADA">
        <w:rPr>
          <w:rFonts w:ascii="Times New Roman" w:hAnsi="Times New Roman" w:cs="Times New Roman"/>
          <w:sz w:val="24"/>
          <w:szCs w:val="24"/>
        </w:rPr>
        <w:t xml:space="preserve">their </w:t>
      </w:r>
      <w:r w:rsidR="00E30CAA" w:rsidRPr="00356ADA">
        <w:rPr>
          <w:rFonts w:ascii="Times New Roman" w:hAnsi="Times New Roman" w:cs="Times New Roman"/>
          <w:sz w:val="24"/>
          <w:szCs w:val="24"/>
        </w:rPr>
        <w:t xml:space="preserve">governance </w:t>
      </w:r>
      <w:r w:rsidR="001F13A2">
        <w:rPr>
          <w:rFonts w:ascii="Times New Roman" w:hAnsi="Times New Roman" w:cs="Times New Roman"/>
          <w:sz w:val="24"/>
          <w:szCs w:val="24"/>
        </w:rPr>
        <w:t>quality</w:t>
      </w:r>
      <w:r w:rsidR="00E30CAA" w:rsidRPr="00356ADA">
        <w:rPr>
          <w:rFonts w:ascii="Times New Roman" w:hAnsi="Times New Roman" w:cs="Times New Roman"/>
          <w:sz w:val="24"/>
          <w:szCs w:val="24"/>
        </w:rPr>
        <w:t>,</w:t>
      </w:r>
      <w:r w:rsidR="009D01B7" w:rsidRPr="00356ADA">
        <w:rPr>
          <w:rFonts w:ascii="Times New Roman" w:hAnsi="Times New Roman" w:cs="Times New Roman"/>
          <w:sz w:val="24"/>
          <w:szCs w:val="24"/>
        </w:rPr>
        <w:t xml:space="preserve"> existing studies investigating the influence of governance </w:t>
      </w:r>
      <w:r w:rsidR="001F13A2">
        <w:rPr>
          <w:rFonts w:ascii="Times New Roman" w:hAnsi="Times New Roman" w:cs="Times New Roman"/>
          <w:sz w:val="24"/>
          <w:szCs w:val="24"/>
        </w:rPr>
        <w:t>quality</w:t>
      </w:r>
      <w:r w:rsidR="001F13A2" w:rsidRPr="00356ADA">
        <w:rPr>
          <w:rFonts w:ascii="Times New Roman" w:hAnsi="Times New Roman" w:cs="Times New Roman"/>
          <w:sz w:val="24"/>
          <w:szCs w:val="24"/>
        </w:rPr>
        <w:t xml:space="preserve"> </w:t>
      </w:r>
      <w:r w:rsidR="00E30CAA" w:rsidRPr="00356ADA">
        <w:rPr>
          <w:rFonts w:ascii="Times New Roman" w:hAnsi="Times New Roman" w:cs="Times New Roman"/>
          <w:sz w:val="24"/>
          <w:szCs w:val="24"/>
        </w:rPr>
        <w:t xml:space="preserve">on </w:t>
      </w:r>
      <w:r w:rsidR="00DF5273" w:rsidRPr="00356ADA">
        <w:rPr>
          <w:rFonts w:ascii="Times New Roman" w:hAnsi="Times New Roman" w:cs="Times New Roman"/>
          <w:sz w:val="24"/>
          <w:szCs w:val="24"/>
        </w:rPr>
        <w:t>disclosures</w:t>
      </w:r>
      <w:r w:rsidR="005F0935" w:rsidRPr="00356ADA">
        <w:rPr>
          <w:rFonts w:ascii="Times New Roman" w:hAnsi="Times New Roman" w:cs="Times New Roman"/>
          <w:sz w:val="24"/>
          <w:szCs w:val="24"/>
        </w:rPr>
        <w:t xml:space="preserve"> are generally rare (</w:t>
      </w:r>
      <w:r w:rsidR="008355F3" w:rsidRPr="00356ADA">
        <w:rPr>
          <w:rFonts w:ascii="Times New Roman" w:hAnsi="Times New Roman" w:cs="Times New Roman"/>
          <w:sz w:val="24"/>
          <w:szCs w:val="24"/>
        </w:rPr>
        <w:t xml:space="preserve">Abraham &amp; Cox, 2007; </w:t>
      </w:r>
      <w:r w:rsidR="005F0935" w:rsidRPr="00356ADA">
        <w:rPr>
          <w:rFonts w:ascii="Times New Roman" w:hAnsi="Times New Roman" w:cs="Times New Roman"/>
          <w:sz w:val="24"/>
          <w:szCs w:val="24"/>
        </w:rPr>
        <w:t>Ntim et al., 2013), but particularly acute in HEIs</w:t>
      </w:r>
      <w:r w:rsidR="008355F3" w:rsidRPr="00356ADA">
        <w:rPr>
          <w:rFonts w:ascii="Times New Roman" w:hAnsi="Times New Roman" w:cs="Times New Roman"/>
          <w:sz w:val="24"/>
          <w:szCs w:val="24"/>
        </w:rPr>
        <w:t xml:space="preserve"> (Gordon et al., 2002;</w:t>
      </w:r>
      <w:r w:rsidR="005F0935" w:rsidRPr="00356ADA">
        <w:rPr>
          <w:rFonts w:ascii="Times New Roman" w:hAnsi="Times New Roman" w:cs="Times New Roman"/>
          <w:sz w:val="24"/>
          <w:szCs w:val="24"/>
        </w:rPr>
        <w:t xml:space="preserve"> </w:t>
      </w:r>
      <w:r w:rsidR="00DF5273" w:rsidRPr="00356ADA">
        <w:rPr>
          <w:rFonts w:ascii="Times New Roman" w:hAnsi="Times New Roman" w:cs="Times New Roman"/>
          <w:sz w:val="24"/>
          <w:szCs w:val="24"/>
        </w:rPr>
        <w:t>Ntim et al., 2017)</w:t>
      </w:r>
      <w:r w:rsidR="00D50E09" w:rsidRPr="00356ADA">
        <w:rPr>
          <w:rFonts w:ascii="Times New Roman" w:hAnsi="Times New Roman" w:cs="Times New Roman"/>
          <w:sz w:val="24"/>
          <w:szCs w:val="24"/>
        </w:rPr>
        <w:t>.</w:t>
      </w:r>
      <w:r w:rsidR="00410F49" w:rsidRPr="00356ADA">
        <w:rPr>
          <w:rFonts w:ascii="Times New Roman" w:hAnsi="Times New Roman" w:cs="Times New Roman"/>
          <w:sz w:val="24"/>
          <w:szCs w:val="24"/>
        </w:rPr>
        <w:t xml:space="preserve"> </w:t>
      </w:r>
      <w:r w:rsidR="009D01B7" w:rsidRPr="00356ADA">
        <w:rPr>
          <w:rFonts w:ascii="Times New Roman" w:hAnsi="Times New Roman" w:cs="Times New Roman"/>
          <w:sz w:val="24"/>
          <w:szCs w:val="24"/>
        </w:rPr>
        <w:t>F</w:t>
      </w:r>
      <w:r w:rsidR="000C4CEA" w:rsidRPr="00356ADA">
        <w:rPr>
          <w:rFonts w:ascii="Times New Roman" w:hAnsi="Times New Roman" w:cs="Times New Roman"/>
          <w:sz w:val="24"/>
          <w:szCs w:val="24"/>
        </w:rPr>
        <w:t>inally</w:t>
      </w:r>
      <w:r w:rsidR="009D01B7" w:rsidRPr="00356ADA">
        <w:rPr>
          <w:rFonts w:ascii="Times New Roman" w:hAnsi="Times New Roman" w:cs="Times New Roman"/>
          <w:sz w:val="24"/>
          <w:szCs w:val="24"/>
        </w:rPr>
        <w:t xml:space="preserve">, </w:t>
      </w:r>
      <w:r w:rsidR="00745AF3" w:rsidRPr="00356ADA">
        <w:rPr>
          <w:rFonts w:ascii="Times New Roman" w:hAnsi="Times New Roman" w:cs="Times New Roman"/>
          <w:sz w:val="24"/>
          <w:szCs w:val="24"/>
        </w:rPr>
        <w:t xml:space="preserve">despite </w:t>
      </w:r>
      <w:r w:rsidR="00745AF3" w:rsidRPr="00356ADA">
        <w:rPr>
          <w:rFonts w:asciiTheme="majorBidi" w:hAnsiTheme="majorBidi" w:cstheme="majorBidi"/>
          <w:sz w:val="24"/>
          <w:szCs w:val="24"/>
        </w:rPr>
        <w:t xml:space="preserve">increasing theoretical/normative suggestions that senior management has significant influence </w:t>
      </w:r>
      <w:r w:rsidR="00322819" w:rsidRPr="00356ADA">
        <w:rPr>
          <w:rFonts w:asciiTheme="majorBidi" w:hAnsiTheme="majorBidi" w:cstheme="majorBidi"/>
          <w:sz w:val="24"/>
          <w:szCs w:val="24"/>
        </w:rPr>
        <w:t xml:space="preserve">on </w:t>
      </w:r>
      <w:r w:rsidR="00745AF3" w:rsidRPr="00356ADA">
        <w:rPr>
          <w:rFonts w:asciiTheme="majorBidi" w:hAnsiTheme="majorBidi" w:cstheme="majorBidi"/>
          <w:sz w:val="24"/>
          <w:szCs w:val="24"/>
        </w:rPr>
        <w:t>a HEI’s strategic decisions, including those relating to engaging in risk disclosures (</w:t>
      </w:r>
      <w:r w:rsidR="004629BD" w:rsidRPr="004629BD">
        <w:rPr>
          <w:rFonts w:asciiTheme="majorBidi" w:hAnsiTheme="majorBidi" w:cstheme="majorBidi"/>
          <w:iCs/>
          <w:sz w:val="24"/>
          <w:szCs w:val="24"/>
        </w:rPr>
        <w:t>Breakwell &amp; Tytherleigh, 2008</w:t>
      </w:r>
      <w:r w:rsidR="004629BD">
        <w:rPr>
          <w:rFonts w:asciiTheme="majorBidi" w:hAnsiTheme="majorBidi" w:cstheme="majorBidi"/>
          <w:iCs/>
          <w:sz w:val="24"/>
          <w:szCs w:val="24"/>
        </w:rPr>
        <w:t>)</w:t>
      </w:r>
      <w:r w:rsidR="00745AF3" w:rsidRPr="00356ADA">
        <w:rPr>
          <w:rFonts w:asciiTheme="majorBidi" w:hAnsiTheme="majorBidi" w:cstheme="majorBidi"/>
          <w:sz w:val="24"/>
          <w:szCs w:val="24"/>
          <w:shd w:val="clear" w:color="auto" w:fill="FFFFFF"/>
        </w:rPr>
        <w:t xml:space="preserve">, none of the existing studies has examined the </w:t>
      </w:r>
      <w:r w:rsidR="00194891" w:rsidRPr="00356ADA">
        <w:rPr>
          <w:rFonts w:asciiTheme="majorBidi" w:hAnsiTheme="majorBidi" w:cstheme="majorBidi"/>
          <w:sz w:val="24"/>
          <w:szCs w:val="24"/>
          <w:shd w:val="clear" w:color="auto" w:fill="FFFFFF"/>
        </w:rPr>
        <w:t xml:space="preserve">moderating effect of senior management characteristics on the </w:t>
      </w:r>
      <w:r w:rsidR="00E24AB1" w:rsidRPr="00356ADA">
        <w:rPr>
          <w:rFonts w:asciiTheme="majorBidi" w:hAnsiTheme="majorBidi" w:cstheme="majorBidi"/>
          <w:sz w:val="24"/>
          <w:szCs w:val="24"/>
          <w:shd w:val="clear" w:color="auto" w:fill="FFFFFF"/>
        </w:rPr>
        <w:t xml:space="preserve">internal </w:t>
      </w:r>
      <w:r w:rsidR="00194891" w:rsidRPr="00356ADA">
        <w:rPr>
          <w:rFonts w:asciiTheme="majorBidi" w:hAnsiTheme="majorBidi" w:cstheme="majorBidi"/>
          <w:sz w:val="24"/>
          <w:szCs w:val="24"/>
          <w:shd w:val="clear" w:color="auto" w:fill="FFFFFF"/>
        </w:rPr>
        <w:t>governance</w:t>
      </w:r>
      <w:r w:rsidR="00135F3B">
        <w:rPr>
          <w:rFonts w:asciiTheme="majorBidi" w:hAnsiTheme="majorBidi" w:cstheme="majorBidi"/>
          <w:sz w:val="24"/>
          <w:szCs w:val="24"/>
          <w:shd w:val="clear" w:color="auto" w:fill="FFFFFF"/>
        </w:rPr>
        <w:t xml:space="preserve"> quality</w:t>
      </w:r>
      <w:r w:rsidR="002B23E5" w:rsidRPr="00356ADA">
        <w:rPr>
          <w:rFonts w:asciiTheme="majorBidi" w:hAnsiTheme="majorBidi" w:cstheme="majorBidi"/>
          <w:sz w:val="24"/>
          <w:szCs w:val="24"/>
          <w:shd w:val="clear" w:color="auto" w:fill="FFFFFF"/>
        </w:rPr>
        <w:t>–</w:t>
      </w:r>
      <w:r w:rsidR="00194891" w:rsidRPr="00356ADA">
        <w:rPr>
          <w:rFonts w:asciiTheme="majorBidi" w:hAnsiTheme="majorBidi" w:cstheme="majorBidi"/>
          <w:sz w:val="24"/>
          <w:szCs w:val="24"/>
          <w:shd w:val="clear" w:color="auto" w:fill="FFFFFF"/>
        </w:rPr>
        <w:t xml:space="preserve">risk disclosures nexus. </w:t>
      </w:r>
      <w:r w:rsidR="00410F49" w:rsidRPr="00356ADA">
        <w:rPr>
          <w:rFonts w:ascii="Times New Roman" w:hAnsi="Times New Roman" w:cs="Times New Roman"/>
          <w:sz w:val="24"/>
          <w:szCs w:val="24"/>
        </w:rPr>
        <w:t xml:space="preserve">We contend, therefore, that these weaknesses together </w:t>
      </w:r>
      <w:r w:rsidR="00194891" w:rsidRPr="00356ADA">
        <w:rPr>
          <w:rFonts w:ascii="Times New Roman" w:hAnsi="Times New Roman" w:cs="Times New Roman"/>
          <w:sz w:val="24"/>
          <w:szCs w:val="24"/>
        </w:rPr>
        <w:t>limit</w:t>
      </w:r>
      <w:r w:rsidR="00410F49" w:rsidRPr="00356ADA">
        <w:rPr>
          <w:rFonts w:ascii="Times New Roman" w:hAnsi="Times New Roman" w:cs="Times New Roman"/>
          <w:sz w:val="24"/>
          <w:szCs w:val="24"/>
        </w:rPr>
        <w:t xml:space="preserve"> current knowledge and understanding of</w:t>
      </w:r>
      <w:r w:rsidR="00194891" w:rsidRPr="00356ADA">
        <w:rPr>
          <w:rFonts w:ascii="Times New Roman" w:hAnsi="Times New Roman" w:cs="Times New Roman"/>
          <w:sz w:val="24"/>
          <w:szCs w:val="24"/>
        </w:rPr>
        <w:t xml:space="preserve"> the extent to which governance structures of </w:t>
      </w:r>
      <w:r w:rsidR="00410F49" w:rsidRPr="00356ADA">
        <w:rPr>
          <w:rFonts w:ascii="Times New Roman" w:hAnsi="Times New Roman" w:cs="Times New Roman"/>
          <w:sz w:val="24"/>
          <w:szCs w:val="24"/>
        </w:rPr>
        <w:t xml:space="preserve">HEIs may impair or facilitate </w:t>
      </w:r>
      <w:r w:rsidR="002019F7">
        <w:rPr>
          <w:rFonts w:ascii="Times New Roman" w:hAnsi="Times New Roman" w:cs="Times New Roman"/>
          <w:sz w:val="24"/>
          <w:szCs w:val="24"/>
        </w:rPr>
        <w:t>risk</w:t>
      </w:r>
      <w:r w:rsidR="004B20AD">
        <w:rPr>
          <w:rFonts w:ascii="Times New Roman" w:hAnsi="Times New Roman" w:cs="Times New Roman"/>
          <w:sz w:val="24"/>
          <w:szCs w:val="24"/>
        </w:rPr>
        <w:t>-related</w:t>
      </w:r>
      <w:r w:rsidR="002019F7">
        <w:rPr>
          <w:rFonts w:ascii="Times New Roman" w:hAnsi="Times New Roman" w:cs="Times New Roman"/>
          <w:sz w:val="24"/>
          <w:szCs w:val="24"/>
        </w:rPr>
        <w:t xml:space="preserve"> disclosure</w:t>
      </w:r>
      <w:r w:rsidR="004B20AD">
        <w:rPr>
          <w:rFonts w:ascii="Times New Roman" w:hAnsi="Times New Roman" w:cs="Times New Roman"/>
          <w:sz w:val="24"/>
          <w:szCs w:val="24"/>
        </w:rPr>
        <w:t xml:space="preserve">s </w:t>
      </w:r>
      <w:r w:rsidR="002019F7">
        <w:rPr>
          <w:rFonts w:ascii="Times New Roman" w:hAnsi="Times New Roman" w:cs="Times New Roman"/>
          <w:sz w:val="24"/>
          <w:szCs w:val="24"/>
        </w:rPr>
        <w:t xml:space="preserve">among </w:t>
      </w:r>
      <w:r w:rsidR="00EE3B4F">
        <w:rPr>
          <w:rFonts w:ascii="Times New Roman" w:hAnsi="Times New Roman" w:cs="Times New Roman"/>
          <w:sz w:val="24"/>
          <w:szCs w:val="24"/>
        </w:rPr>
        <w:t>HEIs</w:t>
      </w:r>
      <w:r w:rsidR="00410F49" w:rsidRPr="00356ADA">
        <w:rPr>
          <w:rFonts w:ascii="Times New Roman" w:hAnsi="Times New Roman" w:cs="Times New Roman"/>
          <w:sz w:val="24"/>
          <w:szCs w:val="24"/>
        </w:rPr>
        <w:t>.</w:t>
      </w:r>
    </w:p>
    <w:p w14:paraId="0452BAAB" w14:textId="7E6E5458" w:rsidR="00A007FB" w:rsidRPr="00356ADA" w:rsidRDefault="00D644C9" w:rsidP="00450202">
      <w:pPr>
        <w:spacing w:after="0" w:line="240" w:lineRule="auto"/>
        <w:ind w:firstLine="720"/>
        <w:jc w:val="both"/>
        <w:rPr>
          <w:rFonts w:ascii="Times New Roman" w:hAnsi="Times New Roman" w:cs="Times New Roman"/>
          <w:sz w:val="24"/>
          <w:szCs w:val="24"/>
        </w:rPr>
      </w:pPr>
      <w:r w:rsidRPr="00356ADA">
        <w:rPr>
          <w:rFonts w:ascii="Times New Roman" w:hAnsi="Times New Roman" w:cs="Times New Roman"/>
          <w:sz w:val="24"/>
          <w:szCs w:val="24"/>
        </w:rPr>
        <w:t>Consequently</w:t>
      </w:r>
      <w:r w:rsidR="00DE1F8A">
        <w:rPr>
          <w:rFonts w:ascii="Times New Roman" w:hAnsi="Times New Roman" w:cs="Times New Roman"/>
          <w:sz w:val="24"/>
          <w:szCs w:val="24"/>
        </w:rPr>
        <w:t>,</w:t>
      </w:r>
      <w:r w:rsidRPr="00356ADA">
        <w:rPr>
          <w:rFonts w:ascii="Times New Roman" w:hAnsi="Times New Roman" w:cs="Times New Roman"/>
          <w:sz w:val="24"/>
          <w:szCs w:val="24"/>
        </w:rPr>
        <w:t xml:space="preserve"> and in this paper, we seek to address the</w:t>
      </w:r>
      <w:r w:rsidR="00BF781C" w:rsidRPr="00356ADA">
        <w:rPr>
          <w:rFonts w:ascii="Times New Roman" w:hAnsi="Times New Roman" w:cs="Times New Roman"/>
          <w:sz w:val="24"/>
          <w:szCs w:val="24"/>
        </w:rPr>
        <w:t>se</w:t>
      </w:r>
      <w:r w:rsidRPr="00356ADA">
        <w:rPr>
          <w:rFonts w:ascii="Times New Roman" w:hAnsi="Times New Roman" w:cs="Times New Roman"/>
          <w:sz w:val="24"/>
          <w:szCs w:val="24"/>
        </w:rPr>
        <w:t xml:space="preserve"> observable </w:t>
      </w:r>
      <w:r w:rsidR="0084636D" w:rsidRPr="00356ADA">
        <w:rPr>
          <w:rFonts w:ascii="Times New Roman" w:hAnsi="Times New Roman" w:cs="Times New Roman"/>
          <w:sz w:val="24"/>
          <w:szCs w:val="24"/>
        </w:rPr>
        <w:t>limitations of past studies, and in the process,</w:t>
      </w:r>
      <w:r w:rsidR="00194891" w:rsidRPr="00356ADA">
        <w:rPr>
          <w:rFonts w:asciiTheme="majorBidi" w:hAnsiTheme="majorBidi" w:cstheme="majorBidi"/>
          <w:sz w:val="24"/>
          <w:szCs w:val="24"/>
        </w:rPr>
        <w:t xml:space="preserve"> make a number of new contributions to the extant literature. </w:t>
      </w:r>
      <w:r w:rsidR="0084636D" w:rsidRPr="00356ADA">
        <w:rPr>
          <w:rFonts w:ascii="Times New Roman" w:hAnsi="Times New Roman" w:cs="Times New Roman"/>
          <w:sz w:val="24"/>
          <w:szCs w:val="24"/>
        </w:rPr>
        <w:t>First</w:t>
      </w:r>
      <w:r w:rsidR="005C4C9B" w:rsidRPr="00356ADA">
        <w:rPr>
          <w:rFonts w:ascii="Times New Roman" w:hAnsi="Times New Roman" w:cs="Times New Roman"/>
          <w:sz w:val="24"/>
          <w:szCs w:val="24"/>
        </w:rPr>
        <w:t>, we contribute to the existing research by offering timely evidence on risk</w:t>
      </w:r>
      <w:r w:rsidR="00EE3B4F">
        <w:rPr>
          <w:rFonts w:ascii="Times New Roman" w:hAnsi="Times New Roman" w:cs="Times New Roman"/>
          <w:sz w:val="24"/>
          <w:szCs w:val="24"/>
        </w:rPr>
        <w:t xml:space="preserve"> </w:t>
      </w:r>
      <w:r w:rsidR="005C4C9B" w:rsidRPr="00356ADA">
        <w:rPr>
          <w:rFonts w:ascii="Times New Roman" w:hAnsi="Times New Roman" w:cs="Times New Roman"/>
          <w:sz w:val="24"/>
          <w:szCs w:val="24"/>
        </w:rPr>
        <w:t>disclosure levels by UK HEIs, and this is done by</w:t>
      </w:r>
      <w:r w:rsidR="00264A55">
        <w:rPr>
          <w:rFonts w:ascii="Times New Roman" w:hAnsi="Times New Roman" w:cs="Times New Roman"/>
          <w:sz w:val="24"/>
          <w:szCs w:val="24"/>
        </w:rPr>
        <w:t>: (i)</w:t>
      </w:r>
      <w:r w:rsidR="005C4C9B" w:rsidRPr="00356ADA">
        <w:rPr>
          <w:rFonts w:ascii="Times New Roman" w:hAnsi="Times New Roman" w:cs="Times New Roman"/>
          <w:sz w:val="24"/>
          <w:szCs w:val="24"/>
        </w:rPr>
        <w:t xml:space="preserve"> </w:t>
      </w:r>
      <w:r w:rsidR="004402A0">
        <w:rPr>
          <w:rFonts w:ascii="Times New Roman" w:hAnsi="Times New Roman" w:cs="Times New Roman"/>
          <w:sz w:val="24"/>
          <w:szCs w:val="24"/>
        </w:rPr>
        <w:t>developing</w:t>
      </w:r>
      <w:r w:rsidR="0084636D" w:rsidRPr="00356ADA">
        <w:rPr>
          <w:rFonts w:ascii="Times New Roman" w:hAnsi="Times New Roman" w:cs="Times New Roman"/>
          <w:sz w:val="24"/>
          <w:szCs w:val="24"/>
        </w:rPr>
        <w:t xml:space="preserve"> </w:t>
      </w:r>
      <w:r w:rsidR="00D712E8" w:rsidRPr="00356ADA">
        <w:rPr>
          <w:rFonts w:ascii="Times New Roman" w:hAnsi="Times New Roman" w:cs="Times New Roman"/>
          <w:sz w:val="24"/>
          <w:szCs w:val="24"/>
        </w:rPr>
        <w:t xml:space="preserve">a </w:t>
      </w:r>
      <w:r w:rsidR="0084636D" w:rsidRPr="00356ADA">
        <w:rPr>
          <w:rFonts w:ascii="Times New Roman" w:hAnsi="Times New Roman" w:cs="Times New Roman"/>
          <w:sz w:val="24"/>
          <w:szCs w:val="24"/>
        </w:rPr>
        <w:t>comprehensive risk disclosure framework</w:t>
      </w:r>
      <w:r w:rsidR="004402A0">
        <w:rPr>
          <w:rFonts w:ascii="Times New Roman" w:hAnsi="Times New Roman" w:cs="Times New Roman"/>
          <w:sz w:val="24"/>
          <w:szCs w:val="24"/>
        </w:rPr>
        <w:t xml:space="preserve"> </w:t>
      </w:r>
      <w:r w:rsidR="00081F52">
        <w:rPr>
          <w:rFonts w:ascii="Times New Roman" w:hAnsi="Times New Roman" w:cs="Times New Roman"/>
          <w:sz w:val="24"/>
          <w:szCs w:val="24"/>
        </w:rPr>
        <w:t>for UK HEIs</w:t>
      </w:r>
      <w:r w:rsidR="00264A55">
        <w:rPr>
          <w:rFonts w:ascii="Times New Roman" w:hAnsi="Times New Roman" w:cs="Times New Roman"/>
          <w:sz w:val="24"/>
          <w:szCs w:val="24"/>
        </w:rPr>
        <w:t>; and (ii)</w:t>
      </w:r>
      <w:r w:rsidR="00264A55" w:rsidRPr="00264A55">
        <w:rPr>
          <w:rFonts w:ascii="Times New Roman" w:hAnsi="Times New Roman" w:cs="Times New Roman"/>
          <w:sz w:val="24"/>
          <w:szCs w:val="24"/>
        </w:rPr>
        <w:t xml:space="preserve"> employing content analysis method to </w:t>
      </w:r>
      <w:r w:rsidR="00702F23">
        <w:rPr>
          <w:rFonts w:ascii="Times New Roman" w:hAnsi="Times New Roman" w:cs="Times New Roman"/>
          <w:sz w:val="24"/>
          <w:szCs w:val="24"/>
        </w:rPr>
        <w:t>measure</w:t>
      </w:r>
      <w:r w:rsidR="00264A55" w:rsidRPr="00264A55">
        <w:rPr>
          <w:rFonts w:ascii="Times New Roman" w:hAnsi="Times New Roman" w:cs="Times New Roman"/>
          <w:sz w:val="24"/>
          <w:szCs w:val="24"/>
        </w:rPr>
        <w:t xml:space="preserve"> the extent of risk disclosures in </w:t>
      </w:r>
      <w:r w:rsidR="00B3418A" w:rsidRPr="00B3418A">
        <w:rPr>
          <w:rFonts w:ascii="Times New Roman" w:hAnsi="Times New Roman" w:cs="Times New Roman"/>
          <w:sz w:val="24"/>
          <w:szCs w:val="24"/>
        </w:rPr>
        <w:t xml:space="preserve">UK HEIs’ </w:t>
      </w:r>
      <w:r w:rsidR="00264A55" w:rsidRPr="00264A55">
        <w:rPr>
          <w:rFonts w:ascii="Times New Roman" w:hAnsi="Times New Roman" w:cs="Times New Roman"/>
          <w:sz w:val="24"/>
          <w:szCs w:val="24"/>
        </w:rPr>
        <w:t>annual reports</w:t>
      </w:r>
      <w:r w:rsidR="005C4C9B" w:rsidRPr="00356ADA">
        <w:rPr>
          <w:rFonts w:ascii="Times New Roman" w:hAnsi="Times New Roman" w:cs="Times New Roman"/>
          <w:sz w:val="24"/>
          <w:szCs w:val="24"/>
        </w:rPr>
        <w:t xml:space="preserve">. </w:t>
      </w:r>
      <w:r w:rsidR="00EB3B81">
        <w:rPr>
          <w:rFonts w:ascii="Times New Roman" w:hAnsi="Times New Roman" w:cs="Times New Roman"/>
          <w:sz w:val="24"/>
          <w:szCs w:val="24"/>
        </w:rPr>
        <w:t xml:space="preserve">Our </w:t>
      </w:r>
      <w:r w:rsidR="00264A55" w:rsidRPr="00264A55">
        <w:rPr>
          <w:rFonts w:ascii="Times New Roman" w:hAnsi="Times New Roman" w:cs="Times New Roman"/>
          <w:sz w:val="24"/>
          <w:szCs w:val="24"/>
        </w:rPr>
        <w:t>six-year longitudinal evidence</w:t>
      </w:r>
      <w:r w:rsidR="00264A55">
        <w:rPr>
          <w:rFonts w:ascii="Times New Roman" w:hAnsi="Times New Roman" w:cs="Times New Roman"/>
          <w:sz w:val="24"/>
          <w:szCs w:val="24"/>
        </w:rPr>
        <w:t xml:space="preserve"> </w:t>
      </w:r>
      <w:r w:rsidR="00EB3B81">
        <w:rPr>
          <w:rFonts w:ascii="Times New Roman" w:hAnsi="Times New Roman" w:cs="Times New Roman"/>
          <w:sz w:val="24"/>
          <w:szCs w:val="24"/>
        </w:rPr>
        <w:t>indicate</w:t>
      </w:r>
      <w:r w:rsidR="00264A55">
        <w:rPr>
          <w:rFonts w:ascii="Times New Roman" w:hAnsi="Times New Roman" w:cs="Times New Roman"/>
          <w:sz w:val="24"/>
          <w:szCs w:val="24"/>
        </w:rPr>
        <w:t>s</w:t>
      </w:r>
      <w:r w:rsidR="00EB3B81">
        <w:rPr>
          <w:rFonts w:ascii="Times New Roman" w:hAnsi="Times New Roman" w:cs="Times New Roman"/>
          <w:sz w:val="24"/>
          <w:szCs w:val="24"/>
        </w:rPr>
        <w:t xml:space="preserve"> that the levels of voluntary risk disclosure among UK HEIs are relatively low</w:t>
      </w:r>
      <w:r w:rsidR="00EB3B81" w:rsidRPr="00EB3B81">
        <w:rPr>
          <w:rFonts w:ascii="Times New Roman" w:hAnsi="Times New Roman" w:cs="Times New Roman"/>
          <w:sz w:val="24"/>
          <w:szCs w:val="24"/>
        </w:rPr>
        <w:t>, especially when compared to the findings of prior studies that have been conducted on similar-sized publicly traded organisations</w:t>
      </w:r>
      <w:r w:rsidR="00EB3B81">
        <w:rPr>
          <w:rFonts w:ascii="Times New Roman" w:hAnsi="Times New Roman" w:cs="Times New Roman"/>
          <w:sz w:val="24"/>
          <w:szCs w:val="24"/>
        </w:rPr>
        <w:t xml:space="preserve">. </w:t>
      </w:r>
      <w:r w:rsidR="005C4C9B" w:rsidRPr="00356ADA">
        <w:rPr>
          <w:rFonts w:ascii="Times New Roman" w:hAnsi="Times New Roman" w:cs="Times New Roman"/>
          <w:sz w:val="24"/>
          <w:szCs w:val="24"/>
        </w:rPr>
        <w:t xml:space="preserve">Second, our research contributes to past HE studies by offering evidence on the </w:t>
      </w:r>
      <w:r w:rsidR="00A00909" w:rsidRPr="00356ADA">
        <w:rPr>
          <w:rFonts w:ascii="Times New Roman" w:hAnsi="Times New Roman" w:cs="Times New Roman"/>
          <w:sz w:val="24"/>
          <w:szCs w:val="24"/>
        </w:rPr>
        <w:t xml:space="preserve">extent to which </w:t>
      </w:r>
      <w:r w:rsidR="00CD455C">
        <w:rPr>
          <w:rFonts w:ascii="Times New Roman" w:hAnsi="Times New Roman" w:cs="Times New Roman"/>
          <w:sz w:val="24"/>
          <w:szCs w:val="24"/>
        </w:rPr>
        <w:t xml:space="preserve">a composite </w:t>
      </w:r>
      <w:r w:rsidR="00DB2355" w:rsidRPr="00356ADA">
        <w:rPr>
          <w:rFonts w:ascii="Times New Roman" w:hAnsi="Times New Roman" w:cs="Times New Roman"/>
          <w:sz w:val="24"/>
          <w:szCs w:val="24"/>
        </w:rPr>
        <w:t>governance quality</w:t>
      </w:r>
      <w:r w:rsidR="00A00909" w:rsidRPr="00356ADA">
        <w:rPr>
          <w:rFonts w:ascii="Times New Roman" w:hAnsi="Times New Roman" w:cs="Times New Roman"/>
          <w:sz w:val="24"/>
          <w:szCs w:val="24"/>
        </w:rPr>
        <w:t xml:space="preserve"> can determine </w:t>
      </w:r>
      <w:r w:rsidR="005C4C9B" w:rsidRPr="00356ADA">
        <w:rPr>
          <w:rFonts w:ascii="Times New Roman" w:hAnsi="Times New Roman" w:cs="Times New Roman"/>
          <w:sz w:val="24"/>
          <w:szCs w:val="24"/>
        </w:rPr>
        <w:t>risk disclosure</w:t>
      </w:r>
      <w:r w:rsidR="003C2EBC">
        <w:rPr>
          <w:rFonts w:ascii="Times New Roman" w:hAnsi="Times New Roman" w:cs="Times New Roman"/>
          <w:sz w:val="24"/>
          <w:szCs w:val="24"/>
        </w:rPr>
        <w:t>s</w:t>
      </w:r>
      <w:r w:rsidR="005C4C9B" w:rsidRPr="00356ADA">
        <w:rPr>
          <w:rFonts w:ascii="Times New Roman" w:hAnsi="Times New Roman" w:cs="Times New Roman"/>
          <w:sz w:val="24"/>
          <w:szCs w:val="24"/>
        </w:rPr>
        <w:t xml:space="preserve"> </w:t>
      </w:r>
      <w:r w:rsidR="003C2EBC">
        <w:rPr>
          <w:rFonts w:ascii="Times New Roman" w:hAnsi="Times New Roman" w:cs="Times New Roman"/>
          <w:sz w:val="24"/>
          <w:szCs w:val="24"/>
        </w:rPr>
        <w:t xml:space="preserve">by </w:t>
      </w:r>
      <w:r w:rsidR="00987B5B">
        <w:rPr>
          <w:rFonts w:ascii="Times New Roman" w:hAnsi="Times New Roman" w:cs="Times New Roman"/>
          <w:sz w:val="24"/>
          <w:szCs w:val="24"/>
        </w:rPr>
        <w:t xml:space="preserve">UK </w:t>
      </w:r>
      <w:r w:rsidR="003C2EBC">
        <w:rPr>
          <w:rFonts w:ascii="Times New Roman" w:hAnsi="Times New Roman" w:cs="Times New Roman"/>
          <w:sz w:val="24"/>
          <w:szCs w:val="24"/>
        </w:rPr>
        <w:t>HEIs</w:t>
      </w:r>
      <w:r w:rsidR="00A00909" w:rsidRPr="00356ADA">
        <w:rPr>
          <w:rFonts w:ascii="Times New Roman" w:hAnsi="Times New Roman" w:cs="Times New Roman"/>
          <w:sz w:val="24"/>
          <w:szCs w:val="24"/>
        </w:rPr>
        <w:t xml:space="preserve"> in a period of increased funding constraints, regulatory changes and </w:t>
      </w:r>
      <w:r w:rsidR="007904FD" w:rsidRPr="00356ADA">
        <w:rPr>
          <w:rFonts w:ascii="Times New Roman" w:hAnsi="Times New Roman" w:cs="Times New Roman"/>
          <w:sz w:val="24"/>
          <w:szCs w:val="24"/>
        </w:rPr>
        <w:t>market</w:t>
      </w:r>
      <w:r w:rsidR="00A00909" w:rsidRPr="00356ADA">
        <w:rPr>
          <w:rFonts w:ascii="Times New Roman" w:hAnsi="Times New Roman" w:cs="Times New Roman"/>
          <w:sz w:val="24"/>
          <w:szCs w:val="24"/>
        </w:rPr>
        <w:t xml:space="preserve"> reforms</w:t>
      </w:r>
      <w:r w:rsidR="001D13A6" w:rsidRPr="00356ADA">
        <w:rPr>
          <w:rFonts w:ascii="Times New Roman" w:hAnsi="Times New Roman" w:cs="Times New Roman"/>
          <w:sz w:val="24"/>
          <w:szCs w:val="24"/>
        </w:rPr>
        <w:t xml:space="preserve"> (Browne, 2010; </w:t>
      </w:r>
      <w:r w:rsidR="00CD455C">
        <w:rPr>
          <w:rFonts w:ascii="Times New Roman" w:hAnsi="Times New Roman" w:cs="Times New Roman"/>
          <w:sz w:val="24"/>
          <w:szCs w:val="24"/>
        </w:rPr>
        <w:t>Augur, 2019</w:t>
      </w:r>
      <w:r w:rsidR="001D13A6" w:rsidRPr="00356ADA">
        <w:rPr>
          <w:rFonts w:ascii="Times New Roman" w:hAnsi="Times New Roman" w:cs="Times New Roman"/>
          <w:sz w:val="24"/>
          <w:szCs w:val="24"/>
        </w:rPr>
        <w:t>)</w:t>
      </w:r>
      <w:r w:rsidR="00A00909" w:rsidRPr="00356ADA">
        <w:rPr>
          <w:rFonts w:ascii="Times New Roman" w:hAnsi="Times New Roman" w:cs="Times New Roman"/>
          <w:sz w:val="24"/>
          <w:szCs w:val="24"/>
        </w:rPr>
        <w:t>.</w:t>
      </w:r>
      <w:r w:rsidR="00CA3068" w:rsidRPr="00CA3068">
        <w:rPr>
          <w:rFonts w:ascii="Times New Roman" w:hAnsi="Times New Roman" w:cs="Times New Roman"/>
          <w:sz w:val="24"/>
          <w:szCs w:val="24"/>
        </w:rPr>
        <w:t xml:space="preserve"> </w:t>
      </w:r>
      <w:r w:rsidR="00264A55">
        <w:rPr>
          <w:rFonts w:ascii="Times New Roman" w:hAnsi="Times New Roman" w:cs="Times New Roman"/>
          <w:sz w:val="24"/>
          <w:szCs w:val="24"/>
        </w:rPr>
        <w:t xml:space="preserve">Using </w:t>
      </w:r>
      <w:r w:rsidR="00997E10" w:rsidRPr="00997E10">
        <w:rPr>
          <w:rFonts w:ascii="Times New Roman" w:hAnsi="Times New Roman" w:cs="Times New Roman"/>
          <w:sz w:val="24"/>
          <w:szCs w:val="24"/>
        </w:rPr>
        <w:t xml:space="preserve">multivariate </w:t>
      </w:r>
      <w:r w:rsidR="00264A55">
        <w:rPr>
          <w:rFonts w:ascii="Times New Roman" w:hAnsi="Times New Roman" w:cs="Times New Roman"/>
          <w:sz w:val="24"/>
          <w:szCs w:val="24"/>
        </w:rPr>
        <w:t>regression analysis</w:t>
      </w:r>
      <w:r w:rsidR="00A85D46">
        <w:rPr>
          <w:rFonts w:ascii="Times New Roman" w:hAnsi="Times New Roman" w:cs="Times New Roman"/>
          <w:sz w:val="24"/>
          <w:szCs w:val="24"/>
        </w:rPr>
        <w:t xml:space="preserve"> technique</w:t>
      </w:r>
      <w:r w:rsidR="00264A55">
        <w:rPr>
          <w:rFonts w:ascii="Times New Roman" w:hAnsi="Times New Roman" w:cs="Times New Roman"/>
          <w:sz w:val="24"/>
          <w:szCs w:val="24"/>
        </w:rPr>
        <w:t>, w</w:t>
      </w:r>
      <w:r w:rsidR="00CA3068" w:rsidRPr="00CA3068">
        <w:rPr>
          <w:rFonts w:ascii="Times New Roman" w:hAnsi="Times New Roman" w:cs="Times New Roman"/>
          <w:sz w:val="24"/>
          <w:szCs w:val="24"/>
        </w:rPr>
        <w:t>e find that</w:t>
      </w:r>
      <w:r w:rsidR="00F52DED">
        <w:rPr>
          <w:rFonts w:ascii="Times New Roman" w:hAnsi="Times New Roman" w:cs="Times New Roman"/>
          <w:sz w:val="24"/>
          <w:szCs w:val="24"/>
        </w:rPr>
        <w:t>, on average,</w:t>
      </w:r>
      <w:r w:rsidR="00CA3068" w:rsidRPr="00CA3068">
        <w:rPr>
          <w:rFonts w:ascii="Times New Roman" w:hAnsi="Times New Roman" w:cs="Times New Roman"/>
          <w:sz w:val="24"/>
          <w:szCs w:val="24"/>
        </w:rPr>
        <w:t xml:space="preserve"> better-governed UK HEIs tend to engage in higher levels of risk disclosures</w:t>
      </w:r>
      <w:r w:rsidR="00CA3068">
        <w:rPr>
          <w:rFonts w:ascii="Times New Roman" w:hAnsi="Times New Roman" w:cs="Times New Roman"/>
          <w:sz w:val="24"/>
          <w:szCs w:val="24"/>
        </w:rPr>
        <w:t>.</w:t>
      </w:r>
      <w:r w:rsidR="006C5251" w:rsidRPr="00356ADA">
        <w:rPr>
          <w:rFonts w:ascii="Times New Roman" w:hAnsi="Times New Roman" w:cs="Times New Roman"/>
          <w:sz w:val="24"/>
          <w:szCs w:val="24"/>
        </w:rPr>
        <w:t xml:space="preserve"> </w:t>
      </w:r>
      <w:r w:rsidR="005C7558" w:rsidRPr="00356ADA">
        <w:rPr>
          <w:rFonts w:ascii="Times New Roman" w:hAnsi="Times New Roman" w:cs="Times New Roman"/>
          <w:sz w:val="24"/>
          <w:szCs w:val="24"/>
        </w:rPr>
        <w:t>Finally</w:t>
      </w:r>
      <w:r w:rsidR="001D13A6" w:rsidRPr="00356ADA">
        <w:rPr>
          <w:rFonts w:ascii="Times New Roman" w:hAnsi="Times New Roman" w:cs="Times New Roman"/>
          <w:sz w:val="24"/>
          <w:szCs w:val="24"/>
        </w:rPr>
        <w:t xml:space="preserve">, </w:t>
      </w:r>
      <w:r w:rsidR="00EB2519" w:rsidRPr="00356ADA">
        <w:rPr>
          <w:rFonts w:ascii="Times New Roman" w:hAnsi="Times New Roman" w:cs="Times New Roman"/>
          <w:sz w:val="24"/>
          <w:szCs w:val="24"/>
        </w:rPr>
        <w:t xml:space="preserve">traditional </w:t>
      </w:r>
      <w:r w:rsidR="00E24AB1" w:rsidRPr="00356ADA">
        <w:rPr>
          <w:rFonts w:ascii="Times New Roman" w:hAnsi="Times New Roman" w:cs="Times New Roman"/>
          <w:sz w:val="24"/>
          <w:szCs w:val="24"/>
        </w:rPr>
        <w:t xml:space="preserve">HEI </w:t>
      </w:r>
      <w:r w:rsidR="00EB2519" w:rsidRPr="00356ADA">
        <w:rPr>
          <w:rFonts w:ascii="Times New Roman" w:hAnsi="Times New Roman" w:cs="Times New Roman"/>
          <w:sz w:val="24"/>
          <w:szCs w:val="24"/>
        </w:rPr>
        <w:t xml:space="preserve">governance structures have a </w:t>
      </w:r>
      <w:r w:rsidR="000415DC" w:rsidRPr="00356ADA">
        <w:rPr>
          <w:rFonts w:ascii="Times New Roman" w:hAnsi="Times New Roman" w:cs="Times New Roman"/>
          <w:sz w:val="24"/>
          <w:szCs w:val="24"/>
        </w:rPr>
        <w:t>“</w:t>
      </w:r>
      <w:r w:rsidR="00EB2519" w:rsidRPr="00356ADA">
        <w:rPr>
          <w:rFonts w:ascii="Times New Roman" w:hAnsi="Times New Roman" w:cs="Times New Roman"/>
          <w:sz w:val="24"/>
          <w:szCs w:val="24"/>
        </w:rPr>
        <w:t>shared</w:t>
      </w:r>
      <w:r w:rsidR="000415DC" w:rsidRPr="00356ADA">
        <w:rPr>
          <w:rFonts w:ascii="Times New Roman" w:hAnsi="Times New Roman" w:cs="Times New Roman"/>
          <w:sz w:val="24"/>
          <w:szCs w:val="24"/>
        </w:rPr>
        <w:t>”</w:t>
      </w:r>
      <w:r w:rsidR="00EB2519" w:rsidRPr="00356ADA">
        <w:rPr>
          <w:rFonts w:ascii="Times New Roman" w:hAnsi="Times New Roman" w:cs="Times New Roman"/>
          <w:sz w:val="24"/>
          <w:szCs w:val="24"/>
        </w:rPr>
        <w:t xml:space="preserve"> origins,</w:t>
      </w:r>
      <w:r w:rsidR="000415DC" w:rsidRPr="00356ADA">
        <w:rPr>
          <w:rFonts w:ascii="Times New Roman" w:hAnsi="Times New Roman" w:cs="Times New Roman"/>
          <w:sz w:val="24"/>
          <w:szCs w:val="24"/>
        </w:rPr>
        <w:t xml:space="preserve"> requiring </w:t>
      </w:r>
      <w:r w:rsidR="00EB2519" w:rsidRPr="00356ADA">
        <w:rPr>
          <w:rFonts w:ascii="Times New Roman" w:hAnsi="Times New Roman" w:cs="Times New Roman"/>
          <w:sz w:val="24"/>
          <w:szCs w:val="24"/>
        </w:rPr>
        <w:t>close</w:t>
      </w:r>
      <w:r w:rsidR="00CE73BB">
        <w:rPr>
          <w:rFonts w:ascii="Times New Roman" w:hAnsi="Times New Roman" w:cs="Times New Roman"/>
          <w:sz w:val="24"/>
          <w:szCs w:val="24"/>
        </w:rPr>
        <w:t>/smooth</w:t>
      </w:r>
      <w:r w:rsidR="00EB2519" w:rsidRPr="00356ADA">
        <w:rPr>
          <w:rFonts w:ascii="Times New Roman" w:hAnsi="Times New Roman" w:cs="Times New Roman"/>
          <w:sz w:val="24"/>
          <w:szCs w:val="24"/>
        </w:rPr>
        <w:t xml:space="preserve"> interactions among </w:t>
      </w:r>
      <w:r w:rsidR="000415DC" w:rsidRPr="00356ADA">
        <w:rPr>
          <w:rFonts w:ascii="Times New Roman" w:hAnsi="Times New Roman" w:cs="Times New Roman"/>
          <w:sz w:val="24"/>
          <w:szCs w:val="24"/>
        </w:rPr>
        <w:t xml:space="preserve">three major HEIs’ </w:t>
      </w:r>
      <w:r w:rsidR="00CE73BB">
        <w:rPr>
          <w:rFonts w:ascii="Times New Roman" w:hAnsi="Times New Roman" w:cs="Times New Roman"/>
          <w:sz w:val="24"/>
          <w:szCs w:val="24"/>
        </w:rPr>
        <w:t xml:space="preserve">governance </w:t>
      </w:r>
      <w:r w:rsidR="000415DC" w:rsidRPr="00356ADA">
        <w:rPr>
          <w:rFonts w:ascii="Times New Roman" w:hAnsi="Times New Roman" w:cs="Times New Roman"/>
          <w:sz w:val="24"/>
          <w:szCs w:val="24"/>
        </w:rPr>
        <w:t xml:space="preserve">organs, consisting of the university council (governing board), the academic arm (senate) and the </w:t>
      </w:r>
      <w:r w:rsidR="000415DC" w:rsidRPr="00356ADA">
        <w:rPr>
          <w:rFonts w:ascii="Times New Roman" w:hAnsi="Times New Roman" w:cs="Times New Roman"/>
          <w:sz w:val="24"/>
          <w:szCs w:val="24"/>
        </w:rPr>
        <w:lastRenderedPageBreak/>
        <w:t>vice-chancery (senior management team) in order to be successful</w:t>
      </w:r>
      <w:r w:rsidR="00DC5FE8" w:rsidRPr="00356ADA">
        <w:rPr>
          <w:rFonts w:ascii="Times New Roman" w:hAnsi="Times New Roman" w:cs="Times New Roman"/>
          <w:sz w:val="24"/>
          <w:szCs w:val="24"/>
        </w:rPr>
        <w:t xml:space="preserve">. </w:t>
      </w:r>
      <w:r w:rsidR="003E2A04" w:rsidRPr="00356ADA">
        <w:rPr>
          <w:rFonts w:ascii="Times New Roman" w:hAnsi="Times New Roman" w:cs="Times New Roman"/>
          <w:sz w:val="24"/>
          <w:szCs w:val="24"/>
        </w:rPr>
        <w:t xml:space="preserve">However, with increasing </w:t>
      </w:r>
      <w:r w:rsidR="00DC5FE8" w:rsidRPr="00356ADA">
        <w:rPr>
          <w:rFonts w:ascii="Times New Roman" w:hAnsi="Times New Roman" w:cs="Times New Roman"/>
          <w:sz w:val="24"/>
          <w:szCs w:val="24"/>
        </w:rPr>
        <w:t xml:space="preserve">competition, ‘corporatisation’ and managerialism in HEIs (Parker, 2012; Soobaroyen et al., 2014), the “shared” governance model is under severe risk. </w:t>
      </w:r>
      <w:r w:rsidR="00E349CF" w:rsidRPr="00356ADA">
        <w:rPr>
          <w:rFonts w:ascii="Times New Roman" w:hAnsi="Times New Roman" w:cs="Times New Roman"/>
          <w:sz w:val="24"/>
          <w:szCs w:val="24"/>
        </w:rPr>
        <w:t>Therefore</w:t>
      </w:r>
      <w:r w:rsidR="009166DF">
        <w:rPr>
          <w:rFonts w:ascii="Times New Roman" w:hAnsi="Times New Roman" w:cs="Times New Roman"/>
          <w:sz w:val="24"/>
          <w:szCs w:val="24"/>
        </w:rPr>
        <w:t>,</w:t>
      </w:r>
      <w:r w:rsidR="00E349CF" w:rsidRPr="00356ADA">
        <w:rPr>
          <w:rFonts w:ascii="Times New Roman" w:hAnsi="Times New Roman" w:cs="Times New Roman"/>
          <w:sz w:val="24"/>
          <w:szCs w:val="24"/>
        </w:rPr>
        <w:t xml:space="preserve"> and s</w:t>
      </w:r>
      <w:r w:rsidR="00DC5FE8" w:rsidRPr="00356ADA">
        <w:rPr>
          <w:rFonts w:ascii="Times New Roman" w:hAnsi="Times New Roman" w:cs="Times New Roman"/>
          <w:sz w:val="24"/>
          <w:szCs w:val="24"/>
        </w:rPr>
        <w:t>purred on by the assumption</w:t>
      </w:r>
      <w:r w:rsidR="00E349CF" w:rsidRPr="00356ADA">
        <w:rPr>
          <w:rFonts w:ascii="Times New Roman" w:hAnsi="Times New Roman" w:cs="Times New Roman"/>
          <w:sz w:val="24"/>
          <w:szCs w:val="24"/>
        </w:rPr>
        <w:t>s</w:t>
      </w:r>
      <w:r w:rsidR="00DC5FE8" w:rsidRPr="00356ADA">
        <w:rPr>
          <w:rFonts w:ascii="Times New Roman" w:hAnsi="Times New Roman" w:cs="Times New Roman"/>
          <w:sz w:val="24"/>
          <w:szCs w:val="24"/>
        </w:rPr>
        <w:t xml:space="preserve"> underlying the “shared” governance model, we contend that </w:t>
      </w:r>
      <w:r w:rsidR="00DB2355" w:rsidRPr="00356ADA">
        <w:rPr>
          <w:rFonts w:ascii="Times New Roman" w:hAnsi="Times New Roman" w:cs="Times New Roman"/>
          <w:sz w:val="24"/>
          <w:szCs w:val="24"/>
        </w:rPr>
        <w:t>governance quality</w:t>
      </w:r>
      <w:r w:rsidR="00DC5FE8" w:rsidRPr="00356ADA">
        <w:rPr>
          <w:rFonts w:ascii="Times New Roman" w:hAnsi="Times New Roman" w:cs="Times New Roman"/>
          <w:sz w:val="24"/>
          <w:szCs w:val="24"/>
        </w:rPr>
        <w:t xml:space="preserve"> </w:t>
      </w:r>
      <w:r w:rsidR="005753F2" w:rsidRPr="00356ADA">
        <w:rPr>
          <w:rFonts w:ascii="Times New Roman" w:hAnsi="Times New Roman" w:cs="Times New Roman"/>
          <w:sz w:val="24"/>
          <w:szCs w:val="24"/>
        </w:rPr>
        <w:t xml:space="preserve">influence on </w:t>
      </w:r>
      <w:r w:rsidR="00DC5FE8" w:rsidRPr="00356ADA">
        <w:rPr>
          <w:rFonts w:ascii="Times New Roman" w:hAnsi="Times New Roman" w:cs="Times New Roman"/>
          <w:sz w:val="24"/>
          <w:szCs w:val="24"/>
        </w:rPr>
        <w:t>risk disclosures</w:t>
      </w:r>
      <w:r w:rsidR="00881A7B" w:rsidRPr="00356ADA">
        <w:rPr>
          <w:rFonts w:ascii="Times New Roman" w:hAnsi="Times New Roman" w:cs="Times New Roman"/>
          <w:sz w:val="24"/>
          <w:szCs w:val="24"/>
        </w:rPr>
        <w:t xml:space="preserve"> in HEIs</w:t>
      </w:r>
      <w:r w:rsidR="00DC5FE8" w:rsidRPr="00356ADA">
        <w:rPr>
          <w:rFonts w:ascii="Times New Roman" w:hAnsi="Times New Roman" w:cs="Times New Roman"/>
          <w:sz w:val="24"/>
          <w:szCs w:val="24"/>
        </w:rPr>
        <w:t xml:space="preserve"> may be improved when the three governance structures are interacted together instead of </w:t>
      </w:r>
      <w:r w:rsidR="005C7558" w:rsidRPr="00356ADA">
        <w:rPr>
          <w:rFonts w:ascii="Times New Roman" w:hAnsi="Times New Roman" w:cs="Times New Roman"/>
          <w:sz w:val="24"/>
          <w:szCs w:val="24"/>
        </w:rPr>
        <w:t xml:space="preserve">operating </w:t>
      </w:r>
      <w:r w:rsidR="00DC5FE8" w:rsidRPr="00356ADA">
        <w:rPr>
          <w:rFonts w:ascii="Times New Roman" w:hAnsi="Times New Roman" w:cs="Times New Roman"/>
          <w:sz w:val="24"/>
          <w:szCs w:val="24"/>
        </w:rPr>
        <w:t xml:space="preserve">individually. </w:t>
      </w:r>
      <w:r w:rsidR="005C7558" w:rsidRPr="00356ADA">
        <w:rPr>
          <w:rFonts w:ascii="Times New Roman" w:hAnsi="Times New Roman" w:cs="Times New Roman"/>
          <w:sz w:val="24"/>
          <w:szCs w:val="24"/>
        </w:rPr>
        <w:t xml:space="preserve">Thus, </w:t>
      </w:r>
      <w:r w:rsidR="00E24AB1" w:rsidRPr="00356ADA">
        <w:rPr>
          <w:rFonts w:ascii="Times New Roman" w:hAnsi="Times New Roman" w:cs="Times New Roman"/>
          <w:sz w:val="24"/>
          <w:szCs w:val="24"/>
        </w:rPr>
        <w:t xml:space="preserve">our study contributes to the extant research by </w:t>
      </w:r>
      <w:r w:rsidR="005C7558" w:rsidRPr="00356ADA">
        <w:rPr>
          <w:rFonts w:ascii="Times New Roman" w:hAnsi="Times New Roman" w:cs="Times New Roman"/>
          <w:sz w:val="24"/>
          <w:szCs w:val="24"/>
        </w:rPr>
        <w:t xml:space="preserve">offering new evidence on </w:t>
      </w:r>
      <w:r w:rsidR="00E24AB1" w:rsidRPr="00356ADA">
        <w:rPr>
          <w:rFonts w:ascii="Times New Roman" w:hAnsi="Times New Roman" w:cs="Times New Roman"/>
          <w:sz w:val="24"/>
          <w:szCs w:val="24"/>
        </w:rPr>
        <w:t xml:space="preserve">whether </w:t>
      </w:r>
      <w:r w:rsidR="009637AC" w:rsidRPr="00356ADA">
        <w:rPr>
          <w:rFonts w:ascii="Times New Roman" w:hAnsi="Times New Roman" w:cs="Times New Roman"/>
          <w:sz w:val="24"/>
          <w:szCs w:val="24"/>
        </w:rPr>
        <w:t xml:space="preserve">the </w:t>
      </w:r>
      <w:r w:rsidR="00933AE5" w:rsidRPr="00356ADA">
        <w:rPr>
          <w:rFonts w:ascii="Times New Roman" w:hAnsi="Times New Roman" w:cs="Times New Roman"/>
          <w:sz w:val="24"/>
          <w:szCs w:val="24"/>
        </w:rPr>
        <w:t xml:space="preserve">characteristics of </w:t>
      </w:r>
      <w:r w:rsidR="00E24AB1" w:rsidRPr="00356ADA">
        <w:rPr>
          <w:rFonts w:ascii="Times New Roman" w:hAnsi="Times New Roman" w:cs="Times New Roman"/>
          <w:sz w:val="24"/>
          <w:szCs w:val="24"/>
        </w:rPr>
        <w:t>HEI</w:t>
      </w:r>
      <w:r w:rsidR="00933AE5" w:rsidRPr="00356ADA">
        <w:rPr>
          <w:rFonts w:ascii="Times New Roman" w:hAnsi="Times New Roman" w:cs="Times New Roman"/>
          <w:sz w:val="24"/>
          <w:szCs w:val="24"/>
        </w:rPr>
        <w:t>s’</w:t>
      </w:r>
      <w:r w:rsidR="00E24AB1" w:rsidRPr="00356ADA">
        <w:rPr>
          <w:rFonts w:ascii="Times New Roman" w:hAnsi="Times New Roman" w:cs="Times New Roman"/>
          <w:sz w:val="24"/>
          <w:szCs w:val="24"/>
        </w:rPr>
        <w:t xml:space="preserve"> </w:t>
      </w:r>
      <w:r w:rsidR="009637AC" w:rsidRPr="00356ADA">
        <w:rPr>
          <w:rFonts w:ascii="Times New Roman" w:hAnsi="Times New Roman" w:cs="Times New Roman"/>
          <w:sz w:val="24"/>
          <w:szCs w:val="24"/>
        </w:rPr>
        <w:t>senior management team moderate the internal governance</w:t>
      </w:r>
      <w:r w:rsidR="00E95F23">
        <w:rPr>
          <w:rFonts w:ascii="Times New Roman" w:hAnsi="Times New Roman" w:cs="Times New Roman"/>
          <w:sz w:val="24"/>
          <w:szCs w:val="24"/>
        </w:rPr>
        <w:t xml:space="preserve"> quality</w:t>
      </w:r>
      <w:r w:rsidR="00671986" w:rsidRPr="00356ADA">
        <w:rPr>
          <w:rFonts w:ascii="Times New Roman" w:hAnsi="Times New Roman" w:cs="Times New Roman"/>
          <w:sz w:val="24"/>
          <w:szCs w:val="24"/>
        </w:rPr>
        <w:t>–</w:t>
      </w:r>
      <w:r w:rsidR="009637AC" w:rsidRPr="00356ADA">
        <w:rPr>
          <w:rFonts w:ascii="Times New Roman" w:hAnsi="Times New Roman" w:cs="Times New Roman"/>
          <w:sz w:val="24"/>
          <w:szCs w:val="24"/>
        </w:rPr>
        <w:t>risk disclosure nexus.</w:t>
      </w:r>
      <w:r w:rsidR="005C7558" w:rsidRPr="00356ADA">
        <w:rPr>
          <w:rFonts w:ascii="Times New Roman" w:hAnsi="Times New Roman" w:cs="Times New Roman"/>
          <w:sz w:val="24"/>
          <w:szCs w:val="24"/>
        </w:rPr>
        <w:t xml:space="preserve"> </w:t>
      </w:r>
      <w:r w:rsidR="00CA3068">
        <w:rPr>
          <w:rFonts w:ascii="Times New Roman" w:hAnsi="Times New Roman" w:cs="Times New Roman"/>
          <w:sz w:val="24"/>
          <w:szCs w:val="24"/>
        </w:rPr>
        <w:t xml:space="preserve">Our </w:t>
      </w:r>
      <w:r w:rsidR="00D007DC">
        <w:rPr>
          <w:rFonts w:ascii="Times New Roman" w:hAnsi="Times New Roman" w:cs="Times New Roman"/>
          <w:sz w:val="24"/>
          <w:szCs w:val="24"/>
        </w:rPr>
        <w:t xml:space="preserve">multivariate </w:t>
      </w:r>
      <w:r w:rsidR="00284FFE">
        <w:rPr>
          <w:rFonts w:ascii="Times New Roman" w:hAnsi="Times New Roman" w:cs="Times New Roman"/>
          <w:sz w:val="24"/>
          <w:szCs w:val="24"/>
        </w:rPr>
        <w:t xml:space="preserve">regression </w:t>
      </w:r>
      <w:r w:rsidR="00CA3068">
        <w:rPr>
          <w:rFonts w:ascii="Times New Roman" w:hAnsi="Times New Roman" w:cs="Times New Roman"/>
          <w:sz w:val="24"/>
          <w:szCs w:val="24"/>
        </w:rPr>
        <w:t xml:space="preserve">evidence shows that the </w:t>
      </w:r>
      <w:r w:rsidR="00E22B09">
        <w:rPr>
          <w:rFonts w:ascii="Times New Roman" w:hAnsi="Times New Roman" w:cs="Times New Roman"/>
          <w:sz w:val="24"/>
          <w:szCs w:val="24"/>
        </w:rPr>
        <w:t xml:space="preserve">governance quality-risk disclosures relationship is moderated/explained largely by the </w:t>
      </w:r>
      <w:r w:rsidR="00E22B09" w:rsidRPr="00E22B09">
        <w:rPr>
          <w:rFonts w:ascii="Times New Roman" w:hAnsi="Times New Roman" w:cs="Times New Roman"/>
          <w:sz w:val="24"/>
          <w:szCs w:val="24"/>
        </w:rPr>
        <w:t>characteristics of HEIs’ senior management team</w:t>
      </w:r>
      <w:r w:rsidR="00E22B09">
        <w:rPr>
          <w:rFonts w:ascii="Times New Roman" w:hAnsi="Times New Roman" w:cs="Times New Roman"/>
          <w:sz w:val="24"/>
          <w:szCs w:val="24"/>
        </w:rPr>
        <w:t>.</w:t>
      </w:r>
    </w:p>
    <w:p w14:paraId="626A608A" w14:textId="7310AD25" w:rsidR="002104EC" w:rsidRDefault="00E24AB1" w:rsidP="007B5D1F">
      <w:pPr>
        <w:spacing w:after="0" w:line="240" w:lineRule="auto"/>
        <w:ind w:firstLine="720"/>
        <w:jc w:val="both"/>
        <w:rPr>
          <w:rFonts w:ascii="Times New Roman" w:hAnsi="Times New Roman" w:cs="Times New Roman"/>
          <w:sz w:val="24"/>
          <w:szCs w:val="24"/>
        </w:rPr>
      </w:pPr>
      <w:r w:rsidRPr="00356ADA">
        <w:rPr>
          <w:rFonts w:ascii="Times New Roman" w:hAnsi="Times New Roman" w:cs="Times New Roman"/>
          <w:sz w:val="24"/>
          <w:szCs w:val="24"/>
        </w:rPr>
        <w:t xml:space="preserve">The remaining sections of this paper are organised as follows. </w:t>
      </w:r>
      <w:r w:rsidR="00336C0D" w:rsidRPr="00336C0D">
        <w:rPr>
          <w:rFonts w:ascii="Times New Roman" w:hAnsi="Times New Roman" w:cs="Times New Roman"/>
          <w:sz w:val="24"/>
          <w:szCs w:val="24"/>
        </w:rPr>
        <w:t>The next section will discuss governance, risk management, regulations and disclosure framework within UK HEIs</w:t>
      </w:r>
      <w:r w:rsidR="00336C0D">
        <w:rPr>
          <w:rFonts w:ascii="Times New Roman" w:hAnsi="Times New Roman" w:cs="Times New Roman"/>
          <w:sz w:val="24"/>
          <w:szCs w:val="24"/>
        </w:rPr>
        <w:t xml:space="preserve">. </w:t>
      </w:r>
      <w:r w:rsidRPr="00356ADA">
        <w:rPr>
          <w:rFonts w:ascii="Times New Roman" w:hAnsi="Times New Roman" w:cs="Times New Roman"/>
          <w:sz w:val="24"/>
          <w:szCs w:val="24"/>
        </w:rPr>
        <w:t xml:space="preserve">The </w:t>
      </w:r>
      <w:r w:rsidR="00336C0D">
        <w:rPr>
          <w:rFonts w:ascii="Times New Roman" w:hAnsi="Times New Roman" w:cs="Times New Roman"/>
          <w:sz w:val="24"/>
          <w:szCs w:val="24"/>
        </w:rPr>
        <w:t>following</w:t>
      </w:r>
      <w:r w:rsidR="00336C0D" w:rsidRPr="00356ADA">
        <w:rPr>
          <w:rFonts w:ascii="Times New Roman" w:hAnsi="Times New Roman" w:cs="Times New Roman"/>
          <w:sz w:val="24"/>
          <w:szCs w:val="24"/>
        </w:rPr>
        <w:t xml:space="preserve"> </w:t>
      </w:r>
      <w:r w:rsidRPr="00356ADA">
        <w:rPr>
          <w:rFonts w:ascii="Times New Roman" w:hAnsi="Times New Roman" w:cs="Times New Roman"/>
          <w:sz w:val="24"/>
          <w:szCs w:val="24"/>
        </w:rPr>
        <w:t xml:space="preserve">sections will outline the theoretical underpinnings of the study, review the empirical literature and develop hypotheses, present the methodology, and report and discuss the empirical findings, whilst the final section concludes the paper. </w:t>
      </w:r>
    </w:p>
    <w:p w14:paraId="61CF553F" w14:textId="77777777" w:rsidR="001E01A1" w:rsidRPr="007B5D1F" w:rsidRDefault="001E01A1" w:rsidP="001E01A1">
      <w:pPr>
        <w:spacing w:line="240" w:lineRule="auto"/>
        <w:ind w:firstLine="720"/>
        <w:jc w:val="both"/>
        <w:rPr>
          <w:rFonts w:ascii="Times New Roman" w:hAnsi="Times New Roman" w:cs="Times New Roman"/>
          <w:sz w:val="20"/>
          <w:szCs w:val="20"/>
        </w:rPr>
      </w:pPr>
    </w:p>
    <w:p w14:paraId="5C034CE2" w14:textId="77777777" w:rsidR="00F63301" w:rsidRPr="00F63301" w:rsidRDefault="00F63301" w:rsidP="00E1407C">
      <w:pPr>
        <w:pStyle w:val="ListParagraph"/>
        <w:numPr>
          <w:ilvl w:val="0"/>
          <w:numId w:val="21"/>
        </w:numPr>
        <w:spacing w:after="0" w:line="240" w:lineRule="auto"/>
        <w:ind w:left="284" w:hanging="284"/>
        <w:rPr>
          <w:rFonts w:ascii="Times New Roman" w:hAnsi="Times New Roman" w:cs="Times New Roman"/>
          <w:b/>
          <w:sz w:val="24"/>
          <w:szCs w:val="24"/>
        </w:rPr>
      </w:pPr>
      <w:r w:rsidRPr="00F63301">
        <w:rPr>
          <w:rFonts w:ascii="Times New Roman" w:hAnsi="Times New Roman" w:cs="Times New Roman"/>
          <w:b/>
          <w:sz w:val="24"/>
          <w:szCs w:val="24"/>
        </w:rPr>
        <w:t>Governance, risk management, regulations and disclosure framework in UK HEIs</w:t>
      </w:r>
    </w:p>
    <w:p w14:paraId="5E932FD8" w14:textId="77777777" w:rsidR="002104EC" w:rsidRDefault="002104EC" w:rsidP="005E106F">
      <w:pPr>
        <w:spacing w:after="0" w:line="240" w:lineRule="auto"/>
        <w:jc w:val="both"/>
        <w:rPr>
          <w:rFonts w:ascii="Times New Roman" w:hAnsi="Times New Roman" w:cs="Times New Roman"/>
          <w:sz w:val="24"/>
          <w:szCs w:val="24"/>
        </w:rPr>
      </w:pPr>
    </w:p>
    <w:p w14:paraId="09FBC3B7" w14:textId="1599FD67" w:rsidR="00F63301" w:rsidRPr="00F63301" w:rsidRDefault="008B4904" w:rsidP="00E804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F63301" w:rsidRPr="00F63301">
        <w:rPr>
          <w:rFonts w:ascii="Times New Roman" w:hAnsi="Times New Roman" w:cs="Times New Roman"/>
          <w:sz w:val="24"/>
          <w:szCs w:val="24"/>
        </w:rPr>
        <w:t>he UK HE sector regulatory bodies have issued several best practice regulations relating to good risk management and governance for use by UK HEIs (e.g., Higher Education Funding Council – HEFCE, 2001, now replaced by the Office for Students - O</w:t>
      </w:r>
      <w:r w:rsidR="007C40D4">
        <w:rPr>
          <w:rFonts w:ascii="Times New Roman" w:hAnsi="Times New Roman" w:cs="Times New Roman"/>
          <w:sz w:val="24"/>
          <w:szCs w:val="24"/>
        </w:rPr>
        <w:t>f</w:t>
      </w:r>
      <w:r w:rsidR="00F63301" w:rsidRPr="00F63301">
        <w:rPr>
          <w:rFonts w:ascii="Times New Roman" w:hAnsi="Times New Roman" w:cs="Times New Roman"/>
          <w:sz w:val="24"/>
          <w:szCs w:val="24"/>
        </w:rPr>
        <w:t xml:space="preserve">S; Committee of University Chairs – CUC, </w:t>
      </w:r>
      <w:r w:rsidR="00605A1A">
        <w:rPr>
          <w:rFonts w:ascii="Times New Roman" w:hAnsi="Times New Roman" w:cs="Times New Roman"/>
          <w:sz w:val="24"/>
          <w:szCs w:val="24"/>
        </w:rPr>
        <w:t xml:space="preserve">2006, </w:t>
      </w:r>
      <w:r w:rsidR="00F63301" w:rsidRPr="00F63301">
        <w:rPr>
          <w:rFonts w:ascii="Times New Roman" w:hAnsi="Times New Roman" w:cs="Times New Roman"/>
          <w:sz w:val="24"/>
          <w:szCs w:val="24"/>
        </w:rPr>
        <w:t>2008, 2009</w:t>
      </w:r>
      <w:r w:rsidR="0028060F">
        <w:rPr>
          <w:rFonts w:ascii="Times New Roman" w:hAnsi="Times New Roman" w:cs="Times New Roman"/>
          <w:sz w:val="24"/>
          <w:szCs w:val="24"/>
        </w:rPr>
        <w:t xml:space="preserve">, </w:t>
      </w:r>
      <w:r w:rsidR="00412B41">
        <w:rPr>
          <w:rFonts w:ascii="Times New Roman" w:hAnsi="Times New Roman" w:cs="Times New Roman"/>
          <w:sz w:val="24"/>
          <w:szCs w:val="24"/>
        </w:rPr>
        <w:t>2013</w:t>
      </w:r>
      <w:r w:rsidR="00304F34">
        <w:rPr>
          <w:rFonts w:ascii="Times New Roman" w:hAnsi="Times New Roman" w:cs="Times New Roman"/>
          <w:sz w:val="24"/>
          <w:szCs w:val="24"/>
        </w:rPr>
        <w:t xml:space="preserve"> and</w:t>
      </w:r>
      <w:r w:rsidR="00412B41">
        <w:rPr>
          <w:rFonts w:ascii="Times New Roman" w:hAnsi="Times New Roman" w:cs="Times New Roman"/>
          <w:sz w:val="24"/>
          <w:szCs w:val="24"/>
        </w:rPr>
        <w:t xml:space="preserve"> </w:t>
      </w:r>
      <w:r w:rsidR="00F63301" w:rsidRPr="00F63301">
        <w:rPr>
          <w:rFonts w:ascii="Times New Roman" w:hAnsi="Times New Roman" w:cs="Times New Roman"/>
          <w:sz w:val="24"/>
          <w:szCs w:val="24"/>
        </w:rPr>
        <w:t>2014; Leadership Foundation for Higher Education – LFHE</w:t>
      </w:r>
      <w:r w:rsidR="008D602E">
        <w:rPr>
          <w:rFonts w:ascii="Times New Roman" w:hAnsi="Times New Roman" w:cs="Times New Roman"/>
          <w:sz w:val="24"/>
          <w:szCs w:val="24"/>
        </w:rPr>
        <w:t>, now Advance HE</w:t>
      </w:r>
      <w:r w:rsidR="00F63301" w:rsidRPr="00F63301">
        <w:rPr>
          <w:rFonts w:ascii="Times New Roman" w:hAnsi="Times New Roman" w:cs="Times New Roman"/>
          <w:sz w:val="24"/>
          <w:szCs w:val="24"/>
        </w:rPr>
        <w:t>, 2009; Committee of Scottish Chairs – CSC, 2013). Thus, this study focuses on two types of best practice regulatory documents, those relating to good: (i) governance; and (ii) risk management, practices. In terms of best governance practices, we relied on the existing literature in addition to the following documents: (i) 2009, 2013</w:t>
      </w:r>
      <w:r w:rsidR="003A56E4">
        <w:rPr>
          <w:rFonts w:ascii="Times New Roman" w:hAnsi="Times New Roman" w:cs="Times New Roman"/>
          <w:sz w:val="24"/>
          <w:szCs w:val="24"/>
        </w:rPr>
        <w:t xml:space="preserve"> and</w:t>
      </w:r>
      <w:r w:rsidR="00F63301" w:rsidRPr="00F63301">
        <w:rPr>
          <w:rFonts w:ascii="Times New Roman" w:hAnsi="Times New Roman" w:cs="Times New Roman"/>
          <w:sz w:val="24"/>
          <w:szCs w:val="24"/>
        </w:rPr>
        <w:t xml:space="preserve"> 2014</w:t>
      </w:r>
      <w:r w:rsidR="001A122B">
        <w:rPr>
          <w:rFonts w:ascii="Times New Roman" w:hAnsi="Times New Roman" w:cs="Times New Roman"/>
          <w:sz w:val="24"/>
          <w:szCs w:val="24"/>
        </w:rPr>
        <w:t xml:space="preserve"> </w:t>
      </w:r>
      <w:r w:rsidR="00F63301" w:rsidRPr="00F63301">
        <w:rPr>
          <w:rFonts w:ascii="Times New Roman" w:hAnsi="Times New Roman" w:cs="Times New Roman"/>
          <w:sz w:val="24"/>
          <w:szCs w:val="24"/>
        </w:rPr>
        <w:t xml:space="preserve">governance codes/guidelines published by the CUC; (ii) 2013 governance code published by CSC; and (iii) 2008 audit committee guidelines published by the CUC. These codes/guidelines cover the following five areas: (i) </w:t>
      </w:r>
      <w:bookmarkStart w:id="2" w:name="_Hlk117073948"/>
      <w:r>
        <w:rPr>
          <w:rFonts w:ascii="Times New Roman" w:hAnsi="Times New Roman" w:cs="Times New Roman"/>
          <w:bCs/>
          <w:sz w:val="24"/>
          <w:szCs w:val="24"/>
        </w:rPr>
        <w:t>s</w:t>
      </w:r>
      <w:r w:rsidRPr="008B4904">
        <w:rPr>
          <w:rFonts w:ascii="Times New Roman" w:hAnsi="Times New Roman" w:cs="Times New Roman"/>
          <w:bCs/>
          <w:sz w:val="24"/>
          <w:szCs w:val="24"/>
        </w:rPr>
        <w:t>ocial, environmental responsibility and stakeholders’ engagement</w:t>
      </w:r>
      <w:bookmarkEnd w:id="2"/>
      <w:r w:rsidR="00F63301" w:rsidRPr="00F63301">
        <w:rPr>
          <w:rFonts w:ascii="Times New Roman" w:hAnsi="Times New Roman" w:cs="Times New Roman"/>
          <w:sz w:val="24"/>
          <w:szCs w:val="24"/>
        </w:rPr>
        <w:t xml:space="preserve">; (ii) </w:t>
      </w:r>
      <w:r>
        <w:rPr>
          <w:rFonts w:ascii="Times New Roman" w:hAnsi="Times New Roman" w:cs="Times New Roman"/>
          <w:sz w:val="24"/>
          <w:szCs w:val="24"/>
        </w:rPr>
        <w:t xml:space="preserve">accounting, auditing and </w:t>
      </w:r>
      <w:r w:rsidR="00F63301" w:rsidRPr="00F63301">
        <w:rPr>
          <w:rFonts w:ascii="Times New Roman" w:hAnsi="Times New Roman" w:cs="Times New Roman"/>
          <w:sz w:val="24"/>
          <w:szCs w:val="24"/>
        </w:rPr>
        <w:t>accountability; (iii)</w:t>
      </w:r>
      <w:r w:rsidR="00420593">
        <w:rPr>
          <w:rFonts w:ascii="Times New Roman" w:hAnsi="Times New Roman" w:cs="Times New Roman"/>
          <w:sz w:val="24"/>
          <w:szCs w:val="24"/>
        </w:rPr>
        <w:t xml:space="preserve"> </w:t>
      </w:r>
      <w:r>
        <w:rPr>
          <w:rFonts w:ascii="Times New Roman" w:hAnsi="Times New Roman" w:cs="Times New Roman"/>
          <w:sz w:val="24"/>
          <w:szCs w:val="24"/>
        </w:rPr>
        <w:t>performance evaluation,</w:t>
      </w:r>
      <w:r w:rsidR="00F63301" w:rsidRPr="00F63301">
        <w:rPr>
          <w:rFonts w:ascii="Times New Roman" w:hAnsi="Times New Roman" w:cs="Times New Roman"/>
          <w:sz w:val="24"/>
          <w:szCs w:val="24"/>
        </w:rPr>
        <w:t xml:space="preserve"> rewards</w:t>
      </w:r>
      <w:r>
        <w:rPr>
          <w:rFonts w:ascii="Times New Roman" w:hAnsi="Times New Roman" w:cs="Times New Roman"/>
          <w:sz w:val="24"/>
          <w:szCs w:val="24"/>
        </w:rPr>
        <w:t xml:space="preserve"> and</w:t>
      </w:r>
      <w:r w:rsidR="00F63301" w:rsidRPr="00F63301">
        <w:rPr>
          <w:rFonts w:ascii="Times New Roman" w:hAnsi="Times New Roman" w:cs="Times New Roman"/>
          <w:sz w:val="24"/>
          <w:szCs w:val="24"/>
        </w:rPr>
        <w:t xml:space="preserve"> pay; (iv) procedures</w:t>
      </w:r>
      <w:r>
        <w:rPr>
          <w:rFonts w:ascii="Times New Roman" w:hAnsi="Times New Roman" w:cs="Times New Roman"/>
          <w:sz w:val="24"/>
          <w:szCs w:val="24"/>
        </w:rPr>
        <w:t xml:space="preserve"> and structures</w:t>
      </w:r>
      <w:r w:rsidR="00F63301" w:rsidRPr="00F63301">
        <w:rPr>
          <w:rFonts w:ascii="Times New Roman" w:hAnsi="Times New Roman" w:cs="Times New Roman"/>
          <w:sz w:val="24"/>
          <w:szCs w:val="24"/>
        </w:rPr>
        <w:t>; and (v) govern</w:t>
      </w:r>
      <w:r>
        <w:rPr>
          <w:rFonts w:ascii="Times New Roman" w:hAnsi="Times New Roman" w:cs="Times New Roman"/>
          <w:sz w:val="24"/>
          <w:szCs w:val="24"/>
        </w:rPr>
        <w:t>ing board</w:t>
      </w:r>
      <w:r w:rsidR="00F63301" w:rsidRPr="00F63301">
        <w:rPr>
          <w:rFonts w:ascii="Times New Roman" w:hAnsi="Times New Roman" w:cs="Times New Roman"/>
          <w:sz w:val="24"/>
          <w:szCs w:val="24"/>
        </w:rPr>
        <w:t xml:space="preserve">. The first area relating to </w:t>
      </w:r>
      <w:r w:rsidRPr="008B4904">
        <w:rPr>
          <w:rFonts w:ascii="Times New Roman" w:hAnsi="Times New Roman" w:cs="Times New Roman"/>
          <w:bCs/>
          <w:i/>
          <w:iCs/>
          <w:sz w:val="24"/>
          <w:szCs w:val="24"/>
        </w:rPr>
        <w:t>social, environmental responsibility and stakeholders’ engagement</w:t>
      </w:r>
      <w:r>
        <w:rPr>
          <w:rFonts w:ascii="Times New Roman" w:hAnsi="Times New Roman" w:cs="Times New Roman"/>
          <w:bCs/>
          <w:i/>
          <w:iCs/>
          <w:sz w:val="24"/>
          <w:szCs w:val="24"/>
        </w:rPr>
        <w:t xml:space="preserve"> </w:t>
      </w:r>
      <w:r w:rsidR="00F63301" w:rsidRPr="00F63301">
        <w:rPr>
          <w:rFonts w:ascii="Times New Roman" w:hAnsi="Times New Roman" w:cs="Times New Roman"/>
          <w:sz w:val="24"/>
          <w:szCs w:val="24"/>
        </w:rPr>
        <w:t xml:space="preserve">seeks to enhance communication with stakeholders, as well as improve social and environmental practices among HEIs. </w:t>
      </w:r>
      <w:r>
        <w:rPr>
          <w:rFonts w:ascii="Times New Roman" w:hAnsi="Times New Roman" w:cs="Times New Roman"/>
          <w:i/>
          <w:iCs/>
          <w:sz w:val="24"/>
          <w:szCs w:val="24"/>
        </w:rPr>
        <w:t xml:space="preserve">Accounting, auditing and </w:t>
      </w:r>
      <w:r w:rsidR="00F63301" w:rsidRPr="00F63301">
        <w:rPr>
          <w:rFonts w:ascii="Times New Roman" w:hAnsi="Times New Roman" w:cs="Times New Roman"/>
          <w:i/>
          <w:iCs/>
          <w:sz w:val="24"/>
          <w:szCs w:val="24"/>
        </w:rPr>
        <w:t xml:space="preserve">Accountability </w:t>
      </w:r>
      <w:r w:rsidR="00F63301" w:rsidRPr="00F63301">
        <w:rPr>
          <w:rFonts w:ascii="Times New Roman" w:hAnsi="Times New Roman" w:cs="Times New Roman"/>
          <w:sz w:val="24"/>
          <w:szCs w:val="24"/>
        </w:rPr>
        <w:t xml:space="preserve">provisions aim to improve internal controls and risk management systems by addressing issues relating to financial/non-financial reporting, as well as providing recommendations on the role and structure of audit committee and the function of internal and external auditors, amongst others. Governance provisions relating to </w:t>
      </w:r>
      <w:r>
        <w:rPr>
          <w:rFonts w:ascii="Times New Roman" w:hAnsi="Times New Roman" w:cs="Times New Roman"/>
          <w:i/>
          <w:iCs/>
          <w:sz w:val="24"/>
          <w:szCs w:val="24"/>
        </w:rPr>
        <w:t xml:space="preserve">performance evaluation, </w:t>
      </w:r>
      <w:r w:rsidR="00F63301" w:rsidRPr="00F63301">
        <w:rPr>
          <w:rFonts w:ascii="Times New Roman" w:hAnsi="Times New Roman" w:cs="Times New Roman"/>
          <w:i/>
          <w:iCs/>
          <w:sz w:val="24"/>
          <w:szCs w:val="24"/>
        </w:rPr>
        <w:t>rewards</w:t>
      </w:r>
      <w:r>
        <w:rPr>
          <w:rFonts w:ascii="Times New Roman" w:hAnsi="Times New Roman" w:cs="Times New Roman"/>
          <w:i/>
          <w:iCs/>
          <w:sz w:val="24"/>
          <w:szCs w:val="24"/>
        </w:rPr>
        <w:t xml:space="preserve"> and</w:t>
      </w:r>
      <w:r w:rsidR="00F63301" w:rsidRPr="00F63301">
        <w:rPr>
          <w:rFonts w:ascii="Times New Roman" w:hAnsi="Times New Roman" w:cs="Times New Roman"/>
          <w:i/>
          <w:iCs/>
          <w:sz w:val="24"/>
          <w:szCs w:val="24"/>
        </w:rPr>
        <w:t xml:space="preserve"> pay </w:t>
      </w:r>
      <w:r w:rsidR="00F63301" w:rsidRPr="00F63301">
        <w:rPr>
          <w:rFonts w:ascii="Times New Roman" w:hAnsi="Times New Roman" w:cs="Times New Roman"/>
          <w:sz w:val="24"/>
          <w:szCs w:val="24"/>
        </w:rPr>
        <w:t>deal with areas relating to the performance/effectiveness of the governing board, committees and vice-chancellors, as well as the composition and function of the remuneration committee. The final two areas (</w:t>
      </w:r>
      <w:r w:rsidR="00F63301" w:rsidRPr="00F63301">
        <w:rPr>
          <w:rFonts w:ascii="Times New Roman" w:hAnsi="Times New Roman" w:cs="Times New Roman"/>
          <w:i/>
          <w:iCs/>
          <w:sz w:val="24"/>
          <w:szCs w:val="24"/>
        </w:rPr>
        <w:t>procedures</w:t>
      </w:r>
      <w:r>
        <w:rPr>
          <w:rFonts w:ascii="Times New Roman" w:hAnsi="Times New Roman" w:cs="Times New Roman"/>
          <w:i/>
          <w:iCs/>
          <w:sz w:val="24"/>
          <w:szCs w:val="24"/>
        </w:rPr>
        <w:t xml:space="preserve"> and structures</w:t>
      </w:r>
      <w:r w:rsidR="005359DD">
        <w:rPr>
          <w:rFonts w:ascii="Times New Roman" w:hAnsi="Times New Roman" w:cs="Times New Roman"/>
          <w:i/>
          <w:iCs/>
          <w:sz w:val="24"/>
          <w:szCs w:val="24"/>
        </w:rPr>
        <w:t>,</w:t>
      </w:r>
      <w:r w:rsidR="00F63301" w:rsidRPr="00F63301">
        <w:rPr>
          <w:rFonts w:ascii="Times New Roman" w:hAnsi="Times New Roman" w:cs="Times New Roman"/>
          <w:sz w:val="24"/>
          <w:szCs w:val="24"/>
        </w:rPr>
        <w:t xml:space="preserve"> and </w:t>
      </w:r>
      <w:r w:rsidR="005359DD">
        <w:rPr>
          <w:rFonts w:ascii="Times New Roman" w:hAnsi="Times New Roman" w:cs="Times New Roman"/>
          <w:i/>
          <w:iCs/>
          <w:sz w:val="24"/>
          <w:szCs w:val="24"/>
        </w:rPr>
        <w:t>governing board</w:t>
      </w:r>
      <w:r w:rsidR="00F63301" w:rsidRPr="00F63301">
        <w:rPr>
          <w:rFonts w:ascii="Times New Roman" w:hAnsi="Times New Roman" w:cs="Times New Roman"/>
          <w:sz w:val="24"/>
          <w:szCs w:val="24"/>
        </w:rPr>
        <w:t xml:space="preserve">) aim to improve monitoring and control over governing board activities by requiring greater transparency on issues relating to the governing board composition, independence and meetings, as well as requiring greater disclosure on issues relating to public fund utilisation, amongst others. </w:t>
      </w:r>
    </w:p>
    <w:p w14:paraId="230FC380" w14:textId="25ADB065" w:rsidR="00F63301" w:rsidRPr="00F63301" w:rsidRDefault="00F63301" w:rsidP="000841C8">
      <w:pPr>
        <w:spacing w:after="0" w:line="240" w:lineRule="auto"/>
        <w:ind w:firstLine="720"/>
        <w:jc w:val="both"/>
        <w:rPr>
          <w:rFonts w:ascii="Times New Roman" w:hAnsi="Times New Roman" w:cs="Times New Roman"/>
          <w:sz w:val="24"/>
          <w:szCs w:val="24"/>
        </w:rPr>
      </w:pPr>
      <w:r w:rsidRPr="00F63301">
        <w:rPr>
          <w:rFonts w:ascii="Times New Roman" w:hAnsi="Times New Roman" w:cs="Times New Roman"/>
          <w:sz w:val="24"/>
          <w:szCs w:val="24"/>
        </w:rPr>
        <w:t>In terms of the best risk regulations and management practices documents relied on in addition to those drawn from the prior literature are the: (i) 2008 audit committee guideline published by CUC; (ii) 2009 risk management guideline published by LFHE</w:t>
      </w:r>
      <w:r w:rsidR="00D51B3D">
        <w:rPr>
          <w:rFonts w:ascii="Times New Roman" w:hAnsi="Times New Roman" w:cs="Times New Roman"/>
          <w:sz w:val="24"/>
          <w:szCs w:val="24"/>
        </w:rPr>
        <w:t xml:space="preserve"> (now Advance HE)</w:t>
      </w:r>
      <w:r w:rsidRPr="00F63301">
        <w:rPr>
          <w:rFonts w:ascii="Times New Roman" w:hAnsi="Times New Roman" w:cs="Times New Roman"/>
          <w:sz w:val="24"/>
          <w:szCs w:val="24"/>
        </w:rPr>
        <w:t>; and (iii) 2001a,</w:t>
      </w:r>
      <w:r w:rsidR="005359DD">
        <w:rPr>
          <w:rFonts w:ascii="Times New Roman" w:hAnsi="Times New Roman" w:cs="Times New Roman"/>
          <w:sz w:val="24"/>
          <w:szCs w:val="24"/>
        </w:rPr>
        <w:t xml:space="preserve"> </w:t>
      </w:r>
      <w:r w:rsidRPr="00F63301">
        <w:rPr>
          <w:rFonts w:ascii="Times New Roman" w:hAnsi="Times New Roman" w:cs="Times New Roman"/>
          <w:sz w:val="24"/>
          <w:szCs w:val="24"/>
        </w:rPr>
        <w:t>b/2005 risk management guidelines published by HEFCE</w:t>
      </w:r>
      <w:r w:rsidR="005359DD">
        <w:rPr>
          <w:rFonts w:ascii="Times New Roman" w:hAnsi="Times New Roman" w:cs="Times New Roman"/>
          <w:sz w:val="24"/>
          <w:szCs w:val="24"/>
        </w:rPr>
        <w:t xml:space="preserve"> (now OfS)</w:t>
      </w:r>
      <w:r w:rsidRPr="00F63301">
        <w:rPr>
          <w:rFonts w:ascii="Times New Roman" w:hAnsi="Times New Roman" w:cs="Times New Roman"/>
          <w:sz w:val="24"/>
          <w:szCs w:val="24"/>
        </w:rPr>
        <w:t>. The HEFC</w:t>
      </w:r>
      <w:r w:rsidR="00C92BC1">
        <w:rPr>
          <w:rFonts w:ascii="Times New Roman" w:hAnsi="Times New Roman" w:cs="Times New Roman"/>
          <w:sz w:val="24"/>
          <w:szCs w:val="24"/>
        </w:rPr>
        <w:t>E</w:t>
      </w:r>
      <w:r w:rsidRPr="00F63301">
        <w:rPr>
          <w:rFonts w:ascii="Times New Roman" w:hAnsi="Times New Roman" w:cs="Times New Roman"/>
          <w:sz w:val="24"/>
          <w:szCs w:val="24"/>
        </w:rPr>
        <w:t xml:space="preserve"> (2001, p.4) defines risk as “</w:t>
      </w:r>
      <w:r w:rsidRPr="00F63301">
        <w:rPr>
          <w:rFonts w:ascii="Times New Roman" w:hAnsi="Times New Roman" w:cs="Times New Roman"/>
          <w:i/>
          <w:iCs/>
          <w:sz w:val="24"/>
          <w:szCs w:val="24"/>
        </w:rPr>
        <w:t>the threat or possibility that an action or event will adversely or beneficially affect an organisation’s ability to achieve its objectives</w:t>
      </w:r>
      <w:r w:rsidRPr="00F63301">
        <w:rPr>
          <w:rFonts w:ascii="Times New Roman" w:hAnsi="Times New Roman" w:cs="Times New Roman"/>
          <w:sz w:val="24"/>
          <w:szCs w:val="24"/>
        </w:rPr>
        <w:t>”. This definition makes a tight link between managing risks and achieving organisational objectives, implying that if risks</w:t>
      </w:r>
      <w:r w:rsidR="005359DD">
        <w:rPr>
          <w:rFonts w:ascii="Times New Roman" w:hAnsi="Times New Roman" w:cs="Times New Roman"/>
          <w:sz w:val="24"/>
          <w:szCs w:val="24"/>
        </w:rPr>
        <w:t xml:space="preserve"> are</w:t>
      </w:r>
      <w:r w:rsidRPr="00F63301">
        <w:rPr>
          <w:rFonts w:ascii="Times New Roman" w:hAnsi="Times New Roman" w:cs="Times New Roman"/>
          <w:sz w:val="24"/>
          <w:szCs w:val="24"/>
        </w:rPr>
        <w:t xml:space="preserve"> left unaddressed, </w:t>
      </w:r>
      <w:r w:rsidR="005359DD">
        <w:rPr>
          <w:rFonts w:ascii="Times New Roman" w:hAnsi="Times New Roman" w:cs="Times New Roman"/>
          <w:sz w:val="24"/>
          <w:szCs w:val="24"/>
        </w:rPr>
        <w:t>then, they</w:t>
      </w:r>
      <w:r w:rsidRPr="00F63301">
        <w:rPr>
          <w:rFonts w:ascii="Times New Roman" w:hAnsi="Times New Roman" w:cs="Times New Roman"/>
          <w:sz w:val="24"/>
          <w:szCs w:val="24"/>
        </w:rPr>
        <w:t xml:space="preserve"> can pos</w:t>
      </w:r>
      <w:r w:rsidR="005359DD">
        <w:rPr>
          <w:rFonts w:ascii="Times New Roman" w:hAnsi="Times New Roman" w:cs="Times New Roman"/>
          <w:sz w:val="24"/>
          <w:szCs w:val="24"/>
        </w:rPr>
        <w:t>e</w:t>
      </w:r>
      <w:r w:rsidRPr="00F63301">
        <w:rPr>
          <w:rFonts w:ascii="Times New Roman" w:hAnsi="Times New Roman" w:cs="Times New Roman"/>
          <w:sz w:val="24"/>
          <w:szCs w:val="24"/>
        </w:rPr>
        <w:t xml:space="preserve"> serious threat to the short and/or long-term sustainability </w:t>
      </w:r>
      <w:r w:rsidRPr="00F63301">
        <w:rPr>
          <w:rFonts w:ascii="Times New Roman" w:hAnsi="Times New Roman" w:cs="Times New Roman"/>
          <w:sz w:val="24"/>
          <w:szCs w:val="24"/>
        </w:rPr>
        <w:lastRenderedPageBreak/>
        <w:t xml:space="preserve">of an institution. </w:t>
      </w:r>
      <w:r w:rsidR="000841C8">
        <w:rPr>
          <w:rFonts w:ascii="Times New Roman" w:hAnsi="Times New Roman" w:cs="Times New Roman"/>
          <w:sz w:val="24"/>
          <w:szCs w:val="24"/>
        </w:rPr>
        <w:t xml:space="preserve"> T</w:t>
      </w:r>
      <w:r w:rsidRPr="00F63301">
        <w:rPr>
          <w:rFonts w:ascii="Times New Roman" w:hAnsi="Times New Roman" w:cs="Times New Roman"/>
          <w:sz w:val="24"/>
          <w:szCs w:val="24"/>
        </w:rPr>
        <w:t xml:space="preserve">he HEFCE (2001a, b, 2005) produced a prompt list of </w:t>
      </w:r>
      <w:r w:rsidRPr="00F63301">
        <w:rPr>
          <w:rFonts w:ascii="Times New Roman" w:hAnsi="Times New Roman" w:cs="Times New Roman"/>
          <w:i/>
          <w:iCs/>
          <w:sz w:val="24"/>
          <w:szCs w:val="24"/>
        </w:rPr>
        <w:t>51</w:t>
      </w:r>
      <w:r w:rsidRPr="00F63301">
        <w:rPr>
          <w:rFonts w:ascii="Times New Roman" w:hAnsi="Times New Roman" w:cs="Times New Roman"/>
          <w:sz w:val="24"/>
          <w:szCs w:val="24"/>
        </w:rPr>
        <w:t xml:space="preserve"> major risks that can be faced by HEIs. These risks are categorised into </w:t>
      </w:r>
      <w:r w:rsidRPr="00F63301">
        <w:rPr>
          <w:rFonts w:ascii="Times New Roman" w:hAnsi="Times New Roman" w:cs="Times New Roman"/>
          <w:i/>
          <w:iCs/>
          <w:sz w:val="24"/>
          <w:szCs w:val="24"/>
        </w:rPr>
        <w:t>8</w:t>
      </w:r>
      <w:r w:rsidRPr="00F63301">
        <w:rPr>
          <w:rFonts w:ascii="Times New Roman" w:hAnsi="Times New Roman" w:cs="Times New Roman"/>
          <w:sz w:val="24"/>
          <w:szCs w:val="24"/>
        </w:rPr>
        <w:t xml:space="preserve"> groups: (i) financial issues with 11; (ii) organisational issues with 7; (iii) estates and facilities issues with 7; (iv) student experience with 6; (v) IT information technology with 6; (vi) commercial issues with 5; (vii) reputation issues with 5; and (vii) staffing issues with 4; identified risks. It also offers specific examples about factors contributing to these risks and how to manage those risks. For example, failure to attract sufficiently high-quality students can impact negatively on reputation (reputational risk), which may be: (i) caused by targeting inappropriately; (ii) identified early through close monitoring of student recruitment numbers; and (iii) mitigated through strategic discussion and direction by the governing board. The LFHE (2009) guide offers similar guidance, but provides more compact classification of risks to include: (i) reputational; (ii) major project; (iii) financial; (iv) operational; (v) strategic; and (vi) legal risks. </w:t>
      </w:r>
    </w:p>
    <w:p w14:paraId="7A5180F0" w14:textId="1B88BD82" w:rsidR="00F63301" w:rsidRPr="006B193B" w:rsidRDefault="00F63301" w:rsidP="004760CB">
      <w:pPr>
        <w:spacing w:line="240" w:lineRule="auto"/>
        <w:ind w:firstLine="720"/>
        <w:jc w:val="both"/>
        <w:rPr>
          <w:rFonts w:ascii="Times New Roman" w:hAnsi="Times New Roman" w:cs="Times New Roman"/>
          <w:sz w:val="24"/>
          <w:szCs w:val="24"/>
        </w:rPr>
      </w:pPr>
      <w:r w:rsidRPr="00F63301">
        <w:rPr>
          <w:rFonts w:ascii="Times New Roman" w:hAnsi="Times New Roman" w:cs="Times New Roman"/>
          <w:sz w:val="24"/>
          <w:szCs w:val="24"/>
        </w:rPr>
        <w:t>Drawing from the above best practice regulatory documents and previous studies, we categorised risk management disclosures into the following three areas: (i) financial risks; (ii) strategic risks; and (iii) operational risks. In terms of the financial risk, it relates to disclosure of issues relating, for example, to commodity/equity prices, exchange/interest rate and capital adequacy/insolvency risks. For strategic risk, it measures disclosure of issues relating to managing risk aris</w:t>
      </w:r>
      <w:r w:rsidR="00326256">
        <w:rPr>
          <w:rFonts w:ascii="Times New Roman" w:hAnsi="Times New Roman" w:cs="Times New Roman"/>
          <w:sz w:val="24"/>
          <w:szCs w:val="24"/>
        </w:rPr>
        <w:t>ing</w:t>
      </w:r>
      <w:r w:rsidRPr="00F63301">
        <w:rPr>
          <w:rFonts w:ascii="Times New Roman" w:hAnsi="Times New Roman" w:cs="Times New Roman"/>
          <w:sz w:val="24"/>
          <w:szCs w:val="24"/>
        </w:rPr>
        <w:t xml:space="preserve"> from the external business environment, such as, changes in regulations and natural disasters (e.g., COVID-19). Finally, we classified operational risk into ten sub-sections, namely disclosure on: (i) reputational issues; (ii) staffing issues; (iii) student experience issues; (iv) IT and information issues; (v) major project issues; (vi) facilities and estate risks; (vii) health and safety issues; (viii) governance issues; (ix) legal issues; and (x) business environment risks. </w:t>
      </w:r>
    </w:p>
    <w:p w14:paraId="0DF37DEA" w14:textId="77777777" w:rsidR="00001FCF" w:rsidRPr="001E01A1" w:rsidRDefault="00001FCF" w:rsidP="00B27CF1">
      <w:pPr>
        <w:spacing w:after="0" w:line="240" w:lineRule="auto"/>
        <w:rPr>
          <w:rFonts w:ascii="Times New Roman" w:hAnsi="Times New Roman" w:cs="Times New Roman"/>
          <w:sz w:val="20"/>
          <w:szCs w:val="20"/>
        </w:rPr>
      </w:pPr>
    </w:p>
    <w:p w14:paraId="3A33552D" w14:textId="72C090A0" w:rsidR="00CA65C3" w:rsidRPr="00356ADA" w:rsidRDefault="001B59E8" w:rsidP="00BB7FF8">
      <w:pPr>
        <w:pStyle w:val="ListParagraph"/>
        <w:numPr>
          <w:ilvl w:val="0"/>
          <w:numId w:val="21"/>
        </w:numPr>
        <w:spacing w:after="0" w:line="240" w:lineRule="auto"/>
        <w:ind w:left="284" w:hanging="284"/>
        <w:rPr>
          <w:rFonts w:ascii="Times New Roman" w:hAnsi="Times New Roman" w:cs="Times New Roman"/>
          <w:sz w:val="24"/>
          <w:szCs w:val="24"/>
        </w:rPr>
      </w:pPr>
      <w:r>
        <w:rPr>
          <w:rFonts w:ascii="Times New Roman" w:hAnsi="Times New Roman" w:cs="Times New Roman"/>
          <w:b/>
          <w:sz w:val="24"/>
          <w:szCs w:val="24"/>
        </w:rPr>
        <w:t>Theory, e</w:t>
      </w:r>
      <w:r w:rsidR="00A007FB" w:rsidRPr="00356ADA">
        <w:rPr>
          <w:rFonts w:ascii="Times New Roman" w:hAnsi="Times New Roman" w:cs="Times New Roman"/>
          <w:b/>
          <w:sz w:val="24"/>
          <w:szCs w:val="24"/>
        </w:rPr>
        <w:t>mpiric</w:t>
      </w:r>
      <w:r w:rsidR="00954003">
        <w:rPr>
          <w:rFonts w:ascii="Times New Roman" w:hAnsi="Times New Roman" w:cs="Times New Roman"/>
          <w:b/>
          <w:sz w:val="24"/>
          <w:szCs w:val="24"/>
        </w:rPr>
        <w:t>al literature review</w:t>
      </w:r>
      <w:r w:rsidR="00A007FB" w:rsidRPr="00356ADA">
        <w:rPr>
          <w:rFonts w:ascii="Times New Roman" w:hAnsi="Times New Roman" w:cs="Times New Roman"/>
          <w:b/>
          <w:sz w:val="24"/>
          <w:szCs w:val="24"/>
        </w:rPr>
        <w:t xml:space="preserve"> and hypotheses development</w:t>
      </w:r>
    </w:p>
    <w:p w14:paraId="40B1AA08" w14:textId="77777777" w:rsidR="00BB7FF8" w:rsidRPr="001E01A1" w:rsidRDefault="00BB7FF8" w:rsidP="005407C8">
      <w:pPr>
        <w:spacing w:after="0" w:line="240" w:lineRule="auto"/>
        <w:rPr>
          <w:rFonts w:ascii="Times New Roman" w:hAnsi="Times New Roman" w:cs="Times New Roman"/>
          <w:sz w:val="16"/>
          <w:szCs w:val="16"/>
        </w:rPr>
      </w:pPr>
    </w:p>
    <w:p w14:paraId="679B896A" w14:textId="47B1701A" w:rsidR="00BB7FF8" w:rsidRPr="001E01A1" w:rsidRDefault="00C424D0" w:rsidP="001E01A1">
      <w:pPr>
        <w:pStyle w:val="ListParagraph"/>
        <w:numPr>
          <w:ilvl w:val="1"/>
          <w:numId w:val="21"/>
        </w:numPr>
        <w:spacing w:line="240" w:lineRule="auto"/>
        <w:ind w:left="426" w:hanging="426"/>
        <w:rPr>
          <w:rFonts w:ascii="Times New Roman" w:hAnsi="Times New Roman" w:cs="Times New Roman"/>
          <w:b/>
          <w:bCs/>
          <w:i/>
          <w:sz w:val="24"/>
          <w:szCs w:val="24"/>
        </w:rPr>
      </w:pPr>
      <w:r>
        <w:rPr>
          <w:rFonts w:ascii="Times New Roman" w:hAnsi="Times New Roman" w:cs="Times New Roman"/>
          <w:b/>
          <w:bCs/>
          <w:i/>
          <w:sz w:val="24"/>
          <w:szCs w:val="24"/>
        </w:rPr>
        <w:t>G</w:t>
      </w:r>
      <w:r w:rsidR="00BA7F93" w:rsidRPr="00356ADA">
        <w:rPr>
          <w:rFonts w:ascii="Times New Roman" w:hAnsi="Times New Roman" w:cs="Times New Roman"/>
          <w:b/>
          <w:bCs/>
          <w:i/>
          <w:sz w:val="24"/>
          <w:szCs w:val="24"/>
        </w:rPr>
        <w:t>overnance</w:t>
      </w:r>
      <w:r w:rsidR="00BA7F93" w:rsidRPr="003C558B">
        <w:rPr>
          <w:rFonts w:ascii="Times New Roman" w:hAnsi="Times New Roman" w:cs="Times New Roman"/>
          <w:i/>
        </w:rPr>
        <w:t xml:space="preserve"> </w:t>
      </w:r>
      <w:r w:rsidR="00BA7F93" w:rsidRPr="00356ADA">
        <w:rPr>
          <w:rFonts w:ascii="Times New Roman" w:hAnsi="Times New Roman" w:cs="Times New Roman"/>
          <w:b/>
          <w:bCs/>
          <w:i/>
          <w:sz w:val="24"/>
          <w:szCs w:val="24"/>
        </w:rPr>
        <w:t xml:space="preserve">quality and </w:t>
      </w:r>
      <w:r w:rsidR="004B20AD">
        <w:rPr>
          <w:rFonts w:ascii="Times New Roman" w:hAnsi="Times New Roman" w:cs="Times New Roman"/>
          <w:b/>
          <w:bCs/>
          <w:i/>
          <w:sz w:val="24"/>
          <w:szCs w:val="24"/>
        </w:rPr>
        <w:t xml:space="preserve">voluntary </w:t>
      </w:r>
      <w:r w:rsidR="00BA7F93" w:rsidRPr="00356ADA">
        <w:rPr>
          <w:rFonts w:ascii="Times New Roman" w:hAnsi="Times New Roman" w:cs="Times New Roman"/>
          <w:b/>
          <w:bCs/>
          <w:i/>
          <w:sz w:val="24"/>
          <w:szCs w:val="24"/>
        </w:rPr>
        <w:t>risk disclosures</w:t>
      </w:r>
    </w:p>
    <w:p w14:paraId="35EA27CB" w14:textId="37A3B96E" w:rsidR="00CB4639" w:rsidRDefault="00CB4639" w:rsidP="00356A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Theoretically, </w:t>
      </w:r>
      <w:r w:rsidR="00C47986">
        <w:rPr>
          <w:rFonts w:ascii="Times New Roman" w:hAnsi="Times New Roman" w:cs="Times New Roman"/>
          <w:sz w:val="24"/>
          <w:szCs w:val="24"/>
        </w:rPr>
        <w:t>the efficiency perspective of neo-institutional theory (</w:t>
      </w:r>
      <w:r w:rsidR="00304F34" w:rsidRPr="00356ADA">
        <w:rPr>
          <w:rFonts w:ascii="Times New Roman" w:hAnsi="Times New Roman" w:cs="Times New Roman"/>
          <w:sz w:val="24"/>
          <w:szCs w:val="24"/>
        </w:rPr>
        <w:t>Ntim &amp; Soobaroyen</w:t>
      </w:r>
      <w:r w:rsidR="00304F34">
        <w:rPr>
          <w:rFonts w:ascii="Times New Roman" w:hAnsi="Times New Roman" w:cs="Times New Roman"/>
          <w:sz w:val="24"/>
          <w:szCs w:val="24"/>
        </w:rPr>
        <w:t>, 2013)</w:t>
      </w:r>
      <w:r w:rsidR="00C84CA1">
        <w:rPr>
          <w:rFonts w:ascii="Times New Roman" w:hAnsi="Times New Roman" w:cs="Times New Roman"/>
          <w:sz w:val="24"/>
          <w:szCs w:val="24"/>
        </w:rPr>
        <w:t xml:space="preserve"> </w:t>
      </w:r>
      <w:r w:rsidR="00C47986">
        <w:rPr>
          <w:rFonts w:ascii="Times New Roman" w:hAnsi="Times New Roman" w:cs="Times New Roman"/>
          <w:sz w:val="24"/>
          <w:szCs w:val="24"/>
        </w:rPr>
        <w:t xml:space="preserve">predicts that </w:t>
      </w:r>
      <w:r w:rsidR="00C47986" w:rsidRPr="00C47986">
        <w:rPr>
          <w:rFonts w:ascii="Times New Roman" w:hAnsi="Times New Roman" w:cs="Times New Roman"/>
          <w:sz w:val="24"/>
          <w:szCs w:val="24"/>
        </w:rPr>
        <w:t>greater monitoring on managerial activities</w:t>
      </w:r>
      <w:r w:rsidR="00C84CA1">
        <w:rPr>
          <w:rFonts w:ascii="Times New Roman" w:hAnsi="Times New Roman" w:cs="Times New Roman"/>
          <w:sz w:val="24"/>
          <w:szCs w:val="24"/>
        </w:rPr>
        <w:t>, which</w:t>
      </w:r>
      <w:r w:rsidR="00C47986" w:rsidRPr="00C47986">
        <w:rPr>
          <w:rFonts w:ascii="Times New Roman" w:hAnsi="Times New Roman" w:cs="Times New Roman"/>
          <w:sz w:val="24"/>
          <w:szCs w:val="24"/>
        </w:rPr>
        <w:t xml:space="preserve"> </w:t>
      </w:r>
      <w:r w:rsidR="00BE7143">
        <w:rPr>
          <w:rFonts w:ascii="Times New Roman" w:hAnsi="Times New Roman" w:cs="Times New Roman"/>
          <w:sz w:val="24"/>
          <w:szCs w:val="24"/>
        </w:rPr>
        <w:t xml:space="preserve">is </w:t>
      </w:r>
      <w:r w:rsidR="00C47986" w:rsidRPr="00C47986">
        <w:rPr>
          <w:rFonts w:ascii="Times New Roman" w:hAnsi="Times New Roman" w:cs="Times New Roman"/>
          <w:sz w:val="24"/>
          <w:szCs w:val="24"/>
        </w:rPr>
        <w:t>often associated with good governance</w:t>
      </w:r>
      <w:r w:rsidR="00C84CA1">
        <w:rPr>
          <w:rFonts w:ascii="Times New Roman" w:hAnsi="Times New Roman" w:cs="Times New Roman"/>
          <w:sz w:val="24"/>
          <w:szCs w:val="24"/>
        </w:rPr>
        <w:t>,</w:t>
      </w:r>
      <w:r w:rsidR="00C47986" w:rsidRPr="00C47986">
        <w:rPr>
          <w:rFonts w:ascii="Times New Roman" w:hAnsi="Times New Roman" w:cs="Times New Roman"/>
          <w:sz w:val="24"/>
          <w:szCs w:val="24"/>
        </w:rPr>
        <w:t xml:space="preserve"> can reduce information asymmetry, and thereby hav</w:t>
      </w:r>
      <w:r w:rsidR="00781BF0">
        <w:rPr>
          <w:rFonts w:ascii="Times New Roman" w:hAnsi="Times New Roman" w:cs="Times New Roman"/>
          <w:sz w:val="24"/>
          <w:szCs w:val="24"/>
        </w:rPr>
        <w:t>e</w:t>
      </w:r>
      <w:r w:rsidR="00C47986" w:rsidRPr="00C47986">
        <w:rPr>
          <w:rFonts w:ascii="Times New Roman" w:hAnsi="Times New Roman" w:cs="Times New Roman"/>
          <w:sz w:val="24"/>
          <w:szCs w:val="24"/>
        </w:rPr>
        <w:t xml:space="preserve"> a positive impact on risk practices</w:t>
      </w:r>
      <w:r w:rsidR="00C84CA1">
        <w:rPr>
          <w:rFonts w:ascii="Times New Roman" w:hAnsi="Times New Roman" w:cs="Times New Roman"/>
          <w:sz w:val="24"/>
          <w:szCs w:val="24"/>
        </w:rPr>
        <w:t xml:space="preserve">. Further, </w:t>
      </w:r>
      <w:r>
        <w:rPr>
          <w:rFonts w:ascii="Times New Roman" w:hAnsi="Times New Roman" w:cs="Times New Roman"/>
          <w:sz w:val="24"/>
          <w:szCs w:val="24"/>
        </w:rPr>
        <w:t>neo-</w:t>
      </w:r>
      <w:r w:rsidRPr="00CB4639">
        <w:rPr>
          <w:rFonts w:ascii="Times New Roman" w:hAnsi="Times New Roman" w:cs="Times New Roman"/>
          <w:sz w:val="24"/>
          <w:szCs w:val="24"/>
        </w:rPr>
        <w:t xml:space="preserve">institutional theory (efficiency view) proposes that </w:t>
      </w:r>
      <w:r>
        <w:rPr>
          <w:rFonts w:ascii="Times New Roman" w:hAnsi="Times New Roman" w:cs="Times New Roman"/>
          <w:sz w:val="24"/>
          <w:szCs w:val="24"/>
        </w:rPr>
        <w:t xml:space="preserve">committing to good governance practices can </w:t>
      </w:r>
      <w:r w:rsidR="003415CF">
        <w:rPr>
          <w:rFonts w:ascii="Times New Roman" w:hAnsi="Times New Roman" w:cs="Times New Roman"/>
          <w:sz w:val="24"/>
          <w:szCs w:val="24"/>
        </w:rPr>
        <w:t xml:space="preserve">increase pressure on </w:t>
      </w:r>
      <w:r>
        <w:rPr>
          <w:rFonts w:ascii="Times New Roman" w:hAnsi="Times New Roman" w:cs="Times New Roman"/>
          <w:sz w:val="24"/>
          <w:szCs w:val="24"/>
        </w:rPr>
        <w:t>organisation</w:t>
      </w:r>
      <w:r w:rsidR="003415CF">
        <w:rPr>
          <w:rFonts w:ascii="Times New Roman" w:hAnsi="Times New Roman" w:cs="Times New Roman"/>
          <w:sz w:val="24"/>
          <w:szCs w:val="24"/>
        </w:rPr>
        <w:t>s</w:t>
      </w:r>
      <w:r>
        <w:rPr>
          <w:rFonts w:ascii="Times New Roman" w:hAnsi="Times New Roman" w:cs="Times New Roman"/>
          <w:sz w:val="24"/>
          <w:szCs w:val="24"/>
        </w:rPr>
        <w:t xml:space="preserve"> </w:t>
      </w:r>
      <w:r w:rsidR="003415CF">
        <w:rPr>
          <w:rFonts w:ascii="Times New Roman" w:hAnsi="Times New Roman" w:cs="Times New Roman"/>
          <w:sz w:val="24"/>
          <w:szCs w:val="24"/>
        </w:rPr>
        <w:t xml:space="preserve">to engage in greater transparency and disclosures in order to demonstrate accountability and good stewardship (Nelson et al., 2003), </w:t>
      </w:r>
      <w:r w:rsidR="00E52D3E">
        <w:rPr>
          <w:rFonts w:ascii="Times New Roman" w:hAnsi="Times New Roman" w:cs="Times New Roman"/>
          <w:sz w:val="24"/>
          <w:szCs w:val="24"/>
        </w:rPr>
        <w:t>and this in turn</w:t>
      </w:r>
      <w:r w:rsidR="003415CF">
        <w:rPr>
          <w:rFonts w:ascii="Times New Roman" w:hAnsi="Times New Roman" w:cs="Times New Roman"/>
          <w:sz w:val="24"/>
          <w:szCs w:val="24"/>
        </w:rPr>
        <w:t xml:space="preserve"> may impact positively on risk disclosure practices.</w:t>
      </w:r>
      <w:r w:rsidR="00E52D3E">
        <w:rPr>
          <w:rFonts w:ascii="Times New Roman" w:hAnsi="Times New Roman" w:cs="Times New Roman"/>
          <w:sz w:val="24"/>
          <w:szCs w:val="24"/>
        </w:rPr>
        <w:t xml:space="preserve"> </w:t>
      </w:r>
      <w:r w:rsidR="00465ED4">
        <w:rPr>
          <w:rFonts w:ascii="Times New Roman" w:hAnsi="Times New Roman" w:cs="Times New Roman"/>
          <w:sz w:val="24"/>
          <w:szCs w:val="24"/>
        </w:rPr>
        <w:t>Similarly, and from the legitimisation perspective (</w:t>
      </w:r>
      <w:r w:rsidR="00BB5D5A">
        <w:rPr>
          <w:rFonts w:ascii="Times New Roman" w:hAnsi="Times New Roman" w:cs="Times New Roman"/>
          <w:sz w:val="24"/>
          <w:szCs w:val="24"/>
        </w:rPr>
        <w:t xml:space="preserve">Ntim et al., 2012; </w:t>
      </w:r>
      <w:r w:rsidR="00465ED4" w:rsidRPr="00356ADA">
        <w:rPr>
          <w:rFonts w:ascii="Times New Roman" w:hAnsi="Times New Roman" w:cs="Times New Roman"/>
          <w:sz w:val="24"/>
          <w:szCs w:val="24"/>
        </w:rPr>
        <w:t>Suchman, 1995</w:t>
      </w:r>
      <w:r w:rsidR="00465ED4">
        <w:rPr>
          <w:rFonts w:ascii="Times New Roman" w:hAnsi="Times New Roman" w:cs="Times New Roman"/>
          <w:sz w:val="24"/>
          <w:szCs w:val="24"/>
        </w:rPr>
        <w:t xml:space="preserve">), </w:t>
      </w:r>
      <w:r w:rsidR="00D34CE8">
        <w:rPr>
          <w:rFonts w:ascii="Times New Roman" w:hAnsi="Times New Roman" w:cs="Times New Roman"/>
          <w:sz w:val="24"/>
          <w:szCs w:val="24"/>
        </w:rPr>
        <w:t>complying with good governance practices through greater risk disclosures can legitimise the operations of HEIs by improving their reputation and image</w:t>
      </w:r>
      <w:r w:rsidR="0018097B">
        <w:rPr>
          <w:rFonts w:ascii="Times New Roman" w:hAnsi="Times New Roman" w:cs="Times New Roman"/>
          <w:sz w:val="24"/>
          <w:szCs w:val="24"/>
        </w:rPr>
        <w:t xml:space="preserve">, which </w:t>
      </w:r>
      <w:r w:rsidR="0018097B" w:rsidRPr="0018097B">
        <w:rPr>
          <w:rFonts w:ascii="Times New Roman" w:hAnsi="Times New Roman" w:cs="Times New Roman"/>
          <w:sz w:val="24"/>
          <w:szCs w:val="24"/>
        </w:rPr>
        <w:t>can provide better connection with powerful stakeholders of HEIs (e.g., alumni, students, parents, employers and government) and further offer access to critical resources (e.g., alumni donations)</w:t>
      </w:r>
      <w:r w:rsidR="0018097B">
        <w:rPr>
          <w:rFonts w:ascii="Times New Roman" w:hAnsi="Times New Roman" w:cs="Times New Roman"/>
          <w:sz w:val="24"/>
          <w:szCs w:val="24"/>
        </w:rPr>
        <w:t>.</w:t>
      </w:r>
      <w:r w:rsidR="00AB2A22">
        <w:rPr>
          <w:rFonts w:ascii="Times New Roman" w:hAnsi="Times New Roman" w:cs="Times New Roman"/>
          <w:sz w:val="24"/>
          <w:szCs w:val="24"/>
        </w:rPr>
        <w:t xml:space="preserve"> </w:t>
      </w:r>
      <w:r w:rsidR="008C3B3A">
        <w:rPr>
          <w:rFonts w:ascii="Times New Roman" w:hAnsi="Times New Roman" w:cs="Times New Roman"/>
          <w:sz w:val="24"/>
          <w:szCs w:val="24"/>
        </w:rPr>
        <w:t xml:space="preserve">Therefore, and according to the efficiency and legitimisation perspectives of neo-institutional theory, HEIs with good governance practices are likely to engage in greater risk disclosures in order to demonstrate public accountability, operational efficiency and </w:t>
      </w:r>
      <w:r w:rsidR="007A261A">
        <w:rPr>
          <w:rFonts w:ascii="Times New Roman" w:hAnsi="Times New Roman" w:cs="Times New Roman"/>
          <w:sz w:val="24"/>
          <w:szCs w:val="24"/>
        </w:rPr>
        <w:t xml:space="preserve">gain </w:t>
      </w:r>
      <w:r w:rsidR="008C3B3A">
        <w:rPr>
          <w:rFonts w:ascii="Times New Roman" w:hAnsi="Times New Roman" w:cs="Times New Roman"/>
          <w:sz w:val="24"/>
          <w:szCs w:val="24"/>
        </w:rPr>
        <w:t xml:space="preserve">access </w:t>
      </w:r>
      <w:r w:rsidR="007A261A">
        <w:rPr>
          <w:rFonts w:ascii="Times New Roman" w:hAnsi="Times New Roman" w:cs="Times New Roman"/>
          <w:sz w:val="24"/>
          <w:szCs w:val="24"/>
        </w:rPr>
        <w:t xml:space="preserve">to </w:t>
      </w:r>
      <w:r w:rsidR="008C3B3A">
        <w:rPr>
          <w:rFonts w:ascii="Times New Roman" w:hAnsi="Times New Roman" w:cs="Times New Roman"/>
          <w:sz w:val="24"/>
          <w:szCs w:val="24"/>
        </w:rPr>
        <w:t xml:space="preserve">critical resources. </w:t>
      </w:r>
      <w:r w:rsidR="00AB2A22">
        <w:rPr>
          <w:rFonts w:ascii="Times New Roman" w:hAnsi="Times New Roman" w:cs="Times New Roman"/>
          <w:sz w:val="24"/>
          <w:szCs w:val="24"/>
        </w:rPr>
        <w:t xml:space="preserve">However, </w:t>
      </w:r>
      <w:r w:rsidR="000950C9" w:rsidRPr="000950C9">
        <w:rPr>
          <w:rFonts w:ascii="Times New Roman" w:hAnsi="Times New Roman" w:cs="Times New Roman"/>
          <w:sz w:val="24"/>
          <w:szCs w:val="24"/>
        </w:rPr>
        <w:t>Conway</w:t>
      </w:r>
      <w:r w:rsidR="000950C9">
        <w:rPr>
          <w:rFonts w:ascii="Times New Roman" w:hAnsi="Times New Roman" w:cs="Times New Roman"/>
          <w:sz w:val="24"/>
          <w:szCs w:val="24"/>
        </w:rPr>
        <w:t xml:space="preserve"> et a</w:t>
      </w:r>
      <w:r w:rsidR="00AB5D27">
        <w:rPr>
          <w:rFonts w:ascii="Times New Roman" w:hAnsi="Times New Roman" w:cs="Times New Roman"/>
          <w:sz w:val="24"/>
          <w:szCs w:val="24"/>
        </w:rPr>
        <w:t>l</w:t>
      </w:r>
      <w:r w:rsidR="000950C9">
        <w:rPr>
          <w:rFonts w:ascii="Times New Roman" w:hAnsi="Times New Roman" w:cs="Times New Roman"/>
          <w:sz w:val="24"/>
          <w:szCs w:val="24"/>
        </w:rPr>
        <w:t xml:space="preserve">. (2015) argue that </w:t>
      </w:r>
      <w:r w:rsidR="00375357">
        <w:rPr>
          <w:rFonts w:ascii="Times New Roman" w:hAnsi="Times New Roman" w:cs="Times New Roman"/>
          <w:sz w:val="24"/>
          <w:szCs w:val="24"/>
        </w:rPr>
        <w:t xml:space="preserve">non-profitable </w:t>
      </w:r>
      <w:r w:rsidR="000950C9">
        <w:rPr>
          <w:rFonts w:ascii="Times New Roman" w:hAnsi="Times New Roman" w:cs="Times New Roman"/>
          <w:sz w:val="24"/>
          <w:szCs w:val="24"/>
        </w:rPr>
        <w:t xml:space="preserve">organisations may </w:t>
      </w:r>
      <w:r w:rsidR="00375357">
        <w:rPr>
          <w:rFonts w:ascii="Times New Roman" w:hAnsi="Times New Roman" w:cs="Times New Roman"/>
          <w:sz w:val="24"/>
          <w:szCs w:val="24"/>
        </w:rPr>
        <w:t>use impression management to respond to legitimacy threats through engaging in increased disclosures in their reports. This implies that HEIs with weak governance</w:t>
      </w:r>
      <w:r w:rsidR="00C62620">
        <w:rPr>
          <w:rFonts w:ascii="Times New Roman" w:hAnsi="Times New Roman" w:cs="Times New Roman"/>
          <w:sz w:val="24"/>
          <w:szCs w:val="24"/>
        </w:rPr>
        <w:t xml:space="preserve"> structures</w:t>
      </w:r>
      <w:r w:rsidR="00375357">
        <w:rPr>
          <w:rFonts w:ascii="Times New Roman" w:hAnsi="Times New Roman" w:cs="Times New Roman"/>
          <w:sz w:val="24"/>
          <w:szCs w:val="24"/>
        </w:rPr>
        <w:t xml:space="preserve"> </w:t>
      </w:r>
      <w:r w:rsidR="008C3B3A">
        <w:rPr>
          <w:rFonts w:ascii="Times New Roman" w:hAnsi="Times New Roman" w:cs="Times New Roman"/>
          <w:sz w:val="24"/>
          <w:szCs w:val="24"/>
        </w:rPr>
        <w:t>may</w:t>
      </w:r>
      <w:r w:rsidR="000135B2">
        <w:rPr>
          <w:rFonts w:ascii="Times New Roman" w:hAnsi="Times New Roman" w:cs="Times New Roman"/>
          <w:sz w:val="24"/>
          <w:szCs w:val="24"/>
        </w:rPr>
        <w:t xml:space="preserve"> also</w:t>
      </w:r>
      <w:r w:rsidR="008C3B3A">
        <w:rPr>
          <w:rFonts w:ascii="Times New Roman" w:hAnsi="Times New Roman" w:cs="Times New Roman"/>
          <w:sz w:val="24"/>
          <w:szCs w:val="24"/>
        </w:rPr>
        <w:t xml:space="preserve"> engage in greater risk disclosures in order to demonstrate accountability and maintain their </w:t>
      </w:r>
      <w:r w:rsidR="00CE61FD">
        <w:rPr>
          <w:rFonts w:ascii="Times New Roman" w:hAnsi="Times New Roman" w:cs="Times New Roman"/>
          <w:sz w:val="24"/>
          <w:szCs w:val="24"/>
        </w:rPr>
        <w:t xml:space="preserve">social </w:t>
      </w:r>
      <w:r w:rsidR="008C3B3A">
        <w:rPr>
          <w:rFonts w:ascii="Times New Roman" w:hAnsi="Times New Roman" w:cs="Times New Roman"/>
          <w:sz w:val="24"/>
          <w:szCs w:val="24"/>
        </w:rPr>
        <w:t>legitimacy</w:t>
      </w:r>
      <w:r w:rsidR="00CE61FD">
        <w:rPr>
          <w:rFonts w:ascii="Times New Roman" w:hAnsi="Times New Roman" w:cs="Times New Roman"/>
          <w:sz w:val="24"/>
          <w:szCs w:val="24"/>
        </w:rPr>
        <w:t xml:space="preserve"> and acceptance</w:t>
      </w:r>
      <w:r w:rsidR="008C3B3A">
        <w:rPr>
          <w:rFonts w:ascii="Times New Roman" w:hAnsi="Times New Roman" w:cs="Times New Roman"/>
          <w:sz w:val="24"/>
          <w:szCs w:val="24"/>
        </w:rPr>
        <w:t xml:space="preserve">. </w:t>
      </w:r>
    </w:p>
    <w:p w14:paraId="277ABC1E" w14:textId="302C9B8C" w:rsidR="001E023F" w:rsidRDefault="008C3B3A" w:rsidP="00320EE1">
      <w:pPr>
        <w:spacing w:after="0" w:line="240" w:lineRule="auto"/>
        <w:ind w:firstLine="720"/>
        <w:jc w:val="both"/>
        <w:rPr>
          <w:rFonts w:ascii="Times New Roman" w:hAnsi="Times New Roman" w:cs="Times New Roman"/>
          <w:sz w:val="24"/>
          <w:szCs w:val="24"/>
        </w:rPr>
      </w:pPr>
      <w:r w:rsidRPr="008C3B3A">
        <w:rPr>
          <w:rFonts w:ascii="Times New Roman" w:hAnsi="Times New Roman" w:cs="Times New Roman"/>
          <w:sz w:val="24"/>
          <w:szCs w:val="24"/>
        </w:rPr>
        <w:t>Empirically, no prior study has examined the effect of a good composite governance index on risk disclosures in HEIs, and this offers a great chance to make original contributions to the extant risk disclosure research.</w:t>
      </w:r>
      <w:r w:rsidR="00471F77">
        <w:rPr>
          <w:rFonts w:ascii="Times New Roman" w:hAnsi="Times New Roman" w:cs="Times New Roman"/>
          <w:sz w:val="24"/>
          <w:szCs w:val="24"/>
        </w:rPr>
        <w:t xml:space="preserve"> </w:t>
      </w:r>
      <w:r w:rsidR="00320EE1">
        <w:rPr>
          <w:rFonts w:ascii="Times New Roman" w:hAnsi="Times New Roman" w:cs="Times New Roman"/>
          <w:sz w:val="24"/>
          <w:szCs w:val="24"/>
        </w:rPr>
        <w:t>A</w:t>
      </w:r>
      <w:r w:rsidR="00886958" w:rsidRPr="00886958">
        <w:rPr>
          <w:rFonts w:ascii="Times New Roman" w:hAnsi="Times New Roman" w:cs="Times New Roman"/>
          <w:sz w:val="24"/>
          <w:szCs w:val="24"/>
        </w:rPr>
        <w:t xml:space="preserve"> large number of studies have explored general public accountability disclosures in HE</w:t>
      </w:r>
      <w:r w:rsidR="00311ADB">
        <w:rPr>
          <w:rFonts w:ascii="Times New Roman" w:hAnsi="Times New Roman" w:cs="Times New Roman"/>
          <w:sz w:val="24"/>
          <w:szCs w:val="24"/>
        </w:rPr>
        <w:t>Is’</w:t>
      </w:r>
      <w:r w:rsidR="00886958" w:rsidRPr="00886958">
        <w:rPr>
          <w:rFonts w:ascii="Times New Roman" w:hAnsi="Times New Roman" w:cs="Times New Roman"/>
          <w:sz w:val="24"/>
          <w:szCs w:val="24"/>
        </w:rPr>
        <w:t xml:space="preserve"> annual reports </w:t>
      </w:r>
      <w:r w:rsidR="00320EE1">
        <w:rPr>
          <w:rFonts w:ascii="Times New Roman" w:hAnsi="Times New Roman" w:cs="Times New Roman"/>
          <w:sz w:val="24"/>
          <w:szCs w:val="24"/>
        </w:rPr>
        <w:t>(</w:t>
      </w:r>
      <w:r w:rsidR="00320EE1" w:rsidRPr="00886958">
        <w:rPr>
          <w:rFonts w:ascii="Times New Roman" w:hAnsi="Times New Roman" w:cs="Times New Roman"/>
          <w:sz w:val="24"/>
          <w:szCs w:val="24"/>
        </w:rPr>
        <w:t>Cameron &amp; Guthrie, 1993; Coy et al., 1997, 2001</w:t>
      </w:r>
      <w:r w:rsidR="00320EE1">
        <w:rPr>
          <w:rFonts w:ascii="Times New Roman" w:hAnsi="Times New Roman" w:cs="Times New Roman"/>
          <w:sz w:val="24"/>
          <w:szCs w:val="24"/>
        </w:rPr>
        <w:t xml:space="preserve">; </w:t>
      </w:r>
      <w:r w:rsidR="00320EE1" w:rsidRPr="00886958">
        <w:rPr>
          <w:rFonts w:ascii="Times New Roman" w:hAnsi="Times New Roman" w:cs="Times New Roman"/>
          <w:sz w:val="24"/>
          <w:szCs w:val="24"/>
        </w:rPr>
        <w:t>Gray &amp; Haslam, 1990; Banks et al., 1997</w:t>
      </w:r>
      <w:r w:rsidR="00320EE1">
        <w:rPr>
          <w:rFonts w:ascii="Times New Roman" w:hAnsi="Times New Roman" w:cs="Times New Roman"/>
          <w:sz w:val="24"/>
          <w:szCs w:val="24"/>
        </w:rPr>
        <w:t>).</w:t>
      </w:r>
      <w:r w:rsidR="00886958" w:rsidRPr="00886958">
        <w:rPr>
          <w:rFonts w:ascii="Times New Roman" w:hAnsi="Times New Roman" w:cs="Times New Roman"/>
          <w:sz w:val="24"/>
          <w:szCs w:val="24"/>
        </w:rPr>
        <w:t xml:space="preserve"> The findings of these descriptive studies </w:t>
      </w:r>
      <w:r w:rsidR="00886958" w:rsidRPr="00886958">
        <w:rPr>
          <w:rFonts w:ascii="Times New Roman" w:hAnsi="Times New Roman" w:cs="Times New Roman"/>
          <w:sz w:val="24"/>
          <w:szCs w:val="24"/>
        </w:rPr>
        <w:lastRenderedPageBreak/>
        <w:t xml:space="preserve">generally reveal that accountability disclosures by HEIs in their annual reports are patchy. </w:t>
      </w:r>
      <w:r w:rsidR="001E023F">
        <w:rPr>
          <w:rFonts w:ascii="Times New Roman" w:hAnsi="Times New Roman" w:cs="Times New Roman"/>
          <w:sz w:val="24"/>
          <w:szCs w:val="24"/>
        </w:rPr>
        <w:t>Further</w:t>
      </w:r>
      <w:r w:rsidR="00886958" w:rsidRPr="00886958">
        <w:rPr>
          <w:rFonts w:ascii="Times New Roman" w:hAnsi="Times New Roman" w:cs="Times New Roman"/>
          <w:sz w:val="24"/>
          <w:szCs w:val="24"/>
        </w:rPr>
        <w:t>, the findings of these studies generally offer limited insights on the drivers for engaging in risk disclosures, as they are largely descriptive in nature.</w:t>
      </w:r>
    </w:p>
    <w:p w14:paraId="5B8CB5C6" w14:textId="2D5866FC" w:rsidR="00E67753" w:rsidRDefault="001E023F" w:rsidP="00320EE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addition, few studies have examined the </w:t>
      </w:r>
      <w:r w:rsidRPr="00356ADA">
        <w:rPr>
          <w:rFonts w:ascii="Times New Roman" w:hAnsi="Times New Roman" w:cs="Times New Roman"/>
          <w:sz w:val="24"/>
          <w:szCs w:val="24"/>
        </w:rPr>
        <w:t xml:space="preserve">effect of governance structures on general </w:t>
      </w:r>
      <w:r w:rsidR="00903C4C">
        <w:rPr>
          <w:rFonts w:ascii="Times New Roman" w:hAnsi="Times New Roman" w:cs="Times New Roman"/>
          <w:sz w:val="24"/>
          <w:szCs w:val="24"/>
        </w:rPr>
        <w:t>voluntary</w:t>
      </w:r>
      <w:r w:rsidRPr="00356ADA">
        <w:rPr>
          <w:rFonts w:ascii="Times New Roman" w:hAnsi="Times New Roman" w:cs="Times New Roman"/>
          <w:sz w:val="24"/>
          <w:szCs w:val="24"/>
        </w:rPr>
        <w:t xml:space="preserve"> disclosure</w:t>
      </w:r>
      <w:r w:rsidR="00903C4C">
        <w:rPr>
          <w:rFonts w:ascii="Times New Roman" w:hAnsi="Times New Roman" w:cs="Times New Roman"/>
          <w:sz w:val="24"/>
          <w:szCs w:val="24"/>
        </w:rPr>
        <w:t xml:space="preserve"> practices</w:t>
      </w:r>
      <w:r w:rsidRPr="00356ADA">
        <w:rPr>
          <w:rFonts w:ascii="Times New Roman" w:hAnsi="Times New Roman" w:cs="Times New Roman"/>
          <w:sz w:val="24"/>
          <w:szCs w:val="24"/>
        </w:rPr>
        <w:t xml:space="preserve"> </w:t>
      </w:r>
      <w:r w:rsidR="00D95AEC">
        <w:rPr>
          <w:rFonts w:ascii="Times New Roman" w:hAnsi="Times New Roman" w:cs="Times New Roman"/>
          <w:sz w:val="24"/>
          <w:szCs w:val="24"/>
        </w:rPr>
        <w:t>among no</w:t>
      </w:r>
      <w:r w:rsidR="001C1881">
        <w:rPr>
          <w:rFonts w:ascii="Times New Roman" w:hAnsi="Times New Roman" w:cs="Times New Roman"/>
          <w:sz w:val="24"/>
          <w:szCs w:val="24"/>
        </w:rPr>
        <w:t>t</w:t>
      </w:r>
      <w:r w:rsidR="00D95AEC">
        <w:rPr>
          <w:rFonts w:ascii="Times New Roman" w:hAnsi="Times New Roman" w:cs="Times New Roman"/>
          <w:sz w:val="24"/>
          <w:szCs w:val="24"/>
        </w:rPr>
        <w:t>-for-profit organisations in general (</w:t>
      </w:r>
      <w:r w:rsidR="00BE27C3" w:rsidRPr="00BE27C3">
        <w:rPr>
          <w:rFonts w:ascii="Times New Roman" w:hAnsi="Times New Roman" w:cs="Times New Roman"/>
          <w:sz w:val="24"/>
          <w:szCs w:val="24"/>
        </w:rPr>
        <w:t>Saxton &amp; Guo</w:t>
      </w:r>
      <w:r w:rsidR="00BE27C3">
        <w:rPr>
          <w:rFonts w:ascii="Times New Roman" w:hAnsi="Times New Roman" w:cs="Times New Roman"/>
          <w:sz w:val="24"/>
          <w:szCs w:val="24"/>
        </w:rPr>
        <w:t xml:space="preserve">, 2011; </w:t>
      </w:r>
      <w:r w:rsidR="00BE27C3" w:rsidRPr="00BE27C3">
        <w:rPr>
          <w:rFonts w:ascii="Times New Roman" w:hAnsi="Times New Roman" w:cs="Times New Roman"/>
          <w:sz w:val="24"/>
          <w:szCs w:val="24"/>
        </w:rPr>
        <w:t>Saxton</w:t>
      </w:r>
      <w:r w:rsidR="00BE27C3">
        <w:rPr>
          <w:rFonts w:ascii="Times New Roman" w:hAnsi="Times New Roman" w:cs="Times New Roman"/>
          <w:sz w:val="24"/>
          <w:szCs w:val="24"/>
        </w:rPr>
        <w:t xml:space="preserve"> </w:t>
      </w:r>
      <w:r w:rsidR="0011000D">
        <w:rPr>
          <w:rFonts w:ascii="Times New Roman" w:hAnsi="Times New Roman" w:cs="Times New Roman"/>
          <w:sz w:val="24"/>
          <w:szCs w:val="24"/>
        </w:rPr>
        <w:t>et al., 2012</w:t>
      </w:r>
      <w:r w:rsidR="00D95AEC">
        <w:rPr>
          <w:rFonts w:ascii="Times New Roman" w:hAnsi="Times New Roman" w:cs="Times New Roman"/>
          <w:sz w:val="24"/>
          <w:szCs w:val="24"/>
        </w:rPr>
        <w:t>) and HEIs in particular (</w:t>
      </w:r>
      <w:r w:rsidR="00330582">
        <w:rPr>
          <w:rFonts w:ascii="Times New Roman" w:hAnsi="Times New Roman" w:cs="Times New Roman"/>
          <w:sz w:val="24"/>
          <w:szCs w:val="24"/>
        </w:rPr>
        <w:t xml:space="preserve">Elmagrhi et al., 2021; </w:t>
      </w:r>
      <w:r w:rsidRPr="00356ADA">
        <w:rPr>
          <w:rFonts w:ascii="Times New Roman" w:hAnsi="Times New Roman" w:cs="Times New Roman"/>
          <w:sz w:val="24"/>
          <w:szCs w:val="24"/>
        </w:rPr>
        <w:t xml:space="preserve">Gordon et al., 2002; Ntim et al., 2017; Schofield, 2009; Soobaroyen et al., 2014), with the findings of most of these studies demonstrating that governance mechanisms tend to impact positively on </w:t>
      </w:r>
      <w:r w:rsidR="00903C4C">
        <w:rPr>
          <w:rFonts w:ascii="Times New Roman" w:hAnsi="Times New Roman" w:cs="Times New Roman"/>
          <w:sz w:val="24"/>
          <w:szCs w:val="24"/>
        </w:rPr>
        <w:t>voluntary disclosure practices</w:t>
      </w:r>
      <w:r w:rsidRPr="00356ADA">
        <w:rPr>
          <w:rFonts w:ascii="Times New Roman" w:hAnsi="Times New Roman" w:cs="Times New Roman"/>
          <w:sz w:val="24"/>
          <w:szCs w:val="24"/>
        </w:rPr>
        <w:t xml:space="preserve">. For example, </w:t>
      </w:r>
      <w:r w:rsidR="00320EE1">
        <w:rPr>
          <w:rFonts w:ascii="Times New Roman" w:hAnsi="Times New Roman" w:cs="Times New Roman"/>
          <w:sz w:val="24"/>
          <w:szCs w:val="24"/>
        </w:rPr>
        <w:t xml:space="preserve">and of closer </w:t>
      </w:r>
      <w:r w:rsidR="008E46BB">
        <w:rPr>
          <w:rFonts w:ascii="Times New Roman" w:hAnsi="Times New Roman" w:cs="Times New Roman"/>
          <w:sz w:val="24"/>
          <w:szCs w:val="24"/>
        </w:rPr>
        <w:t xml:space="preserve">relevance to our current study, </w:t>
      </w:r>
      <w:r w:rsidRPr="00356ADA">
        <w:rPr>
          <w:rFonts w:ascii="Times New Roman" w:hAnsi="Times New Roman" w:cs="Times New Roman"/>
          <w:sz w:val="24"/>
          <w:szCs w:val="24"/>
        </w:rPr>
        <w:t>Ntim et al. (2017)</w:t>
      </w:r>
      <w:r w:rsidR="00AD4550">
        <w:rPr>
          <w:rStyle w:val="FootnoteReference"/>
          <w:rFonts w:ascii="Times New Roman" w:hAnsi="Times New Roman" w:cs="Times New Roman"/>
          <w:sz w:val="24"/>
          <w:szCs w:val="24"/>
        </w:rPr>
        <w:footnoteReference w:id="3"/>
      </w:r>
      <w:r w:rsidRPr="00356ADA">
        <w:rPr>
          <w:rFonts w:ascii="Times New Roman" w:hAnsi="Times New Roman" w:cs="Times New Roman"/>
          <w:sz w:val="24"/>
          <w:szCs w:val="24"/>
        </w:rPr>
        <w:t xml:space="preserve"> present evidence that suggests that </w:t>
      </w:r>
      <w:r w:rsidR="00DD06D4">
        <w:rPr>
          <w:rFonts w:ascii="Times New Roman" w:hAnsi="Times New Roman" w:cs="Times New Roman"/>
          <w:sz w:val="24"/>
          <w:szCs w:val="24"/>
        </w:rPr>
        <w:t xml:space="preserve">individual </w:t>
      </w:r>
      <w:r w:rsidRPr="00356ADA">
        <w:rPr>
          <w:rFonts w:ascii="Times New Roman" w:hAnsi="Times New Roman" w:cs="Times New Roman"/>
          <w:sz w:val="24"/>
          <w:szCs w:val="24"/>
        </w:rPr>
        <w:t xml:space="preserve">board structure variables, including board independence, </w:t>
      </w:r>
      <w:r w:rsidR="00E67753" w:rsidRPr="00356ADA">
        <w:rPr>
          <w:rFonts w:ascii="Times New Roman" w:hAnsi="Times New Roman" w:cs="Times New Roman"/>
          <w:sz w:val="24"/>
          <w:szCs w:val="24"/>
        </w:rPr>
        <w:t>diversity,</w:t>
      </w:r>
      <w:r w:rsidRPr="00356ADA">
        <w:rPr>
          <w:rFonts w:ascii="Times New Roman" w:hAnsi="Times New Roman" w:cs="Times New Roman"/>
          <w:sz w:val="24"/>
          <w:szCs w:val="24"/>
        </w:rPr>
        <w:t xml:space="preserve"> and the existence of a governance committee, have a positive effect on general public accountability disclosures among 130 UK HEIs. </w:t>
      </w:r>
    </w:p>
    <w:p w14:paraId="37FF13B7" w14:textId="275B152E" w:rsidR="00903C4C" w:rsidRDefault="001E023F" w:rsidP="00B7219E">
      <w:pPr>
        <w:spacing w:after="0" w:line="240" w:lineRule="auto"/>
        <w:ind w:firstLine="720"/>
        <w:jc w:val="both"/>
        <w:rPr>
          <w:rFonts w:ascii="Times New Roman" w:hAnsi="Times New Roman" w:cs="Times New Roman"/>
          <w:sz w:val="24"/>
          <w:szCs w:val="24"/>
        </w:rPr>
      </w:pPr>
      <w:r w:rsidRPr="00356ADA">
        <w:rPr>
          <w:rFonts w:ascii="Times New Roman" w:hAnsi="Times New Roman" w:cs="Times New Roman"/>
          <w:sz w:val="24"/>
          <w:szCs w:val="24"/>
        </w:rPr>
        <w:t>However, the extent to which composite good governance indices affect disclosure behaviour in</w:t>
      </w:r>
      <w:r w:rsidR="00E67753">
        <w:rPr>
          <w:rFonts w:ascii="Times New Roman" w:hAnsi="Times New Roman" w:cs="Times New Roman"/>
          <w:sz w:val="24"/>
          <w:szCs w:val="24"/>
        </w:rPr>
        <w:t xml:space="preserve"> non-profitable organisations in general, and </w:t>
      </w:r>
      <w:r w:rsidRPr="00356ADA">
        <w:rPr>
          <w:rFonts w:ascii="Times New Roman" w:hAnsi="Times New Roman" w:cs="Times New Roman"/>
          <w:sz w:val="24"/>
          <w:szCs w:val="24"/>
        </w:rPr>
        <w:t>HEIs</w:t>
      </w:r>
      <w:r w:rsidR="00E67753">
        <w:rPr>
          <w:rFonts w:ascii="Times New Roman" w:hAnsi="Times New Roman" w:cs="Times New Roman"/>
          <w:sz w:val="24"/>
          <w:szCs w:val="24"/>
        </w:rPr>
        <w:t xml:space="preserve"> in particular,</w:t>
      </w:r>
      <w:r w:rsidRPr="00356ADA">
        <w:rPr>
          <w:rFonts w:ascii="Times New Roman" w:hAnsi="Times New Roman" w:cs="Times New Roman"/>
          <w:sz w:val="24"/>
          <w:szCs w:val="24"/>
        </w:rPr>
        <w:t xml:space="preserve"> </w:t>
      </w:r>
      <w:r w:rsidR="00B7219E">
        <w:rPr>
          <w:rFonts w:ascii="Times New Roman" w:hAnsi="Times New Roman" w:cs="Times New Roman"/>
          <w:sz w:val="24"/>
          <w:szCs w:val="24"/>
        </w:rPr>
        <w:t>has rarely been examined</w:t>
      </w:r>
      <w:r w:rsidRPr="00356ADA">
        <w:rPr>
          <w:rFonts w:ascii="Times New Roman" w:hAnsi="Times New Roman" w:cs="Times New Roman"/>
          <w:sz w:val="24"/>
          <w:szCs w:val="24"/>
        </w:rPr>
        <w:t>.</w:t>
      </w:r>
      <w:r w:rsidR="00DE577B">
        <w:rPr>
          <w:rFonts w:ascii="Times New Roman" w:hAnsi="Times New Roman" w:cs="Times New Roman"/>
          <w:sz w:val="24"/>
          <w:szCs w:val="24"/>
        </w:rPr>
        <w:t xml:space="preserve"> </w:t>
      </w:r>
      <w:r w:rsidR="00371FF4">
        <w:rPr>
          <w:rFonts w:ascii="Times New Roman" w:hAnsi="Times New Roman" w:cs="Times New Roman"/>
          <w:sz w:val="24"/>
          <w:szCs w:val="24"/>
        </w:rPr>
        <w:t xml:space="preserve">For example, </w:t>
      </w:r>
      <w:r w:rsidR="00E67753">
        <w:rPr>
          <w:rFonts w:ascii="Times New Roman" w:hAnsi="Times New Roman" w:cs="Times New Roman"/>
          <w:sz w:val="24"/>
          <w:szCs w:val="24"/>
        </w:rPr>
        <w:t xml:space="preserve">Feng et al. (2019) </w:t>
      </w:r>
      <w:r w:rsidR="009404A9">
        <w:rPr>
          <w:rFonts w:ascii="Times New Roman" w:hAnsi="Times New Roman" w:cs="Times New Roman"/>
          <w:sz w:val="24"/>
          <w:szCs w:val="24"/>
        </w:rPr>
        <w:t xml:space="preserve">report that </w:t>
      </w:r>
      <w:r w:rsidR="00DD06D4">
        <w:rPr>
          <w:rFonts w:ascii="Times New Roman" w:hAnsi="Times New Roman" w:cs="Times New Roman"/>
          <w:sz w:val="24"/>
          <w:szCs w:val="24"/>
        </w:rPr>
        <w:t>s</w:t>
      </w:r>
      <w:r w:rsidR="009404A9" w:rsidRPr="009404A9">
        <w:rPr>
          <w:rFonts w:ascii="Times New Roman" w:hAnsi="Times New Roman" w:cs="Times New Roman"/>
          <w:sz w:val="24"/>
          <w:szCs w:val="24"/>
        </w:rPr>
        <w:t xml:space="preserve">tandards for </w:t>
      </w:r>
      <w:r w:rsidR="00DD06D4">
        <w:rPr>
          <w:rFonts w:ascii="Times New Roman" w:hAnsi="Times New Roman" w:cs="Times New Roman"/>
          <w:sz w:val="24"/>
          <w:szCs w:val="24"/>
        </w:rPr>
        <w:t>e</w:t>
      </w:r>
      <w:r w:rsidR="009404A9" w:rsidRPr="009404A9">
        <w:rPr>
          <w:rFonts w:ascii="Times New Roman" w:hAnsi="Times New Roman" w:cs="Times New Roman"/>
          <w:sz w:val="24"/>
          <w:szCs w:val="24"/>
        </w:rPr>
        <w:t>xcellence</w:t>
      </w:r>
      <w:r w:rsidR="009404A9">
        <w:rPr>
          <w:rFonts w:ascii="Times New Roman" w:hAnsi="Times New Roman" w:cs="Times New Roman"/>
          <w:sz w:val="24"/>
          <w:szCs w:val="24"/>
        </w:rPr>
        <w:t xml:space="preserve"> certification is positively associated with good governance (measured </w:t>
      </w:r>
      <w:r w:rsidR="00DD06D4">
        <w:rPr>
          <w:rFonts w:ascii="Times New Roman" w:hAnsi="Times New Roman" w:cs="Times New Roman"/>
          <w:sz w:val="24"/>
          <w:szCs w:val="24"/>
        </w:rPr>
        <w:t>by</w:t>
      </w:r>
      <w:r w:rsidR="009404A9">
        <w:rPr>
          <w:rFonts w:ascii="Times New Roman" w:hAnsi="Times New Roman" w:cs="Times New Roman"/>
          <w:sz w:val="24"/>
          <w:szCs w:val="24"/>
        </w:rPr>
        <w:t xml:space="preserve"> a composite index) among 228 US non-profitable organisations. Further,</w:t>
      </w:r>
      <w:r w:rsidR="00F42365">
        <w:rPr>
          <w:rFonts w:ascii="Times New Roman" w:hAnsi="Times New Roman" w:cs="Times New Roman"/>
          <w:sz w:val="24"/>
          <w:szCs w:val="24"/>
        </w:rPr>
        <w:t xml:space="preserve"> Harris </w:t>
      </w:r>
      <w:r w:rsidR="00D820BD">
        <w:rPr>
          <w:rFonts w:ascii="Times New Roman" w:hAnsi="Times New Roman" w:cs="Times New Roman"/>
          <w:sz w:val="24"/>
          <w:szCs w:val="24"/>
        </w:rPr>
        <w:t xml:space="preserve">and </w:t>
      </w:r>
      <w:r w:rsidR="00D820BD" w:rsidRPr="004F32C3">
        <w:rPr>
          <w:rFonts w:ascii="Times New Roman" w:hAnsi="Times New Roman" w:cs="Times New Roman"/>
          <w:sz w:val="24"/>
          <w:szCs w:val="24"/>
        </w:rPr>
        <w:t>Neely</w:t>
      </w:r>
      <w:r w:rsidR="00F42365">
        <w:rPr>
          <w:rFonts w:ascii="Times New Roman" w:hAnsi="Times New Roman" w:cs="Times New Roman"/>
          <w:sz w:val="24"/>
          <w:szCs w:val="24"/>
        </w:rPr>
        <w:t xml:space="preserve"> (20</w:t>
      </w:r>
      <w:r w:rsidR="00B7219E">
        <w:rPr>
          <w:rFonts w:ascii="Times New Roman" w:hAnsi="Times New Roman" w:cs="Times New Roman"/>
          <w:sz w:val="24"/>
          <w:szCs w:val="24"/>
        </w:rPr>
        <w:t>21</w:t>
      </w:r>
      <w:r w:rsidR="00F42365">
        <w:rPr>
          <w:rFonts w:ascii="Times New Roman" w:hAnsi="Times New Roman" w:cs="Times New Roman"/>
          <w:sz w:val="24"/>
          <w:szCs w:val="24"/>
        </w:rPr>
        <w:t xml:space="preserve">) </w:t>
      </w:r>
      <w:r w:rsidR="00B7219E">
        <w:rPr>
          <w:rFonts w:ascii="Times New Roman" w:hAnsi="Times New Roman" w:cs="Times New Roman"/>
          <w:sz w:val="24"/>
          <w:szCs w:val="24"/>
        </w:rPr>
        <w:t>provided</w:t>
      </w:r>
      <w:r w:rsidR="00F42365">
        <w:rPr>
          <w:rFonts w:ascii="Times New Roman" w:hAnsi="Times New Roman" w:cs="Times New Roman"/>
          <w:sz w:val="24"/>
          <w:szCs w:val="24"/>
        </w:rPr>
        <w:t xml:space="preserve"> evidence that g</w:t>
      </w:r>
      <w:r w:rsidR="00533442">
        <w:rPr>
          <w:rFonts w:ascii="Times New Roman" w:hAnsi="Times New Roman" w:cs="Times New Roman"/>
          <w:sz w:val="24"/>
          <w:szCs w:val="24"/>
        </w:rPr>
        <w:t>ood</w:t>
      </w:r>
      <w:r w:rsidR="00F42365">
        <w:rPr>
          <w:rFonts w:ascii="Times New Roman" w:hAnsi="Times New Roman" w:cs="Times New Roman"/>
          <w:sz w:val="24"/>
          <w:szCs w:val="24"/>
        </w:rPr>
        <w:t xml:space="preserve"> governance </w:t>
      </w:r>
      <w:r w:rsidR="00B7219E">
        <w:rPr>
          <w:rFonts w:ascii="Times New Roman" w:hAnsi="Times New Roman" w:cs="Times New Roman"/>
          <w:sz w:val="24"/>
          <w:szCs w:val="24"/>
        </w:rPr>
        <w:t xml:space="preserve">is positively associated with greater transparency among </w:t>
      </w:r>
      <w:r w:rsidR="00F42365" w:rsidRPr="00F42365">
        <w:rPr>
          <w:rFonts w:ascii="Times New Roman" w:hAnsi="Times New Roman" w:cs="Times New Roman"/>
          <w:sz w:val="24"/>
          <w:szCs w:val="24"/>
        </w:rPr>
        <w:t>6,309</w:t>
      </w:r>
      <w:r w:rsidR="00B7219E">
        <w:rPr>
          <w:rFonts w:ascii="Times New Roman" w:hAnsi="Times New Roman" w:cs="Times New Roman"/>
          <w:sz w:val="24"/>
          <w:szCs w:val="24"/>
        </w:rPr>
        <w:t xml:space="preserve"> US non-profitable organisations. Similarly, </w:t>
      </w:r>
      <w:r w:rsidR="009404A9">
        <w:rPr>
          <w:rFonts w:ascii="Times New Roman" w:hAnsi="Times New Roman" w:cs="Times New Roman"/>
          <w:sz w:val="24"/>
          <w:szCs w:val="24"/>
        </w:rPr>
        <w:t xml:space="preserve">Harris et al. (2015) </w:t>
      </w:r>
      <w:r w:rsidR="00F42365">
        <w:rPr>
          <w:rFonts w:ascii="Times New Roman" w:hAnsi="Times New Roman" w:cs="Times New Roman"/>
          <w:sz w:val="24"/>
          <w:szCs w:val="24"/>
        </w:rPr>
        <w:t>find a statistically positive relationship between good governance practices and doner support (i.e., government fund</w:t>
      </w:r>
      <w:r w:rsidR="005B0DD6">
        <w:rPr>
          <w:rFonts w:ascii="Times New Roman" w:hAnsi="Times New Roman" w:cs="Times New Roman"/>
          <w:sz w:val="24"/>
          <w:szCs w:val="24"/>
        </w:rPr>
        <w:t>ing</w:t>
      </w:r>
      <w:r w:rsidR="00F42365">
        <w:rPr>
          <w:rFonts w:ascii="Times New Roman" w:hAnsi="Times New Roman" w:cs="Times New Roman"/>
          <w:sz w:val="24"/>
          <w:szCs w:val="24"/>
        </w:rPr>
        <w:t xml:space="preserve"> and donations) among 10,846 non-profitable organisations. </w:t>
      </w:r>
    </w:p>
    <w:p w14:paraId="401D111E" w14:textId="0100ABE5" w:rsidR="00B7219E" w:rsidRDefault="00B7219E" w:rsidP="001E01A1">
      <w:pPr>
        <w:spacing w:after="0" w:line="240" w:lineRule="auto"/>
        <w:ind w:firstLine="720"/>
        <w:jc w:val="both"/>
        <w:rPr>
          <w:rFonts w:ascii="Times New Roman" w:hAnsi="Times New Roman" w:cs="Times New Roman"/>
          <w:sz w:val="24"/>
          <w:szCs w:val="24"/>
        </w:rPr>
      </w:pPr>
      <w:r w:rsidRPr="00B7219E">
        <w:rPr>
          <w:rFonts w:ascii="Times New Roman" w:hAnsi="Times New Roman" w:cs="Times New Roman"/>
          <w:sz w:val="24"/>
          <w:szCs w:val="24"/>
        </w:rPr>
        <w:t xml:space="preserve">With respect to the UK HEI context, good governance codes (e.g., CUC, 2009, 2014; CSC, 2013) and risk </w:t>
      </w:r>
      <w:r w:rsidR="003304DC">
        <w:rPr>
          <w:rFonts w:ascii="Times New Roman" w:hAnsi="Times New Roman" w:cs="Times New Roman"/>
          <w:sz w:val="24"/>
          <w:szCs w:val="24"/>
        </w:rPr>
        <w:t>codes/guidelines</w:t>
      </w:r>
      <w:r w:rsidRPr="00B7219E">
        <w:rPr>
          <w:rFonts w:ascii="Times New Roman" w:hAnsi="Times New Roman" w:cs="Times New Roman"/>
          <w:sz w:val="24"/>
          <w:szCs w:val="24"/>
        </w:rPr>
        <w:t xml:space="preserve"> (HEFCE, 2001a, b, 2005; LFHE, 2009) expect HEIs to engage in good risk</w:t>
      </w:r>
      <w:r w:rsidR="003304DC">
        <w:rPr>
          <w:rFonts w:ascii="Times New Roman" w:hAnsi="Times New Roman" w:cs="Times New Roman"/>
          <w:sz w:val="24"/>
          <w:szCs w:val="24"/>
        </w:rPr>
        <w:t xml:space="preserve">, </w:t>
      </w:r>
      <w:r w:rsidRPr="00B7219E">
        <w:rPr>
          <w:rFonts w:ascii="Times New Roman" w:hAnsi="Times New Roman" w:cs="Times New Roman"/>
          <w:sz w:val="24"/>
          <w:szCs w:val="24"/>
        </w:rPr>
        <w:t>governance, and disclosure practices. A unique requirement of funding councils, such as DFE, O</w:t>
      </w:r>
      <w:r w:rsidR="00FA437E">
        <w:rPr>
          <w:rFonts w:ascii="Times New Roman" w:hAnsi="Times New Roman" w:cs="Times New Roman"/>
          <w:sz w:val="24"/>
          <w:szCs w:val="24"/>
        </w:rPr>
        <w:t>f</w:t>
      </w:r>
      <w:r w:rsidRPr="00B7219E">
        <w:rPr>
          <w:rFonts w:ascii="Times New Roman" w:hAnsi="Times New Roman" w:cs="Times New Roman"/>
          <w:sz w:val="24"/>
          <w:szCs w:val="24"/>
        </w:rPr>
        <w:t>S, HEFCW and SFC (representing respective governments of Northern Ireland, Wales, England and Scotland) is that all UK HEIs have to submit annual accountability returns, which include financial sustainability, governance and risk management plans and practices. Together, the evidence suggests that good quality governance, captured by using a good composite governance quality index, is likely to have a positive link with the extent of risk disclosures, and thus, we hypothesise that:</w:t>
      </w:r>
    </w:p>
    <w:p w14:paraId="11CF0E17" w14:textId="77777777" w:rsidR="001E01A1" w:rsidRPr="007B5D1F" w:rsidRDefault="001E01A1" w:rsidP="001E01A1">
      <w:pPr>
        <w:spacing w:after="0" w:line="240" w:lineRule="auto"/>
        <w:ind w:firstLine="720"/>
        <w:jc w:val="both"/>
        <w:rPr>
          <w:rFonts w:ascii="Times New Roman" w:hAnsi="Times New Roman" w:cs="Times New Roman"/>
          <w:sz w:val="24"/>
          <w:szCs w:val="24"/>
        </w:rPr>
      </w:pPr>
    </w:p>
    <w:p w14:paraId="36269493" w14:textId="0524A538" w:rsidR="00B7219E" w:rsidRPr="00B7219E" w:rsidRDefault="00B7219E" w:rsidP="00A50378">
      <w:pPr>
        <w:spacing w:line="240" w:lineRule="auto"/>
        <w:ind w:left="284"/>
        <w:jc w:val="both"/>
        <w:rPr>
          <w:rFonts w:ascii="Times New Roman" w:hAnsi="Times New Roman" w:cs="Times New Roman"/>
          <w:i/>
          <w:sz w:val="24"/>
          <w:szCs w:val="24"/>
        </w:rPr>
      </w:pPr>
      <w:r w:rsidRPr="00B7219E">
        <w:rPr>
          <w:rFonts w:ascii="Times New Roman" w:hAnsi="Times New Roman" w:cs="Times New Roman"/>
          <w:b/>
          <w:bCs/>
          <w:iCs/>
          <w:sz w:val="24"/>
          <w:szCs w:val="24"/>
        </w:rPr>
        <w:t>H1:</w:t>
      </w:r>
      <w:r w:rsidRPr="00B7219E">
        <w:rPr>
          <w:rFonts w:ascii="Times New Roman" w:hAnsi="Times New Roman" w:cs="Times New Roman"/>
          <w:iCs/>
          <w:sz w:val="24"/>
          <w:szCs w:val="24"/>
        </w:rPr>
        <w:t xml:space="preserve"> </w:t>
      </w:r>
      <w:bookmarkStart w:id="3" w:name="_Hlk110332233"/>
      <w:r w:rsidR="00D97E7B" w:rsidRPr="00D97E7B">
        <w:rPr>
          <w:rFonts w:ascii="Times New Roman" w:hAnsi="Times New Roman" w:cs="Times New Roman"/>
          <w:i/>
          <w:sz w:val="24"/>
          <w:szCs w:val="24"/>
        </w:rPr>
        <w:t>The extent of voluntary risk disclosure is positively associated with governance quality</w:t>
      </w:r>
      <w:bookmarkEnd w:id="3"/>
      <w:r w:rsidR="003304DC" w:rsidRPr="006140B4">
        <w:rPr>
          <w:rFonts w:ascii="Times New Roman" w:hAnsi="Times New Roman" w:cs="Times New Roman"/>
          <w:i/>
          <w:sz w:val="24"/>
          <w:szCs w:val="24"/>
        </w:rPr>
        <w:t xml:space="preserve">. </w:t>
      </w:r>
    </w:p>
    <w:p w14:paraId="3A912F31" w14:textId="3D72E6F9" w:rsidR="002F70D3" w:rsidRPr="00356ADA" w:rsidRDefault="00020266" w:rsidP="002A4704">
      <w:pPr>
        <w:spacing w:line="240" w:lineRule="auto"/>
        <w:rPr>
          <w:rFonts w:ascii="Times New Roman" w:hAnsi="Times New Roman" w:cs="Times New Roman"/>
          <w:b/>
          <w:bCs/>
          <w:i/>
          <w:sz w:val="24"/>
          <w:szCs w:val="24"/>
        </w:rPr>
      </w:pPr>
      <w:r>
        <w:rPr>
          <w:rFonts w:ascii="Times New Roman" w:hAnsi="Times New Roman" w:cs="Times New Roman"/>
          <w:b/>
          <w:bCs/>
          <w:i/>
          <w:sz w:val="24"/>
          <w:szCs w:val="24"/>
        </w:rPr>
        <w:lastRenderedPageBreak/>
        <w:t>3</w:t>
      </w:r>
      <w:r w:rsidR="00A03A45" w:rsidRPr="00356ADA">
        <w:rPr>
          <w:rFonts w:ascii="Times New Roman" w:hAnsi="Times New Roman" w:cs="Times New Roman"/>
          <w:b/>
          <w:bCs/>
          <w:i/>
          <w:sz w:val="24"/>
          <w:szCs w:val="24"/>
        </w:rPr>
        <w:t xml:space="preserve">.2 </w:t>
      </w:r>
      <w:r w:rsidR="004B20AD">
        <w:rPr>
          <w:rFonts w:ascii="Times New Roman" w:hAnsi="Times New Roman" w:cs="Times New Roman"/>
          <w:b/>
          <w:bCs/>
          <w:i/>
          <w:sz w:val="24"/>
          <w:szCs w:val="24"/>
        </w:rPr>
        <w:t>S</w:t>
      </w:r>
      <w:r w:rsidR="002F70D3" w:rsidRPr="00356ADA">
        <w:rPr>
          <w:rFonts w:ascii="Times New Roman" w:hAnsi="Times New Roman" w:cs="Times New Roman"/>
          <w:b/>
          <w:bCs/>
          <w:i/>
          <w:sz w:val="24"/>
          <w:szCs w:val="24"/>
        </w:rPr>
        <w:t>enior management team</w:t>
      </w:r>
      <w:r w:rsidR="00A03A45" w:rsidRPr="00356ADA">
        <w:rPr>
          <w:rFonts w:ascii="Times New Roman" w:hAnsi="Times New Roman" w:cs="Times New Roman"/>
          <w:b/>
          <w:bCs/>
          <w:i/>
          <w:sz w:val="24"/>
          <w:szCs w:val="24"/>
        </w:rPr>
        <w:t xml:space="preserve"> characteristics</w:t>
      </w:r>
      <w:r w:rsidR="004B20AD">
        <w:rPr>
          <w:rFonts w:ascii="Times New Roman" w:hAnsi="Times New Roman" w:cs="Times New Roman"/>
          <w:b/>
          <w:bCs/>
          <w:i/>
          <w:sz w:val="24"/>
          <w:szCs w:val="24"/>
        </w:rPr>
        <w:t xml:space="preserve"> and voluntary risk disclosures</w:t>
      </w:r>
    </w:p>
    <w:p w14:paraId="4532862B" w14:textId="57E8690A" w:rsidR="00752F2E" w:rsidRDefault="00752F2E" w:rsidP="0013621B">
      <w:pPr>
        <w:spacing w:after="0" w:line="240" w:lineRule="auto"/>
        <w:jc w:val="both"/>
        <w:rPr>
          <w:rFonts w:ascii="Times New Roman" w:hAnsi="Times New Roman" w:cs="Times New Roman"/>
          <w:sz w:val="24"/>
          <w:szCs w:val="24"/>
        </w:rPr>
      </w:pPr>
      <w:r w:rsidRPr="00356ADA">
        <w:rPr>
          <w:rFonts w:ascii="Times New Roman" w:hAnsi="Times New Roman" w:cs="Times New Roman"/>
          <w:sz w:val="24"/>
          <w:szCs w:val="24"/>
        </w:rPr>
        <w:t xml:space="preserve">As noted </w:t>
      </w:r>
      <w:r w:rsidR="0013621B">
        <w:rPr>
          <w:rFonts w:ascii="Times New Roman" w:hAnsi="Times New Roman" w:cs="Times New Roman"/>
          <w:sz w:val="24"/>
          <w:szCs w:val="24"/>
        </w:rPr>
        <w:t>in the introduction</w:t>
      </w:r>
      <w:r w:rsidRPr="00356ADA">
        <w:rPr>
          <w:rFonts w:ascii="Times New Roman" w:hAnsi="Times New Roman" w:cs="Times New Roman"/>
          <w:sz w:val="24"/>
          <w:szCs w:val="24"/>
        </w:rPr>
        <w:t>, UK HEIs have traditionally relied on “shared” governance model</w:t>
      </w:r>
      <w:r w:rsidR="00430511" w:rsidRPr="00356ADA">
        <w:rPr>
          <w:rFonts w:ascii="Times New Roman" w:hAnsi="Times New Roman" w:cs="Times New Roman"/>
          <w:sz w:val="24"/>
          <w:szCs w:val="24"/>
        </w:rPr>
        <w:t>, whereby the governance responsibilit</w:t>
      </w:r>
      <w:r w:rsidR="008C6DA2">
        <w:rPr>
          <w:rFonts w:ascii="Times New Roman" w:hAnsi="Times New Roman" w:cs="Times New Roman"/>
          <w:sz w:val="24"/>
          <w:szCs w:val="24"/>
        </w:rPr>
        <w:t>ies</w:t>
      </w:r>
      <w:r w:rsidR="00430511" w:rsidRPr="00356ADA">
        <w:rPr>
          <w:rFonts w:ascii="Times New Roman" w:hAnsi="Times New Roman" w:cs="Times New Roman"/>
          <w:sz w:val="24"/>
          <w:szCs w:val="24"/>
        </w:rPr>
        <w:t xml:space="preserve"> are shared among three main </w:t>
      </w:r>
      <w:r w:rsidR="00FA437E">
        <w:rPr>
          <w:rFonts w:ascii="Times New Roman" w:hAnsi="Times New Roman" w:cs="Times New Roman"/>
          <w:sz w:val="24"/>
          <w:szCs w:val="24"/>
        </w:rPr>
        <w:t xml:space="preserve">governance </w:t>
      </w:r>
      <w:r w:rsidR="00430511" w:rsidRPr="00356ADA">
        <w:rPr>
          <w:rFonts w:ascii="Times New Roman" w:hAnsi="Times New Roman" w:cs="Times New Roman"/>
          <w:sz w:val="24"/>
          <w:szCs w:val="24"/>
        </w:rPr>
        <w:t>organs, consisting of the board of governors (the “</w:t>
      </w:r>
      <w:r w:rsidR="004378EA" w:rsidRPr="00356ADA">
        <w:rPr>
          <w:rFonts w:ascii="Times New Roman" w:hAnsi="Times New Roman" w:cs="Times New Roman"/>
          <w:sz w:val="24"/>
          <w:szCs w:val="24"/>
        </w:rPr>
        <w:t xml:space="preserve">HEI </w:t>
      </w:r>
      <w:r w:rsidR="00430511" w:rsidRPr="00356ADA">
        <w:rPr>
          <w:rFonts w:ascii="Times New Roman" w:hAnsi="Times New Roman" w:cs="Times New Roman"/>
          <w:sz w:val="24"/>
          <w:szCs w:val="24"/>
        </w:rPr>
        <w:t>council/court”), academic body (the “senate”), and the vice-chancery (the “</w:t>
      </w:r>
      <w:r w:rsidR="004378EA" w:rsidRPr="00356ADA">
        <w:rPr>
          <w:rFonts w:ascii="Times New Roman" w:hAnsi="Times New Roman" w:cs="Times New Roman"/>
          <w:sz w:val="24"/>
          <w:szCs w:val="24"/>
        </w:rPr>
        <w:t xml:space="preserve">HEI </w:t>
      </w:r>
      <w:r w:rsidR="00430511" w:rsidRPr="00356ADA">
        <w:rPr>
          <w:rFonts w:ascii="Times New Roman" w:hAnsi="Times New Roman" w:cs="Times New Roman"/>
          <w:sz w:val="24"/>
          <w:szCs w:val="24"/>
        </w:rPr>
        <w:t>senior management team”) (</w:t>
      </w:r>
      <w:r w:rsidR="00572DEE" w:rsidRPr="00356ADA">
        <w:rPr>
          <w:rFonts w:ascii="Times New Roman" w:hAnsi="Times New Roman" w:cs="Times New Roman"/>
          <w:sz w:val="24"/>
          <w:szCs w:val="24"/>
        </w:rPr>
        <w:t>Middlehurst, 2013; Shattock, 2013)</w:t>
      </w:r>
      <w:r w:rsidR="00430511" w:rsidRPr="00356ADA">
        <w:rPr>
          <w:rFonts w:ascii="Times New Roman" w:hAnsi="Times New Roman" w:cs="Times New Roman"/>
          <w:sz w:val="24"/>
          <w:szCs w:val="24"/>
        </w:rPr>
        <w:t>.</w:t>
      </w:r>
      <w:r w:rsidR="00572DEE" w:rsidRPr="00356ADA">
        <w:rPr>
          <w:rFonts w:ascii="Times New Roman" w:hAnsi="Times New Roman" w:cs="Times New Roman"/>
          <w:sz w:val="24"/>
          <w:szCs w:val="24"/>
        </w:rPr>
        <w:t xml:space="preserve"> Briefly, the </w:t>
      </w:r>
      <w:r w:rsidR="004378EA" w:rsidRPr="00356ADA">
        <w:rPr>
          <w:rFonts w:ascii="Times New Roman" w:hAnsi="Times New Roman" w:cs="Times New Roman"/>
          <w:sz w:val="24"/>
          <w:szCs w:val="24"/>
        </w:rPr>
        <w:t xml:space="preserve">HEI </w:t>
      </w:r>
      <w:r w:rsidR="00572DEE" w:rsidRPr="00356ADA">
        <w:rPr>
          <w:rFonts w:ascii="Times New Roman" w:hAnsi="Times New Roman" w:cs="Times New Roman"/>
          <w:sz w:val="24"/>
          <w:szCs w:val="24"/>
        </w:rPr>
        <w:t xml:space="preserve">council typically consists of </w:t>
      </w:r>
      <w:r w:rsidR="00004D61" w:rsidRPr="00356ADA">
        <w:rPr>
          <w:rFonts w:ascii="Times New Roman" w:hAnsi="Times New Roman" w:cs="Times New Roman"/>
          <w:sz w:val="24"/>
          <w:szCs w:val="24"/>
        </w:rPr>
        <w:t>(i)</w:t>
      </w:r>
      <w:r w:rsidR="00572DEE" w:rsidRPr="00356ADA">
        <w:rPr>
          <w:rFonts w:ascii="Times New Roman" w:hAnsi="Times New Roman" w:cs="Times New Roman"/>
          <w:sz w:val="24"/>
          <w:szCs w:val="24"/>
        </w:rPr>
        <w:t xml:space="preserve"> independent (lay/outside) members; (ii) the vice-chancellor; (iii) employee and student union representatives; and (iv) local community representatives (e.g., county/city council and church missions). The independent/lay members are typi</w:t>
      </w:r>
      <w:r w:rsidR="00004D61" w:rsidRPr="00356ADA">
        <w:rPr>
          <w:rFonts w:ascii="Times New Roman" w:hAnsi="Times New Roman" w:cs="Times New Roman"/>
          <w:sz w:val="24"/>
          <w:szCs w:val="24"/>
        </w:rPr>
        <w:t>cally expected to</w:t>
      </w:r>
      <w:r w:rsidR="00F2626C" w:rsidRPr="00356ADA">
        <w:rPr>
          <w:rFonts w:ascii="Times New Roman" w:hAnsi="Times New Roman" w:cs="Times New Roman"/>
          <w:sz w:val="24"/>
          <w:szCs w:val="24"/>
        </w:rPr>
        <w:t xml:space="preserve"> be</w:t>
      </w:r>
      <w:r w:rsidR="00572DEE" w:rsidRPr="00356ADA">
        <w:rPr>
          <w:rFonts w:ascii="Times New Roman" w:hAnsi="Times New Roman" w:cs="Times New Roman"/>
          <w:sz w:val="24"/>
          <w:szCs w:val="24"/>
        </w:rPr>
        <w:t xml:space="preserve"> businessmen, public servants, entrepreneurs</w:t>
      </w:r>
      <w:r w:rsidR="00004D61" w:rsidRPr="00356ADA">
        <w:rPr>
          <w:rFonts w:ascii="Times New Roman" w:hAnsi="Times New Roman" w:cs="Times New Roman"/>
          <w:sz w:val="24"/>
          <w:szCs w:val="24"/>
        </w:rPr>
        <w:t>, politicians</w:t>
      </w:r>
      <w:r w:rsidR="00572DEE" w:rsidRPr="00356ADA">
        <w:rPr>
          <w:rFonts w:ascii="Times New Roman" w:hAnsi="Times New Roman" w:cs="Times New Roman"/>
          <w:sz w:val="24"/>
          <w:szCs w:val="24"/>
        </w:rPr>
        <w:t xml:space="preserve"> and prof</w:t>
      </w:r>
      <w:r w:rsidR="00004D61" w:rsidRPr="00356ADA">
        <w:rPr>
          <w:rFonts w:ascii="Times New Roman" w:hAnsi="Times New Roman" w:cs="Times New Roman"/>
          <w:sz w:val="24"/>
          <w:szCs w:val="24"/>
        </w:rPr>
        <w:t>essionals</w:t>
      </w:r>
      <w:r w:rsidR="00F2626C" w:rsidRPr="00356ADA">
        <w:rPr>
          <w:rFonts w:ascii="Times New Roman" w:hAnsi="Times New Roman" w:cs="Times New Roman"/>
          <w:sz w:val="24"/>
          <w:szCs w:val="24"/>
        </w:rPr>
        <w:t>,</w:t>
      </w:r>
      <w:r w:rsidR="00004D61" w:rsidRPr="00356ADA">
        <w:rPr>
          <w:rFonts w:ascii="Times New Roman" w:hAnsi="Times New Roman" w:cs="Times New Roman"/>
          <w:sz w:val="24"/>
          <w:szCs w:val="24"/>
        </w:rPr>
        <w:t xml:space="preserve"> who have successfully run business</w:t>
      </w:r>
      <w:r w:rsidR="00F2626C" w:rsidRPr="00356ADA">
        <w:rPr>
          <w:rFonts w:ascii="Times New Roman" w:hAnsi="Times New Roman" w:cs="Times New Roman"/>
          <w:sz w:val="24"/>
          <w:szCs w:val="24"/>
        </w:rPr>
        <w:t>es</w:t>
      </w:r>
      <w:r w:rsidR="00004D61" w:rsidRPr="00356ADA">
        <w:rPr>
          <w:rFonts w:ascii="Times New Roman" w:hAnsi="Times New Roman" w:cs="Times New Roman"/>
          <w:sz w:val="24"/>
          <w:szCs w:val="24"/>
        </w:rPr>
        <w:t xml:space="preserve"> or commercial organisations in the past</w:t>
      </w:r>
      <w:r w:rsidR="00572DEE" w:rsidRPr="00356ADA">
        <w:rPr>
          <w:rFonts w:ascii="Times New Roman" w:hAnsi="Times New Roman" w:cs="Times New Roman"/>
          <w:sz w:val="24"/>
          <w:szCs w:val="24"/>
        </w:rPr>
        <w:t xml:space="preserve">. </w:t>
      </w:r>
      <w:r w:rsidR="004C4CC4" w:rsidRPr="00356ADA">
        <w:rPr>
          <w:rFonts w:ascii="Times New Roman" w:hAnsi="Times New Roman" w:cs="Times New Roman"/>
          <w:sz w:val="24"/>
          <w:szCs w:val="24"/>
        </w:rPr>
        <w:t>Formerly</w:t>
      </w:r>
      <w:r w:rsidR="00004D61" w:rsidRPr="00356ADA">
        <w:rPr>
          <w:rFonts w:ascii="Times New Roman" w:hAnsi="Times New Roman" w:cs="Times New Roman"/>
          <w:sz w:val="24"/>
          <w:szCs w:val="24"/>
        </w:rPr>
        <w:t xml:space="preserve">, councils of UK HEIs were </w:t>
      </w:r>
      <w:r w:rsidR="004C4CC4" w:rsidRPr="00356ADA">
        <w:rPr>
          <w:rFonts w:ascii="Times New Roman" w:hAnsi="Times New Roman" w:cs="Times New Roman"/>
          <w:sz w:val="24"/>
          <w:szCs w:val="24"/>
        </w:rPr>
        <w:t xml:space="preserve">largely controlled </w:t>
      </w:r>
      <w:r w:rsidR="00004D61" w:rsidRPr="00356ADA">
        <w:rPr>
          <w:rFonts w:ascii="Times New Roman" w:hAnsi="Times New Roman" w:cs="Times New Roman"/>
          <w:sz w:val="24"/>
          <w:szCs w:val="24"/>
        </w:rPr>
        <w:t xml:space="preserve">by academics (Shattock, 2013; Taylor, 2013), but with increasing ‘corporatisation’, ‘commercialisation’ and managerialism in HEIs, independent members form a clear majority. </w:t>
      </w:r>
      <w:r w:rsidR="008E306C" w:rsidRPr="00356ADA">
        <w:rPr>
          <w:rFonts w:ascii="Times New Roman" w:hAnsi="Times New Roman" w:cs="Times New Roman"/>
          <w:sz w:val="24"/>
          <w:szCs w:val="24"/>
        </w:rPr>
        <w:t>Like the board of directors of a public corporation, t</w:t>
      </w:r>
      <w:r w:rsidR="00004D61" w:rsidRPr="00356ADA">
        <w:rPr>
          <w:rFonts w:ascii="Times New Roman" w:hAnsi="Times New Roman" w:cs="Times New Roman"/>
          <w:sz w:val="24"/>
          <w:szCs w:val="24"/>
        </w:rPr>
        <w:t xml:space="preserve">he </w:t>
      </w:r>
      <w:r w:rsidR="004378EA" w:rsidRPr="00356ADA">
        <w:rPr>
          <w:rFonts w:ascii="Times New Roman" w:hAnsi="Times New Roman" w:cs="Times New Roman"/>
          <w:sz w:val="24"/>
          <w:szCs w:val="24"/>
        </w:rPr>
        <w:t xml:space="preserve">HEI </w:t>
      </w:r>
      <w:r w:rsidR="00004D61" w:rsidRPr="00356ADA">
        <w:rPr>
          <w:rFonts w:ascii="Times New Roman" w:hAnsi="Times New Roman" w:cs="Times New Roman"/>
          <w:sz w:val="24"/>
          <w:szCs w:val="24"/>
        </w:rPr>
        <w:t>council has the ultimate responsibility</w:t>
      </w:r>
      <w:r w:rsidR="00C966FE" w:rsidRPr="00356ADA">
        <w:rPr>
          <w:rFonts w:ascii="Times New Roman" w:hAnsi="Times New Roman" w:cs="Times New Roman"/>
          <w:sz w:val="24"/>
          <w:szCs w:val="24"/>
        </w:rPr>
        <w:t xml:space="preserve"> of</w:t>
      </w:r>
      <w:r w:rsidR="00004D61" w:rsidRPr="00356ADA">
        <w:rPr>
          <w:rFonts w:ascii="Times New Roman" w:hAnsi="Times New Roman" w:cs="Times New Roman"/>
          <w:sz w:val="24"/>
          <w:szCs w:val="24"/>
        </w:rPr>
        <w:t xml:space="preserve"> running its HEI, including its academic, </w:t>
      </w:r>
      <w:r w:rsidR="005F4767" w:rsidRPr="00356ADA">
        <w:rPr>
          <w:rFonts w:ascii="Times New Roman" w:hAnsi="Times New Roman" w:cs="Times New Roman"/>
          <w:sz w:val="24"/>
          <w:szCs w:val="24"/>
        </w:rPr>
        <w:t xml:space="preserve">governance, risk </w:t>
      </w:r>
      <w:r w:rsidR="00004D61" w:rsidRPr="00356ADA">
        <w:rPr>
          <w:rFonts w:ascii="Times New Roman" w:hAnsi="Times New Roman" w:cs="Times New Roman"/>
          <w:sz w:val="24"/>
          <w:szCs w:val="24"/>
        </w:rPr>
        <w:t xml:space="preserve">and </w:t>
      </w:r>
      <w:r w:rsidR="005F4767" w:rsidRPr="00356ADA">
        <w:rPr>
          <w:rFonts w:ascii="Times New Roman" w:hAnsi="Times New Roman" w:cs="Times New Roman"/>
          <w:sz w:val="24"/>
          <w:szCs w:val="24"/>
        </w:rPr>
        <w:t>financial management, and other non-financial issues</w:t>
      </w:r>
      <w:r w:rsidR="00004D61" w:rsidRPr="00356ADA">
        <w:rPr>
          <w:rFonts w:ascii="Times New Roman" w:hAnsi="Times New Roman" w:cs="Times New Roman"/>
          <w:sz w:val="24"/>
          <w:szCs w:val="24"/>
        </w:rPr>
        <w:t>.</w:t>
      </w:r>
      <w:r w:rsidR="00572DEE" w:rsidRPr="00356ADA">
        <w:rPr>
          <w:rFonts w:ascii="Times New Roman" w:hAnsi="Times New Roman" w:cs="Times New Roman"/>
          <w:sz w:val="24"/>
          <w:szCs w:val="24"/>
        </w:rPr>
        <w:t xml:space="preserve"> </w:t>
      </w:r>
      <w:r w:rsidR="005F4767" w:rsidRPr="00356ADA">
        <w:rPr>
          <w:rFonts w:ascii="Times New Roman" w:hAnsi="Times New Roman" w:cs="Times New Roman"/>
          <w:sz w:val="24"/>
          <w:szCs w:val="24"/>
        </w:rPr>
        <w:t>Due to</w:t>
      </w:r>
      <w:r w:rsidR="008E306C" w:rsidRPr="00356ADA">
        <w:rPr>
          <w:rFonts w:ascii="Times New Roman" w:hAnsi="Times New Roman" w:cs="Times New Roman"/>
          <w:sz w:val="24"/>
          <w:szCs w:val="24"/>
        </w:rPr>
        <w:t xml:space="preserve"> the</w:t>
      </w:r>
      <w:r w:rsidR="005F4767" w:rsidRPr="00356ADA">
        <w:rPr>
          <w:rFonts w:ascii="Times New Roman" w:hAnsi="Times New Roman" w:cs="Times New Roman"/>
          <w:sz w:val="24"/>
          <w:szCs w:val="24"/>
        </w:rPr>
        <w:t xml:space="preserve"> multiplicity of issues that it has to address, the governing board tends to set up and operate through a number of </w:t>
      </w:r>
      <w:r w:rsidR="00EB7133" w:rsidRPr="00356ADA">
        <w:rPr>
          <w:rFonts w:ascii="Times New Roman" w:hAnsi="Times New Roman" w:cs="Times New Roman"/>
          <w:sz w:val="24"/>
          <w:szCs w:val="24"/>
        </w:rPr>
        <w:t>subcommittee</w:t>
      </w:r>
      <w:r w:rsidR="00266986" w:rsidRPr="00356ADA">
        <w:rPr>
          <w:rFonts w:ascii="Times New Roman" w:hAnsi="Times New Roman" w:cs="Times New Roman"/>
          <w:sz w:val="24"/>
          <w:szCs w:val="24"/>
        </w:rPr>
        <w:t>s</w:t>
      </w:r>
      <w:r w:rsidR="004C4CC4" w:rsidRPr="00356ADA">
        <w:rPr>
          <w:rFonts w:ascii="Times New Roman" w:hAnsi="Times New Roman" w:cs="Times New Roman"/>
          <w:sz w:val="24"/>
          <w:szCs w:val="24"/>
        </w:rPr>
        <w:t xml:space="preserve"> (e.g., </w:t>
      </w:r>
      <w:r w:rsidR="00EB7133" w:rsidRPr="00356ADA">
        <w:rPr>
          <w:rFonts w:ascii="Times New Roman" w:hAnsi="Times New Roman" w:cs="Times New Roman"/>
          <w:sz w:val="24"/>
          <w:szCs w:val="24"/>
        </w:rPr>
        <w:t xml:space="preserve">audit, </w:t>
      </w:r>
      <w:r w:rsidR="004C4CC4" w:rsidRPr="00356ADA">
        <w:rPr>
          <w:rFonts w:ascii="Times New Roman" w:hAnsi="Times New Roman" w:cs="Times New Roman"/>
          <w:sz w:val="24"/>
          <w:szCs w:val="24"/>
        </w:rPr>
        <w:t xml:space="preserve">nomination, </w:t>
      </w:r>
      <w:r w:rsidR="00EB7133" w:rsidRPr="00356ADA">
        <w:rPr>
          <w:rFonts w:ascii="Times New Roman" w:hAnsi="Times New Roman" w:cs="Times New Roman"/>
          <w:sz w:val="24"/>
          <w:szCs w:val="24"/>
        </w:rPr>
        <w:t xml:space="preserve">governance, </w:t>
      </w:r>
      <w:r w:rsidR="004C4CC4" w:rsidRPr="00356ADA">
        <w:rPr>
          <w:rFonts w:ascii="Times New Roman" w:hAnsi="Times New Roman" w:cs="Times New Roman"/>
          <w:sz w:val="24"/>
          <w:szCs w:val="24"/>
        </w:rPr>
        <w:t xml:space="preserve">remuneration and </w:t>
      </w:r>
      <w:r w:rsidR="00EB7133" w:rsidRPr="00356ADA">
        <w:rPr>
          <w:rFonts w:ascii="Times New Roman" w:hAnsi="Times New Roman" w:cs="Times New Roman"/>
          <w:sz w:val="24"/>
          <w:szCs w:val="24"/>
        </w:rPr>
        <w:t>risk management committees</w:t>
      </w:r>
      <w:r w:rsidR="004C4CC4" w:rsidRPr="00356ADA">
        <w:rPr>
          <w:rFonts w:ascii="Times New Roman" w:hAnsi="Times New Roman" w:cs="Times New Roman"/>
          <w:sz w:val="24"/>
          <w:szCs w:val="24"/>
        </w:rPr>
        <w:t>)</w:t>
      </w:r>
      <w:r w:rsidR="00EB7133" w:rsidRPr="00356ADA">
        <w:rPr>
          <w:rFonts w:ascii="Times New Roman" w:hAnsi="Times New Roman" w:cs="Times New Roman"/>
          <w:sz w:val="24"/>
          <w:szCs w:val="24"/>
        </w:rPr>
        <w:t xml:space="preserve">. </w:t>
      </w:r>
      <w:r w:rsidR="00790333" w:rsidRPr="00356ADA">
        <w:rPr>
          <w:rFonts w:ascii="Times New Roman" w:hAnsi="Times New Roman" w:cs="Times New Roman"/>
          <w:sz w:val="24"/>
          <w:szCs w:val="24"/>
        </w:rPr>
        <w:t>In this case, t</w:t>
      </w:r>
      <w:r w:rsidR="00EB7133" w:rsidRPr="00356ADA">
        <w:rPr>
          <w:rFonts w:ascii="Times New Roman" w:hAnsi="Times New Roman" w:cs="Times New Roman"/>
          <w:sz w:val="24"/>
          <w:szCs w:val="24"/>
        </w:rPr>
        <w:t xml:space="preserve">he </w:t>
      </w:r>
      <w:r w:rsidR="004C4CC4" w:rsidRPr="00356ADA">
        <w:rPr>
          <w:rFonts w:ascii="Times New Roman" w:hAnsi="Times New Roman" w:cs="Times New Roman"/>
          <w:sz w:val="24"/>
          <w:szCs w:val="24"/>
        </w:rPr>
        <w:t xml:space="preserve">risk, </w:t>
      </w:r>
      <w:r w:rsidR="00EB7133" w:rsidRPr="00356ADA">
        <w:rPr>
          <w:rFonts w:ascii="Times New Roman" w:hAnsi="Times New Roman" w:cs="Times New Roman"/>
          <w:sz w:val="24"/>
          <w:szCs w:val="24"/>
        </w:rPr>
        <w:t>audit and governance committees are particularly relevant to this study</w:t>
      </w:r>
      <w:r w:rsidR="002A4704" w:rsidRPr="00356ADA">
        <w:rPr>
          <w:rFonts w:ascii="Times New Roman" w:hAnsi="Times New Roman" w:cs="Times New Roman"/>
          <w:sz w:val="24"/>
          <w:szCs w:val="24"/>
        </w:rPr>
        <w:t>,</w:t>
      </w:r>
      <w:r w:rsidR="00EB7133" w:rsidRPr="00356ADA">
        <w:rPr>
          <w:rFonts w:ascii="Times New Roman" w:hAnsi="Times New Roman" w:cs="Times New Roman"/>
          <w:sz w:val="24"/>
          <w:szCs w:val="24"/>
        </w:rPr>
        <w:t xml:space="preserve"> as they tend to provide leadership in risk and financial matters of the affected HEI. </w:t>
      </w:r>
      <w:r w:rsidR="00155341" w:rsidRPr="00356ADA">
        <w:rPr>
          <w:rFonts w:ascii="Times New Roman" w:hAnsi="Times New Roman" w:cs="Times New Roman"/>
          <w:sz w:val="24"/>
          <w:szCs w:val="24"/>
        </w:rPr>
        <w:t xml:space="preserve">Second, </w:t>
      </w:r>
      <w:r w:rsidR="008E306C" w:rsidRPr="00356ADA">
        <w:rPr>
          <w:rFonts w:ascii="Times New Roman" w:hAnsi="Times New Roman" w:cs="Times New Roman"/>
          <w:sz w:val="24"/>
          <w:szCs w:val="24"/>
        </w:rPr>
        <w:t xml:space="preserve">the VC acts as the CEO of </w:t>
      </w:r>
      <w:r w:rsidR="00465E1F">
        <w:rPr>
          <w:rFonts w:ascii="Times New Roman" w:hAnsi="Times New Roman" w:cs="Times New Roman"/>
          <w:sz w:val="24"/>
          <w:szCs w:val="24"/>
        </w:rPr>
        <w:t>an</w:t>
      </w:r>
      <w:r w:rsidR="008E306C" w:rsidRPr="00356ADA">
        <w:rPr>
          <w:rFonts w:ascii="Times New Roman" w:hAnsi="Times New Roman" w:cs="Times New Roman"/>
          <w:sz w:val="24"/>
          <w:szCs w:val="24"/>
        </w:rPr>
        <w:t xml:space="preserve"> HEI and has the responsibility of setting out the overall vision and mission of the </w:t>
      </w:r>
      <w:r w:rsidR="004C4CC4" w:rsidRPr="00356ADA">
        <w:rPr>
          <w:rFonts w:ascii="Times New Roman" w:hAnsi="Times New Roman" w:cs="Times New Roman"/>
          <w:sz w:val="24"/>
          <w:szCs w:val="24"/>
        </w:rPr>
        <w:t>HEI</w:t>
      </w:r>
      <w:r w:rsidR="008E306C" w:rsidRPr="00356ADA">
        <w:rPr>
          <w:rFonts w:ascii="Times New Roman" w:hAnsi="Times New Roman" w:cs="Times New Roman"/>
          <w:sz w:val="24"/>
          <w:szCs w:val="24"/>
        </w:rPr>
        <w:t xml:space="preserve">, as well as the day-to-day management of the </w:t>
      </w:r>
      <w:r w:rsidR="004378EA" w:rsidRPr="00356ADA">
        <w:rPr>
          <w:rFonts w:ascii="Times New Roman" w:hAnsi="Times New Roman" w:cs="Times New Roman"/>
          <w:sz w:val="24"/>
          <w:szCs w:val="24"/>
        </w:rPr>
        <w:t>HEI</w:t>
      </w:r>
      <w:r w:rsidR="008E306C" w:rsidRPr="00356ADA">
        <w:rPr>
          <w:rFonts w:ascii="Times New Roman" w:hAnsi="Times New Roman" w:cs="Times New Roman"/>
          <w:sz w:val="24"/>
          <w:szCs w:val="24"/>
        </w:rPr>
        <w:t xml:space="preserve">. </w:t>
      </w:r>
      <w:r w:rsidR="00F57406" w:rsidRPr="00356ADA">
        <w:rPr>
          <w:rFonts w:ascii="Times New Roman" w:hAnsi="Times New Roman" w:cs="Times New Roman"/>
          <w:sz w:val="24"/>
          <w:szCs w:val="24"/>
        </w:rPr>
        <w:t xml:space="preserve">In line with the behaviour of CEOs of public companies, the VC appoints a number of </w:t>
      </w:r>
      <w:r w:rsidR="00867935" w:rsidRPr="00356ADA">
        <w:rPr>
          <w:rFonts w:ascii="Times New Roman" w:hAnsi="Times New Roman" w:cs="Times New Roman"/>
          <w:sz w:val="24"/>
          <w:szCs w:val="24"/>
        </w:rPr>
        <w:t>senior members to form the senior management team (the vice-chancery – the vice-chancellor office). In this case, t</w:t>
      </w:r>
      <w:r w:rsidR="005F4767" w:rsidRPr="00356ADA">
        <w:rPr>
          <w:rFonts w:ascii="Times New Roman" w:hAnsi="Times New Roman" w:cs="Times New Roman"/>
          <w:sz w:val="24"/>
          <w:szCs w:val="24"/>
        </w:rPr>
        <w:t xml:space="preserve">he senior management </w:t>
      </w:r>
      <w:r w:rsidR="00153582">
        <w:rPr>
          <w:rFonts w:ascii="Times New Roman" w:hAnsi="Times New Roman" w:cs="Times New Roman"/>
          <w:sz w:val="24"/>
          <w:szCs w:val="24"/>
        </w:rPr>
        <w:t xml:space="preserve">team </w:t>
      </w:r>
      <w:r w:rsidR="005F4767" w:rsidRPr="00356ADA">
        <w:rPr>
          <w:rFonts w:ascii="Times New Roman" w:hAnsi="Times New Roman" w:cs="Times New Roman"/>
          <w:sz w:val="24"/>
          <w:szCs w:val="24"/>
        </w:rPr>
        <w:t>is not always, but usually mad</w:t>
      </w:r>
      <w:r w:rsidR="008E306C" w:rsidRPr="00356ADA">
        <w:rPr>
          <w:rFonts w:ascii="Times New Roman" w:hAnsi="Times New Roman" w:cs="Times New Roman"/>
          <w:sz w:val="24"/>
          <w:szCs w:val="24"/>
        </w:rPr>
        <w:t>e up of the VC</w:t>
      </w:r>
      <w:r w:rsidR="005F4767" w:rsidRPr="00356ADA">
        <w:rPr>
          <w:rFonts w:ascii="Times New Roman" w:hAnsi="Times New Roman" w:cs="Times New Roman"/>
          <w:sz w:val="24"/>
          <w:szCs w:val="24"/>
        </w:rPr>
        <w:t xml:space="preserve"> and deputy, </w:t>
      </w:r>
      <w:r w:rsidR="00C53EB1" w:rsidRPr="00356ADA">
        <w:rPr>
          <w:rFonts w:ascii="Times New Roman" w:hAnsi="Times New Roman" w:cs="Times New Roman"/>
          <w:sz w:val="24"/>
          <w:szCs w:val="24"/>
        </w:rPr>
        <w:t>pro-vice chancellors</w:t>
      </w:r>
      <w:r w:rsidR="00AB2CDA" w:rsidRPr="00356ADA">
        <w:rPr>
          <w:rFonts w:ascii="Times New Roman" w:hAnsi="Times New Roman" w:cs="Times New Roman"/>
          <w:sz w:val="24"/>
          <w:szCs w:val="24"/>
        </w:rPr>
        <w:t>, schools/colleges/faculties</w:t>
      </w:r>
      <w:r w:rsidR="003B78E5" w:rsidRPr="00356ADA">
        <w:rPr>
          <w:rFonts w:ascii="Times New Roman" w:hAnsi="Times New Roman" w:cs="Times New Roman"/>
          <w:sz w:val="24"/>
          <w:szCs w:val="24"/>
        </w:rPr>
        <w:t xml:space="preserve"> deans</w:t>
      </w:r>
      <w:r w:rsidR="00AB2CDA" w:rsidRPr="00356ADA">
        <w:rPr>
          <w:rFonts w:ascii="Times New Roman" w:hAnsi="Times New Roman" w:cs="Times New Roman"/>
          <w:sz w:val="24"/>
          <w:szCs w:val="24"/>
        </w:rPr>
        <w:t xml:space="preserve">, professional services’ directors, and HEI secretary/registrar. </w:t>
      </w:r>
      <w:r w:rsidR="00867935" w:rsidRPr="00356ADA">
        <w:rPr>
          <w:rFonts w:ascii="Times New Roman" w:hAnsi="Times New Roman" w:cs="Times New Roman"/>
          <w:sz w:val="24"/>
          <w:szCs w:val="24"/>
        </w:rPr>
        <w:t xml:space="preserve">The senior management team, including </w:t>
      </w:r>
      <w:r w:rsidR="00BC3E77" w:rsidRPr="00356ADA">
        <w:rPr>
          <w:rFonts w:ascii="Times New Roman" w:hAnsi="Times New Roman" w:cs="Times New Roman"/>
          <w:sz w:val="24"/>
          <w:szCs w:val="24"/>
        </w:rPr>
        <w:t xml:space="preserve">the VC </w:t>
      </w:r>
      <w:r w:rsidR="004311E5" w:rsidRPr="00356ADA">
        <w:rPr>
          <w:rFonts w:ascii="Times New Roman" w:hAnsi="Times New Roman" w:cs="Times New Roman"/>
          <w:sz w:val="24"/>
          <w:szCs w:val="24"/>
        </w:rPr>
        <w:t>are</w:t>
      </w:r>
      <w:r w:rsidR="00426C12" w:rsidRPr="00356ADA">
        <w:rPr>
          <w:rFonts w:ascii="Times New Roman" w:hAnsi="Times New Roman" w:cs="Times New Roman"/>
          <w:sz w:val="24"/>
          <w:szCs w:val="24"/>
        </w:rPr>
        <w:t xml:space="preserve"> often</w:t>
      </w:r>
      <w:r w:rsidR="00C53EB1" w:rsidRPr="00356ADA">
        <w:rPr>
          <w:rFonts w:ascii="Times New Roman" w:hAnsi="Times New Roman" w:cs="Times New Roman"/>
          <w:sz w:val="24"/>
          <w:szCs w:val="24"/>
        </w:rPr>
        <w:t xml:space="preserve"> accountable </w:t>
      </w:r>
      <w:r w:rsidR="00BC3E77" w:rsidRPr="00356ADA">
        <w:rPr>
          <w:rFonts w:ascii="Times New Roman" w:hAnsi="Times New Roman" w:cs="Times New Roman"/>
          <w:sz w:val="24"/>
          <w:szCs w:val="24"/>
        </w:rPr>
        <w:t xml:space="preserve">to the </w:t>
      </w:r>
      <w:r w:rsidR="004378EA" w:rsidRPr="00356ADA">
        <w:rPr>
          <w:rFonts w:ascii="Times New Roman" w:hAnsi="Times New Roman" w:cs="Times New Roman"/>
          <w:sz w:val="24"/>
          <w:szCs w:val="24"/>
        </w:rPr>
        <w:t xml:space="preserve">HEI </w:t>
      </w:r>
      <w:r w:rsidR="00BC3E77" w:rsidRPr="00356ADA">
        <w:rPr>
          <w:rFonts w:ascii="Times New Roman" w:hAnsi="Times New Roman" w:cs="Times New Roman"/>
          <w:sz w:val="24"/>
          <w:szCs w:val="24"/>
        </w:rPr>
        <w:t xml:space="preserve">council. Finally, </w:t>
      </w:r>
      <w:r w:rsidR="00155341" w:rsidRPr="00356ADA">
        <w:rPr>
          <w:rFonts w:ascii="Times New Roman" w:hAnsi="Times New Roman" w:cs="Times New Roman"/>
          <w:sz w:val="24"/>
          <w:szCs w:val="24"/>
        </w:rPr>
        <w:t>the ‘</w:t>
      </w:r>
      <w:r w:rsidR="00974FF9" w:rsidRPr="00356ADA">
        <w:rPr>
          <w:rFonts w:ascii="Times New Roman" w:hAnsi="Times New Roman" w:cs="Times New Roman"/>
          <w:sz w:val="24"/>
          <w:szCs w:val="24"/>
        </w:rPr>
        <w:t xml:space="preserve">academic </w:t>
      </w:r>
      <w:r w:rsidR="00155341" w:rsidRPr="00356ADA">
        <w:rPr>
          <w:rFonts w:ascii="Times New Roman" w:hAnsi="Times New Roman" w:cs="Times New Roman"/>
          <w:sz w:val="24"/>
          <w:szCs w:val="24"/>
        </w:rPr>
        <w:t xml:space="preserve">senate’ </w:t>
      </w:r>
      <w:r w:rsidR="006B1FB7" w:rsidRPr="00356ADA">
        <w:rPr>
          <w:rFonts w:ascii="Times New Roman" w:hAnsi="Times New Roman" w:cs="Times New Roman"/>
          <w:sz w:val="24"/>
          <w:szCs w:val="24"/>
        </w:rPr>
        <w:t xml:space="preserve">is formed exclusively by academics, who are responsible for managing all issues of academic </w:t>
      </w:r>
      <w:r w:rsidR="000A16D5">
        <w:rPr>
          <w:rFonts w:ascii="Times New Roman" w:hAnsi="Times New Roman" w:cs="Times New Roman"/>
          <w:sz w:val="24"/>
          <w:szCs w:val="24"/>
        </w:rPr>
        <w:t xml:space="preserve">in </w:t>
      </w:r>
      <w:r w:rsidR="006B1FB7" w:rsidRPr="00356ADA">
        <w:rPr>
          <w:rFonts w:ascii="Times New Roman" w:hAnsi="Times New Roman" w:cs="Times New Roman"/>
          <w:sz w:val="24"/>
          <w:szCs w:val="24"/>
        </w:rPr>
        <w:t>nature, including developing the curricula, improving teaching and research quality, academic standards, and integrity and reputation of the institutions</w:t>
      </w:r>
      <w:r w:rsidR="00942AB5" w:rsidRPr="00356ADA">
        <w:rPr>
          <w:rFonts w:ascii="Times New Roman" w:hAnsi="Times New Roman" w:cs="Times New Roman"/>
          <w:sz w:val="24"/>
          <w:szCs w:val="24"/>
        </w:rPr>
        <w:t>’ status (degree awarding powers) and awarded degrees</w:t>
      </w:r>
      <w:r w:rsidR="006B1FB7" w:rsidRPr="00356ADA">
        <w:rPr>
          <w:rFonts w:ascii="Times New Roman" w:hAnsi="Times New Roman" w:cs="Times New Roman"/>
          <w:sz w:val="24"/>
          <w:szCs w:val="24"/>
        </w:rPr>
        <w:t>.</w:t>
      </w:r>
      <w:r w:rsidR="00942AB5" w:rsidRPr="00356ADA">
        <w:rPr>
          <w:rFonts w:ascii="Times New Roman" w:hAnsi="Times New Roman" w:cs="Times New Roman"/>
          <w:sz w:val="24"/>
          <w:szCs w:val="24"/>
        </w:rPr>
        <w:t xml:space="preserve"> The </w:t>
      </w:r>
      <w:r w:rsidR="000D09BC" w:rsidRPr="00356ADA">
        <w:rPr>
          <w:rFonts w:ascii="Times New Roman" w:hAnsi="Times New Roman" w:cs="Times New Roman"/>
          <w:sz w:val="24"/>
          <w:szCs w:val="24"/>
        </w:rPr>
        <w:t xml:space="preserve">senate </w:t>
      </w:r>
      <w:r w:rsidR="00942AB5" w:rsidRPr="00356ADA">
        <w:rPr>
          <w:rFonts w:ascii="Times New Roman" w:hAnsi="Times New Roman" w:cs="Times New Roman"/>
          <w:sz w:val="24"/>
          <w:szCs w:val="24"/>
        </w:rPr>
        <w:t xml:space="preserve">reports directly to the </w:t>
      </w:r>
      <w:r w:rsidR="004378EA" w:rsidRPr="00356ADA">
        <w:rPr>
          <w:rFonts w:ascii="Times New Roman" w:hAnsi="Times New Roman" w:cs="Times New Roman"/>
          <w:sz w:val="24"/>
          <w:szCs w:val="24"/>
        </w:rPr>
        <w:t xml:space="preserve">HEI </w:t>
      </w:r>
      <w:r w:rsidR="00942AB5" w:rsidRPr="00356ADA">
        <w:rPr>
          <w:rFonts w:ascii="Times New Roman" w:hAnsi="Times New Roman" w:cs="Times New Roman"/>
          <w:sz w:val="24"/>
          <w:szCs w:val="24"/>
        </w:rPr>
        <w:t>senior management team, especially the VC. It is, therefore, apparent</w:t>
      </w:r>
      <w:r w:rsidR="00EC7A44" w:rsidRPr="00356ADA">
        <w:rPr>
          <w:rFonts w:ascii="Times New Roman" w:hAnsi="Times New Roman" w:cs="Times New Roman"/>
          <w:sz w:val="24"/>
          <w:szCs w:val="24"/>
        </w:rPr>
        <w:t xml:space="preserve"> that</w:t>
      </w:r>
      <w:r w:rsidR="00942AB5" w:rsidRPr="00356ADA">
        <w:rPr>
          <w:rFonts w:ascii="Times New Roman" w:hAnsi="Times New Roman" w:cs="Times New Roman"/>
          <w:sz w:val="24"/>
          <w:szCs w:val="24"/>
        </w:rPr>
        <w:t xml:space="preserve"> </w:t>
      </w:r>
      <w:r w:rsidR="00EC7A44" w:rsidRPr="00356ADA">
        <w:rPr>
          <w:rFonts w:ascii="Times New Roman" w:hAnsi="Times New Roman" w:cs="Times New Roman"/>
          <w:sz w:val="24"/>
          <w:szCs w:val="24"/>
        </w:rPr>
        <w:t xml:space="preserve">some lines of clear responsibilities, interdependencies </w:t>
      </w:r>
      <w:r w:rsidR="000D09BC" w:rsidRPr="00356ADA">
        <w:rPr>
          <w:rFonts w:ascii="Times New Roman" w:hAnsi="Times New Roman" w:cs="Times New Roman"/>
          <w:sz w:val="24"/>
          <w:szCs w:val="24"/>
        </w:rPr>
        <w:t xml:space="preserve">and accountabilities exist among </w:t>
      </w:r>
      <w:r w:rsidR="009A5FDC" w:rsidRPr="00356ADA">
        <w:rPr>
          <w:rFonts w:ascii="Times New Roman" w:hAnsi="Times New Roman" w:cs="Times New Roman"/>
          <w:sz w:val="24"/>
          <w:szCs w:val="24"/>
        </w:rPr>
        <w:t xml:space="preserve">the </w:t>
      </w:r>
      <w:r w:rsidR="000D09BC" w:rsidRPr="00356ADA">
        <w:rPr>
          <w:rFonts w:ascii="Times New Roman" w:hAnsi="Times New Roman" w:cs="Times New Roman"/>
          <w:sz w:val="24"/>
          <w:szCs w:val="24"/>
        </w:rPr>
        <w:t>three bodies in order for an HEI to be run successfully.</w:t>
      </w:r>
      <w:r w:rsidR="006022F1" w:rsidRPr="00356ADA">
        <w:rPr>
          <w:rFonts w:ascii="Times New Roman" w:hAnsi="Times New Roman" w:cs="Times New Roman"/>
          <w:sz w:val="24"/>
          <w:szCs w:val="24"/>
        </w:rPr>
        <w:t xml:space="preserve"> </w:t>
      </w:r>
    </w:p>
    <w:p w14:paraId="5743D083" w14:textId="5CFDA7CD" w:rsidR="007F0B58" w:rsidRPr="00B46F30" w:rsidRDefault="006B52F7" w:rsidP="008D74A5">
      <w:pPr>
        <w:spacing w:after="0" w:line="240" w:lineRule="auto"/>
        <w:ind w:firstLine="720"/>
        <w:jc w:val="both"/>
        <w:rPr>
          <w:rFonts w:ascii="Times New Roman" w:hAnsi="Times New Roman" w:cs="Times New Roman"/>
          <w:color w:val="000000"/>
          <w:sz w:val="24"/>
          <w:szCs w:val="24"/>
          <w:bdr w:val="none" w:sz="0" w:space="0" w:color="auto" w:frame="1"/>
          <w:shd w:val="clear" w:color="auto" w:fill="FFFFFF"/>
        </w:rPr>
      </w:pPr>
      <w:r>
        <w:rPr>
          <w:rFonts w:ascii="Times New Roman" w:hAnsi="Times New Roman" w:cs="Times New Roman"/>
          <w:sz w:val="24"/>
          <w:szCs w:val="24"/>
        </w:rPr>
        <w:t xml:space="preserve">Theoretically, </w:t>
      </w:r>
      <w:r w:rsidR="0013621B" w:rsidRPr="0013621B">
        <w:rPr>
          <w:rFonts w:ascii="Times New Roman" w:hAnsi="Times New Roman" w:cs="Times New Roman"/>
          <w:sz w:val="24"/>
          <w:szCs w:val="24"/>
        </w:rPr>
        <w:t>the efficiency perspective of neo-institutional theory (Taylor, 2013) indicates that each of the three major HEIs’ governance organs (council/board of governors, academic body/senate, and vice-chancery team) have substantive power, and individual independence/effectiveness, and hence, smooth interactions among these three bodies may result in better outcomes by enhancing the impact of internal governance quality on risk disclosures.</w:t>
      </w:r>
      <w:r w:rsidR="00C24D1A">
        <w:rPr>
          <w:rFonts w:ascii="Times New Roman" w:hAnsi="Times New Roman" w:cs="Times New Roman"/>
          <w:sz w:val="24"/>
          <w:szCs w:val="24"/>
        </w:rPr>
        <w:t xml:space="preserve"> In </w:t>
      </w:r>
      <w:r w:rsidR="001762CF">
        <w:rPr>
          <w:rFonts w:ascii="Times New Roman" w:hAnsi="Times New Roman" w:cs="Times New Roman"/>
          <w:sz w:val="24"/>
          <w:szCs w:val="24"/>
        </w:rPr>
        <w:t>contrast</w:t>
      </w:r>
      <w:r w:rsidR="00C24D1A">
        <w:rPr>
          <w:rFonts w:ascii="Times New Roman" w:hAnsi="Times New Roman" w:cs="Times New Roman"/>
          <w:sz w:val="24"/>
          <w:szCs w:val="24"/>
        </w:rPr>
        <w:t xml:space="preserve">, </w:t>
      </w:r>
      <w:r w:rsidR="00C24D1A" w:rsidRPr="00C24D1A">
        <w:rPr>
          <w:rFonts w:ascii="Times New Roman" w:hAnsi="Times New Roman" w:cs="Times New Roman"/>
          <w:sz w:val="24"/>
          <w:szCs w:val="24"/>
        </w:rPr>
        <w:t>the neo-institutional theory (legitimisation perspective) suggests that the “shared” governance model exists for symbolic reasons, perhaps with one body (e.g., vice-chancery team) dominating the board’s decision-making over the other bodies (e.g., council or senate) (Ntim et al., 2017; Parker, 2012). Therefore, the interaction among the three major HEIs’ bodies (council, senate, and vice-chancery team) may be dysfunctional, which can lead to sub-optimal outcomes, such as poor risk management and disclosure practices.</w:t>
      </w:r>
      <w:r w:rsidR="00C24D1A">
        <w:rPr>
          <w:rFonts w:ascii="Times New Roman" w:hAnsi="Times New Roman" w:cs="Times New Roman"/>
          <w:sz w:val="24"/>
          <w:szCs w:val="24"/>
        </w:rPr>
        <w:t xml:space="preserve"> Specifically, </w:t>
      </w:r>
      <w:r w:rsidR="00804F78">
        <w:rPr>
          <w:rFonts w:ascii="Times New Roman" w:hAnsi="Times New Roman" w:cs="Times New Roman"/>
          <w:sz w:val="24"/>
          <w:szCs w:val="24"/>
        </w:rPr>
        <w:t xml:space="preserve">and in terms of senior management team size, </w:t>
      </w:r>
      <w:r w:rsidR="006657B9">
        <w:rPr>
          <w:rFonts w:ascii="Times New Roman" w:hAnsi="Times New Roman" w:cs="Times New Roman"/>
          <w:sz w:val="24"/>
          <w:szCs w:val="24"/>
        </w:rPr>
        <w:t>the efficiency perspective of neo-institutional theory</w:t>
      </w:r>
      <w:r w:rsidR="005F3020">
        <w:rPr>
          <w:rFonts w:ascii="Times New Roman" w:hAnsi="Times New Roman" w:cs="Times New Roman"/>
          <w:sz w:val="24"/>
          <w:szCs w:val="24"/>
        </w:rPr>
        <w:t xml:space="preserve"> (</w:t>
      </w:r>
      <w:r w:rsidR="000E079B">
        <w:rPr>
          <w:rFonts w:ascii="Times New Roman" w:hAnsi="Times New Roman" w:cs="Times New Roman"/>
          <w:sz w:val="24"/>
          <w:szCs w:val="24"/>
        </w:rPr>
        <w:t>Ntim et al., 2017)</w:t>
      </w:r>
      <w:r w:rsidR="006657B9">
        <w:rPr>
          <w:rFonts w:ascii="Times New Roman" w:hAnsi="Times New Roman" w:cs="Times New Roman"/>
          <w:sz w:val="24"/>
          <w:szCs w:val="24"/>
        </w:rPr>
        <w:t xml:space="preserve"> suggests that </w:t>
      </w:r>
      <w:r w:rsidR="00485FEC">
        <w:rPr>
          <w:rFonts w:ascii="Times New Roman" w:hAnsi="Times New Roman" w:cs="Times New Roman"/>
          <w:sz w:val="24"/>
          <w:szCs w:val="24"/>
        </w:rPr>
        <w:t xml:space="preserve">larger </w:t>
      </w:r>
      <w:r w:rsidR="006657B9">
        <w:rPr>
          <w:rFonts w:ascii="Times New Roman" w:hAnsi="Times New Roman" w:cs="Times New Roman"/>
          <w:sz w:val="24"/>
          <w:szCs w:val="24"/>
        </w:rPr>
        <w:t>senior management team</w:t>
      </w:r>
      <w:r w:rsidR="00485FEC">
        <w:rPr>
          <w:rFonts w:ascii="Times New Roman" w:hAnsi="Times New Roman" w:cs="Times New Roman"/>
          <w:sz w:val="24"/>
          <w:szCs w:val="24"/>
        </w:rPr>
        <w:t xml:space="preserve">s are </w:t>
      </w:r>
      <w:r w:rsidR="00895385">
        <w:rPr>
          <w:rFonts w:ascii="Times New Roman" w:hAnsi="Times New Roman" w:cs="Times New Roman"/>
          <w:sz w:val="24"/>
          <w:szCs w:val="24"/>
        </w:rPr>
        <w:t xml:space="preserve">often </w:t>
      </w:r>
      <w:r w:rsidR="00485FEC">
        <w:rPr>
          <w:rFonts w:ascii="Times New Roman" w:hAnsi="Times New Roman" w:cs="Times New Roman"/>
          <w:sz w:val="24"/>
          <w:szCs w:val="24"/>
        </w:rPr>
        <w:t xml:space="preserve">associated with </w:t>
      </w:r>
      <w:r w:rsidR="004D5EA4">
        <w:rPr>
          <w:rFonts w:ascii="Times New Roman" w:hAnsi="Times New Roman" w:cs="Times New Roman"/>
          <w:sz w:val="24"/>
          <w:szCs w:val="24"/>
        </w:rPr>
        <w:t xml:space="preserve">greater diversity in skills, experience, expertise and </w:t>
      </w:r>
      <w:r w:rsidR="00A24341">
        <w:rPr>
          <w:rFonts w:ascii="Times New Roman" w:hAnsi="Times New Roman" w:cs="Times New Roman"/>
          <w:sz w:val="24"/>
          <w:szCs w:val="24"/>
        </w:rPr>
        <w:t>better business networks</w:t>
      </w:r>
      <w:r w:rsidR="004D5EA4">
        <w:rPr>
          <w:rFonts w:ascii="Times New Roman" w:hAnsi="Times New Roman" w:cs="Times New Roman"/>
          <w:sz w:val="24"/>
          <w:szCs w:val="24"/>
        </w:rPr>
        <w:t xml:space="preserve">, and hence </w:t>
      </w:r>
      <w:r w:rsidR="00867175">
        <w:rPr>
          <w:rFonts w:ascii="Times New Roman" w:hAnsi="Times New Roman" w:cs="Times New Roman"/>
          <w:sz w:val="24"/>
          <w:szCs w:val="24"/>
        </w:rPr>
        <w:t>such</w:t>
      </w:r>
      <w:r w:rsidR="004D5EA4">
        <w:rPr>
          <w:rFonts w:ascii="Times New Roman" w:hAnsi="Times New Roman" w:cs="Times New Roman"/>
          <w:sz w:val="24"/>
          <w:szCs w:val="24"/>
        </w:rPr>
        <w:t xml:space="preserve"> teams </w:t>
      </w:r>
      <w:r w:rsidR="005B01DC">
        <w:rPr>
          <w:rFonts w:ascii="Times New Roman" w:hAnsi="Times New Roman" w:cs="Times New Roman"/>
          <w:sz w:val="24"/>
          <w:szCs w:val="24"/>
        </w:rPr>
        <w:t>are expected to be</w:t>
      </w:r>
      <w:r w:rsidR="004D5EA4">
        <w:rPr>
          <w:rFonts w:ascii="Times New Roman" w:hAnsi="Times New Roman" w:cs="Times New Roman"/>
          <w:sz w:val="24"/>
          <w:szCs w:val="24"/>
        </w:rPr>
        <w:t xml:space="preserve"> more effective in monitoring and controlling </w:t>
      </w:r>
      <w:r w:rsidR="005B01DC">
        <w:rPr>
          <w:rFonts w:ascii="Times New Roman" w:hAnsi="Times New Roman" w:cs="Times New Roman"/>
          <w:sz w:val="24"/>
          <w:szCs w:val="24"/>
        </w:rPr>
        <w:t>managerial activitie</w:t>
      </w:r>
      <w:r w:rsidR="005F3020">
        <w:rPr>
          <w:rFonts w:ascii="Times New Roman" w:hAnsi="Times New Roman" w:cs="Times New Roman"/>
          <w:sz w:val="24"/>
          <w:szCs w:val="24"/>
        </w:rPr>
        <w:t>s</w:t>
      </w:r>
      <w:r w:rsidR="005B01DC">
        <w:rPr>
          <w:rFonts w:ascii="Times New Roman" w:hAnsi="Times New Roman" w:cs="Times New Roman"/>
          <w:sz w:val="24"/>
          <w:szCs w:val="24"/>
        </w:rPr>
        <w:t xml:space="preserve">, and this consequently </w:t>
      </w:r>
      <w:r w:rsidR="005F3020">
        <w:rPr>
          <w:rFonts w:ascii="Times New Roman" w:hAnsi="Times New Roman" w:cs="Times New Roman"/>
          <w:sz w:val="24"/>
          <w:szCs w:val="24"/>
        </w:rPr>
        <w:t>may</w:t>
      </w:r>
      <w:r w:rsidR="005B01DC">
        <w:rPr>
          <w:rFonts w:ascii="Times New Roman" w:hAnsi="Times New Roman" w:cs="Times New Roman"/>
          <w:sz w:val="24"/>
          <w:szCs w:val="24"/>
        </w:rPr>
        <w:t xml:space="preserve"> impact positively on risk disclosure practices. </w:t>
      </w:r>
      <w:r w:rsidR="005F3020">
        <w:rPr>
          <w:rFonts w:ascii="Times New Roman" w:hAnsi="Times New Roman" w:cs="Times New Roman"/>
          <w:sz w:val="24"/>
          <w:szCs w:val="24"/>
        </w:rPr>
        <w:t xml:space="preserve">Similarly, </w:t>
      </w:r>
      <w:r w:rsidR="00C70B61">
        <w:rPr>
          <w:rFonts w:ascii="Times New Roman" w:hAnsi="Times New Roman" w:cs="Times New Roman"/>
          <w:sz w:val="24"/>
          <w:szCs w:val="24"/>
        </w:rPr>
        <w:t xml:space="preserve">and from neo-institutional (legitimisation view) perspective, </w:t>
      </w:r>
      <w:r w:rsidR="00A24341">
        <w:rPr>
          <w:rFonts w:ascii="Times New Roman" w:hAnsi="Times New Roman" w:cs="Times New Roman"/>
          <w:sz w:val="24"/>
          <w:szCs w:val="24"/>
        </w:rPr>
        <w:t xml:space="preserve">large senior management teams </w:t>
      </w:r>
      <w:r w:rsidR="00867175">
        <w:rPr>
          <w:rFonts w:ascii="Times New Roman" w:hAnsi="Times New Roman" w:cs="Times New Roman"/>
          <w:sz w:val="24"/>
          <w:szCs w:val="24"/>
        </w:rPr>
        <w:t xml:space="preserve">may </w:t>
      </w:r>
      <w:r w:rsidR="00A24341">
        <w:rPr>
          <w:rFonts w:ascii="Times New Roman" w:hAnsi="Times New Roman" w:cs="Times New Roman"/>
          <w:sz w:val="24"/>
          <w:szCs w:val="24"/>
        </w:rPr>
        <w:t xml:space="preserve">not only </w:t>
      </w:r>
      <w:r w:rsidR="00867175">
        <w:rPr>
          <w:rFonts w:ascii="Times New Roman" w:hAnsi="Times New Roman" w:cs="Times New Roman"/>
          <w:sz w:val="24"/>
          <w:szCs w:val="24"/>
        </w:rPr>
        <w:t>improve an organisation</w:t>
      </w:r>
      <w:r w:rsidR="008220F6">
        <w:rPr>
          <w:rFonts w:ascii="Times New Roman" w:hAnsi="Times New Roman" w:cs="Times New Roman"/>
          <w:sz w:val="24"/>
          <w:szCs w:val="24"/>
        </w:rPr>
        <w:t>’s</w:t>
      </w:r>
      <w:r w:rsidR="00867175">
        <w:rPr>
          <w:rFonts w:ascii="Times New Roman" w:hAnsi="Times New Roman" w:cs="Times New Roman"/>
          <w:sz w:val="24"/>
          <w:szCs w:val="24"/>
        </w:rPr>
        <w:t xml:space="preserve"> efficiency,</w:t>
      </w:r>
      <w:r w:rsidR="00A75E98">
        <w:rPr>
          <w:rFonts w:ascii="Times New Roman" w:hAnsi="Times New Roman" w:cs="Times New Roman"/>
          <w:sz w:val="24"/>
          <w:szCs w:val="24"/>
        </w:rPr>
        <w:t xml:space="preserve"> </w:t>
      </w:r>
      <w:r w:rsidR="00867175">
        <w:rPr>
          <w:rFonts w:ascii="Times New Roman" w:hAnsi="Times New Roman" w:cs="Times New Roman"/>
          <w:sz w:val="24"/>
          <w:szCs w:val="24"/>
        </w:rPr>
        <w:lastRenderedPageBreak/>
        <w:t>but can also enhance its legitimacy and image by increasing the representation of</w:t>
      </w:r>
      <w:r w:rsidR="0011225C">
        <w:rPr>
          <w:rFonts w:ascii="Times New Roman" w:hAnsi="Times New Roman" w:cs="Times New Roman"/>
          <w:sz w:val="24"/>
          <w:szCs w:val="24"/>
        </w:rPr>
        <w:t xml:space="preserve"> </w:t>
      </w:r>
      <w:r w:rsidR="003F1431">
        <w:rPr>
          <w:rFonts w:ascii="Times New Roman" w:hAnsi="Times New Roman" w:cs="Times New Roman"/>
          <w:sz w:val="24"/>
          <w:szCs w:val="24"/>
        </w:rPr>
        <w:t>broad public interests</w:t>
      </w:r>
      <w:r w:rsidR="00867175">
        <w:rPr>
          <w:rFonts w:ascii="Times New Roman" w:hAnsi="Times New Roman" w:cs="Times New Roman"/>
          <w:sz w:val="24"/>
          <w:szCs w:val="24"/>
        </w:rPr>
        <w:t xml:space="preserve"> (</w:t>
      </w:r>
      <w:r w:rsidR="0007382B">
        <w:rPr>
          <w:rFonts w:ascii="Times New Roman" w:hAnsi="Times New Roman" w:cs="Times New Roman"/>
          <w:sz w:val="24"/>
          <w:szCs w:val="24"/>
        </w:rPr>
        <w:t>Ntim et al., 2017)</w:t>
      </w:r>
      <w:r w:rsidR="0011225C">
        <w:rPr>
          <w:rFonts w:ascii="Times New Roman" w:hAnsi="Times New Roman" w:cs="Times New Roman"/>
          <w:color w:val="000000"/>
          <w:sz w:val="24"/>
          <w:szCs w:val="24"/>
          <w:bdr w:val="none" w:sz="0" w:space="0" w:color="auto" w:frame="1"/>
          <w:shd w:val="clear" w:color="auto" w:fill="FFFFFF"/>
        </w:rPr>
        <w:t>, and this</w:t>
      </w:r>
      <w:r w:rsidR="008B21CB">
        <w:rPr>
          <w:rFonts w:ascii="Times New Roman" w:hAnsi="Times New Roman" w:cs="Times New Roman"/>
          <w:color w:val="000000"/>
          <w:sz w:val="24"/>
          <w:szCs w:val="24"/>
          <w:bdr w:val="none" w:sz="0" w:space="0" w:color="auto" w:frame="1"/>
          <w:shd w:val="clear" w:color="auto" w:fill="FFFFFF"/>
        </w:rPr>
        <w:t>,</w:t>
      </w:r>
      <w:r w:rsidR="0011225C">
        <w:rPr>
          <w:rFonts w:ascii="Times New Roman" w:hAnsi="Times New Roman" w:cs="Times New Roman"/>
          <w:color w:val="000000"/>
          <w:sz w:val="24"/>
          <w:szCs w:val="24"/>
          <w:bdr w:val="none" w:sz="0" w:space="0" w:color="auto" w:frame="1"/>
          <w:shd w:val="clear" w:color="auto" w:fill="FFFFFF"/>
        </w:rPr>
        <w:t xml:space="preserve"> consequently</w:t>
      </w:r>
      <w:r w:rsidR="008B21CB">
        <w:rPr>
          <w:rFonts w:ascii="Times New Roman" w:hAnsi="Times New Roman" w:cs="Times New Roman"/>
          <w:color w:val="000000"/>
          <w:sz w:val="24"/>
          <w:szCs w:val="24"/>
          <w:bdr w:val="none" w:sz="0" w:space="0" w:color="auto" w:frame="1"/>
          <w:shd w:val="clear" w:color="auto" w:fill="FFFFFF"/>
        </w:rPr>
        <w:t>,</w:t>
      </w:r>
      <w:r w:rsidR="0011225C">
        <w:rPr>
          <w:rFonts w:ascii="Times New Roman" w:hAnsi="Times New Roman" w:cs="Times New Roman"/>
          <w:color w:val="000000"/>
          <w:sz w:val="24"/>
          <w:szCs w:val="24"/>
          <w:bdr w:val="none" w:sz="0" w:space="0" w:color="auto" w:frame="1"/>
          <w:shd w:val="clear" w:color="auto" w:fill="FFFFFF"/>
        </w:rPr>
        <w:t xml:space="preserve"> can increase pressure on HEIs to engage in greater risk disclosures. </w:t>
      </w:r>
      <w:r w:rsidR="00443BEA">
        <w:rPr>
          <w:rFonts w:ascii="Times New Roman" w:hAnsi="Times New Roman" w:cs="Times New Roman"/>
          <w:color w:val="000000"/>
          <w:sz w:val="24"/>
          <w:szCs w:val="24"/>
          <w:bdr w:val="none" w:sz="0" w:space="0" w:color="auto" w:frame="1"/>
          <w:shd w:val="clear" w:color="auto" w:fill="FFFFFF"/>
        </w:rPr>
        <w:t xml:space="preserve">However, </w:t>
      </w:r>
      <w:r w:rsidR="00443BEA" w:rsidRPr="00443BEA">
        <w:rPr>
          <w:rFonts w:ascii="Times New Roman" w:hAnsi="Times New Roman" w:cs="Times New Roman"/>
          <w:color w:val="000000"/>
          <w:sz w:val="24"/>
          <w:szCs w:val="24"/>
          <w:bdr w:val="none" w:sz="0" w:space="0" w:color="auto" w:frame="1"/>
          <w:shd w:val="clear" w:color="auto" w:fill="FFFFFF"/>
        </w:rPr>
        <w:t>Ragland</w:t>
      </w:r>
      <w:r w:rsidR="00443BEA">
        <w:rPr>
          <w:rFonts w:ascii="Times New Roman" w:hAnsi="Times New Roman" w:cs="Times New Roman"/>
          <w:color w:val="000000"/>
          <w:sz w:val="24"/>
          <w:szCs w:val="24"/>
          <w:bdr w:val="none" w:sz="0" w:space="0" w:color="auto" w:frame="1"/>
          <w:shd w:val="clear" w:color="auto" w:fill="FFFFFF"/>
        </w:rPr>
        <w:t xml:space="preserve"> and</w:t>
      </w:r>
      <w:r w:rsidR="00443BEA" w:rsidRPr="00443BEA">
        <w:rPr>
          <w:rFonts w:ascii="Times New Roman" w:hAnsi="Times New Roman" w:cs="Times New Roman"/>
          <w:color w:val="000000"/>
          <w:sz w:val="24"/>
          <w:szCs w:val="24"/>
          <w:bdr w:val="none" w:sz="0" w:space="0" w:color="auto" w:frame="1"/>
          <w:shd w:val="clear" w:color="auto" w:fill="FFFFFF"/>
        </w:rPr>
        <w:t xml:space="preserve"> Plante</w:t>
      </w:r>
      <w:r w:rsidR="00443BEA">
        <w:rPr>
          <w:rFonts w:ascii="Times New Roman" w:hAnsi="Times New Roman" w:cs="Times New Roman"/>
          <w:color w:val="000000"/>
          <w:sz w:val="24"/>
          <w:szCs w:val="24"/>
          <w:bdr w:val="none" w:sz="0" w:space="0" w:color="auto" w:frame="1"/>
          <w:shd w:val="clear" w:color="auto" w:fill="FFFFFF"/>
        </w:rPr>
        <w:t xml:space="preserve"> (2021) </w:t>
      </w:r>
      <w:r w:rsidR="007F0B58">
        <w:rPr>
          <w:rFonts w:ascii="Times New Roman" w:hAnsi="Times New Roman" w:cs="Times New Roman"/>
          <w:color w:val="000000"/>
          <w:sz w:val="24"/>
          <w:szCs w:val="24"/>
          <w:bdr w:val="none" w:sz="0" w:space="0" w:color="auto" w:frame="1"/>
          <w:shd w:val="clear" w:color="auto" w:fill="FFFFFF"/>
        </w:rPr>
        <w:t>suggest</w:t>
      </w:r>
      <w:r w:rsidR="00443BEA">
        <w:rPr>
          <w:rFonts w:ascii="Times New Roman" w:hAnsi="Times New Roman" w:cs="Times New Roman"/>
          <w:color w:val="000000"/>
          <w:sz w:val="24"/>
          <w:szCs w:val="24"/>
          <w:bdr w:val="none" w:sz="0" w:space="0" w:color="auto" w:frame="1"/>
          <w:shd w:val="clear" w:color="auto" w:fill="FFFFFF"/>
        </w:rPr>
        <w:t xml:space="preserve"> tha</w:t>
      </w:r>
      <w:r w:rsidR="00C547EE">
        <w:rPr>
          <w:rFonts w:ascii="Times New Roman" w:hAnsi="Times New Roman" w:cs="Times New Roman"/>
          <w:color w:val="000000"/>
          <w:sz w:val="24"/>
          <w:szCs w:val="24"/>
          <w:bdr w:val="none" w:sz="0" w:space="0" w:color="auto" w:frame="1"/>
          <w:shd w:val="clear" w:color="auto" w:fill="FFFFFF"/>
        </w:rPr>
        <w:t>t</w:t>
      </w:r>
      <w:r w:rsidR="00443BEA">
        <w:rPr>
          <w:rFonts w:ascii="Times New Roman" w:hAnsi="Times New Roman" w:cs="Times New Roman"/>
          <w:color w:val="000000"/>
          <w:sz w:val="24"/>
          <w:szCs w:val="24"/>
          <w:bdr w:val="none" w:sz="0" w:space="0" w:color="auto" w:frame="1"/>
          <w:shd w:val="clear" w:color="auto" w:fill="FFFFFF"/>
        </w:rPr>
        <w:t xml:space="preserve"> large </w:t>
      </w:r>
      <w:r w:rsidR="00C547EE">
        <w:rPr>
          <w:rFonts w:ascii="Times New Roman" w:hAnsi="Times New Roman" w:cs="Times New Roman"/>
          <w:color w:val="000000"/>
          <w:sz w:val="24"/>
          <w:szCs w:val="24"/>
          <w:bdr w:val="none" w:sz="0" w:space="0" w:color="auto" w:frame="1"/>
          <w:shd w:val="clear" w:color="auto" w:fill="FFFFFF"/>
        </w:rPr>
        <w:t xml:space="preserve">leadership teams </w:t>
      </w:r>
      <w:r w:rsidR="007F0B58">
        <w:rPr>
          <w:rFonts w:ascii="Times New Roman" w:hAnsi="Times New Roman" w:cs="Times New Roman"/>
          <w:color w:val="000000"/>
          <w:sz w:val="24"/>
          <w:szCs w:val="24"/>
          <w:bdr w:val="none" w:sz="0" w:space="0" w:color="auto" w:frame="1"/>
          <w:shd w:val="clear" w:color="auto" w:fill="FFFFFF"/>
        </w:rPr>
        <w:t xml:space="preserve">may not necessarily bring benefits to non-profitable organisations, since large leadership teams may </w:t>
      </w:r>
      <w:r w:rsidR="00C547EE">
        <w:rPr>
          <w:rFonts w:ascii="Times New Roman" w:hAnsi="Times New Roman" w:cs="Times New Roman"/>
          <w:color w:val="000000"/>
          <w:sz w:val="24"/>
          <w:szCs w:val="24"/>
          <w:bdr w:val="none" w:sz="0" w:space="0" w:color="auto" w:frame="1"/>
          <w:shd w:val="clear" w:color="auto" w:fill="FFFFFF"/>
        </w:rPr>
        <w:t xml:space="preserve">suffer from lack of communication and coordination among their members, and this can diminish </w:t>
      </w:r>
      <w:r w:rsidR="007F0B58">
        <w:rPr>
          <w:rFonts w:ascii="Times New Roman" w:hAnsi="Times New Roman" w:cs="Times New Roman"/>
          <w:color w:val="000000"/>
          <w:sz w:val="24"/>
          <w:szCs w:val="24"/>
          <w:bdr w:val="none" w:sz="0" w:space="0" w:color="auto" w:frame="1"/>
          <w:shd w:val="clear" w:color="auto" w:fill="FFFFFF"/>
        </w:rPr>
        <w:t>their</w:t>
      </w:r>
      <w:r w:rsidR="00C547EE">
        <w:rPr>
          <w:rFonts w:ascii="Times New Roman" w:hAnsi="Times New Roman" w:cs="Times New Roman"/>
          <w:color w:val="000000"/>
          <w:sz w:val="24"/>
          <w:szCs w:val="24"/>
          <w:bdr w:val="none" w:sz="0" w:space="0" w:color="auto" w:frame="1"/>
          <w:shd w:val="clear" w:color="auto" w:fill="FFFFFF"/>
        </w:rPr>
        <w:t xml:space="preserve"> monitoring effectiveness</w:t>
      </w:r>
      <w:r w:rsidR="007F0B58">
        <w:rPr>
          <w:rFonts w:ascii="Times New Roman" w:hAnsi="Times New Roman" w:cs="Times New Roman"/>
          <w:color w:val="000000"/>
          <w:sz w:val="24"/>
          <w:szCs w:val="24"/>
          <w:bdr w:val="none" w:sz="0" w:space="0" w:color="auto" w:frame="1"/>
          <w:shd w:val="clear" w:color="auto" w:fill="FFFFFF"/>
        </w:rPr>
        <w:t xml:space="preserve">, which can impact negatively on risk disclosure practices. </w:t>
      </w:r>
      <w:r w:rsidR="000948B3">
        <w:rPr>
          <w:rFonts w:ascii="Times New Roman" w:hAnsi="Times New Roman" w:cs="Times New Roman"/>
          <w:color w:val="000000"/>
          <w:sz w:val="24"/>
          <w:szCs w:val="24"/>
          <w:bdr w:val="none" w:sz="0" w:space="0" w:color="auto" w:frame="1"/>
          <w:shd w:val="clear" w:color="auto" w:fill="FFFFFF"/>
        </w:rPr>
        <w:t xml:space="preserve">Further, greater senior management team gender and ethnic diversity, from the efficiency view of neo-institutional theory, can </w:t>
      </w:r>
      <w:r w:rsidR="00F25F64">
        <w:rPr>
          <w:rFonts w:ascii="Times New Roman" w:hAnsi="Times New Roman" w:cs="Times New Roman"/>
          <w:color w:val="000000"/>
          <w:sz w:val="24"/>
          <w:szCs w:val="24"/>
          <w:bdr w:val="none" w:sz="0" w:space="0" w:color="auto" w:frame="1"/>
          <w:shd w:val="clear" w:color="auto" w:fill="FFFFFF"/>
        </w:rPr>
        <w:t xml:space="preserve">improve leadership </w:t>
      </w:r>
      <w:r w:rsidR="001C1B4D">
        <w:rPr>
          <w:rFonts w:ascii="Times New Roman" w:hAnsi="Times New Roman" w:cs="Times New Roman"/>
          <w:color w:val="000000"/>
          <w:sz w:val="24"/>
          <w:szCs w:val="24"/>
          <w:bdr w:val="none" w:sz="0" w:space="0" w:color="auto" w:frame="1"/>
          <w:shd w:val="clear" w:color="auto" w:fill="FFFFFF"/>
        </w:rPr>
        <w:t>performance</w:t>
      </w:r>
      <w:r w:rsidR="00376C2D">
        <w:rPr>
          <w:rFonts w:ascii="Times New Roman" w:hAnsi="Times New Roman" w:cs="Times New Roman"/>
          <w:color w:val="000000"/>
          <w:sz w:val="24"/>
          <w:szCs w:val="24"/>
          <w:bdr w:val="none" w:sz="0" w:space="0" w:color="auto" w:frame="1"/>
          <w:shd w:val="clear" w:color="auto" w:fill="FFFFFF"/>
        </w:rPr>
        <w:t xml:space="preserve"> and </w:t>
      </w:r>
      <w:r w:rsidR="00F25F64">
        <w:rPr>
          <w:rFonts w:ascii="Times New Roman" w:hAnsi="Times New Roman" w:cs="Times New Roman"/>
          <w:color w:val="000000"/>
          <w:sz w:val="24"/>
          <w:szCs w:val="24"/>
          <w:bdr w:val="none" w:sz="0" w:space="0" w:color="auto" w:frame="1"/>
          <w:shd w:val="clear" w:color="auto" w:fill="FFFFFF"/>
        </w:rPr>
        <w:t>efficiency by</w:t>
      </w:r>
      <w:r w:rsidR="00376C2D">
        <w:rPr>
          <w:rFonts w:ascii="Times New Roman" w:hAnsi="Times New Roman" w:cs="Times New Roman"/>
          <w:color w:val="000000"/>
          <w:sz w:val="24"/>
          <w:szCs w:val="24"/>
          <w:bdr w:val="none" w:sz="0" w:space="0" w:color="auto" w:frame="1"/>
          <w:shd w:val="clear" w:color="auto" w:fill="FFFFFF"/>
        </w:rPr>
        <w:t xml:space="preserve"> </w:t>
      </w:r>
      <w:r w:rsidR="00C55EDA">
        <w:rPr>
          <w:rFonts w:ascii="Times New Roman" w:hAnsi="Times New Roman" w:cs="Times New Roman"/>
          <w:color w:val="000000"/>
          <w:sz w:val="24"/>
          <w:szCs w:val="24"/>
          <w:bdr w:val="none" w:sz="0" w:space="0" w:color="auto" w:frame="1"/>
          <w:shd w:val="clear" w:color="auto" w:fill="FFFFFF"/>
        </w:rPr>
        <w:t>improving senior management independence</w:t>
      </w:r>
      <w:r w:rsidR="00C24358">
        <w:rPr>
          <w:rFonts w:ascii="Times New Roman" w:hAnsi="Times New Roman" w:cs="Times New Roman"/>
          <w:color w:val="000000"/>
          <w:sz w:val="24"/>
          <w:szCs w:val="24"/>
          <w:bdr w:val="none" w:sz="0" w:space="0" w:color="auto" w:frame="1"/>
          <w:shd w:val="clear" w:color="auto" w:fill="FFFFFF"/>
        </w:rPr>
        <w:t>,</w:t>
      </w:r>
      <w:r w:rsidR="00C55EDA">
        <w:rPr>
          <w:rFonts w:ascii="Times New Roman" w:hAnsi="Times New Roman" w:cs="Times New Roman"/>
          <w:color w:val="000000"/>
          <w:sz w:val="24"/>
          <w:szCs w:val="24"/>
          <w:bdr w:val="none" w:sz="0" w:space="0" w:color="auto" w:frame="1"/>
          <w:shd w:val="clear" w:color="auto" w:fill="FFFFFF"/>
        </w:rPr>
        <w:t xml:space="preserve"> </w:t>
      </w:r>
      <w:r w:rsidR="00DD3ABB">
        <w:rPr>
          <w:rFonts w:ascii="Times New Roman" w:hAnsi="Times New Roman" w:cs="Times New Roman"/>
          <w:color w:val="000000"/>
          <w:sz w:val="24"/>
          <w:szCs w:val="24"/>
          <w:bdr w:val="none" w:sz="0" w:space="0" w:color="auto" w:frame="1"/>
          <w:shd w:val="clear" w:color="auto" w:fill="FFFFFF"/>
        </w:rPr>
        <w:t xml:space="preserve">as well as </w:t>
      </w:r>
      <w:r w:rsidR="00C24358">
        <w:rPr>
          <w:rFonts w:ascii="Times New Roman" w:hAnsi="Times New Roman" w:cs="Times New Roman"/>
          <w:color w:val="000000"/>
          <w:sz w:val="24"/>
          <w:szCs w:val="24"/>
          <w:bdr w:val="none" w:sz="0" w:space="0" w:color="auto" w:frame="1"/>
          <w:shd w:val="clear" w:color="auto" w:fill="FFFFFF"/>
        </w:rPr>
        <w:t>bringing</w:t>
      </w:r>
      <w:r w:rsidR="00DD3ABB">
        <w:rPr>
          <w:rFonts w:ascii="Times New Roman" w:hAnsi="Times New Roman" w:cs="Times New Roman"/>
          <w:color w:val="000000"/>
          <w:sz w:val="24"/>
          <w:szCs w:val="24"/>
          <w:bdr w:val="none" w:sz="0" w:space="0" w:color="auto" w:frame="1"/>
          <w:shd w:val="clear" w:color="auto" w:fill="FFFFFF"/>
        </w:rPr>
        <w:t xml:space="preserve"> ideas, experience, skills and abilities of diverse group</w:t>
      </w:r>
      <w:r w:rsidR="00DD141B">
        <w:rPr>
          <w:rFonts w:ascii="Times New Roman" w:hAnsi="Times New Roman" w:cs="Times New Roman"/>
          <w:color w:val="000000"/>
          <w:sz w:val="24"/>
          <w:szCs w:val="24"/>
          <w:bdr w:val="none" w:sz="0" w:space="0" w:color="auto" w:frame="1"/>
          <w:shd w:val="clear" w:color="auto" w:fill="FFFFFF"/>
        </w:rPr>
        <w:t xml:space="preserve"> of</w:t>
      </w:r>
      <w:r w:rsidR="00DD3ABB">
        <w:rPr>
          <w:rFonts w:ascii="Times New Roman" w:hAnsi="Times New Roman" w:cs="Times New Roman"/>
          <w:color w:val="000000"/>
          <w:sz w:val="24"/>
          <w:szCs w:val="24"/>
          <w:bdr w:val="none" w:sz="0" w:space="0" w:color="auto" w:frame="1"/>
          <w:shd w:val="clear" w:color="auto" w:fill="FFFFFF"/>
        </w:rPr>
        <w:t xml:space="preserve"> members (</w:t>
      </w:r>
      <w:r w:rsidR="008D74A5">
        <w:rPr>
          <w:rFonts w:ascii="Times New Roman" w:hAnsi="Times New Roman" w:cs="Times New Roman"/>
          <w:color w:val="000000"/>
          <w:sz w:val="24"/>
          <w:szCs w:val="24"/>
          <w:bdr w:val="none" w:sz="0" w:space="0" w:color="auto" w:frame="1"/>
          <w:shd w:val="clear" w:color="auto" w:fill="FFFFFF"/>
        </w:rPr>
        <w:t>Elmagrhi &amp; Ntim, 2022)</w:t>
      </w:r>
      <w:r w:rsidR="00DD3ABB">
        <w:rPr>
          <w:rFonts w:ascii="Times New Roman" w:hAnsi="Times New Roman" w:cs="Times New Roman"/>
          <w:color w:val="000000"/>
          <w:sz w:val="24"/>
          <w:szCs w:val="24"/>
          <w:bdr w:val="none" w:sz="0" w:space="0" w:color="auto" w:frame="1"/>
          <w:shd w:val="clear" w:color="auto" w:fill="FFFFFF"/>
        </w:rPr>
        <w:t>, and this may</w:t>
      </w:r>
      <w:r w:rsidR="00F77283">
        <w:rPr>
          <w:rFonts w:ascii="Times New Roman" w:hAnsi="Times New Roman" w:cs="Times New Roman"/>
          <w:color w:val="000000"/>
          <w:sz w:val="24"/>
          <w:szCs w:val="24"/>
          <w:bdr w:val="none" w:sz="0" w:space="0" w:color="auto" w:frame="1"/>
          <w:shd w:val="clear" w:color="auto" w:fill="FFFFFF"/>
        </w:rPr>
        <w:t xml:space="preserve"> </w:t>
      </w:r>
      <w:r w:rsidR="00F77283" w:rsidRPr="00F77283">
        <w:rPr>
          <w:rFonts w:ascii="Times New Roman" w:hAnsi="Times New Roman" w:cs="Times New Roman"/>
          <w:color w:val="000000"/>
          <w:sz w:val="24"/>
          <w:szCs w:val="24"/>
          <w:bdr w:val="none" w:sz="0" w:space="0" w:color="auto" w:frame="1"/>
          <w:shd w:val="clear" w:color="auto" w:fill="FFFFFF"/>
        </w:rPr>
        <w:t>pressurise</w:t>
      </w:r>
      <w:r w:rsidR="00F77283">
        <w:rPr>
          <w:rFonts w:ascii="Times New Roman" w:hAnsi="Times New Roman" w:cs="Times New Roman"/>
          <w:color w:val="000000"/>
          <w:sz w:val="24"/>
          <w:szCs w:val="24"/>
          <w:bdr w:val="none" w:sz="0" w:space="0" w:color="auto" w:frame="1"/>
          <w:shd w:val="clear" w:color="auto" w:fill="FFFFFF"/>
        </w:rPr>
        <w:t xml:space="preserve"> </w:t>
      </w:r>
      <w:r w:rsidR="00E10B99">
        <w:rPr>
          <w:rFonts w:ascii="Times New Roman" w:hAnsi="Times New Roman" w:cs="Times New Roman"/>
          <w:color w:val="000000"/>
          <w:sz w:val="24"/>
          <w:szCs w:val="24"/>
          <w:bdr w:val="none" w:sz="0" w:space="0" w:color="auto" w:frame="1"/>
          <w:shd w:val="clear" w:color="auto" w:fill="FFFFFF"/>
        </w:rPr>
        <w:t>HEIs</w:t>
      </w:r>
      <w:r w:rsidR="00F77283">
        <w:rPr>
          <w:rFonts w:ascii="Times New Roman" w:hAnsi="Times New Roman" w:cs="Times New Roman"/>
          <w:color w:val="000000"/>
          <w:sz w:val="24"/>
          <w:szCs w:val="24"/>
          <w:bdr w:val="none" w:sz="0" w:space="0" w:color="auto" w:frame="1"/>
          <w:shd w:val="clear" w:color="auto" w:fill="FFFFFF"/>
        </w:rPr>
        <w:t xml:space="preserve"> to engage in greater risk disclosures. Similarly, </w:t>
      </w:r>
      <w:r w:rsidR="00C24358">
        <w:rPr>
          <w:rFonts w:ascii="Times New Roman" w:hAnsi="Times New Roman" w:cs="Times New Roman"/>
          <w:color w:val="000000"/>
          <w:sz w:val="24"/>
          <w:szCs w:val="24"/>
          <w:bdr w:val="none" w:sz="0" w:space="0" w:color="auto" w:frame="1"/>
          <w:shd w:val="clear" w:color="auto" w:fill="FFFFFF"/>
        </w:rPr>
        <w:t xml:space="preserve">and from the </w:t>
      </w:r>
      <w:r w:rsidR="008B21CB">
        <w:rPr>
          <w:rFonts w:ascii="Times New Roman" w:hAnsi="Times New Roman" w:cs="Times New Roman"/>
          <w:color w:val="000000"/>
          <w:sz w:val="24"/>
          <w:szCs w:val="24"/>
          <w:bdr w:val="none" w:sz="0" w:space="0" w:color="auto" w:frame="1"/>
          <w:shd w:val="clear" w:color="auto" w:fill="FFFFFF"/>
        </w:rPr>
        <w:t xml:space="preserve">neo-institutional </w:t>
      </w:r>
      <w:r w:rsidR="00C24358">
        <w:rPr>
          <w:rFonts w:ascii="Times New Roman" w:hAnsi="Times New Roman" w:cs="Times New Roman"/>
          <w:color w:val="000000"/>
          <w:sz w:val="24"/>
          <w:szCs w:val="24"/>
          <w:bdr w:val="none" w:sz="0" w:space="0" w:color="auto" w:frame="1"/>
          <w:shd w:val="clear" w:color="auto" w:fill="FFFFFF"/>
        </w:rPr>
        <w:t xml:space="preserve">legitimisation perspective, </w:t>
      </w:r>
      <w:r w:rsidR="00CF2994">
        <w:rPr>
          <w:rFonts w:ascii="Times New Roman" w:hAnsi="Times New Roman" w:cs="Times New Roman"/>
          <w:color w:val="000000"/>
          <w:sz w:val="24"/>
          <w:szCs w:val="24"/>
          <w:bdr w:val="none" w:sz="0" w:space="0" w:color="auto" w:frame="1"/>
          <w:shd w:val="clear" w:color="auto" w:fill="FFFFFF"/>
        </w:rPr>
        <w:t xml:space="preserve">greater gender and ethnic diversity of </w:t>
      </w:r>
      <w:r w:rsidR="00C24358">
        <w:rPr>
          <w:rFonts w:ascii="Times New Roman" w:hAnsi="Times New Roman" w:cs="Times New Roman"/>
          <w:color w:val="000000"/>
          <w:sz w:val="24"/>
          <w:szCs w:val="24"/>
          <w:bdr w:val="none" w:sz="0" w:space="0" w:color="auto" w:frame="1"/>
          <w:shd w:val="clear" w:color="auto" w:fill="FFFFFF"/>
        </w:rPr>
        <w:t>senior management team can enhance organisation legitimacy</w:t>
      </w:r>
      <w:r w:rsidR="002B311B">
        <w:rPr>
          <w:rFonts w:ascii="Times New Roman" w:hAnsi="Times New Roman" w:cs="Times New Roman"/>
          <w:color w:val="000000"/>
          <w:sz w:val="24"/>
          <w:szCs w:val="24"/>
          <w:bdr w:val="none" w:sz="0" w:space="0" w:color="auto" w:frame="1"/>
          <w:shd w:val="clear" w:color="auto" w:fill="FFFFFF"/>
        </w:rPr>
        <w:t xml:space="preserve"> and image</w:t>
      </w:r>
      <w:r w:rsidR="00C24358">
        <w:rPr>
          <w:rFonts w:ascii="Times New Roman" w:hAnsi="Times New Roman" w:cs="Times New Roman"/>
          <w:color w:val="000000"/>
          <w:sz w:val="24"/>
          <w:szCs w:val="24"/>
          <w:bdr w:val="none" w:sz="0" w:space="0" w:color="auto" w:frame="1"/>
          <w:shd w:val="clear" w:color="auto" w:fill="FFFFFF"/>
        </w:rPr>
        <w:t xml:space="preserve"> by </w:t>
      </w:r>
      <w:r w:rsidR="007B2511">
        <w:rPr>
          <w:rFonts w:ascii="Times New Roman" w:hAnsi="Times New Roman" w:cs="Times New Roman"/>
          <w:color w:val="000000"/>
          <w:sz w:val="24"/>
          <w:szCs w:val="24"/>
          <w:bdr w:val="none" w:sz="0" w:space="0" w:color="auto" w:frame="1"/>
          <w:shd w:val="clear" w:color="auto" w:fill="FFFFFF"/>
        </w:rPr>
        <w:t>incorporating stakeholders’ views and opinions into decision making processes</w:t>
      </w:r>
      <w:r w:rsidR="00CF2994">
        <w:rPr>
          <w:rFonts w:ascii="Times New Roman" w:hAnsi="Times New Roman" w:cs="Times New Roman"/>
          <w:color w:val="000000"/>
          <w:sz w:val="24"/>
          <w:szCs w:val="24"/>
          <w:bdr w:val="none" w:sz="0" w:space="0" w:color="auto" w:frame="1"/>
          <w:shd w:val="clear" w:color="auto" w:fill="FFFFFF"/>
        </w:rPr>
        <w:t xml:space="preserve"> (</w:t>
      </w:r>
      <w:r w:rsidR="00B46F30" w:rsidRPr="00B46F30">
        <w:rPr>
          <w:rFonts w:ascii="Times New Roman" w:hAnsi="Times New Roman" w:cs="Times New Roman"/>
          <w:color w:val="000000"/>
          <w:sz w:val="24"/>
          <w:szCs w:val="24"/>
          <w:bdr w:val="none" w:sz="0" w:space="0" w:color="auto" w:frame="1"/>
          <w:shd w:val="clear" w:color="auto" w:fill="FFFFFF"/>
        </w:rPr>
        <w:t>Ntim &amp; Soobaroyen</w:t>
      </w:r>
      <w:r w:rsidR="00B46F30">
        <w:rPr>
          <w:rFonts w:ascii="Times New Roman" w:hAnsi="Times New Roman" w:cs="Times New Roman"/>
          <w:color w:val="000000"/>
          <w:sz w:val="24"/>
          <w:szCs w:val="24"/>
          <w:bdr w:val="none" w:sz="0" w:space="0" w:color="auto" w:frame="1"/>
          <w:shd w:val="clear" w:color="auto" w:fill="FFFFFF"/>
        </w:rPr>
        <w:t>, 2013)</w:t>
      </w:r>
      <w:r w:rsidR="008018EF">
        <w:rPr>
          <w:rFonts w:ascii="Times New Roman" w:hAnsi="Times New Roman" w:cs="Times New Roman"/>
          <w:color w:val="000000"/>
          <w:sz w:val="24"/>
          <w:szCs w:val="24"/>
          <w:bdr w:val="none" w:sz="0" w:space="0" w:color="auto" w:frame="1"/>
          <w:shd w:val="clear" w:color="auto" w:fill="FFFFFF"/>
        </w:rPr>
        <w:t>, and this can impact positively on HEIs outcomes, including risk disclosure practices.</w:t>
      </w:r>
      <w:r w:rsidR="001C1B4D">
        <w:rPr>
          <w:rFonts w:ascii="Times New Roman" w:hAnsi="Times New Roman" w:cs="Times New Roman"/>
          <w:color w:val="000000"/>
          <w:sz w:val="24"/>
          <w:szCs w:val="24"/>
          <w:bdr w:val="none" w:sz="0" w:space="0" w:color="auto" w:frame="1"/>
          <w:shd w:val="clear" w:color="auto" w:fill="FFFFFF"/>
        </w:rPr>
        <w:t xml:space="preserve"> </w:t>
      </w:r>
      <w:r w:rsidR="00503418">
        <w:rPr>
          <w:rFonts w:ascii="Times New Roman" w:hAnsi="Times New Roman" w:cs="Times New Roman"/>
          <w:color w:val="000000"/>
          <w:sz w:val="24"/>
          <w:szCs w:val="24"/>
          <w:bdr w:val="none" w:sz="0" w:space="0" w:color="auto" w:frame="1"/>
          <w:shd w:val="clear" w:color="auto" w:fill="FFFFFF"/>
        </w:rPr>
        <w:t xml:space="preserve">However, </w:t>
      </w:r>
      <w:r w:rsidR="00503418" w:rsidRPr="00503418">
        <w:rPr>
          <w:rFonts w:ascii="Times New Roman" w:hAnsi="Times New Roman" w:cs="Times New Roman"/>
          <w:sz w:val="24"/>
          <w:szCs w:val="24"/>
        </w:rPr>
        <w:t>Tomlinson</w:t>
      </w:r>
      <w:r w:rsidR="00503418">
        <w:rPr>
          <w:rFonts w:ascii="Times New Roman" w:hAnsi="Times New Roman" w:cs="Times New Roman"/>
          <w:sz w:val="24"/>
          <w:szCs w:val="24"/>
        </w:rPr>
        <w:t xml:space="preserve"> and</w:t>
      </w:r>
      <w:r w:rsidR="00503418" w:rsidRPr="00503418">
        <w:rPr>
          <w:rFonts w:ascii="Times New Roman" w:hAnsi="Times New Roman" w:cs="Times New Roman"/>
          <w:sz w:val="24"/>
          <w:szCs w:val="24"/>
        </w:rPr>
        <w:t xml:space="preserve"> Schwabenland</w:t>
      </w:r>
      <w:r w:rsidR="00503418">
        <w:rPr>
          <w:rFonts w:ascii="Times New Roman" w:hAnsi="Times New Roman" w:cs="Times New Roman"/>
          <w:sz w:val="24"/>
          <w:szCs w:val="24"/>
        </w:rPr>
        <w:t xml:space="preserve"> (2010) suggest that non-profitable organisations may appoint women and ethnic minorities </w:t>
      </w:r>
      <w:r w:rsidR="0062708D">
        <w:rPr>
          <w:rFonts w:ascii="Times New Roman" w:hAnsi="Times New Roman" w:cs="Times New Roman"/>
          <w:sz w:val="24"/>
          <w:szCs w:val="24"/>
        </w:rPr>
        <w:t xml:space="preserve">into executive leadership positions for symbolic reasons, including to show that their norms, values and goals are aligned with those of the large community, </w:t>
      </w:r>
      <w:r w:rsidR="00C10BFE">
        <w:rPr>
          <w:rFonts w:ascii="Times New Roman" w:hAnsi="Times New Roman" w:cs="Times New Roman"/>
          <w:sz w:val="24"/>
          <w:szCs w:val="24"/>
        </w:rPr>
        <w:t xml:space="preserve">and hence such executives tend to have less influence on their organisations’ strategic decisions. This implies that </w:t>
      </w:r>
      <w:r w:rsidR="00575D4D">
        <w:rPr>
          <w:rFonts w:ascii="Times New Roman" w:hAnsi="Times New Roman" w:cs="Times New Roman"/>
          <w:sz w:val="24"/>
          <w:szCs w:val="24"/>
        </w:rPr>
        <w:t xml:space="preserve">women and ethnic minorities may </w:t>
      </w:r>
      <w:r w:rsidR="00FB763F">
        <w:rPr>
          <w:rFonts w:ascii="Times New Roman" w:hAnsi="Times New Roman" w:cs="Times New Roman"/>
          <w:sz w:val="24"/>
          <w:szCs w:val="24"/>
        </w:rPr>
        <w:t xml:space="preserve">be appointed </w:t>
      </w:r>
      <w:r w:rsidR="00B52AC3">
        <w:rPr>
          <w:rFonts w:ascii="Times New Roman" w:hAnsi="Times New Roman" w:cs="Times New Roman"/>
          <w:sz w:val="24"/>
          <w:szCs w:val="24"/>
        </w:rPr>
        <w:t>in</w:t>
      </w:r>
      <w:r w:rsidR="00F3052C">
        <w:rPr>
          <w:rFonts w:ascii="Times New Roman" w:hAnsi="Times New Roman" w:cs="Times New Roman"/>
          <w:sz w:val="24"/>
          <w:szCs w:val="24"/>
        </w:rPr>
        <w:t>to</w:t>
      </w:r>
      <w:r w:rsidR="00B52AC3">
        <w:rPr>
          <w:rFonts w:ascii="Times New Roman" w:hAnsi="Times New Roman" w:cs="Times New Roman"/>
          <w:sz w:val="24"/>
          <w:szCs w:val="24"/>
        </w:rPr>
        <w:t xml:space="preserve"> leadership roles </w:t>
      </w:r>
      <w:r w:rsidR="00FB763F">
        <w:rPr>
          <w:rFonts w:ascii="Times New Roman" w:hAnsi="Times New Roman" w:cs="Times New Roman"/>
          <w:sz w:val="24"/>
          <w:szCs w:val="24"/>
        </w:rPr>
        <w:t xml:space="preserve">for symbolic reasons, and hence they may </w:t>
      </w:r>
      <w:r w:rsidR="00575D4D">
        <w:rPr>
          <w:rFonts w:ascii="Times New Roman" w:hAnsi="Times New Roman" w:cs="Times New Roman"/>
          <w:sz w:val="24"/>
          <w:szCs w:val="24"/>
        </w:rPr>
        <w:t>have less influence on HEIs’ strategic choices, including those relating to risk disclosures</w:t>
      </w:r>
      <w:r w:rsidR="00FB763F">
        <w:rPr>
          <w:rFonts w:ascii="Times New Roman" w:hAnsi="Times New Roman" w:cs="Times New Roman"/>
          <w:sz w:val="24"/>
          <w:szCs w:val="24"/>
        </w:rPr>
        <w:t>.</w:t>
      </w:r>
    </w:p>
    <w:p w14:paraId="6557B172" w14:textId="60999303" w:rsidR="00F96C3C" w:rsidRDefault="001C1B4D" w:rsidP="007F0B58">
      <w:pPr>
        <w:spacing w:after="0" w:line="240" w:lineRule="auto"/>
        <w:ind w:firstLine="720"/>
        <w:jc w:val="both"/>
        <w:rPr>
          <w:rFonts w:ascii="Times New Roman" w:hAnsi="Times New Roman" w:cs="Times New Roman"/>
          <w:color w:val="000000"/>
          <w:sz w:val="24"/>
          <w:szCs w:val="24"/>
          <w:bdr w:val="none" w:sz="0" w:space="0" w:color="auto" w:frame="1"/>
          <w:shd w:val="clear" w:color="auto" w:fill="FFFFFF"/>
        </w:rPr>
      </w:pPr>
      <w:r>
        <w:rPr>
          <w:rFonts w:ascii="Times New Roman" w:hAnsi="Times New Roman" w:cs="Times New Roman"/>
          <w:color w:val="000000"/>
          <w:sz w:val="24"/>
          <w:szCs w:val="24"/>
          <w:bdr w:val="none" w:sz="0" w:space="0" w:color="auto" w:frame="1"/>
          <w:shd w:val="clear" w:color="auto" w:fill="FFFFFF"/>
        </w:rPr>
        <w:t xml:space="preserve">Finally, </w:t>
      </w:r>
      <w:r w:rsidR="00264B83">
        <w:rPr>
          <w:rFonts w:ascii="Times New Roman" w:hAnsi="Times New Roman" w:cs="Times New Roman"/>
          <w:color w:val="000000"/>
          <w:sz w:val="24"/>
          <w:szCs w:val="24"/>
          <w:bdr w:val="none" w:sz="0" w:space="0" w:color="auto" w:frame="1"/>
          <w:shd w:val="clear" w:color="auto" w:fill="FFFFFF"/>
        </w:rPr>
        <w:t xml:space="preserve">and from the </w:t>
      </w:r>
      <w:r w:rsidR="00E10B99">
        <w:rPr>
          <w:rFonts w:ascii="Times New Roman" w:hAnsi="Times New Roman" w:cs="Times New Roman"/>
          <w:color w:val="000000"/>
          <w:sz w:val="24"/>
          <w:szCs w:val="24"/>
          <w:bdr w:val="none" w:sz="0" w:space="0" w:color="auto" w:frame="1"/>
          <w:shd w:val="clear" w:color="auto" w:fill="FFFFFF"/>
        </w:rPr>
        <w:t>efficiency perspective of neo-institutional theory</w:t>
      </w:r>
      <w:r w:rsidR="00A07B5B">
        <w:rPr>
          <w:rFonts w:ascii="Times New Roman" w:hAnsi="Times New Roman" w:cs="Times New Roman"/>
          <w:color w:val="000000"/>
          <w:sz w:val="24"/>
          <w:szCs w:val="24"/>
          <w:bdr w:val="none" w:sz="0" w:space="0" w:color="auto" w:frame="1"/>
          <w:shd w:val="clear" w:color="auto" w:fill="FFFFFF"/>
        </w:rPr>
        <w:t>,</w:t>
      </w:r>
      <w:r w:rsidR="00BD6023">
        <w:rPr>
          <w:rFonts w:ascii="Times New Roman" w:hAnsi="Times New Roman" w:cs="Times New Roman"/>
          <w:color w:val="000000"/>
          <w:sz w:val="24"/>
          <w:szCs w:val="24"/>
          <w:bdr w:val="none" w:sz="0" w:space="0" w:color="auto" w:frame="1"/>
          <w:shd w:val="clear" w:color="auto" w:fill="FFFFFF"/>
        </w:rPr>
        <w:t xml:space="preserve"> holding</w:t>
      </w:r>
      <w:r w:rsidR="00E10B99">
        <w:rPr>
          <w:rFonts w:ascii="Times New Roman" w:hAnsi="Times New Roman" w:cs="Times New Roman"/>
          <w:color w:val="000000"/>
          <w:sz w:val="24"/>
          <w:szCs w:val="24"/>
          <w:bdr w:val="none" w:sz="0" w:space="0" w:color="auto" w:frame="1"/>
          <w:shd w:val="clear" w:color="auto" w:fill="FFFFFF"/>
        </w:rPr>
        <w:t xml:space="preserve"> </w:t>
      </w:r>
      <w:r w:rsidR="00264B83">
        <w:rPr>
          <w:rFonts w:ascii="Times New Roman" w:hAnsi="Times New Roman" w:cs="Times New Roman"/>
          <w:color w:val="000000"/>
          <w:sz w:val="24"/>
          <w:szCs w:val="24"/>
          <w:bdr w:val="none" w:sz="0" w:space="0" w:color="auto" w:frame="1"/>
          <w:shd w:val="clear" w:color="auto" w:fill="FFFFFF"/>
        </w:rPr>
        <w:t>regular senior management team meeting</w:t>
      </w:r>
      <w:r w:rsidR="00071B68">
        <w:rPr>
          <w:rFonts w:ascii="Times New Roman" w:hAnsi="Times New Roman" w:cs="Times New Roman"/>
          <w:color w:val="000000"/>
          <w:sz w:val="24"/>
          <w:szCs w:val="24"/>
          <w:bdr w:val="none" w:sz="0" w:space="0" w:color="auto" w:frame="1"/>
          <w:shd w:val="clear" w:color="auto" w:fill="FFFFFF"/>
        </w:rPr>
        <w:t>s</w:t>
      </w:r>
      <w:r w:rsidR="00264B83">
        <w:rPr>
          <w:rFonts w:ascii="Times New Roman" w:hAnsi="Times New Roman" w:cs="Times New Roman"/>
          <w:color w:val="000000"/>
          <w:sz w:val="24"/>
          <w:szCs w:val="24"/>
          <w:bdr w:val="none" w:sz="0" w:space="0" w:color="auto" w:frame="1"/>
          <w:shd w:val="clear" w:color="auto" w:fill="FFFFFF"/>
        </w:rPr>
        <w:t xml:space="preserve"> </w:t>
      </w:r>
      <w:r w:rsidR="00FE262E">
        <w:rPr>
          <w:rFonts w:ascii="Times New Roman" w:hAnsi="Times New Roman" w:cs="Times New Roman"/>
          <w:color w:val="000000"/>
          <w:sz w:val="24"/>
          <w:szCs w:val="24"/>
          <w:bdr w:val="none" w:sz="0" w:space="0" w:color="auto" w:frame="1"/>
          <w:shd w:val="clear" w:color="auto" w:fill="FFFFFF"/>
        </w:rPr>
        <w:t xml:space="preserve">is considered as an </w:t>
      </w:r>
      <w:r w:rsidR="007F1663">
        <w:rPr>
          <w:rFonts w:ascii="Times New Roman" w:hAnsi="Times New Roman" w:cs="Times New Roman"/>
          <w:color w:val="000000"/>
          <w:sz w:val="24"/>
          <w:szCs w:val="24"/>
          <w:bdr w:val="none" w:sz="0" w:space="0" w:color="auto" w:frame="1"/>
          <w:shd w:val="clear" w:color="auto" w:fill="FFFFFF"/>
        </w:rPr>
        <w:t>important mechanism that can</w:t>
      </w:r>
      <w:r w:rsidR="00FE262E">
        <w:rPr>
          <w:rFonts w:ascii="Times New Roman" w:hAnsi="Times New Roman" w:cs="Times New Roman"/>
          <w:color w:val="000000"/>
          <w:sz w:val="24"/>
          <w:szCs w:val="24"/>
          <w:bdr w:val="none" w:sz="0" w:space="0" w:color="auto" w:frame="1"/>
          <w:shd w:val="clear" w:color="auto" w:fill="FFFFFF"/>
        </w:rPr>
        <w:t xml:space="preserve"> improve leadership performance and </w:t>
      </w:r>
      <w:r w:rsidR="00A76E58">
        <w:rPr>
          <w:rFonts w:ascii="Times New Roman" w:hAnsi="Times New Roman" w:cs="Times New Roman"/>
          <w:color w:val="000000"/>
          <w:sz w:val="24"/>
          <w:szCs w:val="24"/>
          <w:bdr w:val="none" w:sz="0" w:space="0" w:color="auto" w:frame="1"/>
          <w:shd w:val="clear" w:color="auto" w:fill="FFFFFF"/>
        </w:rPr>
        <w:t>efficiency</w:t>
      </w:r>
      <w:r w:rsidR="00FE262E">
        <w:rPr>
          <w:rFonts w:ascii="Times New Roman" w:hAnsi="Times New Roman" w:cs="Times New Roman"/>
          <w:color w:val="000000"/>
          <w:sz w:val="24"/>
          <w:szCs w:val="24"/>
          <w:bdr w:val="none" w:sz="0" w:space="0" w:color="auto" w:frame="1"/>
          <w:shd w:val="clear" w:color="auto" w:fill="FFFFFF"/>
        </w:rPr>
        <w:t xml:space="preserve"> by allowing</w:t>
      </w:r>
      <w:r w:rsidR="007F1663">
        <w:rPr>
          <w:rFonts w:ascii="Times New Roman" w:hAnsi="Times New Roman" w:cs="Times New Roman"/>
          <w:color w:val="000000"/>
          <w:sz w:val="24"/>
          <w:szCs w:val="24"/>
          <w:bdr w:val="none" w:sz="0" w:space="0" w:color="auto" w:frame="1"/>
          <w:shd w:val="clear" w:color="auto" w:fill="FFFFFF"/>
        </w:rPr>
        <w:t xml:space="preserve"> managers</w:t>
      </w:r>
      <w:r w:rsidR="00FE262E">
        <w:rPr>
          <w:rFonts w:ascii="Times New Roman" w:hAnsi="Times New Roman" w:cs="Times New Roman"/>
          <w:color w:val="000000"/>
          <w:sz w:val="24"/>
          <w:szCs w:val="24"/>
          <w:bdr w:val="none" w:sz="0" w:space="0" w:color="auto" w:frame="1"/>
          <w:shd w:val="clear" w:color="auto" w:fill="FFFFFF"/>
        </w:rPr>
        <w:t xml:space="preserve"> more time </w:t>
      </w:r>
      <w:r w:rsidR="007F1663">
        <w:rPr>
          <w:rFonts w:ascii="Times New Roman" w:hAnsi="Times New Roman" w:cs="Times New Roman"/>
          <w:color w:val="000000"/>
          <w:sz w:val="24"/>
          <w:szCs w:val="24"/>
          <w:bdr w:val="none" w:sz="0" w:space="0" w:color="auto" w:frame="1"/>
          <w:shd w:val="clear" w:color="auto" w:fill="FFFFFF"/>
        </w:rPr>
        <w:t xml:space="preserve">to reach agreements and make better decisions through </w:t>
      </w:r>
      <w:r w:rsidR="002C467D">
        <w:rPr>
          <w:rFonts w:ascii="Times New Roman" w:hAnsi="Times New Roman" w:cs="Times New Roman"/>
          <w:color w:val="000000"/>
          <w:sz w:val="24"/>
          <w:szCs w:val="24"/>
          <w:bdr w:val="none" w:sz="0" w:space="0" w:color="auto" w:frame="1"/>
          <w:shd w:val="clear" w:color="auto" w:fill="FFFFFF"/>
        </w:rPr>
        <w:t xml:space="preserve">sharing ideas and critically discussing </w:t>
      </w:r>
      <w:r w:rsidR="00DA7FFE">
        <w:rPr>
          <w:rFonts w:ascii="Times New Roman" w:hAnsi="Times New Roman" w:cs="Times New Roman"/>
          <w:color w:val="000000"/>
          <w:sz w:val="24"/>
          <w:szCs w:val="24"/>
          <w:bdr w:val="none" w:sz="0" w:space="0" w:color="auto" w:frame="1"/>
          <w:shd w:val="clear" w:color="auto" w:fill="FFFFFF"/>
        </w:rPr>
        <w:t>issues that impact an organisation’s operations</w:t>
      </w:r>
      <w:r w:rsidR="00A07B5B">
        <w:rPr>
          <w:rFonts w:ascii="Times New Roman" w:hAnsi="Times New Roman" w:cs="Times New Roman"/>
          <w:color w:val="000000"/>
          <w:sz w:val="24"/>
          <w:szCs w:val="24"/>
          <w:bdr w:val="none" w:sz="0" w:space="0" w:color="auto" w:frame="1"/>
          <w:shd w:val="clear" w:color="auto" w:fill="FFFFFF"/>
        </w:rPr>
        <w:t xml:space="preserve"> (</w:t>
      </w:r>
      <w:r w:rsidR="00A07B5B" w:rsidRPr="00A773E6">
        <w:rPr>
          <w:rFonts w:ascii="Times New Roman" w:hAnsi="Times New Roman" w:cs="Times New Roman"/>
          <w:color w:val="000000"/>
          <w:sz w:val="24"/>
          <w:szCs w:val="24"/>
          <w:bdr w:val="none" w:sz="0" w:space="0" w:color="auto" w:frame="1"/>
          <w:shd w:val="clear" w:color="auto" w:fill="FFFFFF"/>
        </w:rPr>
        <w:t>Van Puyvelde</w:t>
      </w:r>
      <w:r w:rsidR="00A07B5B">
        <w:rPr>
          <w:rFonts w:ascii="Times New Roman" w:hAnsi="Times New Roman" w:cs="Times New Roman"/>
          <w:color w:val="000000"/>
          <w:sz w:val="24"/>
          <w:szCs w:val="24"/>
          <w:bdr w:val="none" w:sz="0" w:space="0" w:color="auto" w:frame="1"/>
          <w:shd w:val="clear" w:color="auto" w:fill="FFFFFF"/>
        </w:rPr>
        <w:t xml:space="preserve"> et al., 2018)</w:t>
      </w:r>
      <w:r w:rsidR="00DA7FFE">
        <w:rPr>
          <w:rFonts w:ascii="Times New Roman" w:hAnsi="Times New Roman" w:cs="Times New Roman"/>
          <w:color w:val="000000"/>
          <w:sz w:val="24"/>
          <w:szCs w:val="24"/>
          <w:bdr w:val="none" w:sz="0" w:space="0" w:color="auto" w:frame="1"/>
          <w:shd w:val="clear" w:color="auto" w:fill="FFFFFF"/>
        </w:rPr>
        <w:t xml:space="preserve">. </w:t>
      </w:r>
      <w:r w:rsidR="00071B68">
        <w:rPr>
          <w:rFonts w:ascii="Times New Roman" w:hAnsi="Times New Roman" w:cs="Times New Roman"/>
          <w:color w:val="000000"/>
          <w:sz w:val="24"/>
          <w:szCs w:val="24"/>
          <w:bdr w:val="none" w:sz="0" w:space="0" w:color="auto" w:frame="1"/>
          <w:shd w:val="clear" w:color="auto" w:fill="FFFFFF"/>
        </w:rPr>
        <w:t xml:space="preserve">Similarly, neo-institutional legitimisation perspective indicates that </w:t>
      </w:r>
      <w:r w:rsidR="00F96C3C">
        <w:rPr>
          <w:rFonts w:ascii="Times New Roman" w:hAnsi="Times New Roman" w:cs="Times New Roman"/>
          <w:color w:val="000000"/>
          <w:sz w:val="24"/>
          <w:szCs w:val="24"/>
          <w:bdr w:val="none" w:sz="0" w:space="0" w:color="auto" w:frame="1"/>
          <w:shd w:val="clear" w:color="auto" w:fill="FFFFFF"/>
        </w:rPr>
        <w:t>holding regular senior management team meetings can improve an organisation</w:t>
      </w:r>
      <w:r w:rsidR="00DD141B">
        <w:rPr>
          <w:rFonts w:ascii="Times New Roman" w:hAnsi="Times New Roman" w:cs="Times New Roman"/>
          <w:color w:val="000000"/>
          <w:sz w:val="24"/>
          <w:szCs w:val="24"/>
          <w:bdr w:val="none" w:sz="0" w:space="0" w:color="auto" w:frame="1"/>
          <w:shd w:val="clear" w:color="auto" w:fill="FFFFFF"/>
        </w:rPr>
        <w:t>’s</w:t>
      </w:r>
      <w:r w:rsidR="00F96C3C">
        <w:rPr>
          <w:rFonts w:ascii="Times New Roman" w:hAnsi="Times New Roman" w:cs="Times New Roman"/>
          <w:color w:val="000000"/>
          <w:sz w:val="24"/>
          <w:szCs w:val="24"/>
          <w:bdr w:val="none" w:sz="0" w:space="0" w:color="auto" w:frame="1"/>
          <w:shd w:val="clear" w:color="auto" w:fill="FFFFFF"/>
        </w:rPr>
        <w:t xml:space="preserve"> reputation and </w:t>
      </w:r>
      <w:r w:rsidR="002D7233">
        <w:rPr>
          <w:rFonts w:ascii="Times New Roman" w:hAnsi="Times New Roman" w:cs="Times New Roman"/>
          <w:color w:val="000000"/>
          <w:sz w:val="24"/>
          <w:szCs w:val="24"/>
          <w:bdr w:val="none" w:sz="0" w:space="0" w:color="auto" w:frame="1"/>
          <w:shd w:val="clear" w:color="auto" w:fill="FFFFFF"/>
        </w:rPr>
        <w:t>legitimacy</w:t>
      </w:r>
      <w:r w:rsidR="00F96C3C">
        <w:rPr>
          <w:rFonts w:ascii="Times New Roman" w:hAnsi="Times New Roman" w:cs="Times New Roman"/>
          <w:color w:val="000000"/>
          <w:sz w:val="24"/>
          <w:szCs w:val="24"/>
          <w:bdr w:val="none" w:sz="0" w:space="0" w:color="auto" w:frame="1"/>
          <w:shd w:val="clear" w:color="auto" w:fill="FFFFFF"/>
        </w:rPr>
        <w:t xml:space="preserve"> by increasing </w:t>
      </w:r>
      <w:r w:rsidR="00EE2DA5">
        <w:rPr>
          <w:rFonts w:ascii="Times New Roman" w:hAnsi="Times New Roman" w:cs="Times New Roman"/>
          <w:color w:val="000000"/>
          <w:sz w:val="24"/>
          <w:szCs w:val="24"/>
          <w:bdr w:val="none" w:sz="0" w:space="0" w:color="auto" w:frame="1"/>
          <w:shd w:val="clear" w:color="auto" w:fill="FFFFFF"/>
        </w:rPr>
        <w:t xml:space="preserve">the representation of </w:t>
      </w:r>
      <w:r w:rsidR="003F1431">
        <w:rPr>
          <w:rFonts w:ascii="Times New Roman" w:hAnsi="Times New Roman" w:cs="Times New Roman"/>
          <w:color w:val="000000"/>
          <w:sz w:val="24"/>
          <w:szCs w:val="24"/>
          <w:bdr w:val="none" w:sz="0" w:space="0" w:color="auto" w:frame="1"/>
          <w:shd w:val="clear" w:color="auto" w:fill="FFFFFF"/>
        </w:rPr>
        <w:t>broad public</w:t>
      </w:r>
      <w:r w:rsidR="00EE2DA5">
        <w:rPr>
          <w:rFonts w:ascii="Times New Roman" w:hAnsi="Times New Roman" w:cs="Times New Roman"/>
          <w:color w:val="000000"/>
          <w:sz w:val="24"/>
          <w:szCs w:val="24"/>
          <w:bdr w:val="none" w:sz="0" w:space="0" w:color="auto" w:frame="1"/>
          <w:shd w:val="clear" w:color="auto" w:fill="FFFFFF"/>
        </w:rPr>
        <w:t xml:space="preserve"> concerns</w:t>
      </w:r>
      <w:r w:rsidR="00E60B52">
        <w:rPr>
          <w:rFonts w:ascii="Times New Roman" w:hAnsi="Times New Roman" w:cs="Times New Roman"/>
          <w:color w:val="000000"/>
          <w:sz w:val="24"/>
          <w:szCs w:val="24"/>
          <w:bdr w:val="none" w:sz="0" w:space="0" w:color="auto" w:frame="1"/>
          <w:shd w:val="clear" w:color="auto" w:fill="FFFFFF"/>
        </w:rPr>
        <w:t xml:space="preserve"> (</w:t>
      </w:r>
      <w:r w:rsidR="004629BD">
        <w:rPr>
          <w:rFonts w:ascii="Times New Roman" w:hAnsi="Times New Roman" w:cs="Times New Roman"/>
          <w:sz w:val="24"/>
          <w:szCs w:val="24"/>
        </w:rPr>
        <w:t>Ntim et al., 2017)</w:t>
      </w:r>
      <w:r w:rsidR="00EE2DA5">
        <w:rPr>
          <w:rFonts w:ascii="Times New Roman" w:hAnsi="Times New Roman" w:cs="Times New Roman"/>
          <w:color w:val="000000"/>
          <w:sz w:val="24"/>
          <w:szCs w:val="24"/>
          <w:bdr w:val="none" w:sz="0" w:space="0" w:color="auto" w:frame="1"/>
          <w:shd w:val="clear" w:color="auto" w:fill="FFFFFF"/>
        </w:rPr>
        <w:t xml:space="preserve">, and </w:t>
      </w:r>
      <w:r w:rsidR="00E60B52">
        <w:rPr>
          <w:rFonts w:ascii="Times New Roman" w:hAnsi="Times New Roman" w:cs="Times New Roman"/>
          <w:color w:val="000000"/>
          <w:sz w:val="24"/>
          <w:szCs w:val="24"/>
          <w:bdr w:val="none" w:sz="0" w:space="0" w:color="auto" w:frame="1"/>
          <w:shd w:val="clear" w:color="auto" w:fill="FFFFFF"/>
        </w:rPr>
        <w:t>hence regular senior management team meetings</w:t>
      </w:r>
      <w:r w:rsidR="00EE2DA5">
        <w:rPr>
          <w:rFonts w:ascii="Times New Roman" w:hAnsi="Times New Roman" w:cs="Times New Roman"/>
          <w:color w:val="000000"/>
          <w:sz w:val="24"/>
          <w:szCs w:val="24"/>
          <w:bdr w:val="none" w:sz="0" w:space="0" w:color="auto" w:frame="1"/>
          <w:shd w:val="clear" w:color="auto" w:fill="FFFFFF"/>
        </w:rPr>
        <w:t xml:space="preserve"> </w:t>
      </w:r>
      <w:r w:rsidR="00E60B52">
        <w:rPr>
          <w:rFonts w:ascii="Times New Roman" w:hAnsi="Times New Roman" w:cs="Times New Roman"/>
          <w:color w:val="000000"/>
          <w:sz w:val="24"/>
          <w:szCs w:val="24"/>
          <w:bdr w:val="none" w:sz="0" w:space="0" w:color="auto" w:frame="1"/>
          <w:shd w:val="clear" w:color="auto" w:fill="FFFFFF"/>
        </w:rPr>
        <w:t xml:space="preserve">may increase pressure on HEIs to </w:t>
      </w:r>
      <w:r w:rsidR="00C73828">
        <w:rPr>
          <w:rFonts w:ascii="Times New Roman" w:hAnsi="Times New Roman" w:cs="Times New Roman"/>
          <w:color w:val="000000"/>
          <w:sz w:val="24"/>
          <w:szCs w:val="24"/>
          <w:bdr w:val="none" w:sz="0" w:space="0" w:color="auto" w:frame="1"/>
          <w:shd w:val="clear" w:color="auto" w:fill="FFFFFF"/>
        </w:rPr>
        <w:t xml:space="preserve">engage in greater risk disclosures in order to address stakeholders’ concerns. However, </w:t>
      </w:r>
      <w:r w:rsidR="00796775" w:rsidRPr="00796775">
        <w:rPr>
          <w:rFonts w:ascii="Times New Roman" w:hAnsi="Times New Roman" w:cs="Times New Roman"/>
          <w:color w:val="000000"/>
          <w:sz w:val="24"/>
          <w:szCs w:val="24"/>
          <w:bdr w:val="none" w:sz="0" w:space="0" w:color="auto" w:frame="1"/>
          <w:shd w:val="clear" w:color="auto" w:fill="FFFFFF"/>
        </w:rPr>
        <w:t>Vafeas</w:t>
      </w:r>
      <w:r w:rsidR="00796775">
        <w:rPr>
          <w:rFonts w:ascii="Times New Roman" w:hAnsi="Times New Roman" w:cs="Times New Roman"/>
          <w:color w:val="000000"/>
          <w:sz w:val="24"/>
          <w:szCs w:val="24"/>
          <w:bdr w:val="none" w:sz="0" w:space="0" w:color="auto" w:frame="1"/>
          <w:shd w:val="clear" w:color="auto" w:fill="FFFFFF"/>
        </w:rPr>
        <w:t xml:space="preserve"> (1999) suggest</w:t>
      </w:r>
      <w:r w:rsidR="008E0D93">
        <w:rPr>
          <w:rFonts w:ascii="Times New Roman" w:hAnsi="Times New Roman" w:cs="Times New Roman"/>
          <w:color w:val="000000"/>
          <w:sz w:val="24"/>
          <w:szCs w:val="24"/>
          <w:bdr w:val="none" w:sz="0" w:space="0" w:color="auto" w:frame="1"/>
          <w:shd w:val="clear" w:color="auto" w:fill="FFFFFF"/>
        </w:rPr>
        <w:t>s</w:t>
      </w:r>
      <w:r w:rsidR="00796775">
        <w:rPr>
          <w:rFonts w:ascii="Times New Roman" w:hAnsi="Times New Roman" w:cs="Times New Roman"/>
          <w:color w:val="000000"/>
          <w:sz w:val="24"/>
          <w:szCs w:val="24"/>
          <w:bdr w:val="none" w:sz="0" w:space="0" w:color="auto" w:frame="1"/>
          <w:shd w:val="clear" w:color="auto" w:fill="FFFFFF"/>
        </w:rPr>
        <w:t xml:space="preserve"> that regular meetings can diminish managerial monitoring effectiveness</w:t>
      </w:r>
      <w:r w:rsidR="001146E0">
        <w:rPr>
          <w:rFonts w:ascii="Times New Roman" w:hAnsi="Times New Roman" w:cs="Times New Roman"/>
          <w:color w:val="000000"/>
          <w:sz w:val="24"/>
          <w:szCs w:val="24"/>
          <w:bdr w:val="none" w:sz="0" w:space="0" w:color="auto" w:frame="1"/>
          <w:shd w:val="clear" w:color="auto" w:fill="FFFFFF"/>
        </w:rPr>
        <w:t xml:space="preserve"> by increasing the possibility of disagreement among </w:t>
      </w:r>
      <w:r w:rsidR="003F279A">
        <w:rPr>
          <w:rFonts w:ascii="Times New Roman" w:hAnsi="Times New Roman" w:cs="Times New Roman"/>
          <w:color w:val="000000"/>
          <w:sz w:val="24"/>
          <w:szCs w:val="24"/>
          <w:bdr w:val="none" w:sz="0" w:space="0" w:color="auto" w:frame="1"/>
          <w:shd w:val="clear" w:color="auto" w:fill="FFFFFF"/>
        </w:rPr>
        <w:t>the leadership</w:t>
      </w:r>
      <w:r w:rsidR="001146E0">
        <w:rPr>
          <w:rFonts w:ascii="Times New Roman" w:hAnsi="Times New Roman" w:cs="Times New Roman"/>
          <w:color w:val="000000"/>
          <w:sz w:val="24"/>
          <w:szCs w:val="24"/>
          <w:bdr w:val="none" w:sz="0" w:space="0" w:color="auto" w:frame="1"/>
          <w:shd w:val="clear" w:color="auto" w:fill="FFFFFF"/>
        </w:rPr>
        <w:t xml:space="preserve"> team members, and this can have detrimental impact on risk disclosure practices. Therefore, </w:t>
      </w:r>
      <w:r w:rsidR="008E76FC">
        <w:rPr>
          <w:rFonts w:ascii="Times New Roman" w:hAnsi="Times New Roman" w:cs="Times New Roman"/>
          <w:color w:val="000000"/>
          <w:sz w:val="24"/>
          <w:szCs w:val="24"/>
          <w:bdr w:val="none" w:sz="0" w:space="0" w:color="auto" w:frame="1"/>
          <w:shd w:val="clear" w:color="auto" w:fill="FFFFFF"/>
        </w:rPr>
        <w:t xml:space="preserve">and consistent with the view that senior management team play an important role in influencing HEIs voluntary disclosure practices (Ntim et al., 2017), we argue that large, diverse (gender and ethnicity) senior management teams, and those which hold regular meetings, are likely to increase pressure on HEIs to engage in greater risk disclosures. </w:t>
      </w:r>
    </w:p>
    <w:p w14:paraId="5A7377E6" w14:textId="32CB9E28" w:rsidR="0008298B" w:rsidRPr="00356ADA" w:rsidRDefault="0008298B" w:rsidP="00450202">
      <w:pPr>
        <w:spacing w:after="0" w:line="240" w:lineRule="auto"/>
        <w:ind w:firstLine="720"/>
        <w:jc w:val="both"/>
        <w:rPr>
          <w:rFonts w:ascii="Times New Roman" w:hAnsi="Times New Roman" w:cs="Times New Roman"/>
          <w:sz w:val="24"/>
          <w:szCs w:val="24"/>
        </w:rPr>
      </w:pPr>
      <w:r w:rsidRPr="00356ADA">
        <w:rPr>
          <w:rFonts w:ascii="Times New Roman" w:hAnsi="Times New Roman" w:cs="Times New Roman"/>
          <w:sz w:val="24"/>
          <w:szCs w:val="24"/>
        </w:rPr>
        <w:t xml:space="preserve">Empirically, studies examining the potential interactions among these three governance bodies on any outcomes within HEIs are </w:t>
      </w:r>
      <w:r w:rsidR="001014A3" w:rsidRPr="00356ADA">
        <w:rPr>
          <w:rFonts w:ascii="Times New Roman" w:hAnsi="Times New Roman" w:cs="Times New Roman"/>
          <w:sz w:val="24"/>
          <w:szCs w:val="24"/>
        </w:rPr>
        <w:t>limited</w:t>
      </w:r>
      <w:r w:rsidRPr="00356ADA">
        <w:rPr>
          <w:rFonts w:ascii="Times New Roman" w:hAnsi="Times New Roman" w:cs="Times New Roman"/>
          <w:sz w:val="24"/>
          <w:szCs w:val="24"/>
        </w:rPr>
        <w:t xml:space="preserve">, and </w:t>
      </w:r>
      <w:r w:rsidR="001014A3" w:rsidRPr="00356ADA">
        <w:rPr>
          <w:rFonts w:ascii="Times New Roman" w:hAnsi="Times New Roman" w:cs="Times New Roman"/>
          <w:sz w:val="24"/>
          <w:szCs w:val="24"/>
        </w:rPr>
        <w:t>hence</w:t>
      </w:r>
      <w:r w:rsidRPr="00356ADA">
        <w:rPr>
          <w:rFonts w:ascii="Times New Roman" w:hAnsi="Times New Roman" w:cs="Times New Roman"/>
          <w:sz w:val="24"/>
          <w:szCs w:val="24"/>
        </w:rPr>
        <w:t xml:space="preserve">, there is </w:t>
      </w:r>
      <w:r w:rsidR="001014A3" w:rsidRPr="00356ADA">
        <w:rPr>
          <w:rFonts w:ascii="Times New Roman" w:hAnsi="Times New Roman" w:cs="Times New Roman"/>
          <w:sz w:val="24"/>
          <w:szCs w:val="24"/>
        </w:rPr>
        <w:t xml:space="preserve">a great </w:t>
      </w:r>
      <w:r w:rsidR="00F3052C">
        <w:rPr>
          <w:rFonts w:ascii="Times New Roman" w:hAnsi="Times New Roman" w:cs="Times New Roman"/>
          <w:sz w:val="24"/>
          <w:szCs w:val="24"/>
        </w:rPr>
        <w:t>opportunity</w:t>
      </w:r>
      <w:r w:rsidR="001014A3" w:rsidRPr="00356ADA">
        <w:rPr>
          <w:rFonts w:ascii="Times New Roman" w:hAnsi="Times New Roman" w:cs="Times New Roman"/>
          <w:sz w:val="24"/>
          <w:szCs w:val="24"/>
        </w:rPr>
        <w:t xml:space="preserve"> </w:t>
      </w:r>
      <w:r w:rsidRPr="00356ADA">
        <w:rPr>
          <w:rFonts w:ascii="Times New Roman" w:hAnsi="Times New Roman" w:cs="Times New Roman"/>
          <w:sz w:val="24"/>
          <w:szCs w:val="24"/>
        </w:rPr>
        <w:t>to contribute to the existing</w:t>
      </w:r>
      <w:r w:rsidR="00534C45" w:rsidRPr="00356ADA">
        <w:rPr>
          <w:rFonts w:ascii="Times New Roman" w:hAnsi="Times New Roman" w:cs="Times New Roman"/>
          <w:sz w:val="24"/>
          <w:szCs w:val="24"/>
        </w:rPr>
        <w:t xml:space="preserve"> risk disclosure</w:t>
      </w:r>
      <w:r w:rsidRPr="00356ADA">
        <w:rPr>
          <w:rFonts w:ascii="Times New Roman" w:hAnsi="Times New Roman" w:cs="Times New Roman"/>
          <w:sz w:val="24"/>
          <w:szCs w:val="24"/>
        </w:rPr>
        <w:t xml:space="preserve"> literature. The only exception is Ntim et al. (2017), whose findings show that </w:t>
      </w:r>
      <w:r w:rsidR="004378EA" w:rsidRPr="00356ADA">
        <w:rPr>
          <w:rFonts w:ascii="Times New Roman" w:hAnsi="Times New Roman" w:cs="Times New Roman"/>
          <w:sz w:val="24"/>
          <w:szCs w:val="24"/>
        </w:rPr>
        <w:t xml:space="preserve">HEI </w:t>
      </w:r>
      <w:r w:rsidRPr="00356ADA">
        <w:rPr>
          <w:rFonts w:ascii="Times New Roman" w:hAnsi="Times New Roman" w:cs="Times New Roman"/>
          <w:sz w:val="24"/>
          <w:szCs w:val="24"/>
        </w:rPr>
        <w:t xml:space="preserve">senior management team </w:t>
      </w:r>
      <w:r w:rsidR="00534C45" w:rsidRPr="00356ADA">
        <w:rPr>
          <w:rFonts w:ascii="Times New Roman" w:hAnsi="Times New Roman" w:cs="Times New Roman"/>
          <w:sz w:val="24"/>
          <w:szCs w:val="24"/>
        </w:rPr>
        <w:t>positively moderate</w:t>
      </w:r>
      <w:r w:rsidR="00A33D26" w:rsidRPr="00356ADA">
        <w:rPr>
          <w:rFonts w:ascii="Times New Roman" w:hAnsi="Times New Roman" w:cs="Times New Roman"/>
          <w:sz w:val="24"/>
          <w:szCs w:val="24"/>
        </w:rPr>
        <w:t>s</w:t>
      </w:r>
      <w:r w:rsidR="00534C45" w:rsidRPr="00356ADA">
        <w:rPr>
          <w:rFonts w:ascii="Times New Roman" w:hAnsi="Times New Roman" w:cs="Times New Roman"/>
          <w:sz w:val="24"/>
          <w:szCs w:val="24"/>
        </w:rPr>
        <w:t xml:space="preserve"> the governance structures</w:t>
      </w:r>
      <w:r w:rsidR="00CA7A9C" w:rsidRPr="00356ADA">
        <w:rPr>
          <w:rFonts w:ascii="Times New Roman" w:hAnsi="Times New Roman" w:cs="Times New Roman"/>
          <w:sz w:val="24"/>
          <w:szCs w:val="24"/>
        </w:rPr>
        <w:t>–</w:t>
      </w:r>
      <w:r w:rsidR="00534C45" w:rsidRPr="00356ADA">
        <w:rPr>
          <w:rFonts w:ascii="Times New Roman" w:hAnsi="Times New Roman" w:cs="Times New Roman"/>
          <w:sz w:val="24"/>
          <w:szCs w:val="24"/>
        </w:rPr>
        <w:t xml:space="preserve">public accountability disclosure link </w:t>
      </w:r>
      <w:r w:rsidRPr="00356ADA">
        <w:rPr>
          <w:rFonts w:ascii="Times New Roman" w:hAnsi="Times New Roman" w:cs="Times New Roman"/>
          <w:sz w:val="24"/>
          <w:szCs w:val="24"/>
        </w:rPr>
        <w:t>using a sample of 130 UK HEIs. Hence, our final hypothesis is that:</w:t>
      </w:r>
    </w:p>
    <w:p w14:paraId="7508E6F8" w14:textId="47EB5BE3" w:rsidR="00100034" w:rsidRPr="00233EC8" w:rsidRDefault="0008298B" w:rsidP="0008298B">
      <w:pPr>
        <w:tabs>
          <w:tab w:val="left" w:pos="7470"/>
        </w:tabs>
        <w:spacing w:after="0" w:line="240" w:lineRule="auto"/>
        <w:rPr>
          <w:rFonts w:ascii="Times New Roman" w:hAnsi="Times New Roman" w:cs="Times New Roman"/>
        </w:rPr>
      </w:pPr>
      <w:r w:rsidRPr="00233EC8">
        <w:rPr>
          <w:rFonts w:ascii="Times New Roman" w:hAnsi="Times New Roman" w:cs="Times New Roman"/>
        </w:rPr>
        <w:tab/>
      </w:r>
    </w:p>
    <w:p w14:paraId="67D8A6AC" w14:textId="487F3F1F" w:rsidR="00A03A45" w:rsidRPr="00233EC8" w:rsidRDefault="00557F4F" w:rsidP="00356ADA">
      <w:pPr>
        <w:spacing w:line="240" w:lineRule="auto"/>
        <w:ind w:left="284"/>
        <w:jc w:val="both"/>
        <w:rPr>
          <w:rFonts w:ascii="Times New Roman" w:hAnsi="Times New Roman" w:cs="Times New Roman"/>
          <w:i/>
        </w:rPr>
      </w:pPr>
      <w:r w:rsidRPr="00356ADA">
        <w:rPr>
          <w:rFonts w:ascii="Times New Roman" w:hAnsi="Times New Roman" w:cs="Times New Roman"/>
          <w:b/>
          <w:bCs/>
          <w:iCs/>
          <w:sz w:val="24"/>
          <w:szCs w:val="24"/>
        </w:rPr>
        <w:t>H</w:t>
      </w:r>
      <w:r w:rsidR="00A007FB" w:rsidRPr="00356ADA">
        <w:rPr>
          <w:rFonts w:ascii="Times New Roman" w:hAnsi="Times New Roman" w:cs="Times New Roman"/>
          <w:b/>
          <w:bCs/>
          <w:iCs/>
          <w:sz w:val="24"/>
          <w:szCs w:val="24"/>
        </w:rPr>
        <w:t>2</w:t>
      </w:r>
      <w:r w:rsidR="008C6DA2" w:rsidRPr="00356ADA">
        <w:rPr>
          <w:rFonts w:ascii="Times New Roman" w:hAnsi="Times New Roman" w:cs="Times New Roman"/>
          <w:b/>
          <w:bCs/>
          <w:iCs/>
          <w:sz w:val="24"/>
          <w:szCs w:val="24"/>
        </w:rPr>
        <w:t>:</w:t>
      </w:r>
      <w:r w:rsidR="001123D6" w:rsidRPr="00356ADA">
        <w:rPr>
          <w:rFonts w:ascii="Times New Roman" w:hAnsi="Times New Roman" w:cs="Times New Roman"/>
          <w:iCs/>
          <w:sz w:val="24"/>
          <w:szCs w:val="24"/>
        </w:rPr>
        <w:t xml:space="preserve"> </w:t>
      </w:r>
      <w:r w:rsidR="00534C45" w:rsidRPr="006140B4">
        <w:rPr>
          <w:rFonts w:ascii="Times New Roman" w:hAnsi="Times New Roman" w:cs="Times New Roman"/>
          <w:i/>
          <w:sz w:val="24"/>
          <w:szCs w:val="24"/>
        </w:rPr>
        <w:t xml:space="preserve">HEI </w:t>
      </w:r>
      <w:r w:rsidR="001123D6" w:rsidRPr="006140B4">
        <w:rPr>
          <w:rFonts w:ascii="Times New Roman" w:hAnsi="Times New Roman" w:cs="Times New Roman"/>
          <w:i/>
          <w:sz w:val="24"/>
          <w:szCs w:val="24"/>
        </w:rPr>
        <w:t>senior management</w:t>
      </w:r>
      <w:r w:rsidR="002F70D3" w:rsidRPr="006140B4">
        <w:rPr>
          <w:rFonts w:ascii="Times New Roman" w:hAnsi="Times New Roman" w:cs="Times New Roman"/>
          <w:i/>
          <w:sz w:val="24"/>
          <w:szCs w:val="24"/>
        </w:rPr>
        <w:t xml:space="preserve"> team</w:t>
      </w:r>
      <w:r w:rsidR="00534C45" w:rsidRPr="006140B4">
        <w:rPr>
          <w:rFonts w:ascii="Times New Roman" w:hAnsi="Times New Roman" w:cs="Times New Roman"/>
          <w:i/>
          <w:sz w:val="24"/>
          <w:szCs w:val="24"/>
        </w:rPr>
        <w:t xml:space="preserve"> significantly moderate</w:t>
      </w:r>
      <w:r w:rsidR="007365E3" w:rsidRPr="006140B4">
        <w:rPr>
          <w:rFonts w:ascii="Times New Roman" w:hAnsi="Times New Roman" w:cs="Times New Roman"/>
          <w:i/>
          <w:sz w:val="24"/>
          <w:szCs w:val="24"/>
        </w:rPr>
        <w:t>s</w:t>
      </w:r>
      <w:r w:rsidR="00534C45" w:rsidRPr="006140B4">
        <w:rPr>
          <w:rFonts w:ascii="Times New Roman" w:hAnsi="Times New Roman" w:cs="Times New Roman"/>
          <w:i/>
          <w:sz w:val="24"/>
          <w:szCs w:val="24"/>
        </w:rPr>
        <w:t xml:space="preserve"> the</w:t>
      </w:r>
      <w:r w:rsidR="002F70D3" w:rsidRPr="006140B4">
        <w:rPr>
          <w:rFonts w:ascii="Times New Roman" w:hAnsi="Times New Roman" w:cs="Times New Roman"/>
          <w:i/>
          <w:sz w:val="24"/>
          <w:szCs w:val="24"/>
        </w:rPr>
        <w:t xml:space="preserve"> governance</w:t>
      </w:r>
      <w:r w:rsidR="00C424D0" w:rsidRPr="006140B4">
        <w:rPr>
          <w:rFonts w:ascii="Times New Roman" w:hAnsi="Times New Roman" w:cs="Times New Roman"/>
          <w:i/>
          <w:sz w:val="24"/>
          <w:szCs w:val="24"/>
        </w:rPr>
        <w:t xml:space="preserve"> quality</w:t>
      </w:r>
      <w:r w:rsidR="007365E3" w:rsidRPr="006140B4">
        <w:rPr>
          <w:rFonts w:ascii="Times New Roman" w:hAnsi="Times New Roman" w:cs="Times New Roman"/>
          <w:i/>
          <w:sz w:val="24"/>
          <w:szCs w:val="24"/>
        </w:rPr>
        <w:t>–</w:t>
      </w:r>
      <w:r w:rsidR="002F70D3" w:rsidRPr="006140B4">
        <w:rPr>
          <w:rFonts w:ascii="Times New Roman" w:hAnsi="Times New Roman" w:cs="Times New Roman"/>
          <w:i/>
          <w:sz w:val="24"/>
          <w:szCs w:val="24"/>
        </w:rPr>
        <w:t>risk disclosure nexus.</w:t>
      </w:r>
    </w:p>
    <w:p w14:paraId="017F601F" w14:textId="657CE256" w:rsidR="002F70D3" w:rsidRDefault="002F70D3" w:rsidP="00B27CF1">
      <w:pPr>
        <w:spacing w:after="0" w:line="240" w:lineRule="auto"/>
        <w:rPr>
          <w:rFonts w:ascii="Times New Roman" w:hAnsi="Times New Roman" w:cs="Times New Roman"/>
          <w:b/>
          <w:sz w:val="24"/>
          <w:szCs w:val="24"/>
        </w:rPr>
      </w:pPr>
    </w:p>
    <w:p w14:paraId="0303DE0E" w14:textId="466A6646" w:rsidR="00C55844" w:rsidRDefault="00C55844" w:rsidP="00B27CF1">
      <w:pPr>
        <w:spacing w:after="0" w:line="240" w:lineRule="auto"/>
        <w:rPr>
          <w:rFonts w:ascii="Times New Roman" w:hAnsi="Times New Roman" w:cs="Times New Roman"/>
          <w:b/>
          <w:sz w:val="24"/>
          <w:szCs w:val="24"/>
        </w:rPr>
      </w:pPr>
    </w:p>
    <w:p w14:paraId="7AE26531" w14:textId="5A5110DF" w:rsidR="00C55844" w:rsidRDefault="00C55844" w:rsidP="00B27CF1">
      <w:pPr>
        <w:spacing w:after="0" w:line="240" w:lineRule="auto"/>
        <w:rPr>
          <w:rFonts w:ascii="Times New Roman" w:hAnsi="Times New Roman" w:cs="Times New Roman"/>
          <w:b/>
          <w:sz w:val="24"/>
          <w:szCs w:val="24"/>
        </w:rPr>
      </w:pPr>
    </w:p>
    <w:p w14:paraId="73010F74" w14:textId="0ABACA2F" w:rsidR="00C55844" w:rsidRDefault="00C55844" w:rsidP="00B27CF1">
      <w:pPr>
        <w:spacing w:after="0" w:line="240" w:lineRule="auto"/>
        <w:rPr>
          <w:rFonts w:ascii="Times New Roman" w:hAnsi="Times New Roman" w:cs="Times New Roman"/>
          <w:b/>
          <w:sz w:val="24"/>
          <w:szCs w:val="24"/>
        </w:rPr>
      </w:pPr>
    </w:p>
    <w:p w14:paraId="3AEB1610" w14:textId="77777777" w:rsidR="00C55844" w:rsidRPr="00356ADA" w:rsidRDefault="00C55844" w:rsidP="00B27CF1">
      <w:pPr>
        <w:spacing w:after="0" w:line="240" w:lineRule="auto"/>
        <w:rPr>
          <w:rFonts w:ascii="Times New Roman" w:hAnsi="Times New Roman" w:cs="Times New Roman"/>
          <w:b/>
          <w:sz w:val="24"/>
          <w:szCs w:val="24"/>
        </w:rPr>
      </w:pPr>
    </w:p>
    <w:p w14:paraId="5E5763E8" w14:textId="1B7DC31C" w:rsidR="00CA65C3" w:rsidRPr="00356ADA" w:rsidRDefault="00A03A45" w:rsidP="00A03A45">
      <w:pPr>
        <w:pStyle w:val="ListParagraph"/>
        <w:numPr>
          <w:ilvl w:val="0"/>
          <w:numId w:val="21"/>
        </w:numPr>
        <w:spacing w:after="0" w:line="240" w:lineRule="auto"/>
        <w:ind w:left="284" w:hanging="284"/>
        <w:rPr>
          <w:rFonts w:ascii="Times New Roman" w:hAnsi="Times New Roman" w:cs="Times New Roman"/>
          <w:b/>
          <w:sz w:val="24"/>
          <w:szCs w:val="24"/>
        </w:rPr>
      </w:pPr>
      <w:r w:rsidRPr="00356ADA">
        <w:rPr>
          <w:rFonts w:ascii="Times New Roman" w:hAnsi="Times New Roman" w:cs="Times New Roman"/>
          <w:b/>
          <w:sz w:val="24"/>
          <w:szCs w:val="24"/>
        </w:rPr>
        <w:lastRenderedPageBreak/>
        <w:t>R</w:t>
      </w:r>
      <w:r w:rsidR="00DE60D5" w:rsidRPr="00356ADA">
        <w:rPr>
          <w:rFonts w:ascii="Times New Roman" w:hAnsi="Times New Roman" w:cs="Times New Roman"/>
          <w:b/>
          <w:sz w:val="24"/>
          <w:szCs w:val="24"/>
        </w:rPr>
        <w:t>esearch design</w:t>
      </w:r>
    </w:p>
    <w:p w14:paraId="4FEA8F9E" w14:textId="77777777" w:rsidR="00B85D55" w:rsidRPr="00356ADA" w:rsidRDefault="00B85D55" w:rsidP="00B27CF1">
      <w:pPr>
        <w:spacing w:after="0" w:line="240" w:lineRule="auto"/>
        <w:jc w:val="both"/>
        <w:rPr>
          <w:rFonts w:ascii="Times New Roman" w:hAnsi="Times New Roman" w:cs="Times New Roman"/>
          <w:b/>
          <w:i/>
          <w:sz w:val="24"/>
          <w:szCs w:val="24"/>
        </w:rPr>
      </w:pPr>
    </w:p>
    <w:p w14:paraId="6F0C1655" w14:textId="3891A926" w:rsidR="00297A82" w:rsidRPr="00356ADA" w:rsidRDefault="00297A82" w:rsidP="00A03A45">
      <w:pPr>
        <w:pStyle w:val="ListParagraph"/>
        <w:numPr>
          <w:ilvl w:val="1"/>
          <w:numId w:val="21"/>
        </w:numPr>
        <w:spacing w:after="0" w:line="240" w:lineRule="auto"/>
        <w:ind w:left="426" w:hanging="426"/>
        <w:jc w:val="both"/>
        <w:rPr>
          <w:rFonts w:ascii="Times New Roman" w:hAnsi="Times New Roman" w:cs="Times New Roman"/>
          <w:b/>
          <w:i/>
          <w:sz w:val="24"/>
          <w:szCs w:val="24"/>
        </w:rPr>
      </w:pPr>
      <w:r w:rsidRPr="00356ADA">
        <w:rPr>
          <w:rFonts w:ascii="Times New Roman" w:hAnsi="Times New Roman" w:cs="Times New Roman"/>
          <w:b/>
          <w:i/>
          <w:sz w:val="24"/>
          <w:szCs w:val="24"/>
        </w:rPr>
        <w:t xml:space="preserve">Data </w:t>
      </w:r>
      <w:r w:rsidR="00534C45" w:rsidRPr="00356ADA">
        <w:rPr>
          <w:rFonts w:ascii="Times New Roman" w:hAnsi="Times New Roman" w:cs="Times New Roman"/>
          <w:b/>
          <w:i/>
          <w:sz w:val="24"/>
          <w:szCs w:val="24"/>
        </w:rPr>
        <w:t xml:space="preserve">and sample </w:t>
      </w:r>
    </w:p>
    <w:p w14:paraId="3DC1AE58" w14:textId="29FDB38C" w:rsidR="00297A82" w:rsidRPr="00233EC8" w:rsidRDefault="00297A82" w:rsidP="00B27CF1">
      <w:pPr>
        <w:spacing w:after="0" w:line="240" w:lineRule="auto"/>
        <w:jc w:val="both"/>
        <w:rPr>
          <w:rFonts w:ascii="Times New Roman" w:hAnsi="Times New Roman" w:cs="Times New Roman"/>
        </w:rPr>
      </w:pPr>
    </w:p>
    <w:p w14:paraId="554216B2" w14:textId="3B69B01E" w:rsidR="00623901" w:rsidRDefault="00534C45" w:rsidP="007B009B">
      <w:pPr>
        <w:spacing w:after="0" w:line="240" w:lineRule="auto"/>
        <w:jc w:val="both"/>
        <w:rPr>
          <w:rFonts w:asciiTheme="majorBidi" w:hAnsiTheme="majorBidi" w:cstheme="majorBidi"/>
          <w:sz w:val="24"/>
          <w:szCs w:val="24"/>
        </w:rPr>
      </w:pPr>
      <w:r w:rsidRPr="00356ADA">
        <w:rPr>
          <w:rFonts w:ascii="Times New Roman" w:hAnsi="Times New Roman" w:cs="Times New Roman"/>
          <w:sz w:val="24"/>
          <w:szCs w:val="24"/>
        </w:rPr>
        <w:t>To test the two hypotheses, we first identified the list of all UK HEIs using the Higher Education Statistics Agency (HESA) website as at 31 July 2014. There w</w:t>
      </w:r>
      <w:r w:rsidR="00B3758C">
        <w:rPr>
          <w:rFonts w:ascii="Times New Roman" w:hAnsi="Times New Roman" w:cs="Times New Roman"/>
          <w:sz w:val="24"/>
          <w:szCs w:val="24"/>
        </w:rPr>
        <w:t>as a total population of</w:t>
      </w:r>
      <w:r w:rsidRPr="00356ADA">
        <w:rPr>
          <w:rFonts w:ascii="Times New Roman" w:hAnsi="Times New Roman" w:cs="Times New Roman"/>
          <w:sz w:val="24"/>
          <w:szCs w:val="24"/>
        </w:rPr>
        <w:t xml:space="preserve"> 164 </w:t>
      </w:r>
      <w:r w:rsidR="00B3758C">
        <w:rPr>
          <w:rFonts w:ascii="Times New Roman" w:hAnsi="Times New Roman" w:cs="Times New Roman"/>
          <w:sz w:val="24"/>
          <w:szCs w:val="24"/>
        </w:rPr>
        <w:t xml:space="preserve">UK </w:t>
      </w:r>
      <w:r w:rsidRPr="00356ADA">
        <w:rPr>
          <w:rFonts w:ascii="Times New Roman" w:hAnsi="Times New Roman" w:cs="Times New Roman"/>
          <w:sz w:val="24"/>
          <w:szCs w:val="24"/>
        </w:rPr>
        <w:t>HEIs, consisting of universities, universit</w:t>
      </w:r>
      <w:r w:rsidR="002C057A">
        <w:rPr>
          <w:rFonts w:ascii="Times New Roman" w:hAnsi="Times New Roman" w:cs="Times New Roman"/>
          <w:sz w:val="24"/>
          <w:szCs w:val="24"/>
        </w:rPr>
        <w:t>y</w:t>
      </w:r>
      <w:r w:rsidRPr="00356ADA">
        <w:rPr>
          <w:rFonts w:ascii="Times New Roman" w:hAnsi="Times New Roman" w:cs="Times New Roman"/>
          <w:sz w:val="24"/>
          <w:szCs w:val="24"/>
        </w:rPr>
        <w:t xml:space="preserve"> colleges and other HEIs. HEIs included in our final sample need</w:t>
      </w:r>
      <w:r w:rsidR="007365E3" w:rsidRPr="00356ADA">
        <w:rPr>
          <w:rFonts w:ascii="Times New Roman" w:hAnsi="Times New Roman" w:cs="Times New Roman"/>
          <w:sz w:val="24"/>
          <w:szCs w:val="24"/>
        </w:rPr>
        <w:t>ed</w:t>
      </w:r>
      <w:r w:rsidRPr="00356ADA">
        <w:rPr>
          <w:rFonts w:ascii="Times New Roman" w:hAnsi="Times New Roman" w:cs="Times New Roman"/>
          <w:sz w:val="24"/>
          <w:szCs w:val="24"/>
        </w:rPr>
        <w:t xml:space="preserve"> to have annual reports for all of the period of investigation from 2009 to 2014 and this resulted in excluding 47 HEIs with missing annual reports for one or more years. Therefore, our final sample</w:t>
      </w:r>
      <w:r w:rsidR="00BE143D" w:rsidRPr="00356ADA">
        <w:rPr>
          <w:rFonts w:ascii="Times New Roman" w:hAnsi="Times New Roman" w:cs="Times New Roman"/>
          <w:sz w:val="24"/>
          <w:szCs w:val="24"/>
        </w:rPr>
        <w:t>, as shown in Table 1,</w:t>
      </w:r>
      <w:r w:rsidRPr="00356ADA">
        <w:rPr>
          <w:rFonts w:ascii="Times New Roman" w:hAnsi="Times New Roman" w:cs="Times New Roman"/>
          <w:sz w:val="24"/>
          <w:szCs w:val="24"/>
        </w:rPr>
        <w:t xml:space="preserve"> consists of 117 institutions made up of 3, 8, 16 and 90 Northern Irish, Welsh, Scottish and English HEIs (58 Pre-1992 and 59 Post-1992)</w:t>
      </w:r>
      <w:r w:rsidR="007365E3" w:rsidRPr="00356ADA">
        <w:rPr>
          <w:rFonts w:ascii="Times New Roman" w:hAnsi="Times New Roman" w:cs="Times New Roman"/>
          <w:sz w:val="24"/>
          <w:szCs w:val="24"/>
        </w:rPr>
        <w:t>, respectively</w:t>
      </w:r>
      <w:r w:rsidRPr="00356ADA">
        <w:rPr>
          <w:rFonts w:ascii="Times New Roman" w:hAnsi="Times New Roman" w:cs="Times New Roman"/>
          <w:sz w:val="24"/>
          <w:szCs w:val="24"/>
        </w:rPr>
        <w:t xml:space="preserve">. </w:t>
      </w:r>
      <w:r w:rsidR="00022DC0">
        <w:rPr>
          <w:rFonts w:ascii="Times New Roman" w:hAnsi="Times New Roman" w:cs="Times New Roman"/>
          <w:sz w:val="24"/>
          <w:szCs w:val="24"/>
        </w:rPr>
        <w:t>The sampling period starts in 2009, because the 2007/08 financial crisis has had adverse effect</w:t>
      </w:r>
      <w:r w:rsidR="004844DE">
        <w:rPr>
          <w:rFonts w:ascii="Times New Roman" w:hAnsi="Times New Roman" w:cs="Times New Roman"/>
          <w:sz w:val="24"/>
          <w:szCs w:val="24"/>
        </w:rPr>
        <w:t>s</w:t>
      </w:r>
      <w:r w:rsidR="00022DC0">
        <w:rPr>
          <w:rFonts w:ascii="Times New Roman" w:hAnsi="Times New Roman" w:cs="Times New Roman"/>
          <w:sz w:val="24"/>
          <w:szCs w:val="24"/>
        </w:rPr>
        <w:t xml:space="preserve"> on </w:t>
      </w:r>
      <w:r w:rsidR="007B009B">
        <w:rPr>
          <w:rFonts w:ascii="Times New Roman" w:hAnsi="Times New Roman" w:cs="Times New Roman"/>
          <w:sz w:val="24"/>
          <w:szCs w:val="24"/>
        </w:rPr>
        <w:t xml:space="preserve">funding available to </w:t>
      </w:r>
      <w:r w:rsidR="00022DC0" w:rsidRPr="00022DC0">
        <w:rPr>
          <w:rFonts w:ascii="Times New Roman" w:hAnsi="Times New Roman" w:cs="Times New Roman"/>
          <w:sz w:val="24"/>
          <w:szCs w:val="24"/>
        </w:rPr>
        <w:t>public institutions, including HEIs (</w:t>
      </w:r>
      <w:r w:rsidR="000E079B" w:rsidRPr="00356ADA">
        <w:rPr>
          <w:rFonts w:ascii="Times New Roman" w:hAnsi="Times New Roman" w:cs="Times New Roman"/>
          <w:sz w:val="24"/>
          <w:szCs w:val="24"/>
        </w:rPr>
        <w:t>Parker, 2013</w:t>
      </w:r>
      <w:r w:rsidR="000E079B">
        <w:rPr>
          <w:rFonts w:ascii="Times New Roman" w:hAnsi="Times New Roman" w:cs="Times New Roman"/>
          <w:sz w:val="24"/>
          <w:szCs w:val="24"/>
        </w:rPr>
        <w:t>)</w:t>
      </w:r>
      <w:r w:rsidR="00022DC0" w:rsidRPr="00022DC0">
        <w:rPr>
          <w:rFonts w:ascii="Times New Roman" w:hAnsi="Times New Roman" w:cs="Times New Roman"/>
          <w:sz w:val="24"/>
          <w:szCs w:val="24"/>
        </w:rPr>
        <w:t>.</w:t>
      </w:r>
      <w:r w:rsidR="003C61DF">
        <w:rPr>
          <w:rFonts w:ascii="Times New Roman" w:hAnsi="Times New Roman" w:cs="Times New Roman"/>
          <w:sz w:val="24"/>
          <w:szCs w:val="24"/>
        </w:rPr>
        <w:t xml:space="preserve"> </w:t>
      </w:r>
      <w:r w:rsidR="00022DC0">
        <w:rPr>
          <w:rFonts w:asciiTheme="majorBidi" w:hAnsiTheme="majorBidi" w:cstheme="majorBidi"/>
          <w:sz w:val="24"/>
          <w:szCs w:val="24"/>
        </w:rPr>
        <w:t>The sampling period ends in 2014</w:t>
      </w:r>
      <w:r w:rsidR="007B009B">
        <w:rPr>
          <w:rFonts w:asciiTheme="majorBidi" w:hAnsiTheme="majorBidi" w:cstheme="majorBidi"/>
          <w:sz w:val="24"/>
          <w:szCs w:val="24"/>
        </w:rPr>
        <w:t xml:space="preserve"> since it was the</w:t>
      </w:r>
      <w:r w:rsidR="00982E8D">
        <w:rPr>
          <w:rFonts w:asciiTheme="majorBidi" w:hAnsiTheme="majorBidi" w:cstheme="majorBidi"/>
          <w:sz w:val="24"/>
          <w:szCs w:val="24"/>
        </w:rPr>
        <w:t xml:space="preserve"> year</w:t>
      </w:r>
      <w:r w:rsidR="007B009B">
        <w:rPr>
          <w:rFonts w:asciiTheme="majorBidi" w:hAnsiTheme="majorBidi" w:cstheme="majorBidi"/>
          <w:sz w:val="24"/>
          <w:szCs w:val="24"/>
        </w:rPr>
        <w:t xml:space="preserve"> the required data, including the annual reports, of the examined HEIs was available until 2014 when data collection started, as well as due to the labour-intensive nature of manually collected data. </w:t>
      </w:r>
      <w:r w:rsidR="007B009B" w:rsidRPr="007B009B">
        <w:rPr>
          <w:rFonts w:asciiTheme="majorBidi" w:hAnsiTheme="majorBidi" w:cstheme="majorBidi"/>
          <w:sz w:val="24"/>
          <w:szCs w:val="24"/>
        </w:rPr>
        <w:t>We primarily relied on annual reports to collect governance, financial and risk data</w:t>
      </w:r>
      <w:r w:rsidR="008E55E7">
        <w:rPr>
          <w:rFonts w:asciiTheme="majorBidi" w:hAnsiTheme="majorBidi" w:cstheme="majorBidi"/>
          <w:sz w:val="24"/>
          <w:szCs w:val="24"/>
        </w:rPr>
        <w:t>, and this is due to</w:t>
      </w:r>
      <w:r w:rsidR="00790EBD">
        <w:rPr>
          <w:rFonts w:asciiTheme="majorBidi" w:hAnsiTheme="majorBidi" w:cstheme="majorBidi"/>
          <w:sz w:val="24"/>
          <w:szCs w:val="24"/>
        </w:rPr>
        <w:t xml:space="preserve"> the fact</w:t>
      </w:r>
      <w:r w:rsidR="008E55E7">
        <w:rPr>
          <w:rFonts w:asciiTheme="majorBidi" w:hAnsiTheme="majorBidi" w:cstheme="majorBidi"/>
          <w:sz w:val="24"/>
          <w:szCs w:val="24"/>
        </w:rPr>
        <w:t xml:space="preserve"> </w:t>
      </w:r>
      <w:r w:rsidR="00B311C5">
        <w:rPr>
          <w:rFonts w:asciiTheme="majorBidi" w:hAnsiTheme="majorBidi" w:cstheme="majorBidi"/>
          <w:sz w:val="24"/>
          <w:szCs w:val="24"/>
        </w:rPr>
        <w:t>that</w:t>
      </w:r>
      <w:r w:rsidR="00AA0754">
        <w:rPr>
          <w:rFonts w:asciiTheme="majorBidi" w:hAnsiTheme="majorBidi" w:cstheme="majorBidi"/>
          <w:sz w:val="24"/>
          <w:szCs w:val="24"/>
        </w:rPr>
        <w:t xml:space="preserve"> UK HEIs are required by the </w:t>
      </w:r>
      <w:r w:rsidR="00C33168">
        <w:rPr>
          <w:rFonts w:asciiTheme="majorBidi" w:hAnsiTheme="majorBidi" w:cstheme="majorBidi"/>
          <w:sz w:val="24"/>
          <w:szCs w:val="24"/>
        </w:rPr>
        <w:t xml:space="preserve">Office for Students (OfS) to publish </w:t>
      </w:r>
      <w:r w:rsidR="00865AA1">
        <w:rPr>
          <w:rFonts w:asciiTheme="majorBidi" w:hAnsiTheme="majorBidi" w:cstheme="majorBidi"/>
          <w:sz w:val="24"/>
          <w:szCs w:val="24"/>
        </w:rPr>
        <w:t xml:space="preserve">and submit annual returns, including </w:t>
      </w:r>
      <w:r w:rsidR="00C33168">
        <w:rPr>
          <w:rFonts w:asciiTheme="majorBidi" w:hAnsiTheme="majorBidi" w:cstheme="majorBidi"/>
          <w:sz w:val="24"/>
          <w:szCs w:val="24"/>
        </w:rPr>
        <w:t xml:space="preserve">annual reports, which make </w:t>
      </w:r>
      <w:r w:rsidR="00A4048D">
        <w:rPr>
          <w:rFonts w:asciiTheme="majorBidi" w:hAnsiTheme="majorBidi" w:cstheme="majorBidi"/>
          <w:sz w:val="24"/>
          <w:szCs w:val="24"/>
        </w:rPr>
        <w:t xml:space="preserve">them </w:t>
      </w:r>
      <w:r w:rsidR="000B1199">
        <w:rPr>
          <w:rFonts w:asciiTheme="majorBidi" w:hAnsiTheme="majorBidi" w:cstheme="majorBidi"/>
          <w:sz w:val="24"/>
          <w:szCs w:val="24"/>
        </w:rPr>
        <w:t>a reliable source</w:t>
      </w:r>
      <w:r w:rsidR="00B311C5">
        <w:rPr>
          <w:rFonts w:asciiTheme="majorBidi" w:hAnsiTheme="majorBidi" w:cstheme="majorBidi"/>
          <w:sz w:val="24"/>
          <w:szCs w:val="24"/>
        </w:rPr>
        <w:t xml:space="preserve"> </w:t>
      </w:r>
      <w:r w:rsidR="00056D3B">
        <w:rPr>
          <w:rFonts w:asciiTheme="majorBidi" w:hAnsiTheme="majorBidi" w:cstheme="majorBidi"/>
          <w:sz w:val="24"/>
          <w:szCs w:val="24"/>
        </w:rPr>
        <w:t xml:space="preserve">to obtain </w:t>
      </w:r>
      <w:r w:rsidR="008611A6">
        <w:rPr>
          <w:rFonts w:asciiTheme="majorBidi" w:hAnsiTheme="majorBidi" w:cstheme="majorBidi"/>
          <w:sz w:val="24"/>
          <w:szCs w:val="24"/>
        </w:rPr>
        <w:t>such</w:t>
      </w:r>
      <w:r w:rsidR="00056D3B">
        <w:rPr>
          <w:rFonts w:asciiTheme="majorBidi" w:hAnsiTheme="majorBidi" w:cstheme="majorBidi"/>
          <w:sz w:val="24"/>
          <w:szCs w:val="24"/>
        </w:rPr>
        <w:t xml:space="preserve"> information. </w:t>
      </w:r>
      <w:r w:rsidR="00623901">
        <w:rPr>
          <w:rFonts w:asciiTheme="majorBidi" w:hAnsiTheme="majorBidi" w:cstheme="majorBidi"/>
          <w:sz w:val="24"/>
          <w:szCs w:val="24"/>
        </w:rPr>
        <w:t xml:space="preserve">We have also used other sources, </w:t>
      </w:r>
      <w:r w:rsidR="00623901" w:rsidRPr="00623901">
        <w:rPr>
          <w:rFonts w:asciiTheme="majorBidi" w:hAnsiTheme="majorBidi" w:cstheme="majorBidi"/>
          <w:sz w:val="24"/>
          <w:szCs w:val="24"/>
        </w:rPr>
        <w:t>including information published in the reports of audit committee, as well as those published on HEIs’ websites</w:t>
      </w:r>
      <w:r w:rsidR="00623901">
        <w:rPr>
          <w:rFonts w:asciiTheme="majorBidi" w:hAnsiTheme="majorBidi" w:cstheme="majorBidi"/>
          <w:sz w:val="24"/>
          <w:szCs w:val="24"/>
        </w:rPr>
        <w:t>, to collect our research data.</w:t>
      </w:r>
    </w:p>
    <w:p w14:paraId="59A09CD6" w14:textId="77777777" w:rsidR="00CA65C3" w:rsidRPr="00233EC8" w:rsidRDefault="00CA65C3" w:rsidP="00B27CF1">
      <w:pPr>
        <w:spacing w:after="0" w:line="240" w:lineRule="auto"/>
        <w:rPr>
          <w:rFonts w:ascii="Times New Roman" w:hAnsi="Times New Roman" w:cs="Times New Roman"/>
        </w:rPr>
      </w:pPr>
    </w:p>
    <w:p w14:paraId="16470606" w14:textId="0B53E2AC" w:rsidR="00297A82" w:rsidRPr="00356ADA" w:rsidRDefault="00711EE9" w:rsidP="00BE143D">
      <w:pPr>
        <w:spacing w:after="0" w:line="240" w:lineRule="auto"/>
        <w:jc w:val="center"/>
        <w:rPr>
          <w:rFonts w:ascii="Times New Roman" w:hAnsi="Times New Roman" w:cs="Times New Roman"/>
          <w:i/>
          <w:sz w:val="24"/>
          <w:szCs w:val="24"/>
        </w:rPr>
      </w:pPr>
      <w:r w:rsidRPr="00356ADA">
        <w:rPr>
          <w:rFonts w:ascii="Times New Roman" w:hAnsi="Times New Roman" w:cs="Times New Roman"/>
          <w:i/>
          <w:sz w:val="24"/>
          <w:szCs w:val="24"/>
        </w:rPr>
        <w:t xml:space="preserve">Table 1 </w:t>
      </w:r>
      <w:r w:rsidR="00BE143D" w:rsidRPr="00356ADA">
        <w:rPr>
          <w:rFonts w:ascii="Times New Roman" w:hAnsi="Times New Roman" w:cs="Times New Roman"/>
          <w:i/>
          <w:sz w:val="24"/>
          <w:szCs w:val="24"/>
        </w:rPr>
        <w:t xml:space="preserve">around </w:t>
      </w:r>
      <w:r w:rsidRPr="00356ADA">
        <w:rPr>
          <w:rFonts w:ascii="Times New Roman" w:hAnsi="Times New Roman" w:cs="Times New Roman"/>
          <w:i/>
          <w:sz w:val="24"/>
          <w:szCs w:val="24"/>
        </w:rPr>
        <w:t>h</w:t>
      </w:r>
      <w:r w:rsidR="00297A82" w:rsidRPr="00356ADA">
        <w:rPr>
          <w:rFonts w:ascii="Times New Roman" w:hAnsi="Times New Roman" w:cs="Times New Roman"/>
          <w:i/>
          <w:sz w:val="24"/>
          <w:szCs w:val="24"/>
        </w:rPr>
        <w:t>ere</w:t>
      </w:r>
    </w:p>
    <w:p w14:paraId="01ADAA9E" w14:textId="77777777" w:rsidR="00CA65C3" w:rsidRPr="00356ADA" w:rsidRDefault="00CA65C3" w:rsidP="00B27CF1">
      <w:pPr>
        <w:spacing w:after="0" w:line="240" w:lineRule="auto"/>
        <w:rPr>
          <w:rFonts w:ascii="Times New Roman" w:hAnsi="Times New Roman" w:cs="Times New Roman"/>
          <w:sz w:val="24"/>
          <w:szCs w:val="24"/>
        </w:rPr>
      </w:pPr>
    </w:p>
    <w:p w14:paraId="38F61565" w14:textId="10E71A38" w:rsidR="00297A82" w:rsidRPr="00356ADA" w:rsidRDefault="00985882" w:rsidP="00A03A45">
      <w:pPr>
        <w:pStyle w:val="ListParagraph"/>
        <w:numPr>
          <w:ilvl w:val="1"/>
          <w:numId w:val="21"/>
        </w:numPr>
        <w:spacing w:after="0" w:line="240" w:lineRule="auto"/>
        <w:ind w:left="426" w:hanging="426"/>
        <w:jc w:val="both"/>
        <w:rPr>
          <w:rFonts w:ascii="Times New Roman" w:hAnsi="Times New Roman" w:cs="Times New Roman"/>
          <w:b/>
          <w:bCs/>
          <w:i/>
          <w:sz w:val="24"/>
          <w:szCs w:val="24"/>
        </w:rPr>
      </w:pPr>
      <w:r w:rsidRPr="00356ADA">
        <w:rPr>
          <w:rFonts w:ascii="Times New Roman" w:hAnsi="Times New Roman" w:cs="Times New Roman"/>
          <w:b/>
          <w:bCs/>
          <w:i/>
          <w:sz w:val="24"/>
          <w:szCs w:val="24"/>
        </w:rPr>
        <w:t>Variable definition and model specification</w:t>
      </w:r>
    </w:p>
    <w:p w14:paraId="6950FA85" w14:textId="77777777" w:rsidR="009159E2" w:rsidRPr="00356ADA" w:rsidRDefault="009159E2" w:rsidP="00B27CF1">
      <w:pPr>
        <w:spacing w:after="0" w:line="240" w:lineRule="auto"/>
        <w:rPr>
          <w:rFonts w:ascii="Times New Roman" w:hAnsi="Times New Roman" w:cs="Times New Roman"/>
          <w:i/>
          <w:sz w:val="24"/>
          <w:szCs w:val="24"/>
        </w:rPr>
      </w:pPr>
    </w:p>
    <w:p w14:paraId="589EC0D6" w14:textId="14A4E3ED" w:rsidR="00C9371D" w:rsidRPr="00AB6A1B" w:rsidRDefault="00207EC9" w:rsidP="00356ADA">
      <w:pPr>
        <w:spacing w:after="0" w:line="240" w:lineRule="auto"/>
        <w:jc w:val="both"/>
        <w:rPr>
          <w:rFonts w:ascii="Times New Roman" w:hAnsi="Times New Roman" w:cs="Times New Roman"/>
          <w:sz w:val="24"/>
          <w:szCs w:val="24"/>
        </w:rPr>
      </w:pPr>
      <w:r>
        <w:rPr>
          <w:rFonts w:ascii="Times New Roman" w:hAnsi="Times New Roman" w:cs="Times New Roman"/>
          <w:iCs/>
          <w:sz w:val="24"/>
          <w:szCs w:val="24"/>
        </w:rPr>
        <w:t xml:space="preserve">The definitions of our study variables are provided in Table 2. </w:t>
      </w:r>
      <w:r w:rsidR="009159E2" w:rsidRPr="00356ADA">
        <w:rPr>
          <w:rFonts w:ascii="Times New Roman" w:hAnsi="Times New Roman" w:cs="Times New Roman"/>
          <w:iCs/>
          <w:sz w:val="24"/>
          <w:szCs w:val="24"/>
        </w:rPr>
        <w:t xml:space="preserve">To test </w:t>
      </w:r>
      <w:r w:rsidR="009159E2" w:rsidRPr="00356ADA">
        <w:rPr>
          <w:rFonts w:ascii="Times New Roman" w:hAnsi="Times New Roman" w:cs="Times New Roman"/>
          <w:i/>
          <w:sz w:val="24"/>
          <w:szCs w:val="24"/>
        </w:rPr>
        <w:t xml:space="preserve">H1 </w:t>
      </w:r>
      <w:r w:rsidR="009159E2" w:rsidRPr="00356ADA">
        <w:rPr>
          <w:rFonts w:ascii="Times New Roman" w:hAnsi="Times New Roman" w:cs="Times New Roman"/>
          <w:iCs/>
          <w:sz w:val="24"/>
          <w:szCs w:val="24"/>
        </w:rPr>
        <w:t xml:space="preserve">and </w:t>
      </w:r>
      <w:r w:rsidR="008C6DA2" w:rsidRPr="00356ADA">
        <w:rPr>
          <w:rFonts w:ascii="Times New Roman" w:hAnsi="Times New Roman" w:cs="Times New Roman"/>
          <w:i/>
          <w:sz w:val="24"/>
          <w:szCs w:val="24"/>
        </w:rPr>
        <w:t>H</w:t>
      </w:r>
      <w:r w:rsidR="00A007FB" w:rsidRPr="00356ADA">
        <w:rPr>
          <w:rFonts w:ascii="Times New Roman" w:hAnsi="Times New Roman" w:cs="Times New Roman"/>
          <w:i/>
          <w:sz w:val="24"/>
          <w:szCs w:val="24"/>
        </w:rPr>
        <w:t>2</w:t>
      </w:r>
      <w:r w:rsidR="009159E2" w:rsidRPr="00356ADA">
        <w:rPr>
          <w:rFonts w:ascii="Times New Roman" w:hAnsi="Times New Roman" w:cs="Times New Roman"/>
          <w:iCs/>
          <w:sz w:val="24"/>
          <w:szCs w:val="24"/>
        </w:rPr>
        <w:t>, we created our research model and variables as follows. First, we employ</w:t>
      </w:r>
      <w:r w:rsidR="001C55F0">
        <w:rPr>
          <w:rFonts w:ascii="Times New Roman" w:hAnsi="Times New Roman" w:cs="Times New Roman"/>
          <w:iCs/>
          <w:sz w:val="24"/>
          <w:szCs w:val="24"/>
        </w:rPr>
        <w:t>ed</w:t>
      </w:r>
      <w:r w:rsidR="00AB6A1B">
        <w:rPr>
          <w:rFonts w:ascii="Times New Roman" w:hAnsi="Times New Roman" w:cs="Times New Roman"/>
          <w:iCs/>
          <w:sz w:val="24"/>
          <w:szCs w:val="24"/>
        </w:rPr>
        <w:t xml:space="preserve"> HE</w:t>
      </w:r>
      <w:r w:rsidR="001377AA">
        <w:rPr>
          <w:rFonts w:ascii="Times New Roman" w:hAnsi="Times New Roman" w:cs="Times New Roman"/>
          <w:iCs/>
          <w:sz w:val="24"/>
          <w:szCs w:val="24"/>
        </w:rPr>
        <w:t>I</w:t>
      </w:r>
      <w:r w:rsidR="009159E2" w:rsidRPr="00356ADA">
        <w:rPr>
          <w:rFonts w:ascii="Times New Roman" w:hAnsi="Times New Roman" w:cs="Times New Roman"/>
          <w:iCs/>
          <w:sz w:val="24"/>
          <w:szCs w:val="24"/>
        </w:rPr>
        <w:t xml:space="preserve"> risk disclosure index (</w:t>
      </w:r>
      <w:r w:rsidR="00AB6A1B">
        <w:rPr>
          <w:rFonts w:ascii="Times New Roman" w:hAnsi="Times New Roman" w:cs="Times New Roman"/>
          <w:i/>
          <w:sz w:val="24"/>
          <w:szCs w:val="24"/>
        </w:rPr>
        <w:t>HE</w:t>
      </w:r>
      <w:r w:rsidR="009159E2" w:rsidRPr="00356ADA">
        <w:rPr>
          <w:rFonts w:ascii="Times New Roman" w:hAnsi="Times New Roman" w:cs="Times New Roman"/>
          <w:i/>
          <w:sz w:val="24"/>
          <w:szCs w:val="24"/>
        </w:rPr>
        <w:t>RDI</w:t>
      </w:r>
      <w:r w:rsidR="009159E2" w:rsidRPr="00356ADA">
        <w:rPr>
          <w:rFonts w:ascii="Times New Roman" w:hAnsi="Times New Roman" w:cs="Times New Roman"/>
          <w:iCs/>
          <w:sz w:val="24"/>
          <w:szCs w:val="24"/>
        </w:rPr>
        <w:t xml:space="preserve">) as our main </w:t>
      </w:r>
      <w:r w:rsidR="0059586C">
        <w:rPr>
          <w:rFonts w:ascii="Times New Roman" w:hAnsi="Times New Roman" w:cs="Times New Roman"/>
          <w:iCs/>
          <w:sz w:val="24"/>
          <w:szCs w:val="24"/>
        </w:rPr>
        <w:t>dependent</w:t>
      </w:r>
      <w:r w:rsidR="00A051A1" w:rsidRPr="00356ADA">
        <w:rPr>
          <w:rFonts w:ascii="Times New Roman" w:hAnsi="Times New Roman" w:cs="Times New Roman"/>
          <w:iCs/>
          <w:sz w:val="24"/>
          <w:szCs w:val="24"/>
        </w:rPr>
        <w:t xml:space="preserve"> </w:t>
      </w:r>
      <w:r w:rsidR="009159E2" w:rsidRPr="00356ADA">
        <w:rPr>
          <w:rFonts w:ascii="Times New Roman" w:hAnsi="Times New Roman" w:cs="Times New Roman"/>
          <w:iCs/>
          <w:sz w:val="24"/>
          <w:szCs w:val="24"/>
        </w:rPr>
        <w:t>variable.</w:t>
      </w:r>
      <w:r w:rsidR="0079428B" w:rsidRPr="00356ADA">
        <w:rPr>
          <w:rFonts w:ascii="Times New Roman" w:hAnsi="Times New Roman" w:cs="Times New Roman"/>
          <w:iCs/>
          <w:sz w:val="24"/>
          <w:szCs w:val="24"/>
        </w:rPr>
        <w:t xml:space="preserve"> </w:t>
      </w:r>
      <w:r>
        <w:rPr>
          <w:rFonts w:ascii="Times New Roman" w:hAnsi="Times New Roman" w:cs="Times New Roman"/>
          <w:iCs/>
          <w:sz w:val="24"/>
          <w:szCs w:val="24"/>
        </w:rPr>
        <w:t>T</w:t>
      </w:r>
      <w:r w:rsidR="0079428B" w:rsidRPr="00356ADA">
        <w:rPr>
          <w:rFonts w:ascii="Times New Roman" w:hAnsi="Times New Roman" w:cs="Times New Roman"/>
          <w:iCs/>
          <w:sz w:val="24"/>
          <w:szCs w:val="24"/>
        </w:rPr>
        <w:t xml:space="preserve">he </w:t>
      </w:r>
      <w:r w:rsidR="00AB6A1B">
        <w:rPr>
          <w:rFonts w:ascii="Times New Roman" w:hAnsi="Times New Roman" w:cs="Times New Roman"/>
          <w:i/>
          <w:sz w:val="24"/>
          <w:szCs w:val="24"/>
        </w:rPr>
        <w:t>HE</w:t>
      </w:r>
      <w:r w:rsidR="0079428B" w:rsidRPr="00356ADA">
        <w:rPr>
          <w:rFonts w:ascii="Times New Roman" w:hAnsi="Times New Roman" w:cs="Times New Roman"/>
          <w:i/>
          <w:sz w:val="24"/>
          <w:szCs w:val="24"/>
        </w:rPr>
        <w:t>RDI</w:t>
      </w:r>
      <w:r w:rsidR="0079428B" w:rsidRPr="00356ADA">
        <w:rPr>
          <w:rFonts w:ascii="Times New Roman" w:hAnsi="Times New Roman" w:cs="Times New Roman"/>
          <w:iCs/>
          <w:sz w:val="24"/>
          <w:szCs w:val="24"/>
        </w:rPr>
        <w:t xml:space="preserve"> ha</w:t>
      </w:r>
      <w:r w:rsidR="00485096" w:rsidRPr="00356ADA">
        <w:rPr>
          <w:rFonts w:ascii="Times New Roman" w:hAnsi="Times New Roman" w:cs="Times New Roman"/>
          <w:iCs/>
          <w:sz w:val="24"/>
          <w:szCs w:val="24"/>
        </w:rPr>
        <w:t>s</w:t>
      </w:r>
      <w:r w:rsidR="0079428B" w:rsidRPr="00356ADA">
        <w:rPr>
          <w:rFonts w:ascii="Times New Roman" w:hAnsi="Times New Roman" w:cs="Times New Roman"/>
          <w:iCs/>
          <w:sz w:val="24"/>
          <w:szCs w:val="24"/>
        </w:rPr>
        <w:t xml:space="preserve"> been developed based mainly on the following sources: </w:t>
      </w:r>
      <w:r w:rsidR="0079428B" w:rsidRPr="00356ADA">
        <w:rPr>
          <w:rFonts w:asciiTheme="majorBidi" w:hAnsiTheme="majorBidi" w:cstheme="majorBidi"/>
          <w:sz w:val="24"/>
          <w:szCs w:val="24"/>
        </w:rPr>
        <w:t xml:space="preserve">(i) 2008 audit committee </w:t>
      </w:r>
      <w:r w:rsidR="00986790" w:rsidRPr="0049524F">
        <w:rPr>
          <w:rFonts w:asciiTheme="majorBidi" w:hAnsiTheme="majorBidi" w:cstheme="majorBidi"/>
          <w:sz w:val="24"/>
          <w:szCs w:val="24"/>
        </w:rPr>
        <w:t xml:space="preserve">guideline </w:t>
      </w:r>
      <w:r w:rsidR="0079428B" w:rsidRPr="00356ADA">
        <w:rPr>
          <w:rFonts w:asciiTheme="majorBidi" w:hAnsiTheme="majorBidi" w:cstheme="majorBidi"/>
          <w:sz w:val="24"/>
          <w:szCs w:val="24"/>
        </w:rPr>
        <w:t xml:space="preserve">published by CUC; (ii) 2009 risk management </w:t>
      </w:r>
      <w:r w:rsidR="00986790" w:rsidRPr="0049524F">
        <w:rPr>
          <w:rFonts w:asciiTheme="majorBidi" w:hAnsiTheme="majorBidi" w:cstheme="majorBidi"/>
          <w:sz w:val="24"/>
          <w:szCs w:val="24"/>
        </w:rPr>
        <w:t xml:space="preserve">guideline </w:t>
      </w:r>
      <w:r w:rsidR="0079428B" w:rsidRPr="00356ADA">
        <w:rPr>
          <w:rFonts w:asciiTheme="majorBidi" w:hAnsiTheme="majorBidi" w:cstheme="majorBidi"/>
          <w:sz w:val="24"/>
          <w:szCs w:val="24"/>
        </w:rPr>
        <w:t xml:space="preserve">published by </w:t>
      </w:r>
      <w:r w:rsidR="0079428B" w:rsidRPr="004718B7">
        <w:rPr>
          <w:rFonts w:asciiTheme="majorBidi" w:hAnsiTheme="majorBidi" w:cstheme="majorBidi"/>
          <w:sz w:val="24"/>
          <w:szCs w:val="24"/>
        </w:rPr>
        <w:t>LFHE; and (iii) 2001a,</w:t>
      </w:r>
      <w:r w:rsidR="00200B47" w:rsidRPr="004718B7">
        <w:rPr>
          <w:rFonts w:asciiTheme="majorBidi" w:hAnsiTheme="majorBidi" w:cstheme="majorBidi"/>
          <w:sz w:val="24"/>
          <w:szCs w:val="24"/>
        </w:rPr>
        <w:t xml:space="preserve"> </w:t>
      </w:r>
      <w:r w:rsidR="0079428B" w:rsidRPr="004718B7">
        <w:rPr>
          <w:rFonts w:asciiTheme="majorBidi" w:hAnsiTheme="majorBidi" w:cstheme="majorBidi"/>
          <w:sz w:val="24"/>
          <w:szCs w:val="24"/>
        </w:rPr>
        <w:t xml:space="preserve">b/2005 risk management </w:t>
      </w:r>
      <w:r w:rsidR="00986790" w:rsidRPr="004718B7">
        <w:rPr>
          <w:rFonts w:asciiTheme="majorBidi" w:hAnsiTheme="majorBidi" w:cstheme="majorBidi"/>
          <w:sz w:val="24"/>
          <w:szCs w:val="24"/>
        </w:rPr>
        <w:t xml:space="preserve">guidelines </w:t>
      </w:r>
      <w:r w:rsidR="0079428B" w:rsidRPr="004718B7">
        <w:rPr>
          <w:rFonts w:asciiTheme="majorBidi" w:hAnsiTheme="majorBidi" w:cstheme="majorBidi"/>
          <w:sz w:val="24"/>
          <w:szCs w:val="24"/>
        </w:rPr>
        <w:t>published by HEFCE, in addition to the prior risk disclosure literature (</w:t>
      </w:r>
      <w:r w:rsidR="000C163B" w:rsidRPr="004718B7">
        <w:rPr>
          <w:rFonts w:ascii="Times New Roman" w:hAnsi="Times New Roman" w:cs="Times New Roman"/>
          <w:sz w:val="24"/>
          <w:szCs w:val="24"/>
        </w:rPr>
        <w:t>Ntim et al., 2013</w:t>
      </w:r>
      <w:r w:rsidR="0079428B" w:rsidRPr="004718B7">
        <w:rPr>
          <w:rFonts w:ascii="Times New Roman" w:hAnsi="Times New Roman" w:cs="Times New Roman"/>
          <w:sz w:val="24"/>
          <w:szCs w:val="24"/>
        </w:rPr>
        <w:t xml:space="preserve">). </w:t>
      </w:r>
      <w:r w:rsidR="00C9371D">
        <w:rPr>
          <w:rFonts w:ascii="Times New Roman" w:hAnsi="Times New Roman" w:cs="Times New Roman"/>
          <w:sz w:val="24"/>
          <w:szCs w:val="24"/>
        </w:rPr>
        <w:t>Therefore, and drawing</w:t>
      </w:r>
      <w:r w:rsidR="00C9371D" w:rsidRPr="00C9371D">
        <w:rPr>
          <w:rFonts w:ascii="Times New Roman" w:hAnsi="Times New Roman" w:cs="Times New Roman"/>
          <w:sz w:val="24"/>
          <w:szCs w:val="24"/>
        </w:rPr>
        <w:t xml:space="preserve"> from the above best practice regulatory documents and previous studies, we</w:t>
      </w:r>
      <w:r w:rsidR="00C9371D">
        <w:rPr>
          <w:rFonts w:ascii="Times New Roman" w:hAnsi="Times New Roman" w:cs="Times New Roman"/>
          <w:sz w:val="24"/>
          <w:szCs w:val="24"/>
        </w:rPr>
        <w:t xml:space="preserve"> identified 127 items, that </w:t>
      </w:r>
      <w:r w:rsidR="00274E18">
        <w:rPr>
          <w:rFonts w:ascii="Times New Roman" w:hAnsi="Times New Roman" w:cs="Times New Roman"/>
          <w:sz w:val="24"/>
          <w:szCs w:val="24"/>
        </w:rPr>
        <w:t>were</w:t>
      </w:r>
      <w:r w:rsidR="00C9371D">
        <w:rPr>
          <w:rFonts w:ascii="Times New Roman" w:hAnsi="Times New Roman" w:cs="Times New Roman"/>
          <w:sz w:val="24"/>
          <w:szCs w:val="24"/>
        </w:rPr>
        <w:t xml:space="preserve"> </w:t>
      </w:r>
      <w:r w:rsidR="00C9371D" w:rsidRPr="00C9371D">
        <w:rPr>
          <w:rFonts w:ascii="Times New Roman" w:hAnsi="Times New Roman" w:cs="Times New Roman"/>
          <w:sz w:val="24"/>
          <w:szCs w:val="24"/>
        </w:rPr>
        <w:t>classified into three broad categories as follows: 29 items on financial risk</w:t>
      </w:r>
      <w:r w:rsidR="00AB6A1B">
        <w:rPr>
          <w:rFonts w:ascii="Times New Roman" w:hAnsi="Times New Roman" w:cs="Times New Roman"/>
          <w:sz w:val="24"/>
          <w:szCs w:val="24"/>
        </w:rPr>
        <w:t xml:space="preserve"> disclosures</w:t>
      </w:r>
      <w:r w:rsidR="00C9371D" w:rsidRPr="00C9371D">
        <w:rPr>
          <w:rFonts w:ascii="Times New Roman" w:hAnsi="Times New Roman" w:cs="Times New Roman"/>
          <w:sz w:val="24"/>
          <w:szCs w:val="24"/>
        </w:rPr>
        <w:t xml:space="preserve"> – </w:t>
      </w:r>
      <w:r w:rsidR="00AB6A1B" w:rsidRPr="00AB6A1B">
        <w:rPr>
          <w:rFonts w:ascii="Times New Roman" w:hAnsi="Times New Roman" w:cs="Times New Roman"/>
          <w:i/>
          <w:iCs/>
          <w:sz w:val="24"/>
          <w:szCs w:val="24"/>
        </w:rPr>
        <w:t>HEFRD</w:t>
      </w:r>
      <w:r w:rsidR="00C9371D" w:rsidRPr="00AB6A1B">
        <w:rPr>
          <w:rFonts w:ascii="Times New Roman" w:hAnsi="Times New Roman" w:cs="Times New Roman"/>
          <w:sz w:val="24"/>
          <w:szCs w:val="24"/>
        </w:rPr>
        <w:t>; 83 items on operational risk</w:t>
      </w:r>
      <w:r w:rsidR="00AB6A1B" w:rsidRPr="00AB6A1B">
        <w:rPr>
          <w:rFonts w:ascii="Times New Roman" w:hAnsi="Times New Roman" w:cs="Times New Roman"/>
          <w:sz w:val="24"/>
          <w:szCs w:val="24"/>
        </w:rPr>
        <w:t xml:space="preserve"> disclosures</w:t>
      </w:r>
      <w:r w:rsidR="00C9371D" w:rsidRPr="00AB6A1B">
        <w:rPr>
          <w:rFonts w:ascii="Times New Roman" w:hAnsi="Times New Roman" w:cs="Times New Roman"/>
          <w:sz w:val="24"/>
          <w:szCs w:val="24"/>
        </w:rPr>
        <w:t xml:space="preserve"> – </w:t>
      </w:r>
      <w:r w:rsidR="00AB6A1B" w:rsidRPr="00AB6A1B">
        <w:rPr>
          <w:rFonts w:ascii="Times New Roman" w:hAnsi="Times New Roman" w:cs="Times New Roman"/>
          <w:i/>
          <w:iCs/>
          <w:sz w:val="24"/>
          <w:szCs w:val="24"/>
        </w:rPr>
        <w:t>HEORD</w:t>
      </w:r>
      <w:r w:rsidR="00C9371D" w:rsidRPr="00AB6A1B">
        <w:rPr>
          <w:rFonts w:ascii="Times New Roman" w:hAnsi="Times New Roman" w:cs="Times New Roman"/>
          <w:sz w:val="24"/>
          <w:szCs w:val="24"/>
        </w:rPr>
        <w:t>; and 15 items on strategic risk</w:t>
      </w:r>
      <w:r w:rsidR="00AB6A1B" w:rsidRPr="00AB6A1B">
        <w:rPr>
          <w:rFonts w:ascii="Times New Roman" w:hAnsi="Times New Roman" w:cs="Times New Roman"/>
          <w:sz w:val="24"/>
          <w:szCs w:val="24"/>
        </w:rPr>
        <w:t xml:space="preserve"> disclosures</w:t>
      </w:r>
      <w:r w:rsidR="00C9371D" w:rsidRPr="00AB6A1B">
        <w:rPr>
          <w:rFonts w:ascii="Times New Roman" w:hAnsi="Times New Roman" w:cs="Times New Roman"/>
          <w:sz w:val="24"/>
          <w:szCs w:val="24"/>
        </w:rPr>
        <w:t xml:space="preserve"> – </w:t>
      </w:r>
      <w:r w:rsidR="00AB6A1B" w:rsidRPr="00AB6A1B">
        <w:rPr>
          <w:rFonts w:ascii="Times New Roman" w:hAnsi="Times New Roman" w:cs="Times New Roman"/>
          <w:i/>
          <w:iCs/>
          <w:sz w:val="24"/>
          <w:szCs w:val="24"/>
        </w:rPr>
        <w:t>HESRD</w:t>
      </w:r>
      <w:r w:rsidR="00C9371D" w:rsidRPr="00AB6A1B">
        <w:rPr>
          <w:rFonts w:ascii="Times New Roman" w:hAnsi="Times New Roman" w:cs="Times New Roman"/>
          <w:sz w:val="24"/>
          <w:szCs w:val="24"/>
        </w:rPr>
        <w:t>.</w:t>
      </w:r>
      <w:r w:rsidR="007F63A3" w:rsidRPr="00356ADA">
        <w:rPr>
          <w:rFonts w:ascii="Times New Roman" w:hAnsi="Times New Roman" w:cs="Times New Roman"/>
          <w:sz w:val="24"/>
          <w:szCs w:val="24"/>
        </w:rPr>
        <w:t xml:space="preserve"> </w:t>
      </w:r>
      <w:r w:rsidR="00AE79D3" w:rsidRPr="00356ADA">
        <w:rPr>
          <w:rFonts w:ascii="Times New Roman" w:hAnsi="Times New Roman" w:cs="Times New Roman"/>
          <w:sz w:val="24"/>
          <w:szCs w:val="24"/>
        </w:rPr>
        <w:t>O</w:t>
      </w:r>
      <w:r w:rsidR="007F63A3" w:rsidRPr="00356ADA">
        <w:rPr>
          <w:rFonts w:ascii="Times New Roman" w:hAnsi="Times New Roman" w:cs="Times New Roman"/>
          <w:sz w:val="24"/>
          <w:szCs w:val="24"/>
        </w:rPr>
        <w:t xml:space="preserve">perational risks were classified into ten sub-sections due to their diverse nature, which as follows: </w:t>
      </w:r>
      <w:r w:rsidR="00AE79D3" w:rsidRPr="00356ADA">
        <w:rPr>
          <w:rFonts w:asciiTheme="majorBidi" w:hAnsiTheme="majorBidi" w:cstheme="majorBidi"/>
          <w:sz w:val="24"/>
          <w:szCs w:val="24"/>
        </w:rPr>
        <w:t>16 items on</w:t>
      </w:r>
      <w:r w:rsidR="007F63A3" w:rsidRPr="00356ADA">
        <w:rPr>
          <w:rFonts w:asciiTheme="majorBidi" w:hAnsiTheme="majorBidi" w:cstheme="majorBidi"/>
          <w:sz w:val="24"/>
          <w:szCs w:val="24"/>
        </w:rPr>
        <w:t xml:space="preserve"> reputational issues</w:t>
      </w:r>
      <w:r w:rsidR="00AE79D3" w:rsidRPr="00356ADA">
        <w:rPr>
          <w:rFonts w:asciiTheme="majorBidi" w:hAnsiTheme="majorBidi" w:cstheme="majorBidi"/>
          <w:sz w:val="24"/>
          <w:szCs w:val="24"/>
        </w:rPr>
        <w:t>;</w:t>
      </w:r>
      <w:r w:rsidR="007F63A3" w:rsidRPr="00356ADA">
        <w:rPr>
          <w:rFonts w:asciiTheme="majorBidi" w:hAnsiTheme="majorBidi" w:cstheme="majorBidi"/>
          <w:sz w:val="24"/>
          <w:szCs w:val="24"/>
        </w:rPr>
        <w:t xml:space="preserve"> </w:t>
      </w:r>
      <w:r w:rsidR="00AE79D3" w:rsidRPr="00356ADA">
        <w:rPr>
          <w:rFonts w:asciiTheme="majorBidi" w:hAnsiTheme="majorBidi" w:cstheme="majorBidi"/>
          <w:sz w:val="24"/>
          <w:szCs w:val="24"/>
        </w:rPr>
        <w:t xml:space="preserve">8 items on </w:t>
      </w:r>
      <w:r w:rsidR="007F63A3" w:rsidRPr="00356ADA">
        <w:rPr>
          <w:rFonts w:asciiTheme="majorBidi" w:hAnsiTheme="majorBidi" w:cstheme="majorBidi"/>
          <w:sz w:val="24"/>
          <w:szCs w:val="24"/>
        </w:rPr>
        <w:t>staffing</w:t>
      </w:r>
      <w:r w:rsidR="00AE79D3" w:rsidRPr="00356ADA">
        <w:rPr>
          <w:rFonts w:asciiTheme="majorBidi" w:hAnsiTheme="majorBidi" w:cstheme="majorBidi"/>
          <w:sz w:val="24"/>
          <w:szCs w:val="24"/>
        </w:rPr>
        <w:t xml:space="preserve"> issues;</w:t>
      </w:r>
      <w:r w:rsidR="007F63A3" w:rsidRPr="00356ADA">
        <w:rPr>
          <w:rFonts w:asciiTheme="majorBidi" w:hAnsiTheme="majorBidi" w:cstheme="majorBidi"/>
          <w:sz w:val="24"/>
          <w:szCs w:val="24"/>
        </w:rPr>
        <w:t xml:space="preserve"> </w:t>
      </w:r>
      <w:r w:rsidR="00AE79D3" w:rsidRPr="00356ADA">
        <w:rPr>
          <w:rFonts w:asciiTheme="majorBidi" w:hAnsiTheme="majorBidi" w:cstheme="majorBidi"/>
          <w:sz w:val="24"/>
          <w:szCs w:val="24"/>
        </w:rPr>
        <w:t xml:space="preserve">6 items on </w:t>
      </w:r>
      <w:r w:rsidR="007F63A3" w:rsidRPr="00356ADA">
        <w:rPr>
          <w:rFonts w:asciiTheme="majorBidi" w:hAnsiTheme="majorBidi" w:cstheme="majorBidi"/>
          <w:sz w:val="24"/>
          <w:szCs w:val="24"/>
        </w:rPr>
        <w:t>student experience issues</w:t>
      </w:r>
      <w:r w:rsidR="00AE79D3" w:rsidRPr="00356ADA">
        <w:rPr>
          <w:rFonts w:asciiTheme="majorBidi" w:hAnsiTheme="majorBidi" w:cstheme="majorBidi"/>
          <w:sz w:val="24"/>
          <w:szCs w:val="24"/>
        </w:rPr>
        <w:t>;</w:t>
      </w:r>
      <w:r w:rsidR="007F63A3" w:rsidRPr="00356ADA">
        <w:rPr>
          <w:rFonts w:asciiTheme="majorBidi" w:hAnsiTheme="majorBidi" w:cstheme="majorBidi"/>
          <w:sz w:val="24"/>
          <w:szCs w:val="24"/>
        </w:rPr>
        <w:t xml:space="preserve"> </w:t>
      </w:r>
      <w:r w:rsidR="00AE79D3" w:rsidRPr="00356ADA">
        <w:rPr>
          <w:rFonts w:asciiTheme="majorBidi" w:hAnsiTheme="majorBidi" w:cstheme="majorBidi"/>
          <w:sz w:val="24"/>
          <w:szCs w:val="24"/>
        </w:rPr>
        <w:t>5 items on IT and information issues; 6 items on</w:t>
      </w:r>
      <w:r w:rsidR="007F63A3" w:rsidRPr="00356ADA">
        <w:rPr>
          <w:rFonts w:asciiTheme="majorBidi" w:hAnsiTheme="majorBidi" w:cstheme="majorBidi"/>
          <w:sz w:val="24"/>
          <w:szCs w:val="24"/>
        </w:rPr>
        <w:t xml:space="preserve"> major project </w:t>
      </w:r>
      <w:r w:rsidR="00AE79D3" w:rsidRPr="00356ADA">
        <w:rPr>
          <w:rFonts w:asciiTheme="majorBidi" w:hAnsiTheme="majorBidi" w:cstheme="majorBidi"/>
          <w:sz w:val="24"/>
          <w:szCs w:val="24"/>
        </w:rPr>
        <w:t>issues;</w:t>
      </w:r>
      <w:r w:rsidR="007F63A3" w:rsidRPr="00356ADA">
        <w:rPr>
          <w:rFonts w:asciiTheme="majorBidi" w:hAnsiTheme="majorBidi" w:cstheme="majorBidi"/>
          <w:sz w:val="24"/>
          <w:szCs w:val="24"/>
        </w:rPr>
        <w:t xml:space="preserve"> </w:t>
      </w:r>
      <w:r w:rsidR="00AE79D3" w:rsidRPr="00356ADA">
        <w:rPr>
          <w:rFonts w:asciiTheme="majorBidi" w:hAnsiTheme="majorBidi" w:cstheme="majorBidi"/>
          <w:sz w:val="24"/>
          <w:szCs w:val="24"/>
        </w:rPr>
        <w:t xml:space="preserve">6 items on </w:t>
      </w:r>
      <w:r w:rsidR="007F63A3" w:rsidRPr="00356ADA">
        <w:rPr>
          <w:rFonts w:asciiTheme="majorBidi" w:hAnsiTheme="majorBidi" w:cstheme="majorBidi"/>
          <w:sz w:val="24"/>
          <w:szCs w:val="24"/>
        </w:rPr>
        <w:t xml:space="preserve">facilities and estate </w:t>
      </w:r>
      <w:r w:rsidR="00AE79D3" w:rsidRPr="00356ADA">
        <w:rPr>
          <w:rFonts w:asciiTheme="majorBidi" w:hAnsiTheme="majorBidi" w:cstheme="majorBidi"/>
          <w:sz w:val="24"/>
          <w:szCs w:val="24"/>
        </w:rPr>
        <w:t>risks;</w:t>
      </w:r>
      <w:r w:rsidR="007F63A3" w:rsidRPr="00356ADA">
        <w:rPr>
          <w:rFonts w:asciiTheme="majorBidi" w:hAnsiTheme="majorBidi" w:cstheme="majorBidi"/>
          <w:sz w:val="24"/>
          <w:szCs w:val="24"/>
        </w:rPr>
        <w:t xml:space="preserve"> </w:t>
      </w:r>
      <w:r w:rsidR="00AE79D3" w:rsidRPr="00356ADA">
        <w:rPr>
          <w:rFonts w:asciiTheme="majorBidi" w:hAnsiTheme="majorBidi" w:cstheme="majorBidi"/>
          <w:sz w:val="24"/>
          <w:szCs w:val="24"/>
        </w:rPr>
        <w:t>5 items on health and safety issues;</w:t>
      </w:r>
      <w:r w:rsidR="007F63A3" w:rsidRPr="00356ADA">
        <w:rPr>
          <w:rFonts w:asciiTheme="majorBidi" w:hAnsiTheme="majorBidi" w:cstheme="majorBidi"/>
          <w:sz w:val="24"/>
          <w:szCs w:val="24"/>
        </w:rPr>
        <w:t xml:space="preserve"> </w:t>
      </w:r>
      <w:r w:rsidR="00AE79D3" w:rsidRPr="00356ADA">
        <w:rPr>
          <w:rFonts w:asciiTheme="majorBidi" w:hAnsiTheme="majorBidi" w:cstheme="majorBidi"/>
          <w:sz w:val="24"/>
          <w:szCs w:val="24"/>
        </w:rPr>
        <w:t>8 items on governance issues;</w:t>
      </w:r>
      <w:r w:rsidR="007F63A3" w:rsidRPr="00356ADA">
        <w:rPr>
          <w:rFonts w:asciiTheme="majorBidi" w:hAnsiTheme="majorBidi" w:cstheme="majorBidi"/>
          <w:sz w:val="24"/>
          <w:szCs w:val="24"/>
        </w:rPr>
        <w:t xml:space="preserve"> </w:t>
      </w:r>
      <w:r w:rsidR="00AE79D3" w:rsidRPr="00356ADA">
        <w:rPr>
          <w:rFonts w:asciiTheme="majorBidi" w:hAnsiTheme="majorBidi" w:cstheme="majorBidi"/>
          <w:sz w:val="24"/>
          <w:szCs w:val="24"/>
        </w:rPr>
        <w:t>5 items on legal issues; and</w:t>
      </w:r>
      <w:r w:rsidR="007B34CA" w:rsidRPr="00356ADA">
        <w:rPr>
          <w:rFonts w:asciiTheme="majorBidi" w:hAnsiTheme="majorBidi" w:cstheme="majorBidi"/>
          <w:sz w:val="24"/>
          <w:szCs w:val="24"/>
        </w:rPr>
        <w:t xml:space="preserve"> </w:t>
      </w:r>
      <w:r w:rsidR="00AE79D3" w:rsidRPr="00356ADA">
        <w:rPr>
          <w:rFonts w:asciiTheme="majorBidi" w:hAnsiTheme="majorBidi" w:cstheme="majorBidi"/>
          <w:sz w:val="24"/>
          <w:szCs w:val="24"/>
        </w:rPr>
        <w:t>18</w:t>
      </w:r>
      <w:r w:rsidR="007F63A3" w:rsidRPr="00356ADA">
        <w:rPr>
          <w:rFonts w:asciiTheme="majorBidi" w:hAnsiTheme="majorBidi" w:cstheme="majorBidi"/>
          <w:sz w:val="24"/>
          <w:szCs w:val="24"/>
        </w:rPr>
        <w:t xml:space="preserve"> items on business environment risks</w:t>
      </w:r>
      <w:r w:rsidR="00AE79D3" w:rsidRPr="00356ADA">
        <w:rPr>
          <w:rFonts w:asciiTheme="majorBidi" w:hAnsiTheme="majorBidi" w:cstheme="majorBidi"/>
          <w:sz w:val="24"/>
          <w:szCs w:val="24"/>
        </w:rPr>
        <w:t xml:space="preserve">. Items contained in the </w:t>
      </w:r>
      <w:r w:rsidR="00AB6A1B">
        <w:rPr>
          <w:rFonts w:asciiTheme="majorBidi" w:hAnsiTheme="majorBidi" w:cstheme="majorBidi"/>
          <w:i/>
          <w:iCs/>
          <w:sz w:val="24"/>
          <w:szCs w:val="24"/>
        </w:rPr>
        <w:t>HE</w:t>
      </w:r>
      <w:r w:rsidR="00AE79D3" w:rsidRPr="00AB6A1B">
        <w:rPr>
          <w:rFonts w:asciiTheme="majorBidi" w:hAnsiTheme="majorBidi" w:cstheme="majorBidi"/>
          <w:i/>
          <w:iCs/>
          <w:sz w:val="24"/>
          <w:szCs w:val="24"/>
        </w:rPr>
        <w:t>RDI</w:t>
      </w:r>
      <w:r w:rsidR="00AE79D3" w:rsidRPr="00356ADA">
        <w:rPr>
          <w:rFonts w:asciiTheme="majorBidi" w:hAnsiTheme="majorBidi" w:cstheme="majorBidi"/>
          <w:i/>
          <w:iCs/>
          <w:sz w:val="24"/>
          <w:szCs w:val="24"/>
        </w:rPr>
        <w:t xml:space="preserve"> </w:t>
      </w:r>
      <w:r w:rsidR="00E60DB9" w:rsidRPr="00124434">
        <w:rPr>
          <w:rFonts w:asciiTheme="majorBidi" w:hAnsiTheme="majorBidi" w:cstheme="majorBidi"/>
          <w:sz w:val="24"/>
          <w:szCs w:val="24"/>
        </w:rPr>
        <w:t xml:space="preserve">were coded by employing a 7-point scale (a value of ‘6’ denotes highest </w:t>
      </w:r>
      <w:r w:rsidR="00AA46F6">
        <w:rPr>
          <w:rFonts w:asciiTheme="majorBidi" w:hAnsiTheme="majorBidi" w:cstheme="majorBidi"/>
          <w:sz w:val="24"/>
          <w:szCs w:val="24"/>
        </w:rPr>
        <w:t>quality</w:t>
      </w:r>
      <w:r w:rsidR="00E60DB9" w:rsidRPr="00124434">
        <w:rPr>
          <w:rFonts w:asciiTheme="majorBidi" w:hAnsiTheme="majorBidi" w:cstheme="majorBidi"/>
          <w:sz w:val="24"/>
          <w:szCs w:val="24"/>
        </w:rPr>
        <w:t xml:space="preserve"> </w:t>
      </w:r>
      <w:r w:rsidR="00AA46F6">
        <w:rPr>
          <w:rFonts w:asciiTheme="majorBidi" w:hAnsiTheme="majorBidi" w:cstheme="majorBidi"/>
          <w:sz w:val="24"/>
          <w:szCs w:val="24"/>
        </w:rPr>
        <w:t>of risk disclosure information</w:t>
      </w:r>
      <w:r w:rsidR="00E60DB9" w:rsidRPr="00124434">
        <w:rPr>
          <w:rFonts w:asciiTheme="majorBidi" w:hAnsiTheme="majorBidi" w:cstheme="majorBidi"/>
          <w:sz w:val="24"/>
          <w:szCs w:val="24"/>
        </w:rPr>
        <w:t>, whereas ‘0’ denotes no risk disclosures).</w:t>
      </w:r>
      <w:r w:rsidR="005C02B2">
        <w:rPr>
          <w:rFonts w:asciiTheme="majorBidi" w:hAnsiTheme="majorBidi" w:cstheme="majorBidi"/>
          <w:sz w:val="24"/>
          <w:szCs w:val="24"/>
        </w:rPr>
        <w:t xml:space="preserve"> Following this coding scheme, each item</w:t>
      </w:r>
      <w:r w:rsidR="00AA46F6">
        <w:rPr>
          <w:rFonts w:asciiTheme="majorBidi" w:hAnsiTheme="majorBidi" w:cstheme="majorBidi"/>
          <w:sz w:val="24"/>
          <w:szCs w:val="24"/>
        </w:rPr>
        <w:t xml:space="preserve"> included in the </w:t>
      </w:r>
      <w:r w:rsidR="00AB6A1B">
        <w:rPr>
          <w:rFonts w:asciiTheme="majorBidi" w:hAnsiTheme="majorBidi" w:cstheme="majorBidi"/>
          <w:i/>
          <w:iCs/>
          <w:sz w:val="24"/>
          <w:szCs w:val="24"/>
        </w:rPr>
        <w:t>HE</w:t>
      </w:r>
      <w:r w:rsidR="00AA46F6" w:rsidRPr="00AA46F6">
        <w:rPr>
          <w:rFonts w:asciiTheme="majorBidi" w:hAnsiTheme="majorBidi" w:cstheme="majorBidi"/>
          <w:i/>
          <w:iCs/>
          <w:sz w:val="24"/>
          <w:szCs w:val="24"/>
        </w:rPr>
        <w:t>RDI</w:t>
      </w:r>
      <w:r w:rsidR="005C02B2">
        <w:rPr>
          <w:rFonts w:asciiTheme="majorBidi" w:hAnsiTheme="majorBidi" w:cstheme="majorBidi"/>
          <w:sz w:val="24"/>
          <w:szCs w:val="24"/>
        </w:rPr>
        <w:t xml:space="preserve"> </w:t>
      </w:r>
      <w:r w:rsidR="000814F5">
        <w:rPr>
          <w:rFonts w:asciiTheme="majorBidi" w:hAnsiTheme="majorBidi" w:cstheme="majorBidi"/>
          <w:sz w:val="24"/>
          <w:szCs w:val="24"/>
        </w:rPr>
        <w:t xml:space="preserve">is </w:t>
      </w:r>
      <w:r w:rsidR="00DE05CA">
        <w:rPr>
          <w:rFonts w:asciiTheme="majorBidi" w:hAnsiTheme="majorBidi" w:cstheme="majorBidi"/>
          <w:sz w:val="24"/>
          <w:szCs w:val="24"/>
        </w:rPr>
        <w:t xml:space="preserve">awarded a score ranging </w:t>
      </w:r>
      <w:r w:rsidR="000814F5">
        <w:rPr>
          <w:rFonts w:asciiTheme="majorBidi" w:hAnsiTheme="majorBidi" w:cstheme="majorBidi"/>
          <w:sz w:val="24"/>
          <w:szCs w:val="24"/>
        </w:rPr>
        <w:t>from 0 (</w:t>
      </w:r>
      <w:r w:rsidR="00FA5F6A">
        <w:rPr>
          <w:rFonts w:asciiTheme="majorBidi" w:hAnsiTheme="majorBidi" w:cstheme="majorBidi"/>
          <w:sz w:val="24"/>
          <w:szCs w:val="24"/>
        </w:rPr>
        <w:t>indicating no risk disclosures) to 6 (denoting highest levels of risk disclosure</w:t>
      </w:r>
      <w:r w:rsidR="00AA46F6">
        <w:rPr>
          <w:rFonts w:asciiTheme="majorBidi" w:hAnsiTheme="majorBidi" w:cstheme="majorBidi"/>
          <w:sz w:val="24"/>
          <w:szCs w:val="24"/>
        </w:rPr>
        <w:t>s i</w:t>
      </w:r>
      <w:r w:rsidR="00FA5F6A">
        <w:rPr>
          <w:rFonts w:asciiTheme="majorBidi" w:hAnsiTheme="majorBidi" w:cstheme="majorBidi"/>
          <w:sz w:val="24"/>
          <w:szCs w:val="24"/>
        </w:rPr>
        <w:t>n the annual report)</w:t>
      </w:r>
      <w:r w:rsidR="00DE05CA">
        <w:rPr>
          <w:rFonts w:asciiTheme="majorBidi" w:hAnsiTheme="majorBidi" w:cstheme="majorBidi"/>
          <w:sz w:val="24"/>
          <w:szCs w:val="24"/>
        </w:rPr>
        <w:t xml:space="preserve">, given a </w:t>
      </w:r>
      <w:r w:rsidR="00124434">
        <w:rPr>
          <w:rFonts w:asciiTheme="majorBidi" w:hAnsiTheme="majorBidi" w:cstheme="majorBidi"/>
          <w:sz w:val="24"/>
          <w:szCs w:val="24"/>
        </w:rPr>
        <w:t>total</w:t>
      </w:r>
      <w:r w:rsidR="00E60DB9">
        <w:rPr>
          <w:rFonts w:asciiTheme="majorBidi" w:hAnsiTheme="majorBidi" w:cstheme="majorBidi"/>
          <w:sz w:val="24"/>
          <w:szCs w:val="24"/>
        </w:rPr>
        <w:t xml:space="preserve"> possible score of 762 points (6 x 127). </w:t>
      </w:r>
      <w:r w:rsidR="00124434">
        <w:rPr>
          <w:rFonts w:asciiTheme="majorBidi" w:hAnsiTheme="majorBidi" w:cstheme="majorBidi"/>
          <w:sz w:val="24"/>
          <w:szCs w:val="24"/>
        </w:rPr>
        <w:t>The actual risk disclosure score</w:t>
      </w:r>
      <w:r w:rsidR="001540BE">
        <w:rPr>
          <w:rFonts w:asciiTheme="majorBidi" w:hAnsiTheme="majorBidi" w:cstheme="majorBidi"/>
          <w:sz w:val="24"/>
          <w:szCs w:val="24"/>
        </w:rPr>
        <w:t xml:space="preserve"> </w:t>
      </w:r>
      <w:r w:rsidR="00124434">
        <w:rPr>
          <w:rFonts w:asciiTheme="majorBidi" w:hAnsiTheme="majorBidi" w:cstheme="majorBidi"/>
          <w:sz w:val="24"/>
          <w:szCs w:val="24"/>
        </w:rPr>
        <w:t>is then expressed as a percentage of the total possible score</w:t>
      </w:r>
      <w:r w:rsidR="00EA6D64">
        <w:rPr>
          <w:rFonts w:asciiTheme="majorBidi" w:hAnsiTheme="majorBidi" w:cstheme="majorBidi"/>
          <w:sz w:val="24"/>
          <w:szCs w:val="24"/>
        </w:rPr>
        <w:t xml:space="preserve">. </w:t>
      </w:r>
      <w:r w:rsidR="00AA46F6">
        <w:rPr>
          <w:rFonts w:asciiTheme="majorBidi" w:hAnsiTheme="majorBidi" w:cstheme="majorBidi"/>
          <w:sz w:val="24"/>
          <w:szCs w:val="24"/>
        </w:rPr>
        <w:t>Using this</w:t>
      </w:r>
      <w:r w:rsidR="00EA6D64">
        <w:rPr>
          <w:rFonts w:asciiTheme="majorBidi" w:hAnsiTheme="majorBidi" w:cstheme="majorBidi"/>
          <w:sz w:val="24"/>
          <w:szCs w:val="24"/>
        </w:rPr>
        <w:t xml:space="preserve"> </w:t>
      </w:r>
      <w:r w:rsidR="009E1ABB">
        <w:rPr>
          <w:rFonts w:asciiTheme="majorBidi" w:hAnsiTheme="majorBidi" w:cstheme="majorBidi"/>
          <w:sz w:val="24"/>
          <w:szCs w:val="24"/>
        </w:rPr>
        <w:t>approach</w:t>
      </w:r>
      <w:r w:rsidR="00EA6D64">
        <w:rPr>
          <w:rFonts w:asciiTheme="majorBidi" w:hAnsiTheme="majorBidi" w:cstheme="majorBidi"/>
          <w:sz w:val="24"/>
          <w:szCs w:val="24"/>
        </w:rPr>
        <w:t>, a HEI total risk disclosure score can range from 0% (0 out of potential 762 points</w:t>
      </w:r>
      <w:r w:rsidR="00215E1C">
        <w:rPr>
          <w:rFonts w:asciiTheme="majorBidi" w:hAnsiTheme="majorBidi" w:cstheme="majorBidi"/>
          <w:sz w:val="24"/>
          <w:szCs w:val="24"/>
        </w:rPr>
        <w:t>, 0/762 x 100</w:t>
      </w:r>
      <w:r w:rsidR="00EA6D64">
        <w:rPr>
          <w:rFonts w:asciiTheme="majorBidi" w:hAnsiTheme="majorBidi" w:cstheme="majorBidi"/>
          <w:sz w:val="24"/>
          <w:szCs w:val="24"/>
        </w:rPr>
        <w:t>) to 100% (</w:t>
      </w:r>
      <w:r w:rsidR="00215E1C">
        <w:rPr>
          <w:rFonts w:asciiTheme="majorBidi" w:hAnsiTheme="majorBidi" w:cstheme="majorBidi"/>
          <w:sz w:val="24"/>
          <w:szCs w:val="24"/>
        </w:rPr>
        <w:t>762 out of potential 762 points, 762/762 x 100)</w:t>
      </w:r>
      <w:r w:rsidR="00AA46F6">
        <w:rPr>
          <w:rFonts w:asciiTheme="majorBidi" w:hAnsiTheme="majorBidi" w:cstheme="majorBidi"/>
          <w:sz w:val="24"/>
          <w:szCs w:val="24"/>
        </w:rPr>
        <w:t xml:space="preserve">, with higher scores indicating </w:t>
      </w:r>
      <w:r w:rsidR="00AA46F6" w:rsidRPr="00AB6A1B">
        <w:rPr>
          <w:rFonts w:asciiTheme="majorBidi" w:hAnsiTheme="majorBidi" w:cstheme="majorBidi"/>
          <w:sz w:val="24"/>
          <w:szCs w:val="24"/>
        </w:rPr>
        <w:t>strong disclosures on risk management practices</w:t>
      </w:r>
      <w:r w:rsidR="00C00DBC" w:rsidRPr="00AB6A1B">
        <w:rPr>
          <w:rFonts w:asciiTheme="majorBidi" w:hAnsiTheme="majorBidi" w:cstheme="majorBidi"/>
          <w:sz w:val="24"/>
          <w:szCs w:val="24"/>
        </w:rPr>
        <w:t xml:space="preserve"> and vice-versa</w:t>
      </w:r>
      <w:r w:rsidR="00AA46F6" w:rsidRPr="00AB6A1B">
        <w:rPr>
          <w:rFonts w:asciiTheme="majorBidi" w:hAnsiTheme="majorBidi" w:cstheme="majorBidi"/>
          <w:sz w:val="24"/>
          <w:szCs w:val="24"/>
        </w:rPr>
        <w:t xml:space="preserve">. We followed the same process for the </w:t>
      </w:r>
      <w:r w:rsidR="00AB6A1B" w:rsidRPr="00AB6A1B">
        <w:rPr>
          <w:rFonts w:asciiTheme="majorBidi" w:hAnsiTheme="majorBidi" w:cstheme="majorBidi"/>
          <w:i/>
          <w:iCs/>
          <w:sz w:val="24"/>
          <w:szCs w:val="24"/>
        </w:rPr>
        <w:t>HE</w:t>
      </w:r>
      <w:r w:rsidR="00AA46F6" w:rsidRPr="00AB6A1B">
        <w:rPr>
          <w:rFonts w:asciiTheme="majorBidi" w:hAnsiTheme="majorBidi" w:cstheme="majorBidi"/>
          <w:i/>
          <w:iCs/>
          <w:sz w:val="24"/>
          <w:szCs w:val="24"/>
        </w:rPr>
        <w:t>RDI’s</w:t>
      </w:r>
      <w:r w:rsidR="00AA46F6" w:rsidRPr="00AB6A1B">
        <w:rPr>
          <w:rFonts w:asciiTheme="majorBidi" w:hAnsiTheme="majorBidi" w:cstheme="majorBidi"/>
          <w:sz w:val="24"/>
          <w:szCs w:val="24"/>
        </w:rPr>
        <w:t xml:space="preserve"> sub-indices (</w:t>
      </w:r>
      <w:r w:rsidR="00AB6A1B" w:rsidRPr="00AB6A1B">
        <w:rPr>
          <w:rFonts w:asciiTheme="majorBidi" w:hAnsiTheme="majorBidi" w:cstheme="majorBidi"/>
          <w:i/>
          <w:iCs/>
          <w:sz w:val="24"/>
          <w:szCs w:val="24"/>
        </w:rPr>
        <w:t xml:space="preserve">HEFRD, HEORD </w:t>
      </w:r>
      <w:r w:rsidR="00AB6A1B" w:rsidRPr="00AB6A1B">
        <w:rPr>
          <w:rFonts w:asciiTheme="majorBidi" w:hAnsiTheme="majorBidi" w:cstheme="majorBidi"/>
          <w:sz w:val="24"/>
          <w:szCs w:val="24"/>
        </w:rPr>
        <w:t>and</w:t>
      </w:r>
      <w:r w:rsidR="00AB6A1B" w:rsidRPr="00AB6A1B">
        <w:rPr>
          <w:rFonts w:asciiTheme="majorBidi" w:hAnsiTheme="majorBidi" w:cstheme="majorBidi"/>
          <w:i/>
          <w:iCs/>
          <w:sz w:val="24"/>
          <w:szCs w:val="24"/>
        </w:rPr>
        <w:t xml:space="preserve"> HESRD</w:t>
      </w:r>
      <w:r w:rsidR="00AA46F6" w:rsidRPr="00AB6A1B">
        <w:rPr>
          <w:rFonts w:asciiTheme="majorBidi" w:hAnsiTheme="majorBidi" w:cstheme="majorBidi"/>
          <w:sz w:val="24"/>
          <w:szCs w:val="24"/>
        </w:rPr>
        <w:t>)</w:t>
      </w:r>
      <w:r w:rsidR="004547C0" w:rsidRPr="00AB6A1B">
        <w:rPr>
          <w:rFonts w:asciiTheme="majorBidi" w:hAnsiTheme="majorBidi" w:cstheme="majorBidi"/>
          <w:sz w:val="24"/>
          <w:szCs w:val="24"/>
        </w:rPr>
        <w:t xml:space="preserve">. </w:t>
      </w:r>
      <w:r w:rsidR="00D510D8">
        <w:rPr>
          <w:rFonts w:ascii="Times New Roman" w:hAnsi="Times New Roman" w:cs="Times New Roman"/>
          <w:sz w:val="24"/>
          <w:szCs w:val="24"/>
        </w:rPr>
        <w:t xml:space="preserve">The </w:t>
      </w:r>
      <w:r w:rsidR="002E33F4">
        <w:rPr>
          <w:rFonts w:ascii="Times New Roman" w:hAnsi="Times New Roman" w:cs="Times New Roman"/>
          <w:sz w:val="24"/>
          <w:szCs w:val="24"/>
        </w:rPr>
        <w:t xml:space="preserve">full </w:t>
      </w:r>
      <w:r w:rsidR="00D510D8">
        <w:rPr>
          <w:rFonts w:ascii="Times New Roman" w:hAnsi="Times New Roman" w:cs="Times New Roman"/>
          <w:sz w:val="24"/>
          <w:szCs w:val="24"/>
        </w:rPr>
        <w:t xml:space="preserve">127 items that form the </w:t>
      </w:r>
      <w:r w:rsidR="00AB6A1B">
        <w:rPr>
          <w:rFonts w:ascii="Times New Roman" w:hAnsi="Times New Roman" w:cs="Times New Roman"/>
          <w:i/>
          <w:iCs/>
          <w:sz w:val="24"/>
          <w:szCs w:val="24"/>
        </w:rPr>
        <w:t>HE</w:t>
      </w:r>
      <w:r w:rsidR="00D510D8">
        <w:rPr>
          <w:rFonts w:ascii="Times New Roman" w:hAnsi="Times New Roman" w:cs="Times New Roman"/>
          <w:i/>
          <w:iCs/>
          <w:sz w:val="24"/>
          <w:szCs w:val="24"/>
        </w:rPr>
        <w:t xml:space="preserve">RDI </w:t>
      </w:r>
      <w:r w:rsidR="00ED1D54">
        <w:rPr>
          <w:rFonts w:ascii="Times New Roman" w:hAnsi="Times New Roman" w:cs="Times New Roman"/>
          <w:sz w:val="24"/>
          <w:szCs w:val="24"/>
        </w:rPr>
        <w:t xml:space="preserve">and the process of testing the reliability/validity of constructed index </w:t>
      </w:r>
      <w:r w:rsidR="00D510D8">
        <w:rPr>
          <w:rFonts w:ascii="Times New Roman" w:hAnsi="Times New Roman" w:cs="Times New Roman"/>
          <w:sz w:val="24"/>
          <w:szCs w:val="24"/>
        </w:rPr>
        <w:t>are presented in</w:t>
      </w:r>
      <w:r w:rsidR="002A0DDD">
        <w:rPr>
          <w:rFonts w:ascii="Times New Roman" w:hAnsi="Times New Roman" w:cs="Times New Roman"/>
          <w:sz w:val="24"/>
          <w:szCs w:val="24"/>
        </w:rPr>
        <w:t xml:space="preserve"> the</w:t>
      </w:r>
      <w:r w:rsidR="00D510D8">
        <w:rPr>
          <w:rFonts w:ascii="Times New Roman" w:hAnsi="Times New Roman" w:cs="Times New Roman"/>
          <w:sz w:val="24"/>
          <w:szCs w:val="24"/>
        </w:rPr>
        <w:t xml:space="preserve"> </w:t>
      </w:r>
      <w:r w:rsidR="002E33F4">
        <w:rPr>
          <w:rFonts w:ascii="Times New Roman" w:hAnsi="Times New Roman" w:cs="Times New Roman"/>
          <w:sz w:val="24"/>
          <w:szCs w:val="24"/>
        </w:rPr>
        <w:t>‘</w:t>
      </w:r>
      <w:r w:rsidR="00051BB3">
        <w:rPr>
          <w:rFonts w:ascii="Times New Roman" w:hAnsi="Times New Roman" w:cs="Times New Roman"/>
          <w:b/>
          <w:bCs/>
          <w:i/>
          <w:iCs/>
          <w:sz w:val="24"/>
          <w:szCs w:val="24"/>
        </w:rPr>
        <w:t>O</w:t>
      </w:r>
      <w:r w:rsidR="002A0DDD">
        <w:rPr>
          <w:rFonts w:ascii="Times New Roman" w:hAnsi="Times New Roman" w:cs="Times New Roman"/>
          <w:b/>
          <w:bCs/>
          <w:i/>
          <w:iCs/>
          <w:sz w:val="24"/>
          <w:szCs w:val="24"/>
        </w:rPr>
        <w:t xml:space="preserve">nline </w:t>
      </w:r>
      <w:r w:rsidR="00D510D8" w:rsidRPr="00AB6A1B">
        <w:rPr>
          <w:rFonts w:ascii="Times New Roman" w:hAnsi="Times New Roman" w:cs="Times New Roman"/>
          <w:b/>
          <w:bCs/>
          <w:i/>
          <w:iCs/>
          <w:sz w:val="24"/>
          <w:szCs w:val="24"/>
        </w:rPr>
        <w:t>Appendix</w:t>
      </w:r>
      <w:r w:rsidR="002A0DDD">
        <w:rPr>
          <w:rFonts w:ascii="Times New Roman" w:hAnsi="Times New Roman" w:cs="Times New Roman"/>
          <w:b/>
          <w:bCs/>
          <w:i/>
          <w:iCs/>
          <w:sz w:val="24"/>
          <w:szCs w:val="24"/>
        </w:rPr>
        <w:t xml:space="preserve"> </w:t>
      </w:r>
      <w:r w:rsidR="000A5E6F">
        <w:rPr>
          <w:rFonts w:ascii="Times New Roman" w:hAnsi="Times New Roman" w:cs="Times New Roman"/>
          <w:b/>
          <w:bCs/>
          <w:i/>
          <w:iCs/>
          <w:sz w:val="24"/>
          <w:szCs w:val="24"/>
        </w:rPr>
        <w:t>4</w:t>
      </w:r>
      <w:r w:rsidR="002E33F4">
        <w:rPr>
          <w:rFonts w:ascii="Times New Roman" w:hAnsi="Times New Roman" w:cs="Times New Roman"/>
          <w:sz w:val="24"/>
          <w:szCs w:val="24"/>
        </w:rPr>
        <w:t>’</w:t>
      </w:r>
      <w:r w:rsidR="00D510D8">
        <w:rPr>
          <w:rFonts w:ascii="Times New Roman" w:hAnsi="Times New Roman" w:cs="Times New Roman"/>
          <w:sz w:val="24"/>
          <w:szCs w:val="24"/>
        </w:rPr>
        <w:t xml:space="preserve">. </w:t>
      </w:r>
      <w:bookmarkStart w:id="4" w:name="_Hlk110332320"/>
      <w:r w:rsidR="0059586C" w:rsidRPr="0059586C">
        <w:rPr>
          <w:rFonts w:ascii="Times New Roman" w:hAnsi="Times New Roman" w:cs="Times New Roman"/>
          <w:sz w:val="24"/>
          <w:szCs w:val="24"/>
        </w:rPr>
        <w:t xml:space="preserve">In addition, and </w:t>
      </w:r>
      <w:r w:rsidR="0059586C" w:rsidRPr="0059586C">
        <w:rPr>
          <w:rFonts w:ascii="Times New Roman" w:hAnsi="Times New Roman" w:cs="Times New Roman"/>
          <w:sz w:val="24"/>
          <w:szCs w:val="24"/>
        </w:rPr>
        <w:lastRenderedPageBreak/>
        <w:t xml:space="preserve">given that our </w:t>
      </w:r>
      <w:r w:rsidR="00AB6A1B">
        <w:rPr>
          <w:rFonts w:ascii="Times New Roman" w:hAnsi="Times New Roman" w:cs="Times New Roman"/>
          <w:i/>
          <w:iCs/>
          <w:sz w:val="24"/>
          <w:szCs w:val="24"/>
        </w:rPr>
        <w:t>H</w:t>
      </w:r>
      <w:r w:rsidR="00AB6A1B" w:rsidRPr="00AB6A1B">
        <w:rPr>
          <w:rFonts w:ascii="Times New Roman" w:hAnsi="Times New Roman" w:cs="Times New Roman"/>
          <w:i/>
          <w:iCs/>
          <w:sz w:val="24"/>
          <w:szCs w:val="24"/>
        </w:rPr>
        <w:t>E</w:t>
      </w:r>
      <w:r w:rsidR="0059586C" w:rsidRPr="00B51836">
        <w:rPr>
          <w:rFonts w:ascii="Times New Roman" w:hAnsi="Times New Roman" w:cs="Times New Roman"/>
          <w:i/>
          <w:iCs/>
          <w:sz w:val="24"/>
          <w:szCs w:val="24"/>
        </w:rPr>
        <w:t>RDI</w:t>
      </w:r>
      <w:r w:rsidR="0059586C" w:rsidRPr="00AB6A1B">
        <w:rPr>
          <w:rFonts w:ascii="Times New Roman" w:hAnsi="Times New Roman" w:cs="Times New Roman"/>
          <w:sz w:val="24"/>
          <w:szCs w:val="24"/>
        </w:rPr>
        <w:t xml:space="preserve"> mainly consists of three sub-indices (</w:t>
      </w:r>
      <w:r w:rsidR="00AB6A1B" w:rsidRPr="00AB6A1B">
        <w:rPr>
          <w:rFonts w:asciiTheme="majorBidi" w:hAnsiTheme="majorBidi" w:cstheme="majorBidi"/>
          <w:i/>
          <w:iCs/>
          <w:sz w:val="24"/>
          <w:szCs w:val="24"/>
        </w:rPr>
        <w:t xml:space="preserve">HEFRD, HEORD </w:t>
      </w:r>
      <w:r w:rsidR="00AB6A1B" w:rsidRPr="00AB6A1B">
        <w:rPr>
          <w:rFonts w:asciiTheme="majorBidi" w:hAnsiTheme="majorBidi" w:cstheme="majorBidi"/>
          <w:sz w:val="24"/>
          <w:szCs w:val="24"/>
        </w:rPr>
        <w:t>and</w:t>
      </w:r>
      <w:r w:rsidR="00AB6A1B" w:rsidRPr="00AB6A1B">
        <w:rPr>
          <w:rFonts w:asciiTheme="majorBidi" w:hAnsiTheme="majorBidi" w:cstheme="majorBidi"/>
          <w:i/>
          <w:iCs/>
          <w:sz w:val="24"/>
          <w:szCs w:val="24"/>
        </w:rPr>
        <w:t xml:space="preserve"> HESRD</w:t>
      </w:r>
      <w:r w:rsidR="0059586C" w:rsidRPr="00AB6A1B">
        <w:rPr>
          <w:rFonts w:ascii="Times New Roman" w:hAnsi="Times New Roman" w:cs="Times New Roman"/>
          <w:sz w:val="24"/>
          <w:szCs w:val="24"/>
        </w:rPr>
        <w:t>),</w:t>
      </w:r>
      <w:r w:rsidR="0059586C" w:rsidRPr="0059586C">
        <w:rPr>
          <w:rFonts w:ascii="Times New Roman" w:hAnsi="Times New Roman" w:cs="Times New Roman"/>
          <w:sz w:val="24"/>
          <w:szCs w:val="24"/>
        </w:rPr>
        <w:t xml:space="preserve"> we used these three sub-indices as alternative measures </w:t>
      </w:r>
      <w:r w:rsidR="001653E4">
        <w:rPr>
          <w:rFonts w:ascii="Times New Roman" w:hAnsi="Times New Roman" w:cs="Times New Roman"/>
          <w:sz w:val="24"/>
          <w:szCs w:val="24"/>
        </w:rPr>
        <w:t>of</w:t>
      </w:r>
      <w:r w:rsidR="0059586C" w:rsidRPr="0059586C">
        <w:rPr>
          <w:rFonts w:ascii="Times New Roman" w:hAnsi="Times New Roman" w:cs="Times New Roman"/>
          <w:sz w:val="24"/>
          <w:szCs w:val="24"/>
        </w:rPr>
        <w:t xml:space="preserve"> risk disclosures</w:t>
      </w:r>
      <w:r w:rsidR="00140A41">
        <w:rPr>
          <w:rFonts w:ascii="Times New Roman" w:hAnsi="Times New Roman" w:cs="Times New Roman"/>
          <w:sz w:val="24"/>
          <w:szCs w:val="24"/>
        </w:rPr>
        <w:t xml:space="preserve"> in our alternative regression models</w:t>
      </w:r>
      <w:r w:rsidR="0059586C" w:rsidRPr="0059586C">
        <w:rPr>
          <w:rFonts w:ascii="Times New Roman" w:hAnsi="Times New Roman" w:cs="Times New Roman"/>
          <w:sz w:val="24"/>
          <w:szCs w:val="24"/>
        </w:rPr>
        <w:t>.</w:t>
      </w:r>
      <w:bookmarkEnd w:id="4"/>
      <w:r w:rsidR="007E3F5D">
        <w:rPr>
          <w:rFonts w:ascii="Times New Roman" w:hAnsi="Times New Roman" w:cs="Times New Roman"/>
          <w:sz w:val="24"/>
          <w:szCs w:val="24"/>
        </w:rPr>
        <w:t xml:space="preserve"> </w:t>
      </w:r>
    </w:p>
    <w:p w14:paraId="634ADE37" w14:textId="77777777" w:rsidR="002B632B" w:rsidRPr="00356ADA" w:rsidRDefault="002B632B" w:rsidP="004547C0">
      <w:pPr>
        <w:spacing w:after="0" w:line="240" w:lineRule="auto"/>
        <w:jc w:val="both"/>
        <w:rPr>
          <w:rFonts w:ascii="Times New Roman" w:hAnsi="Times New Roman" w:cs="Times New Roman"/>
          <w:sz w:val="24"/>
          <w:szCs w:val="24"/>
        </w:rPr>
      </w:pPr>
    </w:p>
    <w:p w14:paraId="0871892F" w14:textId="2B0AD838" w:rsidR="00B74B52" w:rsidRPr="00356ADA" w:rsidRDefault="00B74B52" w:rsidP="004C5B5D">
      <w:pPr>
        <w:spacing w:line="240" w:lineRule="auto"/>
        <w:jc w:val="center"/>
        <w:rPr>
          <w:rFonts w:ascii="Times New Roman" w:hAnsi="Times New Roman" w:cs="Times New Roman"/>
          <w:i/>
          <w:sz w:val="24"/>
          <w:szCs w:val="24"/>
        </w:rPr>
      </w:pPr>
      <w:r w:rsidRPr="00356ADA">
        <w:rPr>
          <w:rFonts w:ascii="Times New Roman" w:hAnsi="Times New Roman" w:cs="Times New Roman"/>
          <w:i/>
          <w:sz w:val="24"/>
          <w:szCs w:val="24"/>
        </w:rPr>
        <w:t xml:space="preserve">Table 2 </w:t>
      </w:r>
      <w:r w:rsidR="002B632B" w:rsidRPr="00356ADA">
        <w:rPr>
          <w:rFonts w:ascii="Times New Roman" w:hAnsi="Times New Roman" w:cs="Times New Roman"/>
          <w:i/>
          <w:sz w:val="24"/>
          <w:szCs w:val="24"/>
        </w:rPr>
        <w:t xml:space="preserve">around </w:t>
      </w:r>
      <w:r w:rsidRPr="00356ADA">
        <w:rPr>
          <w:rFonts w:ascii="Times New Roman" w:hAnsi="Times New Roman" w:cs="Times New Roman"/>
          <w:i/>
          <w:sz w:val="24"/>
          <w:szCs w:val="24"/>
        </w:rPr>
        <w:t>here</w:t>
      </w:r>
    </w:p>
    <w:p w14:paraId="14F43D62" w14:textId="14C8C86D" w:rsidR="00207EC9" w:rsidRPr="00ED1D54" w:rsidRDefault="00A127C3" w:rsidP="0059586C">
      <w:pPr>
        <w:spacing w:after="0" w:line="240" w:lineRule="auto"/>
        <w:ind w:firstLine="720"/>
        <w:jc w:val="both"/>
        <w:rPr>
          <w:rFonts w:asciiTheme="majorBidi" w:hAnsiTheme="majorBidi" w:cstheme="majorBidi"/>
          <w:sz w:val="24"/>
          <w:szCs w:val="24"/>
        </w:rPr>
      </w:pPr>
      <w:r w:rsidRPr="00356ADA">
        <w:rPr>
          <w:rFonts w:ascii="Times New Roman" w:hAnsi="Times New Roman" w:cs="Times New Roman"/>
          <w:sz w:val="24"/>
          <w:szCs w:val="24"/>
        </w:rPr>
        <w:t>Second</w:t>
      </w:r>
      <w:r w:rsidR="006C33B5" w:rsidRPr="00356ADA">
        <w:rPr>
          <w:rFonts w:ascii="Times New Roman" w:hAnsi="Times New Roman" w:cs="Times New Roman"/>
          <w:sz w:val="24"/>
          <w:szCs w:val="24"/>
        </w:rPr>
        <w:t>,</w:t>
      </w:r>
      <w:r w:rsidRPr="00356ADA">
        <w:rPr>
          <w:rFonts w:ascii="Times New Roman" w:hAnsi="Times New Roman" w:cs="Times New Roman"/>
          <w:sz w:val="24"/>
          <w:szCs w:val="24"/>
        </w:rPr>
        <w:t xml:space="preserve"> the </w:t>
      </w:r>
      <w:r w:rsidR="004378EA" w:rsidRPr="00356ADA">
        <w:rPr>
          <w:rFonts w:ascii="Times New Roman" w:hAnsi="Times New Roman" w:cs="Times New Roman"/>
          <w:sz w:val="24"/>
          <w:szCs w:val="24"/>
        </w:rPr>
        <w:t xml:space="preserve">HEI </w:t>
      </w:r>
      <w:r w:rsidR="000C7A55" w:rsidRPr="00356ADA">
        <w:rPr>
          <w:rFonts w:ascii="Times New Roman" w:hAnsi="Times New Roman" w:cs="Times New Roman"/>
          <w:sz w:val="24"/>
          <w:szCs w:val="24"/>
        </w:rPr>
        <w:t xml:space="preserve">good </w:t>
      </w:r>
      <w:r w:rsidRPr="00356ADA">
        <w:rPr>
          <w:rFonts w:ascii="Times New Roman" w:hAnsi="Times New Roman" w:cs="Times New Roman"/>
          <w:sz w:val="24"/>
          <w:szCs w:val="24"/>
        </w:rPr>
        <w:t xml:space="preserve">governance </w:t>
      </w:r>
      <w:r w:rsidR="000C7A55" w:rsidRPr="00356ADA">
        <w:rPr>
          <w:rFonts w:ascii="Times New Roman" w:hAnsi="Times New Roman" w:cs="Times New Roman"/>
          <w:sz w:val="24"/>
          <w:szCs w:val="24"/>
        </w:rPr>
        <w:t xml:space="preserve">quality </w:t>
      </w:r>
      <w:r w:rsidRPr="00356ADA">
        <w:rPr>
          <w:rFonts w:ascii="Times New Roman" w:hAnsi="Times New Roman" w:cs="Times New Roman"/>
          <w:sz w:val="24"/>
          <w:szCs w:val="24"/>
        </w:rPr>
        <w:t>index (</w:t>
      </w:r>
      <w:r w:rsidR="00AB6A1B">
        <w:rPr>
          <w:rFonts w:ascii="Times New Roman" w:hAnsi="Times New Roman" w:cs="Times New Roman"/>
          <w:i/>
          <w:iCs/>
          <w:sz w:val="24"/>
          <w:szCs w:val="24"/>
        </w:rPr>
        <w:t>HE</w:t>
      </w:r>
      <w:r w:rsidRPr="00AB6A1B">
        <w:rPr>
          <w:rFonts w:ascii="Times New Roman" w:hAnsi="Times New Roman" w:cs="Times New Roman"/>
          <w:i/>
          <w:sz w:val="24"/>
          <w:szCs w:val="24"/>
        </w:rPr>
        <w:t>GQI</w:t>
      </w:r>
      <w:r w:rsidRPr="00AB6A1B">
        <w:rPr>
          <w:rFonts w:ascii="Times New Roman" w:hAnsi="Times New Roman" w:cs="Times New Roman"/>
          <w:sz w:val="24"/>
          <w:szCs w:val="24"/>
        </w:rPr>
        <w:t>)</w:t>
      </w:r>
      <w:r w:rsidRPr="00356ADA">
        <w:rPr>
          <w:rFonts w:ascii="Times New Roman" w:hAnsi="Times New Roman" w:cs="Times New Roman"/>
          <w:sz w:val="24"/>
          <w:szCs w:val="24"/>
        </w:rPr>
        <w:t xml:space="preserve"> is our main independent variable. </w:t>
      </w:r>
      <w:r w:rsidR="00207EC9">
        <w:rPr>
          <w:rFonts w:ascii="Times New Roman" w:hAnsi="Times New Roman" w:cs="Times New Roman"/>
          <w:sz w:val="24"/>
          <w:szCs w:val="24"/>
        </w:rPr>
        <w:t>W</w:t>
      </w:r>
      <w:r w:rsidR="00C81ED4" w:rsidRPr="00356ADA">
        <w:rPr>
          <w:rFonts w:asciiTheme="majorBidi" w:hAnsiTheme="majorBidi" w:cstheme="majorBidi"/>
          <w:sz w:val="24"/>
          <w:szCs w:val="24"/>
        </w:rPr>
        <w:t xml:space="preserve">e relied </w:t>
      </w:r>
      <w:r w:rsidR="003F73C2">
        <w:rPr>
          <w:rFonts w:asciiTheme="majorBidi" w:hAnsiTheme="majorBidi" w:cstheme="majorBidi"/>
          <w:sz w:val="24"/>
          <w:szCs w:val="24"/>
        </w:rPr>
        <w:t xml:space="preserve">on the following documents: </w:t>
      </w:r>
      <w:r w:rsidR="003F73C2" w:rsidRPr="003F73C2">
        <w:rPr>
          <w:rFonts w:asciiTheme="majorBidi" w:hAnsiTheme="majorBidi" w:cstheme="majorBidi"/>
          <w:sz w:val="24"/>
          <w:szCs w:val="24"/>
        </w:rPr>
        <w:t>(i) 2009, 2013</w:t>
      </w:r>
      <w:r w:rsidR="002A0DDD">
        <w:rPr>
          <w:rFonts w:asciiTheme="majorBidi" w:hAnsiTheme="majorBidi" w:cstheme="majorBidi"/>
          <w:sz w:val="24"/>
          <w:szCs w:val="24"/>
        </w:rPr>
        <w:t xml:space="preserve"> and</w:t>
      </w:r>
      <w:r w:rsidR="003F73C2" w:rsidRPr="003F73C2">
        <w:rPr>
          <w:rFonts w:asciiTheme="majorBidi" w:hAnsiTheme="majorBidi" w:cstheme="majorBidi"/>
          <w:sz w:val="24"/>
          <w:szCs w:val="24"/>
        </w:rPr>
        <w:t xml:space="preserve"> 2014</w:t>
      </w:r>
      <w:r w:rsidR="000944AD">
        <w:rPr>
          <w:rFonts w:asciiTheme="majorBidi" w:hAnsiTheme="majorBidi" w:cstheme="majorBidi"/>
          <w:sz w:val="24"/>
          <w:szCs w:val="24"/>
        </w:rPr>
        <w:t xml:space="preserve"> </w:t>
      </w:r>
      <w:r w:rsidR="003F73C2" w:rsidRPr="003F73C2">
        <w:rPr>
          <w:rFonts w:asciiTheme="majorBidi" w:hAnsiTheme="majorBidi" w:cstheme="majorBidi"/>
          <w:sz w:val="24"/>
          <w:szCs w:val="24"/>
        </w:rPr>
        <w:t>governance codes/guidelines published by CUC; (ii) 2013 governance code published by CSC; and (iii) 2008 audit committee guideline published by CUC</w:t>
      </w:r>
      <w:r w:rsidR="003F73C2">
        <w:rPr>
          <w:rFonts w:asciiTheme="majorBidi" w:hAnsiTheme="majorBidi" w:cstheme="majorBidi"/>
          <w:sz w:val="24"/>
          <w:szCs w:val="24"/>
        </w:rPr>
        <w:t xml:space="preserve"> to develop our </w:t>
      </w:r>
      <w:r w:rsidR="00AB6A1B">
        <w:rPr>
          <w:rFonts w:asciiTheme="majorBidi" w:hAnsiTheme="majorBidi" w:cstheme="majorBidi"/>
          <w:i/>
          <w:iCs/>
          <w:sz w:val="24"/>
          <w:szCs w:val="24"/>
        </w:rPr>
        <w:t>HE</w:t>
      </w:r>
      <w:r w:rsidR="003F73C2" w:rsidRPr="00AB6A1B">
        <w:rPr>
          <w:rFonts w:asciiTheme="majorBidi" w:hAnsiTheme="majorBidi" w:cstheme="majorBidi"/>
          <w:i/>
          <w:iCs/>
          <w:sz w:val="24"/>
          <w:szCs w:val="24"/>
        </w:rPr>
        <w:t>GQI</w:t>
      </w:r>
      <w:r w:rsidR="003F73C2">
        <w:rPr>
          <w:rFonts w:asciiTheme="majorBidi" w:hAnsiTheme="majorBidi" w:cstheme="majorBidi"/>
          <w:sz w:val="24"/>
          <w:szCs w:val="24"/>
        </w:rPr>
        <w:t xml:space="preserve">. </w:t>
      </w:r>
      <w:r w:rsidR="00E0009B">
        <w:rPr>
          <w:rFonts w:asciiTheme="majorBidi" w:hAnsiTheme="majorBidi" w:cstheme="majorBidi"/>
          <w:sz w:val="24"/>
          <w:szCs w:val="24"/>
        </w:rPr>
        <w:t xml:space="preserve">Consequently, and drawing from these </w:t>
      </w:r>
      <w:r w:rsidR="00E0009B" w:rsidRPr="00E0009B">
        <w:rPr>
          <w:rFonts w:asciiTheme="majorBidi" w:hAnsiTheme="majorBidi" w:cstheme="majorBidi"/>
          <w:sz w:val="24"/>
          <w:szCs w:val="24"/>
        </w:rPr>
        <w:t xml:space="preserve">best </w:t>
      </w:r>
      <w:r w:rsidR="00E0009B">
        <w:rPr>
          <w:rFonts w:asciiTheme="majorBidi" w:hAnsiTheme="majorBidi" w:cstheme="majorBidi"/>
          <w:sz w:val="24"/>
          <w:szCs w:val="24"/>
        </w:rPr>
        <w:t xml:space="preserve">governance </w:t>
      </w:r>
      <w:r w:rsidR="00E0009B" w:rsidRPr="00E0009B">
        <w:rPr>
          <w:rFonts w:asciiTheme="majorBidi" w:hAnsiTheme="majorBidi" w:cstheme="majorBidi"/>
          <w:sz w:val="24"/>
          <w:szCs w:val="24"/>
        </w:rPr>
        <w:t>practice documents, we identified 1</w:t>
      </w:r>
      <w:r w:rsidR="00E0009B">
        <w:rPr>
          <w:rFonts w:asciiTheme="majorBidi" w:hAnsiTheme="majorBidi" w:cstheme="majorBidi"/>
          <w:sz w:val="24"/>
          <w:szCs w:val="24"/>
        </w:rPr>
        <w:t>00</w:t>
      </w:r>
      <w:r w:rsidR="00E0009B" w:rsidRPr="00E0009B">
        <w:rPr>
          <w:rFonts w:asciiTheme="majorBidi" w:hAnsiTheme="majorBidi" w:cstheme="majorBidi"/>
          <w:sz w:val="24"/>
          <w:szCs w:val="24"/>
        </w:rPr>
        <w:t xml:space="preserve"> </w:t>
      </w:r>
      <w:r w:rsidR="00C81ED4" w:rsidRPr="00356ADA">
        <w:rPr>
          <w:rFonts w:asciiTheme="majorBidi" w:hAnsiTheme="majorBidi" w:cstheme="majorBidi"/>
          <w:sz w:val="24"/>
          <w:szCs w:val="24"/>
        </w:rPr>
        <w:t xml:space="preserve">individual items covering the following five areas: 7 items on </w:t>
      </w:r>
      <w:r w:rsidR="0043120A">
        <w:rPr>
          <w:rFonts w:asciiTheme="majorBidi" w:hAnsiTheme="majorBidi" w:cstheme="majorBidi"/>
          <w:bCs/>
          <w:sz w:val="24"/>
          <w:szCs w:val="24"/>
        </w:rPr>
        <w:t>s</w:t>
      </w:r>
      <w:r w:rsidR="00797BD0">
        <w:rPr>
          <w:rFonts w:asciiTheme="majorBidi" w:hAnsiTheme="majorBidi" w:cstheme="majorBidi"/>
          <w:bCs/>
          <w:sz w:val="24"/>
          <w:szCs w:val="24"/>
        </w:rPr>
        <w:t>ocial</w:t>
      </w:r>
      <w:r w:rsidR="0043120A">
        <w:rPr>
          <w:rFonts w:asciiTheme="majorBidi" w:hAnsiTheme="majorBidi" w:cstheme="majorBidi"/>
          <w:bCs/>
          <w:sz w:val="24"/>
          <w:szCs w:val="24"/>
        </w:rPr>
        <w:t>, e</w:t>
      </w:r>
      <w:r w:rsidR="00797BD0">
        <w:rPr>
          <w:rFonts w:asciiTheme="majorBidi" w:hAnsiTheme="majorBidi" w:cstheme="majorBidi"/>
          <w:bCs/>
          <w:sz w:val="24"/>
          <w:szCs w:val="24"/>
        </w:rPr>
        <w:t xml:space="preserve">nvironmental </w:t>
      </w:r>
      <w:r w:rsidR="0043120A">
        <w:rPr>
          <w:rFonts w:asciiTheme="majorBidi" w:hAnsiTheme="majorBidi" w:cstheme="majorBidi"/>
          <w:bCs/>
          <w:sz w:val="24"/>
          <w:szCs w:val="24"/>
        </w:rPr>
        <w:t>r</w:t>
      </w:r>
      <w:r w:rsidR="00797BD0">
        <w:rPr>
          <w:rFonts w:asciiTheme="majorBidi" w:hAnsiTheme="majorBidi" w:cstheme="majorBidi"/>
          <w:bCs/>
          <w:sz w:val="24"/>
          <w:szCs w:val="24"/>
        </w:rPr>
        <w:t>esponsibility</w:t>
      </w:r>
      <w:r w:rsidR="00305242" w:rsidRPr="00305242">
        <w:rPr>
          <w:rFonts w:asciiTheme="majorBidi" w:hAnsiTheme="majorBidi" w:cstheme="majorBidi"/>
          <w:bCs/>
          <w:sz w:val="24"/>
          <w:szCs w:val="24"/>
        </w:rPr>
        <w:t xml:space="preserve"> and stakeholders’ engagement </w:t>
      </w:r>
      <w:r w:rsidR="00AD72CC" w:rsidRPr="00356ADA">
        <w:rPr>
          <w:rFonts w:asciiTheme="majorBidi" w:hAnsiTheme="majorBidi" w:cstheme="majorBidi"/>
          <w:sz w:val="24"/>
          <w:szCs w:val="24"/>
        </w:rPr>
        <w:t xml:space="preserve">– </w:t>
      </w:r>
      <w:r w:rsidR="00305242" w:rsidRPr="00AB6A1B">
        <w:rPr>
          <w:rFonts w:asciiTheme="majorBidi" w:hAnsiTheme="majorBidi" w:cstheme="majorBidi"/>
          <w:i/>
          <w:iCs/>
          <w:sz w:val="24"/>
          <w:szCs w:val="24"/>
        </w:rPr>
        <w:t>SERSE</w:t>
      </w:r>
      <w:r w:rsidR="00C81ED4" w:rsidRPr="00356ADA">
        <w:rPr>
          <w:rFonts w:asciiTheme="majorBidi" w:hAnsiTheme="majorBidi" w:cstheme="majorBidi"/>
          <w:sz w:val="24"/>
          <w:szCs w:val="24"/>
        </w:rPr>
        <w:t xml:space="preserve">; (iii) 20 items on </w:t>
      </w:r>
      <w:r w:rsidR="00BB1961" w:rsidRPr="00BB1961">
        <w:rPr>
          <w:rFonts w:asciiTheme="majorBidi" w:hAnsiTheme="majorBidi" w:cstheme="majorBidi"/>
          <w:sz w:val="24"/>
          <w:szCs w:val="24"/>
        </w:rPr>
        <w:t xml:space="preserve">accounting, auditing and accountability </w:t>
      </w:r>
      <w:r w:rsidR="00AD72CC" w:rsidRPr="00356ADA">
        <w:rPr>
          <w:rFonts w:asciiTheme="majorBidi" w:hAnsiTheme="majorBidi" w:cstheme="majorBidi"/>
          <w:sz w:val="24"/>
          <w:szCs w:val="24"/>
        </w:rPr>
        <w:t xml:space="preserve">– </w:t>
      </w:r>
      <w:r w:rsidR="00AD72CC" w:rsidRPr="00AB6A1B">
        <w:rPr>
          <w:rFonts w:asciiTheme="majorBidi" w:hAnsiTheme="majorBidi" w:cstheme="majorBidi"/>
          <w:i/>
          <w:iCs/>
          <w:sz w:val="24"/>
          <w:szCs w:val="24"/>
        </w:rPr>
        <w:t>A</w:t>
      </w:r>
      <w:r w:rsidR="00AB6A1B" w:rsidRPr="00B51836">
        <w:rPr>
          <w:rFonts w:asciiTheme="majorBidi" w:hAnsiTheme="majorBidi" w:cstheme="majorBidi"/>
          <w:i/>
          <w:iCs/>
          <w:sz w:val="24"/>
          <w:szCs w:val="24"/>
        </w:rPr>
        <w:t>AA</w:t>
      </w:r>
      <w:r w:rsidR="00AD72CC" w:rsidRPr="00AB6A1B">
        <w:rPr>
          <w:rFonts w:asciiTheme="majorBidi" w:hAnsiTheme="majorBidi" w:cstheme="majorBidi"/>
          <w:i/>
          <w:iCs/>
          <w:sz w:val="24"/>
          <w:szCs w:val="24"/>
        </w:rPr>
        <w:t>C</w:t>
      </w:r>
      <w:r w:rsidR="00C81ED4" w:rsidRPr="00AB6A1B">
        <w:rPr>
          <w:rFonts w:asciiTheme="majorBidi" w:hAnsiTheme="majorBidi" w:cstheme="majorBidi"/>
          <w:sz w:val="24"/>
          <w:szCs w:val="24"/>
        </w:rPr>
        <w:t>;</w:t>
      </w:r>
      <w:r w:rsidR="00C81ED4" w:rsidRPr="00356ADA">
        <w:rPr>
          <w:rFonts w:asciiTheme="majorBidi" w:hAnsiTheme="majorBidi" w:cstheme="majorBidi"/>
          <w:sz w:val="24"/>
          <w:szCs w:val="24"/>
        </w:rPr>
        <w:t xml:space="preserve"> (iii) 22 items on</w:t>
      </w:r>
      <w:r w:rsidR="00BB1961">
        <w:rPr>
          <w:rFonts w:asciiTheme="majorBidi" w:hAnsiTheme="majorBidi" w:cstheme="majorBidi"/>
          <w:sz w:val="24"/>
          <w:szCs w:val="24"/>
        </w:rPr>
        <w:t xml:space="preserve"> performance evaluation, </w:t>
      </w:r>
      <w:r w:rsidR="00C81ED4" w:rsidRPr="00356ADA">
        <w:rPr>
          <w:rFonts w:asciiTheme="majorBidi" w:hAnsiTheme="majorBidi" w:cstheme="majorBidi"/>
          <w:sz w:val="24"/>
          <w:szCs w:val="24"/>
        </w:rPr>
        <w:t>rewards</w:t>
      </w:r>
      <w:r w:rsidR="00BB1961">
        <w:rPr>
          <w:rFonts w:asciiTheme="majorBidi" w:hAnsiTheme="majorBidi" w:cstheme="majorBidi"/>
          <w:sz w:val="24"/>
          <w:szCs w:val="24"/>
        </w:rPr>
        <w:t xml:space="preserve"> and</w:t>
      </w:r>
      <w:r w:rsidR="00C81ED4" w:rsidRPr="00356ADA">
        <w:rPr>
          <w:rFonts w:asciiTheme="majorBidi" w:hAnsiTheme="majorBidi" w:cstheme="majorBidi"/>
          <w:sz w:val="24"/>
          <w:szCs w:val="24"/>
        </w:rPr>
        <w:t xml:space="preserve"> pay</w:t>
      </w:r>
      <w:r w:rsidR="00BB1961">
        <w:rPr>
          <w:rFonts w:asciiTheme="majorBidi" w:hAnsiTheme="majorBidi" w:cstheme="majorBidi"/>
          <w:sz w:val="24"/>
          <w:szCs w:val="24"/>
        </w:rPr>
        <w:t xml:space="preserve"> </w:t>
      </w:r>
      <w:r w:rsidR="00AD72CC" w:rsidRPr="00356ADA">
        <w:rPr>
          <w:rFonts w:asciiTheme="majorBidi" w:hAnsiTheme="majorBidi" w:cstheme="majorBidi"/>
          <w:sz w:val="24"/>
          <w:szCs w:val="24"/>
        </w:rPr>
        <w:t xml:space="preserve">– </w:t>
      </w:r>
      <w:r w:rsidR="00BB1961" w:rsidRPr="00AB6A1B">
        <w:rPr>
          <w:rFonts w:asciiTheme="majorBidi" w:hAnsiTheme="majorBidi" w:cstheme="majorBidi"/>
          <w:i/>
          <w:iCs/>
          <w:sz w:val="24"/>
          <w:szCs w:val="24"/>
        </w:rPr>
        <w:t>PERP</w:t>
      </w:r>
      <w:r w:rsidR="00C81ED4" w:rsidRPr="00AB6A1B">
        <w:rPr>
          <w:rFonts w:asciiTheme="majorBidi" w:hAnsiTheme="majorBidi" w:cstheme="majorBidi"/>
          <w:sz w:val="24"/>
          <w:szCs w:val="24"/>
        </w:rPr>
        <w:t>;</w:t>
      </w:r>
      <w:r w:rsidR="00C81ED4" w:rsidRPr="00356ADA">
        <w:rPr>
          <w:rFonts w:asciiTheme="majorBidi" w:hAnsiTheme="majorBidi" w:cstheme="majorBidi"/>
          <w:sz w:val="24"/>
          <w:szCs w:val="24"/>
        </w:rPr>
        <w:t xml:space="preserve"> (iv) 24 items on procedures</w:t>
      </w:r>
      <w:r w:rsidR="00126518">
        <w:rPr>
          <w:rFonts w:asciiTheme="majorBidi" w:hAnsiTheme="majorBidi" w:cstheme="majorBidi"/>
          <w:sz w:val="24"/>
          <w:szCs w:val="24"/>
        </w:rPr>
        <w:t>/structures</w:t>
      </w:r>
      <w:r w:rsidR="00AD72CC" w:rsidRPr="00356ADA">
        <w:rPr>
          <w:rFonts w:asciiTheme="majorBidi" w:hAnsiTheme="majorBidi" w:cstheme="majorBidi"/>
          <w:sz w:val="24"/>
          <w:szCs w:val="24"/>
        </w:rPr>
        <w:t xml:space="preserve"> </w:t>
      </w:r>
      <w:r w:rsidR="00AD72CC" w:rsidRPr="00AB6A1B">
        <w:rPr>
          <w:rFonts w:asciiTheme="majorBidi" w:hAnsiTheme="majorBidi" w:cstheme="majorBidi"/>
          <w:sz w:val="24"/>
          <w:szCs w:val="24"/>
        </w:rPr>
        <w:t xml:space="preserve">– </w:t>
      </w:r>
      <w:r w:rsidR="00126518" w:rsidRPr="00AB6A1B">
        <w:rPr>
          <w:rFonts w:asciiTheme="majorBidi" w:hAnsiTheme="majorBidi" w:cstheme="majorBidi"/>
          <w:i/>
          <w:iCs/>
          <w:sz w:val="24"/>
          <w:szCs w:val="24"/>
        </w:rPr>
        <w:t>PR</w:t>
      </w:r>
      <w:r w:rsidR="00AB6A1B" w:rsidRPr="00B51836">
        <w:rPr>
          <w:rFonts w:asciiTheme="majorBidi" w:hAnsiTheme="majorBidi" w:cstheme="majorBidi"/>
          <w:i/>
          <w:iCs/>
          <w:sz w:val="24"/>
          <w:szCs w:val="24"/>
        </w:rPr>
        <w:t>O</w:t>
      </w:r>
      <w:r w:rsidR="00126518" w:rsidRPr="00AB6A1B">
        <w:rPr>
          <w:rFonts w:asciiTheme="majorBidi" w:hAnsiTheme="majorBidi" w:cstheme="majorBidi"/>
          <w:i/>
          <w:iCs/>
          <w:sz w:val="24"/>
          <w:szCs w:val="24"/>
        </w:rPr>
        <w:t>S</w:t>
      </w:r>
      <w:r w:rsidR="00C81ED4" w:rsidRPr="00356ADA">
        <w:rPr>
          <w:rFonts w:asciiTheme="majorBidi" w:hAnsiTheme="majorBidi" w:cstheme="majorBidi"/>
          <w:sz w:val="24"/>
          <w:szCs w:val="24"/>
        </w:rPr>
        <w:t>; a</w:t>
      </w:r>
      <w:r w:rsidR="00AD72CC" w:rsidRPr="00356ADA">
        <w:rPr>
          <w:rFonts w:asciiTheme="majorBidi" w:hAnsiTheme="majorBidi" w:cstheme="majorBidi"/>
          <w:sz w:val="24"/>
          <w:szCs w:val="24"/>
        </w:rPr>
        <w:t>n</w:t>
      </w:r>
      <w:r w:rsidR="00C81ED4" w:rsidRPr="00356ADA">
        <w:rPr>
          <w:rFonts w:asciiTheme="majorBidi" w:hAnsiTheme="majorBidi" w:cstheme="majorBidi"/>
          <w:sz w:val="24"/>
          <w:szCs w:val="24"/>
        </w:rPr>
        <w:t xml:space="preserve">d (v) 27 items on </w:t>
      </w:r>
      <w:r w:rsidR="00126518">
        <w:rPr>
          <w:rFonts w:asciiTheme="majorBidi" w:hAnsiTheme="majorBidi" w:cstheme="majorBidi"/>
          <w:sz w:val="24"/>
          <w:szCs w:val="24"/>
        </w:rPr>
        <w:t>governing board</w:t>
      </w:r>
      <w:r w:rsidR="00AD72CC" w:rsidRPr="00356ADA">
        <w:rPr>
          <w:rFonts w:asciiTheme="majorBidi" w:hAnsiTheme="majorBidi" w:cstheme="majorBidi"/>
          <w:sz w:val="24"/>
          <w:szCs w:val="24"/>
        </w:rPr>
        <w:t xml:space="preserve"> – </w:t>
      </w:r>
      <w:r w:rsidR="00126518" w:rsidRPr="00AB6A1B">
        <w:rPr>
          <w:rFonts w:asciiTheme="majorBidi" w:hAnsiTheme="majorBidi" w:cstheme="majorBidi"/>
          <w:i/>
          <w:iCs/>
          <w:sz w:val="24"/>
          <w:szCs w:val="24"/>
        </w:rPr>
        <w:t>GOVB</w:t>
      </w:r>
      <w:r w:rsidR="00C81ED4" w:rsidRPr="00AB6A1B">
        <w:rPr>
          <w:rFonts w:asciiTheme="majorBidi" w:hAnsiTheme="majorBidi" w:cstheme="majorBidi"/>
          <w:sz w:val="24"/>
          <w:szCs w:val="24"/>
        </w:rPr>
        <w:t>.</w:t>
      </w:r>
      <w:r w:rsidR="00D01FB7" w:rsidRPr="00356ADA">
        <w:rPr>
          <w:rFonts w:asciiTheme="majorBidi" w:hAnsiTheme="majorBidi" w:cstheme="majorBidi"/>
          <w:sz w:val="24"/>
          <w:szCs w:val="24"/>
        </w:rPr>
        <w:t xml:space="preserve"> Items contained in the </w:t>
      </w:r>
      <w:r w:rsidR="00AB6A1B">
        <w:rPr>
          <w:rFonts w:asciiTheme="majorBidi" w:hAnsiTheme="majorBidi" w:cstheme="majorBidi"/>
          <w:i/>
          <w:iCs/>
          <w:sz w:val="24"/>
          <w:szCs w:val="24"/>
        </w:rPr>
        <w:t>HE</w:t>
      </w:r>
      <w:r w:rsidR="00D01FB7" w:rsidRPr="00AB6A1B">
        <w:rPr>
          <w:rFonts w:asciiTheme="majorBidi" w:hAnsiTheme="majorBidi" w:cstheme="majorBidi"/>
          <w:i/>
          <w:iCs/>
          <w:sz w:val="24"/>
          <w:szCs w:val="24"/>
        </w:rPr>
        <w:t>GQI</w:t>
      </w:r>
      <w:r w:rsidR="00D01FB7" w:rsidRPr="00356ADA">
        <w:rPr>
          <w:rFonts w:asciiTheme="majorBidi" w:hAnsiTheme="majorBidi" w:cstheme="majorBidi"/>
          <w:i/>
          <w:iCs/>
          <w:sz w:val="24"/>
          <w:szCs w:val="24"/>
        </w:rPr>
        <w:t xml:space="preserve"> </w:t>
      </w:r>
      <w:r w:rsidR="00D01FB7" w:rsidRPr="00356ADA">
        <w:rPr>
          <w:rFonts w:asciiTheme="majorBidi" w:hAnsiTheme="majorBidi" w:cstheme="majorBidi"/>
          <w:sz w:val="24"/>
          <w:szCs w:val="24"/>
        </w:rPr>
        <w:t xml:space="preserve">were scored by employing the widely used binary/dichotomous scoring method (‘1’ </w:t>
      </w:r>
      <w:r w:rsidR="00D01FB7" w:rsidRPr="00B51836">
        <w:rPr>
          <w:rFonts w:asciiTheme="majorBidi" w:hAnsiTheme="majorBidi" w:cstheme="majorBidi"/>
          <w:sz w:val="24"/>
          <w:szCs w:val="24"/>
        </w:rPr>
        <w:t xml:space="preserve">is awarded for disclosed governance provisions, ‘0’ otherwise). Using this scoring method, the </w:t>
      </w:r>
      <w:r w:rsidR="00B51836" w:rsidRPr="00B51836">
        <w:rPr>
          <w:rFonts w:asciiTheme="majorBidi" w:hAnsiTheme="majorBidi" w:cstheme="majorBidi"/>
          <w:i/>
          <w:iCs/>
          <w:sz w:val="24"/>
          <w:szCs w:val="24"/>
        </w:rPr>
        <w:t>HE</w:t>
      </w:r>
      <w:r w:rsidR="00D01FB7" w:rsidRPr="00B51836">
        <w:rPr>
          <w:rFonts w:asciiTheme="majorBidi" w:hAnsiTheme="majorBidi" w:cstheme="majorBidi"/>
          <w:i/>
          <w:iCs/>
          <w:sz w:val="24"/>
          <w:szCs w:val="24"/>
        </w:rPr>
        <w:t xml:space="preserve">GQI </w:t>
      </w:r>
      <w:r w:rsidR="00D01FB7" w:rsidRPr="00B51836">
        <w:rPr>
          <w:rFonts w:asciiTheme="majorBidi" w:hAnsiTheme="majorBidi" w:cstheme="majorBidi"/>
          <w:sz w:val="24"/>
          <w:szCs w:val="24"/>
        </w:rPr>
        <w:t>score can range from 0% (</w:t>
      </w:r>
      <w:r w:rsidR="00000CBD" w:rsidRPr="00B51836">
        <w:rPr>
          <w:rFonts w:asciiTheme="majorBidi" w:hAnsiTheme="majorBidi" w:cstheme="majorBidi"/>
          <w:sz w:val="24"/>
          <w:szCs w:val="24"/>
        </w:rPr>
        <w:t xml:space="preserve">0/100 points x 100%, indicating poor governance quality) </w:t>
      </w:r>
      <w:r w:rsidR="0035132D" w:rsidRPr="00B51836">
        <w:rPr>
          <w:rFonts w:asciiTheme="majorBidi" w:hAnsiTheme="majorBidi" w:cstheme="majorBidi"/>
          <w:sz w:val="24"/>
          <w:szCs w:val="24"/>
        </w:rPr>
        <w:t>to</w:t>
      </w:r>
      <w:r w:rsidR="00000CBD" w:rsidRPr="00B51836">
        <w:rPr>
          <w:rFonts w:asciiTheme="majorBidi" w:hAnsiTheme="majorBidi" w:cstheme="majorBidi"/>
          <w:sz w:val="24"/>
          <w:szCs w:val="24"/>
        </w:rPr>
        <w:t xml:space="preserve"> 100% (100 points/100 points x 100%, indicating strong governance quality). We also followed the same procedures for </w:t>
      </w:r>
      <w:r w:rsidR="00B51836" w:rsidRPr="00B51836">
        <w:rPr>
          <w:rFonts w:asciiTheme="majorBidi" w:hAnsiTheme="majorBidi" w:cstheme="majorBidi"/>
          <w:i/>
          <w:iCs/>
          <w:sz w:val="24"/>
          <w:szCs w:val="24"/>
        </w:rPr>
        <w:t>HE</w:t>
      </w:r>
      <w:r w:rsidR="00000CBD" w:rsidRPr="00B51836">
        <w:rPr>
          <w:rFonts w:asciiTheme="majorBidi" w:hAnsiTheme="majorBidi" w:cstheme="majorBidi"/>
          <w:i/>
          <w:iCs/>
          <w:sz w:val="24"/>
          <w:szCs w:val="24"/>
        </w:rPr>
        <w:t>RDI</w:t>
      </w:r>
      <w:r w:rsidR="00000CBD" w:rsidRPr="00B51836">
        <w:rPr>
          <w:rFonts w:asciiTheme="majorBidi" w:hAnsiTheme="majorBidi" w:cstheme="majorBidi"/>
          <w:sz w:val="24"/>
          <w:szCs w:val="24"/>
        </w:rPr>
        <w:t xml:space="preserve">, to ensure that our </w:t>
      </w:r>
      <w:r w:rsidR="00B51836" w:rsidRPr="00B51836">
        <w:rPr>
          <w:rFonts w:asciiTheme="majorBidi" w:hAnsiTheme="majorBidi" w:cstheme="majorBidi"/>
          <w:i/>
          <w:iCs/>
          <w:sz w:val="24"/>
          <w:szCs w:val="24"/>
        </w:rPr>
        <w:t>HE</w:t>
      </w:r>
      <w:r w:rsidR="00000CBD" w:rsidRPr="00B51836">
        <w:rPr>
          <w:rFonts w:asciiTheme="majorBidi" w:hAnsiTheme="majorBidi" w:cstheme="majorBidi"/>
          <w:i/>
          <w:iCs/>
          <w:sz w:val="24"/>
          <w:szCs w:val="24"/>
        </w:rPr>
        <w:t xml:space="preserve">GQI </w:t>
      </w:r>
      <w:r w:rsidR="00000CBD" w:rsidRPr="00B51836">
        <w:rPr>
          <w:rFonts w:asciiTheme="majorBidi" w:hAnsiTheme="majorBidi" w:cstheme="majorBidi"/>
          <w:sz w:val="24"/>
          <w:szCs w:val="24"/>
        </w:rPr>
        <w:t xml:space="preserve">is reliable and valid measure for governance quality. </w:t>
      </w:r>
      <w:r w:rsidR="005E0980" w:rsidRPr="00B51836">
        <w:rPr>
          <w:rFonts w:asciiTheme="majorBidi" w:hAnsiTheme="majorBidi" w:cstheme="majorBidi"/>
          <w:sz w:val="24"/>
          <w:szCs w:val="24"/>
        </w:rPr>
        <w:t xml:space="preserve">The </w:t>
      </w:r>
      <w:r w:rsidR="002E33F4" w:rsidRPr="00B51836">
        <w:rPr>
          <w:rFonts w:asciiTheme="majorBidi" w:hAnsiTheme="majorBidi" w:cstheme="majorBidi"/>
          <w:sz w:val="24"/>
          <w:szCs w:val="24"/>
        </w:rPr>
        <w:t xml:space="preserve">full </w:t>
      </w:r>
      <w:r w:rsidR="005E0980" w:rsidRPr="00B51836">
        <w:rPr>
          <w:rFonts w:asciiTheme="majorBidi" w:hAnsiTheme="majorBidi" w:cstheme="majorBidi"/>
          <w:sz w:val="24"/>
          <w:szCs w:val="24"/>
        </w:rPr>
        <w:t xml:space="preserve">100 individual items that form the </w:t>
      </w:r>
      <w:r w:rsidR="004D3C0D" w:rsidRPr="009A6321">
        <w:rPr>
          <w:rFonts w:asciiTheme="majorBidi" w:hAnsiTheme="majorBidi" w:cstheme="majorBidi"/>
          <w:i/>
          <w:iCs/>
          <w:sz w:val="24"/>
          <w:szCs w:val="24"/>
        </w:rPr>
        <w:t>HE</w:t>
      </w:r>
      <w:r w:rsidR="005E0980" w:rsidRPr="009A6321">
        <w:rPr>
          <w:rFonts w:asciiTheme="majorBidi" w:hAnsiTheme="majorBidi" w:cstheme="majorBidi"/>
          <w:i/>
          <w:iCs/>
          <w:sz w:val="24"/>
          <w:szCs w:val="24"/>
        </w:rPr>
        <w:t xml:space="preserve">GQI </w:t>
      </w:r>
      <w:r w:rsidR="005E0980" w:rsidRPr="00B51836">
        <w:rPr>
          <w:rFonts w:asciiTheme="majorBidi" w:hAnsiTheme="majorBidi" w:cstheme="majorBidi"/>
          <w:sz w:val="24"/>
          <w:szCs w:val="24"/>
        </w:rPr>
        <w:t xml:space="preserve">are presented in </w:t>
      </w:r>
      <w:r w:rsidR="002A0DDD" w:rsidRPr="00B51836">
        <w:rPr>
          <w:rFonts w:asciiTheme="majorBidi" w:hAnsiTheme="majorBidi" w:cstheme="majorBidi"/>
          <w:sz w:val="24"/>
          <w:szCs w:val="24"/>
        </w:rPr>
        <w:t xml:space="preserve">the </w:t>
      </w:r>
      <w:r w:rsidR="002E33F4" w:rsidRPr="00B51836">
        <w:rPr>
          <w:rFonts w:asciiTheme="majorBidi" w:hAnsiTheme="majorBidi" w:cstheme="majorBidi"/>
          <w:sz w:val="24"/>
          <w:szCs w:val="24"/>
        </w:rPr>
        <w:t>‘</w:t>
      </w:r>
      <w:r w:rsidR="00051BB3">
        <w:rPr>
          <w:rFonts w:asciiTheme="majorBidi" w:hAnsiTheme="majorBidi" w:cstheme="majorBidi"/>
          <w:b/>
          <w:bCs/>
          <w:i/>
          <w:iCs/>
          <w:sz w:val="24"/>
          <w:szCs w:val="24"/>
        </w:rPr>
        <w:t>O</w:t>
      </w:r>
      <w:r w:rsidR="002A0DDD" w:rsidRPr="00B51836">
        <w:rPr>
          <w:rFonts w:asciiTheme="majorBidi" w:hAnsiTheme="majorBidi" w:cstheme="majorBidi"/>
          <w:b/>
          <w:bCs/>
          <w:i/>
          <w:iCs/>
          <w:sz w:val="24"/>
          <w:szCs w:val="24"/>
        </w:rPr>
        <w:t xml:space="preserve">nline </w:t>
      </w:r>
      <w:r w:rsidR="005E0980" w:rsidRPr="00B51836">
        <w:rPr>
          <w:rFonts w:asciiTheme="majorBidi" w:hAnsiTheme="majorBidi" w:cstheme="majorBidi"/>
          <w:b/>
          <w:bCs/>
          <w:i/>
          <w:iCs/>
          <w:sz w:val="24"/>
          <w:szCs w:val="24"/>
        </w:rPr>
        <w:t xml:space="preserve">Appendix </w:t>
      </w:r>
      <w:r w:rsidR="000A5E6F">
        <w:rPr>
          <w:rFonts w:asciiTheme="majorBidi" w:hAnsiTheme="majorBidi" w:cstheme="majorBidi"/>
          <w:b/>
          <w:bCs/>
          <w:i/>
          <w:iCs/>
          <w:sz w:val="24"/>
          <w:szCs w:val="24"/>
        </w:rPr>
        <w:t>5</w:t>
      </w:r>
      <w:r w:rsidR="002E33F4" w:rsidRPr="00FF1BD2">
        <w:rPr>
          <w:rFonts w:asciiTheme="majorBidi" w:hAnsiTheme="majorBidi" w:cstheme="majorBidi"/>
          <w:sz w:val="24"/>
          <w:szCs w:val="24"/>
        </w:rPr>
        <w:t>’</w:t>
      </w:r>
      <w:r w:rsidR="005E0980" w:rsidRPr="00FF1BD2">
        <w:rPr>
          <w:rFonts w:asciiTheme="majorBidi" w:hAnsiTheme="majorBidi" w:cstheme="majorBidi"/>
          <w:sz w:val="24"/>
          <w:szCs w:val="24"/>
        </w:rPr>
        <w:t>.</w:t>
      </w:r>
      <w:r w:rsidR="0059586C" w:rsidRPr="00B51836">
        <w:rPr>
          <w:rFonts w:ascii="Times New Roman" w:eastAsia="Calibri" w:hAnsi="Times New Roman" w:cs="Times New Roman"/>
          <w:sz w:val="24"/>
          <w:szCs w:val="24"/>
        </w:rPr>
        <w:t xml:space="preserve"> </w:t>
      </w:r>
      <w:r w:rsidR="0059586C" w:rsidRPr="00B51836">
        <w:rPr>
          <w:rFonts w:asciiTheme="majorBidi" w:hAnsiTheme="majorBidi" w:cstheme="majorBidi"/>
          <w:sz w:val="24"/>
          <w:szCs w:val="24"/>
        </w:rPr>
        <w:t xml:space="preserve">Further, and given that our </w:t>
      </w:r>
      <w:r w:rsidR="00B51836" w:rsidRPr="00B51836">
        <w:rPr>
          <w:rFonts w:asciiTheme="majorBidi" w:hAnsiTheme="majorBidi" w:cstheme="majorBidi"/>
          <w:i/>
          <w:iCs/>
          <w:sz w:val="24"/>
          <w:szCs w:val="24"/>
        </w:rPr>
        <w:t>HE</w:t>
      </w:r>
      <w:r w:rsidR="0059586C" w:rsidRPr="00B51836">
        <w:rPr>
          <w:rFonts w:asciiTheme="majorBidi" w:hAnsiTheme="majorBidi" w:cstheme="majorBidi"/>
          <w:i/>
          <w:iCs/>
          <w:sz w:val="24"/>
          <w:szCs w:val="24"/>
        </w:rPr>
        <w:t>GQI</w:t>
      </w:r>
      <w:r w:rsidR="0059586C" w:rsidRPr="00B51836">
        <w:rPr>
          <w:rFonts w:asciiTheme="majorBidi" w:hAnsiTheme="majorBidi" w:cstheme="majorBidi"/>
          <w:sz w:val="24"/>
          <w:szCs w:val="24"/>
        </w:rPr>
        <w:t xml:space="preserve"> consists of five sub-indices (</w:t>
      </w:r>
      <w:r w:rsidR="0059586C" w:rsidRPr="00B51836">
        <w:rPr>
          <w:rFonts w:asciiTheme="majorBidi" w:hAnsiTheme="majorBidi" w:cstheme="majorBidi"/>
          <w:i/>
          <w:iCs/>
          <w:sz w:val="24"/>
          <w:szCs w:val="24"/>
        </w:rPr>
        <w:t>GOVB</w:t>
      </w:r>
      <w:r w:rsidR="0059586C" w:rsidRPr="00B51836">
        <w:rPr>
          <w:rFonts w:asciiTheme="majorBidi" w:hAnsiTheme="majorBidi" w:cstheme="majorBidi"/>
          <w:sz w:val="24"/>
          <w:szCs w:val="24"/>
        </w:rPr>
        <w:t xml:space="preserve">, </w:t>
      </w:r>
      <w:r w:rsidR="0059586C" w:rsidRPr="00B51836">
        <w:rPr>
          <w:rFonts w:asciiTheme="majorBidi" w:hAnsiTheme="majorBidi" w:cstheme="majorBidi"/>
          <w:i/>
          <w:iCs/>
          <w:sz w:val="24"/>
          <w:szCs w:val="24"/>
        </w:rPr>
        <w:t>PR</w:t>
      </w:r>
      <w:r w:rsidR="00B51836" w:rsidRPr="00B51836">
        <w:rPr>
          <w:rFonts w:asciiTheme="majorBidi" w:hAnsiTheme="majorBidi" w:cstheme="majorBidi"/>
          <w:i/>
          <w:iCs/>
          <w:sz w:val="24"/>
          <w:szCs w:val="24"/>
        </w:rPr>
        <w:t>O</w:t>
      </w:r>
      <w:r w:rsidR="0059586C" w:rsidRPr="00B51836">
        <w:rPr>
          <w:rFonts w:asciiTheme="majorBidi" w:hAnsiTheme="majorBidi" w:cstheme="majorBidi"/>
          <w:i/>
          <w:iCs/>
          <w:sz w:val="24"/>
          <w:szCs w:val="24"/>
        </w:rPr>
        <w:t>S</w:t>
      </w:r>
      <w:r w:rsidR="0059586C" w:rsidRPr="00B51836">
        <w:rPr>
          <w:rFonts w:asciiTheme="majorBidi" w:hAnsiTheme="majorBidi" w:cstheme="majorBidi"/>
          <w:sz w:val="24"/>
          <w:szCs w:val="24"/>
        </w:rPr>
        <w:t xml:space="preserve">, </w:t>
      </w:r>
      <w:r w:rsidR="0059586C" w:rsidRPr="00B51836">
        <w:rPr>
          <w:rFonts w:asciiTheme="majorBidi" w:hAnsiTheme="majorBidi" w:cstheme="majorBidi"/>
          <w:i/>
          <w:iCs/>
          <w:sz w:val="24"/>
          <w:szCs w:val="24"/>
        </w:rPr>
        <w:t>PERP</w:t>
      </w:r>
      <w:r w:rsidR="0059586C" w:rsidRPr="00B51836">
        <w:rPr>
          <w:rFonts w:asciiTheme="majorBidi" w:hAnsiTheme="majorBidi" w:cstheme="majorBidi"/>
          <w:sz w:val="24"/>
          <w:szCs w:val="24"/>
        </w:rPr>
        <w:t xml:space="preserve">, </w:t>
      </w:r>
      <w:r w:rsidR="0059586C" w:rsidRPr="00B51836">
        <w:rPr>
          <w:rFonts w:asciiTheme="majorBidi" w:hAnsiTheme="majorBidi" w:cstheme="majorBidi"/>
          <w:i/>
          <w:iCs/>
          <w:sz w:val="24"/>
          <w:szCs w:val="24"/>
        </w:rPr>
        <w:t>A</w:t>
      </w:r>
      <w:r w:rsidR="00B51836" w:rsidRPr="00B51836">
        <w:rPr>
          <w:rFonts w:asciiTheme="majorBidi" w:hAnsiTheme="majorBidi" w:cstheme="majorBidi"/>
          <w:i/>
          <w:iCs/>
          <w:sz w:val="24"/>
          <w:szCs w:val="24"/>
        </w:rPr>
        <w:t>AA</w:t>
      </w:r>
      <w:r w:rsidR="0059586C" w:rsidRPr="00B51836">
        <w:rPr>
          <w:rFonts w:asciiTheme="majorBidi" w:hAnsiTheme="majorBidi" w:cstheme="majorBidi"/>
          <w:i/>
          <w:iCs/>
          <w:sz w:val="24"/>
          <w:szCs w:val="24"/>
        </w:rPr>
        <w:t>C</w:t>
      </w:r>
      <w:r w:rsidR="0059586C" w:rsidRPr="00B51836">
        <w:rPr>
          <w:rFonts w:asciiTheme="majorBidi" w:hAnsiTheme="majorBidi" w:cstheme="majorBidi"/>
          <w:sz w:val="24"/>
          <w:szCs w:val="24"/>
        </w:rPr>
        <w:t xml:space="preserve">, and </w:t>
      </w:r>
      <w:r w:rsidR="0059586C" w:rsidRPr="00B51836">
        <w:rPr>
          <w:rFonts w:asciiTheme="majorBidi" w:hAnsiTheme="majorBidi" w:cstheme="majorBidi"/>
          <w:i/>
          <w:iCs/>
          <w:sz w:val="24"/>
          <w:szCs w:val="24"/>
        </w:rPr>
        <w:t>SERSE</w:t>
      </w:r>
      <w:r w:rsidR="0059586C" w:rsidRPr="00B51836">
        <w:rPr>
          <w:rFonts w:asciiTheme="majorBidi" w:hAnsiTheme="majorBidi" w:cstheme="majorBidi"/>
          <w:sz w:val="24"/>
          <w:szCs w:val="24"/>
        </w:rPr>
        <w:t xml:space="preserve">), we used these five sub-indices as alternative measures </w:t>
      </w:r>
      <w:r w:rsidR="001653E4" w:rsidRPr="00B51836">
        <w:rPr>
          <w:rFonts w:asciiTheme="majorBidi" w:hAnsiTheme="majorBidi" w:cstheme="majorBidi"/>
          <w:sz w:val="24"/>
          <w:szCs w:val="24"/>
        </w:rPr>
        <w:t>of</w:t>
      </w:r>
      <w:r w:rsidR="0059586C" w:rsidRPr="00B51836">
        <w:rPr>
          <w:rFonts w:asciiTheme="majorBidi" w:hAnsiTheme="majorBidi" w:cstheme="majorBidi"/>
          <w:sz w:val="24"/>
          <w:szCs w:val="24"/>
        </w:rPr>
        <w:t xml:space="preserve"> governance quality</w:t>
      </w:r>
      <w:r w:rsidR="008F3DF6" w:rsidRPr="00B51836">
        <w:rPr>
          <w:rFonts w:asciiTheme="majorBidi" w:hAnsiTheme="majorBidi" w:cstheme="majorBidi"/>
          <w:sz w:val="24"/>
          <w:szCs w:val="24"/>
        </w:rPr>
        <w:t xml:space="preserve"> in our alternative regression models</w:t>
      </w:r>
      <w:r w:rsidR="0059586C" w:rsidRPr="00B51836">
        <w:rPr>
          <w:rFonts w:asciiTheme="majorBidi" w:hAnsiTheme="majorBidi" w:cstheme="majorBidi"/>
          <w:sz w:val="24"/>
          <w:szCs w:val="24"/>
        </w:rPr>
        <w:t>.</w:t>
      </w:r>
      <w:r w:rsidR="007E3F5D" w:rsidRPr="00B51836">
        <w:rPr>
          <w:rFonts w:asciiTheme="majorBidi" w:hAnsiTheme="majorBidi" w:cstheme="majorBidi"/>
          <w:sz w:val="24"/>
          <w:szCs w:val="24"/>
        </w:rPr>
        <w:t xml:space="preserve"> Therefore, </w:t>
      </w:r>
      <w:r w:rsidR="007E3F5D" w:rsidRPr="00B51836">
        <w:rPr>
          <w:rFonts w:asciiTheme="majorBidi" w:hAnsiTheme="majorBidi" w:cstheme="majorBidi"/>
          <w:i/>
          <w:iCs/>
          <w:sz w:val="24"/>
          <w:szCs w:val="24"/>
        </w:rPr>
        <w:t>GovQuality</w:t>
      </w:r>
      <w:r w:rsidR="007E3F5D" w:rsidRPr="00B51836">
        <w:rPr>
          <w:rFonts w:asciiTheme="majorBidi" w:hAnsiTheme="majorBidi" w:cstheme="majorBidi"/>
          <w:sz w:val="24"/>
          <w:szCs w:val="24"/>
        </w:rPr>
        <w:t xml:space="preserve"> in Table </w:t>
      </w:r>
      <w:r w:rsidR="002D5EB1">
        <w:rPr>
          <w:rFonts w:asciiTheme="majorBidi" w:hAnsiTheme="majorBidi" w:cstheme="majorBidi"/>
          <w:sz w:val="24"/>
          <w:szCs w:val="24"/>
        </w:rPr>
        <w:t>4</w:t>
      </w:r>
      <w:r w:rsidR="007E3F5D" w:rsidRPr="00B51836">
        <w:rPr>
          <w:rFonts w:asciiTheme="majorBidi" w:hAnsiTheme="majorBidi" w:cstheme="majorBidi"/>
          <w:sz w:val="24"/>
          <w:szCs w:val="24"/>
        </w:rPr>
        <w:t xml:space="preserve"> refers to </w:t>
      </w:r>
      <w:r w:rsidR="00B51836" w:rsidRPr="00B51836">
        <w:rPr>
          <w:rFonts w:asciiTheme="majorBidi" w:hAnsiTheme="majorBidi" w:cstheme="majorBidi"/>
          <w:i/>
          <w:iCs/>
          <w:sz w:val="24"/>
          <w:szCs w:val="24"/>
        </w:rPr>
        <w:t>HE</w:t>
      </w:r>
      <w:r w:rsidR="007E3F5D" w:rsidRPr="00B51836">
        <w:rPr>
          <w:rFonts w:asciiTheme="majorBidi" w:hAnsiTheme="majorBidi" w:cstheme="majorBidi"/>
          <w:i/>
          <w:iCs/>
          <w:sz w:val="24"/>
          <w:szCs w:val="24"/>
        </w:rPr>
        <w:t>GQI, GOVB, PR</w:t>
      </w:r>
      <w:r w:rsidR="00B51836" w:rsidRPr="00B51836">
        <w:rPr>
          <w:rFonts w:asciiTheme="majorBidi" w:hAnsiTheme="majorBidi" w:cstheme="majorBidi"/>
          <w:i/>
          <w:iCs/>
          <w:sz w:val="24"/>
          <w:szCs w:val="24"/>
        </w:rPr>
        <w:t>O</w:t>
      </w:r>
      <w:r w:rsidR="007E3F5D" w:rsidRPr="00B51836">
        <w:rPr>
          <w:rFonts w:asciiTheme="majorBidi" w:hAnsiTheme="majorBidi" w:cstheme="majorBidi"/>
          <w:i/>
          <w:iCs/>
          <w:sz w:val="24"/>
          <w:szCs w:val="24"/>
        </w:rPr>
        <w:t>S, PERP, A</w:t>
      </w:r>
      <w:r w:rsidR="00B51836" w:rsidRPr="00B51836">
        <w:rPr>
          <w:rFonts w:asciiTheme="majorBidi" w:hAnsiTheme="majorBidi" w:cstheme="majorBidi"/>
          <w:i/>
          <w:iCs/>
          <w:sz w:val="24"/>
          <w:szCs w:val="24"/>
        </w:rPr>
        <w:t>AA</w:t>
      </w:r>
      <w:r w:rsidR="007E3F5D" w:rsidRPr="00B51836">
        <w:rPr>
          <w:rFonts w:asciiTheme="majorBidi" w:hAnsiTheme="majorBidi" w:cstheme="majorBidi"/>
          <w:i/>
          <w:iCs/>
          <w:sz w:val="24"/>
          <w:szCs w:val="24"/>
        </w:rPr>
        <w:t xml:space="preserve">C, </w:t>
      </w:r>
      <w:r w:rsidR="007E3F5D" w:rsidRPr="00B51836">
        <w:rPr>
          <w:rFonts w:asciiTheme="majorBidi" w:hAnsiTheme="majorBidi" w:cstheme="majorBidi"/>
          <w:sz w:val="24"/>
          <w:szCs w:val="24"/>
        </w:rPr>
        <w:t>and</w:t>
      </w:r>
      <w:r w:rsidR="007E3F5D" w:rsidRPr="00B51836">
        <w:rPr>
          <w:rFonts w:asciiTheme="majorBidi" w:hAnsiTheme="majorBidi" w:cstheme="majorBidi"/>
          <w:i/>
          <w:iCs/>
          <w:sz w:val="24"/>
          <w:szCs w:val="24"/>
        </w:rPr>
        <w:t xml:space="preserve"> SERSE</w:t>
      </w:r>
      <w:r w:rsidR="007E3F5D" w:rsidRPr="00B51836">
        <w:rPr>
          <w:rFonts w:asciiTheme="majorBidi" w:hAnsiTheme="majorBidi" w:cstheme="majorBidi"/>
          <w:sz w:val="24"/>
          <w:szCs w:val="24"/>
        </w:rPr>
        <w:t>, respectively.</w:t>
      </w:r>
      <w:r w:rsidR="007E3F5D">
        <w:rPr>
          <w:rFonts w:asciiTheme="majorBidi" w:hAnsiTheme="majorBidi" w:cstheme="majorBidi"/>
          <w:sz w:val="24"/>
          <w:szCs w:val="24"/>
        </w:rPr>
        <w:t xml:space="preserve"> </w:t>
      </w:r>
      <w:r w:rsidR="00ED1D54">
        <w:rPr>
          <w:rFonts w:asciiTheme="majorBidi" w:hAnsiTheme="majorBidi" w:cstheme="majorBidi"/>
          <w:sz w:val="24"/>
          <w:szCs w:val="24"/>
        </w:rPr>
        <w:t xml:space="preserve">The detailed descriptive statistics of the </w:t>
      </w:r>
      <w:r w:rsidR="00ED1D54">
        <w:rPr>
          <w:rFonts w:asciiTheme="majorBidi" w:hAnsiTheme="majorBidi" w:cstheme="majorBidi"/>
          <w:i/>
          <w:iCs/>
          <w:sz w:val="24"/>
          <w:szCs w:val="24"/>
        </w:rPr>
        <w:t xml:space="preserve">HEGQI </w:t>
      </w:r>
      <w:r w:rsidR="00ED1D54">
        <w:rPr>
          <w:rFonts w:asciiTheme="majorBidi" w:hAnsiTheme="majorBidi" w:cstheme="majorBidi"/>
          <w:sz w:val="24"/>
          <w:szCs w:val="24"/>
        </w:rPr>
        <w:t xml:space="preserve">are reported and </w:t>
      </w:r>
      <w:r w:rsidR="00FC0480">
        <w:rPr>
          <w:rFonts w:asciiTheme="majorBidi" w:hAnsiTheme="majorBidi" w:cstheme="majorBidi"/>
          <w:sz w:val="24"/>
          <w:szCs w:val="24"/>
        </w:rPr>
        <w:t xml:space="preserve">briefly </w:t>
      </w:r>
      <w:r w:rsidR="00ED1D54">
        <w:rPr>
          <w:rFonts w:asciiTheme="majorBidi" w:hAnsiTheme="majorBidi" w:cstheme="majorBidi"/>
          <w:sz w:val="24"/>
          <w:szCs w:val="24"/>
        </w:rPr>
        <w:t xml:space="preserve">discussed in the </w:t>
      </w:r>
      <w:r w:rsidR="00561B5C">
        <w:rPr>
          <w:rFonts w:asciiTheme="majorBidi" w:hAnsiTheme="majorBidi" w:cstheme="majorBidi"/>
          <w:sz w:val="24"/>
          <w:szCs w:val="24"/>
        </w:rPr>
        <w:t>‘</w:t>
      </w:r>
      <w:r w:rsidR="00ED1D54" w:rsidRPr="00561B5C">
        <w:rPr>
          <w:rFonts w:asciiTheme="majorBidi" w:hAnsiTheme="majorBidi" w:cstheme="majorBidi"/>
          <w:b/>
          <w:bCs/>
          <w:i/>
          <w:iCs/>
          <w:sz w:val="24"/>
          <w:szCs w:val="24"/>
        </w:rPr>
        <w:t xml:space="preserve">Online Appendix </w:t>
      </w:r>
      <w:r w:rsidR="00561B5C">
        <w:rPr>
          <w:rFonts w:asciiTheme="majorBidi" w:hAnsiTheme="majorBidi" w:cstheme="majorBidi"/>
          <w:b/>
          <w:bCs/>
          <w:i/>
          <w:iCs/>
          <w:sz w:val="24"/>
          <w:szCs w:val="24"/>
        </w:rPr>
        <w:t>2</w:t>
      </w:r>
      <w:r w:rsidR="00FF1BD2" w:rsidRPr="00FF1BD2">
        <w:rPr>
          <w:rFonts w:asciiTheme="majorBidi" w:hAnsiTheme="majorBidi" w:cstheme="majorBidi"/>
          <w:sz w:val="24"/>
          <w:szCs w:val="24"/>
        </w:rPr>
        <w:t>’</w:t>
      </w:r>
      <w:r w:rsidR="00ED1D54">
        <w:rPr>
          <w:rFonts w:asciiTheme="majorBidi" w:hAnsiTheme="majorBidi" w:cstheme="majorBidi"/>
          <w:sz w:val="24"/>
          <w:szCs w:val="24"/>
        </w:rPr>
        <w:t>.</w:t>
      </w:r>
    </w:p>
    <w:p w14:paraId="59039576" w14:textId="5E025B8B" w:rsidR="0038413A" w:rsidRDefault="0059586C" w:rsidP="00967A77">
      <w:pPr>
        <w:spacing w:after="0" w:line="240" w:lineRule="auto"/>
        <w:ind w:firstLine="720"/>
        <w:jc w:val="both"/>
        <w:rPr>
          <w:rFonts w:ascii="Times New Roman" w:hAnsi="Times New Roman" w:cs="Times New Roman"/>
          <w:sz w:val="24"/>
          <w:szCs w:val="24"/>
        </w:rPr>
      </w:pPr>
      <w:r w:rsidRPr="0059586C">
        <w:rPr>
          <w:rFonts w:ascii="Times New Roman" w:hAnsi="Times New Roman" w:cs="Times New Roman"/>
          <w:iCs/>
          <w:sz w:val="24"/>
          <w:szCs w:val="24"/>
        </w:rPr>
        <w:t>Third</w:t>
      </w:r>
      <w:r>
        <w:rPr>
          <w:rFonts w:ascii="Times New Roman" w:hAnsi="Times New Roman" w:cs="Times New Roman"/>
          <w:iCs/>
          <w:sz w:val="24"/>
          <w:szCs w:val="24"/>
        </w:rPr>
        <w:t>,</w:t>
      </w:r>
      <w:r w:rsidRPr="0059586C">
        <w:rPr>
          <w:rFonts w:ascii="Times New Roman" w:hAnsi="Times New Roman" w:cs="Times New Roman"/>
          <w:iCs/>
          <w:sz w:val="24"/>
          <w:szCs w:val="24"/>
        </w:rPr>
        <w:t xml:space="preserve"> and as</w:t>
      </w:r>
      <w:r>
        <w:rPr>
          <w:rFonts w:ascii="Times New Roman" w:hAnsi="Times New Roman" w:cs="Times New Roman"/>
          <w:iCs/>
          <w:sz w:val="24"/>
          <w:szCs w:val="24"/>
        </w:rPr>
        <w:t xml:space="preserve"> suggested by</w:t>
      </w:r>
      <w:r w:rsidRPr="0059586C">
        <w:rPr>
          <w:rFonts w:ascii="Times New Roman" w:hAnsi="Times New Roman" w:cs="Times New Roman"/>
          <w:iCs/>
          <w:sz w:val="24"/>
          <w:szCs w:val="24"/>
        </w:rPr>
        <w:t xml:space="preserve"> several studies (Breakwell &amp; Tytherleigh, 2008) vice-chancellors (VC) characteristics may influence HEIs’ disclosure practices, we included four attributes of VC as controls (</w:t>
      </w:r>
      <w:r w:rsidRPr="0059586C">
        <w:rPr>
          <w:rFonts w:ascii="Times New Roman" w:hAnsi="Times New Roman" w:cs="Times New Roman"/>
          <w:i/>
          <w:iCs/>
          <w:sz w:val="24"/>
          <w:szCs w:val="24"/>
        </w:rPr>
        <w:t>VCControls</w:t>
      </w:r>
      <w:r w:rsidRPr="0059586C">
        <w:rPr>
          <w:rFonts w:ascii="Times New Roman" w:hAnsi="Times New Roman" w:cs="Times New Roman"/>
          <w:iCs/>
          <w:sz w:val="24"/>
          <w:szCs w:val="24"/>
        </w:rPr>
        <w:t>), which are VC age (</w:t>
      </w:r>
      <w:r w:rsidRPr="0059586C">
        <w:rPr>
          <w:rFonts w:ascii="Times New Roman" w:hAnsi="Times New Roman" w:cs="Times New Roman"/>
          <w:i/>
          <w:iCs/>
          <w:sz w:val="24"/>
          <w:szCs w:val="24"/>
        </w:rPr>
        <w:t>VCAG</w:t>
      </w:r>
      <w:r w:rsidR="00B51836">
        <w:rPr>
          <w:rFonts w:ascii="Times New Roman" w:hAnsi="Times New Roman" w:cs="Times New Roman"/>
          <w:i/>
          <w:iCs/>
          <w:sz w:val="24"/>
          <w:szCs w:val="24"/>
        </w:rPr>
        <w:t>E</w:t>
      </w:r>
      <w:r w:rsidRPr="0059586C">
        <w:rPr>
          <w:rFonts w:ascii="Times New Roman" w:hAnsi="Times New Roman" w:cs="Times New Roman"/>
          <w:iCs/>
          <w:sz w:val="24"/>
          <w:szCs w:val="24"/>
        </w:rPr>
        <w:t>), VC gender (</w:t>
      </w:r>
      <w:r w:rsidRPr="0059586C">
        <w:rPr>
          <w:rFonts w:ascii="Times New Roman" w:hAnsi="Times New Roman" w:cs="Times New Roman"/>
          <w:i/>
          <w:iCs/>
          <w:sz w:val="24"/>
          <w:szCs w:val="24"/>
        </w:rPr>
        <w:t>VCG</w:t>
      </w:r>
      <w:r w:rsidR="00B51836">
        <w:rPr>
          <w:rFonts w:ascii="Times New Roman" w:hAnsi="Times New Roman" w:cs="Times New Roman"/>
          <w:i/>
          <w:iCs/>
          <w:sz w:val="24"/>
          <w:szCs w:val="24"/>
        </w:rPr>
        <w:t>EN</w:t>
      </w:r>
      <w:r w:rsidRPr="0059586C">
        <w:rPr>
          <w:rFonts w:ascii="Times New Roman" w:hAnsi="Times New Roman" w:cs="Times New Roman"/>
          <w:iCs/>
          <w:sz w:val="24"/>
          <w:szCs w:val="24"/>
        </w:rPr>
        <w:t>), VC academic discipline (</w:t>
      </w:r>
      <w:r w:rsidRPr="0059586C">
        <w:rPr>
          <w:rFonts w:ascii="Times New Roman" w:hAnsi="Times New Roman" w:cs="Times New Roman"/>
          <w:i/>
          <w:iCs/>
          <w:sz w:val="24"/>
          <w:szCs w:val="24"/>
        </w:rPr>
        <w:t>VCA</w:t>
      </w:r>
      <w:r w:rsidR="00010414">
        <w:rPr>
          <w:rFonts w:ascii="Times New Roman" w:hAnsi="Times New Roman" w:cs="Times New Roman"/>
          <w:i/>
          <w:iCs/>
          <w:sz w:val="24"/>
          <w:szCs w:val="24"/>
        </w:rPr>
        <w:t>C</w:t>
      </w:r>
      <w:r w:rsidRPr="0059586C">
        <w:rPr>
          <w:rFonts w:ascii="Times New Roman" w:hAnsi="Times New Roman" w:cs="Times New Roman"/>
          <w:i/>
          <w:iCs/>
          <w:sz w:val="24"/>
          <w:szCs w:val="24"/>
        </w:rPr>
        <w:t>D</w:t>
      </w:r>
      <w:r w:rsidRPr="0059586C">
        <w:rPr>
          <w:rFonts w:ascii="Times New Roman" w:hAnsi="Times New Roman" w:cs="Times New Roman"/>
          <w:iCs/>
          <w:sz w:val="24"/>
          <w:szCs w:val="24"/>
        </w:rPr>
        <w:t>), and VC tenure (</w:t>
      </w:r>
      <w:r w:rsidRPr="0059586C">
        <w:rPr>
          <w:rFonts w:ascii="Times New Roman" w:hAnsi="Times New Roman" w:cs="Times New Roman"/>
          <w:i/>
          <w:iCs/>
          <w:sz w:val="24"/>
          <w:szCs w:val="24"/>
        </w:rPr>
        <w:t>VCT</w:t>
      </w:r>
      <w:r w:rsidR="00B51836">
        <w:rPr>
          <w:rFonts w:ascii="Times New Roman" w:hAnsi="Times New Roman" w:cs="Times New Roman"/>
          <w:i/>
          <w:iCs/>
          <w:sz w:val="24"/>
          <w:szCs w:val="24"/>
        </w:rPr>
        <w:t>E</w:t>
      </w:r>
      <w:r w:rsidRPr="0059586C">
        <w:rPr>
          <w:rFonts w:ascii="Times New Roman" w:hAnsi="Times New Roman" w:cs="Times New Roman"/>
          <w:i/>
          <w:iCs/>
          <w:sz w:val="24"/>
          <w:szCs w:val="24"/>
        </w:rPr>
        <w:t>N</w:t>
      </w:r>
      <w:r w:rsidRPr="0059586C">
        <w:rPr>
          <w:rFonts w:ascii="Times New Roman" w:hAnsi="Times New Roman" w:cs="Times New Roman"/>
          <w:iCs/>
          <w:sz w:val="24"/>
          <w:szCs w:val="24"/>
        </w:rPr>
        <w:t>). Fourth, we control for a number of general HEIs characteristics (</w:t>
      </w:r>
      <w:r w:rsidRPr="0059586C">
        <w:rPr>
          <w:rFonts w:ascii="Times New Roman" w:hAnsi="Times New Roman" w:cs="Times New Roman"/>
          <w:i/>
          <w:iCs/>
          <w:sz w:val="24"/>
          <w:szCs w:val="24"/>
        </w:rPr>
        <w:t>HEIControls</w:t>
      </w:r>
      <w:r w:rsidRPr="0059586C">
        <w:rPr>
          <w:rFonts w:ascii="Times New Roman" w:hAnsi="Times New Roman" w:cs="Times New Roman"/>
          <w:iCs/>
          <w:sz w:val="24"/>
          <w:szCs w:val="24"/>
        </w:rPr>
        <w:t>)</w:t>
      </w:r>
      <w:r w:rsidR="009B62E7" w:rsidRPr="009B62E7">
        <w:rPr>
          <w:rFonts w:ascii="Times New Roman" w:hAnsi="Times New Roman" w:cs="Times New Roman"/>
          <w:sz w:val="24"/>
          <w:szCs w:val="24"/>
        </w:rPr>
        <w:t xml:space="preserve"> in order to reduce the possibility of omitted variable bias. These variables are growth (</w:t>
      </w:r>
      <w:r w:rsidR="009B62E7" w:rsidRPr="009B62E7">
        <w:rPr>
          <w:rFonts w:ascii="Times New Roman" w:hAnsi="Times New Roman" w:cs="Times New Roman"/>
          <w:i/>
          <w:sz w:val="24"/>
          <w:szCs w:val="24"/>
        </w:rPr>
        <w:t>GRTH</w:t>
      </w:r>
      <w:r w:rsidR="009B62E7" w:rsidRPr="009B62E7">
        <w:rPr>
          <w:rFonts w:ascii="Times New Roman" w:hAnsi="Times New Roman" w:cs="Times New Roman"/>
          <w:sz w:val="24"/>
          <w:szCs w:val="24"/>
        </w:rPr>
        <w:t>), proportion of income from funding councils (</w:t>
      </w:r>
      <w:r w:rsidR="00B51836">
        <w:rPr>
          <w:rFonts w:ascii="Times New Roman" w:hAnsi="Times New Roman" w:cs="Times New Roman"/>
          <w:i/>
          <w:sz w:val="24"/>
          <w:szCs w:val="24"/>
        </w:rPr>
        <w:t>IFUNDC</w:t>
      </w:r>
      <w:r w:rsidR="009B62E7" w:rsidRPr="009B62E7">
        <w:rPr>
          <w:rFonts w:ascii="Times New Roman" w:hAnsi="Times New Roman" w:cs="Times New Roman"/>
          <w:sz w:val="24"/>
          <w:szCs w:val="24"/>
        </w:rPr>
        <w:t>), leverage (</w:t>
      </w:r>
      <w:r w:rsidR="009B62E7" w:rsidRPr="009B62E7">
        <w:rPr>
          <w:rFonts w:ascii="Times New Roman" w:hAnsi="Times New Roman" w:cs="Times New Roman"/>
          <w:i/>
          <w:sz w:val="24"/>
          <w:szCs w:val="24"/>
        </w:rPr>
        <w:t>LEVE</w:t>
      </w:r>
      <w:r w:rsidR="009B62E7" w:rsidRPr="009B62E7">
        <w:rPr>
          <w:rFonts w:ascii="Times New Roman" w:hAnsi="Times New Roman" w:cs="Times New Roman"/>
          <w:sz w:val="24"/>
          <w:szCs w:val="24"/>
        </w:rPr>
        <w:t>), liquidity (</w:t>
      </w:r>
      <w:r w:rsidR="009B62E7" w:rsidRPr="009B62E7">
        <w:rPr>
          <w:rFonts w:ascii="Times New Roman" w:hAnsi="Times New Roman" w:cs="Times New Roman"/>
          <w:i/>
          <w:sz w:val="24"/>
          <w:szCs w:val="24"/>
        </w:rPr>
        <w:t>LIQU</w:t>
      </w:r>
      <w:r w:rsidR="00B51836">
        <w:rPr>
          <w:rFonts w:ascii="Times New Roman" w:hAnsi="Times New Roman" w:cs="Times New Roman"/>
          <w:i/>
          <w:sz w:val="24"/>
          <w:szCs w:val="24"/>
        </w:rPr>
        <w:t>D</w:t>
      </w:r>
      <w:r w:rsidR="009B62E7" w:rsidRPr="009B62E7">
        <w:rPr>
          <w:rFonts w:ascii="Times New Roman" w:hAnsi="Times New Roman" w:cs="Times New Roman"/>
          <w:sz w:val="24"/>
          <w:szCs w:val="24"/>
        </w:rPr>
        <w:t>), dummy for post-1992 (</w:t>
      </w:r>
      <w:r w:rsidR="009B62E7" w:rsidRPr="009B62E7">
        <w:rPr>
          <w:rFonts w:ascii="Times New Roman" w:hAnsi="Times New Roman" w:cs="Times New Roman"/>
          <w:i/>
          <w:sz w:val="24"/>
          <w:szCs w:val="24"/>
        </w:rPr>
        <w:t>POST-92</w:t>
      </w:r>
      <w:r w:rsidR="009B62E7" w:rsidRPr="009B62E7">
        <w:rPr>
          <w:rFonts w:ascii="Times New Roman" w:hAnsi="Times New Roman" w:cs="Times New Roman"/>
          <w:sz w:val="24"/>
          <w:szCs w:val="24"/>
        </w:rPr>
        <w:t>), Russell group dummy (</w:t>
      </w:r>
      <w:r w:rsidR="009B62E7" w:rsidRPr="009B62E7">
        <w:rPr>
          <w:rFonts w:ascii="Times New Roman" w:hAnsi="Times New Roman" w:cs="Times New Roman"/>
          <w:i/>
          <w:sz w:val="24"/>
          <w:szCs w:val="24"/>
        </w:rPr>
        <w:t>RUSSG</w:t>
      </w:r>
      <w:r w:rsidR="009B62E7" w:rsidRPr="009B62E7">
        <w:rPr>
          <w:rFonts w:ascii="Times New Roman" w:hAnsi="Times New Roman" w:cs="Times New Roman"/>
          <w:sz w:val="24"/>
          <w:szCs w:val="24"/>
        </w:rPr>
        <w:t>), financial risk (</w:t>
      </w:r>
      <w:r w:rsidR="00B51836">
        <w:rPr>
          <w:rFonts w:ascii="Times New Roman" w:hAnsi="Times New Roman" w:cs="Times New Roman"/>
          <w:i/>
          <w:iCs/>
          <w:sz w:val="24"/>
          <w:szCs w:val="24"/>
        </w:rPr>
        <w:t>F</w:t>
      </w:r>
      <w:r w:rsidR="009B62E7" w:rsidRPr="009B62E7">
        <w:rPr>
          <w:rFonts w:ascii="Times New Roman" w:hAnsi="Times New Roman" w:cs="Times New Roman"/>
          <w:i/>
          <w:sz w:val="24"/>
          <w:szCs w:val="24"/>
        </w:rPr>
        <w:t>R</w:t>
      </w:r>
      <w:r w:rsidR="00B51836">
        <w:rPr>
          <w:rFonts w:ascii="Times New Roman" w:hAnsi="Times New Roman" w:cs="Times New Roman"/>
          <w:i/>
          <w:sz w:val="24"/>
          <w:szCs w:val="24"/>
        </w:rPr>
        <w:t>I</w:t>
      </w:r>
      <w:r w:rsidR="009B62E7" w:rsidRPr="009B62E7">
        <w:rPr>
          <w:rFonts w:ascii="Times New Roman" w:hAnsi="Times New Roman" w:cs="Times New Roman"/>
          <w:i/>
          <w:sz w:val="24"/>
          <w:szCs w:val="24"/>
        </w:rPr>
        <w:t>SK</w:t>
      </w:r>
      <w:r w:rsidR="009B62E7" w:rsidRPr="009B62E7">
        <w:rPr>
          <w:rFonts w:ascii="Times New Roman" w:hAnsi="Times New Roman" w:cs="Times New Roman"/>
          <w:sz w:val="24"/>
          <w:szCs w:val="24"/>
        </w:rPr>
        <w:t>), HEI size (</w:t>
      </w:r>
      <w:r w:rsidR="009B62E7" w:rsidRPr="009B62E7">
        <w:rPr>
          <w:rFonts w:ascii="Times New Roman" w:hAnsi="Times New Roman" w:cs="Times New Roman"/>
          <w:i/>
          <w:sz w:val="24"/>
          <w:szCs w:val="24"/>
        </w:rPr>
        <w:t>HEISZ</w:t>
      </w:r>
      <w:r w:rsidR="00B51836">
        <w:rPr>
          <w:rFonts w:ascii="Times New Roman" w:hAnsi="Times New Roman" w:cs="Times New Roman"/>
          <w:i/>
          <w:sz w:val="24"/>
          <w:szCs w:val="24"/>
        </w:rPr>
        <w:t>E</w:t>
      </w:r>
      <w:r w:rsidR="009B62E7" w:rsidRPr="009B62E7">
        <w:rPr>
          <w:rFonts w:ascii="Times New Roman" w:hAnsi="Times New Roman" w:cs="Times New Roman"/>
          <w:sz w:val="24"/>
          <w:szCs w:val="24"/>
        </w:rPr>
        <w:t>), HEI age (</w:t>
      </w:r>
      <w:r w:rsidR="009B62E7" w:rsidRPr="009B62E7">
        <w:rPr>
          <w:rFonts w:ascii="Times New Roman" w:hAnsi="Times New Roman" w:cs="Times New Roman"/>
          <w:i/>
          <w:sz w:val="24"/>
          <w:szCs w:val="24"/>
        </w:rPr>
        <w:t>HEIAG</w:t>
      </w:r>
      <w:r w:rsidR="00B51836">
        <w:rPr>
          <w:rFonts w:ascii="Times New Roman" w:hAnsi="Times New Roman" w:cs="Times New Roman"/>
          <w:i/>
          <w:sz w:val="24"/>
          <w:szCs w:val="24"/>
        </w:rPr>
        <w:t>E</w:t>
      </w:r>
      <w:r w:rsidR="009B62E7" w:rsidRPr="009B62E7">
        <w:rPr>
          <w:rFonts w:ascii="Times New Roman" w:hAnsi="Times New Roman" w:cs="Times New Roman"/>
          <w:sz w:val="24"/>
          <w:szCs w:val="24"/>
        </w:rPr>
        <w:t>), size of the audit firm (</w:t>
      </w:r>
      <w:r w:rsidR="009B62E7" w:rsidRPr="009B62E7">
        <w:rPr>
          <w:rFonts w:ascii="Times New Roman" w:hAnsi="Times New Roman" w:cs="Times New Roman"/>
          <w:i/>
          <w:iCs/>
          <w:sz w:val="24"/>
          <w:szCs w:val="24"/>
        </w:rPr>
        <w:t>AF</w:t>
      </w:r>
      <w:r w:rsidR="00B51836">
        <w:rPr>
          <w:rFonts w:ascii="Times New Roman" w:hAnsi="Times New Roman" w:cs="Times New Roman"/>
          <w:i/>
          <w:iCs/>
          <w:sz w:val="24"/>
          <w:szCs w:val="24"/>
        </w:rPr>
        <w:t>SZE</w:t>
      </w:r>
      <w:r w:rsidR="009B62E7" w:rsidRPr="009B62E7">
        <w:rPr>
          <w:rFonts w:ascii="Times New Roman" w:hAnsi="Times New Roman" w:cs="Times New Roman"/>
          <w:sz w:val="24"/>
          <w:szCs w:val="24"/>
        </w:rPr>
        <w:t>), capital expenditure (</w:t>
      </w:r>
      <w:r w:rsidR="009B62E7" w:rsidRPr="009B62E7">
        <w:rPr>
          <w:rFonts w:ascii="Times New Roman" w:hAnsi="Times New Roman" w:cs="Times New Roman"/>
          <w:i/>
          <w:iCs/>
          <w:sz w:val="24"/>
          <w:szCs w:val="24"/>
        </w:rPr>
        <w:t>CEXP</w:t>
      </w:r>
      <w:r w:rsidR="009B62E7" w:rsidRPr="009B62E7">
        <w:rPr>
          <w:rFonts w:ascii="Times New Roman" w:hAnsi="Times New Roman" w:cs="Times New Roman"/>
          <w:sz w:val="24"/>
          <w:szCs w:val="24"/>
        </w:rPr>
        <w:t>)</w:t>
      </w:r>
      <w:r w:rsidR="009B62E7">
        <w:rPr>
          <w:rFonts w:ascii="Times New Roman" w:hAnsi="Times New Roman" w:cs="Times New Roman"/>
          <w:sz w:val="24"/>
          <w:szCs w:val="24"/>
        </w:rPr>
        <w:t xml:space="preserve"> </w:t>
      </w:r>
      <w:r w:rsidR="009B62E7" w:rsidRPr="00AD3A2D">
        <w:rPr>
          <w:rFonts w:ascii="Times New Roman" w:hAnsi="Times New Roman" w:cs="Times New Roman"/>
          <w:sz w:val="24"/>
          <w:szCs w:val="24"/>
        </w:rPr>
        <w:t>and year dummies (</w:t>
      </w:r>
      <w:r w:rsidR="009B62E7" w:rsidRPr="00AD3A2D">
        <w:rPr>
          <w:rFonts w:ascii="Times New Roman" w:eastAsia="Calibri" w:hAnsi="Times New Roman" w:cs="Times New Roman"/>
          <w:bCs/>
          <w:i/>
          <w:iCs/>
          <w:sz w:val="24"/>
          <w:szCs w:val="24"/>
        </w:rPr>
        <w:t>YEARD</w:t>
      </w:r>
      <w:r w:rsidR="009B62E7" w:rsidRPr="00AD3A2D">
        <w:rPr>
          <w:rFonts w:ascii="Times New Roman" w:eastAsia="Calibri" w:hAnsi="Times New Roman" w:cs="Times New Roman"/>
          <w:bCs/>
          <w:sz w:val="24"/>
          <w:szCs w:val="24"/>
        </w:rPr>
        <w:t>)</w:t>
      </w:r>
      <w:r w:rsidR="009B62E7" w:rsidRPr="00AD3A2D">
        <w:rPr>
          <w:rFonts w:ascii="Times New Roman" w:hAnsi="Times New Roman" w:cs="Times New Roman"/>
          <w:sz w:val="24"/>
          <w:szCs w:val="24"/>
        </w:rPr>
        <w:t>.</w:t>
      </w:r>
      <w:r w:rsidR="009B62E7" w:rsidRPr="009B62E7">
        <w:rPr>
          <w:rFonts w:ascii="Times New Roman" w:hAnsi="Times New Roman" w:cs="Times New Roman"/>
          <w:sz w:val="24"/>
          <w:szCs w:val="24"/>
        </w:rPr>
        <w:t xml:space="preserve"> To save space, we do not discuss why/how these control variables can influence our risk disclosure proxy, however, there is a large number of rigorously developed literature that suggests that these variables can influence</w:t>
      </w:r>
      <w:r w:rsidR="009B62E7">
        <w:rPr>
          <w:rFonts w:ascii="Times New Roman" w:hAnsi="Times New Roman" w:cs="Times New Roman"/>
          <w:sz w:val="24"/>
          <w:szCs w:val="24"/>
        </w:rPr>
        <w:t xml:space="preserve"> non-profitable organisations disclosure behaviour (</w:t>
      </w:r>
      <w:r w:rsidR="009B62E7">
        <w:rPr>
          <w:rFonts w:asciiTheme="majorBidi" w:eastAsia="Times New Roman" w:hAnsiTheme="majorBidi" w:cstheme="majorBidi"/>
          <w:sz w:val="24"/>
          <w:szCs w:val="24"/>
          <w:lang w:eastAsia="en-GB"/>
        </w:rPr>
        <w:t>Gordon et al., 2002;</w:t>
      </w:r>
      <w:r w:rsidR="009B62E7">
        <w:rPr>
          <w:rFonts w:ascii="Times New Roman" w:hAnsi="Times New Roman" w:cs="Times New Roman"/>
          <w:sz w:val="24"/>
          <w:szCs w:val="24"/>
        </w:rPr>
        <w:t xml:space="preserve"> Saxton &amp; </w:t>
      </w:r>
      <w:r w:rsidR="009B62E7" w:rsidRPr="00A65E0D">
        <w:rPr>
          <w:rFonts w:asciiTheme="majorBidi" w:eastAsia="Times New Roman" w:hAnsiTheme="majorBidi" w:cstheme="majorBidi"/>
          <w:sz w:val="24"/>
          <w:szCs w:val="24"/>
          <w:lang w:eastAsia="en-GB"/>
        </w:rPr>
        <w:t>Guo</w:t>
      </w:r>
      <w:r w:rsidR="009B62E7">
        <w:rPr>
          <w:rFonts w:asciiTheme="majorBidi" w:eastAsia="Times New Roman" w:hAnsiTheme="majorBidi" w:cstheme="majorBidi"/>
          <w:sz w:val="24"/>
          <w:szCs w:val="24"/>
          <w:lang w:eastAsia="en-GB"/>
        </w:rPr>
        <w:t>, 2011; Saxton et al., 2012; Ntim et al., 2017</w:t>
      </w:r>
      <w:r w:rsidR="009B62E7">
        <w:rPr>
          <w:rFonts w:ascii="Times New Roman" w:hAnsi="Times New Roman" w:cs="Times New Roman"/>
          <w:sz w:val="24"/>
          <w:szCs w:val="24"/>
        </w:rPr>
        <w:t>)</w:t>
      </w:r>
      <w:r w:rsidR="0038413A">
        <w:rPr>
          <w:rFonts w:ascii="Times New Roman" w:hAnsi="Times New Roman" w:cs="Times New Roman"/>
          <w:sz w:val="24"/>
          <w:szCs w:val="24"/>
        </w:rPr>
        <w:t xml:space="preserve">. </w:t>
      </w:r>
      <w:r w:rsidR="0038413A" w:rsidRPr="0038413A">
        <w:rPr>
          <w:rFonts w:ascii="Times New Roman" w:hAnsi="Times New Roman" w:cs="Times New Roman"/>
          <w:sz w:val="24"/>
          <w:szCs w:val="24"/>
        </w:rPr>
        <w:t xml:space="preserve">Accordingly, we estimate our </w:t>
      </w:r>
      <w:r w:rsidR="0096296C">
        <w:rPr>
          <w:rFonts w:ascii="Times New Roman" w:hAnsi="Times New Roman" w:cs="Times New Roman"/>
          <w:sz w:val="24"/>
          <w:szCs w:val="24"/>
        </w:rPr>
        <w:t>baseline</w:t>
      </w:r>
      <w:r w:rsidR="0038413A" w:rsidRPr="0038413A">
        <w:rPr>
          <w:rFonts w:ascii="Times New Roman" w:hAnsi="Times New Roman" w:cs="Times New Roman"/>
          <w:sz w:val="24"/>
          <w:szCs w:val="24"/>
        </w:rPr>
        <w:t xml:space="preserve"> model as follows:</w:t>
      </w:r>
    </w:p>
    <w:bookmarkStart w:id="5" w:name="_Hlk110330225"/>
    <w:p w14:paraId="50A8A562" w14:textId="0A522004" w:rsidR="00481FCE" w:rsidRPr="00481FCE" w:rsidRDefault="00837DA7" w:rsidP="00481FCE">
      <w:pPr>
        <w:spacing w:after="0" w:line="24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HERDI</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HE</m:t>
          </m:r>
          <m:sSub>
            <m:sSubPr>
              <m:ctrlPr>
                <w:rPr>
                  <w:rFonts w:ascii="Cambria Math" w:hAnsi="Cambria Math" w:cs="Times New Roman"/>
                  <w:i/>
                  <w:sz w:val="24"/>
                  <w:szCs w:val="24"/>
                </w:rPr>
              </m:ctrlPr>
            </m:sSubPr>
            <m:e>
              <m:r>
                <w:rPr>
                  <w:rFonts w:ascii="Cambria Math" w:hAnsi="Cambria Math" w:cs="Times New Roman"/>
                  <w:sz w:val="24"/>
                  <w:szCs w:val="24"/>
                </w:rPr>
                <m:t>GQI</m:t>
              </m:r>
            </m:e>
            <m:sub>
              <m:r>
                <w:rPr>
                  <w:rFonts w:ascii="Cambria Math" w:hAnsi="Cambria Math" w:cs="Times New Roman"/>
                  <w:sz w:val="24"/>
                  <w:szCs w:val="24"/>
                </w:rPr>
                <m:t>it</m:t>
              </m:r>
            </m:sub>
          </m:sSub>
          <m:r>
            <w:rPr>
              <w:rFonts w:ascii="Cambria Math" w:hAnsi="Cambria Math" w:cs="Times New Roman"/>
              <w:sz w:val="24"/>
              <w:szCs w:val="24"/>
            </w:rPr>
            <m:t>+</m:t>
          </m:r>
          <m:nary>
            <m:naryPr>
              <m:chr m:val="∑"/>
              <m:ctrlPr>
                <w:rPr>
                  <w:rFonts w:ascii="Cambria Math" w:hAnsi="Cambria Math" w:cs="Times New Roman"/>
                  <w:i/>
                  <w:sz w:val="24"/>
                  <w:szCs w:val="24"/>
                </w:rPr>
              </m:ctrlPr>
            </m:naryPr>
            <m:sub>
              <m:r>
                <w:rPr>
                  <w:rFonts w:ascii="Cambria Math" w:hAnsi="Cambria Math" w:cs="Times New Roman"/>
                  <w:sz w:val="24"/>
                  <w:szCs w:val="24"/>
                </w:rPr>
                <m:t>j</m:t>
              </m:r>
              <m:r>
                <w:rPr>
                  <w:rFonts w:ascii="Cambria Math" w:hAnsi="Cambria Math" w:cs="Times New Roman"/>
                  <w:sz w:val="24"/>
                  <w:szCs w:val="24"/>
                </w:rPr>
                <m:t>=1</m:t>
              </m:r>
            </m:sub>
            <m:sup>
              <m:r>
                <w:rPr>
                  <w:rFonts w:ascii="Cambria Math" w:hAnsi="Cambria Math" w:cs="Times New Roman"/>
                  <w:sz w:val="24"/>
                  <w:szCs w:val="24"/>
                </w:rPr>
                <m:t>4</m:t>
              </m:r>
            </m:sup>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j</m:t>
                  </m:r>
                </m:sub>
              </m:sSub>
            </m:e>
          </m:nary>
          <m:sSub>
            <m:sSubPr>
              <m:ctrlPr>
                <w:rPr>
                  <w:rFonts w:ascii="Cambria Math" w:hAnsi="Cambria Math" w:cs="Times New Roman"/>
                  <w:i/>
                  <w:sz w:val="24"/>
                  <w:szCs w:val="24"/>
                </w:rPr>
              </m:ctrlPr>
            </m:sSubPr>
            <m:e>
              <m:r>
                <w:rPr>
                  <w:rFonts w:ascii="Cambria Math" w:hAnsi="Cambria Math" w:cs="Times New Roman"/>
                  <w:sz w:val="24"/>
                  <w:szCs w:val="24"/>
                </w:rPr>
                <m:t>VCControls</m:t>
              </m:r>
            </m:e>
            <m:sub>
              <m:r>
                <w:rPr>
                  <w:rFonts w:ascii="Cambria Math" w:hAnsi="Cambria Math" w:cs="Times New Roman"/>
                  <w:sz w:val="24"/>
                  <w:szCs w:val="24"/>
                </w:rPr>
                <m:t>it</m:t>
              </m:r>
            </m:sub>
          </m:sSub>
          <m:r>
            <w:rPr>
              <w:rFonts w:ascii="Cambria Math" w:hAnsi="Cambria Math" w:cs="Times New Roman"/>
              <w:sz w:val="24"/>
              <w:szCs w:val="24"/>
            </w:rPr>
            <m:t>+</m:t>
          </m:r>
          <m:nary>
            <m:naryPr>
              <m:chr m:val="∑"/>
              <m:ctrlPr>
                <w:rPr>
                  <w:rFonts w:ascii="Cambria Math" w:hAnsi="Cambria Math" w:cs="Times New Roman"/>
                  <w:i/>
                  <w:sz w:val="24"/>
                  <w:szCs w:val="24"/>
                </w:rPr>
              </m:ctrlPr>
            </m:naryPr>
            <m:sub>
              <m:r>
                <w:rPr>
                  <w:rFonts w:ascii="Cambria Math" w:hAnsi="Cambria Math" w:cs="Times New Roman"/>
                  <w:sz w:val="24"/>
                  <w:szCs w:val="24"/>
                </w:rPr>
                <m:t>l</m:t>
              </m:r>
              <m:r>
                <w:rPr>
                  <w:rFonts w:ascii="Cambria Math" w:hAnsi="Cambria Math" w:cs="Times New Roman"/>
                  <w:sz w:val="24"/>
                  <w:szCs w:val="24"/>
                </w:rPr>
                <m:t>=1</m:t>
              </m:r>
            </m:sub>
            <m:sup>
              <m:r>
                <w:rPr>
                  <w:rFonts w:ascii="Cambria Math" w:hAnsi="Cambria Math" w:cs="Times New Roman"/>
                  <w:sz w:val="24"/>
                  <w:szCs w:val="24"/>
                </w:rPr>
                <m:t>12</m:t>
              </m:r>
            </m:sup>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k</m:t>
                  </m:r>
                </m:sub>
              </m:sSub>
            </m:e>
          </m:nary>
          <m:sSub>
            <m:sSubPr>
              <m:ctrlPr>
                <w:rPr>
                  <w:rFonts w:ascii="Cambria Math" w:hAnsi="Cambria Math" w:cs="Times New Roman"/>
                  <w:i/>
                  <w:sz w:val="24"/>
                  <w:szCs w:val="24"/>
                </w:rPr>
              </m:ctrlPr>
            </m:sSubPr>
            <m:e>
              <m:r>
                <w:rPr>
                  <w:rFonts w:ascii="Cambria Math" w:hAnsi="Cambria Math" w:cs="Times New Roman"/>
                  <w:sz w:val="24"/>
                  <w:szCs w:val="24"/>
                </w:rPr>
                <m:t>HEIContro</m:t>
              </m:r>
              <m:r>
                <w:rPr>
                  <w:rFonts w:ascii="Cambria Math" w:hAnsi="Cambria Math" w:cs="Times New Roman"/>
                  <w:sz w:val="24"/>
                  <w:szCs w:val="24"/>
                </w:rPr>
                <m:t>ls</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oMath>
      </m:oMathPara>
      <w:bookmarkEnd w:id="5"/>
    </w:p>
    <w:p w14:paraId="246E27E8" w14:textId="1FBFEBE5" w:rsidR="00A1044B" w:rsidRDefault="00481FCE" w:rsidP="00481FCE">
      <w:pPr>
        <w:spacing w:after="0" w:line="240" w:lineRule="auto"/>
        <w:jc w:val="right"/>
        <w:rPr>
          <w:rFonts w:asciiTheme="majorBidi" w:hAnsiTheme="majorBidi" w:cstheme="majorBidi"/>
          <w:sz w:val="24"/>
          <w:szCs w:val="24"/>
        </w:rPr>
      </w:pPr>
      <w:r>
        <w:rPr>
          <w:rFonts w:asciiTheme="majorBidi" w:hAnsiTheme="majorBidi" w:cstheme="majorBidi"/>
          <w:sz w:val="24"/>
          <w:szCs w:val="24"/>
        </w:rPr>
        <w:t xml:space="preserve">        </w:t>
      </w:r>
      <w:r w:rsidR="00A1044B" w:rsidRPr="00B80BBF">
        <w:rPr>
          <w:rFonts w:asciiTheme="majorBidi" w:hAnsiTheme="majorBidi" w:cstheme="majorBidi"/>
          <w:sz w:val="24"/>
          <w:szCs w:val="24"/>
        </w:rPr>
        <w:t>(1)</w:t>
      </w:r>
    </w:p>
    <w:p w14:paraId="20C96624" w14:textId="77777777" w:rsidR="00481FCE" w:rsidRPr="00B80BBF" w:rsidRDefault="00481FCE" w:rsidP="00481FCE">
      <w:pPr>
        <w:spacing w:after="0" w:line="240" w:lineRule="auto"/>
        <w:jc w:val="right"/>
        <w:rPr>
          <w:rFonts w:asciiTheme="majorBidi" w:hAnsiTheme="majorBidi" w:cstheme="majorBidi"/>
          <w:sz w:val="24"/>
          <w:szCs w:val="24"/>
        </w:rPr>
      </w:pPr>
    </w:p>
    <w:p w14:paraId="61A1C6FF" w14:textId="6567A1D7" w:rsidR="00FE0E42" w:rsidRDefault="00FE0E42" w:rsidP="00FE0E42">
      <w:pPr>
        <w:spacing w:after="0" w:line="240" w:lineRule="auto"/>
        <w:jc w:val="both"/>
        <w:rPr>
          <w:rFonts w:ascii="Times New Roman" w:hAnsi="Times New Roman" w:cs="Times New Roman"/>
          <w:sz w:val="24"/>
          <w:szCs w:val="24"/>
        </w:rPr>
      </w:pPr>
      <w:r w:rsidRPr="00AD3A2D">
        <w:rPr>
          <w:rFonts w:ascii="Times New Roman" w:hAnsi="Times New Roman" w:cs="Times New Roman"/>
          <w:sz w:val="24"/>
          <w:szCs w:val="24"/>
        </w:rPr>
        <w:t xml:space="preserve">Where </w:t>
      </w:r>
      <w:r w:rsidR="00934002">
        <w:rPr>
          <w:rFonts w:ascii="Times New Roman" w:hAnsi="Times New Roman" w:cs="Times New Roman"/>
          <w:i/>
          <w:iCs/>
          <w:sz w:val="24"/>
          <w:szCs w:val="24"/>
        </w:rPr>
        <w:t>HE</w:t>
      </w:r>
      <w:r w:rsidR="007E3F5D">
        <w:rPr>
          <w:rFonts w:ascii="Times New Roman" w:hAnsi="Times New Roman" w:cs="Times New Roman"/>
          <w:i/>
          <w:iCs/>
          <w:sz w:val="24"/>
          <w:szCs w:val="24"/>
        </w:rPr>
        <w:t xml:space="preserve">RDI </w:t>
      </w:r>
      <w:r w:rsidR="007E3F5D">
        <w:rPr>
          <w:rFonts w:ascii="Times New Roman" w:hAnsi="Times New Roman" w:cs="Times New Roman"/>
          <w:sz w:val="24"/>
          <w:szCs w:val="24"/>
        </w:rPr>
        <w:t>r</w:t>
      </w:r>
      <w:r w:rsidR="007E3F5D" w:rsidRPr="00F70A3E">
        <w:rPr>
          <w:rFonts w:ascii="Times New Roman" w:hAnsi="Times New Roman" w:cs="Times New Roman"/>
          <w:sz w:val="24"/>
          <w:szCs w:val="24"/>
        </w:rPr>
        <w:t>efers to</w:t>
      </w:r>
      <w:r w:rsidR="00934002">
        <w:rPr>
          <w:rFonts w:ascii="Times New Roman" w:hAnsi="Times New Roman" w:cs="Times New Roman"/>
          <w:sz w:val="24"/>
          <w:szCs w:val="24"/>
        </w:rPr>
        <w:t xml:space="preserve"> HE</w:t>
      </w:r>
      <w:r w:rsidR="001377AA">
        <w:rPr>
          <w:rFonts w:ascii="Times New Roman" w:hAnsi="Times New Roman" w:cs="Times New Roman"/>
          <w:sz w:val="24"/>
          <w:szCs w:val="24"/>
        </w:rPr>
        <w:t>I</w:t>
      </w:r>
      <w:r w:rsidR="007E3F5D" w:rsidRPr="00F70A3E">
        <w:rPr>
          <w:rFonts w:ascii="Times New Roman" w:hAnsi="Times New Roman" w:cs="Times New Roman"/>
          <w:sz w:val="24"/>
          <w:szCs w:val="24"/>
        </w:rPr>
        <w:t xml:space="preserve"> risk disclosure index</w:t>
      </w:r>
      <w:r w:rsidR="007E3F5D">
        <w:rPr>
          <w:rFonts w:ascii="Times New Roman" w:hAnsi="Times New Roman" w:cs="Times New Roman"/>
          <w:sz w:val="24"/>
          <w:szCs w:val="24"/>
        </w:rPr>
        <w:t xml:space="preserve">; </w:t>
      </w:r>
      <w:r w:rsidR="00934002">
        <w:rPr>
          <w:rFonts w:ascii="Times New Roman" w:hAnsi="Times New Roman" w:cs="Times New Roman"/>
          <w:i/>
          <w:iCs/>
          <w:sz w:val="24"/>
          <w:szCs w:val="24"/>
        </w:rPr>
        <w:t>HE</w:t>
      </w:r>
      <w:r w:rsidR="007E3F5D" w:rsidRPr="00F70A3E">
        <w:rPr>
          <w:rFonts w:ascii="Times New Roman" w:hAnsi="Times New Roman" w:cs="Times New Roman"/>
          <w:i/>
          <w:iCs/>
          <w:sz w:val="24"/>
          <w:szCs w:val="24"/>
        </w:rPr>
        <w:t xml:space="preserve">GQI </w:t>
      </w:r>
      <w:r w:rsidR="007E3F5D" w:rsidRPr="00F70A3E">
        <w:rPr>
          <w:rFonts w:ascii="Times New Roman" w:hAnsi="Times New Roman" w:cs="Times New Roman"/>
          <w:sz w:val="24"/>
          <w:szCs w:val="24"/>
        </w:rPr>
        <w:t xml:space="preserve">refers to </w:t>
      </w:r>
      <w:r w:rsidR="007E3F5D">
        <w:rPr>
          <w:rFonts w:ascii="Times New Roman" w:hAnsi="Times New Roman" w:cs="Times New Roman"/>
          <w:sz w:val="24"/>
          <w:szCs w:val="24"/>
        </w:rPr>
        <w:t xml:space="preserve">the </w:t>
      </w:r>
      <w:r w:rsidR="007E3F5D" w:rsidRPr="00F70A3E">
        <w:rPr>
          <w:rFonts w:ascii="Times New Roman" w:hAnsi="Times New Roman" w:cs="Times New Roman"/>
          <w:sz w:val="24"/>
          <w:szCs w:val="24"/>
        </w:rPr>
        <w:t>governance quality index</w:t>
      </w:r>
      <w:r w:rsidR="007E3F5D">
        <w:rPr>
          <w:rFonts w:ascii="Times New Roman" w:hAnsi="Times New Roman" w:cs="Times New Roman"/>
          <w:sz w:val="24"/>
          <w:szCs w:val="24"/>
        </w:rPr>
        <w:t>;</w:t>
      </w:r>
      <w:r>
        <w:rPr>
          <w:rFonts w:ascii="Times New Roman" w:hAnsi="Times New Roman" w:cs="Times New Roman"/>
          <w:sz w:val="24"/>
          <w:szCs w:val="24"/>
        </w:rPr>
        <w:t xml:space="preserve"> </w:t>
      </w:r>
      <w:r w:rsidRPr="00BF1479">
        <w:rPr>
          <w:rFonts w:ascii="Times New Roman" w:hAnsi="Times New Roman" w:cs="Times New Roman"/>
          <w:i/>
          <w:iCs/>
          <w:sz w:val="24"/>
          <w:szCs w:val="24"/>
        </w:rPr>
        <w:t>VCControls</w:t>
      </w:r>
      <w:r>
        <w:rPr>
          <w:rFonts w:ascii="Times New Roman" w:hAnsi="Times New Roman" w:cs="Times New Roman"/>
          <w:sz w:val="24"/>
          <w:szCs w:val="24"/>
        </w:rPr>
        <w:t xml:space="preserve"> represents</w:t>
      </w:r>
      <w:r w:rsidR="00367292">
        <w:rPr>
          <w:rFonts w:ascii="Times New Roman" w:hAnsi="Times New Roman" w:cs="Times New Roman"/>
          <w:sz w:val="24"/>
          <w:szCs w:val="24"/>
        </w:rPr>
        <w:t xml:space="preserve"> the above mentioned</w:t>
      </w:r>
      <w:r>
        <w:rPr>
          <w:rFonts w:ascii="Times New Roman" w:hAnsi="Times New Roman" w:cs="Times New Roman"/>
          <w:sz w:val="24"/>
          <w:szCs w:val="24"/>
        </w:rPr>
        <w:t xml:space="preserve"> 4 </w:t>
      </w:r>
      <w:r w:rsidRPr="00AD3A2D">
        <w:rPr>
          <w:rFonts w:ascii="Times New Roman" w:hAnsi="Times New Roman" w:cs="Times New Roman"/>
          <w:sz w:val="24"/>
          <w:szCs w:val="24"/>
        </w:rPr>
        <w:t xml:space="preserve">vice-chancellor (VC) characteristics, </w:t>
      </w:r>
      <w:bookmarkStart w:id="6" w:name="_Hlk110330211"/>
      <w:r w:rsidR="00367292">
        <w:rPr>
          <w:rFonts w:ascii="Times New Roman" w:hAnsi="Times New Roman" w:cs="Times New Roman"/>
          <w:sz w:val="24"/>
          <w:szCs w:val="24"/>
        </w:rPr>
        <w:t xml:space="preserve">and </w:t>
      </w:r>
      <w:r>
        <w:rPr>
          <w:rFonts w:ascii="Times New Roman" w:hAnsi="Times New Roman" w:cs="Times New Roman"/>
          <w:i/>
          <w:iCs/>
          <w:sz w:val="24"/>
          <w:szCs w:val="24"/>
        </w:rPr>
        <w:t>HEIControls</w:t>
      </w:r>
      <w:r w:rsidRPr="00AD3A2D">
        <w:rPr>
          <w:rFonts w:ascii="Times New Roman" w:hAnsi="Times New Roman" w:cs="Times New Roman"/>
          <w:sz w:val="24"/>
          <w:szCs w:val="24"/>
        </w:rPr>
        <w:t xml:space="preserve"> </w:t>
      </w:r>
      <w:bookmarkEnd w:id="6"/>
      <w:r w:rsidR="00367292">
        <w:rPr>
          <w:rFonts w:ascii="Times New Roman" w:hAnsi="Times New Roman" w:cs="Times New Roman"/>
          <w:sz w:val="24"/>
          <w:szCs w:val="24"/>
        </w:rPr>
        <w:t>refers to the</w:t>
      </w:r>
      <w:r w:rsidR="00797BD0">
        <w:rPr>
          <w:rFonts w:ascii="Times New Roman" w:hAnsi="Times New Roman" w:cs="Times New Roman"/>
          <w:sz w:val="24"/>
          <w:szCs w:val="24"/>
        </w:rPr>
        <w:t xml:space="preserve"> above mentioned 12</w:t>
      </w:r>
      <w:r w:rsidR="00367292">
        <w:rPr>
          <w:rFonts w:ascii="Times New Roman" w:hAnsi="Times New Roman" w:cs="Times New Roman"/>
          <w:sz w:val="24"/>
          <w:szCs w:val="24"/>
        </w:rPr>
        <w:t xml:space="preserve"> </w:t>
      </w:r>
      <w:r w:rsidRPr="00AD3A2D">
        <w:rPr>
          <w:rFonts w:ascii="Times New Roman" w:hAnsi="Times New Roman" w:cs="Times New Roman"/>
          <w:sz w:val="24"/>
          <w:szCs w:val="24"/>
        </w:rPr>
        <w:t>general HEIs characteristics</w:t>
      </w:r>
      <w:r w:rsidR="00367292">
        <w:rPr>
          <w:rFonts w:ascii="Times New Roman" w:hAnsi="Times New Roman" w:cs="Times New Roman"/>
          <w:sz w:val="24"/>
          <w:szCs w:val="24"/>
        </w:rPr>
        <w:t xml:space="preserve">. </w:t>
      </w:r>
    </w:p>
    <w:p w14:paraId="165C2152" w14:textId="7AFDF2D4" w:rsidR="00FE0E42" w:rsidRDefault="00FE0E42" w:rsidP="00FE0E4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Finally, </w:t>
      </w:r>
      <w:r w:rsidR="00A40043">
        <w:rPr>
          <w:rFonts w:ascii="Times New Roman" w:hAnsi="Times New Roman" w:cs="Times New Roman"/>
          <w:sz w:val="24"/>
          <w:szCs w:val="24"/>
        </w:rPr>
        <w:t xml:space="preserve">as </w:t>
      </w:r>
      <w:r w:rsidR="004E27BE">
        <w:rPr>
          <w:rFonts w:ascii="Times New Roman" w:hAnsi="Times New Roman" w:cs="Times New Roman"/>
          <w:sz w:val="24"/>
          <w:szCs w:val="24"/>
        </w:rPr>
        <w:t>UK HEIs’ governance i</w:t>
      </w:r>
      <w:r w:rsidR="00F8798A">
        <w:rPr>
          <w:rFonts w:ascii="Times New Roman" w:hAnsi="Times New Roman" w:cs="Times New Roman"/>
          <w:sz w:val="24"/>
          <w:szCs w:val="24"/>
        </w:rPr>
        <w:t xml:space="preserve">s “shared” arrangement </w:t>
      </w:r>
      <w:r w:rsidR="004B3E38">
        <w:rPr>
          <w:rFonts w:ascii="Times New Roman" w:hAnsi="Times New Roman" w:cs="Times New Roman"/>
          <w:sz w:val="24"/>
          <w:szCs w:val="24"/>
        </w:rPr>
        <w:t xml:space="preserve">among </w:t>
      </w:r>
      <w:r w:rsidR="0042618C">
        <w:rPr>
          <w:rFonts w:ascii="Times New Roman" w:hAnsi="Times New Roman" w:cs="Times New Roman"/>
          <w:sz w:val="24"/>
          <w:szCs w:val="24"/>
        </w:rPr>
        <w:t xml:space="preserve">senior management </w:t>
      </w:r>
      <w:r w:rsidR="00BA587E">
        <w:rPr>
          <w:rFonts w:ascii="Times New Roman" w:hAnsi="Times New Roman" w:cs="Times New Roman"/>
          <w:sz w:val="24"/>
          <w:szCs w:val="24"/>
        </w:rPr>
        <w:t>bodies</w:t>
      </w:r>
      <w:r w:rsidR="008F3263">
        <w:rPr>
          <w:rFonts w:ascii="Times New Roman" w:hAnsi="Times New Roman" w:cs="Times New Roman"/>
          <w:sz w:val="24"/>
          <w:szCs w:val="24"/>
        </w:rPr>
        <w:t xml:space="preserve"> (</w:t>
      </w:r>
      <w:r w:rsidR="008F3263" w:rsidRPr="008F3263">
        <w:rPr>
          <w:rFonts w:ascii="Times New Roman" w:hAnsi="Times New Roman" w:cs="Times New Roman"/>
          <w:sz w:val="24"/>
          <w:szCs w:val="24"/>
        </w:rPr>
        <w:t>HEI council/court, senate</w:t>
      </w:r>
      <w:r w:rsidR="00011DDA">
        <w:rPr>
          <w:rFonts w:ascii="Times New Roman" w:hAnsi="Times New Roman" w:cs="Times New Roman"/>
          <w:sz w:val="24"/>
          <w:szCs w:val="24"/>
        </w:rPr>
        <w:t>, and</w:t>
      </w:r>
      <w:r w:rsidR="008F3263" w:rsidRPr="008F3263">
        <w:rPr>
          <w:rFonts w:ascii="Times New Roman" w:hAnsi="Times New Roman" w:cs="Times New Roman"/>
          <w:sz w:val="24"/>
          <w:szCs w:val="24"/>
        </w:rPr>
        <w:t xml:space="preserve"> vice-chancery</w:t>
      </w:r>
      <w:r w:rsidR="00011DDA">
        <w:rPr>
          <w:rFonts w:ascii="Times New Roman" w:hAnsi="Times New Roman" w:cs="Times New Roman"/>
          <w:sz w:val="24"/>
          <w:szCs w:val="24"/>
        </w:rPr>
        <w:t xml:space="preserve"> teams</w:t>
      </w:r>
      <w:r w:rsidR="008F3263">
        <w:rPr>
          <w:rFonts w:ascii="Times New Roman" w:hAnsi="Times New Roman" w:cs="Times New Roman"/>
          <w:sz w:val="24"/>
          <w:szCs w:val="24"/>
        </w:rPr>
        <w:t>)</w:t>
      </w:r>
      <w:r w:rsidR="0042618C">
        <w:rPr>
          <w:rFonts w:ascii="Times New Roman" w:hAnsi="Times New Roman" w:cs="Times New Roman"/>
          <w:sz w:val="24"/>
          <w:szCs w:val="24"/>
        </w:rPr>
        <w:t xml:space="preserve">, </w:t>
      </w:r>
      <w:r w:rsidR="00011DDA">
        <w:rPr>
          <w:rFonts w:ascii="Times New Roman" w:hAnsi="Times New Roman" w:cs="Times New Roman"/>
          <w:sz w:val="24"/>
          <w:szCs w:val="24"/>
        </w:rPr>
        <w:t xml:space="preserve">and </w:t>
      </w:r>
      <w:r w:rsidRPr="00356ADA">
        <w:rPr>
          <w:rFonts w:ascii="Times New Roman" w:hAnsi="Times New Roman" w:cs="Times New Roman"/>
          <w:sz w:val="24"/>
          <w:szCs w:val="24"/>
        </w:rPr>
        <w:t xml:space="preserve">to test </w:t>
      </w:r>
      <w:r w:rsidRPr="00356ADA">
        <w:rPr>
          <w:rFonts w:ascii="Times New Roman" w:hAnsi="Times New Roman" w:cs="Times New Roman"/>
          <w:i/>
          <w:sz w:val="24"/>
          <w:szCs w:val="24"/>
        </w:rPr>
        <w:t xml:space="preserve">H2 </w:t>
      </w:r>
      <w:r w:rsidRPr="00356ADA">
        <w:rPr>
          <w:rFonts w:ascii="Times New Roman" w:hAnsi="Times New Roman" w:cs="Times New Roman"/>
          <w:sz w:val="24"/>
          <w:szCs w:val="24"/>
        </w:rPr>
        <w:t>(moderating effect of the senior management team on the governance quality</w:t>
      </w:r>
      <w:r>
        <w:rPr>
          <w:rFonts w:ascii="Times New Roman" w:hAnsi="Times New Roman" w:cs="Times New Roman"/>
          <w:sz w:val="24"/>
          <w:szCs w:val="24"/>
        </w:rPr>
        <w:t>–</w:t>
      </w:r>
      <w:r w:rsidRPr="00356ADA">
        <w:rPr>
          <w:rFonts w:ascii="Times New Roman" w:hAnsi="Times New Roman" w:cs="Times New Roman"/>
          <w:sz w:val="24"/>
          <w:szCs w:val="24"/>
        </w:rPr>
        <w:t>risk disclosure</w:t>
      </w:r>
      <w:r>
        <w:rPr>
          <w:rFonts w:ascii="Times New Roman" w:hAnsi="Times New Roman" w:cs="Times New Roman"/>
          <w:sz w:val="24"/>
          <w:szCs w:val="24"/>
        </w:rPr>
        <w:t>s</w:t>
      </w:r>
      <w:r w:rsidRPr="00356ADA">
        <w:rPr>
          <w:rFonts w:ascii="Times New Roman" w:hAnsi="Times New Roman" w:cs="Times New Roman"/>
          <w:sz w:val="24"/>
          <w:szCs w:val="24"/>
        </w:rPr>
        <w:t xml:space="preserve"> nexus), we create</w:t>
      </w:r>
      <w:r>
        <w:rPr>
          <w:rFonts w:ascii="Times New Roman" w:hAnsi="Times New Roman" w:cs="Times New Roman"/>
          <w:sz w:val="24"/>
          <w:szCs w:val="24"/>
        </w:rPr>
        <w:t>d</w:t>
      </w:r>
      <w:r w:rsidRPr="00356ADA">
        <w:rPr>
          <w:rFonts w:ascii="Times New Roman" w:hAnsi="Times New Roman" w:cs="Times New Roman"/>
          <w:sz w:val="24"/>
          <w:szCs w:val="24"/>
        </w:rPr>
        <w:t xml:space="preserve"> interaction variables between the characteristics of senior management (meetings – </w:t>
      </w:r>
      <w:r w:rsidR="00934002">
        <w:rPr>
          <w:rFonts w:ascii="Times New Roman" w:hAnsi="Times New Roman" w:cs="Times New Roman"/>
          <w:i/>
          <w:iCs/>
          <w:sz w:val="24"/>
          <w:szCs w:val="24"/>
        </w:rPr>
        <w:t>SM</w:t>
      </w:r>
      <w:r w:rsidRPr="00356ADA">
        <w:rPr>
          <w:rFonts w:ascii="Times New Roman" w:hAnsi="Times New Roman" w:cs="Times New Roman"/>
          <w:i/>
          <w:iCs/>
          <w:sz w:val="24"/>
          <w:szCs w:val="24"/>
        </w:rPr>
        <w:t xml:space="preserve">TM, </w:t>
      </w:r>
      <w:r w:rsidRPr="00194798">
        <w:rPr>
          <w:rFonts w:ascii="Times New Roman" w:hAnsi="Times New Roman" w:cs="Times New Roman"/>
          <w:sz w:val="24"/>
          <w:szCs w:val="24"/>
        </w:rPr>
        <w:lastRenderedPageBreak/>
        <w:t>gender and ethnicity diversity</w:t>
      </w:r>
      <w:r>
        <w:rPr>
          <w:rFonts w:ascii="Times New Roman" w:hAnsi="Times New Roman" w:cs="Times New Roman"/>
          <w:i/>
          <w:iCs/>
          <w:sz w:val="24"/>
          <w:szCs w:val="24"/>
        </w:rPr>
        <w:t xml:space="preserve"> – </w:t>
      </w:r>
      <w:r w:rsidR="00934002">
        <w:rPr>
          <w:rFonts w:ascii="Times New Roman" w:hAnsi="Times New Roman" w:cs="Times New Roman"/>
          <w:i/>
          <w:iCs/>
          <w:sz w:val="24"/>
          <w:szCs w:val="24"/>
        </w:rPr>
        <w:t>SM</w:t>
      </w:r>
      <w:r>
        <w:rPr>
          <w:rFonts w:ascii="Times New Roman" w:hAnsi="Times New Roman" w:cs="Times New Roman"/>
          <w:i/>
          <w:iCs/>
          <w:sz w:val="24"/>
          <w:szCs w:val="24"/>
        </w:rPr>
        <w:t>T</w:t>
      </w:r>
      <w:r w:rsidR="00934002">
        <w:rPr>
          <w:rFonts w:ascii="Times New Roman" w:hAnsi="Times New Roman" w:cs="Times New Roman"/>
          <w:i/>
          <w:iCs/>
          <w:sz w:val="24"/>
          <w:szCs w:val="24"/>
        </w:rPr>
        <w:t>GE</w:t>
      </w:r>
      <w:r>
        <w:rPr>
          <w:rFonts w:ascii="Times New Roman" w:hAnsi="Times New Roman" w:cs="Times New Roman"/>
          <w:i/>
          <w:iCs/>
          <w:sz w:val="24"/>
          <w:szCs w:val="24"/>
        </w:rPr>
        <w:t xml:space="preserve">D, </w:t>
      </w:r>
      <w:r w:rsidRPr="00194798">
        <w:rPr>
          <w:rFonts w:ascii="Times New Roman" w:hAnsi="Times New Roman" w:cs="Times New Roman"/>
          <w:sz w:val="24"/>
          <w:szCs w:val="24"/>
        </w:rPr>
        <w:t>gender diversity</w:t>
      </w:r>
      <w:r>
        <w:rPr>
          <w:rFonts w:ascii="Times New Roman" w:hAnsi="Times New Roman" w:cs="Times New Roman"/>
          <w:i/>
          <w:iCs/>
          <w:sz w:val="24"/>
          <w:szCs w:val="24"/>
        </w:rPr>
        <w:t xml:space="preserve"> – </w:t>
      </w:r>
      <w:r w:rsidR="00934002">
        <w:rPr>
          <w:rFonts w:ascii="Times New Roman" w:hAnsi="Times New Roman" w:cs="Times New Roman"/>
          <w:i/>
          <w:iCs/>
          <w:sz w:val="24"/>
          <w:szCs w:val="24"/>
        </w:rPr>
        <w:t>SM</w:t>
      </w:r>
      <w:r>
        <w:rPr>
          <w:rFonts w:ascii="Times New Roman" w:hAnsi="Times New Roman" w:cs="Times New Roman"/>
          <w:i/>
          <w:iCs/>
          <w:sz w:val="24"/>
          <w:szCs w:val="24"/>
        </w:rPr>
        <w:t xml:space="preserve">TGD, </w:t>
      </w:r>
      <w:r w:rsidRPr="00194798">
        <w:rPr>
          <w:rFonts w:ascii="Times New Roman" w:hAnsi="Times New Roman" w:cs="Times New Roman"/>
          <w:sz w:val="24"/>
          <w:szCs w:val="24"/>
        </w:rPr>
        <w:t>ethnicity diversity</w:t>
      </w:r>
      <w:r>
        <w:rPr>
          <w:rFonts w:ascii="Times New Roman" w:hAnsi="Times New Roman" w:cs="Times New Roman"/>
          <w:i/>
          <w:iCs/>
          <w:sz w:val="24"/>
          <w:szCs w:val="24"/>
        </w:rPr>
        <w:t xml:space="preserve"> – </w:t>
      </w:r>
      <w:r w:rsidR="00934002">
        <w:rPr>
          <w:rFonts w:ascii="Times New Roman" w:hAnsi="Times New Roman" w:cs="Times New Roman"/>
          <w:i/>
          <w:iCs/>
          <w:sz w:val="24"/>
          <w:szCs w:val="24"/>
        </w:rPr>
        <w:t>SM</w:t>
      </w:r>
      <w:r>
        <w:rPr>
          <w:rFonts w:ascii="Times New Roman" w:hAnsi="Times New Roman" w:cs="Times New Roman"/>
          <w:i/>
          <w:iCs/>
          <w:sz w:val="24"/>
          <w:szCs w:val="24"/>
        </w:rPr>
        <w:t>TED</w:t>
      </w:r>
      <w:r w:rsidRPr="00356ADA">
        <w:rPr>
          <w:rFonts w:ascii="Times New Roman" w:hAnsi="Times New Roman" w:cs="Times New Roman"/>
          <w:sz w:val="24"/>
          <w:szCs w:val="24"/>
        </w:rPr>
        <w:t xml:space="preserve">, and size – </w:t>
      </w:r>
      <w:r w:rsidR="00934002">
        <w:rPr>
          <w:rFonts w:ascii="Times New Roman" w:hAnsi="Times New Roman" w:cs="Times New Roman"/>
          <w:i/>
          <w:iCs/>
          <w:sz w:val="24"/>
          <w:szCs w:val="24"/>
        </w:rPr>
        <w:t>SM</w:t>
      </w:r>
      <w:r w:rsidRPr="00356ADA">
        <w:rPr>
          <w:rFonts w:ascii="Times New Roman" w:hAnsi="Times New Roman" w:cs="Times New Roman"/>
          <w:i/>
          <w:iCs/>
          <w:sz w:val="24"/>
          <w:szCs w:val="24"/>
        </w:rPr>
        <w:t>TSZ</w:t>
      </w:r>
      <w:r w:rsidR="00934002">
        <w:rPr>
          <w:rFonts w:ascii="Times New Roman" w:hAnsi="Times New Roman" w:cs="Times New Roman"/>
          <w:i/>
          <w:iCs/>
          <w:sz w:val="24"/>
          <w:szCs w:val="24"/>
        </w:rPr>
        <w:t>E</w:t>
      </w:r>
      <w:r w:rsidRPr="00356ADA">
        <w:rPr>
          <w:rFonts w:ascii="Times New Roman" w:hAnsi="Times New Roman" w:cs="Times New Roman"/>
          <w:sz w:val="24"/>
          <w:szCs w:val="24"/>
        </w:rPr>
        <w:t xml:space="preserve">) and </w:t>
      </w:r>
      <w:r>
        <w:rPr>
          <w:rFonts w:ascii="Times New Roman" w:hAnsi="Times New Roman" w:cs="Times New Roman"/>
          <w:sz w:val="24"/>
          <w:szCs w:val="24"/>
        </w:rPr>
        <w:t xml:space="preserve">the </w:t>
      </w:r>
      <w:r w:rsidR="00934002">
        <w:rPr>
          <w:rFonts w:ascii="Times New Roman" w:hAnsi="Times New Roman" w:cs="Times New Roman"/>
          <w:i/>
          <w:iCs/>
          <w:sz w:val="24"/>
          <w:szCs w:val="24"/>
        </w:rPr>
        <w:t>HE</w:t>
      </w:r>
      <w:r w:rsidRPr="00356ADA">
        <w:rPr>
          <w:rFonts w:ascii="Times New Roman" w:hAnsi="Times New Roman" w:cs="Times New Roman"/>
          <w:i/>
          <w:iCs/>
          <w:sz w:val="24"/>
          <w:szCs w:val="24"/>
        </w:rPr>
        <w:t>GQI</w:t>
      </w:r>
      <w:r>
        <w:rPr>
          <w:rFonts w:ascii="Times New Roman" w:hAnsi="Times New Roman" w:cs="Times New Roman"/>
          <w:sz w:val="24"/>
          <w:szCs w:val="24"/>
        </w:rPr>
        <w:t xml:space="preserve">. We also controlled for the same </w:t>
      </w:r>
      <w:bookmarkStart w:id="7" w:name="_Hlk110331811"/>
      <w:r w:rsidRPr="00A752B4">
        <w:rPr>
          <w:rFonts w:ascii="Times New Roman" w:hAnsi="Times New Roman" w:cs="Times New Roman"/>
          <w:i/>
          <w:iCs/>
          <w:sz w:val="24"/>
          <w:szCs w:val="24"/>
        </w:rPr>
        <w:t>VCControls</w:t>
      </w:r>
      <w:r>
        <w:rPr>
          <w:rFonts w:ascii="Times New Roman" w:hAnsi="Times New Roman" w:cs="Times New Roman"/>
          <w:i/>
          <w:iCs/>
          <w:sz w:val="24"/>
          <w:szCs w:val="24"/>
        </w:rPr>
        <w:t xml:space="preserve"> </w:t>
      </w:r>
      <w:r>
        <w:rPr>
          <w:rFonts w:ascii="Times New Roman" w:hAnsi="Times New Roman" w:cs="Times New Roman"/>
          <w:sz w:val="24"/>
          <w:szCs w:val="24"/>
        </w:rPr>
        <w:t xml:space="preserve">and </w:t>
      </w:r>
      <w:r>
        <w:rPr>
          <w:rFonts w:ascii="Times New Roman" w:hAnsi="Times New Roman" w:cs="Times New Roman"/>
          <w:i/>
          <w:iCs/>
          <w:sz w:val="24"/>
          <w:szCs w:val="24"/>
        </w:rPr>
        <w:t>HEIControls</w:t>
      </w:r>
      <w:r>
        <w:rPr>
          <w:rFonts w:ascii="Times New Roman" w:hAnsi="Times New Roman" w:cs="Times New Roman"/>
          <w:sz w:val="24"/>
          <w:szCs w:val="24"/>
        </w:rPr>
        <w:t xml:space="preserve"> </w:t>
      </w:r>
      <w:bookmarkEnd w:id="7"/>
      <w:r>
        <w:rPr>
          <w:rFonts w:ascii="Times New Roman" w:hAnsi="Times New Roman" w:cs="Times New Roman"/>
          <w:sz w:val="24"/>
          <w:szCs w:val="24"/>
        </w:rPr>
        <w:t>variables. Accordingly, model 2 is specified as follows:</w:t>
      </w:r>
    </w:p>
    <w:p w14:paraId="14B47BC1" w14:textId="77777777" w:rsidR="00967A77" w:rsidRDefault="00967A77" w:rsidP="00FE0E42">
      <w:pPr>
        <w:spacing w:after="0" w:line="240" w:lineRule="auto"/>
        <w:ind w:firstLine="284"/>
        <w:jc w:val="both"/>
        <w:rPr>
          <w:rFonts w:ascii="Times New Roman" w:hAnsi="Times New Roman" w:cs="Times New Roman"/>
          <w:sz w:val="24"/>
          <w:szCs w:val="24"/>
        </w:rPr>
      </w:pPr>
    </w:p>
    <w:p w14:paraId="0CC02845" w14:textId="03F38503" w:rsidR="009A2CD2" w:rsidRPr="00367292" w:rsidRDefault="00837DA7" w:rsidP="00367292">
      <w:pPr>
        <w:spacing w:after="0" w:line="240" w:lineRule="auto"/>
        <w:jc w:val="both"/>
        <w:rPr>
          <w:rFonts w:ascii="Times New Roman" w:hAnsi="Times New Roman" w:cs="Times New Roman"/>
          <w:i/>
          <w:iCs/>
          <w:sz w:val="28"/>
          <w:szCs w:val="28"/>
        </w:rPr>
      </w:pPr>
      <m:oMathPara>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HERDI</m:t>
              </m:r>
            </m:e>
            <m:sub>
              <m:r>
                <w:rPr>
                  <w:rFonts w:ascii="Cambria Math" w:eastAsia="Calibri" w:hAnsi="Cambria Math" w:cs="Times New Roman"/>
                  <w:sz w:val="24"/>
                  <w:szCs w:val="24"/>
                </w:rPr>
                <m:t>it</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α</m:t>
              </m:r>
            </m:e>
            <m:sub>
              <m:r>
                <w:rPr>
                  <w:rFonts w:ascii="Cambria Math" w:eastAsia="Calibri" w:hAnsi="Cambria Math" w:cs="Times New Roman"/>
                  <w:sz w:val="24"/>
                  <w:szCs w:val="24"/>
                </w:rPr>
                <m:t>0</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1</m:t>
              </m:r>
            </m:sub>
          </m:sSub>
          <m:r>
            <w:rPr>
              <w:rFonts w:ascii="Cambria Math" w:eastAsia="Calibri" w:hAnsi="Cambria Math" w:cs="Times New Roman"/>
              <w:sz w:val="24"/>
              <w:szCs w:val="24"/>
            </w:rPr>
            <m:t>HE</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GQI</m:t>
              </m:r>
            </m:e>
            <m:sub>
              <m:r>
                <w:rPr>
                  <w:rFonts w:ascii="Cambria Math" w:eastAsia="Calibri" w:hAnsi="Cambria Math" w:cs="Times New Roman"/>
                  <w:sz w:val="24"/>
                  <w:szCs w:val="24"/>
                </w:rPr>
                <m:t>it</m:t>
              </m:r>
            </m:sub>
          </m:sSub>
          <m:r>
            <w:rPr>
              <w:rFonts w:ascii="Cambria Math" w:eastAsia="Calibri" w:hAnsi="Cambria Math" w:cs="Times New Roman"/>
              <w:sz w:val="24"/>
              <w:szCs w:val="24"/>
            </w:rPr>
            <m:t>+</m:t>
          </m:r>
          <m:nary>
            <m:naryPr>
              <m:chr m:val="∑"/>
              <m:ctrlPr>
                <w:rPr>
                  <w:rFonts w:ascii="Cambria Math" w:eastAsia="Calibri" w:hAnsi="Cambria Math" w:cs="Times New Roman"/>
                  <w:i/>
                  <w:sz w:val="24"/>
                  <w:szCs w:val="24"/>
                </w:rPr>
              </m:ctrlPr>
            </m:naryPr>
            <m:sub>
              <m:r>
                <w:rPr>
                  <w:rFonts w:ascii="Cambria Math" w:eastAsia="Calibri" w:hAnsi="Cambria Math" w:cs="Times New Roman"/>
                  <w:sz w:val="24"/>
                  <w:szCs w:val="24"/>
                </w:rPr>
                <m:t>j</m:t>
              </m:r>
              <m:r>
                <w:rPr>
                  <w:rFonts w:ascii="Cambria Math" w:eastAsia="Calibri" w:hAnsi="Cambria Math" w:cs="Times New Roman"/>
                  <w:sz w:val="24"/>
                  <w:szCs w:val="24"/>
                </w:rPr>
                <m:t>=1</m:t>
              </m:r>
            </m:sub>
            <m:sup>
              <m:r>
                <w:rPr>
                  <w:rFonts w:ascii="Cambria Math" w:eastAsia="Calibri" w:hAnsi="Cambria Math" w:cs="Times New Roman"/>
                  <w:sz w:val="24"/>
                  <w:szCs w:val="24"/>
                </w:rPr>
                <m:t>3</m:t>
              </m:r>
            </m:sup>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j</m:t>
                  </m:r>
                </m:sub>
              </m:sSub>
            </m:e>
          </m:nary>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SMTC</m:t>
              </m:r>
            </m:e>
            <m:sub>
              <m:r>
                <w:rPr>
                  <w:rFonts w:ascii="Cambria Math" w:eastAsia="Calibri" w:hAnsi="Cambria Math" w:cs="Times New Roman"/>
                  <w:sz w:val="24"/>
                  <w:szCs w:val="24"/>
                </w:rPr>
                <m:t>it</m:t>
              </m:r>
              <m:r>
                <w:rPr>
                  <w:rFonts w:ascii="Cambria Math" w:eastAsia="Calibri" w:hAnsi="Cambria Math" w:cs="Times New Roman"/>
                  <w:sz w:val="24"/>
                  <w:szCs w:val="24"/>
                </w:rPr>
                <m:t>-</m:t>
              </m:r>
              <m:r>
                <w:rPr>
                  <w:rFonts w:ascii="Cambria Math" w:eastAsia="Calibri" w:hAnsi="Cambria Math" w:cs="Times New Roman"/>
                  <w:sz w:val="24"/>
                  <w:szCs w:val="24"/>
                </w:rPr>
                <m:t>1</m:t>
              </m:r>
            </m:sub>
          </m:sSub>
          <m:r>
            <w:rPr>
              <w:rFonts w:ascii="Cambria Math" w:eastAsia="Calibri" w:hAnsi="Cambria Math" w:cs="Times New Roman"/>
              <w:sz w:val="24"/>
              <w:szCs w:val="24"/>
            </w:rPr>
            <m:t>+</m:t>
          </m:r>
          <m:nary>
            <m:naryPr>
              <m:chr m:val="∑"/>
              <m:ctrlPr>
                <w:rPr>
                  <w:rFonts w:ascii="Cambria Math" w:eastAsia="Calibri" w:hAnsi="Cambria Math" w:cs="Times New Roman"/>
                  <w:i/>
                  <w:sz w:val="24"/>
                  <w:szCs w:val="24"/>
                </w:rPr>
              </m:ctrlPr>
            </m:naryPr>
            <m:sub>
              <m:r>
                <w:rPr>
                  <w:rFonts w:ascii="Cambria Math" w:eastAsia="Calibri" w:hAnsi="Cambria Math" w:cs="Times New Roman"/>
                  <w:sz w:val="24"/>
                  <w:szCs w:val="24"/>
                </w:rPr>
                <m:t>j</m:t>
              </m:r>
              <m:r>
                <w:rPr>
                  <w:rFonts w:ascii="Cambria Math" w:eastAsia="Calibri" w:hAnsi="Cambria Math" w:cs="Times New Roman"/>
                  <w:sz w:val="24"/>
                  <w:szCs w:val="24"/>
                </w:rPr>
                <m:t>=1</m:t>
              </m:r>
            </m:sub>
            <m:sup>
              <m:r>
                <w:rPr>
                  <w:rFonts w:ascii="Cambria Math" w:eastAsia="Calibri" w:hAnsi="Cambria Math" w:cs="Times New Roman"/>
                  <w:sz w:val="24"/>
                  <w:szCs w:val="24"/>
                </w:rPr>
                <m:t>1</m:t>
              </m:r>
            </m:sup>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k</m:t>
                  </m:r>
                </m:sub>
              </m:sSub>
            </m:e>
          </m:nary>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I</m:t>
              </m:r>
              <m:r>
                <w:rPr>
                  <w:rFonts w:ascii="Cambria Math" w:eastAsia="Calibri" w:hAnsi="Cambria Math" w:cs="Times New Roman"/>
                  <w:sz w:val="24"/>
                  <w:szCs w:val="24"/>
                </w:rPr>
                <m:t>*</m:t>
              </m:r>
              <m:r>
                <w:rPr>
                  <w:rFonts w:ascii="Cambria Math" w:eastAsia="Calibri" w:hAnsi="Cambria Math" w:cs="Times New Roman"/>
                  <w:sz w:val="24"/>
                  <w:szCs w:val="24"/>
                </w:rPr>
                <m:t>HEGQI</m:t>
              </m:r>
            </m:e>
            <m:sub>
              <m:r>
                <w:rPr>
                  <w:rFonts w:ascii="Cambria Math" w:eastAsia="Calibri" w:hAnsi="Cambria Math" w:cs="Times New Roman"/>
                  <w:sz w:val="24"/>
                  <w:szCs w:val="24"/>
                </w:rPr>
                <m:t>it</m:t>
              </m:r>
            </m:sub>
          </m:sSub>
          <m:nary>
            <m:naryPr>
              <m:chr m:val="∑"/>
              <m:ctrlPr>
                <w:rPr>
                  <w:rFonts w:ascii="Cambria Math" w:eastAsia="Calibri" w:hAnsi="Cambria Math" w:cs="Times New Roman"/>
                  <w:i/>
                  <w:sz w:val="24"/>
                  <w:szCs w:val="24"/>
                </w:rPr>
              </m:ctrlPr>
            </m:naryPr>
            <m:sub>
              <m:r>
                <w:rPr>
                  <w:rFonts w:ascii="Cambria Math" w:eastAsia="Calibri" w:hAnsi="Cambria Math" w:cs="Times New Roman"/>
                  <w:sz w:val="24"/>
                  <w:szCs w:val="24"/>
                </w:rPr>
                <m:t>j</m:t>
              </m:r>
              <m:r>
                <w:rPr>
                  <w:rFonts w:ascii="Cambria Math" w:eastAsia="Calibri" w:hAnsi="Cambria Math" w:cs="Times New Roman"/>
                  <w:sz w:val="24"/>
                  <w:szCs w:val="24"/>
                </w:rPr>
                <m:t>=1</m:t>
              </m:r>
            </m:sub>
            <m:sup>
              <m:r>
                <w:rPr>
                  <w:rFonts w:ascii="Cambria Math" w:eastAsia="Calibri" w:hAnsi="Cambria Math" w:cs="Times New Roman"/>
                  <w:sz w:val="24"/>
                  <w:szCs w:val="24"/>
                </w:rPr>
                <m:t>4</m:t>
              </m:r>
            </m:sup>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l</m:t>
                  </m:r>
                </m:sub>
              </m:sSub>
            </m:e>
          </m:nary>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V</m:t>
              </m:r>
              <m:r>
                <w:rPr>
                  <w:rFonts w:ascii="Cambria Math" w:eastAsia="Calibri" w:hAnsi="Cambria Math" w:cs="Times New Roman"/>
                  <w:sz w:val="24"/>
                  <w:szCs w:val="24"/>
                </w:rPr>
                <m:t>CControls</m:t>
              </m:r>
            </m:e>
            <m:sub>
              <m:r>
                <w:rPr>
                  <w:rFonts w:ascii="Cambria Math" w:eastAsia="Calibri" w:hAnsi="Cambria Math" w:cs="Times New Roman"/>
                  <w:sz w:val="24"/>
                  <w:szCs w:val="24"/>
                </w:rPr>
                <m:t>it</m:t>
              </m:r>
            </m:sub>
          </m:sSub>
          <m:r>
            <w:rPr>
              <w:rFonts w:ascii="Cambria Math" w:eastAsia="Calibri" w:hAnsi="Cambria Math" w:cs="Times New Roman"/>
              <w:sz w:val="24"/>
              <w:szCs w:val="24"/>
            </w:rPr>
            <m:t>+</m:t>
          </m:r>
          <m:nary>
            <m:naryPr>
              <m:chr m:val="∑"/>
              <m:ctrlPr>
                <w:rPr>
                  <w:rFonts w:ascii="Cambria Math" w:eastAsia="Calibri" w:hAnsi="Cambria Math" w:cs="Times New Roman"/>
                  <w:i/>
                  <w:sz w:val="24"/>
                  <w:szCs w:val="24"/>
                </w:rPr>
              </m:ctrlPr>
            </m:naryPr>
            <m:sub>
              <m:r>
                <w:rPr>
                  <w:rFonts w:ascii="Cambria Math" w:eastAsia="Calibri" w:hAnsi="Cambria Math" w:cs="Times New Roman"/>
                  <w:sz w:val="24"/>
                  <w:szCs w:val="24"/>
                </w:rPr>
                <m:t>l</m:t>
              </m:r>
              <m:r>
                <w:rPr>
                  <w:rFonts w:ascii="Cambria Math" w:eastAsia="Calibri" w:hAnsi="Cambria Math" w:cs="Times New Roman"/>
                  <w:sz w:val="24"/>
                  <w:szCs w:val="24"/>
                </w:rPr>
                <m:t>=1</m:t>
              </m:r>
            </m:sub>
            <m:sup>
              <m:r>
                <w:rPr>
                  <w:rFonts w:ascii="Cambria Math" w:eastAsia="Calibri" w:hAnsi="Cambria Math" w:cs="Times New Roman"/>
                  <w:sz w:val="24"/>
                  <w:szCs w:val="24"/>
                </w:rPr>
                <m:t>12</m:t>
              </m:r>
            </m:sup>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m</m:t>
                  </m:r>
                </m:sub>
              </m:sSub>
            </m:e>
          </m:nary>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HEIControls</m:t>
              </m:r>
            </m:e>
            <m:sub>
              <m:r>
                <w:rPr>
                  <w:rFonts w:ascii="Cambria Math" w:eastAsia="Calibri" w:hAnsi="Cambria Math" w:cs="Times New Roman"/>
                  <w:sz w:val="24"/>
                  <w:szCs w:val="24"/>
                </w:rPr>
                <m:t>it</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ε</m:t>
              </m:r>
            </m:e>
            <m:sub>
              <m:r>
                <w:rPr>
                  <w:rFonts w:ascii="Cambria Math" w:eastAsia="Calibri" w:hAnsi="Cambria Math" w:cs="Times New Roman"/>
                  <w:sz w:val="24"/>
                  <w:szCs w:val="24"/>
                </w:rPr>
                <m:t>it</m:t>
              </m:r>
            </m:sub>
          </m:sSub>
        </m:oMath>
      </m:oMathPara>
    </w:p>
    <w:p w14:paraId="29DEA6B5" w14:textId="28921929" w:rsidR="00EF355B" w:rsidRDefault="00967A77" w:rsidP="00967A7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w:t>
      </w:r>
    </w:p>
    <w:p w14:paraId="07DBF17F" w14:textId="77777777" w:rsidR="00967A77" w:rsidRDefault="00967A77" w:rsidP="00967A77">
      <w:pPr>
        <w:spacing w:after="0" w:line="240" w:lineRule="auto"/>
        <w:jc w:val="right"/>
        <w:rPr>
          <w:rFonts w:ascii="Times New Roman" w:hAnsi="Times New Roman" w:cs="Times New Roman"/>
          <w:sz w:val="24"/>
          <w:szCs w:val="24"/>
        </w:rPr>
      </w:pPr>
    </w:p>
    <w:p w14:paraId="294EC8BC" w14:textId="68B8FEAF" w:rsidR="009F2EFF" w:rsidRPr="00A13123" w:rsidRDefault="007E3F5D" w:rsidP="009F2E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Where, </w:t>
      </w:r>
      <w:r w:rsidR="00934002">
        <w:rPr>
          <w:rFonts w:ascii="Times New Roman" w:hAnsi="Times New Roman" w:cs="Times New Roman"/>
          <w:i/>
          <w:iCs/>
          <w:sz w:val="24"/>
          <w:szCs w:val="24"/>
        </w:rPr>
        <w:t>HE</w:t>
      </w:r>
      <w:r w:rsidR="009F2EFF" w:rsidRPr="00A13123">
        <w:rPr>
          <w:rFonts w:ascii="Times New Roman" w:hAnsi="Times New Roman" w:cs="Times New Roman"/>
          <w:i/>
          <w:iCs/>
          <w:sz w:val="24"/>
          <w:szCs w:val="24"/>
        </w:rPr>
        <w:t>RDI</w:t>
      </w:r>
      <w:r w:rsidR="009F2EFF" w:rsidRPr="00F70A3E">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934002">
        <w:rPr>
          <w:rFonts w:ascii="Times New Roman" w:hAnsi="Times New Roman" w:cs="Times New Roman"/>
          <w:i/>
          <w:iCs/>
          <w:sz w:val="24"/>
          <w:szCs w:val="24"/>
        </w:rPr>
        <w:t>HE</w:t>
      </w:r>
      <w:r w:rsidR="009F2EFF" w:rsidRPr="00F70A3E">
        <w:rPr>
          <w:rFonts w:ascii="Times New Roman" w:hAnsi="Times New Roman" w:cs="Times New Roman"/>
          <w:i/>
          <w:iCs/>
          <w:sz w:val="24"/>
          <w:szCs w:val="24"/>
        </w:rPr>
        <w:t xml:space="preserve">GQI </w:t>
      </w:r>
      <w:r>
        <w:rPr>
          <w:rFonts w:ascii="Times New Roman" w:hAnsi="Times New Roman" w:cs="Times New Roman"/>
          <w:sz w:val="24"/>
          <w:szCs w:val="24"/>
        </w:rPr>
        <w:t>remain the same as specified in the previous model</w:t>
      </w:r>
      <w:r w:rsidR="009F2EFF">
        <w:rPr>
          <w:rFonts w:ascii="Times New Roman" w:hAnsi="Times New Roman" w:cs="Times New Roman"/>
          <w:sz w:val="24"/>
          <w:szCs w:val="24"/>
        </w:rPr>
        <w:t xml:space="preserve">; </w:t>
      </w:r>
      <w:r w:rsidR="009F2EFF" w:rsidRPr="00A13123">
        <w:rPr>
          <w:rFonts w:ascii="Times New Roman" w:hAnsi="Times New Roman" w:cs="Times New Roman"/>
          <w:i/>
          <w:iCs/>
          <w:sz w:val="24"/>
          <w:szCs w:val="24"/>
        </w:rPr>
        <w:t>SMTC</w:t>
      </w:r>
      <w:r w:rsidR="009F2EFF">
        <w:rPr>
          <w:rFonts w:ascii="Times New Roman" w:hAnsi="Times New Roman" w:cs="Times New Roman"/>
          <w:sz w:val="24"/>
          <w:szCs w:val="24"/>
        </w:rPr>
        <w:t xml:space="preserve"> denotes senior management characteristics</w:t>
      </w:r>
      <w:r w:rsidR="00CB79C2">
        <w:rPr>
          <w:rFonts w:ascii="Times New Roman" w:hAnsi="Times New Roman" w:cs="Times New Roman"/>
          <w:sz w:val="24"/>
          <w:szCs w:val="24"/>
        </w:rPr>
        <w:t>,</w:t>
      </w:r>
      <w:r w:rsidR="009F2EFF">
        <w:rPr>
          <w:rFonts w:ascii="Times New Roman" w:hAnsi="Times New Roman" w:cs="Times New Roman"/>
          <w:sz w:val="24"/>
          <w:szCs w:val="24"/>
        </w:rPr>
        <w:t xml:space="preserve"> consisting of senior management team </w:t>
      </w:r>
      <w:r w:rsidR="00797BD0">
        <w:rPr>
          <w:rFonts w:ascii="Times New Roman" w:hAnsi="Times New Roman" w:cs="Times New Roman"/>
          <w:sz w:val="24"/>
          <w:szCs w:val="24"/>
        </w:rPr>
        <w:t>meeting</w:t>
      </w:r>
      <w:r w:rsidR="009F2EFF">
        <w:rPr>
          <w:rFonts w:ascii="Times New Roman" w:hAnsi="Times New Roman" w:cs="Times New Roman"/>
          <w:sz w:val="24"/>
          <w:szCs w:val="24"/>
        </w:rPr>
        <w:t xml:space="preserve"> (</w:t>
      </w:r>
      <w:r w:rsidR="00934002">
        <w:rPr>
          <w:rFonts w:ascii="Times New Roman" w:hAnsi="Times New Roman" w:cs="Times New Roman"/>
          <w:i/>
          <w:iCs/>
          <w:sz w:val="24"/>
          <w:szCs w:val="24"/>
        </w:rPr>
        <w:t>SM</w:t>
      </w:r>
      <w:r w:rsidR="009F2EFF" w:rsidRPr="004273EA">
        <w:rPr>
          <w:rFonts w:ascii="Times New Roman" w:hAnsi="Times New Roman" w:cs="Times New Roman"/>
          <w:i/>
          <w:iCs/>
          <w:sz w:val="24"/>
          <w:szCs w:val="24"/>
        </w:rPr>
        <w:t>TM</w:t>
      </w:r>
      <w:r w:rsidR="009F2EFF">
        <w:rPr>
          <w:rFonts w:ascii="Times New Roman" w:hAnsi="Times New Roman" w:cs="Times New Roman"/>
          <w:sz w:val="24"/>
          <w:szCs w:val="24"/>
        </w:rPr>
        <w:t xml:space="preserve">), senior management team diversity </w:t>
      </w:r>
      <w:r w:rsidR="00055AFA">
        <w:rPr>
          <w:rFonts w:ascii="Times New Roman" w:hAnsi="Times New Roman" w:cs="Times New Roman"/>
          <w:sz w:val="24"/>
          <w:szCs w:val="24"/>
        </w:rPr>
        <w:t>[</w:t>
      </w:r>
      <w:r w:rsidR="009F2EFF">
        <w:rPr>
          <w:rFonts w:ascii="Times New Roman" w:hAnsi="Times New Roman" w:cs="Times New Roman"/>
          <w:sz w:val="24"/>
          <w:szCs w:val="24"/>
        </w:rPr>
        <w:t>(gender and ethnicity (</w:t>
      </w:r>
      <w:r w:rsidR="00934002">
        <w:rPr>
          <w:rFonts w:ascii="Times New Roman" w:hAnsi="Times New Roman" w:cs="Times New Roman"/>
          <w:i/>
          <w:iCs/>
          <w:sz w:val="24"/>
          <w:szCs w:val="24"/>
        </w:rPr>
        <w:t>SM</w:t>
      </w:r>
      <w:r w:rsidR="009F2EFF" w:rsidRPr="004273EA">
        <w:rPr>
          <w:rFonts w:ascii="Times New Roman" w:hAnsi="Times New Roman" w:cs="Times New Roman"/>
          <w:i/>
          <w:iCs/>
          <w:sz w:val="24"/>
          <w:szCs w:val="24"/>
        </w:rPr>
        <w:t>T</w:t>
      </w:r>
      <w:r w:rsidR="00934002">
        <w:rPr>
          <w:rFonts w:ascii="Times New Roman" w:hAnsi="Times New Roman" w:cs="Times New Roman"/>
          <w:i/>
          <w:iCs/>
          <w:sz w:val="24"/>
          <w:szCs w:val="24"/>
        </w:rPr>
        <w:t>GE</w:t>
      </w:r>
      <w:r w:rsidR="009F2EFF" w:rsidRPr="004273EA">
        <w:rPr>
          <w:rFonts w:ascii="Times New Roman" w:hAnsi="Times New Roman" w:cs="Times New Roman"/>
          <w:i/>
          <w:iCs/>
          <w:sz w:val="24"/>
          <w:szCs w:val="24"/>
        </w:rPr>
        <w:t>D</w:t>
      </w:r>
      <w:r w:rsidR="009F2EFF">
        <w:rPr>
          <w:rFonts w:ascii="Times New Roman" w:hAnsi="Times New Roman" w:cs="Times New Roman"/>
          <w:sz w:val="24"/>
          <w:szCs w:val="24"/>
        </w:rPr>
        <w:t>), gender (</w:t>
      </w:r>
      <w:r w:rsidR="00934002">
        <w:rPr>
          <w:rFonts w:ascii="Times New Roman" w:hAnsi="Times New Roman" w:cs="Times New Roman"/>
          <w:i/>
          <w:iCs/>
          <w:sz w:val="24"/>
          <w:szCs w:val="24"/>
        </w:rPr>
        <w:t>SM</w:t>
      </w:r>
      <w:r w:rsidR="009F2EFF" w:rsidRPr="004273EA">
        <w:rPr>
          <w:rFonts w:ascii="Times New Roman" w:hAnsi="Times New Roman" w:cs="Times New Roman"/>
          <w:i/>
          <w:iCs/>
          <w:sz w:val="24"/>
          <w:szCs w:val="24"/>
        </w:rPr>
        <w:t>TGD</w:t>
      </w:r>
      <w:r w:rsidR="009F2EFF">
        <w:rPr>
          <w:rFonts w:ascii="Times New Roman" w:hAnsi="Times New Roman" w:cs="Times New Roman"/>
          <w:sz w:val="24"/>
          <w:szCs w:val="24"/>
        </w:rPr>
        <w:t>) and ethnicity (</w:t>
      </w:r>
      <w:r w:rsidR="00934002">
        <w:rPr>
          <w:rFonts w:ascii="Times New Roman" w:hAnsi="Times New Roman" w:cs="Times New Roman"/>
          <w:i/>
          <w:iCs/>
          <w:sz w:val="24"/>
          <w:szCs w:val="24"/>
        </w:rPr>
        <w:t>SM</w:t>
      </w:r>
      <w:r w:rsidR="009F2EFF" w:rsidRPr="004273EA">
        <w:rPr>
          <w:rFonts w:ascii="Times New Roman" w:hAnsi="Times New Roman" w:cs="Times New Roman"/>
          <w:i/>
          <w:iCs/>
          <w:sz w:val="24"/>
          <w:szCs w:val="24"/>
        </w:rPr>
        <w:t>TED</w:t>
      </w:r>
      <w:r w:rsidR="009F2EFF">
        <w:rPr>
          <w:rFonts w:ascii="Times New Roman" w:hAnsi="Times New Roman" w:cs="Times New Roman"/>
          <w:sz w:val="24"/>
          <w:szCs w:val="24"/>
        </w:rPr>
        <w:t>) diversity</w:t>
      </w:r>
      <w:r w:rsidR="009F2EFF" w:rsidRPr="004273EA">
        <w:rPr>
          <w:rFonts w:ascii="Times New Roman" w:hAnsi="Times New Roman" w:cs="Times New Roman"/>
          <w:sz w:val="24"/>
          <w:szCs w:val="24"/>
        </w:rPr>
        <w:t>)</w:t>
      </w:r>
      <w:r w:rsidR="00055AFA">
        <w:rPr>
          <w:rFonts w:ascii="Times New Roman" w:hAnsi="Times New Roman" w:cs="Times New Roman"/>
          <w:sz w:val="24"/>
          <w:szCs w:val="24"/>
        </w:rPr>
        <w:t>],</w:t>
      </w:r>
      <w:r w:rsidR="009F2EFF">
        <w:rPr>
          <w:rFonts w:ascii="Times New Roman" w:hAnsi="Times New Roman" w:cs="Times New Roman"/>
          <w:sz w:val="24"/>
          <w:szCs w:val="24"/>
        </w:rPr>
        <w:t xml:space="preserve"> and senior management team size (</w:t>
      </w:r>
      <w:r w:rsidR="00934002">
        <w:rPr>
          <w:rFonts w:ascii="Times New Roman" w:hAnsi="Times New Roman" w:cs="Times New Roman"/>
          <w:i/>
          <w:iCs/>
          <w:sz w:val="24"/>
          <w:szCs w:val="24"/>
        </w:rPr>
        <w:t>AM</w:t>
      </w:r>
      <w:r w:rsidR="009F2EFF">
        <w:rPr>
          <w:rFonts w:ascii="Times New Roman" w:hAnsi="Times New Roman" w:cs="Times New Roman"/>
          <w:i/>
          <w:iCs/>
          <w:sz w:val="24"/>
          <w:szCs w:val="24"/>
        </w:rPr>
        <w:t>TSZ</w:t>
      </w:r>
      <w:r w:rsidR="00934002">
        <w:rPr>
          <w:rFonts w:ascii="Times New Roman" w:hAnsi="Times New Roman" w:cs="Times New Roman"/>
          <w:i/>
          <w:iCs/>
          <w:sz w:val="24"/>
          <w:szCs w:val="24"/>
        </w:rPr>
        <w:t>E</w:t>
      </w:r>
      <w:r w:rsidR="009F2EFF">
        <w:rPr>
          <w:rFonts w:ascii="Times New Roman" w:hAnsi="Times New Roman" w:cs="Times New Roman"/>
          <w:sz w:val="24"/>
          <w:szCs w:val="24"/>
        </w:rPr>
        <w:t xml:space="preserve">); </w:t>
      </w:r>
      <w:r w:rsidR="009F2EFF">
        <w:rPr>
          <w:rFonts w:ascii="Times New Roman" w:hAnsi="Times New Roman" w:cs="Times New Roman"/>
          <w:i/>
          <w:iCs/>
          <w:sz w:val="24"/>
          <w:szCs w:val="24"/>
        </w:rPr>
        <w:t>I*</w:t>
      </w:r>
      <w:r w:rsidR="00934002">
        <w:rPr>
          <w:rFonts w:ascii="Times New Roman" w:hAnsi="Times New Roman" w:cs="Times New Roman"/>
          <w:i/>
          <w:iCs/>
          <w:sz w:val="24"/>
          <w:szCs w:val="24"/>
        </w:rPr>
        <w:t>HE</w:t>
      </w:r>
      <w:r w:rsidR="009F2EFF">
        <w:rPr>
          <w:rFonts w:ascii="Times New Roman" w:hAnsi="Times New Roman" w:cs="Times New Roman"/>
          <w:i/>
          <w:iCs/>
          <w:sz w:val="24"/>
          <w:szCs w:val="24"/>
        </w:rPr>
        <w:t xml:space="preserve">GQI </w:t>
      </w:r>
      <w:r w:rsidR="009F2EFF">
        <w:rPr>
          <w:rFonts w:ascii="Times New Roman" w:hAnsi="Times New Roman" w:cs="Times New Roman"/>
          <w:sz w:val="24"/>
          <w:szCs w:val="24"/>
        </w:rPr>
        <w:t xml:space="preserve">refers to the interaction between </w:t>
      </w:r>
      <w:r w:rsidR="008F5866">
        <w:rPr>
          <w:rFonts w:ascii="Times New Roman" w:hAnsi="Times New Roman" w:cs="Times New Roman"/>
          <w:sz w:val="24"/>
          <w:szCs w:val="24"/>
        </w:rPr>
        <w:t xml:space="preserve">each of </w:t>
      </w:r>
      <w:r w:rsidR="009F2EFF">
        <w:rPr>
          <w:rFonts w:ascii="Times New Roman" w:hAnsi="Times New Roman" w:cs="Times New Roman"/>
          <w:sz w:val="24"/>
          <w:szCs w:val="24"/>
        </w:rPr>
        <w:t xml:space="preserve">senior management characteristics and </w:t>
      </w:r>
      <w:r w:rsidR="008F5866">
        <w:rPr>
          <w:rFonts w:ascii="Times New Roman" w:hAnsi="Times New Roman" w:cs="Times New Roman"/>
          <w:sz w:val="24"/>
          <w:szCs w:val="24"/>
        </w:rPr>
        <w:t xml:space="preserve">the </w:t>
      </w:r>
      <w:r w:rsidR="00934002">
        <w:rPr>
          <w:rFonts w:ascii="Times New Roman" w:hAnsi="Times New Roman" w:cs="Times New Roman"/>
          <w:i/>
          <w:iCs/>
          <w:sz w:val="24"/>
          <w:szCs w:val="24"/>
        </w:rPr>
        <w:t>HE</w:t>
      </w:r>
      <w:r w:rsidR="009F2EFF" w:rsidRPr="0093643C">
        <w:rPr>
          <w:rFonts w:ascii="Times New Roman" w:hAnsi="Times New Roman" w:cs="Times New Roman"/>
          <w:i/>
          <w:iCs/>
          <w:sz w:val="24"/>
          <w:szCs w:val="24"/>
        </w:rPr>
        <w:t>GQI</w:t>
      </w:r>
      <w:r w:rsidR="009F2EFF">
        <w:rPr>
          <w:rFonts w:ascii="Times New Roman" w:hAnsi="Times New Roman" w:cs="Times New Roman"/>
          <w:sz w:val="24"/>
          <w:szCs w:val="24"/>
        </w:rPr>
        <w:t xml:space="preserve"> (</w:t>
      </w:r>
      <w:r w:rsidR="00934002">
        <w:rPr>
          <w:rFonts w:ascii="Times New Roman" w:hAnsi="Times New Roman" w:cs="Times New Roman"/>
          <w:i/>
          <w:iCs/>
          <w:sz w:val="24"/>
          <w:szCs w:val="24"/>
        </w:rPr>
        <w:t>SM</w:t>
      </w:r>
      <w:r w:rsidR="009F2EFF" w:rsidRPr="0093643C">
        <w:rPr>
          <w:rFonts w:ascii="Times New Roman" w:hAnsi="Times New Roman" w:cs="Times New Roman"/>
          <w:i/>
          <w:iCs/>
          <w:sz w:val="24"/>
          <w:szCs w:val="24"/>
        </w:rPr>
        <w:t>TM*</w:t>
      </w:r>
      <w:r w:rsidR="00934002">
        <w:rPr>
          <w:rFonts w:ascii="Times New Roman" w:hAnsi="Times New Roman" w:cs="Times New Roman"/>
          <w:i/>
          <w:iCs/>
          <w:sz w:val="24"/>
          <w:szCs w:val="24"/>
        </w:rPr>
        <w:t>HE</w:t>
      </w:r>
      <w:r w:rsidR="009F2EFF" w:rsidRPr="0093643C">
        <w:rPr>
          <w:rFonts w:ascii="Times New Roman" w:hAnsi="Times New Roman" w:cs="Times New Roman"/>
          <w:i/>
          <w:iCs/>
          <w:sz w:val="24"/>
          <w:szCs w:val="24"/>
        </w:rPr>
        <w:t xml:space="preserve">GQI, </w:t>
      </w:r>
      <w:r w:rsidR="00934002">
        <w:rPr>
          <w:rFonts w:ascii="Times New Roman" w:hAnsi="Times New Roman" w:cs="Times New Roman"/>
          <w:i/>
          <w:iCs/>
          <w:sz w:val="24"/>
          <w:szCs w:val="24"/>
        </w:rPr>
        <w:t>SM</w:t>
      </w:r>
      <w:r w:rsidR="009F2EFF" w:rsidRPr="0093643C">
        <w:rPr>
          <w:rFonts w:ascii="Times New Roman" w:hAnsi="Times New Roman" w:cs="Times New Roman"/>
          <w:i/>
          <w:iCs/>
          <w:sz w:val="24"/>
          <w:szCs w:val="24"/>
        </w:rPr>
        <w:t>T</w:t>
      </w:r>
      <w:r w:rsidR="00934002">
        <w:rPr>
          <w:rFonts w:ascii="Times New Roman" w:hAnsi="Times New Roman" w:cs="Times New Roman"/>
          <w:i/>
          <w:iCs/>
          <w:sz w:val="24"/>
          <w:szCs w:val="24"/>
        </w:rPr>
        <w:t>GE</w:t>
      </w:r>
      <w:r w:rsidR="009F2EFF" w:rsidRPr="0093643C">
        <w:rPr>
          <w:rFonts w:ascii="Times New Roman" w:hAnsi="Times New Roman" w:cs="Times New Roman"/>
          <w:i/>
          <w:iCs/>
          <w:sz w:val="24"/>
          <w:szCs w:val="24"/>
        </w:rPr>
        <w:t>D*</w:t>
      </w:r>
      <w:r w:rsidR="00934002">
        <w:rPr>
          <w:rFonts w:ascii="Times New Roman" w:hAnsi="Times New Roman" w:cs="Times New Roman"/>
          <w:i/>
          <w:iCs/>
          <w:sz w:val="24"/>
          <w:szCs w:val="24"/>
        </w:rPr>
        <w:t>HE</w:t>
      </w:r>
      <w:r w:rsidR="009F2EFF" w:rsidRPr="0093643C">
        <w:rPr>
          <w:rFonts w:ascii="Times New Roman" w:hAnsi="Times New Roman" w:cs="Times New Roman"/>
          <w:i/>
          <w:iCs/>
          <w:sz w:val="24"/>
          <w:szCs w:val="24"/>
        </w:rPr>
        <w:t>GQI</w:t>
      </w:r>
      <w:r w:rsidR="009F2EFF">
        <w:rPr>
          <w:rFonts w:ascii="Times New Roman" w:hAnsi="Times New Roman" w:cs="Times New Roman"/>
          <w:i/>
          <w:iCs/>
          <w:sz w:val="24"/>
          <w:szCs w:val="24"/>
        </w:rPr>
        <w:t>,</w:t>
      </w:r>
      <w:r w:rsidR="009F2EFF" w:rsidRPr="0093643C">
        <w:rPr>
          <w:rFonts w:ascii="Times New Roman" w:hAnsi="Times New Roman" w:cs="Times New Roman"/>
          <w:i/>
          <w:iCs/>
          <w:sz w:val="24"/>
          <w:szCs w:val="24"/>
        </w:rPr>
        <w:t xml:space="preserve"> </w:t>
      </w:r>
      <w:r w:rsidR="00934002">
        <w:rPr>
          <w:rFonts w:ascii="Times New Roman" w:hAnsi="Times New Roman" w:cs="Times New Roman"/>
          <w:i/>
          <w:iCs/>
          <w:sz w:val="24"/>
          <w:szCs w:val="24"/>
        </w:rPr>
        <w:t>SM</w:t>
      </w:r>
      <w:r w:rsidR="009F2EFF" w:rsidRPr="0093643C">
        <w:rPr>
          <w:rFonts w:ascii="Times New Roman" w:hAnsi="Times New Roman" w:cs="Times New Roman"/>
          <w:i/>
          <w:iCs/>
          <w:sz w:val="24"/>
          <w:szCs w:val="24"/>
        </w:rPr>
        <w:t>T</w:t>
      </w:r>
      <w:r w:rsidR="009F2EFF">
        <w:rPr>
          <w:rFonts w:ascii="Times New Roman" w:hAnsi="Times New Roman" w:cs="Times New Roman"/>
          <w:i/>
          <w:iCs/>
          <w:sz w:val="24"/>
          <w:szCs w:val="24"/>
        </w:rPr>
        <w:t>G</w:t>
      </w:r>
      <w:r w:rsidR="009F2EFF" w:rsidRPr="0093643C">
        <w:rPr>
          <w:rFonts w:ascii="Times New Roman" w:hAnsi="Times New Roman" w:cs="Times New Roman"/>
          <w:i/>
          <w:iCs/>
          <w:sz w:val="24"/>
          <w:szCs w:val="24"/>
        </w:rPr>
        <w:t>D*</w:t>
      </w:r>
      <w:r w:rsidR="00934002">
        <w:rPr>
          <w:rFonts w:ascii="Times New Roman" w:hAnsi="Times New Roman" w:cs="Times New Roman"/>
          <w:i/>
          <w:iCs/>
          <w:sz w:val="24"/>
          <w:szCs w:val="24"/>
        </w:rPr>
        <w:t>HE</w:t>
      </w:r>
      <w:r w:rsidR="009F2EFF" w:rsidRPr="0093643C">
        <w:rPr>
          <w:rFonts w:ascii="Times New Roman" w:hAnsi="Times New Roman" w:cs="Times New Roman"/>
          <w:i/>
          <w:iCs/>
          <w:sz w:val="24"/>
          <w:szCs w:val="24"/>
        </w:rPr>
        <w:t>GQI</w:t>
      </w:r>
      <w:r w:rsidR="009F2EFF">
        <w:rPr>
          <w:rFonts w:ascii="Times New Roman" w:hAnsi="Times New Roman" w:cs="Times New Roman"/>
          <w:i/>
          <w:iCs/>
          <w:sz w:val="24"/>
          <w:szCs w:val="24"/>
        </w:rPr>
        <w:t xml:space="preserve">, </w:t>
      </w:r>
      <w:r w:rsidR="00934002">
        <w:rPr>
          <w:rFonts w:ascii="Times New Roman" w:hAnsi="Times New Roman" w:cs="Times New Roman"/>
          <w:i/>
          <w:iCs/>
          <w:sz w:val="24"/>
          <w:szCs w:val="24"/>
        </w:rPr>
        <w:t>SM</w:t>
      </w:r>
      <w:r w:rsidR="009F2EFF" w:rsidRPr="0093643C">
        <w:rPr>
          <w:rFonts w:ascii="Times New Roman" w:hAnsi="Times New Roman" w:cs="Times New Roman"/>
          <w:i/>
          <w:iCs/>
          <w:sz w:val="24"/>
          <w:szCs w:val="24"/>
        </w:rPr>
        <w:t>T</w:t>
      </w:r>
      <w:r w:rsidR="009F2EFF">
        <w:rPr>
          <w:rFonts w:ascii="Times New Roman" w:hAnsi="Times New Roman" w:cs="Times New Roman"/>
          <w:i/>
          <w:iCs/>
          <w:sz w:val="24"/>
          <w:szCs w:val="24"/>
        </w:rPr>
        <w:t>E</w:t>
      </w:r>
      <w:r w:rsidR="009F2EFF" w:rsidRPr="0093643C">
        <w:rPr>
          <w:rFonts w:ascii="Times New Roman" w:hAnsi="Times New Roman" w:cs="Times New Roman"/>
          <w:i/>
          <w:iCs/>
          <w:sz w:val="24"/>
          <w:szCs w:val="24"/>
        </w:rPr>
        <w:t>D*</w:t>
      </w:r>
      <w:r w:rsidR="00934002">
        <w:rPr>
          <w:rFonts w:ascii="Times New Roman" w:hAnsi="Times New Roman" w:cs="Times New Roman"/>
          <w:i/>
          <w:iCs/>
          <w:sz w:val="24"/>
          <w:szCs w:val="24"/>
        </w:rPr>
        <w:t>HE</w:t>
      </w:r>
      <w:r w:rsidR="009F2EFF" w:rsidRPr="0093643C">
        <w:rPr>
          <w:rFonts w:ascii="Times New Roman" w:hAnsi="Times New Roman" w:cs="Times New Roman"/>
          <w:i/>
          <w:iCs/>
          <w:sz w:val="24"/>
          <w:szCs w:val="24"/>
        </w:rPr>
        <w:t>GQI</w:t>
      </w:r>
      <w:r w:rsidR="009F2EFF">
        <w:rPr>
          <w:rFonts w:ascii="Times New Roman" w:hAnsi="Times New Roman" w:cs="Times New Roman"/>
          <w:i/>
          <w:iCs/>
          <w:sz w:val="24"/>
          <w:szCs w:val="24"/>
        </w:rPr>
        <w:t xml:space="preserve"> </w:t>
      </w:r>
      <w:r w:rsidR="009F2EFF" w:rsidRPr="0093643C">
        <w:rPr>
          <w:rFonts w:ascii="Times New Roman" w:hAnsi="Times New Roman" w:cs="Times New Roman"/>
          <w:sz w:val="24"/>
          <w:szCs w:val="24"/>
        </w:rPr>
        <w:t xml:space="preserve">and </w:t>
      </w:r>
      <w:r w:rsidR="00934002">
        <w:rPr>
          <w:rFonts w:ascii="Times New Roman" w:hAnsi="Times New Roman" w:cs="Times New Roman"/>
          <w:i/>
          <w:iCs/>
          <w:sz w:val="24"/>
          <w:szCs w:val="24"/>
        </w:rPr>
        <w:t>SM</w:t>
      </w:r>
      <w:r w:rsidR="009F2EFF" w:rsidRPr="0093643C">
        <w:rPr>
          <w:rFonts w:ascii="Times New Roman" w:hAnsi="Times New Roman" w:cs="Times New Roman"/>
          <w:i/>
          <w:iCs/>
          <w:sz w:val="24"/>
          <w:szCs w:val="24"/>
        </w:rPr>
        <w:t>TSZ</w:t>
      </w:r>
      <w:r w:rsidR="00934002">
        <w:rPr>
          <w:rFonts w:ascii="Times New Roman" w:hAnsi="Times New Roman" w:cs="Times New Roman"/>
          <w:i/>
          <w:iCs/>
          <w:sz w:val="24"/>
          <w:szCs w:val="24"/>
        </w:rPr>
        <w:t>E</w:t>
      </w:r>
      <w:r w:rsidR="009F2EFF" w:rsidRPr="0093643C">
        <w:rPr>
          <w:rFonts w:ascii="Times New Roman" w:hAnsi="Times New Roman" w:cs="Times New Roman"/>
          <w:i/>
          <w:iCs/>
          <w:sz w:val="24"/>
          <w:szCs w:val="24"/>
        </w:rPr>
        <w:t>*</w:t>
      </w:r>
      <w:r w:rsidR="00934002">
        <w:rPr>
          <w:rFonts w:ascii="Times New Roman" w:hAnsi="Times New Roman" w:cs="Times New Roman"/>
          <w:i/>
          <w:iCs/>
          <w:sz w:val="24"/>
          <w:szCs w:val="24"/>
        </w:rPr>
        <w:t>HE</w:t>
      </w:r>
      <w:r w:rsidR="009F2EFF" w:rsidRPr="0093643C">
        <w:rPr>
          <w:rFonts w:ascii="Times New Roman" w:hAnsi="Times New Roman" w:cs="Times New Roman"/>
          <w:i/>
          <w:iCs/>
          <w:sz w:val="24"/>
          <w:szCs w:val="24"/>
        </w:rPr>
        <w:t>GQI</w:t>
      </w:r>
      <w:r w:rsidR="009F2EFF">
        <w:rPr>
          <w:rFonts w:ascii="Times New Roman" w:hAnsi="Times New Roman" w:cs="Times New Roman"/>
          <w:sz w:val="24"/>
          <w:szCs w:val="24"/>
        </w:rPr>
        <w:t xml:space="preserve">); and </w:t>
      </w:r>
      <w:r w:rsidR="009F2EFF" w:rsidRPr="00A13123">
        <w:rPr>
          <w:rFonts w:ascii="Times New Roman" w:hAnsi="Times New Roman" w:cs="Times New Roman"/>
          <w:i/>
          <w:iCs/>
          <w:sz w:val="24"/>
          <w:szCs w:val="24"/>
        </w:rPr>
        <w:t xml:space="preserve">VCControls </w:t>
      </w:r>
      <w:r w:rsidR="009F2EFF" w:rsidRPr="00A13123">
        <w:rPr>
          <w:rFonts w:ascii="Times New Roman" w:hAnsi="Times New Roman" w:cs="Times New Roman"/>
          <w:sz w:val="24"/>
          <w:szCs w:val="24"/>
        </w:rPr>
        <w:t xml:space="preserve">and </w:t>
      </w:r>
      <w:r w:rsidR="009F2EFF" w:rsidRPr="00A13123">
        <w:rPr>
          <w:rFonts w:ascii="Times New Roman" w:hAnsi="Times New Roman" w:cs="Times New Roman"/>
          <w:i/>
          <w:iCs/>
          <w:sz w:val="24"/>
          <w:szCs w:val="24"/>
        </w:rPr>
        <w:t>HEIControls</w:t>
      </w:r>
      <w:r w:rsidR="009F2EFF">
        <w:rPr>
          <w:rFonts w:ascii="Times New Roman" w:hAnsi="Times New Roman" w:cs="Times New Roman"/>
          <w:i/>
          <w:iCs/>
          <w:sz w:val="24"/>
          <w:szCs w:val="24"/>
        </w:rPr>
        <w:t xml:space="preserve"> </w:t>
      </w:r>
      <w:r w:rsidR="009F2EFF">
        <w:rPr>
          <w:rFonts w:ascii="Times New Roman" w:hAnsi="Times New Roman" w:cs="Times New Roman"/>
          <w:sz w:val="24"/>
          <w:szCs w:val="24"/>
        </w:rPr>
        <w:t>remain the same as specified in model 1.</w:t>
      </w:r>
    </w:p>
    <w:p w14:paraId="56BEF164" w14:textId="29F3C032" w:rsidR="00F1515E" w:rsidRPr="00233EC8" w:rsidRDefault="00F1515E" w:rsidP="00937F5D">
      <w:pPr>
        <w:spacing w:after="0" w:line="240" w:lineRule="auto"/>
        <w:rPr>
          <w:rFonts w:ascii="Times New Roman" w:hAnsi="Times New Roman" w:cs="Times New Roman"/>
        </w:rPr>
      </w:pPr>
      <w:r w:rsidRPr="00233EC8">
        <w:rPr>
          <w:rFonts w:ascii="Times New Roman" w:hAnsi="Times New Roman" w:cs="Times New Roman"/>
        </w:rPr>
        <w:tab/>
      </w:r>
    </w:p>
    <w:p w14:paraId="29BAEA41" w14:textId="4650E0E8" w:rsidR="00A1044B" w:rsidRDefault="00A1044B" w:rsidP="00B27CF1">
      <w:pPr>
        <w:spacing w:after="0" w:line="240" w:lineRule="auto"/>
        <w:rPr>
          <w:rFonts w:ascii="Times New Roman" w:hAnsi="Times New Roman" w:cs="Times New Roman"/>
          <w:b/>
        </w:rPr>
      </w:pPr>
    </w:p>
    <w:p w14:paraId="7E771FF3" w14:textId="0984CA48" w:rsidR="00CA65C3" w:rsidRPr="00356ADA" w:rsidRDefault="00A03A45" w:rsidP="00A03A45">
      <w:pPr>
        <w:pStyle w:val="ListParagraph"/>
        <w:numPr>
          <w:ilvl w:val="0"/>
          <w:numId w:val="21"/>
        </w:numPr>
        <w:spacing w:after="0" w:line="240" w:lineRule="auto"/>
        <w:ind w:left="284" w:hanging="284"/>
        <w:rPr>
          <w:rFonts w:ascii="Times New Roman" w:hAnsi="Times New Roman" w:cs="Times New Roman"/>
          <w:sz w:val="24"/>
          <w:szCs w:val="24"/>
        </w:rPr>
      </w:pPr>
      <w:r w:rsidRPr="00356ADA">
        <w:rPr>
          <w:rFonts w:ascii="Times New Roman" w:hAnsi="Times New Roman" w:cs="Times New Roman"/>
          <w:b/>
          <w:sz w:val="24"/>
          <w:szCs w:val="24"/>
        </w:rPr>
        <w:t>E</w:t>
      </w:r>
      <w:r w:rsidR="00DE60D5" w:rsidRPr="00356ADA">
        <w:rPr>
          <w:rFonts w:ascii="Times New Roman" w:hAnsi="Times New Roman" w:cs="Times New Roman"/>
          <w:b/>
          <w:sz w:val="24"/>
          <w:szCs w:val="24"/>
        </w:rPr>
        <w:t>mpirical findings and discussion</w:t>
      </w:r>
    </w:p>
    <w:p w14:paraId="3B11A218" w14:textId="77777777" w:rsidR="00CA65C3" w:rsidRPr="00356ADA" w:rsidRDefault="00CA65C3" w:rsidP="00B27CF1">
      <w:pPr>
        <w:spacing w:after="0" w:line="240" w:lineRule="auto"/>
        <w:rPr>
          <w:rFonts w:ascii="Times New Roman" w:hAnsi="Times New Roman" w:cs="Times New Roman"/>
          <w:sz w:val="24"/>
          <w:szCs w:val="24"/>
        </w:rPr>
      </w:pPr>
    </w:p>
    <w:p w14:paraId="47456399" w14:textId="16E886F4" w:rsidR="00A35ED6" w:rsidRPr="00356ADA" w:rsidRDefault="002E11E6" w:rsidP="00A03A45">
      <w:pPr>
        <w:pStyle w:val="ListParagraph"/>
        <w:numPr>
          <w:ilvl w:val="1"/>
          <w:numId w:val="21"/>
        </w:numPr>
        <w:spacing w:after="0" w:line="240" w:lineRule="auto"/>
        <w:ind w:left="426" w:hanging="426"/>
        <w:rPr>
          <w:rFonts w:ascii="Times New Roman" w:hAnsi="Times New Roman" w:cs="Times New Roman"/>
          <w:b/>
          <w:bCs/>
          <w:i/>
          <w:sz w:val="24"/>
          <w:szCs w:val="24"/>
        </w:rPr>
      </w:pPr>
      <w:r w:rsidRPr="00356ADA">
        <w:rPr>
          <w:rFonts w:ascii="Times New Roman" w:hAnsi="Times New Roman" w:cs="Times New Roman"/>
          <w:b/>
          <w:bCs/>
          <w:i/>
          <w:sz w:val="24"/>
          <w:szCs w:val="24"/>
        </w:rPr>
        <w:t>D</w:t>
      </w:r>
      <w:r w:rsidR="00A35ED6" w:rsidRPr="00356ADA">
        <w:rPr>
          <w:rFonts w:ascii="Times New Roman" w:hAnsi="Times New Roman" w:cs="Times New Roman"/>
          <w:b/>
          <w:bCs/>
          <w:i/>
          <w:sz w:val="24"/>
          <w:szCs w:val="24"/>
        </w:rPr>
        <w:t>escriptive</w:t>
      </w:r>
      <w:r w:rsidRPr="00356ADA">
        <w:rPr>
          <w:rFonts w:ascii="Times New Roman" w:hAnsi="Times New Roman" w:cs="Times New Roman"/>
          <w:b/>
          <w:bCs/>
          <w:i/>
          <w:sz w:val="24"/>
          <w:szCs w:val="24"/>
        </w:rPr>
        <w:t xml:space="preserve"> statistics and univariate analysis</w:t>
      </w:r>
      <w:r w:rsidR="00A35ED6" w:rsidRPr="00356ADA">
        <w:rPr>
          <w:rFonts w:ascii="Times New Roman" w:hAnsi="Times New Roman" w:cs="Times New Roman"/>
          <w:b/>
          <w:bCs/>
          <w:i/>
          <w:sz w:val="24"/>
          <w:szCs w:val="24"/>
        </w:rPr>
        <w:t xml:space="preserve"> </w:t>
      </w:r>
    </w:p>
    <w:p w14:paraId="08876802" w14:textId="77777777" w:rsidR="00A35ED6" w:rsidRPr="00356ADA" w:rsidRDefault="00A35ED6" w:rsidP="00B27CF1">
      <w:pPr>
        <w:spacing w:after="0" w:line="240" w:lineRule="auto"/>
        <w:rPr>
          <w:rFonts w:ascii="Times New Roman" w:hAnsi="Times New Roman" w:cs="Times New Roman"/>
          <w:iCs/>
          <w:sz w:val="24"/>
          <w:szCs w:val="24"/>
        </w:rPr>
      </w:pPr>
    </w:p>
    <w:p w14:paraId="21630BD6" w14:textId="290FF7C2" w:rsidR="00054CB2" w:rsidRDefault="002E11E6" w:rsidP="00356ADA">
      <w:pPr>
        <w:spacing w:after="0" w:line="240" w:lineRule="auto"/>
        <w:jc w:val="both"/>
        <w:rPr>
          <w:rFonts w:ascii="Times New Roman" w:hAnsi="Times New Roman" w:cs="Times New Roman"/>
          <w:iCs/>
          <w:sz w:val="24"/>
          <w:szCs w:val="24"/>
        </w:rPr>
      </w:pPr>
      <w:r w:rsidRPr="00356ADA">
        <w:rPr>
          <w:rFonts w:ascii="Times New Roman" w:hAnsi="Times New Roman" w:cs="Times New Roman"/>
          <w:sz w:val="24"/>
          <w:szCs w:val="24"/>
        </w:rPr>
        <w:t>Table</w:t>
      </w:r>
      <w:r w:rsidR="00EA183F">
        <w:rPr>
          <w:rFonts w:ascii="Times New Roman" w:hAnsi="Times New Roman" w:cs="Times New Roman"/>
          <w:sz w:val="24"/>
          <w:szCs w:val="24"/>
        </w:rPr>
        <w:t xml:space="preserve"> 3 and the </w:t>
      </w:r>
      <w:r w:rsidR="00FF1BD2">
        <w:rPr>
          <w:rFonts w:ascii="Times New Roman" w:hAnsi="Times New Roman" w:cs="Times New Roman"/>
          <w:sz w:val="24"/>
          <w:szCs w:val="24"/>
        </w:rPr>
        <w:t>‘</w:t>
      </w:r>
      <w:r w:rsidR="00B41235">
        <w:rPr>
          <w:rFonts w:ascii="Times New Roman" w:hAnsi="Times New Roman" w:cs="Times New Roman"/>
          <w:b/>
          <w:bCs/>
          <w:i/>
          <w:iCs/>
          <w:sz w:val="24"/>
          <w:szCs w:val="24"/>
        </w:rPr>
        <w:t>O</w:t>
      </w:r>
      <w:r w:rsidR="00EA183F">
        <w:rPr>
          <w:rFonts w:ascii="Times New Roman" w:hAnsi="Times New Roman" w:cs="Times New Roman"/>
          <w:b/>
          <w:bCs/>
          <w:i/>
          <w:iCs/>
          <w:sz w:val="24"/>
          <w:szCs w:val="24"/>
        </w:rPr>
        <w:t>nline Appendix 1</w:t>
      </w:r>
      <w:r w:rsidR="00FF1BD2">
        <w:rPr>
          <w:rFonts w:ascii="Times New Roman" w:hAnsi="Times New Roman" w:cs="Times New Roman"/>
          <w:sz w:val="24"/>
          <w:szCs w:val="24"/>
        </w:rPr>
        <w:t>’</w:t>
      </w:r>
      <w:r w:rsidR="00EA183F">
        <w:rPr>
          <w:rFonts w:ascii="Times New Roman" w:hAnsi="Times New Roman" w:cs="Times New Roman"/>
          <w:b/>
          <w:bCs/>
          <w:i/>
          <w:iCs/>
          <w:sz w:val="24"/>
          <w:szCs w:val="24"/>
        </w:rPr>
        <w:t xml:space="preserve"> </w:t>
      </w:r>
      <w:r w:rsidRPr="00356ADA">
        <w:rPr>
          <w:rFonts w:ascii="Times New Roman" w:hAnsi="Times New Roman" w:cs="Times New Roman"/>
          <w:sz w:val="24"/>
          <w:szCs w:val="24"/>
        </w:rPr>
        <w:t xml:space="preserve">outline the descriptive statistics relating to the </w:t>
      </w:r>
      <w:r w:rsidR="000C4451">
        <w:rPr>
          <w:rFonts w:ascii="Times New Roman" w:hAnsi="Times New Roman" w:cs="Times New Roman"/>
          <w:iCs/>
          <w:sz w:val="24"/>
          <w:szCs w:val="24"/>
        </w:rPr>
        <w:t>risk disclosures</w:t>
      </w:r>
      <w:r w:rsidR="00C439F1">
        <w:rPr>
          <w:rFonts w:ascii="Times New Roman" w:hAnsi="Times New Roman" w:cs="Times New Roman"/>
          <w:i/>
          <w:sz w:val="24"/>
          <w:szCs w:val="24"/>
        </w:rPr>
        <w:t xml:space="preserve"> (</w:t>
      </w:r>
      <w:r w:rsidR="00EA183F">
        <w:rPr>
          <w:rFonts w:ascii="Times New Roman" w:hAnsi="Times New Roman" w:cs="Times New Roman"/>
          <w:i/>
          <w:sz w:val="24"/>
          <w:szCs w:val="24"/>
        </w:rPr>
        <w:t>HE</w:t>
      </w:r>
      <w:r w:rsidR="00C439F1">
        <w:rPr>
          <w:rFonts w:ascii="Times New Roman" w:hAnsi="Times New Roman" w:cs="Times New Roman"/>
          <w:i/>
          <w:sz w:val="24"/>
          <w:szCs w:val="24"/>
        </w:rPr>
        <w:t>RDI,</w:t>
      </w:r>
      <w:r w:rsidR="000C4451" w:rsidRPr="000C4451">
        <w:rPr>
          <w:rFonts w:ascii="Times New Roman" w:hAnsi="Times New Roman" w:cs="Times New Roman"/>
          <w:i/>
          <w:iCs/>
          <w:sz w:val="24"/>
          <w:szCs w:val="24"/>
        </w:rPr>
        <w:t xml:space="preserve"> </w:t>
      </w:r>
      <w:r w:rsidR="00EA183F">
        <w:rPr>
          <w:rFonts w:ascii="Times New Roman" w:hAnsi="Times New Roman" w:cs="Times New Roman"/>
          <w:i/>
          <w:iCs/>
          <w:sz w:val="24"/>
          <w:szCs w:val="24"/>
        </w:rPr>
        <w:t>HEFRD</w:t>
      </w:r>
      <w:r w:rsidR="000C4451" w:rsidRPr="000C4451">
        <w:rPr>
          <w:rFonts w:ascii="Times New Roman" w:hAnsi="Times New Roman" w:cs="Times New Roman"/>
          <w:i/>
          <w:iCs/>
          <w:sz w:val="24"/>
          <w:szCs w:val="24"/>
        </w:rPr>
        <w:t xml:space="preserve">, </w:t>
      </w:r>
      <w:r w:rsidR="00EA183F">
        <w:rPr>
          <w:rFonts w:ascii="Times New Roman" w:hAnsi="Times New Roman" w:cs="Times New Roman"/>
          <w:i/>
          <w:iCs/>
          <w:sz w:val="24"/>
          <w:szCs w:val="24"/>
        </w:rPr>
        <w:t>HEORD</w:t>
      </w:r>
      <w:r w:rsidR="00EA183F" w:rsidRPr="000C4451">
        <w:rPr>
          <w:rFonts w:ascii="Times New Roman" w:hAnsi="Times New Roman" w:cs="Times New Roman"/>
          <w:i/>
          <w:iCs/>
          <w:sz w:val="24"/>
          <w:szCs w:val="24"/>
        </w:rPr>
        <w:t xml:space="preserve"> </w:t>
      </w:r>
      <w:r w:rsidR="000C4451" w:rsidRPr="000C4451">
        <w:rPr>
          <w:rFonts w:ascii="Times New Roman" w:hAnsi="Times New Roman" w:cs="Times New Roman"/>
          <w:i/>
          <w:sz w:val="24"/>
          <w:szCs w:val="24"/>
        </w:rPr>
        <w:t>and</w:t>
      </w:r>
      <w:r w:rsidR="000C4451" w:rsidRPr="000C4451">
        <w:rPr>
          <w:rFonts w:ascii="Times New Roman" w:hAnsi="Times New Roman" w:cs="Times New Roman"/>
          <w:i/>
          <w:iCs/>
          <w:sz w:val="24"/>
          <w:szCs w:val="24"/>
        </w:rPr>
        <w:t xml:space="preserve"> </w:t>
      </w:r>
      <w:r w:rsidR="00EA183F">
        <w:rPr>
          <w:rFonts w:ascii="Times New Roman" w:hAnsi="Times New Roman" w:cs="Times New Roman"/>
          <w:i/>
          <w:iCs/>
          <w:sz w:val="24"/>
          <w:szCs w:val="24"/>
        </w:rPr>
        <w:t>HESRD</w:t>
      </w:r>
      <w:r w:rsidR="000C4451">
        <w:rPr>
          <w:rFonts w:ascii="Times New Roman" w:hAnsi="Times New Roman" w:cs="Times New Roman"/>
          <w:i/>
          <w:iCs/>
          <w:sz w:val="24"/>
          <w:szCs w:val="24"/>
        </w:rPr>
        <w:t>)</w:t>
      </w:r>
      <w:r w:rsidRPr="00356ADA">
        <w:rPr>
          <w:rFonts w:ascii="Times New Roman" w:hAnsi="Times New Roman" w:cs="Times New Roman"/>
          <w:sz w:val="24"/>
          <w:szCs w:val="24"/>
        </w:rPr>
        <w:t xml:space="preserve">, </w:t>
      </w:r>
      <w:r w:rsidR="000C4451">
        <w:rPr>
          <w:rFonts w:ascii="Times New Roman" w:hAnsi="Times New Roman" w:cs="Times New Roman"/>
          <w:sz w:val="24"/>
          <w:szCs w:val="24"/>
        </w:rPr>
        <w:t>governance quality (</w:t>
      </w:r>
      <w:bookmarkStart w:id="8" w:name="_Hlk116901786"/>
      <w:r w:rsidR="0055023F">
        <w:rPr>
          <w:rFonts w:ascii="Times New Roman" w:hAnsi="Times New Roman" w:cs="Times New Roman"/>
          <w:i/>
          <w:iCs/>
          <w:sz w:val="24"/>
          <w:szCs w:val="24"/>
        </w:rPr>
        <w:t>HE</w:t>
      </w:r>
      <w:r w:rsidRPr="00356ADA">
        <w:rPr>
          <w:rFonts w:ascii="Times New Roman" w:hAnsi="Times New Roman" w:cs="Times New Roman"/>
          <w:i/>
          <w:sz w:val="24"/>
          <w:szCs w:val="24"/>
        </w:rPr>
        <w:t>GQI</w:t>
      </w:r>
      <w:r w:rsidR="000C4451">
        <w:rPr>
          <w:rFonts w:ascii="Times New Roman" w:hAnsi="Times New Roman" w:cs="Times New Roman"/>
          <w:i/>
          <w:sz w:val="24"/>
          <w:szCs w:val="24"/>
        </w:rPr>
        <w:t xml:space="preserve">, </w:t>
      </w:r>
      <w:r w:rsidR="000C4451" w:rsidRPr="000C4451">
        <w:rPr>
          <w:rFonts w:ascii="Times New Roman" w:hAnsi="Times New Roman" w:cs="Times New Roman"/>
          <w:i/>
          <w:iCs/>
          <w:sz w:val="24"/>
          <w:szCs w:val="24"/>
        </w:rPr>
        <w:t xml:space="preserve">GOVB, </w:t>
      </w:r>
      <w:r w:rsidR="0055023F">
        <w:rPr>
          <w:rFonts w:ascii="Times New Roman" w:hAnsi="Times New Roman" w:cs="Times New Roman"/>
          <w:i/>
          <w:iCs/>
          <w:sz w:val="24"/>
          <w:szCs w:val="24"/>
        </w:rPr>
        <w:t>PROS</w:t>
      </w:r>
      <w:r w:rsidR="000C4451" w:rsidRPr="000C4451">
        <w:rPr>
          <w:rFonts w:ascii="Times New Roman" w:hAnsi="Times New Roman" w:cs="Times New Roman"/>
          <w:i/>
          <w:iCs/>
          <w:sz w:val="24"/>
          <w:szCs w:val="24"/>
        </w:rPr>
        <w:t xml:space="preserve">, PERP, </w:t>
      </w:r>
      <w:r w:rsidR="0055023F">
        <w:rPr>
          <w:rFonts w:ascii="Times New Roman" w:hAnsi="Times New Roman" w:cs="Times New Roman"/>
          <w:i/>
          <w:iCs/>
          <w:sz w:val="24"/>
          <w:szCs w:val="24"/>
        </w:rPr>
        <w:t>AAAC</w:t>
      </w:r>
      <w:r w:rsidR="000C4451" w:rsidRPr="000C4451">
        <w:rPr>
          <w:rFonts w:ascii="Times New Roman" w:hAnsi="Times New Roman" w:cs="Times New Roman"/>
          <w:i/>
          <w:iCs/>
          <w:sz w:val="24"/>
          <w:szCs w:val="24"/>
        </w:rPr>
        <w:t xml:space="preserve">, </w:t>
      </w:r>
      <w:r w:rsidR="000C4451" w:rsidRPr="000C4451">
        <w:rPr>
          <w:rFonts w:ascii="Times New Roman" w:hAnsi="Times New Roman" w:cs="Times New Roman"/>
          <w:i/>
          <w:sz w:val="24"/>
          <w:szCs w:val="24"/>
        </w:rPr>
        <w:t>and</w:t>
      </w:r>
      <w:r w:rsidR="000C4451" w:rsidRPr="000C4451">
        <w:rPr>
          <w:rFonts w:ascii="Times New Roman" w:hAnsi="Times New Roman" w:cs="Times New Roman"/>
          <w:i/>
          <w:iCs/>
          <w:sz w:val="24"/>
          <w:szCs w:val="24"/>
        </w:rPr>
        <w:t xml:space="preserve"> SERSE</w:t>
      </w:r>
      <w:bookmarkEnd w:id="8"/>
      <w:r w:rsidR="000C4451">
        <w:rPr>
          <w:rFonts w:ascii="Times New Roman" w:hAnsi="Times New Roman" w:cs="Times New Roman"/>
          <w:sz w:val="24"/>
          <w:szCs w:val="24"/>
        </w:rPr>
        <w:t xml:space="preserve">), </w:t>
      </w:r>
      <w:r w:rsidR="000C4451" w:rsidRPr="000C4451">
        <w:rPr>
          <w:rFonts w:ascii="Times New Roman" w:hAnsi="Times New Roman" w:cs="Times New Roman"/>
          <w:i/>
          <w:iCs/>
          <w:sz w:val="24"/>
          <w:szCs w:val="24"/>
        </w:rPr>
        <w:t>VCControls</w:t>
      </w:r>
      <w:r w:rsidR="000C4451">
        <w:rPr>
          <w:rFonts w:ascii="Times New Roman" w:hAnsi="Times New Roman" w:cs="Times New Roman"/>
          <w:sz w:val="24"/>
          <w:szCs w:val="24"/>
        </w:rPr>
        <w:t xml:space="preserve"> and </w:t>
      </w:r>
      <w:r w:rsidR="000C4451" w:rsidRPr="000C4451">
        <w:rPr>
          <w:rFonts w:ascii="Times New Roman" w:hAnsi="Times New Roman" w:cs="Times New Roman"/>
          <w:i/>
          <w:iCs/>
          <w:sz w:val="24"/>
          <w:szCs w:val="24"/>
        </w:rPr>
        <w:t>HEIControls</w:t>
      </w:r>
      <w:r w:rsidR="000C4451">
        <w:rPr>
          <w:rFonts w:ascii="Times New Roman" w:hAnsi="Times New Roman" w:cs="Times New Roman"/>
          <w:sz w:val="24"/>
          <w:szCs w:val="24"/>
        </w:rPr>
        <w:t xml:space="preserve">. </w:t>
      </w:r>
      <w:r w:rsidRPr="00356ADA">
        <w:rPr>
          <w:rFonts w:ascii="Times New Roman" w:hAnsi="Times New Roman" w:cs="Times New Roman"/>
          <w:iCs/>
          <w:sz w:val="24"/>
          <w:szCs w:val="24"/>
        </w:rPr>
        <w:t xml:space="preserve"> Table 3 indicates that risk disclosure levels are relatively low, </w:t>
      </w:r>
      <w:r w:rsidR="00D85B34">
        <w:rPr>
          <w:rFonts w:ascii="Times New Roman" w:hAnsi="Times New Roman" w:cs="Times New Roman"/>
          <w:iCs/>
          <w:sz w:val="24"/>
          <w:szCs w:val="24"/>
        </w:rPr>
        <w:t>but the distribution varies widely among HEIs. The evidence of low levels of risk disclosures is consistent with</w:t>
      </w:r>
      <w:r w:rsidRPr="00356ADA">
        <w:rPr>
          <w:rFonts w:ascii="Times New Roman" w:hAnsi="Times New Roman" w:cs="Times New Roman"/>
          <w:iCs/>
          <w:sz w:val="24"/>
          <w:szCs w:val="24"/>
        </w:rPr>
        <w:t xml:space="preserve"> the findings of prior studies that </w:t>
      </w:r>
      <w:r w:rsidR="00F545A4">
        <w:rPr>
          <w:rFonts w:ascii="Times New Roman" w:hAnsi="Times New Roman" w:cs="Times New Roman"/>
          <w:iCs/>
          <w:sz w:val="24"/>
          <w:szCs w:val="24"/>
        </w:rPr>
        <w:t xml:space="preserve">examined </w:t>
      </w:r>
      <w:r w:rsidR="008F6944">
        <w:rPr>
          <w:rFonts w:ascii="Times New Roman" w:hAnsi="Times New Roman" w:cs="Times New Roman"/>
          <w:iCs/>
          <w:sz w:val="24"/>
          <w:szCs w:val="24"/>
        </w:rPr>
        <w:t xml:space="preserve">general </w:t>
      </w:r>
      <w:r w:rsidR="00F545A4">
        <w:rPr>
          <w:rFonts w:ascii="Times New Roman" w:hAnsi="Times New Roman" w:cs="Times New Roman"/>
          <w:iCs/>
          <w:sz w:val="24"/>
          <w:szCs w:val="24"/>
        </w:rPr>
        <w:t>voluntary disclosure</w:t>
      </w:r>
      <w:r w:rsidR="006A5544">
        <w:rPr>
          <w:rFonts w:ascii="Times New Roman" w:hAnsi="Times New Roman" w:cs="Times New Roman"/>
          <w:iCs/>
          <w:sz w:val="24"/>
          <w:szCs w:val="24"/>
        </w:rPr>
        <w:t xml:space="preserve">s </w:t>
      </w:r>
      <w:r w:rsidR="00F545A4">
        <w:rPr>
          <w:rFonts w:ascii="Times New Roman" w:hAnsi="Times New Roman" w:cs="Times New Roman"/>
          <w:iCs/>
          <w:sz w:val="24"/>
          <w:szCs w:val="24"/>
        </w:rPr>
        <w:t>among HEIs (</w:t>
      </w:r>
      <w:r w:rsidR="00454F1E">
        <w:rPr>
          <w:rFonts w:ascii="Times New Roman" w:hAnsi="Times New Roman" w:cs="Times New Roman"/>
          <w:sz w:val="24"/>
          <w:szCs w:val="24"/>
        </w:rPr>
        <w:t xml:space="preserve">Harris </w:t>
      </w:r>
      <w:r w:rsidR="00D820BD">
        <w:rPr>
          <w:rFonts w:ascii="Times New Roman" w:hAnsi="Times New Roman" w:cs="Times New Roman"/>
          <w:sz w:val="24"/>
          <w:szCs w:val="24"/>
        </w:rPr>
        <w:t xml:space="preserve">&amp; </w:t>
      </w:r>
      <w:r w:rsidR="00D820BD" w:rsidRPr="004F32C3">
        <w:rPr>
          <w:rFonts w:ascii="Times New Roman" w:hAnsi="Times New Roman" w:cs="Times New Roman"/>
          <w:sz w:val="24"/>
          <w:szCs w:val="24"/>
        </w:rPr>
        <w:t>Neely</w:t>
      </w:r>
      <w:r w:rsidR="00454F1E">
        <w:rPr>
          <w:rFonts w:ascii="Times New Roman" w:hAnsi="Times New Roman" w:cs="Times New Roman"/>
          <w:sz w:val="24"/>
          <w:szCs w:val="24"/>
        </w:rPr>
        <w:t xml:space="preserve">, 2021; </w:t>
      </w:r>
      <w:r w:rsidR="00F545A4">
        <w:rPr>
          <w:rFonts w:ascii="Times New Roman" w:hAnsi="Times New Roman" w:cs="Times New Roman"/>
          <w:iCs/>
          <w:sz w:val="24"/>
          <w:szCs w:val="24"/>
        </w:rPr>
        <w:t xml:space="preserve">Gordon et al., 2002; </w:t>
      </w:r>
      <w:r w:rsidR="008F6944">
        <w:rPr>
          <w:rFonts w:ascii="Times New Roman" w:hAnsi="Times New Roman" w:cs="Times New Roman"/>
          <w:iCs/>
          <w:sz w:val="24"/>
          <w:szCs w:val="24"/>
        </w:rPr>
        <w:t>Ntim et al., 2017)</w:t>
      </w:r>
      <w:r w:rsidR="006A5544">
        <w:rPr>
          <w:rFonts w:ascii="Times New Roman" w:hAnsi="Times New Roman" w:cs="Times New Roman"/>
          <w:iCs/>
          <w:sz w:val="24"/>
          <w:szCs w:val="24"/>
        </w:rPr>
        <w:t xml:space="preserve">. Specifically, </w:t>
      </w:r>
      <w:r w:rsidR="006A5544" w:rsidRPr="006A5544">
        <w:rPr>
          <w:rFonts w:ascii="Times New Roman" w:hAnsi="Times New Roman" w:cs="Times New Roman"/>
          <w:iCs/>
          <w:sz w:val="24"/>
          <w:szCs w:val="24"/>
        </w:rPr>
        <w:t xml:space="preserve">Panel 1 of Table 3 indicates that the </w:t>
      </w:r>
      <w:r w:rsidR="00934002">
        <w:rPr>
          <w:rFonts w:ascii="Times New Roman" w:hAnsi="Times New Roman" w:cs="Times New Roman"/>
          <w:i/>
          <w:sz w:val="24"/>
          <w:szCs w:val="24"/>
        </w:rPr>
        <w:t>HE</w:t>
      </w:r>
      <w:r w:rsidR="006A5544" w:rsidRPr="006A5544">
        <w:rPr>
          <w:rFonts w:ascii="Times New Roman" w:hAnsi="Times New Roman" w:cs="Times New Roman"/>
          <w:i/>
          <w:iCs/>
          <w:sz w:val="24"/>
          <w:szCs w:val="24"/>
        </w:rPr>
        <w:t xml:space="preserve">RDI </w:t>
      </w:r>
      <w:r w:rsidR="006A5544" w:rsidRPr="006A5544">
        <w:rPr>
          <w:rFonts w:ascii="Times New Roman" w:hAnsi="Times New Roman" w:cs="Times New Roman"/>
          <w:iCs/>
          <w:sz w:val="24"/>
          <w:szCs w:val="24"/>
        </w:rPr>
        <w:t xml:space="preserve">score ranges between 6.96% and 31.76% with an average (median) of 17.31% (16.80%) of HEIs in UK engage in </w:t>
      </w:r>
      <w:r w:rsidR="004B20AD">
        <w:rPr>
          <w:rFonts w:ascii="Times New Roman" w:hAnsi="Times New Roman" w:cs="Times New Roman"/>
          <w:iCs/>
          <w:sz w:val="24"/>
          <w:szCs w:val="24"/>
        </w:rPr>
        <w:t xml:space="preserve">voluntary </w:t>
      </w:r>
      <w:r w:rsidR="006A5544" w:rsidRPr="006A5544">
        <w:rPr>
          <w:rFonts w:ascii="Times New Roman" w:hAnsi="Times New Roman" w:cs="Times New Roman"/>
          <w:iCs/>
          <w:sz w:val="24"/>
          <w:szCs w:val="24"/>
        </w:rPr>
        <w:t>risk disclosures.</w:t>
      </w:r>
      <w:r w:rsidR="003D1B5C">
        <w:rPr>
          <w:rFonts w:ascii="Times New Roman" w:hAnsi="Times New Roman" w:cs="Times New Roman"/>
          <w:iCs/>
          <w:sz w:val="24"/>
          <w:szCs w:val="24"/>
        </w:rPr>
        <w:t xml:space="preserve"> </w:t>
      </w:r>
      <w:r w:rsidR="00765912">
        <w:rPr>
          <w:rFonts w:ascii="Times New Roman" w:hAnsi="Times New Roman" w:cs="Times New Roman"/>
          <w:iCs/>
          <w:sz w:val="24"/>
          <w:szCs w:val="24"/>
        </w:rPr>
        <w:t xml:space="preserve">This is consistent with the findings of Gordon et al. (2002), who report that general </w:t>
      </w:r>
      <w:r w:rsidR="00F67A49">
        <w:rPr>
          <w:rFonts w:ascii="Times New Roman" w:hAnsi="Times New Roman" w:cs="Times New Roman"/>
          <w:iCs/>
          <w:sz w:val="24"/>
          <w:szCs w:val="24"/>
        </w:rPr>
        <w:t>accountability disclosure</w:t>
      </w:r>
      <w:r w:rsidR="008879C9">
        <w:rPr>
          <w:rFonts w:ascii="Times New Roman" w:hAnsi="Times New Roman" w:cs="Times New Roman"/>
          <w:iCs/>
          <w:sz w:val="24"/>
          <w:szCs w:val="24"/>
        </w:rPr>
        <w:t xml:space="preserve">s </w:t>
      </w:r>
      <w:r w:rsidR="00F67A49">
        <w:rPr>
          <w:rFonts w:ascii="Times New Roman" w:hAnsi="Times New Roman" w:cs="Times New Roman"/>
          <w:iCs/>
          <w:sz w:val="24"/>
          <w:szCs w:val="24"/>
        </w:rPr>
        <w:t xml:space="preserve">range between 17.59% and 59.05% with a mean value of 30.54% among 100 US HEIs. </w:t>
      </w:r>
      <w:r w:rsidR="007827FE">
        <w:rPr>
          <w:rFonts w:ascii="Times New Roman" w:hAnsi="Times New Roman" w:cs="Times New Roman"/>
          <w:iCs/>
          <w:sz w:val="24"/>
          <w:szCs w:val="24"/>
        </w:rPr>
        <w:t xml:space="preserve">The low levels of risk disclosure among HEIs may </w:t>
      </w:r>
      <w:r w:rsidR="000310B2">
        <w:rPr>
          <w:rFonts w:ascii="Times New Roman" w:hAnsi="Times New Roman" w:cs="Times New Roman"/>
          <w:iCs/>
          <w:sz w:val="24"/>
          <w:szCs w:val="24"/>
        </w:rPr>
        <w:t xml:space="preserve">be </w:t>
      </w:r>
      <w:r w:rsidR="007827FE">
        <w:rPr>
          <w:rFonts w:ascii="Times New Roman" w:hAnsi="Times New Roman" w:cs="Times New Roman"/>
          <w:iCs/>
          <w:sz w:val="24"/>
          <w:szCs w:val="24"/>
        </w:rPr>
        <w:t xml:space="preserve">due to the fact that the notion of risk management practices </w:t>
      </w:r>
      <w:r w:rsidR="00295CF3">
        <w:rPr>
          <w:rFonts w:ascii="Times New Roman" w:hAnsi="Times New Roman" w:cs="Times New Roman"/>
          <w:iCs/>
          <w:sz w:val="24"/>
          <w:szCs w:val="24"/>
        </w:rPr>
        <w:t>is relatively new to HEIs (</w:t>
      </w:r>
      <w:r w:rsidR="00C04C2C">
        <w:rPr>
          <w:rFonts w:ascii="Times New Roman" w:hAnsi="Times New Roman" w:cs="Times New Roman"/>
          <w:iCs/>
          <w:sz w:val="24"/>
          <w:szCs w:val="24"/>
        </w:rPr>
        <w:t>Crobler</w:t>
      </w:r>
      <w:r w:rsidR="00514B36">
        <w:rPr>
          <w:rFonts w:ascii="Times New Roman" w:hAnsi="Times New Roman" w:cs="Times New Roman"/>
          <w:iCs/>
          <w:sz w:val="24"/>
          <w:szCs w:val="24"/>
        </w:rPr>
        <w:t xml:space="preserve">, </w:t>
      </w:r>
      <w:r w:rsidR="00C04C2C">
        <w:rPr>
          <w:rFonts w:ascii="Times New Roman" w:hAnsi="Times New Roman" w:cs="Times New Roman"/>
          <w:iCs/>
          <w:sz w:val="24"/>
          <w:szCs w:val="24"/>
        </w:rPr>
        <w:t>2017</w:t>
      </w:r>
      <w:r w:rsidR="00295CF3">
        <w:rPr>
          <w:rFonts w:ascii="Times New Roman" w:hAnsi="Times New Roman" w:cs="Times New Roman"/>
          <w:iCs/>
          <w:sz w:val="24"/>
          <w:szCs w:val="24"/>
        </w:rPr>
        <w:t>)</w:t>
      </w:r>
      <w:r w:rsidR="00C04C2C">
        <w:rPr>
          <w:rFonts w:ascii="Times New Roman" w:hAnsi="Times New Roman" w:cs="Times New Roman"/>
          <w:iCs/>
          <w:sz w:val="24"/>
          <w:szCs w:val="24"/>
        </w:rPr>
        <w:t xml:space="preserve">. </w:t>
      </w:r>
    </w:p>
    <w:p w14:paraId="220BE7E5" w14:textId="7D321A4A" w:rsidR="004355CE" w:rsidRPr="002D0DB4" w:rsidRDefault="0055023F" w:rsidP="004355CE">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b/>
        <w:t xml:space="preserve">Further, </w:t>
      </w:r>
      <w:r w:rsidR="004355CE">
        <w:rPr>
          <w:rFonts w:ascii="Times New Roman" w:hAnsi="Times New Roman" w:cs="Times New Roman"/>
          <w:i/>
          <w:sz w:val="24"/>
          <w:szCs w:val="24"/>
        </w:rPr>
        <w:t xml:space="preserve">Panels </w:t>
      </w:r>
      <w:r w:rsidR="003237D4">
        <w:rPr>
          <w:rFonts w:ascii="Times New Roman" w:hAnsi="Times New Roman" w:cs="Times New Roman"/>
          <w:i/>
          <w:sz w:val="24"/>
          <w:szCs w:val="24"/>
        </w:rPr>
        <w:t>2</w:t>
      </w:r>
      <w:r w:rsidR="00B41235">
        <w:rPr>
          <w:rFonts w:ascii="Times New Roman" w:hAnsi="Times New Roman" w:cs="Times New Roman"/>
          <w:i/>
          <w:sz w:val="24"/>
          <w:szCs w:val="24"/>
        </w:rPr>
        <w:t xml:space="preserve"> to </w:t>
      </w:r>
      <w:r w:rsidR="004355CE">
        <w:rPr>
          <w:rFonts w:ascii="Times New Roman" w:hAnsi="Times New Roman" w:cs="Times New Roman"/>
          <w:i/>
          <w:sz w:val="24"/>
          <w:szCs w:val="24"/>
        </w:rPr>
        <w:t xml:space="preserve">5 </w:t>
      </w:r>
      <w:r w:rsidR="004355CE">
        <w:rPr>
          <w:rFonts w:ascii="Times New Roman" w:hAnsi="Times New Roman" w:cs="Times New Roman"/>
          <w:iCs/>
          <w:sz w:val="24"/>
          <w:szCs w:val="24"/>
        </w:rPr>
        <w:t xml:space="preserve">of Table 3 also show that </w:t>
      </w:r>
      <w:r w:rsidR="004355CE" w:rsidRPr="004355CE">
        <w:rPr>
          <w:rFonts w:ascii="Times New Roman" w:hAnsi="Times New Roman" w:cs="Times New Roman"/>
          <w:iCs/>
          <w:sz w:val="24"/>
          <w:szCs w:val="24"/>
        </w:rPr>
        <w:t>there is wide variability in the distribution of</w:t>
      </w:r>
      <w:r w:rsidR="004355CE">
        <w:rPr>
          <w:rFonts w:ascii="Times New Roman" w:hAnsi="Times New Roman" w:cs="Times New Roman"/>
          <w:iCs/>
          <w:sz w:val="24"/>
          <w:szCs w:val="24"/>
        </w:rPr>
        <w:t xml:space="preserve"> governance quality index, senior management team characteristics, </w:t>
      </w:r>
      <w:r w:rsidR="004355CE" w:rsidRPr="004355CE">
        <w:rPr>
          <w:rFonts w:ascii="Times New Roman" w:hAnsi="Times New Roman" w:cs="Times New Roman"/>
          <w:iCs/>
          <w:sz w:val="24"/>
          <w:szCs w:val="24"/>
        </w:rPr>
        <w:t xml:space="preserve">vice-chancellor characteristics and general HEIs characteristic </w:t>
      </w:r>
      <w:r w:rsidR="004355CE">
        <w:rPr>
          <w:rFonts w:ascii="Times New Roman" w:hAnsi="Times New Roman" w:cs="Times New Roman"/>
          <w:iCs/>
          <w:sz w:val="24"/>
          <w:szCs w:val="24"/>
        </w:rPr>
        <w:t>among our sampled HEIs</w:t>
      </w:r>
      <w:r w:rsidR="004355CE" w:rsidRPr="004355CE">
        <w:rPr>
          <w:rFonts w:ascii="Times New Roman" w:hAnsi="Times New Roman" w:cs="Times New Roman"/>
          <w:iCs/>
          <w:sz w:val="24"/>
          <w:szCs w:val="24"/>
        </w:rPr>
        <w:t xml:space="preserve">. For example, </w:t>
      </w:r>
      <w:r w:rsidR="004355CE">
        <w:rPr>
          <w:rFonts w:ascii="Times New Roman" w:hAnsi="Times New Roman" w:cs="Times New Roman"/>
          <w:iCs/>
          <w:sz w:val="24"/>
          <w:szCs w:val="24"/>
        </w:rPr>
        <w:t>T</w:t>
      </w:r>
      <w:r w:rsidR="004355CE" w:rsidRPr="004355CE">
        <w:rPr>
          <w:rFonts w:ascii="Times New Roman" w:hAnsi="Times New Roman" w:cs="Times New Roman"/>
          <w:iCs/>
          <w:sz w:val="24"/>
          <w:szCs w:val="24"/>
        </w:rPr>
        <w:t xml:space="preserve">able </w:t>
      </w:r>
      <w:r w:rsidR="004355CE">
        <w:rPr>
          <w:rFonts w:ascii="Times New Roman" w:hAnsi="Times New Roman" w:cs="Times New Roman"/>
          <w:iCs/>
          <w:sz w:val="24"/>
          <w:szCs w:val="24"/>
        </w:rPr>
        <w:t>3</w:t>
      </w:r>
      <w:r w:rsidR="004355CE" w:rsidRPr="004355CE">
        <w:rPr>
          <w:rFonts w:ascii="Times New Roman" w:hAnsi="Times New Roman" w:cs="Times New Roman"/>
          <w:iCs/>
          <w:sz w:val="24"/>
          <w:szCs w:val="24"/>
        </w:rPr>
        <w:t xml:space="preserve"> shows</w:t>
      </w:r>
      <w:r w:rsidR="004355CE">
        <w:rPr>
          <w:rFonts w:ascii="Times New Roman" w:hAnsi="Times New Roman" w:cs="Times New Roman"/>
          <w:iCs/>
          <w:sz w:val="24"/>
          <w:szCs w:val="24"/>
        </w:rPr>
        <w:t xml:space="preserve"> that</w:t>
      </w:r>
      <w:r w:rsidR="004355CE" w:rsidRPr="004355CE">
        <w:rPr>
          <w:rFonts w:ascii="Times New Roman" w:hAnsi="Times New Roman" w:cs="Times New Roman"/>
          <w:iCs/>
          <w:sz w:val="24"/>
          <w:szCs w:val="24"/>
        </w:rPr>
        <w:t xml:space="preserve"> UK HEIs are dominated by male VCs, with a value ranging between 0% and 100%, with an average of 83%. A detailed discussion of the descriptive statistics of other </w:t>
      </w:r>
      <w:r w:rsidR="00934002">
        <w:rPr>
          <w:rFonts w:ascii="Times New Roman" w:hAnsi="Times New Roman" w:cs="Times New Roman"/>
          <w:iCs/>
          <w:sz w:val="24"/>
          <w:szCs w:val="24"/>
        </w:rPr>
        <w:t>study variables</w:t>
      </w:r>
      <w:r w:rsidR="004355CE">
        <w:rPr>
          <w:rFonts w:ascii="Times New Roman" w:hAnsi="Times New Roman" w:cs="Times New Roman"/>
          <w:iCs/>
          <w:sz w:val="24"/>
          <w:szCs w:val="24"/>
        </w:rPr>
        <w:t xml:space="preserve"> is </w:t>
      </w:r>
      <w:r w:rsidR="004355CE" w:rsidRPr="004355CE">
        <w:rPr>
          <w:rFonts w:ascii="Times New Roman" w:hAnsi="Times New Roman" w:cs="Times New Roman"/>
          <w:iCs/>
          <w:sz w:val="24"/>
          <w:szCs w:val="24"/>
        </w:rPr>
        <w:t xml:space="preserve">included in the </w:t>
      </w:r>
      <w:r w:rsidR="00FF1BD2">
        <w:rPr>
          <w:rFonts w:ascii="Times New Roman" w:hAnsi="Times New Roman" w:cs="Times New Roman"/>
          <w:iCs/>
          <w:sz w:val="24"/>
          <w:szCs w:val="24"/>
        </w:rPr>
        <w:t>‘</w:t>
      </w:r>
      <w:r w:rsidR="00CD20C8">
        <w:rPr>
          <w:rFonts w:ascii="Times New Roman" w:hAnsi="Times New Roman" w:cs="Times New Roman"/>
          <w:b/>
          <w:bCs/>
          <w:i/>
          <w:iCs/>
          <w:sz w:val="24"/>
          <w:szCs w:val="24"/>
        </w:rPr>
        <w:t>O</w:t>
      </w:r>
      <w:r w:rsidR="004355CE" w:rsidRPr="004355CE">
        <w:rPr>
          <w:rFonts w:ascii="Times New Roman" w:hAnsi="Times New Roman" w:cs="Times New Roman"/>
          <w:b/>
          <w:bCs/>
          <w:i/>
          <w:iCs/>
          <w:sz w:val="24"/>
          <w:szCs w:val="24"/>
        </w:rPr>
        <w:t>nline Appendi</w:t>
      </w:r>
      <w:r w:rsidR="004355CE">
        <w:rPr>
          <w:rFonts w:ascii="Times New Roman" w:hAnsi="Times New Roman" w:cs="Times New Roman"/>
          <w:b/>
          <w:bCs/>
          <w:i/>
          <w:iCs/>
          <w:sz w:val="24"/>
          <w:szCs w:val="24"/>
        </w:rPr>
        <w:t xml:space="preserve">x </w:t>
      </w:r>
      <w:r w:rsidR="000A5E6F" w:rsidRPr="00FF1BD2">
        <w:rPr>
          <w:rFonts w:ascii="Times New Roman" w:hAnsi="Times New Roman" w:cs="Times New Roman"/>
          <w:b/>
          <w:bCs/>
          <w:i/>
          <w:iCs/>
          <w:sz w:val="24"/>
          <w:szCs w:val="24"/>
        </w:rPr>
        <w:t>2</w:t>
      </w:r>
      <w:r w:rsidR="00FF1BD2">
        <w:rPr>
          <w:rFonts w:ascii="Times New Roman" w:hAnsi="Times New Roman" w:cs="Times New Roman"/>
          <w:sz w:val="24"/>
          <w:szCs w:val="24"/>
        </w:rPr>
        <w:t>’</w:t>
      </w:r>
      <w:r w:rsidR="004355CE" w:rsidRPr="004355CE">
        <w:rPr>
          <w:rFonts w:ascii="Times New Roman" w:hAnsi="Times New Roman" w:cs="Times New Roman"/>
          <w:iCs/>
          <w:sz w:val="24"/>
          <w:szCs w:val="24"/>
        </w:rPr>
        <w:t>.</w:t>
      </w:r>
      <w:r w:rsidR="002D0DB4">
        <w:rPr>
          <w:rFonts w:ascii="Times New Roman" w:hAnsi="Times New Roman" w:cs="Times New Roman"/>
          <w:iCs/>
          <w:sz w:val="24"/>
          <w:szCs w:val="24"/>
        </w:rPr>
        <w:t xml:space="preserve"> In addition, </w:t>
      </w:r>
      <w:r w:rsidR="002D0DB4" w:rsidRPr="002D0DB4">
        <w:rPr>
          <w:rFonts w:ascii="Times New Roman" w:hAnsi="Times New Roman" w:cs="Times New Roman"/>
          <w:iCs/>
          <w:sz w:val="24"/>
          <w:szCs w:val="24"/>
        </w:rPr>
        <w:t xml:space="preserve">we run both </w:t>
      </w:r>
      <w:r w:rsidR="002D0DB4" w:rsidRPr="002D0DB4">
        <w:rPr>
          <w:rFonts w:ascii="Times New Roman" w:hAnsi="Times New Roman" w:cs="Times New Roman"/>
          <w:i/>
          <w:iCs/>
          <w:sz w:val="24"/>
          <w:szCs w:val="24"/>
        </w:rPr>
        <w:t xml:space="preserve">Pearson </w:t>
      </w:r>
      <w:r w:rsidR="002D0DB4" w:rsidRPr="002D0DB4">
        <w:rPr>
          <w:rFonts w:ascii="Times New Roman" w:hAnsi="Times New Roman" w:cs="Times New Roman"/>
          <w:iCs/>
          <w:sz w:val="24"/>
          <w:szCs w:val="24"/>
        </w:rPr>
        <w:t xml:space="preserve">and </w:t>
      </w:r>
      <w:r w:rsidR="002D0DB4" w:rsidRPr="002D0DB4">
        <w:rPr>
          <w:rFonts w:ascii="Times New Roman" w:hAnsi="Times New Roman" w:cs="Times New Roman"/>
          <w:i/>
          <w:iCs/>
          <w:sz w:val="24"/>
          <w:szCs w:val="24"/>
        </w:rPr>
        <w:t xml:space="preserve">Spearman </w:t>
      </w:r>
      <w:r w:rsidR="002D0DB4" w:rsidRPr="002D0DB4">
        <w:rPr>
          <w:rFonts w:ascii="Times New Roman" w:hAnsi="Times New Roman" w:cs="Times New Roman"/>
          <w:iCs/>
          <w:sz w:val="24"/>
          <w:szCs w:val="24"/>
        </w:rPr>
        <w:t>correlation matrices</w:t>
      </w:r>
      <w:r w:rsidR="002D0DB4">
        <w:rPr>
          <w:rFonts w:ascii="Times New Roman" w:hAnsi="Times New Roman" w:cs="Times New Roman"/>
          <w:iCs/>
          <w:sz w:val="24"/>
          <w:szCs w:val="24"/>
        </w:rPr>
        <w:t xml:space="preserve"> to check issues of multicollinearity/non-linearity. The results (as shown in the </w:t>
      </w:r>
      <w:r w:rsidR="006131A3">
        <w:rPr>
          <w:rFonts w:ascii="Times New Roman" w:hAnsi="Times New Roman" w:cs="Times New Roman"/>
          <w:b/>
          <w:bCs/>
          <w:i/>
          <w:sz w:val="24"/>
          <w:szCs w:val="24"/>
        </w:rPr>
        <w:t>O</w:t>
      </w:r>
      <w:r w:rsidR="002D0DB4">
        <w:rPr>
          <w:rFonts w:ascii="Times New Roman" w:hAnsi="Times New Roman" w:cs="Times New Roman"/>
          <w:b/>
          <w:bCs/>
          <w:i/>
          <w:sz w:val="24"/>
          <w:szCs w:val="24"/>
        </w:rPr>
        <w:t xml:space="preserve">nline Appendix </w:t>
      </w:r>
      <w:r w:rsidR="001256FC">
        <w:rPr>
          <w:rFonts w:ascii="Times New Roman" w:hAnsi="Times New Roman" w:cs="Times New Roman"/>
          <w:b/>
          <w:bCs/>
          <w:i/>
          <w:sz w:val="24"/>
          <w:szCs w:val="24"/>
        </w:rPr>
        <w:t>3</w:t>
      </w:r>
      <w:r w:rsidR="002D0DB4" w:rsidRPr="002D0DB4">
        <w:rPr>
          <w:rFonts w:ascii="Times New Roman" w:hAnsi="Times New Roman" w:cs="Times New Roman"/>
          <w:iCs/>
          <w:sz w:val="24"/>
          <w:szCs w:val="24"/>
        </w:rPr>
        <w:t>),</w:t>
      </w:r>
      <w:r w:rsidR="002D0DB4">
        <w:rPr>
          <w:rFonts w:ascii="Times New Roman" w:hAnsi="Times New Roman" w:cs="Times New Roman"/>
          <w:iCs/>
          <w:sz w:val="24"/>
          <w:szCs w:val="24"/>
        </w:rPr>
        <w:t xml:space="preserve"> indicate that there is no serious non-linearity/multicollinearity problem</w:t>
      </w:r>
      <w:r w:rsidR="00046A43">
        <w:rPr>
          <w:rFonts w:ascii="Times New Roman" w:hAnsi="Times New Roman" w:cs="Times New Roman"/>
          <w:iCs/>
          <w:sz w:val="24"/>
          <w:szCs w:val="24"/>
        </w:rPr>
        <w:t>s</w:t>
      </w:r>
      <w:r w:rsidR="002D0DB4">
        <w:rPr>
          <w:rFonts w:ascii="Times New Roman" w:hAnsi="Times New Roman" w:cs="Times New Roman"/>
          <w:iCs/>
          <w:sz w:val="24"/>
          <w:szCs w:val="24"/>
        </w:rPr>
        <w:t xml:space="preserve"> </w:t>
      </w:r>
      <w:r w:rsidR="00046A43">
        <w:rPr>
          <w:rFonts w:ascii="Times New Roman" w:hAnsi="Times New Roman" w:cs="Times New Roman"/>
          <w:iCs/>
          <w:sz w:val="24"/>
          <w:szCs w:val="24"/>
        </w:rPr>
        <w:t>among</w:t>
      </w:r>
      <w:r w:rsidR="002D0DB4">
        <w:rPr>
          <w:rFonts w:ascii="Times New Roman" w:hAnsi="Times New Roman" w:cs="Times New Roman"/>
          <w:iCs/>
          <w:sz w:val="24"/>
          <w:szCs w:val="24"/>
        </w:rPr>
        <w:t xml:space="preserve"> the study</w:t>
      </w:r>
      <w:r w:rsidR="00046A43">
        <w:rPr>
          <w:rFonts w:ascii="Times New Roman" w:hAnsi="Times New Roman" w:cs="Times New Roman"/>
          <w:iCs/>
          <w:sz w:val="24"/>
          <w:szCs w:val="24"/>
        </w:rPr>
        <w:t>’s</w:t>
      </w:r>
      <w:r w:rsidR="002D0DB4">
        <w:rPr>
          <w:rFonts w:ascii="Times New Roman" w:hAnsi="Times New Roman" w:cs="Times New Roman"/>
          <w:iCs/>
          <w:sz w:val="24"/>
          <w:szCs w:val="24"/>
        </w:rPr>
        <w:t xml:space="preserve"> variables. </w:t>
      </w:r>
    </w:p>
    <w:p w14:paraId="6043E51F" w14:textId="3DCC0805" w:rsidR="0055023F" w:rsidRDefault="0055023F" w:rsidP="00356ADA">
      <w:pPr>
        <w:spacing w:after="0" w:line="240" w:lineRule="auto"/>
        <w:jc w:val="both"/>
        <w:rPr>
          <w:rFonts w:ascii="Times New Roman" w:hAnsi="Times New Roman" w:cs="Times New Roman"/>
          <w:iCs/>
          <w:sz w:val="24"/>
          <w:szCs w:val="24"/>
        </w:rPr>
      </w:pPr>
    </w:p>
    <w:p w14:paraId="7E0716A5" w14:textId="67BA24FF" w:rsidR="00FE6959" w:rsidRDefault="003B082B" w:rsidP="003B082B">
      <w:pPr>
        <w:spacing w:after="0" w:line="240" w:lineRule="auto"/>
        <w:jc w:val="center"/>
        <w:rPr>
          <w:rFonts w:ascii="Times New Roman" w:hAnsi="Times New Roman" w:cs="Times New Roman"/>
          <w:i/>
          <w:sz w:val="24"/>
          <w:szCs w:val="24"/>
        </w:rPr>
      </w:pPr>
      <w:r w:rsidRPr="00356ADA">
        <w:rPr>
          <w:rFonts w:ascii="Times New Roman" w:hAnsi="Times New Roman" w:cs="Times New Roman"/>
          <w:i/>
          <w:sz w:val="24"/>
          <w:szCs w:val="24"/>
        </w:rPr>
        <w:t>Table 3 around here</w:t>
      </w:r>
    </w:p>
    <w:p w14:paraId="6B2A4BE3" w14:textId="50AE29F7" w:rsidR="00C55844" w:rsidRDefault="00C55844" w:rsidP="003B082B">
      <w:pPr>
        <w:spacing w:after="0" w:line="240" w:lineRule="auto"/>
        <w:jc w:val="center"/>
        <w:rPr>
          <w:rFonts w:ascii="Times New Roman" w:hAnsi="Times New Roman" w:cs="Times New Roman"/>
          <w:i/>
          <w:sz w:val="24"/>
          <w:szCs w:val="24"/>
        </w:rPr>
      </w:pPr>
    </w:p>
    <w:p w14:paraId="448CD527" w14:textId="77777777" w:rsidR="00C55844" w:rsidRPr="00356ADA" w:rsidRDefault="00C55844" w:rsidP="003B082B">
      <w:pPr>
        <w:spacing w:after="0" w:line="240" w:lineRule="auto"/>
        <w:jc w:val="center"/>
        <w:rPr>
          <w:rFonts w:ascii="Times New Roman" w:hAnsi="Times New Roman" w:cs="Times New Roman"/>
          <w:i/>
          <w:sz w:val="24"/>
          <w:szCs w:val="24"/>
        </w:rPr>
      </w:pPr>
    </w:p>
    <w:p w14:paraId="2CFEDFE3" w14:textId="33DDAE6C" w:rsidR="00FE6959" w:rsidRDefault="00FE6959" w:rsidP="00FE6959">
      <w:pPr>
        <w:autoSpaceDE w:val="0"/>
        <w:autoSpaceDN w:val="0"/>
        <w:adjustRightInd w:val="0"/>
        <w:spacing w:after="0" w:line="240" w:lineRule="auto"/>
        <w:ind w:firstLine="720"/>
        <w:jc w:val="both"/>
        <w:rPr>
          <w:rFonts w:ascii="Times New Roman" w:hAnsi="Times New Roman" w:cs="Times New Roman"/>
        </w:rPr>
      </w:pPr>
    </w:p>
    <w:p w14:paraId="385166C7" w14:textId="39435E82" w:rsidR="00754817" w:rsidRPr="00356ADA" w:rsidRDefault="00737852" w:rsidP="00A03A45">
      <w:pPr>
        <w:pStyle w:val="ListParagraph"/>
        <w:numPr>
          <w:ilvl w:val="1"/>
          <w:numId w:val="21"/>
        </w:numPr>
        <w:spacing w:after="0" w:line="240" w:lineRule="auto"/>
        <w:ind w:left="426" w:hanging="426"/>
        <w:rPr>
          <w:rFonts w:ascii="Times New Roman" w:hAnsi="Times New Roman" w:cs="Times New Roman"/>
          <w:b/>
          <w:bCs/>
          <w:i/>
          <w:sz w:val="24"/>
          <w:szCs w:val="24"/>
        </w:rPr>
      </w:pPr>
      <w:r w:rsidRPr="00356ADA">
        <w:rPr>
          <w:rFonts w:ascii="Times New Roman" w:hAnsi="Times New Roman" w:cs="Times New Roman"/>
          <w:b/>
          <w:bCs/>
          <w:i/>
          <w:sz w:val="24"/>
          <w:szCs w:val="24"/>
        </w:rPr>
        <w:lastRenderedPageBreak/>
        <w:t>R</w:t>
      </w:r>
      <w:r w:rsidR="00497627" w:rsidRPr="00356ADA">
        <w:rPr>
          <w:rFonts w:ascii="Times New Roman" w:hAnsi="Times New Roman" w:cs="Times New Roman"/>
          <w:b/>
          <w:bCs/>
          <w:i/>
          <w:sz w:val="24"/>
          <w:szCs w:val="24"/>
        </w:rPr>
        <w:t xml:space="preserve">egression </w:t>
      </w:r>
      <w:r w:rsidRPr="00356ADA">
        <w:rPr>
          <w:rFonts w:ascii="Times New Roman" w:hAnsi="Times New Roman" w:cs="Times New Roman"/>
          <w:b/>
          <w:bCs/>
          <w:i/>
          <w:sz w:val="24"/>
          <w:szCs w:val="24"/>
        </w:rPr>
        <w:t>results and discussion</w:t>
      </w:r>
    </w:p>
    <w:p w14:paraId="615A1D97" w14:textId="77777777" w:rsidR="00497627" w:rsidRPr="00356ADA" w:rsidRDefault="00497627" w:rsidP="00B27CF1">
      <w:pPr>
        <w:spacing w:after="0" w:line="240" w:lineRule="auto"/>
        <w:rPr>
          <w:rFonts w:ascii="Times New Roman" w:hAnsi="Times New Roman" w:cs="Times New Roman"/>
          <w:b/>
          <w:sz w:val="24"/>
          <w:szCs w:val="24"/>
        </w:rPr>
      </w:pPr>
    </w:p>
    <w:p w14:paraId="26A329A0" w14:textId="1FDC6530" w:rsidR="0031707D" w:rsidRDefault="00D25193" w:rsidP="00CD7C83">
      <w:pPr>
        <w:spacing w:after="0" w:line="240" w:lineRule="auto"/>
        <w:jc w:val="both"/>
        <w:rPr>
          <w:rFonts w:ascii="Times New Roman" w:hAnsi="Times New Roman" w:cs="Times New Roman"/>
          <w:sz w:val="24"/>
          <w:szCs w:val="24"/>
        </w:rPr>
      </w:pPr>
      <w:r w:rsidRPr="00356ADA">
        <w:rPr>
          <w:rFonts w:ascii="Times New Roman" w:hAnsi="Times New Roman" w:cs="Times New Roman"/>
          <w:sz w:val="24"/>
          <w:szCs w:val="24"/>
        </w:rPr>
        <w:t xml:space="preserve">Table </w:t>
      </w:r>
      <w:r w:rsidR="00FB54C0">
        <w:rPr>
          <w:rFonts w:ascii="Times New Roman" w:hAnsi="Times New Roman" w:cs="Times New Roman"/>
          <w:sz w:val="24"/>
          <w:szCs w:val="24"/>
        </w:rPr>
        <w:t>4</w:t>
      </w:r>
      <w:r w:rsidRPr="00356ADA">
        <w:rPr>
          <w:rFonts w:ascii="Times New Roman" w:hAnsi="Times New Roman" w:cs="Times New Roman"/>
          <w:sz w:val="24"/>
          <w:szCs w:val="24"/>
        </w:rPr>
        <w:t xml:space="preserve"> </w:t>
      </w:r>
      <w:r w:rsidR="000C7A9B" w:rsidRPr="00356ADA">
        <w:rPr>
          <w:rFonts w:ascii="Times New Roman" w:hAnsi="Times New Roman" w:cs="Times New Roman"/>
          <w:sz w:val="24"/>
          <w:szCs w:val="24"/>
        </w:rPr>
        <w:t>report</w:t>
      </w:r>
      <w:r w:rsidR="00BA6EFF" w:rsidRPr="00356ADA">
        <w:rPr>
          <w:rFonts w:ascii="Times New Roman" w:hAnsi="Times New Roman" w:cs="Times New Roman"/>
          <w:sz w:val="24"/>
          <w:szCs w:val="24"/>
        </w:rPr>
        <w:t>s</w:t>
      </w:r>
      <w:r w:rsidR="000C7A9B" w:rsidRPr="00356ADA">
        <w:rPr>
          <w:rFonts w:ascii="Times New Roman" w:hAnsi="Times New Roman" w:cs="Times New Roman"/>
          <w:sz w:val="24"/>
          <w:szCs w:val="24"/>
        </w:rPr>
        <w:t xml:space="preserve"> the results from regressing </w:t>
      </w:r>
      <w:r w:rsidR="0004113F">
        <w:rPr>
          <w:rFonts w:ascii="Times New Roman" w:hAnsi="Times New Roman" w:cs="Times New Roman"/>
          <w:i/>
          <w:iCs/>
          <w:sz w:val="24"/>
          <w:szCs w:val="24"/>
        </w:rPr>
        <w:t>HE</w:t>
      </w:r>
      <w:r w:rsidR="000C7A9B" w:rsidRPr="00356ADA">
        <w:rPr>
          <w:rFonts w:ascii="Times New Roman" w:hAnsi="Times New Roman" w:cs="Times New Roman"/>
          <w:i/>
          <w:iCs/>
          <w:sz w:val="24"/>
          <w:szCs w:val="24"/>
        </w:rPr>
        <w:t xml:space="preserve">GQI </w:t>
      </w:r>
      <w:r w:rsidR="000C7A9B" w:rsidRPr="00356ADA">
        <w:rPr>
          <w:rFonts w:ascii="Times New Roman" w:hAnsi="Times New Roman" w:cs="Times New Roman"/>
          <w:sz w:val="24"/>
          <w:szCs w:val="24"/>
        </w:rPr>
        <w:t xml:space="preserve">on </w:t>
      </w:r>
      <w:r w:rsidR="0004113F">
        <w:rPr>
          <w:rFonts w:ascii="Times New Roman" w:hAnsi="Times New Roman" w:cs="Times New Roman"/>
          <w:i/>
          <w:iCs/>
          <w:sz w:val="24"/>
          <w:szCs w:val="24"/>
        </w:rPr>
        <w:t>HE</w:t>
      </w:r>
      <w:r w:rsidR="000C7A9B" w:rsidRPr="00356ADA">
        <w:rPr>
          <w:rFonts w:ascii="Times New Roman" w:hAnsi="Times New Roman" w:cs="Times New Roman"/>
          <w:i/>
          <w:iCs/>
          <w:sz w:val="24"/>
          <w:szCs w:val="24"/>
        </w:rPr>
        <w:t>RDI</w:t>
      </w:r>
      <w:r w:rsidR="000C7A9B" w:rsidRPr="00356ADA">
        <w:rPr>
          <w:rFonts w:ascii="Times New Roman" w:hAnsi="Times New Roman" w:cs="Times New Roman"/>
          <w:sz w:val="24"/>
          <w:szCs w:val="24"/>
        </w:rPr>
        <w:t xml:space="preserve">, whilst controlling for </w:t>
      </w:r>
      <w:r w:rsidR="0031707D">
        <w:rPr>
          <w:rFonts w:ascii="Times New Roman" w:hAnsi="Times New Roman" w:cs="Times New Roman"/>
          <w:sz w:val="24"/>
          <w:szCs w:val="24"/>
        </w:rPr>
        <w:t>vice-chancellor characteristics [</w:t>
      </w:r>
      <w:r w:rsidR="0031707D" w:rsidRPr="0031707D">
        <w:rPr>
          <w:rFonts w:ascii="Times New Roman" w:hAnsi="Times New Roman" w:cs="Times New Roman"/>
          <w:sz w:val="24"/>
          <w:szCs w:val="24"/>
        </w:rPr>
        <w:t>vice-chancellor (VC) age (</w:t>
      </w:r>
      <w:r w:rsidR="0031707D" w:rsidRPr="0031707D">
        <w:rPr>
          <w:rFonts w:ascii="Times New Roman" w:hAnsi="Times New Roman" w:cs="Times New Roman"/>
          <w:i/>
          <w:iCs/>
          <w:sz w:val="24"/>
          <w:szCs w:val="24"/>
        </w:rPr>
        <w:t>VCAG</w:t>
      </w:r>
      <w:r w:rsidR="0004113F">
        <w:rPr>
          <w:rFonts w:ascii="Times New Roman" w:hAnsi="Times New Roman" w:cs="Times New Roman"/>
          <w:i/>
          <w:iCs/>
          <w:sz w:val="24"/>
          <w:szCs w:val="24"/>
        </w:rPr>
        <w:t>E</w:t>
      </w:r>
      <w:r w:rsidR="0031707D" w:rsidRPr="0031707D">
        <w:rPr>
          <w:rFonts w:ascii="Times New Roman" w:hAnsi="Times New Roman" w:cs="Times New Roman"/>
          <w:sz w:val="24"/>
          <w:szCs w:val="24"/>
        </w:rPr>
        <w:t>), gender (</w:t>
      </w:r>
      <w:r w:rsidR="0031707D" w:rsidRPr="0031707D">
        <w:rPr>
          <w:rFonts w:ascii="Times New Roman" w:hAnsi="Times New Roman" w:cs="Times New Roman"/>
          <w:i/>
          <w:iCs/>
          <w:sz w:val="24"/>
          <w:szCs w:val="24"/>
        </w:rPr>
        <w:t>VCG</w:t>
      </w:r>
      <w:r w:rsidR="0004113F">
        <w:rPr>
          <w:rFonts w:ascii="Times New Roman" w:hAnsi="Times New Roman" w:cs="Times New Roman"/>
          <w:i/>
          <w:iCs/>
          <w:sz w:val="24"/>
          <w:szCs w:val="24"/>
        </w:rPr>
        <w:t>EN</w:t>
      </w:r>
      <w:r w:rsidR="0031707D" w:rsidRPr="0031707D">
        <w:rPr>
          <w:rFonts w:ascii="Times New Roman" w:hAnsi="Times New Roman" w:cs="Times New Roman"/>
          <w:sz w:val="24"/>
          <w:szCs w:val="24"/>
        </w:rPr>
        <w:t>), tenure (</w:t>
      </w:r>
      <w:r w:rsidR="0031707D" w:rsidRPr="0031707D">
        <w:rPr>
          <w:rFonts w:ascii="Times New Roman" w:hAnsi="Times New Roman" w:cs="Times New Roman"/>
          <w:i/>
          <w:iCs/>
          <w:sz w:val="24"/>
          <w:szCs w:val="24"/>
        </w:rPr>
        <w:t>VCT</w:t>
      </w:r>
      <w:r w:rsidR="0004113F">
        <w:rPr>
          <w:rFonts w:ascii="Times New Roman" w:hAnsi="Times New Roman" w:cs="Times New Roman"/>
          <w:i/>
          <w:iCs/>
          <w:sz w:val="24"/>
          <w:szCs w:val="24"/>
        </w:rPr>
        <w:t>E</w:t>
      </w:r>
      <w:r w:rsidR="0031707D" w:rsidRPr="0031707D">
        <w:rPr>
          <w:rFonts w:ascii="Times New Roman" w:hAnsi="Times New Roman" w:cs="Times New Roman"/>
          <w:i/>
          <w:iCs/>
          <w:sz w:val="24"/>
          <w:szCs w:val="24"/>
        </w:rPr>
        <w:t>N</w:t>
      </w:r>
      <w:r w:rsidR="0031707D" w:rsidRPr="0031707D">
        <w:rPr>
          <w:rFonts w:ascii="Times New Roman" w:hAnsi="Times New Roman" w:cs="Times New Roman"/>
          <w:sz w:val="24"/>
          <w:szCs w:val="24"/>
        </w:rPr>
        <w:t>)</w:t>
      </w:r>
      <w:r w:rsidR="0031707D">
        <w:rPr>
          <w:rFonts w:ascii="Times New Roman" w:hAnsi="Times New Roman" w:cs="Times New Roman"/>
          <w:sz w:val="24"/>
          <w:szCs w:val="24"/>
        </w:rPr>
        <w:t xml:space="preserve">, and </w:t>
      </w:r>
      <w:r w:rsidR="0031707D">
        <w:rPr>
          <w:rFonts w:asciiTheme="majorBidi" w:hAnsiTheme="majorBidi" w:cstheme="majorBidi"/>
          <w:sz w:val="24"/>
          <w:szCs w:val="24"/>
        </w:rPr>
        <w:t>academic discipline (</w:t>
      </w:r>
      <w:r w:rsidR="0031707D">
        <w:rPr>
          <w:rFonts w:asciiTheme="majorBidi" w:hAnsiTheme="majorBidi" w:cstheme="majorBidi"/>
          <w:i/>
          <w:iCs/>
          <w:sz w:val="24"/>
          <w:szCs w:val="24"/>
        </w:rPr>
        <w:t>VCA</w:t>
      </w:r>
      <w:r w:rsidR="00010414">
        <w:rPr>
          <w:rFonts w:asciiTheme="majorBidi" w:hAnsiTheme="majorBidi" w:cstheme="majorBidi"/>
          <w:i/>
          <w:iCs/>
          <w:sz w:val="24"/>
          <w:szCs w:val="24"/>
        </w:rPr>
        <w:t>C</w:t>
      </w:r>
      <w:r w:rsidR="0031707D">
        <w:rPr>
          <w:rFonts w:asciiTheme="majorBidi" w:hAnsiTheme="majorBidi" w:cstheme="majorBidi"/>
          <w:i/>
          <w:iCs/>
          <w:sz w:val="24"/>
          <w:szCs w:val="24"/>
        </w:rPr>
        <w:t>D</w:t>
      </w:r>
      <w:r w:rsidR="0031707D">
        <w:rPr>
          <w:rFonts w:asciiTheme="majorBidi" w:hAnsiTheme="majorBidi" w:cstheme="majorBidi"/>
          <w:sz w:val="24"/>
          <w:szCs w:val="24"/>
        </w:rPr>
        <w:t>)]</w:t>
      </w:r>
      <w:r w:rsidR="0031707D" w:rsidRPr="0031707D">
        <w:rPr>
          <w:rFonts w:ascii="Times New Roman" w:hAnsi="Times New Roman" w:cs="Times New Roman"/>
          <w:iCs/>
          <w:sz w:val="24"/>
          <w:szCs w:val="24"/>
        </w:rPr>
        <w:t xml:space="preserve"> </w:t>
      </w:r>
      <w:r w:rsidR="0031707D" w:rsidRPr="0031707D">
        <w:rPr>
          <w:rFonts w:asciiTheme="majorBidi" w:hAnsiTheme="majorBidi" w:cstheme="majorBidi"/>
          <w:iCs/>
          <w:sz w:val="24"/>
          <w:szCs w:val="24"/>
        </w:rPr>
        <w:t>and general HEIs characteristics [growth (</w:t>
      </w:r>
      <w:r w:rsidR="0031707D" w:rsidRPr="0031707D">
        <w:rPr>
          <w:rFonts w:asciiTheme="majorBidi" w:hAnsiTheme="majorBidi" w:cstheme="majorBidi"/>
          <w:i/>
          <w:iCs/>
          <w:sz w:val="24"/>
          <w:szCs w:val="24"/>
        </w:rPr>
        <w:t>GRTH</w:t>
      </w:r>
      <w:r w:rsidR="0031707D" w:rsidRPr="0031707D">
        <w:rPr>
          <w:rFonts w:asciiTheme="majorBidi" w:hAnsiTheme="majorBidi" w:cstheme="majorBidi"/>
          <w:iCs/>
          <w:sz w:val="24"/>
          <w:szCs w:val="24"/>
        </w:rPr>
        <w:t>), proportion of income from funding councils (</w:t>
      </w:r>
      <w:r w:rsidR="00BE5CE8">
        <w:rPr>
          <w:rFonts w:asciiTheme="majorBidi" w:hAnsiTheme="majorBidi" w:cstheme="majorBidi"/>
          <w:i/>
          <w:iCs/>
          <w:sz w:val="24"/>
          <w:szCs w:val="24"/>
        </w:rPr>
        <w:t>IFUNDC</w:t>
      </w:r>
      <w:r w:rsidR="0031707D" w:rsidRPr="0031707D">
        <w:rPr>
          <w:rFonts w:asciiTheme="majorBidi" w:hAnsiTheme="majorBidi" w:cstheme="majorBidi"/>
          <w:iCs/>
          <w:sz w:val="24"/>
          <w:szCs w:val="24"/>
        </w:rPr>
        <w:t>), leverage (</w:t>
      </w:r>
      <w:r w:rsidR="0031707D" w:rsidRPr="0031707D">
        <w:rPr>
          <w:rFonts w:asciiTheme="majorBidi" w:hAnsiTheme="majorBidi" w:cstheme="majorBidi"/>
          <w:i/>
          <w:iCs/>
          <w:sz w:val="24"/>
          <w:szCs w:val="24"/>
        </w:rPr>
        <w:t>LEVE</w:t>
      </w:r>
      <w:r w:rsidR="0031707D" w:rsidRPr="0031707D">
        <w:rPr>
          <w:rFonts w:asciiTheme="majorBidi" w:hAnsiTheme="majorBidi" w:cstheme="majorBidi"/>
          <w:iCs/>
          <w:sz w:val="24"/>
          <w:szCs w:val="24"/>
        </w:rPr>
        <w:t>), liquidity (</w:t>
      </w:r>
      <w:r w:rsidR="0031707D" w:rsidRPr="0031707D">
        <w:rPr>
          <w:rFonts w:asciiTheme="majorBidi" w:hAnsiTheme="majorBidi" w:cstheme="majorBidi"/>
          <w:i/>
          <w:iCs/>
          <w:sz w:val="24"/>
          <w:szCs w:val="24"/>
        </w:rPr>
        <w:t>LIQU</w:t>
      </w:r>
      <w:r w:rsidR="00BE5CE8">
        <w:rPr>
          <w:rFonts w:asciiTheme="majorBidi" w:hAnsiTheme="majorBidi" w:cstheme="majorBidi"/>
          <w:i/>
          <w:iCs/>
          <w:sz w:val="24"/>
          <w:szCs w:val="24"/>
        </w:rPr>
        <w:t>D</w:t>
      </w:r>
      <w:r w:rsidR="0031707D" w:rsidRPr="0031707D">
        <w:rPr>
          <w:rFonts w:asciiTheme="majorBidi" w:hAnsiTheme="majorBidi" w:cstheme="majorBidi"/>
          <w:iCs/>
          <w:sz w:val="24"/>
          <w:szCs w:val="24"/>
        </w:rPr>
        <w:t>), dummy for post-1992 (</w:t>
      </w:r>
      <w:r w:rsidR="0031707D" w:rsidRPr="0031707D">
        <w:rPr>
          <w:rFonts w:asciiTheme="majorBidi" w:hAnsiTheme="majorBidi" w:cstheme="majorBidi"/>
          <w:i/>
          <w:iCs/>
          <w:sz w:val="24"/>
          <w:szCs w:val="24"/>
        </w:rPr>
        <w:t>POST-92</w:t>
      </w:r>
      <w:r w:rsidR="0031707D" w:rsidRPr="0031707D">
        <w:rPr>
          <w:rFonts w:asciiTheme="majorBidi" w:hAnsiTheme="majorBidi" w:cstheme="majorBidi"/>
          <w:iCs/>
          <w:sz w:val="24"/>
          <w:szCs w:val="24"/>
        </w:rPr>
        <w:t>), Russell group dummy (</w:t>
      </w:r>
      <w:r w:rsidR="0031707D" w:rsidRPr="0031707D">
        <w:rPr>
          <w:rFonts w:asciiTheme="majorBidi" w:hAnsiTheme="majorBidi" w:cstheme="majorBidi"/>
          <w:i/>
          <w:iCs/>
          <w:sz w:val="24"/>
          <w:szCs w:val="24"/>
        </w:rPr>
        <w:t>RUSSG</w:t>
      </w:r>
      <w:r w:rsidR="0031707D" w:rsidRPr="0031707D">
        <w:rPr>
          <w:rFonts w:asciiTheme="majorBidi" w:hAnsiTheme="majorBidi" w:cstheme="majorBidi"/>
          <w:iCs/>
          <w:sz w:val="24"/>
          <w:szCs w:val="24"/>
        </w:rPr>
        <w:t>), financial risk (</w:t>
      </w:r>
      <w:r w:rsidR="00BE5CE8">
        <w:rPr>
          <w:rFonts w:asciiTheme="majorBidi" w:hAnsiTheme="majorBidi" w:cstheme="majorBidi"/>
          <w:i/>
          <w:sz w:val="24"/>
          <w:szCs w:val="24"/>
        </w:rPr>
        <w:t>F</w:t>
      </w:r>
      <w:r w:rsidR="0031707D" w:rsidRPr="0031707D">
        <w:rPr>
          <w:rFonts w:asciiTheme="majorBidi" w:hAnsiTheme="majorBidi" w:cstheme="majorBidi"/>
          <w:i/>
          <w:iCs/>
          <w:sz w:val="24"/>
          <w:szCs w:val="24"/>
        </w:rPr>
        <w:t>R</w:t>
      </w:r>
      <w:r w:rsidR="00BE5CE8">
        <w:rPr>
          <w:rFonts w:asciiTheme="majorBidi" w:hAnsiTheme="majorBidi" w:cstheme="majorBidi"/>
          <w:i/>
          <w:iCs/>
          <w:sz w:val="24"/>
          <w:szCs w:val="24"/>
        </w:rPr>
        <w:t>I</w:t>
      </w:r>
      <w:r w:rsidR="0031707D" w:rsidRPr="0031707D">
        <w:rPr>
          <w:rFonts w:asciiTheme="majorBidi" w:hAnsiTheme="majorBidi" w:cstheme="majorBidi"/>
          <w:i/>
          <w:iCs/>
          <w:sz w:val="24"/>
          <w:szCs w:val="24"/>
        </w:rPr>
        <w:t>SK</w:t>
      </w:r>
      <w:r w:rsidR="0031707D" w:rsidRPr="0031707D">
        <w:rPr>
          <w:rFonts w:asciiTheme="majorBidi" w:hAnsiTheme="majorBidi" w:cstheme="majorBidi"/>
          <w:iCs/>
          <w:sz w:val="24"/>
          <w:szCs w:val="24"/>
        </w:rPr>
        <w:t>), HEI size (</w:t>
      </w:r>
      <w:r w:rsidR="0031707D" w:rsidRPr="0031707D">
        <w:rPr>
          <w:rFonts w:asciiTheme="majorBidi" w:hAnsiTheme="majorBidi" w:cstheme="majorBidi"/>
          <w:i/>
          <w:iCs/>
          <w:sz w:val="24"/>
          <w:szCs w:val="24"/>
        </w:rPr>
        <w:t>HEISZ</w:t>
      </w:r>
      <w:r w:rsidR="00BE5CE8">
        <w:rPr>
          <w:rFonts w:asciiTheme="majorBidi" w:hAnsiTheme="majorBidi" w:cstheme="majorBidi"/>
          <w:i/>
          <w:iCs/>
          <w:sz w:val="24"/>
          <w:szCs w:val="24"/>
        </w:rPr>
        <w:t>E</w:t>
      </w:r>
      <w:r w:rsidR="0031707D" w:rsidRPr="0031707D">
        <w:rPr>
          <w:rFonts w:asciiTheme="majorBidi" w:hAnsiTheme="majorBidi" w:cstheme="majorBidi"/>
          <w:iCs/>
          <w:sz w:val="24"/>
          <w:szCs w:val="24"/>
        </w:rPr>
        <w:t>), HEI age (</w:t>
      </w:r>
      <w:r w:rsidR="0031707D" w:rsidRPr="0031707D">
        <w:rPr>
          <w:rFonts w:asciiTheme="majorBidi" w:hAnsiTheme="majorBidi" w:cstheme="majorBidi"/>
          <w:i/>
          <w:iCs/>
          <w:sz w:val="24"/>
          <w:szCs w:val="24"/>
        </w:rPr>
        <w:t>HEIAG</w:t>
      </w:r>
      <w:r w:rsidR="00BE5CE8">
        <w:rPr>
          <w:rFonts w:asciiTheme="majorBidi" w:hAnsiTheme="majorBidi" w:cstheme="majorBidi"/>
          <w:i/>
          <w:iCs/>
          <w:sz w:val="24"/>
          <w:szCs w:val="24"/>
        </w:rPr>
        <w:t>E</w:t>
      </w:r>
      <w:r w:rsidR="0031707D" w:rsidRPr="0031707D">
        <w:rPr>
          <w:rFonts w:asciiTheme="majorBidi" w:hAnsiTheme="majorBidi" w:cstheme="majorBidi"/>
          <w:iCs/>
          <w:sz w:val="24"/>
          <w:szCs w:val="24"/>
        </w:rPr>
        <w:t>), size of the audit firm (</w:t>
      </w:r>
      <w:r w:rsidR="0031707D" w:rsidRPr="0031707D">
        <w:rPr>
          <w:rFonts w:asciiTheme="majorBidi" w:hAnsiTheme="majorBidi" w:cstheme="majorBidi"/>
          <w:i/>
          <w:iCs/>
          <w:sz w:val="24"/>
          <w:szCs w:val="24"/>
        </w:rPr>
        <w:t>AF</w:t>
      </w:r>
      <w:r w:rsidR="00BE5CE8">
        <w:rPr>
          <w:rFonts w:asciiTheme="majorBidi" w:hAnsiTheme="majorBidi" w:cstheme="majorBidi"/>
          <w:i/>
          <w:iCs/>
          <w:sz w:val="24"/>
          <w:szCs w:val="24"/>
        </w:rPr>
        <w:t>SZE</w:t>
      </w:r>
      <w:r w:rsidR="0031707D" w:rsidRPr="0031707D">
        <w:rPr>
          <w:rFonts w:asciiTheme="majorBidi" w:hAnsiTheme="majorBidi" w:cstheme="majorBidi"/>
          <w:iCs/>
          <w:sz w:val="24"/>
          <w:szCs w:val="24"/>
        </w:rPr>
        <w:t>), capital expenditure (</w:t>
      </w:r>
      <w:r w:rsidR="0031707D" w:rsidRPr="0031707D">
        <w:rPr>
          <w:rFonts w:asciiTheme="majorBidi" w:hAnsiTheme="majorBidi" w:cstheme="majorBidi"/>
          <w:i/>
          <w:iCs/>
          <w:sz w:val="24"/>
          <w:szCs w:val="24"/>
        </w:rPr>
        <w:t>CEXP</w:t>
      </w:r>
      <w:r w:rsidR="0031707D" w:rsidRPr="0031707D">
        <w:rPr>
          <w:rFonts w:asciiTheme="majorBidi" w:hAnsiTheme="majorBidi" w:cstheme="majorBidi"/>
          <w:iCs/>
          <w:sz w:val="24"/>
          <w:szCs w:val="24"/>
        </w:rPr>
        <w:t>)</w:t>
      </w:r>
      <w:r w:rsidR="0031707D">
        <w:rPr>
          <w:rFonts w:asciiTheme="majorBidi" w:hAnsiTheme="majorBidi" w:cstheme="majorBidi"/>
          <w:iCs/>
          <w:sz w:val="24"/>
          <w:szCs w:val="24"/>
        </w:rPr>
        <w:t xml:space="preserve">, and </w:t>
      </w:r>
      <w:r w:rsidR="0031707D" w:rsidRPr="00AD3A2D">
        <w:rPr>
          <w:rFonts w:ascii="Times New Roman" w:hAnsi="Times New Roman" w:cs="Times New Roman"/>
          <w:sz w:val="24"/>
          <w:szCs w:val="24"/>
        </w:rPr>
        <w:t>year dummies (</w:t>
      </w:r>
      <w:r w:rsidR="0031707D" w:rsidRPr="00AD3A2D">
        <w:rPr>
          <w:rFonts w:ascii="Times New Roman" w:eastAsia="Calibri" w:hAnsi="Times New Roman" w:cs="Times New Roman"/>
          <w:bCs/>
          <w:i/>
          <w:iCs/>
          <w:sz w:val="24"/>
          <w:szCs w:val="24"/>
        </w:rPr>
        <w:t>YEARD</w:t>
      </w:r>
      <w:r w:rsidR="0031707D" w:rsidRPr="00AD3A2D">
        <w:rPr>
          <w:rFonts w:ascii="Times New Roman" w:eastAsia="Calibri" w:hAnsi="Times New Roman" w:cs="Times New Roman"/>
          <w:bCs/>
          <w:sz w:val="24"/>
          <w:szCs w:val="24"/>
        </w:rPr>
        <w:t>)</w:t>
      </w:r>
      <w:r w:rsidR="0031707D" w:rsidRPr="0031707D">
        <w:rPr>
          <w:rFonts w:asciiTheme="majorBidi" w:hAnsiTheme="majorBidi" w:cstheme="majorBidi"/>
          <w:iCs/>
          <w:sz w:val="24"/>
          <w:szCs w:val="24"/>
        </w:rPr>
        <w:t>]</w:t>
      </w:r>
      <w:r w:rsidR="0031707D">
        <w:rPr>
          <w:rFonts w:asciiTheme="majorBidi" w:hAnsiTheme="majorBidi" w:cstheme="majorBidi"/>
          <w:iCs/>
          <w:sz w:val="24"/>
          <w:szCs w:val="24"/>
        </w:rPr>
        <w:t>.</w:t>
      </w:r>
    </w:p>
    <w:p w14:paraId="6F8F8F36" w14:textId="51D0380E" w:rsidR="00965072" w:rsidRPr="00957777" w:rsidRDefault="00D5714D" w:rsidP="003D1660">
      <w:pPr>
        <w:spacing w:after="0" w:line="240" w:lineRule="auto"/>
        <w:ind w:firstLine="720"/>
        <w:jc w:val="both"/>
        <w:rPr>
          <w:rFonts w:ascii="Times New Roman" w:hAnsi="Times New Roman" w:cs="Times New Roman"/>
          <w:sz w:val="24"/>
          <w:szCs w:val="24"/>
        </w:rPr>
      </w:pPr>
      <w:r w:rsidRPr="00356ADA">
        <w:rPr>
          <w:rFonts w:ascii="Times New Roman" w:hAnsi="Times New Roman" w:cs="Times New Roman"/>
          <w:sz w:val="24"/>
          <w:szCs w:val="24"/>
        </w:rPr>
        <w:t xml:space="preserve">First and </w:t>
      </w:r>
      <w:r w:rsidR="00C376B4" w:rsidRPr="00356ADA">
        <w:rPr>
          <w:rFonts w:ascii="Times New Roman" w:hAnsi="Times New Roman" w:cs="Times New Roman"/>
          <w:sz w:val="24"/>
          <w:szCs w:val="24"/>
        </w:rPr>
        <w:t xml:space="preserve">to </w:t>
      </w:r>
      <w:r w:rsidRPr="00356ADA">
        <w:rPr>
          <w:rFonts w:ascii="Times New Roman" w:hAnsi="Times New Roman" w:cs="Times New Roman"/>
          <w:sz w:val="24"/>
          <w:szCs w:val="24"/>
        </w:rPr>
        <w:t xml:space="preserve">test </w:t>
      </w:r>
      <w:r w:rsidRPr="00356ADA">
        <w:rPr>
          <w:rFonts w:ascii="Times New Roman" w:hAnsi="Times New Roman" w:cs="Times New Roman"/>
          <w:i/>
          <w:sz w:val="24"/>
          <w:szCs w:val="24"/>
        </w:rPr>
        <w:t>H1</w:t>
      </w:r>
      <w:r w:rsidRPr="00356ADA">
        <w:rPr>
          <w:rFonts w:ascii="Times New Roman" w:hAnsi="Times New Roman" w:cs="Times New Roman"/>
          <w:sz w:val="24"/>
          <w:szCs w:val="24"/>
        </w:rPr>
        <w:t xml:space="preserve">, the coefficient on </w:t>
      </w:r>
      <w:r w:rsidR="00BE5CE8">
        <w:rPr>
          <w:rFonts w:ascii="Times New Roman" w:hAnsi="Times New Roman" w:cs="Times New Roman"/>
          <w:i/>
          <w:iCs/>
          <w:sz w:val="24"/>
          <w:szCs w:val="24"/>
        </w:rPr>
        <w:t>HE</w:t>
      </w:r>
      <w:r w:rsidRPr="00356ADA">
        <w:rPr>
          <w:rFonts w:ascii="Times New Roman" w:hAnsi="Times New Roman" w:cs="Times New Roman"/>
          <w:i/>
          <w:sz w:val="24"/>
          <w:szCs w:val="24"/>
        </w:rPr>
        <w:t xml:space="preserve">GQI </w:t>
      </w:r>
      <w:r w:rsidRPr="00356ADA">
        <w:rPr>
          <w:rFonts w:ascii="Times New Roman" w:hAnsi="Times New Roman" w:cs="Times New Roman"/>
          <w:sz w:val="24"/>
          <w:szCs w:val="24"/>
        </w:rPr>
        <w:t xml:space="preserve">in Table </w:t>
      </w:r>
      <w:r w:rsidR="00FB54C0">
        <w:rPr>
          <w:rFonts w:ascii="Times New Roman" w:hAnsi="Times New Roman" w:cs="Times New Roman"/>
          <w:sz w:val="24"/>
          <w:szCs w:val="24"/>
        </w:rPr>
        <w:t>4</w:t>
      </w:r>
      <w:r w:rsidR="00AF4EB9" w:rsidRPr="00356ADA">
        <w:rPr>
          <w:rFonts w:ascii="Times New Roman" w:hAnsi="Times New Roman" w:cs="Times New Roman"/>
          <w:sz w:val="24"/>
          <w:szCs w:val="24"/>
        </w:rPr>
        <w:t xml:space="preserve"> </w:t>
      </w:r>
      <w:r w:rsidR="00DF7DBA" w:rsidRPr="00356ADA">
        <w:rPr>
          <w:rFonts w:ascii="Times New Roman" w:hAnsi="Times New Roman" w:cs="Times New Roman"/>
          <w:sz w:val="24"/>
          <w:szCs w:val="24"/>
        </w:rPr>
        <w:t>(Model 1)</w:t>
      </w:r>
      <w:r w:rsidRPr="00356ADA">
        <w:rPr>
          <w:rFonts w:ascii="Times New Roman" w:hAnsi="Times New Roman" w:cs="Times New Roman"/>
          <w:sz w:val="24"/>
          <w:szCs w:val="24"/>
        </w:rPr>
        <w:t xml:space="preserve"> is positive and statistically significant, im</w:t>
      </w:r>
      <w:r w:rsidR="00D33E48" w:rsidRPr="00356ADA">
        <w:rPr>
          <w:rFonts w:ascii="Times New Roman" w:hAnsi="Times New Roman" w:cs="Times New Roman"/>
          <w:sz w:val="24"/>
          <w:szCs w:val="24"/>
        </w:rPr>
        <w:t xml:space="preserve">plying that </w:t>
      </w:r>
      <w:r w:rsidR="00D33E48" w:rsidRPr="00356ADA">
        <w:rPr>
          <w:rFonts w:ascii="Times New Roman" w:hAnsi="Times New Roman" w:cs="Times New Roman"/>
          <w:i/>
          <w:sz w:val="24"/>
          <w:szCs w:val="24"/>
        </w:rPr>
        <w:t>H1</w:t>
      </w:r>
      <w:r w:rsidR="00957777" w:rsidRPr="00957777">
        <w:rPr>
          <w:rFonts w:ascii="Times New Roman" w:hAnsi="Times New Roman" w:cs="Times New Roman"/>
          <w:iCs/>
          <w:sz w:val="24"/>
          <w:szCs w:val="24"/>
        </w:rPr>
        <w:t>, which</w:t>
      </w:r>
      <w:r w:rsidR="00957777">
        <w:rPr>
          <w:rFonts w:ascii="Times New Roman" w:hAnsi="Times New Roman" w:cs="Times New Roman"/>
          <w:i/>
          <w:sz w:val="24"/>
          <w:szCs w:val="24"/>
        </w:rPr>
        <w:t xml:space="preserve"> </w:t>
      </w:r>
      <w:r w:rsidR="00D33E48" w:rsidRPr="00356ADA">
        <w:rPr>
          <w:rFonts w:ascii="Times New Roman" w:hAnsi="Times New Roman" w:cs="Times New Roman"/>
          <w:sz w:val="24"/>
          <w:szCs w:val="24"/>
        </w:rPr>
        <w:t xml:space="preserve">suggests that </w:t>
      </w:r>
      <w:r w:rsidR="00DF7DBA" w:rsidRPr="00356ADA">
        <w:rPr>
          <w:rFonts w:ascii="Times New Roman" w:hAnsi="Times New Roman" w:cs="Times New Roman"/>
          <w:sz w:val="24"/>
          <w:szCs w:val="24"/>
        </w:rPr>
        <w:t xml:space="preserve">well-governed HEIs </w:t>
      </w:r>
      <w:r w:rsidR="00D33E48" w:rsidRPr="00356ADA">
        <w:rPr>
          <w:rFonts w:ascii="Times New Roman" w:hAnsi="Times New Roman" w:cs="Times New Roman"/>
          <w:sz w:val="24"/>
          <w:szCs w:val="24"/>
        </w:rPr>
        <w:t xml:space="preserve">are likely to show high levels of transparency by engaging in increased </w:t>
      </w:r>
      <w:r w:rsidR="0031707D">
        <w:rPr>
          <w:rFonts w:ascii="Times New Roman" w:hAnsi="Times New Roman" w:cs="Times New Roman"/>
          <w:sz w:val="24"/>
          <w:szCs w:val="24"/>
        </w:rPr>
        <w:t>risk disclosures</w:t>
      </w:r>
      <w:r w:rsidR="00D33E48" w:rsidRPr="00356ADA">
        <w:rPr>
          <w:rFonts w:ascii="Times New Roman" w:hAnsi="Times New Roman" w:cs="Times New Roman"/>
          <w:sz w:val="24"/>
          <w:szCs w:val="24"/>
        </w:rPr>
        <w:t xml:space="preserve">, is empirically supported. Empirically, </w:t>
      </w:r>
      <w:r w:rsidR="00CD7C83">
        <w:rPr>
          <w:rFonts w:ascii="Times New Roman" w:hAnsi="Times New Roman" w:cs="Times New Roman"/>
          <w:sz w:val="24"/>
          <w:szCs w:val="24"/>
        </w:rPr>
        <w:t>our finding</w:t>
      </w:r>
      <w:r w:rsidR="00D33E48" w:rsidRPr="00356ADA">
        <w:rPr>
          <w:rFonts w:ascii="Times New Roman" w:hAnsi="Times New Roman" w:cs="Times New Roman"/>
          <w:sz w:val="24"/>
          <w:szCs w:val="24"/>
        </w:rPr>
        <w:t xml:space="preserve"> </w:t>
      </w:r>
      <w:r w:rsidR="00CA64F3" w:rsidRPr="00356ADA">
        <w:rPr>
          <w:rFonts w:ascii="Times New Roman" w:hAnsi="Times New Roman" w:cs="Times New Roman"/>
          <w:sz w:val="24"/>
          <w:szCs w:val="24"/>
        </w:rPr>
        <w:t xml:space="preserve">generally </w:t>
      </w:r>
      <w:r w:rsidR="00D33E48" w:rsidRPr="00356ADA">
        <w:rPr>
          <w:rFonts w:ascii="Times New Roman" w:hAnsi="Times New Roman" w:cs="Times New Roman"/>
          <w:sz w:val="24"/>
          <w:szCs w:val="24"/>
        </w:rPr>
        <w:t xml:space="preserve">offers support </w:t>
      </w:r>
      <w:r w:rsidR="00CA64F3" w:rsidRPr="00356ADA">
        <w:rPr>
          <w:rFonts w:ascii="Times New Roman" w:hAnsi="Times New Roman" w:cs="Times New Roman"/>
          <w:sz w:val="24"/>
          <w:szCs w:val="24"/>
        </w:rPr>
        <w:t xml:space="preserve">for the </w:t>
      </w:r>
      <w:r w:rsidR="00CD7C83">
        <w:rPr>
          <w:rFonts w:ascii="Times New Roman" w:hAnsi="Times New Roman" w:cs="Times New Roman"/>
          <w:sz w:val="24"/>
          <w:szCs w:val="24"/>
        </w:rPr>
        <w:t>results of</w:t>
      </w:r>
      <w:r w:rsidR="00CD7C83" w:rsidRPr="00356ADA">
        <w:rPr>
          <w:rFonts w:ascii="Times New Roman" w:hAnsi="Times New Roman" w:cs="Times New Roman"/>
          <w:sz w:val="24"/>
          <w:szCs w:val="24"/>
        </w:rPr>
        <w:t xml:space="preserve"> </w:t>
      </w:r>
      <w:r w:rsidR="00CA64F3" w:rsidRPr="00356ADA">
        <w:rPr>
          <w:rFonts w:ascii="Times New Roman" w:hAnsi="Times New Roman" w:cs="Times New Roman"/>
          <w:sz w:val="24"/>
          <w:szCs w:val="24"/>
        </w:rPr>
        <w:t>past studies</w:t>
      </w:r>
      <w:r w:rsidR="00957777">
        <w:rPr>
          <w:rFonts w:ascii="Times New Roman" w:hAnsi="Times New Roman" w:cs="Times New Roman"/>
          <w:sz w:val="24"/>
          <w:szCs w:val="24"/>
        </w:rPr>
        <w:t>,</w:t>
      </w:r>
      <w:r w:rsidR="009F2332">
        <w:rPr>
          <w:rFonts w:ascii="Times New Roman" w:hAnsi="Times New Roman" w:cs="Times New Roman"/>
          <w:sz w:val="24"/>
          <w:szCs w:val="24"/>
        </w:rPr>
        <w:t xml:space="preserve"> which indicate that good governance indices are positively associated with the outcomes of non-profitable organisations (Feng et al., 2019; Har</w:t>
      </w:r>
      <w:r w:rsidR="00514B36">
        <w:rPr>
          <w:rFonts w:ascii="Times New Roman" w:hAnsi="Times New Roman" w:cs="Times New Roman"/>
          <w:sz w:val="24"/>
          <w:szCs w:val="24"/>
        </w:rPr>
        <w:t>r</w:t>
      </w:r>
      <w:r w:rsidR="009F2332">
        <w:rPr>
          <w:rFonts w:ascii="Times New Roman" w:hAnsi="Times New Roman" w:cs="Times New Roman"/>
          <w:sz w:val="24"/>
          <w:szCs w:val="24"/>
        </w:rPr>
        <w:t>is et al., 2015</w:t>
      </w:r>
      <w:r w:rsidR="00514B36">
        <w:rPr>
          <w:rFonts w:ascii="Times New Roman" w:hAnsi="Times New Roman" w:cs="Times New Roman"/>
          <w:sz w:val="24"/>
          <w:szCs w:val="24"/>
        </w:rPr>
        <w:t xml:space="preserve">; Harris &amp; </w:t>
      </w:r>
      <w:r w:rsidR="00514B36" w:rsidRPr="004F32C3">
        <w:rPr>
          <w:rFonts w:ascii="Times New Roman" w:hAnsi="Times New Roman" w:cs="Times New Roman"/>
          <w:sz w:val="24"/>
          <w:szCs w:val="24"/>
        </w:rPr>
        <w:t>Neely</w:t>
      </w:r>
      <w:r w:rsidR="009F2332">
        <w:rPr>
          <w:rFonts w:ascii="Times New Roman" w:hAnsi="Times New Roman" w:cs="Times New Roman"/>
          <w:sz w:val="24"/>
          <w:szCs w:val="24"/>
        </w:rPr>
        <w:t>, 2021) and HEIs (</w:t>
      </w:r>
      <w:r w:rsidR="007B66C7" w:rsidRPr="00DE577B">
        <w:rPr>
          <w:rFonts w:ascii="Times New Roman" w:hAnsi="Times New Roman" w:cs="Times New Roman"/>
          <w:sz w:val="24"/>
          <w:szCs w:val="24"/>
        </w:rPr>
        <w:t xml:space="preserve">Lokuwaduge </w:t>
      </w:r>
      <w:r w:rsidR="007B66C7">
        <w:rPr>
          <w:rFonts w:ascii="Times New Roman" w:hAnsi="Times New Roman" w:cs="Times New Roman"/>
          <w:sz w:val="24"/>
          <w:szCs w:val="24"/>
        </w:rPr>
        <w:t>&amp;</w:t>
      </w:r>
      <w:r w:rsidR="007B66C7" w:rsidRPr="00DE577B">
        <w:rPr>
          <w:rFonts w:ascii="Times New Roman" w:hAnsi="Times New Roman" w:cs="Times New Roman"/>
          <w:sz w:val="24"/>
          <w:szCs w:val="24"/>
        </w:rPr>
        <w:t xml:space="preserve"> Armstrong</w:t>
      </w:r>
      <w:r w:rsidR="007B66C7">
        <w:rPr>
          <w:rFonts w:ascii="Times New Roman" w:hAnsi="Times New Roman" w:cs="Times New Roman"/>
          <w:sz w:val="24"/>
          <w:szCs w:val="24"/>
        </w:rPr>
        <w:t xml:space="preserve">, 2015; </w:t>
      </w:r>
      <w:r w:rsidR="009F2332">
        <w:rPr>
          <w:rFonts w:ascii="Times New Roman" w:hAnsi="Times New Roman" w:cs="Times New Roman"/>
          <w:sz w:val="24"/>
          <w:szCs w:val="24"/>
        </w:rPr>
        <w:t xml:space="preserve">Ntim et al., 2017). For example, </w:t>
      </w:r>
      <w:r w:rsidR="007B66C7" w:rsidRPr="007B66C7">
        <w:rPr>
          <w:rFonts w:ascii="Times New Roman" w:hAnsi="Times New Roman" w:cs="Times New Roman"/>
          <w:sz w:val="24"/>
          <w:szCs w:val="24"/>
        </w:rPr>
        <w:t xml:space="preserve">Lokuwaduge and Armstrong (2015) and Ntim et al. (2017) which reveal that good composite governance indices have positive effect on performance (financial, research and teaching performance) and accountability disclosures for 37 Australian and 130 UK HEIs, respectively. </w:t>
      </w:r>
      <w:r w:rsidR="007B66C7">
        <w:rPr>
          <w:rFonts w:ascii="Times New Roman" w:hAnsi="Times New Roman" w:cs="Times New Roman"/>
          <w:sz w:val="24"/>
          <w:szCs w:val="24"/>
        </w:rPr>
        <w:t xml:space="preserve">Theoretically, the evidence of this positive impact lends support </w:t>
      </w:r>
      <w:r w:rsidR="00B93DE3">
        <w:rPr>
          <w:rFonts w:ascii="Times New Roman" w:hAnsi="Times New Roman" w:cs="Times New Roman"/>
          <w:sz w:val="24"/>
          <w:szCs w:val="24"/>
        </w:rPr>
        <w:t>for</w:t>
      </w:r>
      <w:r w:rsidR="007B66C7">
        <w:rPr>
          <w:rFonts w:ascii="Times New Roman" w:hAnsi="Times New Roman" w:cs="Times New Roman"/>
          <w:sz w:val="24"/>
          <w:szCs w:val="24"/>
        </w:rPr>
        <w:t xml:space="preserve"> </w:t>
      </w:r>
      <w:r w:rsidR="00F71DD2">
        <w:rPr>
          <w:rFonts w:ascii="Times New Roman" w:hAnsi="Times New Roman" w:cs="Times New Roman"/>
          <w:sz w:val="24"/>
          <w:szCs w:val="24"/>
        </w:rPr>
        <w:t>both the</w:t>
      </w:r>
      <w:r w:rsidR="007B66C7">
        <w:rPr>
          <w:rFonts w:ascii="Times New Roman" w:hAnsi="Times New Roman" w:cs="Times New Roman"/>
          <w:sz w:val="24"/>
          <w:szCs w:val="24"/>
        </w:rPr>
        <w:t xml:space="preserve"> efficiency and legitimisation perspectives of neo-institutional theory</w:t>
      </w:r>
      <w:r w:rsidR="00F71DD2">
        <w:rPr>
          <w:rFonts w:ascii="Times New Roman" w:hAnsi="Times New Roman" w:cs="Times New Roman"/>
          <w:sz w:val="24"/>
          <w:szCs w:val="24"/>
        </w:rPr>
        <w:t xml:space="preserve">. For example, neo-institutional (efficiency view) theory indicates that committing to good governance practices can </w:t>
      </w:r>
      <w:r w:rsidR="007B66C7">
        <w:rPr>
          <w:rFonts w:ascii="Times New Roman" w:hAnsi="Times New Roman" w:cs="Times New Roman"/>
          <w:sz w:val="24"/>
          <w:szCs w:val="24"/>
        </w:rPr>
        <w:t xml:space="preserve">impose greater pressure on HEIs to engage in </w:t>
      </w:r>
      <w:r w:rsidR="00F71DD2">
        <w:rPr>
          <w:rFonts w:ascii="Times New Roman" w:hAnsi="Times New Roman" w:cs="Times New Roman"/>
          <w:sz w:val="24"/>
          <w:szCs w:val="24"/>
        </w:rPr>
        <w:t>increased</w:t>
      </w:r>
      <w:r w:rsidR="007B66C7">
        <w:rPr>
          <w:rFonts w:ascii="Times New Roman" w:hAnsi="Times New Roman" w:cs="Times New Roman"/>
          <w:sz w:val="24"/>
          <w:szCs w:val="24"/>
        </w:rPr>
        <w:t xml:space="preserve"> risk disclosures</w:t>
      </w:r>
      <w:r w:rsidR="00F71DD2">
        <w:rPr>
          <w:rFonts w:ascii="Times New Roman" w:hAnsi="Times New Roman" w:cs="Times New Roman"/>
          <w:sz w:val="24"/>
          <w:szCs w:val="24"/>
        </w:rPr>
        <w:t xml:space="preserve"> in order to: (i) demonstrate accountability and transparency to the wider community (</w:t>
      </w:r>
      <w:r w:rsidR="00547007" w:rsidRPr="00356ADA">
        <w:rPr>
          <w:rFonts w:ascii="Times New Roman" w:hAnsi="Times New Roman" w:cs="Times New Roman"/>
          <w:sz w:val="24"/>
          <w:szCs w:val="24"/>
        </w:rPr>
        <w:t>Abraham &amp; Cox</w:t>
      </w:r>
      <w:r w:rsidR="00547007">
        <w:rPr>
          <w:rFonts w:ascii="Times New Roman" w:hAnsi="Times New Roman" w:cs="Times New Roman"/>
          <w:sz w:val="24"/>
          <w:szCs w:val="24"/>
        </w:rPr>
        <w:t>, 2007)</w:t>
      </w:r>
      <w:r w:rsidR="00F71DD2">
        <w:rPr>
          <w:rFonts w:ascii="Times New Roman" w:hAnsi="Times New Roman" w:cs="Times New Roman"/>
          <w:sz w:val="24"/>
          <w:szCs w:val="24"/>
        </w:rPr>
        <w:t xml:space="preserve">, (ii) </w:t>
      </w:r>
      <w:r w:rsidR="00F71DD2" w:rsidRPr="007B66C7">
        <w:rPr>
          <w:rFonts w:ascii="Times New Roman" w:hAnsi="Times New Roman" w:cs="Times New Roman"/>
          <w:sz w:val="24"/>
          <w:szCs w:val="24"/>
        </w:rPr>
        <w:t>gain competitive advantages and financial benefits by attracting critical resources</w:t>
      </w:r>
      <w:r w:rsidR="00F71DD2">
        <w:rPr>
          <w:rFonts w:ascii="Times New Roman" w:hAnsi="Times New Roman" w:cs="Times New Roman"/>
          <w:sz w:val="24"/>
          <w:szCs w:val="24"/>
        </w:rPr>
        <w:t xml:space="preserve"> (</w:t>
      </w:r>
      <w:r w:rsidR="003D1660">
        <w:rPr>
          <w:rFonts w:ascii="Times New Roman" w:hAnsi="Times New Roman" w:cs="Times New Roman"/>
          <w:sz w:val="24"/>
          <w:szCs w:val="24"/>
        </w:rPr>
        <w:t>Coy et al., 2001)</w:t>
      </w:r>
      <w:r w:rsidR="00F71DD2">
        <w:rPr>
          <w:rFonts w:ascii="Times New Roman" w:hAnsi="Times New Roman" w:cs="Times New Roman"/>
          <w:sz w:val="24"/>
          <w:szCs w:val="24"/>
        </w:rPr>
        <w:t>; and (iii) minimise</w:t>
      </w:r>
      <w:r w:rsidR="00F71DD2" w:rsidRPr="007B66C7">
        <w:rPr>
          <w:rFonts w:ascii="Times New Roman" w:hAnsi="Times New Roman" w:cs="Times New Roman"/>
          <w:sz w:val="24"/>
          <w:szCs w:val="24"/>
        </w:rPr>
        <w:t xml:space="preserve"> information asymmetry among different groups of stakeholders (e.g., current students, prospective students, parents and HEI managers) (</w:t>
      </w:r>
      <w:r w:rsidR="00304F34" w:rsidRPr="00304F34">
        <w:rPr>
          <w:rFonts w:ascii="Times New Roman" w:hAnsi="Times New Roman" w:cs="Times New Roman"/>
          <w:sz w:val="24"/>
          <w:szCs w:val="24"/>
        </w:rPr>
        <w:t>Ntim &amp; Soobaroyen, 2013</w:t>
      </w:r>
      <w:r w:rsidR="00304F34">
        <w:rPr>
          <w:rFonts w:ascii="Times New Roman" w:hAnsi="Times New Roman" w:cs="Times New Roman"/>
          <w:sz w:val="24"/>
          <w:szCs w:val="24"/>
        </w:rPr>
        <w:t>)</w:t>
      </w:r>
      <w:r w:rsidR="00F71DD2" w:rsidRPr="007B66C7">
        <w:rPr>
          <w:rFonts w:ascii="Times New Roman" w:hAnsi="Times New Roman" w:cs="Times New Roman"/>
          <w:sz w:val="24"/>
          <w:szCs w:val="24"/>
        </w:rPr>
        <w:t>.</w:t>
      </w:r>
      <w:r w:rsidR="00957777">
        <w:rPr>
          <w:rFonts w:ascii="Times New Roman" w:hAnsi="Times New Roman" w:cs="Times New Roman"/>
          <w:sz w:val="24"/>
          <w:szCs w:val="24"/>
        </w:rPr>
        <w:t xml:space="preserve"> The positive effect of </w:t>
      </w:r>
      <w:r w:rsidR="00BC07D6">
        <w:rPr>
          <w:rFonts w:ascii="Times New Roman" w:hAnsi="Times New Roman" w:cs="Times New Roman"/>
          <w:i/>
          <w:iCs/>
          <w:sz w:val="24"/>
          <w:szCs w:val="24"/>
        </w:rPr>
        <w:t>HE</w:t>
      </w:r>
      <w:r w:rsidR="004F04F8">
        <w:rPr>
          <w:rFonts w:ascii="Times New Roman" w:hAnsi="Times New Roman" w:cs="Times New Roman"/>
          <w:i/>
          <w:iCs/>
          <w:sz w:val="24"/>
          <w:szCs w:val="24"/>
        </w:rPr>
        <w:t>GQ</w:t>
      </w:r>
      <w:r w:rsidR="00957777" w:rsidRPr="00957777">
        <w:rPr>
          <w:rFonts w:ascii="Times New Roman" w:hAnsi="Times New Roman" w:cs="Times New Roman"/>
          <w:i/>
          <w:iCs/>
          <w:sz w:val="24"/>
          <w:szCs w:val="24"/>
        </w:rPr>
        <w:t>I</w:t>
      </w:r>
      <w:r w:rsidR="00957777">
        <w:rPr>
          <w:rFonts w:ascii="Times New Roman" w:hAnsi="Times New Roman" w:cs="Times New Roman"/>
          <w:i/>
          <w:iCs/>
          <w:sz w:val="24"/>
          <w:szCs w:val="24"/>
        </w:rPr>
        <w:t xml:space="preserve"> </w:t>
      </w:r>
      <w:r w:rsidR="00957777">
        <w:rPr>
          <w:rFonts w:ascii="Times New Roman" w:hAnsi="Times New Roman" w:cs="Times New Roman"/>
          <w:sz w:val="24"/>
          <w:szCs w:val="24"/>
        </w:rPr>
        <w:t>also lends support to the neo-institutional legitimisation perspective (</w:t>
      </w:r>
      <w:r w:rsidR="00957777" w:rsidRPr="007B66C7">
        <w:rPr>
          <w:rFonts w:ascii="Times New Roman" w:hAnsi="Times New Roman" w:cs="Times New Roman"/>
          <w:sz w:val="24"/>
          <w:szCs w:val="24"/>
        </w:rPr>
        <w:t>Suchman, 1995</w:t>
      </w:r>
      <w:r w:rsidR="00957777">
        <w:rPr>
          <w:rFonts w:ascii="Times New Roman" w:hAnsi="Times New Roman" w:cs="Times New Roman"/>
          <w:sz w:val="24"/>
          <w:szCs w:val="24"/>
        </w:rPr>
        <w:t xml:space="preserve">), in that </w:t>
      </w:r>
      <w:r w:rsidR="00957777" w:rsidRPr="00957777">
        <w:rPr>
          <w:rFonts w:ascii="Times New Roman" w:hAnsi="Times New Roman" w:cs="Times New Roman"/>
          <w:sz w:val="24"/>
          <w:szCs w:val="24"/>
        </w:rPr>
        <w:t xml:space="preserve">complying with good </w:t>
      </w:r>
      <w:r w:rsidR="00957777">
        <w:rPr>
          <w:rFonts w:ascii="Times New Roman" w:hAnsi="Times New Roman" w:cs="Times New Roman"/>
          <w:sz w:val="24"/>
          <w:szCs w:val="24"/>
        </w:rPr>
        <w:t xml:space="preserve">governance practices, </w:t>
      </w:r>
      <w:r w:rsidR="00957777" w:rsidRPr="00957777">
        <w:rPr>
          <w:rFonts w:ascii="Times New Roman" w:hAnsi="Times New Roman" w:cs="Times New Roman"/>
          <w:sz w:val="24"/>
          <w:szCs w:val="24"/>
        </w:rPr>
        <w:t xml:space="preserve">through greater risk disclosures can legitimise the operations of HEIs by improving their reputation and </w:t>
      </w:r>
      <w:r w:rsidR="00957777">
        <w:rPr>
          <w:rFonts w:ascii="Times New Roman" w:hAnsi="Times New Roman" w:cs="Times New Roman"/>
          <w:sz w:val="24"/>
          <w:szCs w:val="24"/>
        </w:rPr>
        <w:t>social acceptance</w:t>
      </w:r>
      <w:r w:rsidR="00957777" w:rsidRPr="00957777">
        <w:rPr>
          <w:rFonts w:ascii="Times New Roman" w:hAnsi="Times New Roman" w:cs="Times New Roman"/>
          <w:sz w:val="24"/>
          <w:szCs w:val="24"/>
        </w:rPr>
        <w:t xml:space="preserve">, which can provide better connection with powerful stakeholders of HEIs (e.g., alumni, students, parents, employers and government) and further offer </w:t>
      </w:r>
      <w:r w:rsidR="00957777" w:rsidRPr="00965072">
        <w:rPr>
          <w:rFonts w:ascii="Times New Roman" w:hAnsi="Times New Roman" w:cs="Times New Roman"/>
          <w:i/>
          <w:iCs/>
          <w:sz w:val="24"/>
          <w:szCs w:val="24"/>
        </w:rPr>
        <w:t>access</w:t>
      </w:r>
      <w:r w:rsidR="00957777" w:rsidRPr="00957777">
        <w:rPr>
          <w:rFonts w:ascii="Times New Roman" w:hAnsi="Times New Roman" w:cs="Times New Roman"/>
          <w:sz w:val="24"/>
          <w:szCs w:val="24"/>
        </w:rPr>
        <w:t xml:space="preserve"> to critical resources (e.g., alumni donations)</w:t>
      </w:r>
      <w:r w:rsidR="00957777">
        <w:rPr>
          <w:rFonts w:ascii="Times New Roman" w:hAnsi="Times New Roman" w:cs="Times New Roman"/>
          <w:sz w:val="24"/>
          <w:szCs w:val="24"/>
        </w:rPr>
        <w:t>.</w:t>
      </w:r>
      <w:r w:rsidR="00965072">
        <w:rPr>
          <w:rFonts w:ascii="Times New Roman" w:hAnsi="Times New Roman" w:cs="Times New Roman"/>
          <w:sz w:val="24"/>
          <w:szCs w:val="24"/>
        </w:rPr>
        <w:t xml:space="preserve"> Additionally, the positive effect of </w:t>
      </w:r>
      <w:r w:rsidR="00FB54C0">
        <w:rPr>
          <w:rFonts w:ascii="Times New Roman" w:hAnsi="Times New Roman" w:cs="Times New Roman"/>
          <w:i/>
          <w:iCs/>
          <w:sz w:val="24"/>
          <w:szCs w:val="24"/>
        </w:rPr>
        <w:t>HE</w:t>
      </w:r>
      <w:r w:rsidR="00965072">
        <w:rPr>
          <w:rFonts w:ascii="Times New Roman" w:hAnsi="Times New Roman" w:cs="Times New Roman"/>
          <w:i/>
          <w:iCs/>
          <w:sz w:val="24"/>
          <w:szCs w:val="24"/>
        </w:rPr>
        <w:t>GQI</w:t>
      </w:r>
      <w:r w:rsidR="00965072">
        <w:rPr>
          <w:rFonts w:ascii="Times New Roman" w:hAnsi="Times New Roman" w:cs="Times New Roman"/>
          <w:sz w:val="24"/>
          <w:szCs w:val="24"/>
        </w:rPr>
        <w:t xml:space="preserve"> on </w:t>
      </w:r>
      <w:r w:rsidR="00FB54C0" w:rsidRPr="00FB54C0">
        <w:rPr>
          <w:rFonts w:ascii="Times New Roman" w:hAnsi="Times New Roman" w:cs="Times New Roman"/>
          <w:i/>
          <w:iCs/>
          <w:sz w:val="24"/>
          <w:szCs w:val="24"/>
        </w:rPr>
        <w:t>HE</w:t>
      </w:r>
      <w:r w:rsidR="00965072" w:rsidRPr="00FB54C0">
        <w:rPr>
          <w:rFonts w:ascii="Times New Roman" w:hAnsi="Times New Roman" w:cs="Times New Roman"/>
          <w:i/>
          <w:iCs/>
          <w:sz w:val="24"/>
          <w:szCs w:val="24"/>
        </w:rPr>
        <w:t>RDI</w:t>
      </w:r>
      <w:r w:rsidR="00965072">
        <w:rPr>
          <w:rFonts w:ascii="Times New Roman" w:hAnsi="Times New Roman" w:cs="Times New Roman"/>
          <w:sz w:val="24"/>
          <w:szCs w:val="24"/>
        </w:rPr>
        <w:t xml:space="preserve"> is consistent with the recommendations of</w:t>
      </w:r>
      <w:r w:rsidR="00965072" w:rsidRPr="00965072">
        <w:rPr>
          <w:rFonts w:ascii="Times New Roman" w:hAnsi="Times New Roman" w:cs="Times New Roman"/>
          <w:sz w:val="24"/>
          <w:szCs w:val="24"/>
        </w:rPr>
        <w:t xml:space="preserve"> governance codes (e.g., CUC, 2009, 2014; CSC, 2013) and risk codes/guidelines (HEFCE, 2001a, b, 2005; LFHE, 2009)</w:t>
      </w:r>
      <w:r w:rsidR="00965072">
        <w:rPr>
          <w:rFonts w:ascii="Times New Roman" w:hAnsi="Times New Roman" w:cs="Times New Roman"/>
          <w:sz w:val="24"/>
          <w:szCs w:val="24"/>
        </w:rPr>
        <w:t xml:space="preserve">, which </w:t>
      </w:r>
      <w:r w:rsidR="00965072" w:rsidRPr="00965072">
        <w:rPr>
          <w:rFonts w:ascii="Times New Roman" w:hAnsi="Times New Roman" w:cs="Times New Roman"/>
          <w:sz w:val="24"/>
          <w:szCs w:val="24"/>
        </w:rPr>
        <w:t>expect HEIs to engage in good risk, governance, and disclosure practices</w:t>
      </w:r>
      <w:r w:rsidR="00965072">
        <w:rPr>
          <w:rFonts w:ascii="Times New Roman" w:hAnsi="Times New Roman" w:cs="Times New Roman"/>
          <w:sz w:val="24"/>
          <w:szCs w:val="24"/>
        </w:rPr>
        <w:t>.</w:t>
      </w:r>
      <w:r w:rsidR="00965072" w:rsidRPr="00B7219E">
        <w:rPr>
          <w:rFonts w:ascii="Times New Roman" w:hAnsi="Times New Roman" w:cs="Times New Roman"/>
          <w:sz w:val="24"/>
          <w:szCs w:val="24"/>
        </w:rPr>
        <w:t xml:space="preserve">    </w:t>
      </w:r>
    </w:p>
    <w:p w14:paraId="38A09D25" w14:textId="77777777" w:rsidR="00BA3027" w:rsidRPr="00356ADA" w:rsidRDefault="00BA3027" w:rsidP="00B20FB1">
      <w:pPr>
        <w:spacing w:after="0" w:line="240" w:lineRule="auto"/>
        <w:ind w:firstLine="720"/>
        <w:jc w:val="both"/>
        <w:rPr>
          <w:rFonts w:ascii="Times New Roman" w:hAnsi="Times New Roman" w:cs="Times New Roman"/>
          <w:sz w:val="24"/>
          <w:szCs w:val="24"/>
        </w:rPr>
      </w:pPr>
    </w:p>
    <w:p w14:paraId="58DAC05B" w14:textId="2F4F52C2" w:rsidR="005753F2" w:rsidRPr="00356ADA" w:rsidRDefault="005753F2" w:rsidP="005753F2">
      <w:pPr>
        <w:spacing w:after="0" w:line="240" w:lineRule="auto"/>
        <w:jc w:val="center"/>
        <w:rPr>
          <w:rFonts w:ascii="Times New Roman" w:hAnsi="Times New Roman" w:cs="Times New Roman"/>
          <w:i/>
          <w:sz w:val="24"/>
          <w:szCs w:val="24"/>
        </w:rPr>
      </w:pPr>
      <w:r w:rsidRPr="00356ADA">
        <w:rPr>
          <w:rFonts w:ascii="Times New Roman" w:hAnsi="Times New Roman" w:cs="Times New Roman"/>
          <w:i/>
          <w:sz w:val="24"/>
          <w:szCs w:val="24"/>
        </w:rPr>
        <w:t xml:space="preserve">Table </w:t>
      </w:r>
      <w:r w:rsidR="00FB54C0">
        <w:rPr>
          <w:rFonts w:ascii="Times New Roman" w:hAnsi="Times New Roman" w:cs="Times New Roman"/>
          <w:i/>
          <w:sz w:val="24"/>
          <w:szCs w:val="24"/>
        </w:rPr>
        <w:t>4</w:t>
      </w:r>
      <w:r w:rsidRPr="00356ADA">
        <w:rPr>
          <w:rFonts w:ascii="Times New Roman" w:hAnsi="Times New Roman" w:cs="Times New Roman"/>
          <w:i/>
          <w:sz w:val="24"/>
          <w:szCs w:val="24"/>
        </w:rPr>
        <w:t xml:space="preserve"> around here</w:t>
      </w:r>
    </w:p>
    <w:p w14:paraId="35478B7A" w14:textId="77777777" w:rsidR="00BA3027" w:rsidRPr="00356ADA" w:rsidRDefault="00BA3027" w:rsidP="00BA3027">
      <w:pPr>
        <w:spacing w:after="0" w:line="240" w:lineRule="auto"/>
        <w:ind w:firstLine="720"/>
        <w:jc w:val="center"/>
        <w:rPr>
          <w:rFonts w:ascii="Times New Roman" w:hAnsi="Times New Roman" w:cs="Times New Roman"/>
          <w:sz w:val="24"/>
          <w:szCs w:val="24"/>
        </w:rPr>
      </w:pPr>
    </w:p>
    <w:p w14:paraId="36F4D65E" w14:textId="69B7AEDB" w:rsidR="00DA3510" w:rsidRDefault="001F345B" w:rsidP="00CD7B5A">
      <w:pPr>
        <w:spacing w:after="0" w:line="240" w:lineRule="auto"/>
        <w:ind w:firstLine="720"/>
        <w:jc w:val="both"/>
        <w:rPr>
          <w:rFonts w:asciiTheme="majorBidi" w:hAnsiTheme="majorBidi" w:cstheme="majorBidi"/>
          <w:sz w:val="24"/>
          <w:szCs w:val="24"/>
        </w:rPr>
      </w:pPr>
      <w:r w:rsidRPr="00356ADA">
        <w:rPr>
          <w:rFonts w:ascii="Times New Roman" w:hAnsi="Times New Roman" w:cs="Times New Roman"/>
          <w:sz w:val="24"/>
          <w:szCs w:val="24"/>
        </w:rPr>
        <w:t xml:space="preserve">Second, </w:t>
      </w:r>
      <w:r w:rsidR="00CD7B5A">
        <w:rPr>
          <w:rFonts w:ascii="Times New Roman" w:hAnsi="Times New Roman" w:cs="Times New Roman"/>
          <w:sz w:val="24"/>
          <w:szCs w:val="24"/>
        </w:rPr>
        <w:t xml:space="preserve">and </w:t>
      </w:r>
      <w:r w:rsidR="00114795" w:rsidRPr="00356ADA">
        <w:rPr>
          <w:rFonts w:ascii="Times New Roman" w:hAnsi="Times New Roman" w:cs="Times New Roman"/>
          <w:sz w:val="24"/>
          <w:szCs w:val="24"/>
        </w:rPr>
        <w:t xml:space="preserve">although our finding suggests that better-governed HEIs tend to be more transparent with their stakeholders through greater levels of risk disclosures, our </w:t>
      </w:r>
      <w:r w:rsidR="00FB54C0">
        <w:rPr>
          <w:rFonts w:ascii="Times New Roman" w:hAnsi="Times New Roman" w:cs="Times New Roman"/>
          <w:i/>
          <w:iCs/>
          <w:sz w:val="24"/>
          <w:szCs w:val="24"/>
        </w:rPr>
        <w:t>HE</w:t>
      </w:r>
      <w:r w:rsidR="00114795" w:rsidRPr="00356ADA">
        <w:rPr>
          <w:rFonts w:ascii="Times New Roman" w:hAnsi="Times New Roman" w:cs="Times New Roman"/>
          <w:i/>
          <w:sz w:val="24"/>
          <w:szCs w:val="24"/>
        </w:rPr>
        <w:t xml:space="preserve">RDI </w:t>
      </w:r>
      <w:r w:rsidR="00876D89" w:rsidRPr="00356ADA">
        <w:rPr>
          <w:rFonts w:ascii="Times New Roman" w:hAnsi="Times New Roman" w:cs="Times New Roman"/>
          <w:sz w:val="24"/>
          <w:szCs w:val="24"/>
        </w:rPr>
        <w:t>(</w:t>
      </w:r>
      <w:r w:rsidR="00FB54C0">
        <w:rPr>
          <w:rFonts w:ascii="Times New Roman" w:hAnsi="Times New Roman" w:cs="Times New Roman"/>
          <w:i/>
          <w:iCs/>
          <w:sz w:val="24"/>
          <w:szCs w:val="24"/>
        </w:rPr>
        <w:t>HE</w:t>
      </w:r>
      <w:r w:rsidR="00876D89" w:rsidRPr="00356ADA">
        <w:rPr>
          <w:rFonts w:ascii="Times New Roman" w:hAnsi="Times New Roman" w:cs="Times New Roman"/>
          <w:i/>
          <w:sz w:val="24"/>
          <w:szCs w:val="24"/>
        </w:rPr>
        <w:t>GQI</w:t>
      </w:r>
      <w:r w:rsidR="00876D89" w:rsidRPr="00356ADA">
        <w:rPr>
          <w:rFonts w:ascii="Times New Roman" w:hAnsi="Times New Roman" w:cs="Times New Roman"/>
          <w:sz w:val="24"/>
          <w:szCs w:val="24"/>
        </w:rPr>
        <w:t xml:space="preserve">) </w:t>
      </w:r>
      <w:r w:rsidR="00114795" w:rsidRPr="00356ADA">
        <w:rPr>
          <w:rFonts w:ascii="Times New Roman" w:hAnsi="Times New Roman" w:cs="Times New Roman"/>
          <w:sz w:val="24"/>
          <w:szCs w:val="24"/>
        </w:rPr>
        <w:t>consists of three</w:t>
      </w:r>
      <w:r w:rsidR="00876D89" w:rsidRPr="00356ADA">
        <w:rPr>
          <w:rFonts w:ascii="Times New Roman" w:hAnsi="Times New Roman" w:cs="Times New Roman"/>
          <w:sz w:val="24"/>
          <w:szCs w:val="24"/>
        </w:rPr>
        <w:t xml:space="preserve"> (five)</w:t>
      </w:r>
      <w:r w:rsidR="00114795" w:rsidRPr="00356ADA">
        <w:rPr>
          <w:rFonts w:ascii="Times New Roman" w:hAnsi="Times New Roman" w:cs="Times New Roman"/>
          <w:sz w:val="24"/>
          <w:szCs w:val="24"/>
        </w:rPr>
        <w:t xml:space="preserve"> </w:t>
      </w:r>
      <w:r w:rsidR="00FB54C0">
        <w:rPr>
          <w:rFonts w:ascii="Times New Roman" w:hAnsi="Times New Roman" w:cs="Times New Roman"/>
          <w:sz w:val="24"/>
          <w:szCs w:val="24"/>
        </w:rPr>
        <w:t xml:space="preserve">disclosure </w:t>
      </w:r>
      <w:r w:rsidR="00114795" w:rsidRPr="00356ADA">
        <w:rPr>
          <w:rFonts w:ascii="Times New Roman" w:hAnsi="Times New Roman" w:cs="Times New Roman"/>
          <w:sz w:val="24"/>
          <w:szCs w:val="24"/>
        </w:rPr>
        <w:t xml:space="preserve">sub-indices, namely, </w:t>
      </w:r>
      <w:r w:rsidR="00AD72CC" w:rsidRPr="00356ADA">
        <w:rPr>
          <w:rFonts w:ascii="Times New Roman" w:hAnsi="Times New Roman" w:cs="Times New Roman"/>
          <w:sz w:val="24"/>
          <w:szCs w:val="24"/>
        </w:rPr>
        <w:t xml:space="preserve">strategic risks – </w:t>
      </w:r>
      <w:r w:rsidR="00FB54C0">
        <w:rPr>
          <w:rFonts w:ascii="Times New Roman" w:hAnsi="Times New Roman" w:cs="Times New Roman"/>
          <w:i/>
          <w:iCs/>
          <w:sz w:val="24"/>
          <w:szCs w:val="24"/>
        </w:rPr>
        <w:t>HESRD</w:t>
      </w:r>
      <w:r w:rsidR="00AD72CC" w:rsidRPr="00356ADA">
        <w:rPr>
          <w:rFonts w:ascii="Times New Roman" w:hAnsi="Times New Roman" w:cs="Times New Roman"/>
          <w:sz w:val="24"/>
          <w:szCs w:val="24"/>
        </w:rPr>
        <w:t xml:space="preserve">, operational risks – </w:t>
      </w:r>
      <w:r w:rsidR="00FB54C0">
        <w:rPr>
          <w:rFonts w:ascii="Times New Roman" w:hAnsi="Times New Roman" w:cs="Times New Roman"/>
          <w:i/>
          <w:iCs/>
          <w:sz w:val="24"/>
          <w:szCs w:val="24"/>
        </w:rPr>
        <w:t>HEORD</w:t>
      </w:r>
      <w:r w:rsidR="00FB54C0" w:rsidRPr="00356ADA">
        <w:rPr>
          <w:rFonts w:ascii="Times New Roman" w:hAnsi="Times New Roman" w:cs="Times New Roman"/>
          <w:sz w:val="24"/>
          <w:szCs w:val="24"/>
        </w:rPr>
        <w:t xml:space="preserve"> </w:t>
      </w:r>
      <w:r w:rsidR="00AD72CC" w:rsidRPr="00356ADA">
        <w:rPr>
          <w:rFonts w:ascii="Times New Roman" w:hAnsi="Times New Roman" w:cs="Times New Roman"/>
          <w:sz w:val="24"/>
          <w:szCs w:val="24"/>
        </w:rPr>
        <w:t xml:space="preserve">and financial risks – </w:t>
      </w:r>
      <w:r w:rsidR="00FB54C0">
        <w:rPr>
          <w:rFonts w:ascii="Times New Roman" w:hAnsi="Times New Roman" w:cs="Times New Roman"/>
          <w:i/>
          <w:iCs/>
          <w:sz w:val="24"/>
          <w:szCs w:val="24"/>
        </w:rPr>
        <w:t>HEFRD</w:t>
      </w:r>
      <w:r w:rsidR="00FB54C0" w:rsidRPr="00356ADA">
        <w:rPr>
          <w:rFonts w:ascii="Times New Roman" w:hAnsi="Times New Roman" w:cs="Times New Roman"/>
          <w:sz w:val="24"/>
          <w:szCs w:val="24"/>
        </w:rPr>
        <w:t xml:space="preserve"> </w:t>
      </w:r>
      <w:r w:rsidR="00AD72CC" w:rsidRPr="00356ADA">
        <w:rPr>
          <w:rFonts w:ascii="Times New Roman" w:hAnsi="Times New Roman" w:cs="Times New Roman"/>
          <w:sz w:val="24"/>
          <w:szCs w:val="24"/>
        </w:rPr>
        <w:t>(</w:t>
      </w:r>
      <w:r w:rsidR="00126518">
        <w:rPr>
          <w:rFonts w:ascii="Times New Roman" w:hAnsi="Times New Roman" w:cs="Times New Roman"/>
          <w:sz w:val="24"/>
          <w:szCs w:val="24"/>
        </w:rPr>
        <w:t>governing board</w:t>
      </w:r>
      <w:r w:rsidR="008703D8" w:rsidRPr="00356ADA">
        <w:rPr>
          <w:rFonts w:asciiTheme="majorBidi" w:hAnsiTheme="majorBidi" w:cstheme="majorBidi"/>
          <w:sz w:val="24"/>
          <w:szCs w:val="24"/>
        </w:rPr>
        <w:t xml:space="preserve"> – </w:t>
      </w:r>
      <w:r w:rsidR="00126518" w:rsidRPr="00126518">
        <w:rPr>
          <w:rFonts w:asciiTheme="majorBidi" w:hAnsiTheme="majorBidi" w:cstheme="majorBidi"/>
          <w:i/>
          <w:iCs/>
          <w:sz w:val="24"/>
          <w:szCs w:val="24"/>
        </w:rPr>
        <w:t>GOVB</w:t>
      </w:r>
      <w:r w:rsidR="008703D8" w:rsidRPr="00356ADA">
        <w:rPr>
          <w:rFonts w:asciiTheme="majorBidi" w:hAnsiTheme="majorBidi" w:cstheme="majorBidi"/>
          <w:sz w:val="24"/>
          <w:szCs w:val="24"/>
        </w:rPr>
        <w:t>, procedures</w:t>
      </w:r>
      <w:r w:rsidR="00126518">
        <w:rPr>
          <w:rFonts w:asciiTheme="majorBidi" w:hAnsiTheme="majorBidi" w:cstheme="majorBidi"/>
          <w:sz w:val="24"/>
          <w:szCs w:val="24"/>
        </w:rPr>
        <w:t>/structures</w:t>
      </w:r>
      <w:r w:rsidR="008703D8" w:rsidRPr="00356ADA">
        <w:rPr>
          <w:rFonts w:asciiTheme="majorBidi" w:hAnsiTheme="majorBidi" w:cstheme="majorBidi"/>
          <w:sz w:val="24"/>
          <w:szCs w:val="24"/>
        </w:rPr>
        <w:t xml:space="preserve"> – </w:t>
      </w:r>
      <w:r w:rsidR="008703D8" w:rsidRPr="00356ADA">
        <w:rPr>
          <w:rFonts w:asciiTheme="majorBidi" w:hAnsiTheme="majorBidi" w:cstheme="majorBidi"/>
          <w:i/>
          <w:iCs/>
          <w:sz w:val="24"/>
          <w:szCs w:val="24"/>
        </w:rPr>
        <w:t>PR</w:t>
      </w:r>
      <w:r w:rsidR="00FB54C0">
        <w:rPr>
          <w:rFonts w:asciiTheme="majorBidi" w:hAnsiTheme="majorBidi" w:cstheme="majorBidi"/>
          <w:i/>
          <w:iCs/>
          <w:sz w:val="24"/>
          <w:szCs w:val="24"/>
        </w:rPr>
        <w:t>O</w:t>
      </w:r>
      <w:r w:rsidR="008703D8" w:rsidRPr="00356ADA">
        <w:rPr>
          <w:rFonts w:asciiTheme="majorBidi" w:hAnsiTheme="majorBidi" w:cstheme="majorBidi"/>
          <w:i/>
          <w:iCs/>
          <w:sz w:val="24"/>
          <w:szCs w:val="24"/>
        </w:rPr>
        <w:t>S</w:t>
      </w:r>
      <w:r w:rsidR="008703D8" w:rsidRPr="00356ADA">
        <w:rPr>
          <w:rFonts w:asciiTheme="majorBidi" w:hAnsiTheme="majorBidi" w:cstheme="majorBidi"/>
          <w:sz w:val="24"/>
          <w:szCs w:val="24"/>
        </w:rPr>
        <w:t xml:space="preserve">, </w:t>
      </w:r>
      <w:r w:rsidR="00BB1961">
        <w:rPr>
          <w:rFonts w:asciiTheme="majorBidi" w:hAnsiTheme="majorBidi" w:cstheme="majorBidi"/>
          <w:sz w:val="24"/>
          <w:szCs w:val="24"/>
        </w:rPr>
        <w:t>performance evaluation</w:t>
      </w:r>
      <w:r w:rsidR="008703D8" w:rsidRPr="00356ADA">
        <w:rPr>
          <w:rFonts w:asciiTheme="majorBidi" w:hAnsiTheme="majorBidi" w:cstheme="majorBidi"/>
          <w:sz w:val="24"/>
          <w:szCs w:val="24"/>
        </w:rPr>
        <w:t>,</w:t>
      </w:r>
      <w:r w:rsidR="00BB1961">
        <w:rPr>
          <w:rFonts w:asciiTheme="majorBidi" w:hAnsiTheme="majorBidi" w:cstheme="majorBidi"/>
          <w:sz w:val="24"/>
          <w:szCs w:val="24"/>
        </w:rPr>
        <w:t xml:space="preserve"> rewards and</w:t>
      </w:r>
      <w:r w:rsidR="008703D8" w:rsidRPr="00356ADA">
        <w:rPr>
          <w:rFonts w:asciiTheme="majorBidi" w:hAnsiTheme="majorBidi" w:cstheme="majorBidi"/>
          <w:sz w:val="24"/>
          <w:szCs w:val="24"/>
        </w:rPr>
        <w:t xml:space="preserve"> pay – </w:t>
      </w:r>
      <w:r w:rsidR="00BB1961">
        <w:rPr>
          <w:rFonts w:asciiTheme="majorBidi" w:hAnsiTheme="majorBidi" w:cstheme="majorBidi"/>
          <w:i/>
          <w:iCs/>
          <w:sz w:val="24"/>
          <w:szCs w:val="24"/>
        </w:rPr>
        <w:t>PERP</w:t>
      </w:r>
      <w:r w:rsidR="008703D8" w:rsidRPr="00356ADA">
        <w:rPr>
          <w:rFonts w:asciiTheme="majorBidi" w:hAnsiTheme="majorBidi" w:cstheme="majorBidi"/>
          <w:sz w:val="24"/>
          <w:szCs w:val="24"/>
        </w:rPr>
        <w:t xml:space="preserve">, </w:t>
      </w:r>
      <w:r w:rsidR="00BB1961">
        <w:rPr>
          <w:rFonts w:asciiTheme="majorBidi" w:hAnsiTheme="majorBidi" w:cstheme="majorBidi"/>
          <w:sz w:val="24"/>
          <w:szCs w:val="24"/>
        </w:rPr>
        <w:t xml:space="preserve">accounting, auditing and </w:t>
      </w:r>
      <w:r w:rsidR="008703D8" w:rsidRPr="00356ADA">
        <w:rPr>
          <w:rFonts w:asciiTheme="majorBidi" w:hAnsiTheme="majorBidi" w:cstheme="majorBidi"/>
          <w:sz w:val="24"/>
          <w:szCs w:val="24"/>
        </w:rPr>
        <w:t>accountability</w:t>
      </w:r>
      <w:r w:rsidR="00BB1961">
        <w:rPr>
          <w:rFonts w:asciiTheme="majorBidi" w:hAnsiTheme="majorBidi" w:cstheme="majorBidi"/>
          <w:sz w:val="24"/>
          <w:szCs w:val="24"/>
        </w:rPr>
        <w:t xml:space="preserve"> </w:t>
      </w:r>
      <w:r w:rsidR="008703D8" w:rsidRPr="00356ADA">
        <w:rPr>
          <w:rFonts w:asciiTheme="majorBidi" w:hAnsiTheme="majorBidi" w:cstheme="majorBidi"/>
          <w:sz w:val="24"/>
          <w:szCs w:val="24"/>
        </w:rPr>
        <w:t xml:space="preserve">– </w:t>
      </w:r>
      <w:r w:rsidR="00FB54C0">
        <w:rPr>
          <w:rFonts w:asciiTheme="majorBidi" w:hAnsiTheme="majorBidi" w:cstheme="majorBidi"/>
          <w:i/>
          <w:iCs/>
          <w:sz w:val="24"/>
          <w:szCs w:val="24"/>
        </w:rPr>
        <w:t>AAAC</w:t>
      </w:r>
      <w:r w:rsidR="008703D8" w:rsidRPr="00356ADA">
        <w:rPr>
          <w:rFonts w:asciiTheme="majorBidi" w:hAnsiTheme="majorBidi" w:cstheme="majorBidi"/>
          <w:sz w:val="24"/>
          <w:szCs w:val="24"/>
        </w:rPr>
        <w:t>, and</w:t>
      </w:r>
      <w:r w:rsidR="0043120A">
        <w:rPr>
          <w:rFonts w:asciiTheme="majorBidi" w:hAnsiTheme="majorBidi" w:cstheme="majorBidi"/>
          <w:sz w:val="24"/>
          <w:szCs w:val="24"/>
        </w:rPr>
        <w:t xml:space="preserve"> s</w:t>
      </w:r>
      <w:r w:rsidR="0043120A">
        <w:rPr>
          <w:rFonts w:asciiTheme="majorBidi" w:hAnsiTheme="majorBidi" w:cstheme="majorBidi"/>
          <w:bCs/>
          <w:sz w:val="24"/>
          <w:szCs w:val="24"/>
        </w:rPr>
        <w:t>ocial, environmental responsibility</w:t>
      </w:r>
      <w:r w:rsidR="00C36355" w:rsidRPr="00C36355">
        <w:rPr>
          <w:rFonts w:asciiTheme="majorBidi" w:hAnsiTheme="majorBidi" w:cstheme="majorBidi"/>
          <w:bCs/>
          <w:sz w:val="24"/>
          <w:szCs w:val="24"/>
        </w:rPr>
        <w:t xml:space="preserve"> and stakeholders’ engagement </w:t>
      </w:r>
      <w:r w:rsidR="00C36355" w:rsidRPr="00C36355">
        <w:rPr>
          <w:rFonts w:asciiTheme="majorBidi" w:hAnsiTheme="majorBidi" w:cstheme="majorBidi"/>
          <w:sz w:val="24"/>
          <w:szCs w:val="24"/>
        </w:rPr>
        <w:t xml:space="preserve">– </w:t>
      </w:r>
      <w:r w:rsidR="00C36355" w:rsidRPr="00C36355">
        <w:rPr>
          <w:rFonts w:asciiTheme="majorBidi" w:hAnsiTheme="majorBidi" w:cstheme="majorBidi"/>
          <w:i/>
          <w:iCs/>
          <w:sz w:val="24"/>
          <w:szCs w:val="24"/>
        </w:rPr>
        <w:t>SERSE</w:t>
      </w:r>
      <w:r w:rsidR="00AD72CC" w:rsidRPr="00356ADA">
        <w:rPr>
          <w:rFonts w:asciiTheme="majorBidi" w:hAnsiTheme="majorBidi" w:cstheme="majorBidi"/>
          <w:sz w:val="24"/>
          <w:szCs w:val="24"/>
        </w:rPr>
        <w:t>)</w:t>
      </w:r>
      <w:r w:rsidR="00DA3510" w:rsidRPr="00356ADA">
        <w:rPr>
          <w:rFonts w:asciiTheme="majorBidi" w:hAnsiTheme="majorBidi" w:cstheme="majorBidi"/>
          <w:sz w:val="24"/>
          <w:szCs w:val="24"/>
        </w:rPr>
        <w:t xml:space="preserve">, </w:t>
      </w:r>
      <w:r w:rsidR="00DA3510" w:rsidRPr="00356ADA">
        <w:rPr>
          <w:rFonts w:ascii="Times New Roman" w:hAnsi="Times New Roman" w:cs="Times New Roman"/>
          <w:sz w:val="24"/>
          <w:szCs w:val="24"/>
        </w:rPr>
        <w:t xml:space="preserve">it is possible for the link between summary </w:t>
      </w:r>
      <w:r w:rsidR="00FB54C0">
        <w:rPr>
          <w:rFonts w:ascii="Times New Roman" w:hAnsi="Times New Roman" w:cs="Times New Roman"/>
          <w:i/>
          <w:iCs/>
          <w:sz w:val="24"/>
          <w:szCs w:val="24"/>
        </w:rPr>
        <w:t>HE</w:t>
      </w:r>
      <w:r w:rsidR="00DA3510" w:rsidRPr="00356ADA">
        <w:rPr>
          <w:rFonts w:ascii="Times New Roman" w:hAnsi="Times New Roman" w:cs="Times New Roman"/>
          <w:i/>
          <w:sz w:val="24"/>
          <w:szCs w:val="24"/>
        </w:rPr>
        <w:t>RDI</w:t>
      </w:r>
      <w:r w:rsidR="00DA3510" w:rsidRPr="00356ADA">
        <w:rPr>
          <w:rFonts w:ascii="Times New Roman" w:hAnsi="Times New Roman" w:cs="Times New Roman"/>
          <w:sz w:val="24"/>
          <w:szCs w:val="24"/>
        </w:rPr>
        <w:t xml:space="preserve"> and </w:t>
      </w:r>
      <w:r w:rsidR="00FB54C0">
        <w:rPr>
          <w:rFonts w:ascii="Times New Roman" w:hAnsi="Times New Roman" w:cs="Times New Roman"/>
          <w:i/>
          <w:iCs/>
          <w:sz w:val="24"/>
          <w:szCs w:val="24"/>
        </w:rPr>
        <w:t>HE</w:t>
      </w:r>
      <w:r w:rsidR="00DA3510" w:rsidRPr="00356ADA">
        <w:rPr>
          <w:rFonts w:ascii="Times New Roman" w:hAnsi="Times New Roman" w:cs="Times New Roman"/>
          <w:i/>
          <w:sz w:val="24"/>
          <w:szCs w:val="24"/>
        </w:rPr>
        <w:t xml:space="preserve">GQI </w:t>
      </w:r>
      <w:r w:rsidR="00DA3510" w:rsidRPr="00356ADA">
        <w:rPr>
          <w:rFonts w:ascii="Times New Roman" w:hAnsi="Times New Roman" w:cs="Times New Roman"/>
          <w:sz w:val="24"/>
          <w:szCs w:val="24"/>
        </w:rPr>
        <w:t xml:space="preserve">to be differ according to the type of risk (governance) category that an </w:t>
      </w:r>
      <w:r w:rsidR="00DA3510" w:rsidRPr="00356ADA">
        <w:rPr>
          <w:rFonts w:ascii="Times New Roman" w:hAnsi="Times New Roman" w:cs="Times New Roman"/>
          <w:i/>
          <w:sz w:val="24"/>
          <w:szCs w:val="24"/>
        </w:rPr>
        <w:t xml:space="preserve">HEI </w:t>
      </w:r>
      <w:r w:rsidR="00DA3510" w:rsidRPr="00356ADA">
        <w:rPr>
          <w:rFonts w:ascii="Times New Roman" w:hAnsi="Times New Roman" w:cs="Times New Roman"/>
          <w:sz w:val="24"/>
          <w:szCs w:val="24"/>
        </w:rPr>
        <w:t xml:space="preserve">is exposed to, with the possibility that some types of risks may display strong relationships with the </w:t>
      </w:r>
      <w:r w:rsidR="00FB54C0">
        <w:rPr>
          <w:rFonts w:ascii="Times New Roman" w:hAnsi="Times New Roman" w:cs="Times New Roman"/>
          <w:i/>
          <w:iCs/>
          <w:sz w:val="24"/>
          <w:szCs w:val="24"/>
        </w:rPr>
        <w:t>HE</w:t>
      </w:r>
      <w:r w:rsidR="00DA3510" w:rsidRPr="00356ADA">
        <w:rPr>
          <w:rFonts w:ascii="Times New Roman" w:hAnsi="Times New Roman" w:cs="Times New Roman"/>
          <w:i/>
          <w:iCs/>
          <w:sz w:val="24"/>
          <w:szCs w:val="24"/>
        </w:rPr>
        <w:t>GQI</w:t>
      </w:r>
      <w:r w:rsidR="00DA3510" w:rsidRPr="00356ADA">
        <w:rPr>
          <w:rFonts w:ascii="Times New Roman" w:hAnsi="Times New Roman" w:cs="Times New Roman"/>
          <w:sz w:val="24"/>
          <w:szCs w:val="24"/>
        </w:rPr>
        <w:t xml:space="preserve"> and other can display weak associations with the </w:t>
      </w:r>
      <w:r w:rsidR="00FB54C0">
        <w:rPr>
          <w:rFonts w:ascii="Times New Roman" w:hAnsi="Times New Roman" w:cs="Times New Roman"/>
          <w:i/>
          <w:iCs/>
          <w:sz w:val="24"/>
          <w:szCs w:val="24"/>
        </w:rPr>
        <w:t>HE</w:t>
      </w:r>
      <w:r w:rsidR="00DA3510" w:rsidRPr="00356ADA">
        <w:rPr>
          <w:rFonts w:ascii="Times New Roman" w:hAnsi="Times New Roman" w:cs="Times New Roman"/>
          <w:i/>
          <w:iCs/>
          <w:sz w:val="24"/>
          <w:szCs w:val="24"/>
        </w:rPr>
        <w:t>GQI</w:t>
      </w:r>
      <w:r w:rsidR="00DA3510" w:rsidRPr="00356ADA">
        <w:rPr>
          <w:rFonts w:ascii="Times New Roman" w:hAnsi="Times New Roman" w:cs="Times New Roman"/>
          <w:sz w:val="24"/>
          <w:szCs w:val="24"/>
        </w:rPr>
        <w:t xml:space="preserve">. Therefore, </w:t>
      </w:r>
      <w:r w:rsidR="00DA3510" w:rsidRPr="00356ADA">
        <w:rPr>
          <w:rFonts w:asciiTheme="majorBidi" w:hAnsiTheme="majorBidi" w:cstheme="majorBidi"/>
          <w:sz w:val="24"/>
          <w:szCs w:val="24"/>
        </w:rPr>
        <w:t xml:space="preserve">we replaced the </w:t>
      </w:r>
      <w:r w:rsidR="00FB54C0">
        <w:rPr>
          <w:rFonts w:asciiTheme="majorBidi" w:hAnsiTheme="majorBidi" w:cstheme="majorBidi"/>
          <w:i/>
          <w:iCs/>
          <w:sz w:val="24"/>
          <w:szCs w:val="24"/>
        </w:rPr>
        <w:t>HE</w:t>
      </w:r>
      <w:r w:rsidR="00DA3510" w:rsidRPr="00356ADA">
        <w:rPr>
          <w:rFonts w:asciiTheme="majorBidi" w:hAnsiTheme="majorBidi" w:cstheme="majorBidi"/>
          <w:i/>
          <w:iCs/>
          <w:sz w:val="24"/>
          <w:szCs w:val="24"/>
        </w:rPr>
        <w:t xml:space="preserve">RDI </w:t>
      </w:r>
      <w:r w:rsidR="00DA3510" w:rsidRPr="00356ADA">
        <w:rPr>
          <w:rFonts w:asciiTheme="majorBidi" w:hAnsiTheme="majorBidi" w:cstheme="majorBidi"/>
          <w:sz w:val="24"/>
          <w:szCs w:val="24"/>
        </w:rPr>
        <w:t>(</w:t>
      </w:r>
      <w:r w:rsidR="00FB54C0">
        <w:rPr>
          <w:rFonts w:asciiTheme="majorBidi" w:hAnsiTheme="majorBidi" w:cstheme="majorBidi"/>
          <w:i/>
          <w:iCs/>
          <w:sz w:val="24"/>
          <w:szCs w:val="24"/>
        </w:rPr>
        <w:t>HE</w:t>
      </w:r>
      <w:r w:rsidR="00DA3510" w:rsidRPr="00356ADA">
        <w:rPr>
          <w:rFonts w:asciiTheme="majorBidi" w:hAnsiTheme="majorBidi" w:cstheme="majorBidi"/>
          <w:i/>
          <w:iCs/>
          <w:sz w:val="24"/>
          <w:szCs w:val="24"/>
        </w:rPr>
        <w:t>GQI</w:t>
      </w:r>
      <w:r w:rsidR="00DA3510" w:rsidRPr="00356ADA">
        <w:rPr>
          <w:rFonts w:asciiTheme="majorBidi" w:hAnsiTheme="majorBidi" w:cstheme="majorBidi"/>
          <w:sz w:val="24"/>
          <w:szCs w:val="24"/>
        </w:rPr>
        <w:t xml:space="preserve">) with </w:t>
      </w:r>
      <w:r w:rsidR="008703D8" w:rsidRPr="00356ADA">
        <w:rPr>
          <w:rFonts w:asciiTheme="majorBidi" w:hAnsiTheme="majorBidi" w:cstheme="majorBidi"/>
          <w:sz w:val="24"/>
          <w:szCs w:val="24"/>
        </w:rPr>
        <w:t xml:space="preserve">either </w:t>
      </w:r>
      <w:r w:rsidR="00FB54C0">
        <w:rPr>
          <w:rFonts w:asciiTheme="majorBidi" w:hAnsiTheme="majorBidi" w:cstheme="majorBidi"/>
          <w:i/>
          <w:iCs/>
          <w:sz w:val="24"/>
          <w:szCs w:val="24"/>
        </w:rPr>
        <w:t>HEFRD</w:t>
      </w:r>
      <w:r w:rsidR="008703D8" w:rsidRPr="00356ADA">
        <w:rPr>
          <w:rFonts w:asciiTheme="majorBidi" w:hAnsiTheme="majorBidi" w:cstheme="majorBidi"/>
          <w:sz w:val="24"/>
          <w:szCs w:val="24"/>
        </w:rPr>
        <w:t xml:space="preserve">, </w:t>
      </w:r>
      <w:r w:rsidR="00FB54C0">
        <w:rPr>
          <w:rFonts w:asciiTheme="majorBidi" w:hAnsiTheme="majorBidi" w:cstheme="majorBidi"/>
          <w:i/>
          <w:iCs/>
          <w:sz w:val="24"/>
          <w:szCs w:val="24"/>
        </w:rPr>
        <w:t>HEORD</w:t>
      </w:r>
      <w:r w:rsidR="00FB54C0" w:rsidRPr="00356ADA">
        <w:rPr>
          <w:rFonts w:asciiTheme="majorBidi" w:hAnsiTheme="majorBidi" w:cstheme="majorBidi"/>
          <w:i/>
          <w:iCs/>
          <w:sz w:val="24"/>
          <w:szCs w:val="24"/>
        </w:rPr>
        <w:t xml:space="preserve"> </w:t>
      </w:r>
      <w:r w:rsidR="008703D8" w:rsidRPr="00356ADA">
        <w:rPr>
          <w:rFonts w:asciiTheme="majorBidi" w:hAnsiTheme="majorBidi" w:cstheme="majorBidi"/>
          <w:sz w:val="24"/>
          <w:szCs w:val="24"/>
        </w:rPr>
        <w:t xml:space="preserve">or </w:t>
      </w:r>
      <w:r w:rsidR="00FB54C0">
        <w:rPr>
          <w:rFonts w:asciiTheme="majorBidi" w:hAnsiTheme="majorBidi" w:cstheme="majorBidi"/>
          <w:i/>
          <w:iCs/>
          <w:sz w:val="24"/>
          <w:szCs w:val="24"/>
        </w:rPr>
        <w:t>HESRD</w:t>
      </w:r>
      <w:r w:rsidR="00FB54C0" w:rsidRPr="00356ADA">
        <w:rPr>
          <w:rFonts w:asciiTheme="majorBidi" w:hAnsiTheme="majorBidi" w:cstheme="majorBidi"/>
          <w:i/>
          <w:iCs/>
          <w:sz w:val="24"/>
          <w:szCs w:val="24"/>
        </w:rPr>
        <w:t xml:space="preserve"> </w:t>
      </w:r>
      <w:r w:rsidR="008703D8" w:rsidRPr="00356ADA">
        <w:rPr>
          <w:rFonts w:asciiTheme="majorBidi" w:hAnsiTheme="majorBidi" w:cstheme="majorBidi"/>
          <w:sz w:val="24"/>
          <w:szCs w:val="24"/>
        </w:rPr>
        <w:t>(</w:t>
      </w:r>
      <w:r w:rsidR="00126518" w:rsidRPr="00126518">
        <w:rPr>
          <w:rFonts w:asciiTheme="majorBidi" w:hAnsiTheme="majorBidi" w:cstheme="majorBidi"/>
          <w:i/>
          <w:iCs/>
          <w:sz w:val="24"/>
          <w:szCs w:val="24"/>
        </w:rPr>
        <w:t>GOVB</w:t>
      </w:r>
      <w:r w:rsidR="008703D8" w:rsidRPr="00356ADA">
        <w:rPr>
          <w:rFonts w:asciiTheme="majorBidi" w:hAnsiTheme="majorBidi" w:cstheme="majorBidi"/>
          <w:sz w:val="24"/>
          <w:szCs w:val="24"/>
        </w:rPr>
        <w:t xml:space="preserve">, </w:t>
      </w:r>
      <w:r w:rsidR="008703D8" w:rsidRPr="00356ADA">
        <w:rPr>
          <w:rFonts w:asciiTheme="majorBidi" w:hAnsiTheme="majorBidi" w:cstheme="majorBidi"/>
          <w:i/>
          <w:iCs/>
          <w:sz w:val="24"/>
          <w:szCs w:val="24"/>
        </w:rPr>
        <w:t>PR</w:t>
      </w:r>
      <w:r w:rsidR="00FB54C0">
        <w:rPr>
          <w:rFonts w:asciiTheme="majorBidi" w:hAnsiTheme="majorBidi" w:cstheme="majorBidi"/>
          <w:i/>
          <w:iCs/>
          <w:sz w:val="24"/>
          <w:szCs w:val="24"/>
        </w:rPr>
        <w:t>O</w:t>
      </w:r>
      <w:r w:rsidR="008703D8" w:rsidRPr="00356ADA">
        <w:rPr>
          <w:rFonts w:asciiTheme="majorBidi" w:hAnsiTheme="majorBidi" w:cstheme="majorBidi"/>
          <w:i/>
          <w:iCs/>
          <w:sz w:val="24"/>
          <w:szCs w:val="24"/>
        </w:rPr>
        <w:t>S</w:t>
      </w:r>
      <w:r w:rsidR="008703D8" w:rsidRPr="00356ADA">
        <w:rPr>
          <w:rFonts w:asciiTheme="majorBidi" w:hAnsiTheme="majorBidi" w:cstheme="majorBidi"/>
          <w:sz w:val="24"/>
          <w:szCs w:val="24"/>
        </w:rPr>
        <w:t xml:space="preserve">, </w:t>
      </w:r>
      <w:r w:rsidR="00BB1961">
        <w:rPr>
          <w:rFonts w:asciiTheme="majorBidi" w:hAnsiTheme="majorBidi" w:cstheme="majorBidi"/>
          <w:i/>
          <w:iCs/>
          <w:sz w:val="24"/>
          <w:szCs w:val="24"/>
        </w:rPr>
        <w:t>PERP</w:t>
      </w:r>
      <w:r w:rsidR="008703D8" w:rsidRPr="00356ADA">
        <w:rPr>
          <w:rFonts w:asciiTheme="majorBidi" w:hAnsiTheme="majorBidi" w:cstheme="majorBidi"/>
          <w:sz w:val="24"/>
          <w:szCs w:val="24"/>
        </w:rPr>
        <w:t xml:space="preserve">, </w:t>
      </w:r>
      <w:r w:rsidR="008703D8" w:rsidRPr="00356ADA">
        <w:rPr>
          <w:rFonts w:asciiTheme="majorBidi" w:hAnsiTheme="majorBidi" w:cstheme="majorBidi"/>
          <w:i/>
          <w:iCs/>
          <w:sz w:val="24"/>
          <w:szCs w:val="24"/>
        </w:rPr>
        <w:t>A</w:t>
      </w:r>
      <w:r w:rsidR="00FB54C0">
        <w:rPr>
          <w:rFonts w:asciiTheme="majorBidi" w:hAnsiTheme="majorBidi" w:cstheme="majorBidi"/>
          <w:i/>
          <w:iCs/>
          <w:sz w:val="24"/>
          <w:szCs w:val="24"/>
        </w:rPr>
        <w:t>AA</w:t>
      </w:r>
      <w:r w:rsidR="008703D8" w:rsidRPr="00356ADA">
        <w:rPr>
          <w:rFonts w:asciiTheme="majorBidi" w:hAnsiTheme="majorBidi" w:cstheme="majorBidi"/>
          <w:i/>
          <w:iCs/>
          <w:sz w:val="24"/>
          <w:szCs w:val="24"/>
        </w:rPr>
        <w:t>C</w:t>
      </w:r>
      <w:r w:rsidR="008703D8" w:rsidRPr="00356ADA">
        <w:rPr>
          <w:rFonts w:asciiTheme="majorBidi" w:hAnsiTheme="majorBidi" w:cstheme="majorBidi"/>
          <w:sz w:val="24"/>
          <w:szCs w:val="24"/>
        </w:rPr>
        <w:t xml:space="preserve"> or </w:t>
      </w:r>
      <w:r w:rsidR="00C36355">
        <w:rPr>
          <w:rFonts w:asciiTheme="majorBidi" w:hAnsiTheme="majorBidi" w:cstheme="majorBidi"/>
          <w:i/>
          <w:iCs/>
          <w:sz w:val="24"/>
          <w:szCs w:val="24"/>
        </w:rPr>
        <w:t>SERSE</w:t>
      </w:r>
      <w:r w:rsidR="008703D8" w:rsidRPr="00356ADA">
        <w:rPr>
          <w:rFonts w:asciiTheme="majorBidi" w:hAnsiTheme="majorBidi" w:cstheme="majorBidi"/>
          <w:sz w:val="24"/>
          <w:szCs w:val="24"/>
        </w:rPr>
        <w:t xml:space="preserve">) at a time. The results are presented in Table </w:t>
      </w:r>
      <w:r w:rsidR="00FB54C0">
        <w:rPr>
          <w:rFonts w:asciiTheme="majorBidi" w:hAnsiTheme="majorBidi" w:cstheme="majorBidi"/>
          <w:sz w:val="24"/>
          <w:szCs w:val="24"/>
        </w:rPr>
        <w:t>4</w:t>
      </w:r>
      <w:r w:rsidR="008703D8" w:rsidRPr="00356ADA">
        <w:rPr>
          <w:rFonts w:asciiTheme="majorBidi" w:hAnsiTheme="majorBidi" w:cstheme="majorBidi"/>
          <w:sz w:val="24"/>
          <w:szCs w:val="24"/>
        </w:rPr>
        <w:t xml:space="preserve"> (Models 2-6) for </w:t>
      </w:r>
      <w:r w:rsidR="00126518" w:rsidRPr="00126518">
        <w:rPr>
          <w:rFonts w:asciiTheme="majorBidi" w:hAnsiTheme="majorBidi" w:cstheme="majorBidi"/>
          <w:i/>
          <w:iCs/>
          <w:sz w:val="24"/>
          <w:szCs w:val="24"/>
        </w:rPr>
        <w:t>GOVB</w:t>
      </w:r>
      <w:r w:rsidR="008703D8" w:rsidRPr="00356ADA">
        <w:rPr>
          <w:rFonts w:asciiTheme="majorBidi" w:hAnsiTheme="majorBidi" w:cstheme="majorBidi"/>
          <w:sz w:val="24"/>
          <w:szCs w:val="24"/>
        </w:rPr>
        <w:t xml:space="preserve">, </w:t>
      </w:r>
      <w:r w:rsidR="008703D8" w:rsidRPr="00356ADA">
        <w:rPr>
          <w:rFonts w:asciiTheme="majorBidi" w:hAnsiTheme="majorBidi" w:cstheme="majorBidi"/>
          <w:i/>
          <w:iCs/>
          <w:sz w:val="24"/>
          <w:szCs w:val="24"/>
        </w:rPr>
        <w:t>PR</w:t>
      </w:r>
      <w:r w:rsidR="003D5D75">
        <w:rPr>
          <w:rFonts w:asciiTheme="majorBidi" w:hAnsiTheme="majorBidi" w:cstheme="majorBidi"/>
          <w:i/>
          <w:iCs/>
          <w:sz w:val="24"/>
          <w:szCs w:val="24"/>
        </w:rPr>
        <w:t>O</w:t>
      </w:r>
      <w:r w:rsidR="008703D8" w:rsidRPr="00356ADA">
        <w:rPr>
          <w:rFonts w:asciiTheme="majorBidi" w:hAnsiTheme="majorBidi" w:cstheme="majorBidi"/>
          <w:i/>
          <w:iCs/>
          <w:sz w:val="24"/>
          <w:szCs w:val="24"/>
        </w:rPr>
        <w:t>S</w:t>
      </w:r>
      <w:r w:rsidR="008703D8" w:rsidRPr="00356ADA">
        <w:rPr>
          <w:rFonts w:asciiTheme="majorBidi" w:hAnsiTheme="majorBidi" w:cstheme="majorBidi"/>
          <w:sz w:val="24"/>
          <w:szCs w:val="24"/>
        </w:rPr>
        <w:t xml:space="preserve">, </w:t>
      </w:r>
      <w:r w:rsidR="00BB1961">
        <w:rPr>
          <w:rFonts w:asciiTheme="majorBidi" w:hAnsiTheme="majorBidi" w:cstheme="majorBidi"/>
          <w:i/>
          <w:iCs/>
          <w:sz w:val="24"/>
          <w:szCs w:val="24"/>
        </w:rPr>
        <w:t>PERP</w:t>
      </w:r>
      <w:r w:rsidR="008703D8" w:rsidRPr="00356ADA">
        <w:rPr>
          <w:rFonts w:asciiTheme="majorBidi" w:hAnsiTheme="majorBidi" w:cstheme="majorBidi"/>
          <w:sz w:val="24"/>
          <w:szCs w:val="24"/>
        </w:rPr>
        <w:t xml:space="preserve">, </w:t>
      </w:r>
      <w:r w:rsidR="008703D8" w:rsidRPr="00356ADA">
        <w:rPr>
          <w:rFonts w:asciiTheme="majorBidi" w:hAnsiTheme="majorBidi" w:cstheme="majorBidi"/>
          <w:i/>
          <w:iCs/>
          <w:sz w:val="24"/>
          <w:szCs w:val="24"/>
        </w:rPr>
        <w:t>A</w:t>
      </w:r>
      <w:r w:rsidR="003D5D75">
        <w:rPr>
          <w:rFonts w:asciiTheme="majorBidi" w:hAnsiTheme="majorBidi" w:cstheme="majorBidi"/>
          <w:i/>
          <w:iCs/>
          <w:sz w:val="24"/>
          <w:szCs w:val="24"/>
        </w:rPr>
        <w:t>AA</w:t>
      </w:r>
      <w:r w:rsidR="008703D8" w:rsidRPr="00356ADA">
        <w:rPr>
          <w:rFonts w:asciiTheme="majorBidi" w:hAnsiTheme="majorBidi" w:cstheme="majorBidi"/>
          <w:i/>
          <w:iCs/>
          <w:sz w:val="24"/>
          <w:szCs w:val="24"/>
        </w:rPr>
        <w:t>C</w:t>
      </w:r>
      <w:r w:rsidR="008703D8" w:rsidRPr="00356ADA">
        <w:rPr>
          <w:rFonts w:asciiTheme="majorBidi" w:hAnsiTheme="majorBidi" w:cstheme="majorBidi"/>
          <w:sz w:val="24"/>
          <w:szCs w:val="24"/>
        </w:rPr>
        <w:t xml:space="preserve"> and </w:t>
      </w:r>
      <w:r w:rsidR="00C36355">
        <w:rPr>
          <w:rFonts w:asciiTheme="majorBidi" w:hAnsiTheme="majorBidi" w:cstheme="majorBidi"/>
          <w:i/>
          <w:iCs/>
          <w:sz w:val="24"/>
          <w:szCs w:val="24"/>
        </w:rPr>
        <w:t>SERSE</w:t>
      </w:r>
      <w:r w:rsidR="008703D8" w:rsidRPr="00356ADA">
        <w:rPr>
          <w:rFonts w:asciiTheme="majorBidi" w:hAnsiTheme="majorBidi" w:cstheme="majorBidi"/>
          <w:sz w:val="24"/>
          <w:szCs w:val="24"/>
        </w:rPr>
        <w:t xml:space="preserve"> and Models 7-9 presenting the findings for </w:t>
      </w:r>
      <w:r w:rsidR="003D5D75">
        <w:rPr>
          <w:rFonts w:asciiTheme="majorBidi" w:hAnsiTheme="majorBidi" w:cstheme="majorBidi"/>
          <w:i/>
          <w:iCs/>
          <w:sz w:val="24"/>
          <w:szCs w:val="24"/>
        </w:rPr>
        <w:t>HEFRD</w:t>
      </w:r>
      <w:r w:rsidR="008703D8" w:rsidRPr="00356ADA">
        <w:rPr>
          <w:rFonts w:asciiTheme="majorBidi" w:hAnsiTheme="majorBidi" w:cstheme="majorBidi"/>
          <w:sz w:val="24"/>
          <w:szCs w:val="24"/>
        </w:rPr>
        <w:t xml:space="preserve">, </w:t>
      </w:r>
      <w:r w:rsidR="003D5D75">
        <w:rPr>
          <w:rFonts w:asciiTheme="majorBidi" w:hAnsiTheme="majorBidi" w:cstheme="majorBidi"/>
          <w:i/>
          <w:iCs/>
          <w:sz w:val="24"/>
          <w:szCs w:val="24"/>
        </w:rPr>
        <w:t>HEORD</w:t>
      </w:r>
      <w:r w:rsidR="003D5D75" w:rsidRPr="00356ADA">
        <w:rPr>
          <w:rFonts w:asciiTheme="majorBidi" w:hAnsiTheme="majorBidi" w:cstheme="majorBidi"/>
          <w:i/>
          <w:iCs/>
          <w:sz w:val="24"/>
          <w:szCs w:val="24"/>
        </w:rPr>
        <w:t xml:space="preserve"> </w:t>
      </w:r>
      <w:r w:rsidR="008703D8" w:rsidRPr="00356ADA">
        <w:rPr>
          <w:rFonts w:asciiTheme="majorBidi" w:hAnsiTheme="majorBidi" w:cstheme="majorBidi"/>
          <w:sz w:val="24"/>
          <w:szCs w:val="24"/>
        </w:rPr>
        <w:t xml:space="preserve">and </w:t>
      </w:r>
      <w:r w:rsidR="003D5D75">
        <w:rPr>
          <w:rFonts w:asciiTheme="majorBidi" w:hAnsiTheme="majorBidi" w:cstheme="majorBidi"/>
          <w:i/>
          <w:iCs/>
          <w:sz w:val="24"/>
          <w:szCs w:val="24"/>
        </w:rPr>
        <w:t>HESRD</w:t>
      </w:r>
      <w:r w:rsidR="008703D8" w:rsidRPr="00356ADA">
        <w:rPr>
          <w:rFonts w:asciiTheme="majorBidi" w:hAnsiTheme="majorBidi" w:cstheme="majorBidi"/>
          <w:sz w:val="24"/>
          <w:szCs w:val="24"/>
        </w:rPr>
        <w:t xml:space="preserve">, respectively. </w:t>
      </w:r>
      <w:r w:rsidR="008703D8" w:rsidRPr="00356ADA">
        <w:rPr>
          <w:rFonts w:ascii="Times New Roman" w:hAnsi="Times New Roman" w:cs="Times New Roman"/>
          <w:sz w:val="24"/>
          <w:szCs w:val="24"/>
        </w:rPr>
        <w:t xml:space="preserve">Observably, the coefficients remain positive and </w:t>
      </w:r>
      <w:r w:rsidR="008703D8" w:rsidRPr="00356ADA">
        <w:rPr>
          <w:rFonts w:ascii="Times New Roman" w:hAnsi="Times New Roman" w:cs="Times New Roman"/>
          <w:sz w:val="24"/>
          <w:szCs w:val="24"/>
        </w:rPr>
        <w:lastRenderedPageBreak/>
        <w:t xml:space="preserve">statistically significant from Models 2 to 9, and implying </w:t>
      </w:r>
      <w:r w:rsidR="008703D8" w:rsidRPr="00356ADA">
        <w:rPr>
          <w:rFonts w:asciiTheme="majorBidi" w:hAnsiTheme="majorBidi" w:cstheme="majorBidi"/>
          <w:sz w:val="24"/>
          <w:szCs w:val="24"/>
        </w:rPr>
        <w:t xml:space="preserve">our findings are not affected by the use of sub-indices. </w:t>
      </w:r>
    </w:p>
    <w:p w14:paraId="3F17F672" w14:textId="169129DE" w:rsidR="006E625F" w:rsidRDefault="00F33BFF" w:rsidP="005D3FB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Third</w:t>
      </w:r>
      <w:r w:rsidR="00120513" w:rsidRPr="00356ADA">
        <w:rPr>
          <w:rFonts w:ascii="Times New Roman" w:hAnsi="Times New Roman" w:cs="Times New Roman"/>
          <w:sz w:val="24"/>
          <w:szCs w:val="24"/>
        </w:rPr>
        <w:t xml:space="preserve">, Table </w:t>
      </w:r>
      <w:r w:rsidR="003D5D75">
        <w:rPr>
          <w:rFonts w:ascii="Times New Roman" w:hAnsi="Times New Roman" w:cs="Times New Roman"/>
          <w:sz w:val="24"/>
          <w:szCs w:val="24"/>
        </w:rPr>
        <w:t>5</w:t>
      </w:r>
      <w:r w:rsidR="00120513" w:rsidRPr="00356ADA">
        <w:rPr>
          <w:rFonts w:ascii="Times New Roman" w:hAnsi="Times New Roman" w:cs="Times New Roman"/>
          <w:sz w:val="24"/>
          <w:szCs w:val="24"/>
        </w:rPr>
        <w:t xml:space="preserve"> presents the findings relating </w:t>
      </w:r>
      <w:r w:rsidR="00AD76BC" w:rsidRPr="00356ADA">
        <w:rPr>
          <w:rFonts w:ascii="Times New Roman" w:hAnsi="Times New Roman" w:cs="Times New Roman"/>
          <w:sz w:val="24"/>
          <w:szCs w:val="24"/>
        </w:rPr>
        <w:t xml:space="preserve">to </w:t>
      </w:r>
      <w:r w:rsidR="00120513" w:rsidRPr="00356ADA">
        <w:rPr>
          <w:rFonts w:ascii="Times New Roman" w:hAnsi="Times New Roman" w:cs="Times New Roman"/>
          <w:sz w:val="24"/>
          <w:szCs w:val="24"/>
        </w:rPr>
        <w:t xml:space="preserve">the moderating impact of HEIs senior management characteristics (size – </w:t>
      </w:r>
      <w:r w:rsidR="003D5D75">
        <w:rPr>
          <w:rFonts w:ascii="Times New Roman" w:hAnsi="Times New Roman" w:cs="Times New Roman"/>
          <w:i/>
          <w:iCs/>
          <w:sz w:val="24"/>
          <w:szCs w:val="24"/>
        </w:rPr>
        <w:t>SMTSZE</w:t>
      </w:r>
      <w:r w:rsidR="00120513" w:rsidRPr="00356ADA">
        <w:rPr>
          <w:rFonts w:ascii="Times New Roman" w:hAnsi="Times New Roman" w:cs="Times New Roman"/>
          <w:sz w:val="24"/>
          <w:szCs w:val="24"/>
        </w:rPr>
        <w:t xml:space="preserve">, </w:t>
      </w:r>
      <w:r w:rsidR="00844922" w:rsidRPr="00844922">
        <w:rPr>
          <w:rFonts w:ascii="Times New Roman" w:hAnsi="Times New Roman" w:cs="Times New Roman"/>
          <w:sz w:val="24"/>
          <w:szCs w:val="24"/>
        </w:rPr>
        <w:t>gender and ethnicity</w:t>
      </w:r>
      <w:r w:rsidR="00844922">
        <w:rPr>
          <w:rFonts w:ascii="Times New Roman" w:hAnsi="Times New Roman" w:cs="Times New Roman"/>
          <w:sz w:val="24"/>
          <w:szCs w:val="24"/>
        </w:rPr>
        <w:t xml:space="preserve"> diversity – </w:t>
      </w:r>
      <w:r w:rsidR="003D5D75">
        <w:rPr>
          <w:rFonts w:ascii="Times New Roman" w:hAnsi="Times New Roman" w:cs="Times New Roman"/>
          <w:i/>
          <w:iCs/>
          <w:sz w:val="24"/>
          <w:szCs w:val="24"/>
        </w:rPr>
        <w:t>SMTGED</w:t>
      </w:r>
      <w:r w:rsidR="00844922" w:rsidRPr="00844922">
        <w:rPr>
          <w:rFonts w:ascii="Times New Roman" w:hAnsi="Times New Roman" w:cs="Times New Roman"/>
          <w:sz w:val="24"/>
          <w:szCs w:val="24"/>
        </w:rPr>
        <w:t xml:space="preserve">, gender </w:t>
      </w:r>
      <w:r w:rsidR="00844922">
        <w:rPr>
          <w:rFonts w:ascii="Times New Roman" w:hAnsi="Times New Roman" w:cs="Times New Roman"/>
          <w:sz w:val="24"/>
          <w:szCs w:val="24"/>
        </w:rPr>
        <w:t xml:space="preserve">diversity – </w:t>
      </w:r>
      <w:r w:rsidR="003D5D75">
        <w:rPr>
          <w:rFonts w:ascii="Times New Roman" w:hAnsi="Times New Roman" w:cs="Times New Roman"/>
          <w:i/>
          <w:iCs/>
          <w:sz w:val="24"/>
          <w:szCs w:val="24"/>
        </w:rPr>
        <w:t>SM</w:t>
      </w:r>
      <w:r w:rsidR="00844922" w:rsidRPr="00844922">
        <w:rPr>
          <w:rFonts w:ascii="Times New Roman" w:hAnsi="Times New Roman" w:cs="Times New Roman"/>
          <w:i/>
          <w:iCs/>
          <w:sz w:val="24"/>
          <w:szCs w:val="24"/>
        </w:rPr>
        <w:t>TGD</w:t>
      </w:r>
      <w:r w:rsidR="00844922">
        <w:rPr>
          <w:rFonts w:ascii="Times New Roman" w:hAnsi="Times New Roman" w:cs="Times New Roman"/>
          <w:sz w:val="24"/>
          <w:szCs w:val="24"/>
        </w:rPr>
        <w:t xml:space="preserve">, </w:t>
      </w:r>
      <w:r w:rsidR="00844922" w:rsidRPr="00844922">
        <w:rPr>
          <w:rFonts w:ascii="Times New Roman" w:hAnsi="Times New Roman" w:cs="Times New Roman"/>
          <w:sz w:val="24"/>
          <w:szCs w:val="24"/>
        </w:rPr>
        <w:t xml:space="preserve">ethnicity </w:t>
      </w:r>
      <w:r w:rsidR="00844922">
        <w:rPr>
          <w:rFonts w:ascii="Times New Roman" w:hAnsi="Times New Roman" w:cs="Times New Roman"/>
          <w:sz w:val="24"/>
          <w:szCs w:val="24"/>
        </w:rPr>
        <w:t xml:space="preserve">diversity – </w:t>
      </w:r>
      <w:r w:rsidR="003D5D75">
        <w:rPr>
          <w:rFonts w:ascii="Times New Roman" w:hAnsi="Times New Roman" w:cs="Times New Roman"/>
          <w:i/>
          <w:iCs/>
          <w:sz w:val="24"/>
          <w:szCs w:val="24"/>
        </w:rPr>
        <w:t>SM</w:t>
      </w:r>
      <w:r w:rsidR="00844922" w:rsidRPr="00844922">
        <w:rPr>
          <w:rFonts w:ascii="Times New Roman" w:hAnsi="Times New Roman" w:cs="Times New Roman"/>
          <w:i/>
          <w:iCs/>
          <w:sz w:val="24"/>
          <w:szCs w:val="24"/>
        </w:rPr>
        <w:t>TED</w:t>
      </w:r>
      <w:r w:rsidR="00844922">
        <w:rPr>
          <w:rFonts w:ascii="Times New Roman" w:hAnsi="Times New Roman" w:cs="Times New Roman"/>
          <w:sz w:val="24"/>
          <w:szCs w:val="24"/>
        </w:rPr>
        <w:t xml:space="preserve">, </w:t>
      </w:r>
      <w:r w:rsidR="00120513" w:rsidRPr="00356ADA">
        <w:rPr>
          <w:rFonts w:ascii="Times New Roman" w:hAnsi="Times New Roman" w:cs="Times New Roman"/>
          <w:sz w:val="24"/>
          <w:szCs w:val="24"/>
        </w:rPr>
        <w:t xml:space="preserve">and meetings – </w:t>
      </w:r>
      <w:r w:rsidR="003D5D75">
        <w:rPr>
          <w:rFonts w:ascii="Times New Roman" w:hAnsi="Times New Roman" w:cs="Times New Roman"/>
          <w:i/>
          <w:iCs/>
          <w:sz w:val="24"/>
          <w:szCs w:val="24"/>
        </w:rPr>
        <w:t>SM</w:t>
      </w:r>
      <w:r w:rsidR="00DD7D5B" w:rsidRPr="00356ADA">
        <w:rPr>
          <w:rFonts w:ascii="Times New Roman" w:hAnsi="Times New Roman" w:cs="Times New Roman"/>
          <w:i/>
          <w:iCs/>
          <w:sz w:val="24"/>
          <w:szCs w:val="24"/>
        </w:rPr>
        <w:t>T</w:t>
      </w:r>
      <w:r w:rsidR="00120513" w:rsidRPr="00356ADA">
        <w:rPr>
          <w:rFonts w:ascii="Times New Roman" w:hAnsi="Times New Roman" w:cs="Times New Roman"/>
          <w:i/>
          <w:iCs/>
          <w:sz w:val="24"/>
          <w:szCs w:val="24"/>
        </w:rPr>
        <w:t>M</w:t>
      </w:r>
      <w:r w:rsidR="00120513" w:rsidRPr="00356ADA">
        <w:rPr>
          <w:rFonts w:ascii="Times New Roman" w:hAnsi="Times New Roman" w:cs="Times New Roman"/>
          <w:sz w:val="24"/>
          <w:szCs w:val="24"/>
        </w:rPr>
        <w:t xml:space="preserve">) on the </w:t>
      </w:r>
      <w:r w:rsidR="003D5D75">
        <w:rPr>
          <w:rFonts w:ascii="Times New Roman" w:hAnsi="Times New Roman" w:cs="Times New Roman"/>
          <w:i/>
          <w:iCs/>
          <w:sz w:val="24"/>
          <w:szCs w:val="24"/>
        </w:rPr>
        <w:t>HE</w:t>
      </w:r>
      <w:r w:rsidR="00BC1FEA" w:rsidRPr="00BA0E79">
        <w:rPr>
          <w:rFonts w:ascii="Times New Roman" w:hAnsi="Times New Roman" w:cs="Times New Roman"/>
          <w:i/>
          <w:iCs/>
          <w:sz w:val="24"/>
          <w:szCs w:val="24"/>
        </w:rPr>
        <w:t>GQI</w:t>
      </w:r>
      <w:r w:rsidR="005D3FBB" w:rsidRPr="00BA0E79">
        <w:rPr>
          <w:rFonts w:ascii="Times New Roman" w:hAnsi="Times New Roman" w:cs="Times New Roman"/>
          <w:i/>
          <w:iCs/>
          <w:sz w:val="24"/>
          <w:szCs w:val="24"/>
        </w:rPr>
        <w:t>–</w:t>
      </w:r>
      <w:r w:rsidR="003D5D75">
        <w:rPr>
          <w:rFonts w:ascii="Times New Roman" w:hAnsi="Times New Roman" w:cs="Times New Roman"/>
          <w:i/>
          <w:iCs/>
          <w:sz w:val="24"/>
          <w:szCs w:val="24"/>
        </w:rPr>
        <w:t>HE</w:t>
      </w:r>
      <w:r w:rsidR="00BC1FEA" w:rsidRPr="00BA0E79">
        <w:rPr>
          <w:rFonts w:ascii="Times New Roman" w:hAnsi="Times New Roman" w:cs="Times New Roman"/>
          <w:i/>
          <w:iCs/>
          <w:sz w:val="24"/>
          <w:szCs w:val="24"/>
        </w:rPr>
        <w:t>RDI</w:t>
      </w:r>
      <w:r w:rsidR="00120513" w:rsidRPr="00356ADA">
        <w:rPr>
          <w:rFonts w:ascii="Times New Roman" w:hAnsi="Times New Roman" w:cs="Times New Roman"/>
          <w:sz w:val="24"/>
          <w:szCs w:val="24"/>
        </w:rPr>
        <w:t xml:space="preserve"> nexus. Discernibly, and as shown in Table </w:t>
      </w:r>
      <w:r w:rsidR="003D5D75">
        <w:rPr>
          <w:rFonts w:ascii="Times New Roman" w:hAnsi="Times New Roman" w:cs="Times New Roman"/>
          <w:sz w:val="24"/>
          <w:szCs w:val="24"/>
        </w:rPr>
        <w:t>5</w:t>
      </w:r>
      <w:r w:rsidR="00120513" w:rsidRPr="00356ADA">
        <w:rPr>
          <w:rFonts w:ascii="Times New Roman" w:hAnsi="Times New Roman" w:cs="Times New Roman"/>
          <w:sz w:val="24"/>
          <w:szCs w:val="24"/>
        </w:rPr>
        <w:t xml:space="preserve"> (Model</w:t>
      </w:r>
      <w:r w:rsidR="006E625F">
        <w:rPr>
          <w:rFonts w:ascii="Times New Roman" w:hAnsi="Times New Roman" w:cs="Times New Roman"/>
          <w:sz w:val="24"/>
          <w:szCs w:val="24"/>
        </w:rPr>
        <w:t>s</w:t>
      </w:r>
      <w:r w:rsidR="00120513" w:rsidRPr="00356ADA">
        <w:rPr>
          <w:rFonts w:ascii="Times New Roman" w:hAnsi="Times New Roman" w:cs="Times New Roman"/>
          <w:sz w:val="24"/>
          <w:szCs w:val="24"/>
        </w:rPr>
        <w:t xml:space="preserve"> 1</w:t>
      </w:r>
      <w:r w:rsidR="006E625F">
        <w:rPr>
          <w:rFonts w:ascii="Times New Roman" w:hAnsi="Times New Roman" w:cs="Times New Roman"/>
          <w:sz w:val="24"/>
          <w:szCs w:val="24"/>
        </w:rPr>
        <w:t>-5</w:t>
      </w:r>
      <w:r w:rsidR="00120513" w:rsidRPr="00356ADA">
        <w:rPr>
          <w:rFonts w:ascii="Times New Roman" w:hAnsi="Times New Roman" w:cs="Times New Roman"/>
          <w:sz w:val="24"/>
          <w:szCs w:val="24"/>
        </w:rPr>
        <w:t xml:space="preserve">), the coefficients on the </w:t>
      </w:r>
      <w:r w:rsidR="003D5D75">
        <w:rPr>
          <w:rFonts w:ascii="Times New Roman" w:hAnsi="Times New Roman" w:cs="Times New Roman"/>
          <w:i/>
          <w:iCs/>
          <w:sz w:val="24"/>
          <w:szCs w:val="24"/>
        </w:rPr>
        <w:t>HE</w:t>
      </w:r>
      <w:r w:rsidR="00120513" w:rsidRPr="00356ADA">
        <w:rPr>
          <w:rFonts w:ascii="Times New Roman" w:hAnsi="Times New Roman" w:cs="Times New Roman"/>
          <w:i/>
          <w:sz w:val="24"/>
          <w:szCs w:val="24"/>
        </w:rPr>
        <w:t xml:space="preserve">GOI </w:t>
      </w:r>
      <w:r w:rsidR="00A37DA8">
        <w:rPr>
          <w:rFonts w:ascii="Times New Roman" w:hAnsi="Times New Roman" w:cs="Times New Roman"/>
          <w:sz w:val="24"/>
          <w:szCs w:val="24"/>
        </w:rPr>
        <w:t>are</w:t>
      </w:r>
      <w:r w:rsidR="00120513" w:rsidRPr="00356ADA">
        <w:rPr>
          <w:rFonts w:ascii="Times New Roman" w:hAnsi="Times New Roman" w:cs="Times New Roman"/>
          <w:sz w:val="24"/>
          <w:szCs w:val="24"/>
        </w:rPr>
        <w:t xml:space="preserve"> statistically </w:t>
      </w:r>
      <w:r w:rsidR="005753F2" w:rsidRPr="00356ADA">
        <w:rPr>
          <w:rFonts w:ascii="Times New Roman" w:hAnsi="Times New Roman" w:cs="Times New Roman"/>
          <w:sz w:val="24"/>
          <w:szCs w:val="24"/>
        </w:rPr>
        <w:t>positive</w:t>
      </w:r>
      <w:r w:rsidR="00120513" w:rsidRPr="00356ADA">
        <w:rPr>
          <w:rFonts w:ascii="Times New Roman" w:hAnsi="Times New Roman" w:cs="Times New Roman"/>
          <w:sz w:val="24"/>
          <w:szCs w:val="24"/>
        </w:rPr>
        <w:t xml:space="preserve"> and noticeably larger in magnitu</w:t>
      </w:r>
      <w:r w:rsidR="00FF3216" w:rsidRPr="00356ADA">
        <w:rPr>
          <w:rFonts w:ascii="Times New Roman" w:hAnsi="Times New Roman" w:cs="Times New Roman"/>
          <w:sz w:val="24"/>
          <w:szCs w:val="24"/>
        </w:rPr>
        <w:t>de than those reported in Table</w:t>
      </w:r>
      <w:r w:rsidR="00120513" w:rsidRPr="00356ADA">
        <w:rPr>
          <w:rFonts w:ascii="Times New Roman" w:hAnsi="Times New Roman" w:cs="Times New Roman"/>
          <w:sz w:val="24"/>
          <w:szCs w:val="24"/>
        </w:rPr>
        <w:t xml:space="preserve"> </w:t>
      </w:r>
      <w:r w:rsidR="003D5D75">
        <w:rPr>
          <w:rFonts w:ascii="Times New Roman" w:hAnsi="Times New Roman" w:cs="Times New Roman"/>
          <w:sz w:val="24"/>
          <w:szCs w:val="24"/>
        </w:rPr>
        <w:t>4</w:t>
      </w:r>
      <w:r w:rsidR="00120513" w:rsidRPr="00356ADA">
        <w:rPr>
          <w:rFonts w:ascii="Times New Roman" w:hAnsi="Times New Roman" w:cs="Times New Roman"/>
          <w:sz w:val="24"/>
          <w:szCs w:val="24"/>
        </w:rPr>
        <w:t xml:space="preserve">. </w:t>
      </w:r>
      <w:r w:rsidR="006E625F">
        <w:rPr>
          <w:rFonts w:ascii="Times New Roman" w:hAnsi="Times New Roman" w:cs="Times New Roman"/>
          <w:sz w:val="24"/>
          <w:szCs w:val="24"/>
        </w:rPr>
        <w:t xml:space="preserve">For example, the magnitude of the coefficient of </w:t>
      </w:r>
      <w:r w:rsidR="003D5D75">
        <w:rPr>
          <w:rFonts w:ascii="Times New Roman" w:hAnsi="Times New Roman" w:cs="Times New Roman"/>
          <w:i/>
          <w:iCs/>
          <w:sz w:val="24"/>
          <w:szCs w:val="24"/>
        </w:rPr>
        <w:t>HE</w:t>
      </w:r>
      <w:r w:rsidR="004F04F8">
        <w:rPr>
          <w:rFonts w:ascii="Times New Roman" w:hAnsi="Times New Roman" w:cs="Times New Roman"/>
          <w:i/>
          <w:iCs/>
          <w:sz w:val="24"/>
          <w:szCs w:val="24"/>
        </w:rPr>
        <w:t>G</w:t>
      </w:r>
      <w:r w:rsidR="004F04F8" w:rsidRPr="004F04F8">
        <w:rPr>
          <w:rFonts w:ascii="Times New Roman" w:hAnsi="Times New Roman" w:cs="Times New Roman"/>
          <w:i/>
          <w:iCs/>
          <w:sz w:val="24"/>
          <w:szCs w:val="24"/>
        </w:rPr>
        <w:t>Q</w:t>
      </w:r>
      <w:r w:rsidR="006E625F" w:rsidRPr="004F04F8">
        <w:rPr>
          <w:rFonts w:ascii="Times New Roman" w:hAnsi="Times New Roman" w:cs="Times New Roman"/>
          <w:i/>
          <w:iCs/>
          <w:sz w:val="24"/>
          <w:szCs w:val="24"/>
        </w:rPr>
        <w:t>I</w:t>
      </w:r>
      <w:r w:rsidR="006E625F">
        <w:rPr>
          <w:rFonts w:ascii="Times New Roman" w:hAnsi="Times New Roman" w:cs="Times New Roman"/>
          <w:sz w:val="24"/>
          <w:szCs w:val="24"/>
        </w:rPr>
        <w:t xml:space="preserve"> on </w:t>
      </w:r>
      <w:r w:rsidR="003D5D75">
        <w:rPr>
          <w:rFonts w:ascii="Times New Roman" w:hAnsi="Times New Roman" w:cs="Times New Roman"/>
          <w:i/>
          <w:iCs/>
          <w:sz w:val="24"/>
          <w:szCs w:val="24"/>
        </w:rPr>
        <w:t>HE</w:t>
      </w:r>
      <w:r w:rsidR="006E625F" w:rsidRPr="004F04F8">
        <w:rPr>
          <w:rFonts w:ascii="Times New Roman" w:hAnsi="Times New Roman" w:cs="Times New Roman"/>
          <w:i/>
          <w:iCs/>
          <w:sz w:val="24"/>
          <w:szCs w:val="24"/>
        </w:rPr>
        <w:t>RDI</w:t>
      </w:r>
      <w:r w:rsidR="006E625F">
        <w:rPr>
          <w:rFonts w:ascii="Times New Roman" w:hAnsi="Times New Roman" w:cs="Times New Roman"/>
          <w:sz w:val="24"/>
          <w:szCs w:val="24"/>
        </w:rPr>
        <w:t xml:space="preserve"> has improved from 0.215 in Model 1 of Table </w:t>
      </w:r>
      <w:r w:rsidR="002D5EB1">
        <w:rPr>
          <w:rFonts w:ascii="Times New Roman" w:hAnsi="Times New Roman" w:cs="Times New Roman"/>
          <w:sz w:val="24"/>
          <w:szCs w:val="24"/>
        </w:rPr>
        <w:t>4</w:t>
      </w:r>
      <w:r w:rsidR="006E625F">
        <w:rPr>
          <w:rFonts w:ascii="Times New Roman" w:hAnsi="Times New Roman" w:cs="Times New Roman"/>
          <w:sz w:val="24"/>
          <w:szCs w:val="24"/>
        </w:rPr>
        <w:t xml:space="preserve">, to 0.383 (Model 1), 0.179 (Model 2), 0.194 (Model 3), 0.355 (Model 4) and 0.514 (Model 5) of Table </w:t>
      </w:r>
      <w:r w:rsidR="002D5EB1">
        <w:rPr>
          <w:rFonts w:ascii="Times New Roman" w:hAnsi="Times New Roman" w:cs="Times New Roman"/>
          <w:sz w:val="24"/>
          <w:szCs w:val="24"/>
        </w:rPr>
        <w:t>5</w:t>
      </w:r>
      <w:r w:rsidR="006E625F">
        <w:rPr>
          <w:rFonts w:ascii="Times New Roman" w:hAnsi="Times New Roman" w:cs="Times New Roman"/>
          <w:sz w:val="24"/>
          <w:szCs w:val="24"/>
        </w:rPr>
        <w:t>, respectively, implying that senior management characteristics moderate the governance</w:t>
      </w:r>
      <w:r w:rsidR="005D3FBB">
        <w:rPr>
          <w:rFonts w:ascii="Times New Roman" w:hAnsi="Times New Roman" w:cs="Times New Roman"/>
          <w:sz w:val="24"/>
          <w:szCs w:val="24"/>
        </w:rPr>
        <w:t>–</w:t>
      </w:r>
      <w:r w:rsidR="006E625F">
        <w:rPr>
          <w:rFonts w:ascii="Times New Roman" w:hAnsi="Times New Roman" w:cs="Times New Roman"/>
          <w:sz w:val="24"/>
          <w:szCs w:val="24"/>
        </w:rPr>
        <w:t>risk disclosure relationship.</w:t>
      </w:r>
      <w:r w:rsidR="008F4822">
        <w:rPr>
          <w:rFonts w:ascii="Times New Roman" w:hAnsi="Times New Roman" w:cs="Times New Roman"/>
          <w:sz w:val="24"/>
          <w:szCs w:val="24"/>
        </w:rPr>
        <w:t xml:space="preserve"> </w:t>
      </w:r>
      <w:r w:rsidR="00962367">
        <w:rPr>
          <w:rFonts w:ascii="Times New Roman" w:hAnsi="Times New Roman" w:cs="Times New Roman"/>
          <w:sz w:val="24"/>
          <w:szCs w:val="24"/>
        </w:rPr>
        <w:t>Specifically, t</w:t>
      </w:r>
      <w:r w:rsidR="00302C10">
        <w:rPr>
          <w:rFonts w:ascii="Times New Roman" w:hAnsi="Times New Roman" w:cs="Times New Roman"/>
          <w:sz w:val="24"/>
          <w:szCs w:val="24"/>
        </w:rPr>
        <w:t xml:space="preserve">he reported evidence </w:t>
      </w:r>
      <w:r w:rsidR="00962367">
        <w:rPr>
          <w:rFonts w:ascii="Times New Roman" w:hAnsi="Times New Roman" w:cs="Times New Roman"/>
          <w:sz w:val="24"/>
          <w:szCs w:val="24"/>
        </w:rPr>
        <w:t xml:space="preserve">suggests that </w:t>
      </w:r>
      <w:r w:rsidR="00962367" w:rsidRPr="00962367">
        <w:rPr>
          <w:rFonts w:ascii="Times New Roman" w:hAnsi="Times New Roman" w:cs="Times New Roman"/>
          <w:sz w:val="24"/>
          <w:szCs w:val="24"/>
        </w:rPr>
        <w:t xml:space="preserve">the impact of internal governance quality on risk disclosures is strengthened by interacting it with HEIs’ senior management team characteristics (size, </w:t>
      </w:r>
      <w:r w:rsidR="00CA5270" w:rsidRPr="00962367">
        <w:rPr>
          <w:rFonts w:ascii="Times New Roman" w:hAnsi="Times New Roman" w:cs="Times New Roman"/>
          <w:sz w:val="24"/>
          <w:szCs w:val="24"/>
        </w:rPr>
        <w:t>meeting,</w:t>
      </w:r>
      <w:r w:rsidR="00962367" w:rsidRPr="00962367">
        <w:rPr>
          <w:rFonts w:ascii="Times New Roman" w:hAnsi="Times New Roman" w:cs="Times New Roman"/>
          <w:sz w:val="24"/>
          <w:szCs w:val="24"/>
        </w:rPr>
        <w:t xml:space="preserve"> and gender/ethnicity diversity).</w:t>
      </w:r>
      <w:r w:rsidR="00CA5270">
        <w:rPr>
          <w:rFonts w:ascii="Times New Roman" w:hAnsi="Times New Roman" w:cs="Times New Roman"/>
          <w:sz w:val="24"/>
          <w:szCs w:val="24"/>
        </w:rPr>
        <w:t xml:space="preserve"> </w:t>
      </w:r>
      <w:r w:rsidR="008F4822">
        <w:rPr>
          <w:rFonts w:ascii="Times New Roman" w:hAnsi="Times New Roman" w:cs="Times New Roman"/>
          <w:sz w:val="24"/>
          <w:szCs w:val="24"/>
        </w:rPr>
        <w:t xml:space="preserve">These findings </w:t>
      </w:r>
      <w:r w:rsidR="00BA1006">
        <w:rPr>
          <w:rFonts w:ascii="Times New Roman" w:hAnsi="Times New Roman" w:cs="Times New Roman"/>
          <w:sz w:val="24"/>
          <w:szCs w:val="24"/>
        </w:rPr>
        <w:t>are consistent with the expectation</w:t>
      </w:r>
      <w:r w:rsidR="005F19D1">
        <w:rPr>
          <w:rFonts w:ascii="Times New Roman" w:hAnsi="Times New Roman" w:cs="Times New Roman"/>
          <w:sz w:val="24"/>
          <w:szCs w:val="24"/>
        </w:rPr>
        <w:t>s</w:t>
      </w:r>
      <w:r w:rsidR="00BA1006">
        <w:rPr>
          <w:rFonts w:ascii="Times New Roman" w:hAnsi="Times New Roman" w:cs="Times New Roman"/>
          <w:sz w:val="24"/>
          <w:szCs w:val="24"/>
        </w:rPr>
        <w:t xml:space="preserve"> of neo-institutional </w:t>
      </w:r>
      <w:r w:rsidR="00241492">
        <w:rPr>
          <w:rFonts w:ascii="Times New Roman" w:hAnsi="Times New Roman" w:cs="Times New Roman"/>
          <w:sz w:val="24"/>
          <w:szCs w:val="24"/>
        </w:rPr>
        <w:t xml:space="preserve">theory </w:t>
      </w:r>
      <w:r w:rsidR="00BA1006">
        <w:rPr>
          <w:rFonts w:ascii="Times New Roman" w:hAnsi="Times New Roman" w:cs="Times New Roman"/>
          <w:sz w:val="24"/>
          <w:szCs w:val="24"/>
        </w:rPr>
        <w:t>(efficiency</w:t>
      </w:r>
      <w:r w:rsidR="00241492">
        <w:rPr>
          <w:rFonts w:ascii="Times New Roman" w:hAnsi="Times New Roman" w:cs="Times New Roman"/>
          <w:sz w:val="24"/>
          <w:szCs w:val="24"/>
        </w:rPr>
        <w:t xml:space="preserve"> perspective) that </w:t>
      </w:r>
      <w:r w:rsidR="00D66251" w:rsidRPr="00D66251">
        <w:rPr>
          <w:rFonts w:ascii="Times New Roman" w:hAnsi="Times New Roman" w:cs="Times New Roman"/>
          <w:sz w:val="24"/>
          <w:szCs w:val="24"/>
        </w:rPr>
        <w:t>UK HEIs</w:t>
      </w:r>
      <w:r w:rsidR="00D66251">
        <w:rPr>
          <w:rFonts w:ascii="Times New Roman" w:hAnsi="Times New Roman" w:cs="Times New Roman"/>
          <w:sz w:val="24"/>
          <w:szCs w:val="24"/>
        </w:rPr>
        <w:t>’</w:t>
      </w:r>
      <w:r w:rsidR="00D66251" w:rsidRPr="00D66251">
        <w:rPr>
          <w:rFonts w:ascii="Times New Roman" w:hAnsi="Times New Roman" w:cs="Times New Roman"/>
          <w:sz w:val="24"/>
          <w:szCs w:val="24"/>
        </w:rPr>
        <w:t xml:space="preserve"> </w:t>
      </w:r>
      <w:r w:rsidR="00FE7533">
        <w:rPr>
          <w:rFonts w:ascii="Times New Roman" w:hAnsi="Times New Roman" w:cs="Times New Roman"/>
          <w:sz w:val="24"/>
          <w:szCs w:val="24"/>
        </w:rPr>
        <w:t xml:space="preserve">governance responsibilities </w:t>
      </w:r>
      <w:r w:rsidR="00E21F71">
        <w:rPr>
          <w:rFonts w:ascii="Times New Roman" w:hAnsi="Times New Roman" w:cs="Times New Roman"/>
          <w:sz w:val="24"/>
          <w:szCs w:val="24"/>
        </w:rPr>
        <w:t>are</w:t>
      </w:r>
      <w:r w:rsidR="00C47E61">
        <w:rPr>
          <w:rFonts w:ascii="Times New Roman" w:hAnsi="Times New Roman" w:cs="Times New Roman"/>
          <w:sz w:val="24"/>
          <w:szCs w:val="24"/>
        </w:rPr>
        <w:t xml:space="preserve"> “shared” </w:t>
      </w:r>
      <w:r w:rsidR="00D66251" w:rsidRPr="00D66251">
        <w:rPr>
          <w:rFonts w:ascii="Times New Roman" w:hAnsi="Times New Roman" w:cs="Times New Roman"/>
          <w:sz w:val="24"/>
          <w:szCs w:val="24"/>
        </w:rPr>
        <w:t>among senior management bodies (HEI council/court, senate, and vice-chancery teams),</w:t>
      </w:r>
      <w:r w:rsidR="005F19D1">
        <w:rPr>
          <w:rFonts w:ascii="Times New Roman" w:hAnsi="Times New Roman" w:cs="Times New Roman"/>
          <w:sz w:val="24"/>
          <w:szCs w:val="24"/>
        </w:rPr>
        <w:t xml:space="preserve"> and </w:t>
      </w:r>
      <w:r w:rsidR="005F19D1" w:rsidRPr="00943E6D">
        <w:rPr>
          <w:rFonts w:ascii="Times New Roman" w:hAnsi="Times New Roman" w:cs="Times New Roman"/>
          <w:sz w:val="24"/>
          <w:szCs w:val="24"/>
        </w:rPr>
        <w:t xml:space="preserve">close interactions among </w:t>
      </w:r>
      <w:r w:rsidR="00AE09CB">
        <w:rPr>
          <w:rFonts w:ascii="Times New Roman" w:hAnsi="Times New Roman" w:cs="Times New Roman"/>
          <w:sz w:val="24"/>
          <w:szCs w:val="24"/>
        </w:rPr>
        <w:t>these</w:t>
      </w:r>
      <w:r w:rsidR="008E3667">
        <w:rPr>
          <w:rFonts w:ascii="Times New Roman" w:hAnsi="Times New Roman" w:cs="Times New Roman"/>
          <w:sz w:val="24"/>
          <w:szCs w:val="24"/>
        </w:rPr>
        <w:t xml:space="preserve"> bodies</w:t>
      </w:r>
      <w:r w:rsidR="005F19D1" w:rsidRPr="00737CF5">
        <w:rPr>
          <w:rFonts w:ascii="Times New Roman" w:hAnsi="Times New Roman" w:cs="Times New Roman"/>
          <w:sz w:val="24"/>
          <w:szCs w:val="24"/>
        </w:rPr>
        <w:t xml:space="preserve"> </w:t>
      </w:r>
      <w:r w:rsidR="005F19D1">
        <w:rPr>
          <w:rFonts w:ascii="Times New Roman" w:hAnsi="Times New Roman" w:cs="Times New Roman"/>
          <w:sz w:val="24"/>
          <w:szCs w:val="24"/>
        </w:rPr>
        <w:t xml:space="preserve">is </w:t>
      </w:r>
      <w:r w:rsidR="00D81C09">
        <w:rPr>
          <w:rFonts w:ascii="Times New Roman" w:hAnsi="Times New Roman" w:cs="Times New Roman"/>
          <w:sz w:val="24"/>
          <w:szCs w:val="24"/>
        </w:rPr>
        <w:t xml:space="preserve">required </w:t>
      </w:r>
      <w:r w:rsidR="008E3667">
        <w:rPr>
          <w:rFonts w:ascii="Times New Roman" w:hAnsi="Times New Roman" w:cs="Times New Roman"/>
          <w:sz w:val="24"/>
          <w:szCs w:val="24"/>
        </w:rPr>
        <w:t>for greater effectiveness</w:t>
      </w:r>
      <w:r w:rsidR="00D81C09">
        <w:rPr>
          <w:rFonts w:ascii="Times New Roman" w:hAnsi="Times New Roman" w:cs="Times New Roman"/>
          <w:sz w:val="24"/>
          <w:szCs w:val="24"/>
        </w:rPr>
        <w:t xml:space="preserve"> (</w:t>
      </w:r>
      <w:r w:rsidR="00D81C09" w:rsidRPr="00D90026">
        <w:rPr>
          <w:rFonts w:ascii="Times New Roman" w:hAnsi="Times New Roman" w:cs="Times New Roman"/>
          <w:sz w:val="24"/>
          <w:szCs w:val="24"/>
        </w:rPr>
        <w:t>Middlehurst, 2013; Shattock, 2013; Taylor, 2013</w:t>
      </w:r>
      <w:r w:rsidR="00D81C09">
        <w:rPr>
          <w:rFonts w:ascii="Times New Roman" w:hAnsi="Times New Roman" w:cs="Times New Roman"/>
          <w:sz w:val="24"/>
          <w:szCs w:val="24"/>
        </w:rPr>
        <w:t>)</w:t>
      </w:r>
      <w:r w:rsidR="005F19D1" w:rsidRPr="00943E6D">
        <w:rPr>
          <w:rFonts w:ascii="Times New Roman" w:hAnsi="Times New Roman" w:cs="Times New Roman"/>
          <w:sz w:val="24"/>
          <w:szCs w:val="24"/>
        </w:rPr>
        <w:t>.</w:t>
      </w:r>
      <w:r w:rsidR="00C20E7E">
        <w:rPr>
          <w:rFonts w:ascii="Times New Roman" w:hAnsi="Times New Roman" w:cs="Times New Roman"/>
          <w:sz w:val="24"/>
          <w:szCs w:val="24"/>
        </w:rPr>
        <w:t xml:space="preserve"> </w:t>
      </w:r>
      <w:r w:rsidR="006E625F">
        <w:rPr>
          <w:rFonts w:ascii="Times New Roman" w:hAnsi="Times New Roman" w:cs="Times New Roman"/>
          <w:sz w:val="24"/>
          <w:szCs w:val="24"/>
        </w:rPr>
        <w:t>Further, this</w:t>
      </w:r>
      <w:r w:rsidR="006E625F" w:rsidRPr="006E625F">
        <w:rPr>
          <w:rFonts w:ascii="Times New Roman" w:hAnsi="Times New Roman" w:cs="Times New Roman"/>
          <w:sz w:val="24"/>
          <w:szCs w:val="24"/>
        </w:rPr>
        <w:t xml:space="preserve"> evidence lends empirical support for the results of Ntim et al. (2017)</w:t>
      </w:r>
      <w:r w:rsidR="005D3FBB">
        <w:rPr>
          <w:rFonts w:ascii="Times New Roman" w:hAnsi="Times New Roman" w:cs="Times New Roman"/>
          <w:sz w:val="24"/>
          <w:szCs w:val="24"/>
        </w:rPr>
        <w:t>,</w:t>
      </w:r>
      <w:r w:rsidR="006E625F" w:rsidRPr="006E625F">
        <w:rPr>
          <w:rFonts w:ascii="Times New Roman" w:hAnsi="Times New Roman" w:cs="Times New Roman"/>
          <w:sz w:val="24"/>
          <w:szCs w:val="24"/>
        </w:rPr>
        <w:t xml:space="preserve"> who provide evidence which indicates that the senior management team has a moderating effect on the governance structures–accountability disclosures relationship using 130 UK HEIs. </w:t>
      </w:r>
    </w:p>
    <w:p w14:paraId="218A9AA0" w14:textId="0566A17C" w:rsidR="005753F2" w:rsidRPr="00356ADA" w:rsidRDefault="00BD6023" w:rsidP="008D74A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Finally, w</w:t>
      </w:r>
      <w:r w:rsidR="0036476A">
        <w:rPr>
          <w:rFonts w:ascii="Times New Roman" w:hAnsi="Times New Roman" w:cs="Times New Roman"/>
          <w:sz w:val="24"/>
          <w:szCs w:val="24"/>
        </w:rPr>
        <w:t xml:space="preserve">ith respect to the interaction variables, the negative coefficient of </w:t>
      </w:r>
      <w:r w:rsidR="003D5D75">
        <w:rPr>
          <w:rFonts w:ascii="Times New Roman" w:hAnsi="Times New Roman" w:cs="Times New Roman"/>
          <w:i/>
          <w:iCs/>
          <w:sz w:val="24"/>
          <w:szCs w:val="24"/>
        </w:rPr>
        <w:t>SM</w:t>
      </w:r>
      <w:r w:rsidR="0036476A" w:rsidRPr="004F04F8">
        <w:rPr>
          <w:rFonts w:ascii="Times New Roman" w:hAnsi="Times New Roman" w:cs="Times New Roman"/>
          <w:i/>
          <w:iCs/>
          <w:sz w:val="24"/>
          <w:szCs w:val="24"/>
        </w:rPr>
        <w:t>TS</w:t>
      </w:r>
      <w:r w:rsidR="00874665">
        <w:rPr>
          <w:rFonts w:ascii="Times New Roman" w:hAnsi="Times New Roman" w:cs="Times New Roman"/>
          <w:i/>
          <w:iCs/>
          <w:sz w:val="24"/>
          <w:szCs w:val="24"/>
        </w:rPr>
        <w:t>Z</w:t>
      </w:r>
      <w:r w:rsidR="003D5D75">
        <w:rPr>
          <w:rFonts w:ascii="Times New Roman" w:hAnsi="Times New Roman" w:cs="Times New Roman"/>
          <w:i/>
          <w:iCs/>
          <w:sz w:val="24"/>
          <w:szCs w:val="24"/>
        </w:rPr>
        <w:t>E</w:t>
      </w:r>
      <w:r w:rsidR="0036476A" w:rsidRPr="004F04F8">
        <w:rPr>
          <w:rFonts w:ascii="Times New Roman" w:hAnsi="Times New Roman" w:cs="Times New Roman"/>
          <w:i/>
          <w:iCs/>
          <w:sz w:val="24"/>
          <w:szCs w:val="24"/>
        </w:rPr>
        <w:t>*</w:t>
      </w:r>
      <w:r w:rsidR="00514B36">
        <w:rPr>
          <w:rFonts w:ascii="Times New Roman" w:hAnsi="Times New Roman" w:cs="Times New Roman"/>
          <w:i/>
          <w:iCs/>
          <w:sz w:val="24"/>
          <w:szCs w:val="24"/>
        </w:rPr>
        <w:t>HEI</w:t>
      </w:r>
      <w:r w:rsidR="004F04F8">
        <w:rPr>
          <w:rFonts w:ascii="Times New Roman" w:hAnsi="Times New Roman" w:cs="Times New Roman"/>
          <w:i/>
          <w:iCs/>
          <w:sz w:val="24"/>
          <w:szCs w:val="24"/>
        </w:rPr>
        <w:t>GQ</w:t>
      </w:r>
      <w:r w:rsidR="0036476A" w:rsidRPr="004F04F8">
        <w:rPr>
          <w:rFonts w:ascii="Times New Roman" w:hAnsi="Times New Roman" w:cs="Times New Roman"/>
          <w:i/>
          <w:iCs/>
          <w:sz w:val="24"/>
          <w:szCs w:val="24"/>
        </w:rPr>
        <w:t>I</w:t>
      </w:r>
      <w:r w:rsidR="0036476A">
        <w:rPr>
          <w:rFonts w:ascii="Times New Roman" w:hAnsi="Times New Roman" w:cs="Times New Roman"/>
          <w:sz w:val="24"/>
          <w:szCs w:val="24"/>
        </w:rPr>
        <w:t xml:space="preserve"> in Model 1 of Table </w:t>
      </w:r>
      <w:r w:rsidR="002D5EB1">
        <w:rPr>
          <w:rFonts w:ascii="Times New Roman" w:hAnsi="Times New Roman" w:cs="Times New Roman"/>
          <w:sz w:val="24"/>
          <w:szCs w:val="24"/>
        </w:rPr>
        <w:t>5</w:t>
      </w:r>
      <w:r w:rsidR="0036476A">
        <w:rPr>
          <w:rFonts w:ascii="Times New Roman" w:hAnsi="Times New Roman" w:cs="Times New Roman"/>
          <w:sz w:val="24"/>
          <w:szCs w:val="24"/>
        </w:rPr>
        <w:t xml:space="preserve"> provides support to </w:t>
      </w:r>
      <w:r w:rsidR="0036476A" w:rsidRPr="004F04F8">
        <w:rPr>
          <w:rFonts w:ascii="Times New Roman" w:hAnsi="Times New Roman" w:cs="Times New Roman"/>
          <w:i/>
          <w:iCs/>
          <w:sz w:val="24"/>
          <w:szCs w:val="24"/>
        </w:rPr>
        <w:t>H2</w:t>
      </w:r>
      <w:r w:rsidR="0036476A">
        <w:rPr>
          <w:rFonts w:ascii="Times New Roman" w:hAnsi="Times New Roman" w:cs="Times New Roman"/>
          <w:sz w:val="24"/>
          <w:szCs w:val="24"/>
        </w:rPr>
        <w:t xml:space="preserve">, as well as the prediction that </w:t>
      </w:r>
      <w:r w:rsidR="0036476A" w:rsidRPr="0036476A">
        <w:rPr>
          <w:rFonts w:ascii="Times New Roman" w:hAnsi="Times New Roman" w:cs="Times New Roman"/>
          <w:sz w:val="24"/>
          <w:szCs w:val="24"/>
        </w:rPr>
        <w:t xml:space="preserve">large leadership teams may not necessarily bring benefits to </w:t>
      </w:r>
      <w:r w:rsidR="00850D63">
        <w:rPr>
          <w:rFonts w:ascii="Times New Roman" w:hAnsi="Times New Roman" w:cs="Times New Roman"/>
          <w:sz w:val="24"/>
          <w:szCs w:val="24"/>
        </w:rPr>
        <w:t>HEIs</w:t>
      </w:r>
      <w:r w:rsidR="0036476A" w:rsidRPr="0036476A">
        <w:rPr>
          <w:rFonts w:ascii="Times New Roman" w:hAnsi="Times New Roman" w:cs="Times New Roman"/>
          <w:sz w:val="24"/>
          <w:szCs w:val="24"/>
        </w:rPr>
        <w:t xml:space="preserve">, since large leadership teams may suffer from lack of communication and coordination </w:t>
      </w:r>
      <w:r w:rsidR="008B24F2">
        <w:rPr>
          <w:rFonts w:ascii="Times New Roman" w:hAnsi="Times New Roman" w:cs="Times New Roman"/>
          <w:sz w:val="24"/>
          <w:szCs w:val="24"/>
        </w:rPr>
        <w:t xml:space="preserve">problems </w:t>
      </w:r>
      <w:r w:rsidR="0036476A" w:rsidRPr="0036476A">
        <w:rPr>
          <w:rFonts w:ascii="Times New Roman" w:hAnsi="Times New Roman" w:cs="Times New Roman"/>
          <w:sz w:val="24"/>
          <w:szCs w:val="24"/>
        </w:rPr>
        <w:t>among their members</w:t>
      </w:r>
      <w:r w:rsidR="0036476A">
        <w:rPr>
          <w:rFonts w:ascii="Times New Roman" w:hAnsi="Times New Roman" w:cs="Times New Roman"/>
          <w:sz w:val="24"/>
          <w:szCs w:val="24"/>
        </w:rPr>
        <w:t xml:space="preserve"> (</w:t>
      </w:r>
      <w:r w:rsidR="0036476A" w:rsidRPr="0036476A">
        <w:rPr>
          <w:rFonts w:ascii="Times New Roman" w:hAnsi="Times New Roman" w:cs="Times New Roman"/>
          <w:sz w:val="24"/>
          <w:szCs w:val="24"/>
        </w:rPr>
        <w:t xml:space="preserve">Ragland </w:t>
      </w:r>
      <w:r w:rsidR="0036476A">
        <w:rPr>
          <w:rFonts w:ascii="Times New Roman" w:hAnsi="Times New Roman" w:cs="Times New Roman"/>
          <w:sz w:val="24"/>
          <w:szCs w:val="24"/>
        </w:rPr>
        <w:t>&amp;</w:t>
      </w:r>
      <w:r w:rsidR="0036476A" w:rsidRPr="0036476A">
        <w:rPr>
          <w:rFonts w:ascii="Times New Roman" w:hAnsi="Times New Roman" w:cs="Times New Roman"/>
          <w:sz w:val="24"/>
          <w:szCs w:val="24"/>
        </w:rPr>
        <w:t xml:space="preserve"> Plante</w:t>
      </w:r>
      <w:r w:rsidR="00631444">
        <w:rPr>
          <w:rFonts w:ascii="Times New Roman" w:hAnsi="Times New Roman" w:cs="Times New Roman"/>
          <w:sz w:val="24"/>
          <w:szCs w:val="24"/>
        </w:rPr>
        <w:t>,</w:t>
      </w:r>
      <w:r w:rsidR="0036476A" w:rsidRPr="0036476A">
        <w:rPr>
          <w:rFonts w:ascii="Times New Roman" w:hAnsi="Times New Roman" w:cs="Times New Roman"/>
          <w:sz w:val="24"/>
          <w:szCs w:val="24"/>
        </w:rPr>
        <w:t xml:space="preserve">2021), and this can diminish their monitoring effectiveness, which can impact negatively on </w:t>
      </w:r>
      <w:r w:rsidR="00850D63">
        <w:rPr>
          <w:rFonts w:ascii="Times New Roman" w:hAnsi="Times New Roman" w:cs="Times New Roman"/>
          <w:sz w:val="24"/>
          <w:szCs w:val="24"/>
        </w:rPr>
        <w:t xml:space="preserve">HEIs’ </w:t>
      </w:r>
      <w:r w:rsidR="0036476A" w:rsidRPr="0036476A">
        <w:rPr>
          <w:rFonts w:ascii="Times New Roman" w:hAnsi="Times New Roman" w:cs="Times New Roman"/>
          <w:sz w:val="24"/>
          <w:szCs w:val="24"/>
        </w:rPr>
        <w:t>risk disclosure practices.</w:t>
      </w:r>
      <w:r w:rsidR="004F04F8">
        <w:rPr>
          <w:rFonts w:ascii="Times New Roman" w:hAnsi="Times New Roman" w:cs="Times New Roman"/>
          <w:sz w:val="24"/>
          <w:szCs w:val="24"/>
        </w:rPr>
        <w:t xml:space="preserve"> </w:t>
      </w:r>
      <w:r w:rsidR="005B4577">
        <w:rPr>
          <w:rFonts w:ascii="Times New Roman" w:hAnsi="Times New Roman" w:cs="Times New Roman"/>
          <w:sz w:val="24"/>
          <w:szCs w:val="24"/>
        </w:rPr>
        <w:t>Additionally</w:t>
      </w:r>
      <w:r w:rsidR="004F04F8">
        <w:rPr>
          <w:rFonts w:ascii="Times New Roman" w:hAnsi="Times New Roman" w:cs="Times New Roman"/>
          <w:sz w:val="24"/>
          <w:szCs w:val="24"/>
        </w:rPr>
        <w:t xml:space="preserve">, the insignificant effect of </w:t>
      </w:r>
      <w:r w:rsidR="003D5D75" w:rsidRPr="003D5D75">
        <w:rPr>
          <w:rFonts w:ascii="Times New Roman" w:hAnsi="Times New Roman" w:cs="Times New Roman"/>
          <w:i/>
          <w:iCs/>
          <w:sz w:val="24"/>
          <w:szCs w:val="24"/>
        </w:rPr>
        <w:t>SMTG</w:t>
      </w:r>
      <w:r w:rsidR="004F04F8" w:rsidRPr="003D5D75">
        <w:rPr>
          <w:rFonts w:ascii="Times New Roman" w:hAnsi="Times New Roman" w:cs="Times New Roman"/>
          <w:i/>
          <w:iCs/>
          <w:sz w:val="24"/>
          <w:szCs w:val="24"/>
        </w:rPr>
        <w:t>ED</w:t>
      </w:r>
      <w:r w:rsidR="004F04F8">
        <w:rPr>
          <w:rFonts w:ascii="Times New Roman" w:hAnsi="Times New Roman" w:cs="Times New Roman"/>
          <w:i/>
          <w:iCs/>
          <w:sz w:val="24"/>
          <w:szCs w:val="24"/>
        </w:rPr>
        <w:t>*</w:t>
      </w:r>
      <w:r w:rsidR="003D5D75">
        <w:rPr>
          <w:rFonts w:ascii="Times New Roman" w:hAnsi="Times New Roman" w:cs="Times New Roman"/>
          <w:i/>
          <w:iCs/>
          <w:sz w:val="24"/>
          <w:szCs w:val="24"/>
        </w:rPr>
        <w:t>HE</w:t>
      </w:r>
      <w:r w:rsidR="004F04F8">
        <w:rPr>
          <w:rFonts w:ascii="Times New Roman" w:hAnsi="Times New Roman" w:cs="Times New Roman"/>
          <w:i/>
          <w:iCs/>
          <w:sz w:val="24"/>
          <w:szCs w:val="24"/>
        </w:rPr>
        <w:t>GQI</w:t>
      </w:r>
      <w:r w:rsidR="004F04F8">
        <w:rPr>
          <w:rFonts w:ascii="Times New Roman" w:hAnsi="Times New Roman" w:cs="Times New Roman"/>
          <w:sz w:val="24"/>
          <w:szCs w:val="24"/>
        </w:rPr>
        <w:t xml:space="preserve">, </w:t>
      </w:r>
      <w:r w:rsidR="003D5D75">
        <w:rPr>
          <w:rFonts w:ascii="Times New Roman" w:hAnsi="Times New Roman" w:cs="Times New Roman"/>
          <w:i/>
          <w:iCs/>
          <w:sz w:val="24"/>
          <w:szCs w:val="24"/>
        </w:rPr>
        <w:t>SM</w:t>
      </w:r>
      <w:r w:rsidR="004F04F8" w:rsidRPr="004F04F8">
        <w:rPr>
          <w:rFonts w:ascii="Times New Roman" w:hAnsi="Times New Roman" w:cs="Times New Roman"/>
          <w:i/>
          <w:iCs/>
          <w:sz w:val="24"/>
          <w:szCs w:val="24"/>
        </w:rPr>
        <w:t>TGD</w:t>
      </w:r>
      <w:r w:rsidR="004F04F8">
        <w:rPr>
          <w:rFonts w:ascii="Times New Roman" w:hAnsi="Times New Roman" w:cs="Times New Roman"/>
          <w:i/>
          <w:iCs/>
          <w:sz w:val="24"/>
          <w:szCs w:val="24"/>
        </w:rPr>
        <w:t>*</w:t>
      </w:r>
      <w:r w:rsidR="003D5D75">
        <w:rPr>
          <w:rFonts w:ascii="Times New Roman" w:hAnsi="Times New Roman" w:cs="Times New Roman"/>
          <w:i/>
          <w:iCs/>
          <w:sz w:val="24"/>
          <w:szCs w:val="24"/>
        </w:rPr>
        <w:t>HE</w:t>
      </w:r>
      <w:r w:rsidR="004F04F8">
        <w:rPr>
          <w:rFonts w:ascii="Times New Roman" w:hAnsi="Times New Roman" w:cs="Times New Roman"/>
          <w:i/>
          <w:iCs/>
          <w:sz w:val="24"/>
          <w:szCs w:val="24"/>
        </w:rPr>
        <w:t>GQI</w:t>
      </w:r>
      <w:r w:rsidR="004F04F8">
        <w:rPr>
          <w:rFonts w:ascii="Times New Roman" w:hAnsi="Times New Roman" w:cs="Times New Roman"/>
          <w:sz w:val="24"/>
          <w:szCs w:val="24"/>
        </w:rPr>
        <w:t xml:space="preserve"> and </w:t>
      </w:r>
      <w:r w:rsidR="003D5D75">
        <w:rPr>
          <w:rFonts w:ascii="Times New Roman" w:hAnsi="Times New Roman" w:cs="Times New Roman"/>
          <w:i/>
          <w:iCs/>
          <w:sz w:val="24"/>
          <w:szCs w:val="24"/>
        </w:rPr>
        <w:t>SM</w:t>
      </w:r>
      <w:r w:rsidR="004F04F8" w:rsidRPr="004F04F8">
        <w:rPr>
          <w:rFonts w:ascii="Times New Roman" w:hAnsi="Times New Roman" w:cs="Times New Roman"/>
          <w:i/>
          <w:iCs/>
          <w:sz w:val="24"/>
          <w:szCs w:val="24"/>
        </w:rPr>
        <w:t>TED</w:t>
      </w:r>
      <w:r w:rsidR="004F04F8">
        <w:rPr>
          <w:rFonts w:ascii="Times New Roman" w:hAnsi="Times New Roman" w:cs="Times New Roman"/>
          <w:i/>
          <w:iCs/>
          <w:sz w:val="24"/>
          <w:szCs w:val="24"/>
        </w:rPr>
        <w:t>*</w:t>
      </w:r>
      <w:r w:rsidR="003D5D75">
        <w:rPr>
          <w:rFonts w:ascii="Times New Roman" w:hAnsi="Times New Roman" w:cs="Times New Roman"/>
          <w:i/>
          <w:iCs/>
          <w:sz w:val="24"/>
          <w:szCs w:val="24"/>
        </w:rPr>
        <w:t>HE</w:t>
      </w:r>
      <w:r w:rsidR="004F04F8">
        <w:rPr>
          <w:rFonts w:ascii="Times New Roman" w:hAnsi="Times New Roman" w:cs="Times New Roman"/>
          <w:i/>
          <w:iCs/>
          <w:sz w:val="24"/>
          <w:szCs w:val="24"/>
        </w:rPr>
        <w:t>GQI</w:t>
      </w:r>
      <w:r w:rsidR="004F04F8">
        <w:rPr>
          <w:rFonts w:ascii="Times New Roman" w:hAnsi="Times New Roman" w:cs="Times New Roman"/>
          <w:sz w:val="24"/>
          <w:szCs w:val="24"/>
        </w:rPr>
        <w:t xml:space="preserve"> </w:t>
      </w:r>
      <w:r w:rsidR="0063708D">
        <w:rPr>
          <w:rFonts w:ascii="Times New Roman" w:hAnsi="Times New Roman" w:cs="Times New Roman"/>
          <w:sz w:val="24"/>
          <w:szCs w:val="24"/>
        </w:rPr>
        <w:t xml:space="preserve">on </w:t>
      </w:r>
      <w:r w:rsidR="003D5D75" w:rsidRPr="003D5D75">
        <w:rPr>
          <w:rFonts w:ascii="Times New Roman" w:hAnsi="Times New Roman" w:cs="Times New Roman"/>
          <w:i/>
          <w:iCs/>
          <w:sz w:val="24"/>
          <w:szCs w:val="24"/>
        </w:rPr>
        <w:t>HE</w:t>
      </w:r>
      <w:r w:rsidR="0063708D" w:rsidRPr="003D5D75">
        <w:rPr>
          <w:rFonts w:ascii="Times New Roman" w:hAnsi="Times New Roman" w:cs="Times New Roman"/>
          <w:i/>
          <w:iCs/>
          <w:sz w:val="24"/>
          <w:szCs w:val="24"/>
        </w:rPr>
        <w:t>RDI</w:t>
      </w:r>
      <w:r w:rsidR="0063708D">
        <w:rPr>
          <w:rFonts w:ascii="Times New Roman" w:hAnsi="Times New Roman" w:cs="Times New Roman"/>
          <w:i/>
          <w:iCs/>
          <w:sz w:val="24"/>
          <w:szCs w:val="24"/>
        </w:rPr>
        <w:t xml:space="preserve"> </w:t>
      </w:r>
      <w:r w:rsidR="0063708D">
        <w:rPr>
          <w:rFonts w:ascii="Times New Roman" w:hAnsi="Times New Roman" w:cs="Times New Roman"/>
          <w:sz w:val="24"/>
          <w:szCs w:val="24"/>
        </w:rPr>
        <w:t xml:space="preserve">in Models 2-4 of Table </w:t>
      </w:r>
      <w:r w:rsidR="002D5EB1">
        <w:rPr>
          <w:rFonts w:ascii="Times New Roman" w:hAnsi="Times New Roman" w:cs="Times New Roman"/>
          <w:sz w:val="24"/>
          <w:szCs w:val="24"/>
        </w:rPr>
        <w:t>5</w:t>
      </w:r>
      <w:r w:rsidR="005B07AA">
        <w:rPr>
          <w:rFonts w:ascii="Times New Roman" w:hAnsi="Times New Roman" w:cs="Times New Roman"/>
          <w:sz w:val="24"/>
          <w:szCs w:val="24"/>
        </w:rPr>
        <w:t xml:space="preserve"> does not lend support to </w:t>
      </w:r>
      <w:r w:rsidR="005B07AA" w:rsidRPr="005B07AA">
        <w:rPr>
          <w:rFonts w:ascii="Times New Roman" w:hAnsi="Times New Roman" w:cs="Times New Roman"/>
          <w:i/>
          <w:iCs/>
          <w:sz w:val="24"/>
          <w:szCs w:val="24"/>
        </w:rPr>
        <w:t>H2</w:t>
      </w:r>
      <w:r w:rsidR="005B07AA">
        <w:rPr>
          <w:rFonts w:ascii="Times New Roman" w:hAnsi="Times New Roman" w:cs="Times New Roman"/>
          <w:sz w:val="24"/>
          <w:szCs w:val="24"/>
        </w:rPr>
        <w:t>, as well as the findings of past studies (</w:t>
      </w:r>
      <w:r w:rsidR="008D74A5">
        <w:rPr>
          <w:rFonts w:ascii="Times New Roman" w:hAnsi="Times New Roman" w:cs="Times New Roman"/>
          <w:color w:val="000000"/>
          <w:sz w:val="24"/>
          <w:szCs w:val="24"/>
          <w:bdr w:val="none" w:sz="0" w:space="0" w:color="auto" w:frame="1"/>
          <w:shd w:val="clear" w:color="auto" w:fill="FFFFFF"/>
        </w:rPr>
        <w:t>Elmagrhi &amp; Ntim, 2022)</w:t>
      </w:r>
      <w:r w:rsidR="005B07AA">
        <w:rPr>
          <w:rFonts w:ascii="Times New Roman" w:hAnsi="Times New Roman" w:cs="Times New Roman"/>
          <w:sz w:val="24"/>
          <w:szCs w:val="24"/>
        </w:rPr>
        <w:t xml:space="preserve">. The insignificant effects of </w:t>
      </w:r>
      <w:r w:rsidR="003D5D75">
        <w:rPr>
          <w:rFonts w:ascii="Times New Roman" w:hAnsi="Times New Roman" w:cs="Times New Roman"/>
          <w:i/>
          <w:iCs/>
          <w:sz w:val="24"/>
          <w:szCs w:val="24"/>
        </w:rPr>
        <w:t>SMTG</w:t>
      </w:r>
      <w:r w:rsidR="005B07AA" w:rsidRPr="00E50814">
        <w:rPr>
          <w:rFonts w:ascii="Times New Roman" w:hAnsi="Times New Roman" w:cs="Times New Roman"/>
          <w:i/>
          <w:iCs/>
          <w:sz w:val="24"/>
          <w:szCs w:val="24"/>
        </w:rPr>
        <w:t>ED</w:t>
      </w:r>
      <w:r w:rsidR="005B07AA">
        <w:rPr>
          <w:rFonts w:ascii="Times New Roman" w:hAnsi="Times New Roman" w:cs="Times New Roman"/>
          <w:sz w:val="24"/>
          <w:szCs w:val="24"/>
        </w:rPr>
        <w:t xml:space="preserve">, </w:t>
      </w:r>
      <w:r w:rsidR="003D5D75">
        <w:rPr>
          <w:rFonts w:ascii="Times New Roman" w:hAnsi="Times New Roman" w:cs="Times New Roman"/>
          <w:i/>
          <w:iCs/>
          <w:sz w:val="24"/>
          <w:szCs w:val="24"/>
        </w:rPr>
        <w:t>SM</w:t>
      </w:r>
      <w:r w:rsidR="005B07AA" w:rsidRPr="00E50814">
        <w:rPr>
          <w:rFonts w:ascii="Times New Roman" w:hAnsi="Times New Roman" w:cs="Times New Roman"/>
          <w:i/>
          <w:iCs/>
          <w:sz w:val="24"/>
          <w:szCs w:val="24"/>
        </w:rPr>
        <w:t>TGD</w:t>
      </w:r>
      <w:r w:rsidR="005B07AA">
        <w:rPr>
          <w:rFonts w:ascii="Times New Roman" w:hAnsi="Times New Roman" w:cs="Times New Roman"/>
          <w:sz w:val="24"/>
          <w:szCs w:val="24"/>
        </w:rPr>
        <w:t xml:space="preserve"> and </w:t>
      </w:r>
      <w:r w:rsidR="003D5D75">
        <w:rPr>
          <w:rFonts w:ascii="Times New Roman" w:hAnsi="Times New Roman" w:cs="Times New Roman"/>
          <w:i/>
          <w:iCs/>
          <w:sz w:val="24"/>
          <w:szCs w:val="24"/>
        </w:rPr>
        <w:t>SM</w:t>
      </w:r>
      <w:r w:rsidR="005B07AA" w:rsidRPr="00E50814">
        <w:rPr>
          <w:rFonts w:ascii="Times New Roman" w:hAnsi="Times New Roman" w:cs="Times New Roman"/>
          <w:i/>
          <w:iCs/>
          <w:sz w:val="24"/>
          <w:szCs w:val="24"/>
        </w:rPr>
        <w:t>TED</w:t>
      </w:r>
      <w:r w:rsidR="005B07AA">
        <w:rPr>
          <w:rFonts w:ascii="Times New Roman" w:hAnsi="Times New Roman" w:cs="Times New Roman"/>
          <w:sz w:val="24"/>
          <w:szCs w:val="24"/>
        </w:rPr>
        <w:t xml:space="preserve"> </w:t>
      </w:r>
      <w:r w:rsidR="00E50814">
        <w:rPr>
          <w:rFonts w:ascii="Times New Roman" w:hAnsi="Times New Roman" w:cs="Times New Roman"/>
          <w:sz w:val="24"/>
          <w:szCs w:val="24"/>
        </w:rPr>
        <w:t xml:space="preserve">on risk disclosures may </w:t>
      </w:r>
      <w:r w:rsidR="00AF7771">
        <w:rPr>
          <w:rFonts w:ascii="Times New Roman" w:hAnsi="Times New Roman" w:cs="Times New Roman"/>
          <w:sz w:val="24"/>
          <w:szCs w:val="24"/>
        </w:rPr>
        <w:t xml:space="preserve">be </w:t>
      </w:r>
      <w:r w:rsidR="00E50814">
        <w:rPr>
          <w:rFonts w:ascii="Times New Roman" w:hAnsi="Times New Roman" w:cs="Times New Roman"/>
          <w:sz w:val="24"/>
          <w:szCs w:val="24"/>
        </w:rPr>
        <w:t>due to</w:t>
      </w:r>
      <w:r w:rsidR="00AF7771">
        <w:rPr>
          <w:rFonts w:ascii="Times New Roman" w:hAnsi="Times New Roman" w:cs="Times New Roman"/>
          <w:sz w:val="24"/>
          <w:szCs w:val="24"/>
        </w:rPr>
        <w:t xml:space="preserve"> the fact</w:t>
      </w:r>
      <w:r w:rsidR="00E50814">
        <w:rPr>
          <w:rFonts w:ascii="Times New Roman" w:hAnsi="Times New Roman" w:cs="Times New Roman"/>
          <w:sz w:val="24"/>
          <w:szCs w:val="24"/>
        </w:rPr>
        <w:t xml:space="preserve"> that white-males dominate the leadership teams in UK HEIs, with only an average of 25.69% women and 11.36% ethnic minorities</w:t>
      </w:r>
      <w:r w:rsidR="00850D63">
        <w:rPr>
          <w:rFonts w:ascii="Times New Roman" w:hAnsi="Times New Roman" w:cs="Times New Roman"/>
          <w:sz w:val="24"/>
          <w:szCs w:val="24"/>
        </w:rPr>
        <w:t xml:space="preserve"> as shown in Table </w:t>
      </w:r>
      <w:r w:rsidR="002D5EB1">
        <w:rPr>
          <w:rFonts w:ascii="Times New Roman" w:hAnsi="Times New Roman" w:cs="Times New Roman"/>
          <w:sz w:val="24"/>
          <w:szCs w:val="24"/>
        </w:rPr>
        <w:t>3</w:t>
      </w:r>
      <w:r w:rsidR="00850D63">
        <w:rPr>
          <w:rFonts w:ascii="Times New Roman" w:hAnsi="Times New Roman" w:cs="Times New Roman"/>
          <w:sz w:val="24"/>
          <w:szCs w:val="24"/>
        </w:rPr>
        <w:t xml:space="preserve">. </w:t>
      </w:r>
      <w:r w:rsidR="005B4577">
        <w:rPr>
          <w:rFonts w:ascii="Times New Roman" w:hAnsi="Times New Roman" w:cs="Times New Roman"/>
          <w:sz w:val="24"/>
          <w:szCs w:val="24"/>
        </w:rPr>
        <w:t xml:space="preserve">Theoretically, the insignificant effect of gender and ethnic diversity of senior management team is consistent with the view that HEIs may appoint women and ethnic minorities into </w:t>
      </w:r>
      <w:r w:rsidR="005B4577" w:rsidRPr="005B07AA">
        <w:rPr>
          <w:rFonts w:ascii="Times New Roman" w:hAnsi="Times New Roman" w:cs="Times New Roman"/>
          <w:sz w:val="24"/>
          <w:szCs w:val="24"/>
        </w:rPr>
        <w:t>leadership positions for symbolic reasons, including to show that their norms, values and goals are aligned with those of the large</w:t>
      </w:r>
      <w:r w:rsidR="00904E2C">
        <w:rPr>
          <w:rFonts w:ascii="Times New Roman" w:hAnsi="Times New Roman" w:cs="Times New Roman"/>
          <w:sz w:val="24"/>
          <w:szCs w:val="24"/>
        </w:rPr>
        <w:t>r</w:t>
      </w:r>
      <w:r w:rsidR="005B4577" w:rsidRPr="005B07AA">
        <w:rPr>
          <w:rFonts w:ascii="Times New Roman" w:hAnsi="Times New Roman" w:cs="Times New Roman"/>
          <w:sz w:val="24"/>
          <w:szCs w:val="24"/>
        </w:rPr>
        <w:t xml:space="preserve"> community, and hence such executives tend to have less influence on their organisations’ strategic decisions</w:t>
      </w:r>
      <w:r w:rsidR="00614DF7">
        <w:rPr>
          <w:rFonts w:ascii="Times New Roman" w:hAnsi="Times New Roman" w:cs="Times New Roman"/>
          <w:sz w:val="24"/>
          <w:szCs w:val="24"/>
        </w:rPr>
        <w:t>, including those relating to risk disclosure practices</w:t>
      </w:r>
      <w:r w:rsidR="005B4577">
        <w:rPr>
          <w:rFonts w:ascii="Times New Roman" w:hAnsi="Times New Roman" w:cs="Times New Roman"/>
          <w:sz w:val="24"/>
          <w:szCs w:val="24"/>
        </w:rPr>
        <w:t xml:space="preserve"> (</w:t>
      </w:r>
      <w:r w:rsidR="005B4577" w:rsidRPr="005B07AA">
        <w:rPr>
          <w:rFonts w:ascii="Times New Roman" w:hAnsi="Times New Roman" w:cs="Times New Roman"/>
          <w:sz w:val="24"/>
          <w:szCs w:val="24"/>
        </w:rPr>
        <w:t xml:space="preserve">Tomlinson </w:t>
      </w:r>
      <w:r w:rsidR="005B4577">
        <w:rPr>
          <w:rFonts w:ascii="Times New Roman" w:hAnsi="Times New Roman" w:cs="Times New Roman"/>
          <w:sz w:val="24"/>
          <w:szCs w:val="24"/>
        </w:rPr>
        <w:t>&amp;</w:t>
      </w:r>
      <w:r w:rsidR="005B4577" w:rsidRPr="005B07AA">
        <w:rPr>
          <w:rFonts w:ascii="Times New Roman" w:hAnsi="Times New Roman" w:cs="Times New Roman"/>
          <w:sz w:val="24"/>
          <w:szCs w:val="24"/>
        </w:rPr>
        <w:t xml:space="preserve"> Schwabenland</w:t>
      </w:r>
      <w:r w:rsidR="005B4577">
        <w:rPr>
          <w:rFonts w:ascii="Times New Roman" w:hAnsi="Times New Roman" w:cs="Times New Roman"/>
          <w:sz w:val="24"/>
          <w:szCs w:val="24"/>
        </w:rPr>
        <w:t>, 2010)</w:t>
      </w:r>
      <w:r w:rsidR="005B4577" w:rsidRPr="005B07AA">
        <w:rPr>
          <w:rFonts w:ascii="Times New Roman" w:hAnsi="Times New Roman" w:cs="Times New Roman"/>
          <w:sz w:val="24"/>
          <w:szCs w:val="24"/>
        </w:rPr>
        <w:t>.</w:t>
      </w:r>
      <w:r w:rsidR="000936C6">
        <w:rPr>
          <w:rFonts w:ascii="Times New Roman" w:hAnsi="Times New Roman" w:cs="Times New Roman"/>
          <w:sz w:val="24"/>
          <w:szCs w:val="24"/>
        </w:rPr>
        <w:t xml:space="preserve"> Finally, the reported results in Model 5 of Table </w:t>
      </w:r>
      <w:r w:rsidR="002D5EB1">
        <w:rPr>
          <w:rFonts w:ascii="Times New Roman" w:hAnsi="Times New Roman" w:cs="Times New Roman"/>
          <w:sz w:val="24"/>
          <w:szCs w:val="24"/>
        </w:rPr>
        <w:t>5</w:t>
      </w:r>
      <w:r w:rsidR="000936C6">
        <w:rPr>
          <w:rFonts w:ascii="Times New Roman" w:hAnsi="Times New Roman" w:cs="Times New Roman"/>
          <w:sz w:val="24"/>
          <w:szCs w:val="24"/>
        </w:rPr>
        <w:t xml:space="preserve"> indicate that </w:t>
      </w:r>
      <w:r w:rsidR="003D5D75">
        <w:rPr>
          <w:rFonts w:ascii="Times New Roman" w:hAnsi="Times New Roman" w:cs="Times New Roman"/>
          <w:i/>
          <w:iCs/>
          <w:sz w:val="24"/>
          <w:szCs w:val="24"/>
        </w:rPr>
        <w:t>SM</w:t>
      </w:r>
      <w:r w:rsidR="000936C6" w:rsidRPr="000936C6">
        <w:rPr>
          <w:rFonts w:ascii="Times New Roman" w:hAnsi="Times New Roman" w:cs="Times New Roman"/>
          <w:i/>
          <w:iCs/>
          <w:sz w:val="24"/>
          <w:szCs w:val="24"/>
        </w:rPr>
        <w:t>TM</w:t>
      </w:r>
      <w:r w:rsidR="000936C6">
        <w:rPr>
          <w:rFonts w:ascii="Times New Roman" w:hAnsi="Times New Roman" w:cs="Times New Roman"/>
          <w:sz w:val="24"/>
          <w:szCs w:val="24"/>
        </w:rPr>
        <w:t xml:space="preserve"> negatively moderate</w:t>
      </w:r>
      <w:r>
        <w:rPr>
          <w:rFonts w:ascii="Times New Roman" w:hAnsi="Times New Roman" w:cs="Times New Roman"/>
          <w:sz w:val="24"/>
          <w:szCs w:val="24"/>
        </w:rPr>
        <w:t>s the governance</w:t>
      </w:r>
      <w:r w:rsidR="00904E2C">
        <w:rPr>
          <w:rFonts w:ascii="Times New Roman" w:hAnsi="Times New Roman" w:cs="Times New Roman"/>
          <w:sz w:val="24"/>
          <w:szCs w:val="24"/>
        </w:rPr>
        <w:t>–</w:t>
      </w:r>
      <w:r>
        <w:rPr>
          <w:rFonts w:ascii="Times New Roman" w:hAnsi="Times New Roman" w:cs="Times New Roman"/>
          <w:sz w:val="24"/>
          <w:szCs w:val="24"/>
        </w:rPr>
        <w:t xml:space="preserve">risk disclosures nexus, which implies that </w:t>
      </w:r>
      <w:r w:rsidRPr="006140B4">
        <w:rPr>
          <w:rFonts w:ascii="Times New Roman" w:hAnsi="Times New Roman" w:cs="Times New Roman"/>
          <w:i/>
          <w:iCs/>
          <w:sz w:val="24"/>
          <w:szCs w:val="24"/>
        </w:rPr>
        <w:t>H2</w:t>
      </w:r>
      <w:r>
        <w:rPr>
          <w:rFonts w:ascii="Times New Roman" w:hAnsi="Times New Roman" w:cs="Times New Roman"/>
          <w:sz w:val="24"/>
          <w:szCs w:val="24"/>
        </w:rPr>
        <w:t xml:space="preserve"> is partially supported. This negative moderating effect of </w:t>
      </w:r>
      <w:r w:rsidR="003D5D75">
        <w:rPr>
          <w:rFonts w:ascii="Times New Roman" w:hAnsi="Times New Roman" w:cs="Times New Roman"/>
          <w:i/>
          <w:iCs/>
          <w:sz w:val="24"/>
          <w:szCs w:val="24"/>
        </w:rPr>
        <w:t>SM</w:t>
      </w:r>
      <w:r w:rsidRPr="00BD6023">
        <w:rPr>
          <w:rFonts w:ascii="Times New Roman" w:hAnsi="Times New Roman" w:cs="Times New Roman"/>
          <w:i/>
          <w:iCs/>
          <w:sz w:val="24"/>
          <w:szCs w:val="24"/>
        </w:rPr>
        <w:t>TM</w:t>
      </w:r>
      <w:r>
        <w:rPr>
          <w:rFonts w:ascii="Times New Roman" w:hAnsi="Times New Roman" w:cs="Times New Roman"/>
          <w:sz w:val="24"/>
          <w:szCs w:val="24"/>
        </w:rPr>
        <w:t xml:space="preserve"> lends support to the expectation that regular meetings </w:t>
      </w:r>
      <w:r w:rsidR="00C53EE5">
        <w:rPr>
          <w:rFonts w:ascii="Times New Roman" w:hAnsi="Times New Roman" w:cs="Times New Roman"/>
          <w:sz w:val="24"/>
          <w:szCs w:val="24"/>
        </w:rPr>
        <w:t xml:space="preserve">tend to </w:t>
      </w:r>
      <w:r w:rsidRPr="00BD6023">
        <w:rPr>
          <w:rFonts w:ascii="Times New Roman" w:hAnsi="Times New Roman" w:cs="Times New Roman"/>
          <w:sz w:val="24"/>
          <w:szCs w:val="24"/>
        </w:rPr>
        <w:t>diminish managerial monitoring effectiveness by increasing the possibility of disagreement among the leadership team members</w:t>
      </w:r>
      <w:r>
        <w:rPr>
          <w:rFonts w:ascii="Times New Roman" w:hAnsi="Times New Roman" w:cs="Times New Roman"/>
          <w:sz w:val="24"/>
          <w:szCs w:val="24"/>
        </w:rPr>
        <w:t xml:space="preserve"> </w:t>
      </w:r>
      <w:r w:rsidRPr="00BD6023">
        <w:rPr>
          <w:rFonts w:ascii="Times New Roman" w:hAnsi="Times New Roman" w:cs="Times New Roman"/>
          <w:sz w:val="24"/>
          <w:szCs w:val="24"/>
        </w:rPr>
        <w:t>Vafeas (1999)</w:t>
      </w:r>
      <w:r>
        <w:rPr>
          <w:rFonts w:ascii="Times New Roman" w:hAnsi="Times New Roman" w:cs="Times New Roman"/>
          <w:sz w:val="24"/>
          <w:szCs w:val="24"/>
        </w:rPr>
        <w:t xml:space="preserve">, </w:t>
      </w:r>
      <w:r w:rsidRPr="00BD6023">
        <w:rPr>
          <w:rFonts w:ascii="Times New Roman" w:hAnsi="Times New Roman" w:cs="Times New Roman"/>
          <w:sz w:val="24"/>
          <w:szCs w:val="24"/>
        </w:rPr>
        <w:t xml:space="preserve">and this can have detrimental impact on risk disclosure practices.  </w:t>
      </w:r>
    </w:p>
    <w:p w14:paraId="546BBA04" w14:textId="6BE97373" w:rsidR="005753F2" w:rsidRPr="00356ADA" w:rsidRDefault="005753F2" w:rsidP="005753F2">
      <w:pPr>
        <w:spacing w:after="0" w:line="240" w:lineRule="auto"/>
        <w:jc w:val="center"/>
        <w:rPr>
          <w:rFonts w:ascii="Times New Roman" w:hAnsi="Times New Roman" w:cs="Times New Roman"/>
          <w:i/>
          <w:sz w:val="24"/>
          <w:szCs w:val="24"/>
        </w:rPr>
      </w:pPr>
      <w:r w:rsidRPr="00356ADA">
        <w:rPr>
          <w:rFonts w:ascii="Times New Roman" w:hAnsi="Times New Roman" w:cs="Times New Roman"/>
          <w:i/>
          <w:sz w:val="24"/>
          <w:szCs w:val="24"/>
        </w:rPr>
        <w:t xml:space="preserve">Table </w:t>
      </w:r>
      <w:r w:rsidR="003D5D75">
        <w:rPr>
          <w:rFonts w:ascii="Times New Roman" w:hAnsi="Times New Roman" w:cs="Times New Roman"/>
          <w:i/>
          <w:sz w:val="24"/>
          <w:szCs w:val="24"/>
        </w:rPr>
        <w:t>5</w:t>
      </w:r>
      <w:r w:rsidRPr="00356ADA">
        <w:rPr>
          <w:rFonts w:ascii="Times New Roman" w:hAnsi="Times New Roman" w:cs="Times New Roman"/>
          <w:i/>
          <w:sz w:val="24"/>
          <w:szCs w:val="24"/>
        </w:rPr>
        <w:t xml:space="preserve"> around here</w:t>
      </w:r>
    </w:p>
    <w:p w14:paraId="52C42CA6" w14:textId="6FE31F0C" w:rsidR="00BA3027" w:rsidRPr="00356ADA" w:rsidRDefault="00BA3027" w:rsidP="003C19E4">
      <w:pPr>
        <w:spacing w:after="0" w:line="240" w:lineRule="auto"/>
        <w:rPr>
          <w:rFonts w:ascii="Times New Roman" w:hAnsi="Times New Roman" w:cs="Times New Roman"/>
          <w:sz w:val="24"/>
          <w:szCs w:val="24"/>
        </w:rPr>
      </w:pPr>
    </w:p>
    <w:p w14:paraId="7191B4B1" w14:textId="2CDED7B2" w:rsidR="008C0A68" w:rsidRPr="00356ADA" w:rsidRDefault="008C0A68" w:rsidP="00A03A45">
      <w:pPr>
        <w:pStyle w:val="ListParagraph"/>
        <w:numPr>
          <w:ilvl w:val="1"/>
          <w:numId w:val="21"/>
        </w:numPr>
        <w:spacing w:after="0" w:line="240" w:lineRule="auto"/>
        <w:ind w:left="426" w:hanging="426"/>
        <w:rPr>
          <w:rFonts w:ascii="Times New Roman" w:hAnsi="Times New Roman" w:cs="Times New Roman"/>
          <w:b/>
          <w:bCs/>
          <w:i/>
          <w:iCs/>
          <w:sz w:val="24"/>
          <w:szCs w:val="24"/>
        </w:rPr>
      </w:pPr>
      <w:r w:rsidRPr="00356ADA">
        <w:rPr>
          <w:rFonts w:ascii="Times New Roman" w:hAnsi="Times New Roman" w:cs="Times New Roman"/>
          <w:b/>
          <w:bCs/>
          <w:i/>
          <w:iCs/>
          <w:sz w:val="24"/>
          <w:szCs w:val="24"/>
        </w:rPr>
        <w:t xml:space="preserve">Robustness </w:t>
      </w:r>
      <w:r w:rsidR="008648EA" w:rsidRPr="00356ADA">
        <w:rPr>
          <w:rFonts w:ascii="Times New Roman" w:hAnsi="Times New Roman" w:cs="Times New Roman"/>
          <w:b/>
          <w:bCs/>
          <w:i/>
          <w:iCs/>
          <w:sz w:val="24"/>
          <w:szCs w:val="24"/>
        </w:rPr>
        <w:t>tests</w:t>
      </w:r>
      <w:r w:rsidRPr="00356ADA">
        <w:rPr>
          <w:rFonts w:ascii="Times New Roman" w:hAnsi="Times New Roman" w:cs="Times New Roman"/>
          <w:b/>
          <w:bCs/>
          <w:i/>
          <w:iCs/>
          <w:sz w:val="24"/>
          <w:szCs w:val="24"/>
        </w:rPr>
        <w:t xml:space="preserve"> </w:t>
      </w:r>
    </w:p>
    <w:p w14:paraId="41E7B3D0" w14:textId="7F396B9E" w:rsidR="00D33E48" w:rsidRPr="00356ADA" w:rsidRDefault="00876D89" w:rsidP="001B0900">
      <w:pPr>
        <w:spacing w:after="0" w:line="240" w:lineRule="auto"/>
        <w:ind w:firstLine="720"/>
        <w:jc w:val="both"/>
        <w:rPr>
          <w:rFonts w:ascii="Times New Roman" w:hAnsi="Times New Roman" w:cs="Times New Roman"/>
          <w:sz w:val="24"/>
          <w:szCs w:val="24"/>
        </w:rPr>
      </w:pPr>
      <w:r w:rsidRPr="00356ADA">
        <w:rPr>
          <w:rFonts w:ascii="Times New Roman" w:hAnsi="Times New Roman" w:cs="Times New Roman"/>
          <w:sz w:val="24"/>
          <w:szCs w:val="24"/>
        </w:rPr>
        <w:t xml:space="preserve"> </w:t>
      </w:r>
    </w:p>
    <w:p w14:paraId="378497F7" w14:textId="3E3479C7" w:rsidR="001D18DE" w:rsidRDefault="008C0A68" w:rsidP="00FD0140">
      <w:pPr>
        <w:spacing w:after="0" w:line="240" w:lineRule="auto"/>
        <w:jc w:val="both"/>
        <w:rPr>
          <w:rFonts w:asciiTheme="majorBidi" w:hAnsiTheme="majorBidi" w:cstheme="majorBidi"/>
          <w:sz w:val="24"/>
          <w:szCs w:val="24"/>
        </w:rPr>
      </w:pPr>
      <w:r w:rsidRPr="00356ADA">
        <w:rPr>
          <w:rFonts w:asciiTheme="majorBidi" w:hAnsiTheme="majorBidi" w:cstheme="majorBidi"/>
          <w:sz w:val="24"/>
          <w:szCs w:val="24"/>
        </w:rPr>
        <w:t xml:space="preserve">We </w:t>
      </w:r>
      <w:r w:rsidR="008648EA" w:rsidRPr="00356ADA">
        <w:rPr>
          <w:rFonts w:ascii="Times New Roman" w:hAnsi="Times New Roman" w:cs="Times New Roman"/>
          <w:sz w:val="24"/>
          <w:szCs w:val="24"/>
        </w:rPr>
        <w:t>perform</w:t>
      </w:r>
      <w:r w:rsidR="008648EA" w:rsidRPr="00356ADA">
        <w:rPr>
          <w:rFonts w:asciiTheme="majorBidi" w:hAnsiTheme="majorBidi" w:cstheme="majorBidi"/>
          <w:sz w:val="24"/>
          <w:szCs w:val="24"/>
        </w:rPr>
        <w:t xml:space="preserve"> additional tests </w:t>
      </w:r>
      <w:r w:rsidR="00291B0E" w:rsidRPr="00356ADA">
        <w:rPr>
          <w:rFonts w:asciiTheme="majorBidi" w:hAnsiTheme="majorBidi" w:cstheme="majorBidi"/>
          <w:sz w:val="24"/>
          <w:szCs w:val="24"/>
        </w:rPr>
        <w:t xml:space="preserve">to make sure that our </w:t>
      </w:r>
      <w:r w:rsidR="000215E6" w:rsidRPr="00356ADA">
        <w:rPr>
          <w:rFonts w:asciiTheme="majorBidi" w:hAnsiTheme="majorBidi" w:cstheme="majorBidi"/>
          <w:sz w:val="24"/>
          <w:szCs w:val="24"/>
        </w:rPr>
        <w:t>main findings are not affect</w:t>
      </w:r>
      <w:r w:rsidR="00904E2C">
        <w:rPr>
          <w:rFonts w:asciiTheme="majorBidi" w:hAnsiTheme="majorBidi" w:cstheme="majorBidi"/>
          <w:sz w:val="24"/>
          <w:szCs w:val="24"/>
        </w:rPr>
        <w:t>ed by</w:t>
      </w:r>
      <w:r w:rsidR="000215E6" w:rsidRPr="00356ADA">
        <w:rPr>
          <w:rFonts w:asciiTheme="majorBidi" w:hAnsiTheme="majorBidi" w:cstheme="majorBidi"/>
          <w:sz w:val="24"/>
          <w:szCs w:val="24"/>
        </w:rPr>
        <w:t xml:space="preserve"> various types of endogeneities. First</w:t>
      </w:r>
      <w:r w:rsidR="000215E6" w:rsidRPr="00FD0140">
        <w:rPr>
          <w:rFonts w:asciiTheme="majorBidi" w:hAnsiTheme="majorBidi" w:cstheme="majorBidi"/>
          <w:sz w:val="24"/>
          <w:szCs w:val="24"/>
        </w:rPr>
        <w:t xml:space="preserve">, </w:t>
      </w:r>
      <w:r w:rsidR="00C424D0" w:rsidRPr="00FD0140">
        <w:rPr>
          <w:rFonts w:asciiTheme="majorBidi" w:hAnsiTheme="majorBidi" w:cstheme="majorBidi"/>
          <w:sz w:val="24"/>
          <w:szCs w:val="24"/>
        </w:rPr>
        <w:t xml:space="preserve">to control for </w:t>
      </w:r>
      <w:r w:rsidR="00BA0F0C">
        <w:rPr>
          <w:rFonts w:asciiTheme="majorBidi" w:hAnsiTheme="majorBidi" w:cstheme="majorBidi"/>
          <w:sz w:val="24"/>
          <w:szCs w:val="24"/>
        </w:rPr>
        <w:t xml:space="preserve">potential </w:t>
      </w:r>
      <w:r w:rsidR="00C424D0" w:rsidRPr="00FD0140">
        <w:rPr>
          <w:rFonts w:asciiTheme="majorBidi" w:hAnsiTheme="majorBidi" w:cstheme="majorBidi"/>
          <w:sz w:val="24"/>
          <w:szCs w:val="24"/>
        </w:rPr>
        <w:t>unmeasured HEI-specific differences (e.g., operational, cultural and managerial differences)</w:t>
      </w:r>
      <w:r w:rsidR="00C424D0" w:rsidRPr="008708F4">
        <w:rPr>
          <w:rFonts w:asciiTheme="majorBidi" w:hAnsiTheme="majorBidi" w:cstheme="majorBidi"/>
          <w:sz w:val="24"/>
          <w:szCs w:val="24"/>
        </w:rPr>
        <w:t xml:space="preserve"> that can dynamically/jointly determine both </w:t>
      </w:r>
      <w:r w:rsidR="003D5D75">
        <w:rPr>
          <w:rFonts w:asciiTheme="majorBidi" w:hAnsiTheme="majorBidi" w:cstheme="majorBidi"/>
          <w:i/>
          <w:iCs/>
          <w:sz w:val="24"/>
          <w:szCs w:val="24"/>
        </w:rPr>
        <w:t>HE</w:t>
      </w:r>
      <w:r w:rsidR="00C424D0" w:rsidRPr="008708F4">
        <w:rPr>
          <w:rFonts w:asciiTheme="majorBidi" w:hAnsiTheme="majorBidi" w:cstheme="majorBidi"/>
          <w:i/>
          <w:iCs/>
          <w:sz w:val="24"/>
          <w:szCs w:val="24"/>
        </w:rPr>
        <w:t xml:space="preserve">GQI </w:t>
      </w:r>
      <w:r w:rsidR="00C424D0" w:rsidRPr="00FD0140">
        <w:rPr>
          <w:rFonts w:asciiTheme="majorBidi" w:hAnsiTheme="majorBidi" w:cstheme="majorBidi"/>
          <w:sz w:val="24"/>
          <w:szCs w:val="24"/>
        </w:rPr>
        <w:t xml:space="preserve">and </w:t>
      </w:r>
      <w:r w:rsidR="003D5D75">
        <w:rPr>
          <w:rFonts w:asciiTheme="majorBidi" w:hAnsiTheme="majorBidi" w:cstheme="majorBidi"/>
          <w:i/>
          <w:iCs/>
          <w:sz w:val="24"/>
          <w:szCs w:val="24"/>
        </w:rPr>
        <w:t>HE</w:t>
      </w:r>
      <w:r w:rsidR="00C424D0" w:rsidRPr="00FD0140">
        <w:rPr>
          <w:rFonts w:asciiTheme="majorBidi" w:hAnsiTheme="majorBidi" w:cstheme="majorBidi"/>
          <w:i/>
          <w:iCs/>
          <w:sz w:val="24"/>
          <w:szCs w:val="24"/>
        </w:rPr>
        <w:t>RDI</w:t>
      </w:r>
      <w:r w:rsidR="00C424D0" w:rsidRPr="00FD0140">
        <w:rPr>
          <w:rFonts w:asciiTheme="majorBidi" w:hAnsiTheme="majorBidi" w:cstheme="majorBidi"/>
          <w:sz w:val="24"/>
          <w:szCs w:val="24"/>
        </w:rPr>
        <w:t xml:space="preserve">, and following prior studies (Ntim et al., 2017), </w:t>
      </w:r>
      <w:r w:rsidR="00C424D0" w:rsidRPr="00FD0140">
        <w:rPr>
          <w:rFonts w:ascii="Times New Roman" w:hAnsi="Times New Roman" w:cs="Times New Roman"/>
          <w:bCs/>
          <w:color w:val="000000"/>
          <w:sz w:val="24"/>
          <w:szCs w:val="24"/>
          <w:lang w:eastAsia="en-GB"/>
        </w:rPr>
        <w:t xml:space="preserve">we implemented Hausman </w:t>
      </w:r>
      <w:r w:rsidR="00C424D0" w:rsidRPr="00FD0140">
        <w:rPr>
          <w:rFonts w:ascii="Times New Roman" w:hAnsi="Times New Roman" w:cs="Times New Roman"/>
          <w:bCs/>
          <w:color w:val="000000"/>
          <w:sz w:val="24"/>
          <w:szCs w:val="24"/>
          <w:lang w:eastAsia="en-GB"/>
        </w:rPr>
        <w:lastRenderedPageBreak/>
        <w:t xml:space="preserve">test, which suggested that </w:t>
      </w:r>
      <w:r w:rsidR="001D18DE">
        <w:rPr>
          <w:rFonts w:ascii="Times New Roman" w:hAnsi="Times New Roman" w:cs="Times New Roman"/>
          <w:bCs/>
          <w:color w:val="000000"/>
          <w:sz w:val="24"/>
          <w:szCs w:val="24"/>
          <w:lang w:eastAsia="en-GB"/>
        </w:rPr>
        <w:t>fixed</w:t>
      </w:r>
      <w:r w:rsidR="00C424D0" w:rsidRPr="00FD0140">
        <w:rPr>
          <w:rFonts w:ascii="Times New Roman" w:hAnsi="Times New Roman" w:cs="Times New Roman"/>
          <w:bCs/>
          <w:color w:val="000000"/>
          <w:sz w:val="24"/>
          <w:szCs w:val="24"/>
          <w:lang w:eastAsia="en-GB"/>
        </w:rPr>
        <w:t xml:space="preserve">-effects model to be more appropriate for our data in comparison with </w:t>
      </w:r>
      <w:r w:rsidR="001D18DE">
        <w:rPr>
          <w:rFonts w:ascii="Times New Roman" w:hAnsi="Times New Roman" w:cs="Times New Roman"/>
          <w:bCs/>
          <w:color w:val="000000"/>
          <w:sz w:val="24"/>
          <w:szCs w:val="24"/>
          <w:lang w:eastAsia="en-GB"/>
        </w:rPr>
        <w:t>random</w:t>
      </w:r>
      <w:r w:rsidR="00C424D0" w:rsidRPr="00FD0140">
        <w:rPr>
          <w:rFonts w:ascii="Times New Roman" w:hAnsi="Times New Roman" w:cs="Times New Roman"/>
          <w:bCs/>
          <w:color w:val="000000"/>
          <w:sz w:val="24"/>
          <w:szCs w:val="24"/>
          <w:lang w:eastAsia="en-GB"/>
        </w:rPr>
        <w:t xml:space="preserve">-effects model. The findings presented in Table </w:t>
      </w:r>
      <w:r w:rsidR="003D5D75">
        <w:rPr>
          <w:rFonts w:ascii="Times New Roman" w:hAnsi="Times New Roman" w:cs="Times New Roman"/>
          <w:bCs/>
          <w:color w:val="000000"/>
          <w:sz w:val="24"/>
          <w:szCs w:val="24"/>
          <w:lang w:eastAsia="en-GB"/>
        </w:rPr>
        <w:t>6</w:t>
      </w:r>
      <w:r w:rsidR="00C424D0" w:rsidRPr="00FD0140">
        <w:rPr>
          <w:rFonts w:ascii="Times New Roman" w:hAnsi="Times New Roman" w:cs="Times New Roman"/>
          <w:bCs/>
          <w:color w:val="000000"/>
          <w:sz w:val="24"/>
          <w:szCs w:val="24"/>
          <w:lang w:eastAsia="en-GB"/>
        </w:rPr>
        <w:t xml:space="preserve"> (Model 1) are relatively similar to those reported in Table </w:t>
      </w:r>
      <w:r w:rsidR="003C30D2">
        <w:rPr>
          <w:rFonts w:ascii="Times New Roman" w:hAnsi="Times New Roman" w:cs="Times New Roman"/>
          <w:bCs/>
          <w:color w:val="000000"/>
          <w:sz w:val="24"/>
          <w:szCs w:val="24"/>
          <w:lang w:eastAsia="en-GB"/>
        </w:rPr>
        <w:t>4</w:t>
      </w:r>
      <w:r w:rsidR="00C424D0" w:rsidRPr="00FD0140">
        <w:rPr>
          <w:rFonts w:ascii="Times New Roman" w:hAnsi="Times New Roman" w:cs="Times New Roman"/>
          <w:bCs/>
          <w:color w:val="000000"/>
          <w:sz w:val="24"/>
          <w:szCs w:val="24"/>
          <w:lang w:eastAsia="en-GB"/>
        </w:rPr>
        <w:t xml:space="preserve"> (Model 1), implying that our results </w:t>
      </w:r>
      <w:r w:rsidR="00BA0F0C">
        <w:rPr>
          <w:rFonts w:ascii="Times New Roman" w:hAnsi="Times New Roman" w:cs="Times New Roman"/>
          <w:bCs/>
          <w:color w:val="000000"/>
          <w:sz w:val="24"/>
          <w:szCs w:val="24"/>
          <w:lang w:eastAsia="en-GB"/>
        </w:rPr>
        <w:t>do</w:t>
      </w:r>
      <w:r w:rsidR="00C424D0" w:rsidRPr="00FD0140">
        <w:rPr>
          <w:rFonts w:ascii="Times New Roman" w:hAnsi="Times New Roman" w:cs="Times New Roman"/>
          <w:bCs/>
          <w:color w:val="000000"/>
          <w:sz w:val="24"/>
          <w:szCs w:val="24"/>
          <w:lang w:eastAsia="en-GB"/>
        </w:rPr>
        <w:t xml:space="preserve"> not </w:t>
      </w:r>
      <w:r w:rsidR="00BA0F0C">
        <w:rPr>
          <w:rFonts w:ascii="Times New Roman" w:hAnsi="Times New Roman" w:cs="Times New Roman"/>
          <w:bCs/>
          <w:color w:val="000000"/>
          <w:sz w:val="24"/>
          <w:szCs w:val="24"/>
          <w:lang w:eastAsia="en-GB"/>
        </w:rPr>
        <w:t xml:space="preserve">appear to be </w:t>
      </w:r>
      <w:r w:rsidR="00C424D0" w:rsidRPr="00FD0140">
        <w:rPr>
          <w:rFonts w:ascii="Times New Roman" w:hAnsi="Times New Roman" w:cs="Times New Roman"/>
          <w:bCs/>
          <w:color w:val="000000"/>
          <w:sz w:val="24"/>
          <w:szCs w:val="24"/>
          <w:lang w:eastAsia="en-GB"/>
        </w:rPr>
        <w:t xml:space="preserve">influenced by </w:t>
      </w:r>
      <w:r w:rsidR="00BA0F0C">
        <w:rPr>
          <w:rFonts w:ascii="Times New Roman" w:hAnsi="Times New Roman" w:cs="Times New Roman"/>
          <w:bCs/>
          <w:color w:val="000000"/>
          <w:sz w:val="24"/>
          <w:szCs w:val="24"/>
          <w:lang w:eastAsia="en-GB"/>
        </w:rPr>
        <w:t xml:space="preserve">potential </w:t>
      </w:r>
      <w:r w:rsidR="00C424D0" w:rsidRPr="00FD0140">
        <w:rPr>
          <w:rFonts w:ascii="Times New Roman" w:hAnsi="Times New Roman" w:cs="Times New Roman"/>
          <w:bCs/>
          <w:color w:val="000000"/>
          <w:sz w:val="24"/>
          <w:szCs w:val="24"/>
          <w:lang w:eastAsia="en-GB"/>
        </w:rPr>
        <w:t xml:space="preserve">unmeasured HEI-specific differences. </w:t>
      </w:r>
      <w:r w:rsidR="00C424D0" w:rsidRPr="001D18DE">
        <w:rPr>
          <w:rFonts w:ascii="Times New Roman" w:hAnsi="Times New Roman" w:cs="Times New Roman"/>
          <w:bCs/>
          <w:sz w:val="24"/>
          <w:szCs w:val="24"/>
          <w:lang w:eastAsia="en-GB"/>
        </w:rPr>
        <w:t xml:space="preserve">Second, </w:t>
      </w:r>
      <w:r w:rsidR="000C601D" w:rsidRPr="001D18DE">
        <w:rPr>
          <w:rFonts w:asciiTheme="majorBidi" w:hAnsiTheme="majorBidi" w:cstheme="majorBidi"/>
          <w:sz w:val="24"/>
          <w:szCs w:val="24"/>
        </w:rPr>
        <w:t xml:space="preserve">to control for reverse causality bias between </w:t>
      </w:r>
      <w:r w:rsidR="003D5D75">
        <w:rPr>
          <w:rFonts w:asciiTheme="majorBidi" w:hAnsiTheme="majorBidi" w:cstheme="majorBidi"/>
          <w:i/>
          <w:iCs/>
          <w:sz w:val="24"/>
          <w:szCs w:val="24"/>
        </w:rPr>
        <w:t>HE</w:t>
      </w:r>
      <w:r w:rsidR="000C601D" w:rsidRPr="001D18DE">
        <w:rPr>
          <w:rFonts w:asciiTheme="majorBidi" w:hAnsiTheme="majorBidi" w:cstheme="majorBidi"/>
          <w:i/>
          <w:iCs/>
          <w:sz w:val="24"/>
          <w:szCs w:val="24"/>
        </w:rPr>
        <w:t xml:space="preserve">GQI </w:t>
      </w:r>
      <w:r w:rsidR="000C601D" w:rsidRPr="001D18DE">
        <w:rPr>
          <w:rFonts w:asciiTheme="majorBidi" w:hAnsiTheme="majorBidi" w:cstheme="majorBidi"/>
          <w:sz w:val="24"/>
          <w:szCs w:val="24"/>
        </w:rPr>
        <w:t xml:space="preserve">and </w:t>
      </w:r>
      <w:r w:rsidR="003D5D75">
        <w:rPr>
          <w:rFonts w:asciiTheme="majorBidi" w:hAnsiTheme="majorBidi" w:cstheme="majorBidi"/>
          <w:i/>
          <w:iCs/>
          <w:sz w:val="24"/>
          <w:szCs w:val="24"/>
        </w:rPr>
        <w:t>HE</w:t>
      </w:r>
      <w:r w:rsidR="000C601D" w:rsidRPr="001D18DE">
        <w:rPr>
          <w:rFonts w:asciiTheme="majorBidi" w:hAnsiTheme="majorBidi" w:cstheme="majorBidi"/>
          <w:i/>
          <w:iCs/>
          <w:sz w:val="24"/>
          <w:szCs w:val="24"/>
        </w:rPr>
        <w:t>RDI</w:t>
      </w:r>
      <w:r w:rsidR="000C601D" w:rsidRPr="001D18DE">
        <w:rPr>
          <w:rFonts w:asciiTheme="majorBidi" w:hAnsiTheme="majorBidi" w:cstheme="majorBidi"/>
          <w:sz w:val="24"/>
          <w:szCs w:val="24"/>
        </w:rPr>
        <w:t xml:space="preserve">, as well as to prevent correlation between </w:t>
      </w:r>
      <w:r w:rsidR="003C30D2">
        <w:rPr>
          <w:rFonts w:asciiTheme="majorBidi" w:hAnsiTheme="majorBidi" w:cstheme="majorBidi"/>
          <w:i/>
          <w:iCs/>
          <w:sz w:val="24"/>
          <w:szCs w:val="24"/>
        </w:rPr>
        <w:t>HE</w:t>
      </w:r>
      <w:r w:rsidR="000C601D" w:rsidRPr="001D18DE">
        <w:rPr>
          <w:rFonts w:asciiTheme="majorBidi" w:hAnsiTheme="majorBidi" w:cstheme="majorBidi"/>
          <w:i/>
          <w:iCs/>
          <w:sz w:val="24"/>
          <w:szCs w:val="24"/>
        </w:rPr>
        <w:t xml:space="preserve">GQI </w:t>
      </w:r>
      <w:r w:rsidR="000C601D" w:rsidRPr="001D18DE">
        <w:rPr>
          <w:rFonts w:asciiTheme="majorBidi" w:hAnsiTheme="majorBidi" w:cstheme="majorBidi"/>
          <w:sz w:val="24"/>
          <w:szCs w:val="24"/>
        </w:rPr>
        <w:t xml:space="preserve">and the error terms, we replicate Model 1 (Table </w:t>
      </w:r>
      <w:r w:rsidR="003C30D2">
        <w:rPr>
          <w:rFonts w:asciiTheme="majorBidi" w:hAnsiTheme="majorBidi" w:cstheme="majorBidi"/>
          <w:sz w:val="24"/>
          <w:szCs w:val="24"/>
        </w:rPr>
        <w:t>4</w:t>
      </w:r>
      <w:r w:rsidR="000C601D" w:rsidRPr="001D18DE">
        <w:rPr>
          <w:rFonts w:asciiTheme="majorBidi" w:hAnsiTheme="majorBidi" w:cstheme="majorBidi"/>
          <w:sz w:val="24"/>
          <w:szCs w:val="24"/>
        </w:rPr>
        <w:t xml:space="preserve">) by using one-year lagged values for all independent and control variables. The coefficients of the lagged-effect model presented </w:t>
      </w:r>
      <w:r w:rsidR="000C601D" w:rsidRPr="00356ADA">
        <w:rPr>
          <w:rFonts w:asciiTheme="majorBidi" w:hAnsiTheme="majorBidi" w:cstheme="majorBidi"/>
          <w:sz w:val="24"/>
          <w:szCs w:val="24"/>
        </w:rPr>
        <w:t xml:space="preserve">in Table </w:t>
      </w:r>
      <w:r w:rsidR="003C30D2">
        <w:rPr>
          <w:rFonts w:asciiTheme="majorBidi" w:hAnsiTheme="majorBidi" w:cstheme="majorBidi"/>
          <w:sz w:val="24"/>
          <w:szCs w:val="24"/>
        </w:rPr>
        <w:t>6</w:t>
      </w:r>
      <w:r w:rsidR="000C601D" w:rsidRPr="00356ADA">
        <w:rPr>
          <w:rFonts w:asciiTheme="majorBidi" w:hAnsiTheme="majorBidi" w:cstheme="majorBidi"/>
          <w:sz w:val="24"/>
          <w:szCs w:val="24"/>
        </w:rPr>
        <w:t xml:space="preserve"> (Model 2) remain very similar to what we have reported in Table </w:t>
      </w:r>
      <w:r w:rsidR="003C30D2">
        <w:rPr>
          <w:rFonts w:asciiTheme="majorBidi" w:hAnsiTheme="majorBidi" w:cstheme="majorBidi"/>
          <w:sz w:val="24"/>
          <w:szCs w:val="24"/>
        </w:rPr>
        <w:t>4</w:t>
      </w:r>
      <w:r w:rsidR="000C601D" w:rsidRPr="00356ADA">
        <w:rPr>
          <w:rFonts w:asciiTheme="majorBidi" w:hAnsiTheme="majorBidi" w:cstheme="majorBidi"/>
          <w:sz w:val="24"/>
          <w:szCs w:val="24"/>
        </w:rPr>
        <w:t xml:space="preserve"> (Model 1), and hence our findings hold for</w:t>
      </w:r>
      <w:r w:rsidR="005B2613">
        <w:rPr>
          <w:rFonts w:asciiTheme="majorBidi" w:hAnsiTheme="majorBidi" w:cstheme="majorBidi"/>
          <w:sz w:val="24"/>
          <w:szCs w:val="24"/>
        </w:rPr>
        <w:t xml:space="preserve"> using</w:t>
      </w:r>
      <w:r w:rsidR="000C601D" w:rsidRPr="00356ADA">
        <w:rPr>
          <w:rFonts w:asciiTheme="majorBidi" w:hAnsiTheme="majorBidi" w:cstheme="majorBidi"/>
          <w:sz w:val="24"/>
          <w:szCs w:val="24"/>
        </w:rPr>
        <w:t xml:space="preserve"> lagged-structure model. </w:t>
      </w:r>
      <w:r w:rsidR="001D18DE">
        <w:rPr>
          <w:rFonts w:asciiTheme="majorBidi" w:hAnsiTheme="majorBidi" w:cstheme="majorBidi"/>
          <w:sz w:val="24"/>
          <w:szCs w:val="24"/>
        </w:rPr>
        <w:t>Finally, and to</w:t>
      </w:r>
      <w:r w:rsidR="00C424D0" w:rsidRPr="00356ADA">
        <w:rPr>
          <w:rFonts w:asciiTheme="majorBidi" w:hAnsiTheme="majorBidi" w:cstheme="majorBidi"/>
          <w:sz w:val="24"/>
          <w:szCs w:val="24"/>
        </w:rPr>
        <w:t xml:space="preserve"> deal with any potential omitted variable</w:t>
      </w:r>
      <w:r w:rsidR="001D18DE">
        <w:rPr>
          <w:rFonts w:asciiTheme="majorBidi" w:hAnsiTheme="majorBidi" w:cstheme="majorBidi"/>
          <w:sz w:val="24"/>
          <w:szCs w:val="24"/>
        </w:rPr>
        <w:t xml:space="preserve">, </w:t>
      </w:r>
      <w:r w:rsidR="00C424D0" w:rsidRPr="00356ADA">
        <w:rPr>
          <w:rFonts w:asciiTheme="majorBidi" w:hAnsiTheme="majorBidi" w:cstheme="majorBidi"/>
          <w:sz w:val="24"/>
          <w:szCs w:val="24"/>
        </w:rPr>
        <w:t xml:space="preserve">simultaneity </w:t>
      </w:r>
      <w:r w:rsidR="001D18DE">
        <w:rPr>
          <w:rFonts w:asciiTheme="majorBidi" w:hAnsiTheme="majorBidi" w:cstheme="majorBidi"/>
          <w:sz w:val="24"/>
          <w:szCs w:val="24"/>
        </w:rPr>
        <w:t xml:space="preserve">and dynamic </w:t>
      </w:r>
      <w:r w:rsidR="00C424D0" w:rsidRPr="00356ADA">
        <w:rPr>
          <w:rFonts w:asciiTheme="majorBidi" w:hAnsiTheme="majorBidi" w:cstheme="majorBidi"/>
          <w:sz w:val="24"/>
          <w:szCs w:val="24"/>
        </w:rPr>
        <w:t>endogeneities that can influence our main estimates, and following</w:t>
      </w:r>
      <w:r w:rsidR="00C424D0" w:rsidRPr="00356ADA">
        <w:rPr>
          <w:rFonts w:ascii="Times New Roman" w:hAnsi="Times New Roman" w:cs="Times New Roman"/>
          <w:sz w:val="24"/>
          <w:szCs w:val="24"/>
        </w:rPr>
        <w:t xml:space="preserve"> </w:t>
      </w:r>
      <w:r w:rsidR="00631444" w:rsidRPr="00631444">
        <w:rPr>
          <w:rFonts w:ascii="Times New Roman" w:hAnsi="Times New Roman" w:cs="Times New Roman"/>
          <w:sz w:val="24"/>
          <w:szCs w:val="24"/>
        </w:rPr>
        <w:t>Elmagrhi</w:t>
      </w:r>
      <w:r w:rsidR="00631444">
        <w:rPr>
          <w:rFonts w:ascii="Times New Roman" w:hAnsi="Times New Roman" w:cs="Times New Roman"/>
          <w:sz w:val="24"/>
          <w:szCs w:val="24"/>
        </w:rPr>
        <w:t xml:space="preserve"> and</w:t>
      </w:r>
      <w:r w:rsidR="00631444" w:rsidRPr="00631444">
        <w:rPr>
          <w:rFonts w:ascii="Times New Roman" w:hAnsi="Times New Roman" w:cs="Times New Roman"/>
          <w:sz w:val="24"/>
          <w:szCs w:val="24"/>
        </w:rPr>
        <w:t xml:space="preserve"> Ntim</w:t>
      </w:r>
      <w:r w:rsidR="00631444">
        <w:rPr>
          <w:rFonts w:ascii="Times New Roman" w:hAnsi="Times New Roman" w:cs="Times New Roman"/>
          <w:sz w:val="24"/>
          <w:szCs w:val="24"/>
        </w:rPr>
        <w:t xml:space="preserve"> (2022)</w:t>
      </w:r>
      <w:r w:rsidR="00C424D0" w:rsidRPr="00356ADA">
        <w:rPr>
          <w:rFonts w:asciiTheme="majorBidi" w:hAnsiTheme="majorBidi" w:cstheme="majorBidi"/>
          <w:sz w:val="24"/>
          <w:szCs w:val="24"/>
        </w:rPr>
        <w:t xml:space="preserve">, </w:t>
      </w:r>
      <w:r w:rsidR="00FD0140" w:rsidRPr="00356ADA">
        <w:rPr>
          <w:rFonts w:ascii="Times New Roman" w:hAnsi="Times New Roman" w:cs="Times New Roman"/>
          <w:sz w:val="24"/>
          <w:szCs w:val="24"/>
        </w:rPr>
        <w:t xml:space="preserve">we conduct </w:t>
      </w:r>
      <w:r w:rsidR="00D11160">
        <w:rPr>
          <w:rFonts w:asciiTheme="majorBidi" w:hAnsiTheme="majorBidi" w:cstheme="majorBidi"/>
          <w:sz w:val="24"/>
          <w:szCs w:val="24"/>
        </w:rPr>
        <w:t>a</w:t>
      </w:r>
      <w:r w:rsidR="00FD0140" w:rsidRPr="00FD0140">
        <w:rPr>
          <w:rFonts w:asciiTheme="majorBidi" w:hAnsiTheme="majorBidi" w:cstheme="majorBidi"/>
          <w:sz w:val="24"/>
          <w:szCs w:val="24"/>
        </w:rPr>
        <w:t xml:space="preserve"> dynamic system </w:t>
      </w:r>
      <w:r w:rsidR="001F01B7">
        <w:rPr>
          <w:rFonts w:asciiTheme="majorBidi" w:hAnsiTheme="majorBidi" w:cstheme="majorBidi"/>
          <w:sz w:val="24"/>
          <w:szCs w:val="24"/>
        </w:rPr>
        <w:t>generalised method of moments (</w:t>
      </w:r>
      <w:r w:rsidR="00FD0140" w:rsidRPr="00FD0140">
        <w:rPr>
          <w:rFonts w:asciiTheme="majorBidi" w:hAnsiTheme="majorBidi" w:cstheme="majorBidi"/>
          <w:sz w:val="24"/>
          <w:szCs w:val="24"/>
        </w:rPr>
        <w:t>GMM</w:t>
      </w:r>
      <w:r w:rsidR="001F01B7">
        <w:rPr>
          <w:rFonts w:asciiTheme="majorBidi" w:hAnsiTheme="majorBidi" w:cstheme="majorBidi"/>
          <w:sz w:val="24"/>
          <w:szCs w:val="24"/>
        </w:rPr>
        <w:t>)</w:t>
      </w:r>
      <w:r w:rsidR="00FD0140" w:rsidRPr="008708F4">
        <w:rPr>
          <w:rFonts w:asciiTheme="majorBidi" w:hAnsiTheme="majorBidi" w:cstheme="majorBidi"/>
          <w:sz w:val="24"/>
          <w:szCs w:val="24"/>
        </w:rPr>
        <w:t>.</w:t>
      </w:r>
      <w:r w:rsidR="00472075">
        <w:rPr>
          <w:rFonts w:asciiTheme="majorBidi" w:hAnsiTheme="majorBidi" w:cstheme="majorBidi"/>
          <w:sz w:val="24"/>
          <w:szCs w:val="24"/>
        </w:rPr>
        <w:t xml:space="preserve"> We employ </w:t>
      </w:r>
      <w:r w:rsidR="00472075" w:rsidRPr="00472075">
        <w:rPr>
          <w:rFonts w:asciiTheme="majorBidi" w:hAnsiTheme="majorBidi" w:cstheme="majorBidi"/>
          <w:sz w:val="24"/>
          <w:szCs w:val="24"/>
        </w:rPr>
        <w:t>Arellano–Bond test for first-order (</w:t>
      </w:r>
      <w:r w:rsidR="00472075" w:rsidRPr="00FA012F">
        <w:rPr>
          <w:rFonts w:asciiTheme="majorBidi" w:hAnsiTheme="majorBidi" w:cstheme="majorBidi"/>
          <w:i/>
          <w:iCs/>
          <w:sz w:val="24"/>
          <w:szCs w:val="24"/>
        </w:rPr>
        <w:t>AR1</w:t>
      </w:r>
      <w:r w:rsidR="00472075" w:rsidRPr="00472075">
        <w:rPr>
          <w:rFonts w:asciiTheme="majorBidi" w:hAnsiTheme="majorBidi" w:cstheme="majorBidi"/>
          <w:sz w:val="24"/>
          <w:szCs w:val="24"/>
        </w:rPr>
        <w:t>) and second-order (</w:t>
      </w:r>
      <w:r w:rsidR="00472075" w:rsidRPr="00FA012F">
        <w:rPr>
          <w:rFonts w:asciiTheme="majorBidi" w:hAnsiTheme="majorBidi" w:cstheme="majorBidi"/>
          <w:i/>
          <w:iCs/>
          <w:sz w:val="24"/>
          <w:szCs w:val="24"/>
        </w:rPr>
        <w:t>AR2</w:t>
      </w:r>
      <w:r w:rsidR="00472075" w:rsidRPr="00472075">
        <w:rPr>
          <w:rFonts w:asciiTheme="majorBidi" w:hAnsiTheme="majorBidi" w:cstheme="majorBidi"/>
          <w:sz w:val="24"/>
          <w:szCs w:val="24"/>
        </w:rPr>
        <w:t>) serial correlation</w:t>
      </w:r>
      <w:r w:rsidR="00472075">
        <w:rPr>
          <w:rFonts w:asciiTheme="majorBidi" w:hAnsiTheme="majorBidi" w:cstheme="majorBidi"/>
          <w:sz w:val="24"/>
          <w:szCs w:val="24"/>
        </w:rPr>
        <w:t xml:space="preserve">, as well as </w:t>
      </w:r>
      <w:r w:rsidR="00472075" w:rsidRPr="00472075">
        <w:rPr>
          <w:rFonts w:asciiTheme="majorBidi" w:hAnsiTheme="majorBidi" w:cstheme="majorBidi"/>
          <w:sz w:val="24"/>
          <w:szCs w:val="24"/>
        </w:rPr>
        <w:t>Hansen test of over-</w:t>
      </w:r>
      <w:r w:rsidR="009E407B" w:rsidRPr="00472075">
        <w:rPr>
          <w:rFonts w:asciiTheme="majorBidi" w:hAnsiTheme="majorBidi" w:cstheme="majorBidi"/>
          <w:sz w:val="24"/>
          <w:szCs w:val="24"/>
        </w:rPr>
        <w:t>identification</w:t>
      </w:r>
      <w:r w:rsidR="00472075" w:rsidRPr="00472075">
        <w:rPr>
          <w:rFonts w:asciiTheme="majorBidi" w:hAnsiTheme="majorBidi" w:cstheme="majorBidi"/>
          <w:sz w:val="24"/>
          <w:szCs w:val="24"/>
        </w:rPr>
        <w:t xml:space="preserve"> and </w:t>
      </w:r>
      <w:r w:rsidR="009E407B" w:rsidRPr="00472075">
        <w:rPr>
          <w:rFonts w:asciiTheme="majorBidi" w:hAnsiTheme="majorBidi" w:cstheme="majorBidi"/>
          <w:sz w:val="24"/>
          <w:szCs w:val="24"/>
        </w:rPr>
        <w:t>difference</w:t>
      </w:r>
      <w:r w:rsidR="00472075" w:rsidRPr="00472075">
        <w:rPr>
          <w:rFonts w:asciiTheme="majorBidi" w:hAnsiTheme="majorBidi" w:cstheme="majorBidi"/>
          <w:sz w:val="24"/>
          <w:szCs w:val="24"/>
        </w:rPr>
        <w:t>-in</w:t>
      </w:r>
      <w:r w:rsidR="00472075">
        <w:rPr>
          <w:rFonts w:asciiTheme="majorBidi" w:hAnsiTheme="majorBidi" w:cstheme="majorBidi"/>
          <w:sz w:val="24"/>
          <w:szCs w:val="24"/>
        </w:rPr>
        <w:t>-</w:t>
      </w:r>
      <w:r w:rsidR="00472075" w:rsidRPr="00472075">
        <w:rPr>
          <w:rFonts w:asciiTheme="majorBidi" w:hAnsiTheme="majorBidi" w:cstheme="majorBidi"/>
          <w:sz w:val="24"/>
          <w:szCs w:val="24"/>
        </w:rPr>
        <w:t>Hansen test of exogeneity</w:t>
      </w:r>
      <w:r w:rsidR="00472075">
        <w:rPr>
          <w:rFonts w:asciiTheme="majorBidi" w:hAnsiTheme="majorBidi" w:cstheme="majorBidi"/>
          <w:sz w:val="24"/>
          <w:szCs w:val="24"/>
        </w:rPr>
        <w:t xml:space="preserve"> to check the validity of our instruments. </w:t>
      </w:r>
      <w:r w:rsidR="009E407B">
        <w:rPr>
          <w:rFonts w:asciiTheme="majorBidi" w:hAnsiTheme="majorBidi" w:cstheme="majorBidi"/>
          <w:sz w:val="24"/>
          <w:szCs w:val="24"/>
        </w:rPr>
        <w:t xml:space="preserve">The reported results in Model 3 of Table </w:t>
      </w:r>
      <w:r w:rsidR="003C30D2">
        <w:rPr>
          <w:rFonts w:asciiTheme="majorBidi" w:hAnsiTheme="majorBidi" w:cstheme="majorBidi"/>
          <w:sz w:val="24"/>
          <w:szCs w:val="24"/>
        </w:rPr>
        <w:t>4</w:t>
      </w:r>
      <w:r w:rsidR="009E407B">
        <w:rPr>
          <w:rFonts w:asciiTheme="majorBidi" w:hAnsiTheme="majorBidi" w:cstheme="majorBidi"/>
          <w:sz w:val="24"/>
          <w:szCs w:val="24"/>
        </w:rPr>
        <w:t xml:space="preserve"> indicate that </w:t>
      </w:r>
      <w:r w:rsidR="009E407B" w:rsidRPr="00FA012F">
        <w:rPr>
          <w:rFonts w:asciiTheme="majorBidi" w:hAnsiTheme="majorBidi" w:cstheme="majorBidi"/>
          <w:i/>
          <w:iCs/>
          <w:sz w:val="24"/>
          <w:szCs w:val="24"/>
        </w:rPr>
        <w:t>AR1</w:t>
      </w:r>
      <w:r w:rsidR="009E407B">
        <w:rPr>
          <w:rFonts w:asciiTheme="majorBidi" w:hAnsiTheme="majorBidi" w:cstheme="majorBidi"/>
          <w:sz w:val="24"/>
          <w:szCs w:val="24"/>
        </w:rPr>
        <w:t xml:space="preserve"> is significant, whilst </w:t>
      </w:r>
      <w:r w:rsidR="009E407B" w:rsidRPr="00FA012F">
        <w:rPr>
          <w:rFonts w:asciiTheme="majorBidi" w:hAnsiTheme="majorBidi" w:cstheme="majorBidi"/>
          <w:i/>
          <w:iCs/>
          <w:sz w:val="24"/>
          <w:szCs w:val="24"/>
        </w:rPr>
        <w:t>AR2</w:t>
      </w:r>
      <w:r w:rsidR="009E407B">
        <w:rPr>
          <w:rFonts w:asciiTheme="majorBidi" w:hAnsiTheme="majorBidi" w:cstheme="majorBidi"/>
          <w:sz w:val="24"/>
          <w:szCs w:val="24"/>
        </w:rPr>
        <w:t xml:space="preserve"> is not significant, suggesting that there is no serious auto-correlation problem in </w:t>
      </w:r>
      <w:r w:rsidR="00904E2C">
        <w:rPr>
          <w:rFonts w:asciiTheme="majorBidi" w:hAnsiTheme="majorBidi" w:cstheme="majorBidi"/>
          <w:sz w:val="24"/>
          <w:szCs w:val="24"/>
        </w:rPr>
        <w:t xml:space="preserve">the </w:t>
      </w:r>
      <w:r w:rsidR="009E407B">
        <w:rPr>
          <w:rFonts w:asciiTheme="majorBidi" w:hAnsiTheme="majorBidi" w:cstheme="majorBidi"/>
          <w:sz w:val="24"/>
          <w:szCs w:val="24"/>
        </w:rPr>
        <w:t>residuals from th</w:t>
      </w:r>
      <w:r w:rsidR="00904E2C">
        <w:rPr>
          <w:rFonts w:asciiTheme="majorBidi" w:hAnsiTheme="majorBidi" w:cstheme="majorBidi"/>
          <w:sz w:val="24"/>
          <w:szCs w:val="24"/>
        </w:rPr>
        <w:t>is</w:t>
      </w:r>
      <w:r w:rsidR="009E407B">
        <w:rPr>
          <w:rFonts w:asciiTheme="majorBidi" w:hAnsiTheme="majorBidi" w:cstheme="majorBidi"/>
          <w:sz w:val="24"/>
          <w:szCs w:val="24"/>
        </w:rPr>
        <w:t xml:space="preserve"> regression model. Further, the results of </w:t>
      </w:r>
      <w:r w:rsidR="009E407B" w:rsidRPr="00472075">
        <w:rPr>
          <w:rFonts w:asciiTheme="majorBidi" w:hAnsiTheme="majorBidi" w:cstheme="majorBidi"/>
          <w:sz w:val="24"/>
          <w:szCs w:val="24"/>
        </w:rPr>
        <w:t>Hansen test of over-identification and difference-in</w:t>
      </w:r>
      <w:r w:rsidR="009E407B">
        <w:rPr>
          <w:rFonts w:asciiTheme="majorBidi" w:hAnsiTheme="majorBidi" w:cstheme="majorBidi"/>
          <w:sz w:val="24"/>
          <w:szCs w:val="24"/>
        </w:rPr>
        <w:t>-</w:t>
      </w:r>
      <w:r w:rsidR="009E407B" w:rsidRPr="00472075">
        <w:rPr>
          <w:rFonts w:asciiTheme="majorBidi" w:hAnsiTheme="majorBidi" w:cstheme="majorBidi"/>
          <w:sz w:val="24"/>
          <w:szCs w:val="24"/>
        </w:rPr>
        <w:t>Hansen test of exogeneity</w:t>
      </w:r>
      <w:r w:rsidR="009E407B">
        <w:rPr>
          <w:rFonts w:asciiTheme="majorBidi" w:hAnsiTheme="majorBidi" w:cstheme="majorBidi"/>
          <w:sz w:val="24"/>
          <w:szCs w:val="24"/>
        </w:rPr>
        <w:t xml:space="preserve"> indicate that our </w:t>
      </w:r>
      <w:r w:rsidR="0013431D">
        <w:rPr>
          <w:rFonts w:asciiTheme="majorBidi" w:hAnsiTheme="majorBidi" w:cstheme="majorBidi"/>
          <w:sz w:val="24"/>
          <w:szCs w:val="24"/>
        </w:rPr>
        <w:t>instruments</w:t>
      </w:r>
      <w:r w:rsidR="009E407B">
        <w:rPr>
          <w:rFonts w:asciiTheme="majorBidi" w:hAnsiTheme="majorBidi" w:cstheme="majorBidi"/>
          <w:sz w:val="24"/>
          <w:szCs w:val="24"/>
        </w:rPr>
        <w:t xml:space="preserve"> </w:t>
      </w:r>
      <w:r w:rsidR="0013431D">
        <w:rPr>
          <w:rFonts w:asciiTheme="majorBidi" w:hAnsiTheme="majorBidi" w:cstheme="majorBidi"/>
          <w:sz w:val="24"/>
          <w:szCs w:val="24"/>
        </w:rPr>
        <w:t xml:space="preserve">are valid. </w:t>
      </w:r>
      <w:r w:rsidR="00FA012F" w:rsidRPr="00FA012F">
        <w:rPr>
          <w:rFonts w:asciiTheme="majorBidi" w:hAnsiTheme="majorBidi" w:cstheme="majorBidi"/>
          <w:sz w:val="24"/>
          <w:szCs w:val="24"/>
        </w:rPr>
        <w:t xml:space="preserve">Overall, results reported in Model 3 are comparable to those presented in Model 1 of Table </w:t>
      </w:r>
      <w:r w:rsidR="003C30D2">
        <w:rPr>
          <w:rFonts w:asciiTheme="majorBidi" w:hAnsiTheme="majorBidi" w:cstheme="majorBidi"/>
          <w:sz w:val="24"/>
          <w:szCs w:val="24"/>
        </w:rPr>
        <w:t>4</w:t>
      </w:r>
      <w:r w:rsidR="00FA012F" w:rsidRPr="00FA012F">
        <w:rPr>
          <w:rFonts w:asciiTheme="majorBidi" w:hAnsiTheme="majorBidi" w:cstheme="majorBidi"/>
          <w:sz w:val="24"/>
          <w:szCs w:val="24"/>
        </w:rPr>
        <w:t>, and thus our findings do not seem to be sensitive to omitted variable</w:t>
      </w:r>
      <w:r w:rsidR="00FA012F">
        <w:rPr>
          <w:rFonts w:asciiTheme="majorBidi" w:hAnsiTheme="majorBidi" w:cstheme="majorBidi"/>
          <w:sz w:val="24"/>
          <w:szCs w:val="24"/>
        </w:rPr>
        <w:t xml:space="preserve">, </w:t>
      </w:r>
      <w:r w:rsidR="00FA012F" w:rsidRPr="00FA012F">
        <w:rPr>
          <w:rFonts w:asciiTheme="majorBidi" w:hAnsiTheme="majorBidi" w:cstheme="majorBidi"/>
          <w:sz w:val="24"/>
          <w:szCs w:val="24"/>
        </w:rPr>
        <w:t>simultaneity</w:t>
      </w:r>
      <w:r w:rsidR="00FA012F">
        <w:rPr>
          <w:rFonts w:asciiTheme="majorBidi" w:hAnsiTheme="majorBidi" w:cstheme="majorBidi"/>
          <w:sz w:val="24"/>
          <w:szCs w:val="24"/>
        </w:rPr>
        <w:t xml:space="preserve"> and dynamic</w:t>
      </w:r>
      <w:r w:rsidR="00FA012F" w:rsidRPr="00FA012F">
        <w:rPr>
          <w:rFonts w:asciiTheme="majorBidi" w:hAnsiTheme="majorBidi" w:cstheme="majorBidi"/>
          <w:sz w:val="24"/>
          <w:szCs w:val="24"/>
        </w:rPr>
        <w:t xml:space="preserve"> endogeneities.</w:t>
      </w:r>
    </w:p>
    <w:p w14:paraId="587481AF" w14:textId="77777777" w:rsidR="00FD0140" w:rsidRPr="00FD0140" w:rsidRDefault="00FD0140" w:rsidP="00FD0140">
      <w:pPr>
        <w:spacing w:after="0" w:line="240" w:lineRule="auto"/>
        <w:jc w:val="both"/>
        <w:rPr>
          <w:rFonts w:asciiTheme="majorBidi" w:hAnsiTheme="majorBidi" w:cstheme="majorBidi"/>
          <w:sz w:val="24"/>
          <w:szCs w:val="24"/>
        </w:rPr>
      </w:pPr>
    </w:p>
    <w:p w14:paraId="2BC2B702" w14:textId="576B6A87" w:rsidR="004378EA" w:rsidRPr="00356ADA" w:rsidRDefault="004378EA" w:rsidP="004378EA">
      <w:pPr>
        <w:spacing w:after="0" w:line="240" w:lineRule="auto"/>
        <w:jc w:val="center"/>
        <w:rPr>
          <w:rFonts w:ascii="Times New Roman" w:hAnsi="Times New Roman" w:cs="Times New Roman"/>
          <w:i/>
          <w:sz w:val="24"/>
          <w:szCs w:val="24"/>
        </w:rPr>
      </w:pPr>
      <w:r w:rsidRPr="00356ADA">
        <w:rPr>
          <w:rFonts w:ascii="Times New Roman" w:hAnsi="Times New Roman" w:cs="Times New Roman"/>
          <w:i/>
          <w:sz w:val="24"/>
          <w:szCs w:val="24"/>
        </w:rPr>
        <w:t xml:space="preserve">Table </w:t>
      </w:r>
      <w:r w:rsidR="003C30D2">
        <w:rPr>
          <w:rFonts w:ascii="Times New Roman" w:hAnsi="Times New Roman" w:cs="Times New Roman"/>
          <w:i/>
          <w:sz w:val="24"/>
          <w:szCs w:val="24"/>
        </w:rPr>
        <w:t>6</w:t>
      </w:r>
      <w:r w:rsidRPr="00356ADA">
        <w:rPr>
          <w:rFonts w:ascii="Times New Roman" w:hAnsi="Times New Roman" w:cs="Times New Roman"/>
          <w:i/>
          <w:sz w:val="24"/>
          <w:szCs w:val="24"/>
        </w:rPr>
        <w:t xml:space="preserve"> around here</w:t>
      </w:r>
    </w:p>
    <w:p w14:paraId="23022762" w14:textId="77777777" w:rsidR="009D5CE4" w:rsidRPr="00233EC8" w:rsidRDefault="009D5CE4" w:rsidP="009D5CE4">
      <w:pPr>
        <w:spacing w:after="0" w:line="240" w:lineRule="auto"/>
        <w:ind w:firstLine="720"/>
        <w:jc w:val="both"/>
        <w:rPr>
          <w:rFonts w:ascii="Times New Roman" w:hAnsi="Times New Roman" w:cs="Times New Roman"/>
        </w:rPr>
      </w:pPr>
    </w:p>
    <w:p w14:paraId="5690149D" w14:textId="7834FC8C" w:rsidR="00001FCF" w:rsidRPr="00356ADA" w:rsidRDefault="00A03A45" w:rsidP="00A03A45">
      <w:pPr>
        <w:pStyle w:val="ListParagraph"/>
        <w:numPr>
          <w:ilvl w:val="0"/>
          <w:numId w:val="21"/>
        </w:numPr>
        <w:spacing w:after="0" w:line="240" w:lineRule="auto"/>
        <w:ind w:left="284" w:hanging="284"/>
        <w:rPr>
          <w:rFonts w:ascii="Times New Roman" w:hAnsi="Times New Roman" w:cs="Times New Roman"/>
          <w:b/>
          <w:sz w:val="24"/>
          <w:szCs w:val="24"/>
        </w:rPr>
      </w:pPr>
      <w:r w:rsidRPr="00356ADA">
        <w:rPr>
          <w:rFonts w:ascii="Times New Roman" w:hAnsi="Times New Roman" w:cs="Times New Roman"/>
          <w:b/>
          <w:sz w:val="24"/>
          <w:szCs w:val="24"/>
        </w:rPr>
        <w:t>S</w:t>
      </w:r>
      <w:r w:rsidR="00DE60D5" w:rsidRPr="00356ADA">
        <w:rPr>
          <w:rFonts w:ascii="Times New Roman" w:hAnsi="Times New Roman" w:cs="Times New Roman"/>
          <w:b/>
          <w:sz w:val="24"/>
          <w:szCs w:val="24"/>
        </w:rPr>
        <w:t>ummary and conclusions</w:t>
      </w:r>
    </w:p>
    <w:p w14:paraId="0134DF87" w14:textId="77777777" w:rsidR="00001FCF" w:rsidRPr="00356ADA" w:rsidRDefault="00001FCF" w:rsidP="00B27CF1">
      <w:pPr>
        <w:spacing w:after="0" w:line="240" w:lineRule="auto"/>
        <w:rPr>
          <w:rFonts w:ascii="Times New Roman" w:hAnsi="Times New Roman" w:cs="Times New Roman"/>
          <w:sz w:val="24"/>
          <w:szCs w:val="24"/>
        </w:rPr>
      </w:pPr>
    </w:p>
    <w:p w14:paraId="6FCE577E" w14:textId="6067B724" w:rsidR="00F85AB7" w:rsidRDefault="00B160E2" w:rsidP="00FC27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Demand for, and importance of, n</w:t>
      </w:r>
      <w:r w:rsidR="000815D6">
        <w:rPr>
          <w:rFonts w:ascii="Times New Roman" w:hAnsi="Times New Roman" w:cs="Times New Roman"/>
          <w:sz w:val="24"/>
          <w:szCs w:val="24"/>
        </w:rPr>
        <w:t>on-financial reporting (NFR)</w:t>
      </w:r>
      <w:r w:rsidR="00E810E9">
        <w:rPr>
          <w:rFonts w:ascii="Times New Roman" w:hAnsi="Times New Roman" w:cs="Times New Roman"/>
          <w:sz w:val="24"/>
          <w:szCs w:val="24"/>
        </w:rPr>
        <w:t xml:space="preserve"> relating to important issues, such as </w:t>
      </w:r>
      <w:r w:rsidR="00C54436">
        <w:rPr>
          <w:rFonts w:ascii="Times New Roman" w:hAnsi="Times New Roman" w:cs="Times New Roman"/>
          <w:sz w:val="24"/>
          <w:szCs w:val="24"/>
        </w:rPr>
        <w:t xml:space="preserve">carbon/climate change reporting, </w:t>
      </w:r>
      <w:r w:rsidR="00E810E9">
        <w:rPr>
          <w:rFonts w:ascii="Times New Roman" w:hAnsi="Times New Roman" w:cs="Times New Roman"/>
          <w:sz w:val="24"/>
          <w:szCs w:val="24"/>
        </w:rPr>
        <w:t xml:space="preserve">corporate governance, corporate social responsibility, environment, social and governance, global reporting initiative, </w:t>
      </w:r>
      <w:r w:rsidR="00C54436">
        <w:rPr>
          <w:rFonts w:ascii="Times New Roman" w:hAnsi="Times New Roman" w:cs="Times New Roman"/>
          <w:sz w:val="24"/>
          <w:szCs w:val="24"/>
        </w:rPr>
        <w:t xml:space="preserve">integrated </w:t>
      </w:r>
      <w:r w:rsidR="00FA78C5">
        <w:rPr>
          <w:rFonts w:ascii="Times New Roman" w:hAnsi="Times New Roman" w:cs="Times New Roman"/>
          <w:sz w:val="24"/>
          <w:szCs w:val="24"/>
        </w:rPr>
        <w:t>thinking</w:t>
      </w:r>
      <w:r w:rsidR="00C54436">
        <w:rPr>
          <w:rFonts w:ascii="Times New Roman" w:hAnsi="Times New Roman" w:cs="Times New Roman"/>
          <w:sz w:val="24"/>
          <w:szCs w:val="24"/>
        </w:rPr>
        <w:t xml:space="preserve">, </w:t>
      </w:r>
      <w:r w:rsidR="007E457B">
        <w:rPr>
          <w:rFonts w:ascii="Times New Roman" w:hAnsi="Times New Roman" w:cs="Times New Roman"/>
          <w:sz w:val="24"/>
          <w:szCs w:val="24"/>
        </w:rPr>
        <w:t>human</w:t>
      </w:r>
      <w:r w:rsidR="00FA78C5">
        <w:rPr>
          <w:rFonts w:ascii="Times New Roman" w:hAnsi="Times New Roman" w:cs="Times New Roman"/>
          <w:sz w:val="24"/>
          <w:szCs w:val="24"/>
        </w:rPr>
        <w:t>/</w:t>
      </w:r>
      <w:r w:rsidR="007E457B">
        <w:rPr>
          <w:rFonts w:ascii="Times New Roman" w:hAnsi="Times New Roman" w:cs="Times New Roman"/>
          <w:sz w:val="24"/>
          <w:szCs w:val="24"/>
        </w:rPr>
        <w:t xml:space="preserve">intellectual capital, </w:t>
      </w:r>
      <w:r w:rsidR="00E810E9">
        <w:rPr>
          <w:rFonts w:ascii="Times New Roman" w:hAnsi="Times New Roman" w:cs="Times New Roman"/>
          <w:sz w:val="24"/>
          <w:szCs w:val="24"/>
        </w:rPr>
        <w:t>risk</w:t>
      </w:r>
      <w:r w:rsidR="007E457B">
        <w:rPr>
          <w:rFonts w:ascii="Times New Roman" w:hAnsi="Times New Roman" w:cs="Times New Roman"/>
          <w:sz w:val="24"/>
          <w:szCs w:val="24"/>
        </w:rPr>
        <w:t>, and sustainability reporting</w:t>
      </w:r>
      <w:r w:rsidR="00E810E9">
        <w:rPr>
          <w:rFonts w:ascii="Times New Roman" w:hAnsi="Times New Roman" w:cs="Times New Roman"/>
          <w:sz w:val="24"/>
          <w:szCs w:val="24"/>
        </w:rPr>
        <w:t>, amongst others, have been increasing over the past three decades</w:t>
      </w:r>
      <w:r>
        <w:rPr>
          <w:rFonts w:ascii="Times New Roman" w:hAnsi="Times New Roman" w:cs="Times New Roman"/>
          <w:sz w:val="24"/>
          <w:szCs w:val="24"/>
        </w:rPr>
        <w:t xml:space="preserve"> (</w:t>
      </w:r>
      <w:r w:rsidR="00450202" w:rsidRPr="00A64AC1">
        <w:rPr>
          <w:rFonts w:ascii="Times New Roman" w:hAnsi="Times New Roman" w:cs="Times New Roman"/>
          <w:sz w:val="24"/>
          <w:szCs w:val="24"/>
        </w:rPr>
        <w:t>Baboukardos</w:t>
      </w:r>
      <w:r w:rsidR="00450202">
        <w:rPr>
          <w:rFonts w:ascii="Times New Roman" w:hAnsi="Times New Roman" w:cs="Times New Roman"/>
          <w:sz w:val="24"/>
          <w:szCs w:val="24"/>
        </w:rPr>
        <w:t>, 2018;</w:t>
      </w:r>
      <w:r w:rsidR="00E25D38">
        <w:rPr>
          <w:rFonts w:ascii="Times New Roman" w:hAnsi="Times New Roman" w:cs="Times New Roman"/>
          <w:sz w:val="24"/>
          <w:szCs w:val="24"/>
        </w:rPr>
        <w:t xml:space="preserve"> </w:t>
      </w:r>
      <w:r w:rsidR="00E25D38" w:rsidRPr="00646DFD">
        <w:rPr>
          <w:rFonts w:ascii="Times New Roman" w:hAnsi="Times New Roman" w:cs="Times New Roman"/>
          <w:sz w:val="24"/>
          <w:szCs w:val="24"/>
        </w:rPr>
        <w:t>Gaia &amp; Jones</w:t>
      </w:r>
      <w:r w:rsidR="00E25D38">
        <w:rPr>
          <w:rFonts w:ascii="Times New Roman" w:hAnsi="Times New Roman" w:cs="Times New Roman"/>
          <w:sz w:val="24"/>
          <w:szCs w:val="24"/>
        </w:rPr>
        <w:t>, 2019</w:t>
      </w:r>
      <w:r>
        <w:rPr>
          <w:rFonts w:ascii="Times New Roman" w:hAnsi="Times New Roman" w:cs="Times New Roman"/>
          <w:sz w:val="24"/>
          <w:szCs w:val="24"/>
        </w:rPr>
        <w:t>)</w:t>
      </w:r>
      <w:r w:rsidR="00E810E9">
        <w:rPr>
          <w:rFonts w:ascii="Times New Roman" w:hAnsi="Times New Roman" w:cs="Times New Roman"/>
          <w:sz w:val="24"/>
          <w:szCs w:val="24"/>
        </w:rPr>
        <w:t xml:space="preserve">. </w:t>
      </w:r>
      <w:r w:rsidR="007E457B">
        <w:rPr>
          <w:rFonts w:ascii="Times New Roman" w:hAnsi="Times New Roman" w:cs="Times New Roman"/>
          <w:sz w:val="24"/>
          <w:szCs w:val="24"/>
        </w:rPr>
        <w:t>Observably, the quality and quantity of research relating to NFR has also equally markedly increased (</w:t>
      </w:r>
      <w:r w:rsidR="00E25D38" w:rsidRPr="00356ADA">
        <w:rPr>
          <w:rFonts w:ascii="Times New Roman" w:hAnsi="Times New Roman" w:cs="Times New Roman"/>
          <w:sz w:val="24"/>
          <w:szCs w:val="24"/>
        </w:rPr>
        <w:t>Abraham &amp; Cox,</w:t>
      </w:r>
      <w:r w:rsidR="00E25D38">
        <w:rPr>
          <w:rFonts w:ascii="Times New Roman" w:hAnsi="Times New Roman" w:cs="Times New Roman"/>
          <w:sz w:val="24"/>
          <w:szCs w:val="24"/>
        </w:rPr>
        <w:t xml:space="preserve"> 2007; </w:t>
      </w:r>
      <w:r w:rsidR="00E25D38" w:rsidRPr="00356ADA">
        <w:rPr>
          <w:rFonts w:ascii="Times New Roman" w:hAnsi="Times New Roman" w:cs="Times New Roman"/>
          <w:sz w:val="24"/>
          <w:szCs w:val="24"/>
        </w:rPr>
        <w:t>Dixon &amp; Coy</w:t>
      </w:r>
      <w:r w:rsidR="00E25D38">
        <w:rPr>
          <w:rFonts w:ascii="Times New Roman" w:hAnsi="Times New Roman" w:cs="Times New Roman"/>
          <w:sz w:val="24"/>
          <w:szCs w:val="24"/>
        </w:rPr>
        <w:t xml:space="preserve">, 2007; </w:t>
      </w:r>
      <w:r w:rsidR="00454F1E">
        <w:rPr>
          <w:rFonts w:ascii="Times New Roman" w:hAnsi="Times New Roman" w:cs="Times New Roman"/>
          <w:sz w:val="24"/>
          <w:szCs w:val="24"/>
        </w:rPr>
        <w:t>Ntim et al., 2013</w:t>
      </w:r>
      <w:r w:rsidR="007E457B">
        <w:rPr>
          <w:rFonts w:ascii="Times New Roman" w:hAnsi="Times New Roman" w:cs="Times New Roman"/>
          <w:sz w:val="24"/>
          <w:szCs w:val="24"/>
        </w:rPr>
        <w:t>).</w:t>
      </w:r>
      <w:r w:rsidR="00E810E9">
        <w:rPr>
          <w:rFonts w:ascii="Times New Roman" w:hAnsi="Times New Roman" w:cs="Times New Roman"/>
          <w:sz w:val="24"/>
          <w:szCs w:val="24"/>
        </w:rPr>
        <w:t xml:space="preserve"> </w:t>
      </w:r>
      <w:r w:rsidR="007E457B">
        <w:rPr>
          <w:rFonts w:ascii="Times New Roman" w:hAnsi="Times New Roman" w:cs="Times New Roman"/>
          <w:sz w:val="24"/>
          <w:szCs w:val="24"/>
        </w:rPr>
        <w:t>A major limitation with the research in this area so far, however, is that it has disproportionately concentrated on</w:t>
      </w:r>
      <w:r w:rsidR="00F85AB7">
        <w:rPr>
          <w:rFonts w:ascii="Times New Roman" w:hAnsi="Times New Roman" w:cs="Times New Roman"/>
          <w:sz w:val="24"/>
          <w:szCs w:val="24"/>
        </w:rPr>
        <w:t xml:space="preserve"> profit-oriented organisations to the neglect of their non-profit counterparts (</w:t>
      </w:r>
      <w:r w:rsidR="00934A32" w:rsidRPr="001A1B1D">
        <w:rPr>
          <w:rFonts w:ascii="Times New Roman" w:hAnsi="Times New Roman" w:cs="Times New Roman"/>
          <w:sz w:val="24"/>
          <w:szCs w:val="24"/>
        </w:rPr>
        <w:t>Gaia &amp; Jones</w:t>
      </w:r>
      <w:r w:rsidR="00934A32">
        <w:rPr>
          <w:rFonts w:ascii="Times New Roman" w:hAnsi="Times New Roman" w:cs="Times New Roman"/>
          <w:sz w:val="24"/>
          <w:szCs w:val="24"/>
        </w:rPr>
        <w:t xml:space="preserve"> 2019</w:t>
      </w:r>
      <w:r w:rsidR="00F85AB7">
        <w:rPr>
          <w:rFonts w:ascii="Times New Roman" w:hAnsi="Times New Roman" w:cs="Times New Roman"/>
          <w:sz w:val="24"/>
          <w:szCs w:val="24"/>
        </w:rPr>
        <w:t>). Consequently</w:t>
      </w:r>
      <w:r w:rsidR="00450202">
        <w:rPr>
          <w:rFonts w:ascii="Times New Roman" w:hAnsi="Times New Roman" w:cs="Times New Roman"/>
          <w:sz w:val="24"/>
          <w:szCs w:val="24"/>
        </w:rPr>
        <w:t>,</w:t>
      </w:r>
      <w:r w:rsidR="00F85AB7">
        <w:rPr>
          <w:rFonts w:ascii="Times New Roman" w:hAnsi="Times New Roman" w:cs="Times New Roman"/>
          <w:sz w:val="24"/>
          <w:szCs w:val="24"/>
        </w:rPr>
        <w:t xml:space="preserve"> and in this paper, we have sought to address this crucial lacuna in the extant literature by investigating NFR in non-profit organisations with specific focus on </w:t>
      </w:r>
      <w:r w:rsidR="004B20AD">
        <w:rPr>
          <w:rFonts w:ascii="Times New Roman" w:hAnsi="Times New Roman" w:cs="Times New Roman"/>
          <w:sz w:val="24"/>
          <w:szCs w:val="24"/>
        </w:rPr>
        <w:t xml:space="preserve">voluntary </w:t>
      </w:r>
      <w:r w:rsidR="00F85AB7">
        <w:rPr>
          <w:rFonts w:ascii="Times New Roman" w:hAnsi="Times New Roman" w:cs="Times New Roman"/>
          <w:sz w:val="24"/>
          <w:szCs w:val="24"/>
        </w:rPr>
        <w:t xml:space="preserve">risk </w:t>
      </w:r>
      <w:r w:rsidR="00A02044">
        <w:rPr>
          <w:rFonts w:ascii="Times New Roman" w:hAnsi="Times New Roman" w:cs="Times New Roman"/>
          <w:sz w:val="24"/>
          <w:szCs w:val="24"/>
        </w:rPr>
        <w:t>disclosures among UK HEIs</w:t>
      </w:r>
      <w:r w:rsidR="00F85AB7">
        <w:rPr>
          <w:rFonts w:ascii="Times New Roman" w:hAnsi="Times New Roman" w:cs="Times New Roman"/>
          <w:sz w:val="24"/>
          <w:szCs w:val="24"/>
        </w:rPr>
        <w:t xml:space="preserve">. In particular, we </w:t>
      </w:r>
      <w:r w:rsidR="00D03C09">
        <w:rPr>
          <w:rFonts w:ascii="Times New Roman" w:hAnsi="Times New Roman" w:cs="Times New Roman"/>
          <w:sz w:val="24"/>
          <w:szCs w:val="24"/>
        </w:rPr>
        <w:t xml:space="preserve">have </w:t>
      </w:r>
      <w:r w:rsidR="00F85AB7">
        <w:rPr>
          <w:rFonts w:ascii="Times New Roman" w:hAnsi="Times New Roman" w:cs="Times New Roman"/>
          <w:sz w:val="24"/>
          <w:szCs w:val="24"/>
        </w:rPr>
        <w:t>attempt</w:t>
      </w:r>
      <w:r w:rsidR="00D03C09">
        <w:rPr>
          <w:rFonts w:ascii="Times New Roman" w:hAnsi="Times New Roman" w:cs="Times New Roman"/>
          <w:sz w:val="24"/>
          <w:szCs w:val="24"/>
        </w:rPr>
        <w:t>ed</w:t>
      </w:r>
      <w:r w:rsidR="00F85AB7">
        <w:rPr>
          <w:rFonts w:ascii="Times New Roman" w:hAnsi="Times New Roman" w:cs="Times New Roman"/>
          <w:sz w:val="24"/>
          <w:szCs w:val="24"/>
        </w:rPr>
        <w:t xml:space="preserve"> to contribute to the literature by </w:t>
      </w:r>
      <w:r w:rsidR="00D03C09">
        <w:rPr>
          <w:rFonts w:ascii="Times New Roman" w:hAnsi="Times New Roman" w:cs="Times New Roman"/>
          <w:sz w:val="24"/>
          <w:szCs w:val="24"/>
        </w:rPr>
        <w:t>investigating</w:t>
      </w:r>
      <w:r w:rsidR="00F85AB7">
        <w:rPr>
          <w:rFonts w:ascii="Times New Roman" w:hAnsi="Times New Roman" w:cs="Times New Roman"/>
          <w:sz w:val="24"/>
          <w:szCs w:val="24"/>
        </w:rPr>
        <w:t xml:space="preserve">: (i) </w:t>
      </w:r>
      <w:r w:rsidR="00F85AB7" w:rsidRPr="00356ADA">
        <w:rPr>
          <w:rFonts w:ascii="Times New Roman" w:hAnsi="Times New Roman" w:cs="Times New Roman"/>
          <w:sz w:val="24"/>
          <w:szCs w:val="24"/>
        </w:rPr>
        <w:t>the extent to which UK HEIs</w:t>
      </w:r>
      <w:r w:rsidR="00A02044">
        <w:rPr>
          <w:rFonts w:ascii="Times New Roman" w:hAnsi="Times New Roman" w:cs="Times New Roman"/>
          <w:sz w:val="24"/>
          <w:szCs w:val="24"/>
        </w:rPr>
        <w:t xml:space="preserve"> voluntarily engage in risk </w:t>
      </w:r>
      <w:r w:rsidR="004B20AD">
        <w:rPr>
          <w:rFonts w:ascii="Times New Roman" w:hAnsi="Times New Roman" w:cs="Times New Roman"/>
          <w:sz w:val="24"/>
          <w:szCs w:val="24"/>
        </w:rPr>
        <w:t>disclosures</w:t>
      </w:r>
      <w:r w:rsidR="00A02044">
        <w:rPr>
          <w:rFonts w:ascii="Times New Roman" w:hAnsi="Times New Roman" w:cs="Times New Roman"/>
          <w:sz w:val="24"/>
          <w:szCs w:val="24"/>
        </w:rPr>
        <w:t xml:space="preserve"> </w:t>
      </w:r>
      <w:r w:rsidR="00FC27BC">
        <w:rPr>
          <w:rFonts w:ascii="Times New Roman" w:hAnsi="Times New Roman" w:cs="Times New Roman"/>
          <w:sz w:val="24"/>
          <w:szCs w:val="24"/>
        </w:rPr>
        <w:t>in their annual reports</w:t>
      </w:r>
      <w:r w:rsidR="00F85AB7">
        <w:rPr>
          <w:rFonts w:ascii="Times New Roman" w:hAnsi="Times New Roman" w:cs="Times New Roman"/>
          <w:sz w:val="24"/>
          <w:szCs w:val="24"/>
        </w:rPr>
        <w:t>;</w:t>
      </w:r>
      <w:r w:rsidR="00F85AB7" w:rsidRPr="00356ADA">
        <w:rPr>
          <w:rFonts w:ascii="Times New Roman" w:hAnsi="Times New Roman" w:cs="Times New Roman"/>
          <w:sz w:val="24"/>
          <w:szCs w:val="24"/>
        </w:rPr>
        <w:t xml:space="preserve"> </w:t>
      </w:r>
      <w:r w:rsidR="00F85AB7">
        <w:rPr>
          <w:rFonts w:ascii="Times New Roman" w:hAnsi="Times New Roman" w:cs="Times New Roman"/>
          <w:sz w:val="24"/>
          <w:szCs w:val="24"/>
        </w:rPr>
        <w:t>(ii)</w:t>
      </w:r>
      <w:r w:rsidR="00F85AB7" w:rsidRPr="00356ADA">
        <w:rPr>
          <w:rFonts w:ascii="Times New Roman" w:hAnsi="Times New Roman" w:cs="Times New Roman"/>
          <w:sz w:val="24"/>
          <w:szCs w:val="24"/>
        </w:rPr>
        <w:t xml:space="preserve"> whether </w:t>
      </w:r>
      <w:r w:rsidR="001747FF">
        <w:rPr>
          <w:rFonts w:ascii="Times New Roman" w:hAnsi="Times New Roman" w:cs="Times New Roman"/>
          <w:sz w:val="24"/>
          <w:szCs w:val="24"/>
        </w:rPr>
        <w:t>composite corporate</w:t>
      </w:r>
      <w:r w:rsidR="00F85AB7" w:rsidRPr="00356ADA">
        <w:rPr>
          <w:rFonts w:ascii="Times New Roman" w:hAnsi="Times New Roman" w:cs="Times New Roman"/>
          <w:sz w:val="24"/>
          <w:szCs w:val="24"/>
        </w:rPr>
        <w:t xml:space="preserve"> governance quality</w:t>
      </w:r>
      <w:r w:rsidR="001747FF">
        <w:rPr>
          <w:rFonts w:ascii="Times New Roman" w:hAnsi="Times New Roman" w:cs="Times New Roman"/>
          <w:sz w:val="24"/>
          <w:szCs w:val="24"/>
        </w:rPr>
        <w:t xml:space="preserve"> index</w:t>
      </w:r>
      <w:r w:rsidR="00C54436">
        <w:rPr>
          <w:rFonts w:ascii="Times New Roman" w:hAnsi="Times New Roman" w:cs="Times New Roman"/>
          <w:sz w:val="24"/>
          <w:szCs w:val="24"/>
        </w:rPr>
        <w:t xml:space="preserve"> influence</w:t>
      </w:r>
      <w:r w:rsidR="001747FF">
        <w:rPr>
          <w:rFonts w:ascii="Times New Roman" w:hAnsi="Times New Roman" w:cs="Times New Roman"/>
          <w:sz w:val="24"/>
          <w:szCs w:val="24"/>
        </w:rPr>
        <w:t>s</w:t>
      </w:r>
      <w:r w:rsidR="00C54436">
        <w:rPr>
          <w:rFonts w:ascii="Times New Roman" w:hAnsi="Times New Roman" w:cs="Times New Roman"/>
          <w:sz w:val="24"/>
          <w:szCs w:val="24"/>
        </w:rPr>
        <w:t xml:space="preserve"> the extent of risk disclosures;</w:t>
      </w:r>
      <w:r w:rsidR="00F85AB7" w:rsidRPr="00356ADA">
        <w:rPr>
          <w:rFonts w:ascii="Times New Roman" w:hAnsi="Times New Roman" w:cs="Times New Roman"/>
          <w:sz w:val="24"/>
          <w:szCs w:val="24"/>
        </w:rPr>
        <w:t xml:space="preserve"> and </w:t>
      </w:r>
      <w:r w:rsidR="00C54436">
        <w:rPr>
          <w:rFonts w:ascii="Times New Roman" w:hAnsi="Times New Roman" w:cs="Times New Roman"/>
          <w:sz w:val="24"/>
          <w:szCs w:val="24"/>
        </w:rPr>
        <w:t xml:space="preserve">(iii) whether the governance quality–risk disclosure nexus is moderated by </w:t>
      </w:r>
      <w:r w:rsidR="00F85AB7" w:rsidRPr="00356ADA">
        <w:rPr>
          <w:rFonts w:ascii="Times New Roman" w:hAnsi="Times New Roman" w:cs="Times New Roman"/>
          <w:sz w:val="24"/>
          <w:szCs w:val="24"/>
        </w:rPr>
        <w:t xml:space="preserve">senior management team characteristics. </w:t>
      </w:r>
      <w:r w:rsidR="00F85AB7">
        <w:rPr>
          <w:rFonts w:ascii="Times New Roman" w:hAnsi="Times New Roman" w:cs="Times New Roman"/>
          <w:sz w:val="24"/>
          <w:szCs w:val="24"/>
        </w:rPr>
        <w:t xml:space="preserve"> </w:t>
      </w:r>
    </w:p>
    <w:p w14:paraId="2A026DDF" w14:textId="099FE7D1" w:rsidR="009D6025" w:rsidRPr="00356ADA" w:rsidRDefault="009D6025" w:rsidP="00B03104">
      <w:pPr>
        <w:spacing w:after="0" w:line="240" w:lineRule="auto"/>
        <w:ind w:firstLine="720"/>
        <w:jc w:val="both"/>
        <w:rPr>
          <w:rFonts w:ascii="Times New Roman" w:hAnsi="Times New Roman" w:cs="Times New Roman"/>
          <w:sz w:val="24"/>
          <w:szCs w:val="24"/>
        </w:rPr>
      </w:pPr>
      <w:r w:rsidRPr="00356ADA">
        <w:rPr>
          <w:rFonts w:ascii="Times New Roman" w:hAnsi="Times New Roman" w:cs="Times New Roman"/>
          <w:sz w:val="24"/>
          <w:szCs w:val="24"/>
        </w:rPr>
        <w:t xml:space="preserve">Using a sample </w:t>
      </w:r>
      <w:r w:rsidR="00D547BA" w:rsidRPr="00356ADA">
        <w:rPr>
          <w:rFonts w:ascii="Times New Roman" w:hAnsi="Times New Roman" w:cs="Times New Roman"/>
          <w:sz w:val="24"/>
          <w:szCs w:val="24"/>
        </w:rPr>
        <w:t>o</w:t>
      </w:r>
      <w:r w:rsidRPr="00356ADA">
        <w:rPr>
          <w:rFonts w:ascii="Times New Roman" w:hAnsi="Times New Roman" w:cs="Times New Roman"/>
          <w:sz w:val="24"/>
          <w:szCs w:val="24"/>
        </w:rPr>
        <w:t xml:space="preserve">f UK HEIs over a </w:t>
      </w:r>
      <w:r w:rsidR="00293956">
        <w:rPr>
          <w:rFonts w:ascii="Times New Roman" w:hAnsi="Times New Roman" w:cs="Times New Roman"/>
          <w:sz w:val="24"/>
          <w:szCs w:val="24"/>
        </w:rPr>
        <w:t>number of years</w:t>
      </w:r>
      <w:r w:rsidR="00B03104">
        <w:rPr>
          <w:rFonts w:ascii="Times New Roman" w:hAnsi="Times New Roman" w:cs="Times New Roman"/>
          <w:sz w:val="24"/>
          <w:szCs w:val="24"/>
        </w:rPr>
        <w:t xml:space="preserve"> and drawing insights from neo-institutional theory</w:t>
      </w:r>
      <w:r w:rsidR="00293956">
        <w:rPr>
          <w:rFonts w:ascii="Times New Roman" w:hAnsi="Times New Roman" w:cs="Times New Roman"/>
          <w:sz w:val="24"/>
          <w:szCs w:val="24"/>
        </w:rPr>
        <w:t>,</w:t>
      </w:r>
      <w:r w:rsidRPr="00356ADA">
        <w:rPr>
          <w:rFonts w:ascii="Times New Roman" w:hAnsi="Times New Roman" w:cs="Times New Roman"/>
          <w:sz w:val="24"/>
          <w:szCs w:val="24"/>
        </w:rPr>
        <w:t xml:space="preserve"> we find that risk disclosure levels among HEIs in the UK are relatively low, especially when compared to</w:t>
      </w:r>
      <w:r w:rsidR="00A4092E">
        <w:rPr>
          <w:rFonts w:ascii="Times New Roman" w:hAnsi="Times New Roman" w:cs="Times New Roman"/>
          <w:sz w:val="24"/>
          <w:szCs w:val="24"/>
        </w:rPr>
        <w:t xml:space="preserve"> </w:t>
      </w:r>
      <w:r w:rsidRPr="00356ADA">
        <w:rPr>
          <w:rFonts w:ascii="Times New Roman" w:hAnsi="Times New Roman" w:cs="Times New Roman"/>
          <w:sz w:val="24"/>
          <w:szCs w:val="24"/>
        </w:rPr>
        <w:t xml:space="preserve">the findings of prior studies that have been conducted on similar-sized publicly traded organisations. </w:t>
      </w:r>
      <w:r w:rsidR="00BC7352">
        <w:rPr>
          <w:rFonts w:ascii="Times New Roman" w:hAnsi="Times New Roman" w:cs="Times New Roman"/>
          <w:sz w:val="24"/>
          <w:szCs w:val="24"/>
        </w:rPr>
        <w:t xml:space="preserve">Nevertheless, risk disclosures are on the upward trajectory, increasing from about 16% in 2009 to about 18% in 2014. Similarly, financial risk (average of about 31%) disclosures are relatively higher compared with operational risk (average of about 13%) and strategic risk (average of about 17%) disclosures. </w:t>
      </w:r>
      <w:r w:rsidR="00095B32">
        <w:rPr>
          <w:rFonts w:ascii="Times New Roman" w:hAnsi="Times New Roman" w:cs="Times New Roman"/>
          <w:sz w:val="24"/>
          <w:szCs w:val="24"/>
        </w:rPr>
        <w:t xml:space="preserve">Second, </w:t>
      </w:r>
      <w:r w:rsidR="00BC7352">
        <w:rPr>
          <w:rFonts w:ascii="Times New Roman" w:hAnsi="Times New Roman" w:cs="Times New Roman"/>
          <w:sz w:val="24"/>
          <w:szCs w:val="24"/>
        </w:rPr>
        <w:t xml:space="preserve">we find that </w:t>
      </w:r>
      <w:r w:rsidR="00560801">
        <w:rPr>
          <w:rFonts w:ascii="Times New Roman" w:hAnsi="Times New Roman" w:cs="Times New Roman"/>
          <w:sz w:val="24"/>
          <w:szCs w:val="24"/>
        </w:rPr>
        <w:t>better-governed UK HEIs tend to engage in higher levels of risk disclosures. In additional analyses, we find the positive relationship between governance quality and risk disclosure holds irrespective of the type (financial, operational and strategic risks) of risk disclosure measure</w:t>
      </w:r>
      <w:r w:rsidR="00C53EE5">
        <w:rPr>
          <w:rFonts w:ascii="Times New Roman" w:hAnsi="Times New Roman" w:cs="Times New Roman"/>
          <w:sz w:val="24"/>
          <w:szCs w:val="24"/>
        </w:rPr>
        <w:t xml:space="preserve"> that we employ</w:t>
      </w:r>
      <w:r w:rsidR="00560801">
        <w:rPr>
          <w:rFonts w:ascii="Times New Roman" w:hAnsi="Times New Roman" w:cs="Times New Roman"/>
          <w:sz w:val="24"/>
          <w:szCs w:val="24"/>
        </w:rPr>
        <w:t xml:space="preserve">. These </w:t>
      </w:r>
      <w:r w:rsidR="00560801">
        <w:rPr>
          <w:rFonts w:ascii="Times New Roman" w:hAnsi="Times New Roman" w:cs="Times New Roman"/>
          <w:sz w:val="24"/>
          <w:szCs w:val="24"/>
        </w:rPr>
        <w:lastRenderedPageBreak/>
        <w:t>findings are consistent with the predictions of both efficiency and legitimisation perspectives of our neo-institutional theoretical framework that suggest that HEIs may engage in increased levels of risk disclosures not only to enhance the efficiency of their operations, but also to enhance the legitimacy of their operations by gaining the support of major stakeholders (e.g., O</w:t>
      </w:r>
      <w:r w:rsidR="007C40D4">
        <w:rPr>
          <w:rFonts w:ascii="Times New Roman" w:hAnsi="Times New Roman" w:cs="Times New Roman"/>
          <w:sz w:val="24"/>
          <w:szCs w:val="24"/>
        </w:rPr>
        <w:t>f</w:t>
      </w:r>
      <w:r w:rsidR="00560801">
        <w:rPr>
          <w:rFonts w:ascii="Times New Roman" w:hAnsi="Times New Roman" w:cs="Times New Roman"/>
          <w:sz w:val="24"/>
          <w:szCs w:val="24"/>
        </w:rPr>
        <w:t>S, staff, unions, alumni, parents and students)</w:t>
      </w:r>
      <w:r w:rsidR="004E038E">
        <w:rPr>
          <w:rFonts w:ascii="Times New Roman" w:hAnsi="Times New Roman" w:cs="Times New Roman"/>
          <w:sz w:val="24"/>
          <w:szCs w:val="24"/>
        </w:rPr>
        <w:t>,</w:t>
      </w:r>
      <w:r w:rsidR="00560801">
        <w:rPr>
          <w:rFonts w:ascii="Times New Roman" w:hAnsi="Times New Roman" w:cs="Times New Roman"/>
          <w:sz w:val="24"/>
          <w:szCs w:val="24"/>
        </w:rPr>
        <w:t xml:space="preserve"> and thereby</w:t>
      </w:r>
      <w:r w:rsidR="004E038E">
        <w:rPr>
          <w:rFonts w:ascii="Times New Roman" w:hAnsi="Times New Roman" w:cs="Times New Roman"/>
          <w:sz w:val="24"/>
          <w:szCs w:val="24"/>
        </w:rPr>
        <w:t>,</w:t>
      </w:r>
      <w:r w:rsidR="00560801">
        <w:rPr>
          <w:rFonts w:ascii="Times New Roman" w:hAnsi="Times New Roman" w:cs="Times New Roman"/>
          <w:sz w:val="24"/>
          <w:szCs w:val="24"/>
        </w:rPr>
        <w:t xml:space="preserve"> gain access to critical resources. </w:t>
      </w:r>
      <w:r w:rsidRPr="00356ADA">
        <w:rPr>
          <w:rFonts w:ascii="Times New Roman" w:hAnsi="Times New Roman" w:cs="Times New Roman"/>
          <w:sz w:val="24"/>
          <w:szCs w:val="24"/>
        </w:rPr>
        <w:t xml:space="preserve">Finally, we show </w:t>
      </w:r>
      <w:r w:rsidR="0039100C">
        <w:rPr>
          <w:rFonts w:ascii="Times New Roman" w:hAnsi="Times New Roman" w:cs="Times New Roman"/>
          <w:sz w:val="24"/>
          <w:szCs w:val="24"/>
        </w:rPr>
        <w:t xml:space="preserve">further </w:t>
      </w:r>
      <w:r w:rsidRPr="00356ADA">
        <w:rPr>
          <w:rFonts w:ascii="Times New Roman" w:hAnsi="Times New Roman" w:cs="Times New Roman"/>
          <w:sz w:val="24"/>
          <w:szCs w:val="24"/>
        </w:rPr>
        <w:t>that the positive governance</w:t>
      </w:r>
      <w:r w:rsidR="00A61901">
        <w:rPr>
          <w:rFonts w:ascii="Times New Roman" w:hAnsi="Times New Roman" w:cs="Times New Roman"/>
          <w:sz w:val="24"/>
          <w:szCs w:val="24"/>
        </w:rPr>
        <w:t xml:space="preserve"> quality–</w:t>
      </w:r>
      <w:r w:rsidRPr="00356ADA">
        <w:rPr>
          <w:rFonts w:ascii="Times New Roman" w:hAnsi="Times New Roman" w:cs="Times New Roman"/>
          <w:sz w:val="24"/>
          <w:szCs w:val="24"/>
        </w:rPr>
        <w:t>risk disclosure relationship is moderated</w:t>
      </w:r>
      <w:r w:rsidR="00E87E67">
        <w:rPr>
          <w:rFonts w:ascii="Times New Roman" w:hAnsi="Times New Roman" w:cs="Times New Roman"/>
          <w:sz w:val="24"/>
          <w:szCs w:val="24"/>
        </w:rPr>
        <w:t>/</w:t>
      </w:r>
      <w:r w:rsidRPr="00356ADA">
        <w:rPr>
          <w:rFonts w:ascii="Times New Roman" w:hAnsi="Times New Roman" w:cs="Times New Roman"/>
          <w:sz w:val="24"/>
          <w:szCs w:val="24"/>
        </w:rPr>
        <w:t xml:space="preserve">explained largely by the characteristics of </w:t>
      </w:r>
      <w:r w:rsidR="00BC2EAF">
        <w:rPr>
          <w:rFonts w:ascii="Times New Roman" w:hAnsi="Times New Roman" w:cs="Times New Roman"/>
          <w:sz w:val="24"/>
          <w:szCs w:val="24"/>
        </w:rPr>
        <w:t xml:space="preserve">the </w:t>
      </w:r>
      <w:r w:rsidRPr="00356ADA">
        <w:rPr>
          <w:rFonts w:ascii="Times New Roman" w:hAnsi="Times New Roman" w:cs="Times New Roman"/>
          <w:sz w:val="24"/>
          <w:szCs w:val="24"/>
        </w:rPr>
        <w:t xml:space="preserve">senior management team. </w:t>
      </w:r>
      <w:r w:rsidR="000C7099">
        <w:rPr>
          <w:rFonts w:ascii="Times New Roman" w:hAnsi="Times New Roman" w:cs="Times New Roman"/>
          <w:sz w:val="24"/>
          <w:szCs w:val="24"/>
        </w:rPr>
        <w:t xml:space="preserve">Overall, our findings support the idea that the </w:t>
      </w:r>
      <w:r w:rsidR="000C7099" w:rsidRPr="007F4516">
        <w:rPr>
          <w:rFonts w:ascii="Times New Roman" w:hAnsi="Times New Roman" w:cs="Times New Roman"/>
          <w:sz w:val="24"/>
          <w:szCs w:val="24"/>
        </w:rPr>
        <w:t xml:space="preserve">UK HEIs’ governance arrangements are seen as a “shared” one, requiring close interactions among three major HEIs’ organs, consisting of the university council (governing board), the academic arm (senate) and the vice-chancery (senior management team) in order to be successful. </w:t>
      </w:r>
      <w:r w:rsidR="000C7099">
        <w:rPr>
          <w:rFonts w:ascii="Times New Roman" w:hAnsi="Times New Roman" w:cs="Times New Roman"/>
          <w:sz w:val="24"/>
          <w:szCs w:val="24"/>
        </w:rPr>
        <w:t xml:space="preserve">Therefore, the impact of internal governance quality on risk disclosures is strengthened </w:t>
      </w:r>
      <w:r w:rsidR="000C7099" w:rsidRPr="007F4516">
        <w:rPr>
          <w:rFonts w:ascii="Times New Roman" w:hAnsi="Times New Roman" w:cs="Times New Roman"/>
          <w:sz w:val="24"/>
          <w:szCs w:val="24"/>
        </w:rPr>
        <w:t>when the three governance structures are interacted together instead of operating individually</w:t>
      </w:r>
      <w:r w:rsidR="000C7099">
        <w:rPr>
          <w:rFonts w:ascii="Times New Roman" w:hAnsi="Times New Roman" w:cs="Times New Roman"/>
          <w:sz w:val="24"/>
          <w:szCs w:val="24"/>
        </w:rPr>
        <w:t>.</w:t>
      </w:r>
    </w:p>
    <w:p w14:paraId="619BA456" w14:textId="7787F5BE" w:rsidR="00BC46FC" w:rsidRDefault="00C71BB2" w:rsidP="005B1576">
      <w:pPr>
        <w:spacing w:after="0" w:line="240" w:lineRule="auto"/>
        <w:ind w:firstLine="720"/>
        <w:jc w:val="both"/>
        <w:rPr>
          <w:rFonts w:ascii="Times New Roman" w:hAnsi="Times New Roman" w:cs="Times New Roman"/>
          <w:sz w:val="24"/>
          <w:szCs w:val="24"/>
        </w:rPr>
      </w:pPr>
      <w:r w:rsidRPr="00356ADA">
        <w:rPr>
          <w:rFonts w:ascii="Times New Roman" w:hAnsi="Times New Roman" w:cs="Times New Roman"/>
          <w:sz w:val="24"/>
          <w:szCs w:val="24"/>
        </w:rPr>
        <w:t>Our study has a number of implications for policy-makers, regulatory bodies</w:t>
      </w:r>
      <w:r w:rsidR="00B60117" w:rsidRPr="00356ADA">
        <w:rPr>
          <w:rFonts w:ascii="Times New Roman" w:hAnsi="Times New Roman" w:cs="Times New Roman"/>
          <w:sz w:val="24"/>
          <w:szCs w:val="24"/>
        </w:rPr>
        <w:t xml:space="preserve"> (e.g., </w:t>
      </w:r>
      <w:r w:rsidR="00CC0AE0" w:rsidRPr="00356ADA">
        <w:rPr>
          <w:rFonts w:ascii="Times New Roman" w:hAnsi="Times New Roman" w:cs="Times New Roman"/>
          <w:sz w:val="24"/>
          <w:szCs w:val="24"/>
        </w:rPr>
        <w:t>DFE, O</w:t>
      </w:r>
      <w:r w:rsidR="007C40D4">
        <w:rPr>
          <w:rFonts w:ascii="Times New Roman" w:hAnsi="Times New Roman" w:cs="Times New Roman"/>
          <w:sz w:val="24"/>
          <w:szCs w:val="24"/>
        </w:rPr>
        <w:t>f</w:t>
      </w:r>
      <w:r w:rsidR="00CC0AE0" w:rsidRPr="00356ADA">
        <w:rPr>
          <w:rFonts w:ascii="Times New Roman" w:hAnsi="Times New Roman" w:cs="Times New Roman"/>
          <w:sz w:val="24"/>
          <w:szCs w:val="24"/>
        </w:rPr>
        <w:t>S, HEFCW and SFC</w:t>
      </w:r>
      <w:r w:rsidR="00256AFC" w:rsidRPr="00356ADA">
        <w:rPr>
          <w:rFonts w:ascii="Times New Roman" w:hAnsi="Times New Roman" w:cs="Times New Roman"/>
          <w:sz w:val="24"/>
          <w:szCs w:val="24"/>
        </w:rPr>
        <w:t>)</w:t>
      </w:r>
      <w:r w:rsidR="00CC0AE0" w:rsidRPr="00356ADA">
        <w:rPr>
          <w:rFonts w:ascii="Times New Roman" w:hAnsi="Times New Roman" w:cs="Times New Roman"/>
          <w:sz w:val="24"/>
          <w:szCs w:val="24"/>
        </w:rPr>
        <w:t>, representing respective governments of Northern Ireland, Wales, England and Scotland)</w:t>
      </w:r>
      <w:r w:rsidRPr="00356ADA">
        <w:rPr>
          <w:rFonts w:ascii="Times New Roman" w:hAnsi="Times New Roman" w:cs="Times New Roman"/>
          <w:sz w:val="24"/>
          <w:szCs w:val="24"/>
        </w:rPr>
        <w:t xml:space="preserve"> </w:t>
      </w:r>
      <w:r w:rsidR="008700A1" w:rsidRPr="00356ADA">
        <w:rPr>
          <w:rFonts w:ascii="Times New Roman" w:hAnsi="Times New Roman" w:cs="Times New Roman"/>
          <w:sz w:val="24"/>
          <w:szCs w:val="24"/>
        </w:rPr>
        <w:t>HEI</w:t>
      </w:r>
      <w:r w:rsidRPr="00356ADA">
        <w:rPr>
          <w:rFonts w:ascii="Times New Roman" w:hAnsi="Times New Roman" w:cs="Times New Roman"/>
          <w:sz w:val="24"/>
          <w:szCs w:val="24"/>
        </w:rPr>
        <w:t xml:space="preserve"> governing bodies</w:t>
      </w:r>
      <w:r w:rsidR="008700A1" w:rsidRPr="00356ADA">
        <w:rPr>
          <w:rFonts w:ascii="Times New Roman" w:hAnsi="Times New Roman" w:cs="Times New Roman"/>
          <w:sz w:val="24"/>
          <w:szCs w:val="24"/>
        </w:rPr>
        <w:t xml:space="preserve"> and researchers</w:t>
      </w:r>
      <w:r w:rsidRPr="00356ADA">
        <w:rPr>
          <w:rFonts w:ascii="Times New Roman" w:hAnsi="Times New Roman" w:cs="Times New Roman"/>
          <w:sz w:val="24"/>
          <w:szCs w:val="24"/>
        </w:rPr>
        <w:t xml:space="preserve">. In particular, evidence that better governed </w:t>
      </w:r>
      <w:r w:rsidR="00B60117" w:rsidRPr="00356ADA">
        <w:rPr>
          <w:rFonts w:ascii="Times New Roman" w:hAnsi="Times New Roman" w:cs="Times New Roman"/>
          <w:sz w:val="24"/>
          <w:szCs w:val="24"/>
        </w:rPr>
        <w:t xml:space="preserve">UK </w:t>
      </w:r>
      <w:r w:rsidRPr="00356ADA">
        <w:rPr>
          <w:rFonts w:ascii="Times New Roman" w:hAnsi="Times New Roman" w:cs="Times New Roman"/>
          <w:sz w:val="24"/>
          <w:szCs w:val="24"/>
        </w:rPr>
        <w:t>HEIs engage in better risk disclosure practices offer</w:t>
      </w:r>
      <w:r w:rsidR="00B60117" w:rsidRPr="00356ADA">
        <w:rPr>
          <w:rFonts w:ascii="Times New Roman" w:hAnsi="Times New Roman" w:cs="Times New Roman"/>
          <w:sz w:val="24"/>
          <w:szCs w:val="24"/>
        </w:rPr>
        <w:t xml:space="preserve">s </w:t>
      </w:r>
      <w:r w:rsidRPr="00356ADA">
        <w:rPr>
          <w:rFonts w:ascii="Times New Roman" w:hAnsi="Times New Roman" w:cs="Times New Roman"/>
          <w:sz w:val="24"/>
          <w:szCs w:val="24"/>
        </w:rPr>
        <w:t xml:space="preserve">extra impetus to </w:t>
      </w:r>
      <w:r w:rsidR="00B60117" w:rsidRPr="00356ADA">
        <w:rPr>
          <w:rFonts w:ascii="Times New Roman" w:hAnsi="Times New Roman" w:cs="Times New Roman"/>
          <w:sz w:val="24"/>
          <w:szCs w:val="24"/>
        </w:rPr>
        <w:t>continue to pursue and implement good governance and risk management reforms that have</w:t>
      </w:r>
      <w:r w:rsidR="00495485" w:rsidRPr="00356ADA">
        <w:rPr>
          <w:rFonts w:ascii="Times New Roman" w:hAnsi="Times New Roman" w:cs="Times New Roman"/>
          <w:sz w:val="24"/>
          <w:szCs w:val="24"/>
        </w:rPr>
        <w:t xml:space="preserve"> been passed. By contrast, evidence that disclosures relating to risk in general </w:t>
      </w:r>
      <w:r w:rsidR="00EA7267" w:rsidRPr="00356ADA">
        <w:rPr>
          <w:rFonts w:ascii="Times New Roman" w:hAnsi="Times New Roman" w:cs="Times New Roman"/>
          <w:sz w:val="24"/>
          <w:szCs w:val="24"/>
        </w:rPr>
        <w:t xml:space="preserve">is low </w:t>
      </w:r>
      <w:r w:rsidR="00495485" w:rsidRPr="00356ADA">
        <w:rPr>
          <w:rFonts w:ascii="Times New Roman" w:hAnsi="Times New Roman" w:cs="Times New Roman"/>
          <w:sz w:val="24"/>
          <w:szCs w:val="24"/>
        </w:rPr>
        <w:t>provide</w:t>
      </w:r>
      <w:r w:rsidR="00B67719" w:rsidRPr="00356ADA">
        <w:rPr>
          <w:rFonts w:ascii="Times New Roman" w:hAnsi="Times New Roman" w:cs="Times New Roman"/>
          <w:sz w:val="24"/>
          <w:szCs w:val="24"/>
        </w:rPr>
        <w:t>s</w:t>
      </w:r>
      <w:r w:rsidR="00495485" w:rsidRPr="00356ADA">
        <w:rPr>
          <w:rFonts w:ascii="Times New Roman" w:hAnsi="Times New Roman" w:cs="Times New Roman"/>
          <w:sz w:val="24"/>
          <w:szCs w:val="24"/>
        </w:rPr>
        <w:t xml:space="preserve"> a motivation to monitor the levels of compliance among UK HEIs regarding good governance and risk management standards. In this case, forming a compliance and enforcement unit that will be devoted to monitor the levels of compliance and disclosure relating to good governance and risk practices among UK HEIs can be a step in the right direction.</w:t>
      </w:r>
      <w:r w:rsidR="00EA7267" w:rsidRPr="00356ADA">
        <w:rPr>
          <w:rFonts w:ascii="Times New Roman" w:hAnsi="Times New Roman" w:cs="Times New Roman"/>
          <w:sz w:val="24"/>
          <w:szCs w:val="24"/>
        </w:rPr>
        <w:t xml:space="preserve"> </w:t>
      </w:r>
    </w:p>
    <w:p w14:paraId="3090B855" w14:textId="15769483" w:rsidR="00BC46FC" w:rsidRDefault="00BC46FC" w:rsidP="005B1576">
      <w:pPr>
        <w:spacing w:after="0" w:line="240" w:lineRule="auto"/>
        <w:ind w:firstLine="720"/>
        <w:jc w:val="both"/>
        <w:rPr>
          <w:rFonts w:ascii="Times New Roman" w:hAnsi="Times New Roman" w:cs="Times New Roman"/>
          <w:sz w:val="24"/>
          <w:szCs w:val="24"/>
        </w:rPr>
      </w:pPr>
      <w:r w:rsidRPr="00BC46FC">
        <w:rPr>
          <w:rFonts w:ascii="Times New Roman" w:hAnsi="Times New Roman" w:cs="Times New Roman"/>
          <w:sz w:val="24"/>
          <w:szCs w:val="24"/>
        </w:rPr>
        <w:t xml:space="preserve">Further, we argue that </w:t>
      </w:r>
      <w:r w:rsidR="00FD75DB">
        <w:rPr>
          <w:rFonts w:ascii="Times New Roman" w:hAnsi="Times New Roman" w:cs="Times New Roman"/>
          <w:sz w:val="24"/>
          <w:szCs w:val="24"/>
        </w:rPr>
        <w:t xml:space="preserve">our </w:t>
      </w:r>
      <w:r w:rsidR="00BC23CA">
        <w:rPr>
          <w:rFonts w:ascii="Times New Roman" w:hAnsi="Times New Roman" w:cs="Times New Roman"/>
          <w:sz w:val="24"/>
          <w:szCs w:val="24"/>
        </w:rPr>
        <w:t>evidence of</w:t>
      </w:r>
      <w:r w:rsidRPr="00BC46FC">
        <w:rPr>
          <w:rFonts w:ascii="Times New Roman" w:hAnsi="Times New Roman" w:cs="Times New Roman"/>
          <w:sz w:val="24"/>
          <w:szCs w:val="24"/>
        </w:rPr>
        <w:t xml:space="preserve"> low levels of risk disclosure</w:t>
      </w:r>
      <w:r w:rsidR="00BC23CA">
        <w:rPr>
          <w:rFonts w:ascii="Times New Roman" w:hAnsi="Times New Roman" w:cs="Times New Roman"/>
          <w:sz w:val="24"/>
          <w:szCs w:val="24"/>
        </w:rPr>
        <w:t xml:space="preserve"> among UK HEIs</w:t>
      </w:r>
      <w:r w:rsidRPr="00BC46FC">
        <w:rPr>
          <w:rFonts w:ascii="Times New Roman" w:hAnsi="Times New Roman" w:cs="Times New Roman"/>
          <w:sz w:val="24"/>
          <w:szCs w:val="24"/>
        </w:rPr>
        <w:t xml:space="preserve"> offer</w:t>
      </w:r>
      <w:r w:rsidR="0033399E">
        <w:rPr>
          <w:rFonts w:ascii="Times New Roman" w:hAnsi="Times New Roman" w:cs="Times New Roman"/>
          <w:sz w:val="24"/>
          <w:szCs w:val="24"/>
        </w:rPr>
        <w:t>s</w:t>
      </w:r>
      <w:r w:rsidRPr="00BC46FC">
        <w:rPr>
          <w:rFonts w:ascii="Times New Roman" w:hAnsi="Times New Roman" w:cs="Times New Roman"/>
          <w:sz w:val="24"/>
          <w:szCs w:val="24"/>
        </w:rPr>
        <w:t xml:space="preserve"> support for the current intense debate that suggests that </w:t>
      </w:r>
      <w:r w:rsidR="00B355BF">
        <w:rPr>
          <w:rFonts w:ascii="Times New Roman" w:hAnsi="Times New Roman" w:cs="Times New Roman"/>
          <w:sz w:val="24"/>
          <w:szCs w:val="24"/>
        </w:rPr>
        <w:t>existing</w:t>
      </w:r>
      <w:r w:rsidR="00BF48B7">
        <w:rPr>
          <w:rFonts w:ascii="Times New Roman" w:hAnsi="Times New Roman" w:cs="Times New Roman"/>
          <w:sz w:val="24"/>
          <w:szCs w:val="24"/>
        </w:rPr>
        <w:t xml:space="preserve"> </w:t>
      </w:r>
      <w:r w:rsidR="00BA0E79">
        <w:rPr>
          <w:rFonts w:ascii="Times New Roman" w:hAnsi="Times New Roman" w:cs="Times New Roman"/>
          <w:sz w:val="24"/>
          <w:szCs w:val="24"/>
        </w:rPr>
        <w:t>non-financial reporting (NFR)</w:t>
      </w:r>
      <w:r w:rsidRPr="00BC46FC">
        <w:rPr>
          <w:rFonts w:ascii="Times New Roman" w:hAnsi="Times New Roman" w:cs="Times New Roman"/>
          <w:sz w:val="24"/>
          <w:szCs w:val="24"/>
        </w:rPr>
        <w:t xml:space="preserve"> regulations are ‘soft’ since they do not provide clear requirements about the content/format/structure of the disclosed information. For example, UK HEIs are required by regulators, such as the Office for Students (OfS) to publish and submit their annual returns, including risk management and governance information. However,</w:t>
      </w:r>
      <w:r>
        <w:rPr>
          <w:rFonts w:ascii="Times New Roman" w:hAnsi="Times New Roman" w:cs="Times New Roman"/>
          <w:sz w:val="24"/>
          <w:szCs w:val="24"/>
        </w:rPr>
        <w:t xml:space="preserve"> </w:t>
      </w:r>
      <w:r w:rsidRPr="00BC46FC">
        <w:rPr>
          <w:rFonts w:ascii="Times New Roman" w:hAnsi="Times New Roman" w:cs="Times New Roman"/>
          <w:sz w:val="24"/>
          <w:szCs w:val="24"/>
        </w:rPr>
        <w:t xml:space="preserve">there </w:t>
      </w:r>
      <w:r>
        <w:rPr>
          <w:rFonts w:ascii="Times New Roman" w:hAnsi="Times New Roman" w:cs="Times New Roman"/>
          <w:sz w:val="24"/>
          <w:szCs w:val="24"/>
        </w:rPr>
        <w:t>are</w:t>
      </w:r>
      <w:r w:rsidRPr="00BC46FC">
        <w:rPr>
          <w:rFonts w:ascii="Times New Roman" w:hAnsi="Times New Roman" w:cs="Times New Roman"/>
          <w:sz w:val="24"/>
          <w:szCs w:val="24"/>
        </w:rPr>
        <w:t xml:space="preserve"> no specific requirements detailing the structure, format and content of such risk information required to be disclosed. In addition, the lack of requirements that specify the content, structure and format of information being disclosed may serve as a motivation for HEIs to engage in symbolic risk disclosures, which are likely to be driven by economic incentives to improve their social legitimacy and acceptance. Consequently, and due to the lack of clear requirements that specif</w:t>
      </w:r>
      <w:r w:rsidR="00354C34">
        <w:rPr>
          <w:rFonts w:ascii="Times New Roman" w:hAnsi="Times New Roman" w:cs="Times New Roman"/>
          <w:sz w:val="24"/>
          <w:szCs w:val="24"/>
        </w:rPr>
        <w:t>y</w:t>
      </w:r>
      <w:r w:rsidRPr="00BC46FC">
        <w:rPr>
          <w:rFonts w:ascii="Times New Roman" w:hAnsi="Times New Roman" w:cs="Times New Roman"/>
          <w:sz w:val="24"/>
          <w:szCs w:val="24"/>
        </w:rPr>
        <w:t xml:space="preserve"> th</w:t>
      </w:r>
      <w:r w:rsidR="00354C34">
        <w:rPr>
          <w:rFonts w:ascii="Times New Roman" w:hAnsi="Times New Roman" w:cs="Times New Roman"/>
          <w:sz w:val="24"/>
          <w:szCs w:val="24"/>
        </w:rPr>
        <w:t>e</w:t>
      </w:r>
      <w:r w:rsidRPr="00BC46FC">
        <w:rPr>
          <w:rFonts w:ascii="Times New Roman" w:hAnsi="Times New Roman" w:cs="Times New Roman"/>
          <w:sz w:val="24"/>
          <w:szCs w:val="24"/>
        </w:rPr>
        <w:t xml:space="preserve"> content, structure, and format of the disclosed information, this may make comparison among HEIs not only in the UK, but also internationally, difficult. Therefore, </w:t>
      </w:r>
      <w:r w:rsidR="00354C34">
        <w:rPr>
          <w:rFonts w:ascii="Times New Roman" w:hAnsi="Times New Roman" w:cs="Times New Roman"/>
          <w:sz w:val="24"/>
          <w:szCs w:val="24"/>
        </w:rPr>
        <w:t xml:space="preserve">we suggest that </w:t>
      </w:r>
      <w:r w:rsidR="00E86AAF">
        <w:rPr>
          <w:rFonts w:ascii="Times New Roman" w:hAnsi="Times New Roman" w:cs="Times New Roman"/>
          <w:sz w:val="24"/>
          <w:szCs w:val="24"/>
        </w:rPr>
        <w:t>NFR</w:t>
      </w:r>
      <w:r w:rsidRPr="00BC46FC">
        <w:rPr>
          <w:rFonts w:ascii="Times New Roman" w:hAnsi="Times New Roman" w:cs="Times New Roman"/>
          <w:sz w:val="24"/>
          <w:szCs w:val="24"/>
        </w:rPr>
        <w:t xml:space="preserve"> requirements can go beyond what existing regulators, such as OfS require, for example, by specifying the content/format/structure of the disclosed information. In this case and informed by our findings, we suggest</w:t>
      </w:r>
      <w:r w:rsidR="00354C34">
        <w:rPr>
          <w:rFonts w:ascii="Times New Roman" w:hAnsi="Times New Roman" w:cs="Times New Roman"/>
          <w:sz w:val="24"/>
          <w:szCs w:val="24"/>
        </w:rPr>
        <w:t>, for example, that</w:t>
      </w:r>
      <w:r w:rsidRPr="00BC46FC">
        <w:rPr>
          <w:rFonts w:ascii="Times New Roman" w:hAnsi="Times New Roman" w:cs="Times New Roman"/>
          <w:sz w:val="24"/>
          <w:szCs w:val="24"/>
        </w:rPr>
        <w:t xml:space="preserve"> </w:t>
      </w:r>
      <w:r w:rsidR="0000322B">
        <w:rPr>
          <w:rFonts w:ascii="Times New Roman" w:hAnsi="Times New Roman" w:cs="Times New Roman"/>
          <w:sz w:val="24"/>
          <w:szCs w:val="24"/>
        </w:rPr>
        <w:t xml:space="preserve">a </w:t>
      </w:r>
      <w:r w:rsidRPr="00BC46FC">
        <w:rPr>
          <w:rFonts w:ascii="Times New Roman" w:hAnsi="Times New Roman" w:cs="Times New Roman"/>
          <w:sz w:val="24"/>
          <w:szCs w:val="24"/>
        </w:rPr>
        <w:t xml:space="preserve">national or </w:t>
      </w:r>
      <w:r w:rsidR="0000322B">
        <w:rPr>
          <w:rFonts w:ascii="Times New Roman" w:hAnsi="Times New Roman" w:cs="Times New Roman"/>
          <w:sz w:val="24"/>
          <w:szCs w:val="24"/>
        </w:rPr>
        <w:t xml:space="preserve">an </w:t>
      </w:r>
      <w:r w:rsidRPr="00BC46FC">
        <w:rPr>
          <w:rFonts w:ascii="Times New Roman" w:hAnsi="Times New Roman" w:cs="Times New Roman"/>
          <w:sz w:val="24"/>
          <w:szCs w:val="24"/>
        </w:rPr>
        <w:t xml:space="preserve">international body can be set to issue common standards and regulate different types of </w:t>
      </w:r>
      <w:r w:rsidR="00E86AAF">
        <w:rPr>
          <w:rFonts w:ascii="Times New Roman" w:hAnsi="Times New Roman" w:cs="Times New Roman"/>
          <w:sz w:val="24"/>
          <w:szCs w:val="24"/>
        </w:rPr>
        <w:t>NFR</w:t>
      </w:r>
      <w:r w:rsidRPr="00BC46FC">
        <w:rPr>
          <w:rFonts w:ascii="Times New Roman" w:hAnsi="Times New Roman" w:cs="Times New Roman"/>
          <w:sz w:val="24"/>
          <w:szCs w:val="24"/>
        </w:rPr>
        <w:t xml:space="preserve"> not only for risk, but also other types of NFR, such as</w:t>
      </w:r>
      <w:r w:rsidR="002D7F81">
        <w:rPr>
          <w:rFonts w:ascii="Times New Roman" w:hAnsi="Times New Roman" w:cs="Times New Roman"/>
          <w:sz w:val="24"/>
          <w:szCs w:val="24"/>
        </w:rPr>
        <w:t xml:space="preserve"> those relating to</w:t>
      </w:r>
      <w:r w:rsidRPr="00BC46FC">
        <w:rPr>
          <w:rFonts w:ascii="Times New Roman" w:hAnsi="Times New Roman" w:cs="Times New Roman"/>
          <w:sz w:val="24"/>
          <w:szCs w:val="24"/>
        </w:rPr>
        <w:t xml:space="preserve"> CSR, environment, social and governance, global reporting initiative, human</w:t>
      </w:r>
      <w:r w:rsidR="008559DA">
        <w:rPr>
          <w:rFonts w:ascii="Times New Roman" w:hAnsi="Times New Roman" w:cs="Times New Roman"/>
          <w:sz w:val="24"/>
          <w:szCs w:val="24"/>
        </w:rPr>
        <w:t>/intellectual</w:t>
      </w:r>
      <w:r w:rsidRPr="00BC46FC">
        <w:rPr>
          <w:rFonts w:ascii="Times New Roman" w:hAnsi="Times New Roman" w:cs="Times New Roman"/>
          <w:sz w:val="24"/>
          <w:szCs w:val="24"/>
        </w:rPr>
        <w:t xml:space="preserve"> capital, integrated </w:t>
      </w:r>
      <w:r w:rsidR="00AB3D8F">
        <w:rPr>
          <w:rFonts w:ascii="Times New Roman" w:hAnsi="Times New Roman" w:cs="Times New Roman"/>
          <w:sz w:val="24"/>
          <w:szCs w:val="24"/>
        </w:rPr>
        <w:t>thinking</w:t>
      </w:r>
      <w:r w:rsidRPr="00BC46FC">
        <w:rPr>
          <w:rFonts w:ascii="Times New Roman" w:hAnsi="Times New Roman" w:cs="Times New Roman"/>
          <w:sz w:val="24"/>
          <w:szCs w:val="24"/>
        </w:rPr>
        <w:t>,</w:t>
      </w:r>
      <w:r w:rsidR="00AB3D8F">
        <w:rPr>
          <w:rFonts w:ascii="Times New Roman" w:hAnsi="Times New Roman" w:cs="Times New Roman"/>
          <w:sz w:val="24"/>
          <w:szCs w:val="24"/>
        </w:rPr>
        <w:t xml:space="preserve"> sustainability, including sustainable development goals</w:t>
      </w:r>
      <w:r w:rsidR="00EB004A">
        <w:rPr>
          <w:rFonts w:ascii="Times New Roman" w:hAnsi="Times New Roman" w:cs="Times New Roman"/>
          <w:sz w:val="24"/>
          <w:szCs w:val="24"/>
        </w:rPr>
        <w:t>,</w:t>
      </w:r>
      <w:r w:rsidR="002D7F81">
        <w:rPr>
          <w:rFonts w:ascii="Times New Roman" w:hAnsi="Times New Roman" w:cs="Times New Roman"/>
          <w:sz w:val="24"/>
          <w:szCs w:val="24"/>
        </w:rPr>
        <w:t xml:space="preserve"> and triple bottom line</w:t>
      </w:r>
      <w:r w:rsidRPr="00BC46FC">
        <w:rPr>
          <w:rFonts w:ascii="Times New Roman" w:hAnsi="Times New Roman" w:cs="Times New Roman"/>
          <w:sz w:val="24"/>
          <w:szCs w:val="24"/>
        </w:rPr>
        <w:t xml:space="preserve">. Such a body </w:t>
      </w:r>
      <w:r w:rsidR="00BA1A47">
        <w:rPr>
          <w:rFonts w:ascii="Times New Roman" w:hAnsi="Times New Roman" w:cs="Times New Roman"/>
          <w:sz w:val="24"/>
          <w:szCs w:val="24"/>
        </w:rPr>
        <w:t>may</w:t>
      </w:r>
      <w:r w:rsidRPr="00BC46FC">
        <w:rPr>
          <w:rFonts w:ascii="Times New Roman" w:hAnsi="Times New Roman" w:cs="Times New Roman"/>
          <w:sz w:val="24"/>
          <w:szCs w:val="24"/>
        </w:rPr>
        <w:t xml:space="preserve"> either be a new independent </w:t>
      </w:r>
      <w:r w:rsidR="00C3254A" w:rsidRPr="00BC46FC">
        <w:rPr>
          <w:rFonts w:ascii="Times New Roman" w:hAnsi="Times New Roman" w:cs="Times New Roman"/>
          <w:sz w:val="24"/>
          <w:szCs w:val="24"/>
        </w:rPr>
        <w:t xml:space="preserve">international body </w:t>
      </w:r>
      <w:r w:rsidRPr="00BC46FC">
        <w:rPr>
          <w:rFonts w:ascii="Times New Roman" w:hAnsi="Times New Roman" w:cs="Times New Roman"/>
          <w:sz w:val="24"/>
          <w:szCs w:val="24"/>
        </w:rPr>
        <w:t>(International Non-Financial Reporting Standards Board) and/or sub-body of the International Accounting Standard</w:t>
      </w:r>
      <w:r w:rsidR="00354C34">
        <w:rPr>
          <w:rFonts w:ascii="Times New Roman" w:hAnsi="Times New Roman" w:cs="Times New Roman"/>
          <w:sz w:val="24"/>
          <w:szCs w:val="24"/>
        </w:rPr>
        <w:t>s</w:t>
      </w:r>
      <w:r w:rsidRPr="00BC46FC">
        <w:rPr>
          <w:rFonts w:ascii="Times New Roman" w:hAnsi="Times New Roman" w:cs="Times New Roman"/>
          <w:sz w:val="24"/>
          <w:szCs w:val="24"/>
        </w:rPr>
        <w:t xml:space="preserve"> Board (i.e.,</w:t>
      </w:r>
      <w:r w:rsidR="00A32618">
        <w:rPr>
          <w:rFonts w:ascii="Times New Roman" w:hAnsi="Times New Roman" w:cs="Times New Roman"/>
          <w:sz w:val="24"/>
          <w:szCs w:val="24"/>
        </w:rPr>
        <w:t xml:space="preserve"> to be</w:t>
      </w:r>
      <w:r w:rsidRPr="00BC46FC">
        <w:rPr>
          <w:rFonts w:ascii="Times New Roman" w:hAnsi="Times New Roman" w:cs="Times New Roman"/>
          <w:sz w:val="24"/>
          <w:szCs w:val="24"/>
        </w:rPr>
        <w:t xml:space="preserve"> part of international accounting standard</w:t>
      </w:r>
      <w:r w:rsidR="00354C34">
        <w:rPr>
          <w:rFonts w:ascii="Times New Roman" w:hAnsi="Times New Roman" w:cs="Times New Roman"/>
          <w:sz w:val="24"/>
          <w:szCs w:val="24"/>
        </w:rPr>
        <w:t>s</w:t>
      </w:r>
      <w:r w:rsidRPr="00BC46FC">
        <w:rPr>
          <w:rFonts w:ascii="Times New Roman" w:hAnsi="Times New Roman" w:cs="Times New Roman"/>
          <w:sz w:val="24"/>
          <w:szCs w:val="24"/>
        </w:rPr>
        <w:t xml:space="preserve"> board)</w:t>
      </w:r>
      <w:r w:rsidR="00E86AAF">
        <w:rPr>
          <w:rFonts w:ascii="Times New Roman" w:hAnsi="Times New Roman" w:cs="Times New Roman"/>
          <w:sz w:val="24"/>
          <w:szCs w:val="24"/>
        </w:rPr>
        <w:t>, which</w:t>
      </w:r>
      <w:r w:rsidRPr="00BC46FC">
        <w:rPr>
          <w:rFonts w:ascii="Times New Roman" w:hAnsi="Times New Roman" w:cs="Times New Roman"/>
          <w:sz w:val="24"/>
          <w:szCs w:val="24"/>
        </w:rPr>
        <w:t xml:space="preserve"> can be set-up to regulate </w:t>
      </w:r>
      <w:r w:rsidR="00A32618">
        <w:rPr>
          <w:rFonts w:ascii="Times New Roman" w:hAnsi="Times New Roman" w:cs="Times New Roman"/>
          <w:sz w:val="24"/>
          <w:szCs w:val="24"/>
        </w:rPr>
        <w:t>NPR</w:t>
      </w:r>
      <w:r w:rsidRPr="00BC46FC">
        <w:rPr>
          <w:rFonts w:ascii="Times New Roman" w:hAnsi="Times New Roman" w:cs="Times New Roman"/>
          <w:sz w:val="24"/>
          <w:szCs w:val="24"/>
        </w:rPr>
        <w:t xml:space="preserve"> in </w:t>
      </w:r>
      <w:r w:rsidR="00354C34">
        <w:rPr>
          <w:rFonts w:ascii="Times New Roman" w:hAnsi="Times New Roman" w:cs="Times New Roman"/>
          <w:sz w:val="24"/>
          <w:szCs w:val="24"/>
        </w:rPr>
        <w:t xml:space="preserve">profit and </w:t>
      </w:r>
      <w:r w:rsidRPr="00BC46FC">
        <w:rPr>
          <w:rFonts w:ascii="Times New Roman" w:hAnsi="Times New Roman" w:cs="Times New Roman"/>
          <w:sz w:val="24"/>
          <w:szCs w:val="24"/>
        </w:rPr>
        <w:t xml:space="preserve">non-profit organisations. The recently established International Sustainability Standards Board (ISSB) by the IFRS Foundation in conjunction with the Task Force on Climate-related Financial Disclosures (TCFD), Taskforce on Nature-related Financial Disclosures (TNFD), Climate Disclosure Standards Board (CDSB), Global Reporting Initiative (GRI), International Integrated Reporting Council (IIRC), Sustainability Accounting Standards Board (SASB), Value Reporting Foundation (VRF) and the </w:t>
      </w:r>
      <w:r w:rsidRPr="00BC46FC">
        <w:rPr>
          <w:rFonts w:ascii="Times New Roman" w:hAnsi="Times New Roman" w:cs="Times New Roman"/>
          <w:sz w:val="24"/>
          <w:szCs w:val="24"/>
        </w:rPr>
        <w:lastRenderedPageBreak/>
        <w:t xml:space="preserve">World Economic Forum to issue international sustainability standards offers a blueprint for such a body. This may improve comparability of </w:t>
      </w:r>
      <w:r w:rsidR="00A32618">
        <w:rPr>
          <w:rFonts w:ascii="Times New Roman" w:hAnsi="Times New Roman" w:cs="Times New Roman"/>
          <w:sz w:val="24"/>
          <w:szCs w:val="24"/>
        </w:rPr>
        <w:t>NPR</w:t>
      </w:r>
      <w:r w:rsidRPr="00BC46FC">
        <w:rPr>
          <w:rFonts w:ascii="Times New Roman" w:hAnsi="Times New Roman" w:cs="Times New Roman"/>
          <w:sz w:val="24"/>
          <w:szCs w:val="24"/>
        </w:rPr>
        <w:t xml:space="preserve"> not only among HEIs, but also among other profit and non-profit organisations (i.e., local government</w:t>
      </w:r>
      <w:r w:rsidR="00777FDE">
        <w:rPr>
          <w:rFonts w:ascii="Times New Roman" w:hAnsi="Times New Roman" w:cs="Times New Roman"/>
          <w:sz w:val="24"/>
          <w:szCs w:val="24"/>
        </w:rPr>
        <w:t>s</w:t>
      </w:r>
      <w:r w:rsidRPr="00BC46FC">
        <w:rPr>
          <w:rFonts w:ascii="Times New Roman" w:hAnsi="Times New Roman" w:cs="Times New Roman"/>
          <w:sz w:val="24"/>
          <w:szCs w:val="24"/>
        </w:rPr>
        <w:t xml:space="preserve">, charities, </w:t>
      </w:r>
      <w:r w:rsidR="00777FDE">
        <w:rPr>
          <w:rFonts w:ascii="Times New Roman" w:hAnsi="Times New Roman" w:cs="Times New Roman"/>
          <w:sz w:val="24"/>
          <w:szCs w:val="24"/>
        </w:rPr>
        <w:t xml:space="preserve">national </w:t>
      </w:r>
      <w:r w:rsidRPr="00BC46FC">
        <w:rPr>
          <w:rFonts w:ascii="Times New Roman" w:hAnsi="Times New Roman" w:cs="Times New Roman"/>
          <w:sz w:val="24"/>
          <w:szCs w:val="24"/>
        </w:rPr>
        <w:t>health boards, publicly traded firms and religious bodies), as well as across nations.</w:t>
      </w:r>
    </w:p>
    <w:p w14:paraId="4DAAAA34" w14:textId="775F62E1" w:rsidR="005D4D13" w:rsidRDefault="00EA7267" w:rsidP="00934A32">
      <w:pPr>
        <w:spacing w:after="0" w:line="240" w:lineRule="auto"/>
        <w:ind w:firstLine="720"/>
        <w:jc w:val="both"/>
        <w:rPr>
          <w:rFonts w:ascii="Times New Roman" w:hAnsi="Times New Roman" w:cs="Times New Roman"/>
          <w:sz w:val="24"/>
          <w:szCs w:val="24"/>
        </w:rPr>
      </w:pPr>
      <w:r w:rsidRPr="00356ADA">
        <w:rPr>
          <w:rFonts w:ascii="Times New Roman" w:hAnsi="Times New Roman" w:cs="Times New Roman"/>
          <w:sz w:val="24"/>
          <w:szCs w:val="24"/>
        </w:rPr>
        <w:t xml:space="preserve">Further, our study has important implications for researchers, since </w:t>
      </w:r>
      <w:r w:rsidR="0064392A" w:rsidRPr="00356ADA">
        <w:rPr>
          <w:rFonts w:ascii="Times New Roman" w:hAnsi="Times New Roman" w:cs="Times New Roman"/>
          <w:sz w:val="24"/>
          <w:szCs w:val="24"/>
        </w:rPr>
        <w:t>we provide</w:t>
      </w:r>
      <w:r w:rsidRPr="00356ADA">
        <w:rPr>
          <w:rFonts w:ascii="Times New Roman" w:hAnsi="Times New Roman" w:cs="Times New Roman"/>
          <w:sz w:val="24"/>
          <w:szCs w:val="24"/>
        </w:rPr>
        <w:t xml:space="preserve"> early evidence relating to the impact of governance quality (using a composite governance</w:t>
      </w:r>
      <w:r w:rsidR="0052393F">
        <w:rPr>
          <w:rFonts w:ascii="Times New Roman" w:hAnsi="Times New Roman" w:cs="Times New Roman"/>
          <w:sz w:val="24"/>
          <w:szCs w:val="24"/>
        </w:rPr>
        <w:t xml:space="preserve"> disclosure</w:t>
      </w:r>
      <w:r w:rsidR="0064392A" w:rsidRPr="00356ADA">
        <w:rPr>
          <w:rFonts w:ascii="Times New Roman" w:hAnsi="Times New Roman" w:cs="Times New Roman"/>
          <w:sz w:val="24"/>
          <w:szCs w:val="24"/>
        </w:rPr>
        <w:t xml:space="preserve"> index) on risk</w:t>
      </w:r>
      <w:r w:rsidR="002019F7">
        <w:rPr>
          <w:rFonts w:ascii="Times New Roman" w:hAnsi="Times New Roman" w:cs="Times New Roman"/>
          <w:sz w:val="24"/>
          <w:szCs w:val="24"/>
        </w:rPr>
        <w:t>-related</w:t>
      </w:r>
      <w:r w:rsidR="0064392A" w:rsidRPr="00356ADA">
        <w:rPr>
          <w:rFonts w:ascii="Times New Roman" w:hAnsi="Times New Roman" w:cs="Times New Roman"/>
          <w:sz w:val="24"/>
          <w:szCs w:val="24"/>
        </w:rPr>
        <w:t xml:space="preserve"> disclosures among HEIs. This study also offers early evidence regarding the moderating effect of senior management team characteristics (senior management team size, meeting</w:t>
      </w:r>
      <w:r w:rsidR="00EF4C96">
        <w:rPr>
          <w:rFonts w:ascii="Times New Roman" w:hAnsi="Times New Roman" w:cs="Times New Roman"/>
          <w:sz w:val="24"/>
          <w:szCs w:val="24"/>
        </w:rPr>
        <w:t>s</w:t>
      </w:r>
      <w:r w:rsidR="0064392A" w:rsidRPr="00356ADA">
        <w:rPr>
          <w:rFonts w:ascii="Times New Roman" w:hAnsi="Times New Roman" w:cs="Times New Roman"/>
          <w:sz w:val="24"/>
          <w:szCs w:val="24"/>
        </w:rPr>
        <w:t xml:space="preserve"> and gender/ethnic diversity) on the internal governance</w:t>
      </w:r>
      <w:r w:rsidR="00EC1BD6">
        <w:rPr>
          <w:rFonts w:ascii="Times New Roman" w:hAnsi="Times New Roman" w:cs="Times New Roman"/>
          <w:sz w:val="24"/>
          <w:szCs w:val="24"/>
        </w:rPr>
        <w:t xml:space="preserve"> quality</w:t>
      </w:r>
      <w:r w:rsidR="0064392A" w:rsidRPr="00356ADA">
        <w:rPr>
          <w:rFonts w:ascii="Times New Roman" w:hAnsi="Times New Roman" w:cs="Times New Roman"/>
          <w:sz w:val="24"/>
          <w:szCs w:val="24"/>
        </w:rPr>
        <w:t xml:space="preserve">–risk disclosures nexus. Therefore, </w:t>
      </w:r>
      <w:r w:rsidR="00011B09" w:rsidRPr="00356ADA">
        <w:rPr>
          <w:rFonts w:ascii="Times New Roman" w:hAnsi="Times New Roman" w:cs="Times New Roman"/>
          <w:sz w:val="24"/>
          <w:szCs w:val="24"/>
        </w:rPr>
        <w:t xml:space="preserve">future studies may rely on our research to better understand </w:t>
      </w:r>
      <w:r w:rsidR="00913887">
        <w:rPr>
          <w:rFonts w:ascii="Times New Roman" w:hAnsi="Times New Roman" w:cs="Times New Roman"/>
          <w:sz w:val="24"/>
          <w:szCs w:val="24"/>
        </w:rPr>
        <w:t>o</w:t>
      </w:r>
      <w:r w:rsidR="008239B0" w:rsidRPr="00356ADA">
        <w:rPr>
          <w:rFonts w:ascii="Times New Roman" w:hAnsi="Times New Roman" w:cs="Times New Roman"/>
          <w:sz w:val="24"/>
          <w:szCs w:val="24"/>
        </w:rPr>
        <w:t>the</w:t>
      </w:r>
      <w:r w:rsidR="00913887">
        <w:rPr>
          <w:rFonts w:ascii="Times New Roman" w:hAnsi="Times New Roman" w:cs="Times New Roman"/>
          <w:sz w:val="24"/>
          <w:szCs w:val="24"/>
        </w:rPr>
        <w:t>r</w:t>
      </w:r>
      <w:r w:rsidR="008239B0" w:rsidRPr="00356ADA">
        <w:rPr>
          <w:rFonts w:ascii="Times New Roman" w:hAnsi="Times New Roman" w:cs="Times New Roman"/>
          <w:sz w:val="24"/>
          <w:szCs w:val="24"/>
        </w:rPr>
        <w:t xml:space="preserve"> drivers of risk disclosures </w:t>
      </w:r>
      <w:r w:rsidR="00011B09" w:rsidRPr="00356ADA">
        <w:rPr>
          <w:rFonts w:ascii="Times New Roman" w:hAnsi="Times New Roman" w:cs="Times New Roman"/>
          <w:sz w:val="24"/>
          <w:szCs w:val="24"/>
        </w:rPr>
        <w:t xml:space="preserve">among HEIs. </w:t>
      </w:r>
      <w:r w:rsidR="004A4FB0">
        <w:rPr>
          <w:rFonts w:ascii="Times New Roman" w:hAnsi="Times New Roman" w:cs="Times New Roman"/>
          <w:sz w:val="24"/>
          <w:szCs w:val="24"/>
        </w:rPr>
        <w:t>Further, our findings can be generalised to not only HE</w:t>
      </w:r>
      <w:r w:rsidR="00DF3DEE">
        <w:rPr>
          <w:rFonts w:ascii="Times New Roman" w:hAnsi="Times New Roman" w:cs="Times New Roman"/>
          <w:sz w:val="24"/>
          <w:szCs w:val="24"/>
        </w:rPr>
        <w:t>Is</w:t>
      </w:r>
      <w:r w:rsidR="004A4FB0">
        <w:rPr>
          <w:rFonts w:ascii="Times New Roman" w:hAnsi="Times New Roman" w:cs="Times New Roman"/>
          <w:sz w:val="24"/>
          <w:szCs w:val="24"/>
        </w:rPr>
        <w:t xml:space="preserve"> context, but also to other public sector institutions</w:t>
      </w:r>
      <w:r w:rsidR="00710CAA">
        <w:rPr>
          <w:rFonts w:ascii="Times New Roman" w:hAnsi="Times New Roman" w:cs="Times New Roman"/>
          <w:sz w:val="24"/>
          <w:szCs w:val="24"/>
        </w:rPr>
        <w:t xml:space="preserve"> (e.g., </w:t>
      </w:r>
      <w:r w:rsidR="00AD34DD">
        <w:rPr>
          <w:rFonts w:ascii="Times New Roman" w:hAnsi="Times New Roman" w:cs="Times New Roman"/>
          <w:sz w:val="24"/>
          <w:szCs w:val="24"/>
        </w:rPr>
        <w:t xml:space="preserve">national health </w:t>
      </w:r>
      <w:r w:rsidR="00710CAA">
        <w:rPr>
          <w:rFonts w:ascii="Times New Roman" w:hAnsi="Times New Roman" w:cs="Times New Roman"/>
          <w:sz w:val="24"/>
          <w:szCs w:val="24"/>
        </w:rPr>
        <w:t>trusts and local governm</w:t>
      </w:r>
      <w:r w:rsidR="00777FDE">
        <w:rPr>
          <w:rFonts w:ascii="Times New Roman" w:hAnsi="Times New Roman" w:cs="Times New Roman"/>
          <w:sz w:val="24"/>
          <w:szCs w:val="24"/>
        </w:rPr>
        <w:t>ent</w:t>
      </w:r>
      <w:r w:rsidR="00710CAA">
        <w:rPr>
          <w:rFonts w:ascii="Times New Roman" w:hAnsi="Times New Roman" w:cs="Times New Roman"/>
          <w:sz w:val="24"/>
          <w:szCs w:val="24"/>
        </w:rPr>
        <w:t>s)</w:t>
      </w:r>
      <w:r w:rsidR="004A4FB0">
        <w:rPr>
          <w:rFonts w:ascii="Times New Roman" w:hAnsi="Times New Roman" w:cs="Times New Roman"/>
          <w:sz w:val="24"/>
          <w:szCs w:val="24"/>
        </w:rPr>
        <w:t xml:space="preserve">, </w:t>
      </w:r>
      <w:r w:rsidR="00DC49F8">
        <w:rPr>
          <w:rFonts w:ascii="Times New Roman" w:hAnsi="Times New Roman" w:cs="Times New Roman"/>
          <w:sz w:val="24"/>
          <w:szCs w:val="24"/>
        </w:rPr>
        <w:t>and this</w:t>
      </w:r>
      <w:r w:rsidR="00560966">
        <w:rPr>
          <w:rFonts w:ascii="Times New Roman" w:hAnsi="Times New Roman" w:cs="Times New Roman"/>
          <w:sz w:val="24"/>
          <w:szCs w:val="24"/>
        </w:rPr>
        <w:t xml:space="preserve"> is</w:t>
      </w:r>
      <w:r w:rsidR="00DC49F8">
        <w:rPr>
          <w:rFonts w:ascii="Times New Roman" w:hAnsi="Times New Roman" w:cs="Times New Roman"/>
          <w:sz w:val="24"/>
          <w:szCs w:val="24"/>
        </w:rPr>
        <w:t xml:space="preserve"> mainly due to</w:t>
      </w:r>
      <w:r w:rsidR="00560966">
        <w:rPr>
          <w:rFonts w:ascii="Times New Roman" w:hAnsi="Times New Roman" w:cs="Times New Roman"/>
          <w:sz w:val="24"/>
          <w:szCs w:val="24"/>
        </w:rPr>
        <w:t xml:space="preserve"> them</w:t>
      </w:r>
      <w:r w:rsidR="004A4FB0">
        <w:rPr>
          <w:rFonts w:ascii="Times New Roman" w:hAnsi="Times New Roman" w:cs="Times New Roman"/>
          <w:sz w:val="24"/>
          <w:szCs w:val="24"/>
        </w:rPr>
        <w:t xml:space="preserve"> </w:t>
      </w:r>
      <w:r w:rsidR="00774B58">
        <w:rPr>
          <w:rFonts w:ascii="Times New Roman" w:hAnsi="Times New Roman" w:cs="Times New Roman"/>
          <w:sz w:val="24"/>
          <w:szCs w:val="24"/>
        </w:rPr>
        <w:t xml:space="preserve">experiencing similar </w:t>
      </w:r>
      <w:r w:rsidR="00DF3DEE" w:rsidRPr="00DF3DEE">
        <w:rPr>
          <w:rFonts w:ascii="Times New Roman" w:hAnsi="Times New Roman" w:cs="Times New Roman"/>
          <w:sz w:val="24"/>
          <w:szCs w:val="24"/>
        </w:rPr>
        <w:t xml:space="preserve">significant cuts in public funding </w:t>
      </w:r>
      <w:r w:rsidR="00DC49F8">
        <w:rPr>
          <w:rFonts w:ascii="Times New Roman" w:hAnsi="Times New Roman" w:cs="Times New Roman"/>
          <w:sz w:val="24"/>
          <w:szCs w:val="24"/>
        </w:rPr>
        <w:t>over recent years</w:t>
      </w:r>
      <w:r w:rsidR="00710CAA">
        <w:rPr>
          <w:rFonts w:ascii="Times New Roman" w:hAnsi="Times New Roman" w:cs="Times New Roman"/>
          <w:sz w:val="24"/>
          <w:szCs w:val="24"/>
        </w:rPr>
        <w:t xml:space="preserve"> that</w:t>
      </w:r>
      <w:r w:rsidR="00DC49F8">
        <w:rPr>
          <w:rFonts w:ascii="Times New Roman" w:hAnsi="Times New Roman" w:cs="Times New Roman"/>
          <w:sz w:val="24"/>
          <w:szCs w:val="24"/>
        </w:rPr>
        <w:t xml:space="preserve"> </w:t>
      </w:r>
      <w:r w:rsidR="00DF3DEE" w:rsidRPr="00DF3DEE">
        <w:rPr>
          <w:rFonts w:ascii="Times New Roman" w:hAnsi="Times New Roman" w:cs="Times New Roman"/>
          <w:sz w:val="24"/>
          <w:szCs w:val="24"/>
        </w:rPr>
        <w:t xml:space="preserve">have resulted in introducing many market/quasi market-oriented regulatory reforms, which </w:t>
      </w:r>
      <w:r w:rsidR="00DF3DEE">
        <w:rPr>
          <w:rFonts w:ascii="Times New Roman" w:hAnsi="Times New Roman" w:cs="Times New Roman"/>
          <w:sz w:val="24"/>
          <w:szCs w:val="24"/>
        </w:rPr>
        <w:t xml:space="preserve">place </w:t>
      </w:r>
      <w:r w:rsidR="00DF3DEE" w:rsidRPr="00DF3DEE">
        <w:rPr>
          <w:rFonts w:ascii="Times New Roman" w:hAnsi="Times New Roman" w:cs="Times New Roman"/>
          <w:bCs/>
          <w:sz w:val="24"/>
          <w:szCs w:val="24"/>
        </w:rPr>
        <w:t xml:space="preserve">greater emphasis on the need for value-for-money by ensuring that </w:t>
      </w:r>
      <w:r w:rsidR="00DF3DEE">
        <w:rPr>
          <w:rFonts w:ascii="Times New Roman" w:hAnsi="Times New Roman" w:cs="Times New Roman"/>
          <w:bCs/>
          <w:sz w:val="24"/>
          <w:szCs w:val="24"/>
        </w:rPr>
        <w:t>publicly funded in</w:t>
      </w:r>
      <w:r w:rsidR="00AC1AC2">
        <w:rPr>
          <w:rFonts w:ascii="Times New Roman" w:hAnsi="Times New Roman" w:cs="Times New Roman"/>
          <w:bCs/>
          <w:sz w:val="24"/>
          <w:szCs w:val="24"/>
        </w:rPr>
        <w:t>sti</w:t>
      </w:r>
      <w:r w:rsidR="00DF3DEE">
        <w:rPr>
          <w:rFonts w:ascii="Times New Roman" w:hAnsi="Times New Roman" w:cs="Times New Roman"/>
          <w:bCs/>
          <w:sz w:val="24"/>
          <w:szCs w:val="24"/>
        </w:rPr>
        <w:t>tutions</w:t>
      </w:r>
      <w:r w:rsidR="00DF3DEE" w:rsidRPr="00DF3DEE">
        <w:rPr>
          <w:rFonts w:ascii="Times New Roman" w:hAnsi="Times New Roman" w:cs="Times New Roman"/>
          <w:bCs/>
          <w:sz w:val="24"/>
          <w:szCs w:val="24"/>
        </w:rPr>
        <w:t xml:space="preserve"> use public resources efficiently and effectively</w:t>
      </w:r>
      <w:r w:rsidR="00DF3DEE">
        <w:rPr>
          <w:rFonts w:ascii="Times New Roman" w:hAnsi="Times New Roman" w:cs="Times New Roman"/>
          <w:bCs/>
          <w:sz w:val="24"/>
          <w:szCs w:val="24"/>
        </w:rPr>
        <w:t xml:space="preserve">. </w:t>
      </w:r>
      <w:r w:rsidR="00DC49F8">
        <w:rPr>
          <w:rFonts w:ascii="Times New Roman" w:hAnsi="Times New Roman" w:cs="Times New Roman"/>
          <w:sz w:val="24"/>
          <w:szCs w:val="24"/>
        </w:rPr>
        <w:t xml:space="preserve"> </w:t>
      </w:r>
    </w:p>
    <w:p w14:paraId="69C63A65" w14:textId="41F9A7C3" w:rsidR="002F09EC" w:rsidRPr="002F09EC" w:rsidRDefault="00495485" w:rsidP="00A228F8">
      <w:pPr>
        <w:spacing w:after="0" w:line="240" w:lineRule="auto"/>
        <w:ind w:firstLine="720"/>
        <w:jc w:val="both"/>
        <w:rPr>
          <w:rFonts w:ascii="Times New Roman" w:hAnsi="Times New Roman" w:cs="Times New Roman"/>
        </w:rPr>
      </w:pPr>
      <w:r w:rsidRPr="00356ADA">
        <w:rPr>
          <w:rFonts w:ascii="Times New Roman" w:hAnsi="Times New Roman" w:cs="Times New Roman"/>
          <w:sz w:val="24"/>
          <w:szCs w:val="24"/>
        </w:rPr>
        <w:t>Finally, whilst our study is robust and important, its limitations need to be explicitly acknowledged. For example</w:t>
      </w:r>
      <w:r w:rsidR="00FD0140">
        <w:rPr>
          <w:rFonts w:ascii="Times New Roman" w:hAnsi="Times New Roman" w:cs="Times New Roman"/>
          <w:sz w:val="24"/>
          <w:szCs w:val="24"/>
        </w:rPr>
        <w:t>,</w:t>
      </w:r>
      <w:r w:rsidRPr="00356ADA">
        <w:rPr>
          <w:rFonts w:ascii="Times New Roman" w:hAnsi="Times New Roman" w:cs="Times New Roman"/>
          <w:sz w:val="24"/>
          <w:szCs w:val="24"/>
        </w:rPr>
        <w:t xml:space="preserve"> and in line with other archival research of this nature, our proxies for governance, risk and financial variables may or may not reflect practice. In this case, future studies may be able to offer new insights by conducting in-depth interviews and case studies </w:t>
      </w:r>
      <w:r w:rsidR="00FC06F9" w:rsidRPr="00356ADA">
        <w:rPr>
          <w:rFonts w:ascii="Times New Roman" w:hAnsi="Times New Roman" w:cs="Times New Roman"/>
          <w:sz w:val="24"/>
          <w:szCs w:val="24"/>
        </w:rPr>
        <w:t xml:space="preserve">with key stakeholders, such as governors, </w:t>
      </w:r>
      <w:r w:rsidR="006410EA" w:rsidRPr="00356ADA">
        <w:rPr>
          <w:rFonts w:ascii="Times New Roman" w:hAnsi="Times New Roman" w:cs="Times New Roman"/>
          <w:sz w:val="24"/>
          <w:szCs w:val="24"/>
        </w:rPr>
        <w:t>HEI</w:t>
      </w:r>
      <w:r w:rsidR="00FC06F9" w:rsidRPr="00356ADA">
        <w:rPr>
          <w:rFonts w:ascii="Times New Roman" w:hAnsi="Times New Roman" w:cs="Times New Roman"/>
          <w:sz w:val="24"/>
          <w:szCs w:val="24"/>
        </w:rPr>
        <w:t xml:space="preserve"> executives and regulatory bodies relating to the issues examined.</w:t>
      </w:r>
      <w:r w:rsidRPr="00356ADA">
        <w:rPr>
          <w:rFonts w:ascii="Times New Roman" w:hAnsi="Times New Roman" w:cs="Times New Roman"/>
          <w:sz w:val="24"/>
          <w:szCs w:val="24"/>
        </w:rPr>
        <w:t xml:space="preserve"> </w:t>
      </w:r>
      <w:r w:rsidR="00FC06F9" w:rsidRPr="00356ADA">
        <w:rPr>
          <w:rFonts w:ascii="Times New Roman" w:hAnsi="Times New Roman" w:cs="Times New Roman"/>
          <w:sz w:val="24"/>
          <w:szCs w:val="24"/>
        </w:rPr>
        <w:t xml:space="preserve"> Additionally, due to the labour</w:t>
      </w:r>
      <w:r w:rsidR="00187231" w:rsidRPr="00356ADA">
        <w:rPr>
          <w:rFonts w:ascii="Times New Roman" w:hAnsi="Times New Roman" w:cs="Times New Roman"/>
          <w:sz w:val="24"/>
          <w:szCs w:val="24"/>
        </w:rPr>
        <w:t>-</w:t>
      </w:r>
      <w:r w:rsidR="00FC06F9" w:rsidRPr="00356ADA">
        <w:rPr>
          <w:rFonts w:ascii="Times New Roman" w:hAnsi="Times New Roman" w:cs="Times New Roman"/>
          <w:sz w:val="24"/>
          <w:szCs w:val="24"/>
        </w:rPr>
        <w:t>intensive nature of manual data collection, our sample is limited to UK HEIs, and therefore, future studies may be able to offer new insights by expanding our sample over a number of countries</w:t>
      </w:r>
      <w:r w:rsidR="00187231" w:rsidRPr="00356ADA">
        <w:rPr>
          <w:rFonts w:ascii="Times New Roman" w:hAnsi="Times New Roman" w:cs="Times New Roman"/>
          <w:sz w:val="24"/>
          <w:szCs w:val="24"/>
        </w:rPr>
        <w:t>.</w:t>
      </w:r>
      <w:r w:rsidR="00FC06F9" w:rsidRPr="00356ADA">
        <w:rPr>
          <w:rFonts w:ascii="Times New Roman" w:hAnsi="Times New Roman" w:cs="Times New Roman"/>
          <w:sz w:val="24"/>
          <w:szCs w:val="24"/>
        </w:rPr>
        <w:t xml:space="preserve"> </w:t>
      </w:r>
      <w:r w:rsidR="00011B09" w:rsidRPr="00356ADA">
        <w:rPr>
          <w:rFonts w:ascii="Times New Roman" w:hAnsi="Times New Roman" w:cs="Times New Roman"/>
          <w:sz w:val="24"/>
          <w:szCs w:val="24"/>
        </w:rPr>
        <w:t xml:space="preserve">Further, </w:t>
      </w:r>
      <w:r w:rsidR="009256A6" w:rsidRPr="00356ADA">
        <w:rPr>
          <w:rFonts w:ascii="Times New Roman" w:hAnsi="Times New Roman" w:cs="Times New Roman"/>
          <w:sz w:val="24"/>
          <w:szCs w:val="24"/>
        </w:rPr>
        <w:t xml:space="preserve">and given that manually collecting data using annual reports is immensely tedious work, as well as due to the significant cut </w:t>
      </w:r>
      <w:r w:rsidR="003C7017">
        <w:rPr>
          <w:rFonts w:ascii="Times New Roman" w:hAnsi="Times New Roman" w:cs="Times New Roman"/>
          <w:sz w:val="24"/>
          <w:szCs w:val="24"/>
        </w:rPr>
        <w:t>in</w:t>
      </w:r>
      <w:r w:rsidR="009256A6" w:rsidRPr="00356ADA">
        <w:rPr>
          <w:rFonts w:ascii="Times New Roman" w:hAnsi="Times New Roman" w:cs="Times New Roman"/>
          <w:sz w:val="24"/>
          <w:szCs w:val="24"/>
        </w:rPr>
        <w:t xml:space="preserve"> fund</w:t>
      </w:r>
      <w:r w:rsidR="003C7017">
        <w:rPr>
          <w:rFonts w:ascii="Times New Roman" w:hAnsi="Times New Roman" w:cs="Times New Roman"/>
          <w:sz w:val="24"/>
          <w:szCs w:val="24"/>
        </w:rPr>
        <w:t>ing</w:t>
      </w:r>
      <w:r w:rsidR="009256A6" w:rsidRPr="00356ADA">
        <w:rPr>
          <w:rFonts w:ascii="Times New Roman" w:hAnsi="Times New Roman" w:cs="Times New Roman"/>
          <w:sz w:val="24"/>
          <w:szCs w:val="24"/>
        </w:rPr>
        <w:t xml:space="preserve"> f</w:t>
      </w:r>
      <w:r w:rsidR="003C7017">
        <w:rPr>
          <w:rFonts w:ascii="Times New Roman" w:hAnsi="Times New Roman" w:cs="Times New Roman"/>
          <w:sz w:val="24"/>
          <w:szCs w:val="24"/>
        </w:rPr>
        <w:t>r</w:t>
      </w:r>
      <w:r w:rsidR="009256A6" w:rsidRPr="00356ADA">
        <w:rPr>
          <w:rFonts w:ascii="Times New Roman" w:hAnsi="Times New Roman" w:cs="Times New Roman"/>
          <w:sz w:val="24"/>
          <w:szCs w:val="24"/>
        </w:rPr>
        <w:t xml:space="preserve">om the </w:t>
      </w:r>
      <w:r w:rsidR="003C7017">
        <w:rPr>
          <w:rFonts w:ascii="Times New Roman" w:hAnsi="Times New Roman" w:cs="Times New Roman"/>
          <w:sz w:val="24"/>
          <w:szCs w:val="24"/>
        </w:rPr>
        <w:t xml:space="preserve">UK </w:t>
      </w:r>
      <w:r w:rsidR="000C4DC0" w:rsidRPr="00356ADA">
        <w:rPr>
          <w:rFonts w:ascii="Times New Roman" w:hAnsi="Times New Roman" w:cs="Times New Roman"/>
          <w:sz w:val="24"/>
          <w:szCs w:val="24"/>
        </w:rPr>
        <w:t>central</w:t>
      </w:r>
      <w:r w:rsidR="009256A6" w:rsidRPr="00356ADA">
        <w:rPr>
          <w:rFonts w:ascii="Times New Roman" w:hAnsi="Times New Roman" w:cs="Times New Roman"/>
          <w:sz w:val="24"/>
          <w:szCs w:val="24"/>
        </w:rPr>
        <w:t xml:space="preserve"> govern</w:t>
      </w:r>
      <w:r w:rsidR="003C7017">
        <w:rPr>
          <w:rFonts w:ascii="Times New Roman" w:hAnsi="Times New Roman" w:cs="Times New Roman"/>
          <w:sz w:val="24"/>
          <w:szCs w:val="24"/>
        </w:rPr>
        <w:t>ment</w:t>
      </w:r>
      <w:r w:rsidR="009256A6" w:rsidRPr="00356ADA">
        <w:rPr>
          <w:rFonts w:ascii="Times New Roman" w:hAnsi="Times New Roman" w:cs="Times New Roman"/>
          <w:sz w:val="24"/>
          <w:szCs w:val="24"/>
        </w:rPr>
        <w:t xml:space="preserve"> to public in</w:t>
      </w:r>
      <w:r w:rsidR="00352EC3">
        <w:rPr>
          <w:rFonts w:ascii="Times New Roman" w:hAnsi="Times New Roman" w:cs="Times New Roman"/>
          <w:sz w:val="24"/>
          <w:szCs w:val="24"/>
        </w:rPr>
        <w:t>sti</w:t>
      </w:r>
      <w:r w:rsidR="009256A6" w:rsidRPr="00356ADA">
        <w:rPr>
          <w:rFonts w:ascii="Times New Roman" w:hAnsi="Times New Roman" w:cs="Times New Roman"/>
          <w:sz w:val="24"/>
          <w:szCs w:val="24"/>
        </w:rPr>
        <w:t>tutions, including HEIs</w:t>
      </w:r>
      <w:r w:rsidR="000C4DC0" w:rsidRPr="00356ADA">
        <w:rPr>
          <w:rFonts w:ascii="Times New Roman" w:hAnsi="Times New Roman" w:cs="Times New Roman"/>
          <w:sz w:val="24"/>
          <w:szCs w:val="24"/>
        </w:rPr>
        <w:t>,</w:t>
      </w:r>
      <w:r w:rsidR="009256A6" w:rsidRPr="00356ADA">
        <w:rPr>
          <w:rFonts w:ascii="Times New Roman" w:hAnsi="Times New Roman" w:cs="Times New Roman"/>
          <w:sz w:val="24"/>
          <w:szCs w:val="24"/>
        </w:rPr>
        <w:t xml:space="preserve"> following the 2007/08 global financial crisis, </w:t>
      </w:r>
      <w:r w:rsidR="006410EA" w:rsidRPr="00356ADA">
        <w:rPr>
          <w:rFonts w:ascii="Times New Roman" w:hAnsi="Times New Roman" w:cs="Times New Roman"/>
          <w:sz w:val="24"/>
          <w:szCs w:val="24"/>
        </w:rPr>
        <w:t xml:space="preserve">our analysis is restricted to the period between 2009-2014, which may impair </w:t>
      </w:r>
      <w:r w:rsidR="005D4D13">
        <w:rPr>
          <w:rFonts w:ascii="Times New Roman" w:hAnsi="Times New Roman" w:cs="Times New Roman"/>
          <w:sz w:val="24"/>
          <w:szCs w:val="24"/>
        </w:rPr>
        <w:t xml:space="preserve">generalisability of </w:t>
      </w:r>
      <w:r w:rsidR="006410EA" w:rsidRPr="00356ADA">
        <w:rPr>
          <w:rFonts w:ascii="Times New Roman" w:hAnsi="Times New Roman" w:cs="Times New Roman"/>
          <w:sz w:val="24"/>
          <w:szCs w:val="24"/>
        </w:rPr>
        <w:t>our results</w:t>
      </w:r>
      <w:r w:rsidR="008239B0" w:rsidRPr="00356ADA">
        <w:rPr>
          <w:rFonts w:ascii="Times New Roman" w:hAnsi="Times New Roman" w:cs="Times New Roman"/>
          <w:sz w:val="24"/>
          <w:szCs w:val="24"/>
        </w:rPr>
        <w:t xml:space="preserve">. Therefore, as </w:t>
      </w:r>
      <w:r w:rsidR="00352EC3">
        <w:rPr>
          <w:rFonts w:ascii="Times New Roman" w:hAnsi="Times New Roman" w:cs="Times New Roman"/>
          <w:sz w:val="24"/>
          <w:szCs w:val="24"/>
        </w:rPr>
        <w:t xml:space="preserve">more </w:t>
      </w:r>
      <w:r w:rsidR="008239B0" w:rsidRPr="00356ADA">
        <w:rPr>
          <w:rFonts w:ascii="Times New Roman" w:hAnsi="Times New Roman" w:cs="Times New Roman"/>
          <w:sz w:val="24"/>
          <w:szCs w:val="24"/>
        </w:rPr>
        <w:t>data become</w:t>
      </w:r>
      <w:r w:rsidR="00352EC3">
        <w:rPr>
          <w:rFonts w:ascii="Times New Roman" w:hAnsi="Times New Roman" w:cs="Times New Roman"/>
          <w:sz w:val="24"/>
          <w:szCs w:val="24"/>
        </w:rPr>
        <w:t>s</w:t>
      </w:r>
      <w:r w:rsidR="000C4DC0" w:rsidRPr="00356ADA">
        <w:rPr>
          <w:rFonts w:ascii="Times New Roman" w:hAnsi="Times New Roman" w:cs="Times New Roman"/>
          <w:sz w:val="24"/>
          <w:szCs w:val="24"/>
        </w:rPr>
        <w:t xml:space="preserve"> readily available and easily accessible, </w:t>
      </w:r>
      <w:r w:rsidR="008700A1" w:rsidRPr="00356ADA">
        <w:rPr>
          <w:rFonts w:ascii="Times New Roman" w:hAnsi="Times New Roman" w:cs="Times New Roman"/>
          <w:sz w:val="24"/>
          <w:szCs w:val="24"/>
        </w:rPr>
        <w:t>future studies</w:t>
      </w:r>
      <w:r w:rsidR="00352EC3">
        <w:rPr>
          <w:rFonts w:ascii="Times New Roman" w:hAnsi="Times New Roman" w:cs="Times New Roman"/>
          <w:sz w:val="24"/>
          <w:szCs w:val="24"/>
        </w:rPr>
        <w:t xml:space="preserve"> may be able to offer new insights</w:t>
      </w:r>
      <w:r w:rsidR="008700A1" w:rsidRPr="00356ADA">
        <w:rPr>
          <w:rFonts w:ascii="Times New Roman" w:hAnsi="Times New Roman" w:cs="Times New Roman"/>
          <w:sz w:val="24"/>
          <w:szCs w:val="24"/>
        </w:rPr>
        <w:t xml:space="preserve"> </w:t>
      </w:r>
      <w:r w:rsidR="00352EC3">
        <w:rPr>
          <w:rFonts w:ascii="Times New Roman" w:hAnsi="Times New Roman" w:cs="Times New Roman"/>
          <w:sz w:val="24"/>
          <w:szCs w:val="24"/>
        </w:rPr>
        <w:t xml:space="preserve">by </w:t>
      </w:r>
      <w:r w:rsidR="008700A1" w:rsidRPr="00356ADA">
        <w:rPr>
          <w:rFonts w:ascii="Times New Roman" w:hAnsi="Times New Roman" w:cs="Times New Roman"/>
          <w:sz w:val="24"/>
          <w:szCs w:val="24"/>
        </w:rPr>
        <w:t>examin</w:t>
      </w:r>
      <w:r w:rsidR="00352EC3">
        <w:rPr>
          <w:rFonts w:ascii="Times New Roman" w:hAnsi="Times New Roman" w:cs="Times New Roman"/>
          <w:sz w:val="24"/>
          <w:szCs w:val="24"/>
        </w:rPr>
        <w:t>ing</w:t>
      </w:r>
      <w:r w:rsidR="008700A1" w:rsidRPr="00356ADA">
        <w:rPr>
          <w:rFonts w:ascii="Times New Roman" w:hAnsi="Times New Roman" w:cs="Times New Roman"/>
          <w:sz w:val="24"/>
          <w:szCs w:val="24"/>
        </w:rPr>
        <w:t xml:space="preserve"> risk disclosure practices among HEIs over a </w:t>
      </w:r>
      <w:r w:rsidR="00AF26DC" w:rsidRPr="00356ADA">
        <w:rPr>
          <w:rFonts w:ascii="Times New Roman" w:hAnsi="Times New Roman" w:cs="Times New Roman"/>
          <w:sz w:val="24"/>
          <w:szCs w:val="24"/>
        </w:rPr>
        <w:t>longer period</w:t>
      </w:r>
      <w:r w:rsidR="008700A1" w:rsidRPr="00356ADA">
        <w:rPr>
          <w:rFonts w:ascii="Times New Roman" w:hAnsi="Times New Roman" w:cs="Times New Roman"/>
          <w:sz w:val="24"/>
          <w:szCs w:val="24"/>
        </w:rPr>
        <w:t xml:space="preserve">. </w:t>
      </w:r>
      <w:r w:rsidR="005D4D13">
        <w:rPr>
          <w:rFonts w:ascii="Times New Roman" w:hAnsi="Times New Roman" w:cs="Times New Roman"/>
          <w:sz w:val="24"/>
          <w:szCs w:val="24"/>
        </w:rPr>
        <w:t xml:space="preserve">In addition, the 2010 Browne Report, which has served as a central policy motivation for our current study has been succeeded by a new 2019 Augur Review, which has made further comprehensive quasi-market reforms to UK further colleges and HEIs. However, the recommendations contained in the Augur Review are yet to be implemented, and therefore, likely to have limited effect on our findings. </w:t>
      </w:r>
      <w:r w:rsidR="0065355B">
        <w:rPr>
          <w:rFonts w:ascii="Times New Roman" w:hAnsi="Times New Roman" w:cs="Times New Roman"/>
          <w:sz w:val="24"/>
          <w:szCs w:val="24"/>
        </w:rPr>
        <w:t>Consequently, a</w:t>
      </w:r>
      <w:r w:rsidR="005D4D13">
        <w:rPr>
          <w:rFonts w:ascii="Times New Roman" w:hAnsi="Times New Roman" w:cs="Times New Roman"/>
          <w:sz w:val="24"/>
          <w:szCs w:val="24"/>
        </w:rPr>
        <w:t xml:space="preserve">s the recommendations contained in the Augur Review get implemented, </w:t>
      </w:r>
      <w:r w:rsidR="00533EB7">
        <w:rPr>
          <w:rFonts w:ascii="Times New Roman" w:hAnsi="Times New Roman" w:cs="Times New Roman"/>
          <w:sz w:val="24"/>
          <w:szCs w:val="24"/>
        </w:rPr>
        <w:t>future researchers may be able extend our study by addressing these research questions.</w:t>
      </w:r>
    </w:p>
    <w:p w14:paraId="2B5A4AC4" w14:textId="77777777" w:rsidR="00075214" w:rsidRPr="00233EC8" w:rsidRDefault="00075214" w:rsidP="00B27CF1">
      <w:pPr>
        <w:spacing w:after="0" w:line="240" w:lineRule="auto"/>
        <w:rPr>
          <w:rFonts w:ascii="Times New Roman" w:hAnsi="Times New Roman" w:cs="Times New Roman"/>
        </w:rPr>
      </w:pPr>
    </w:p>
    <w:p w14:paraId="1008FD1C" w14:textId="77777777" w:rsidR="00075214" w:rsidRPr="00233EC8" w:rsidRDefault="00075214" w:rsidP="00B27CF1">
      <w:pPr>
        <w:spacing w:after="0" w:line="240" w:lineRule="auto"/>
        <w:rPr>
          <w:rFonts w:ascii="Times New Roman" w:hAnsi="Times New Roman" w:cs="Times New Roman"/>
        </w:rPr>
        <w:sectPr w:rsidR="00075214" w:rsidRPr="00233EC8" w:rsidSect="004B2D55">
          <w:footerReference w:type="default" r:id="rId10"/>
          <w:pgSz w:w="11906" w:h="16838"/>
          <w:pgMar w:top="1304" w:right="1304" w:bottom="1304" w:left="1304" w:header="708" w:footer="708" w:gutter="0"/>
          <w:cols w:space="708"/>
          <w:docGrid w:linePitch="360"/>
        </w:sectPr>
      </w:pPr>
    </w:p>
    <w:p w14:paraId="325FFC4C" w14:textId="4A24BCE5" w:rsidR="00001FCF" w:rsidRPr="00356ADA" w:rsidRDefault="00A03A45" w:rsidP="00B27CF1">
      <w:pPr>
        <w:spacing w:after="0" w:line="240" w:lineRule="auto"/>
        <w:rPr>
          <w:rFonts w:ascii="Times New Roman" w:hAnsi="Times New Roman" w:cs="Times New Roman"/>
          <w:b/>
          <w:sz w:val="24"/>
          <w:szCs w:val="24"/>
        </w:rPr>
      </w:pPr>
      <w:r w:rsidRPr="00356ADA">
        <w:rPr>
          <w:rFonts w:ascii="Times New Roman" w:hAnsi="Times New Roman" w:cs="Times New Roman"/>
          <w:b/>
          <w:sz w:val="24"/>
          <w:szCs w:val="24"/>
        </w:rPr>
        <w:lastRenderedPageBreak/>
        <w:t>R</w:t>
      </w:r>
      <w:r w:rsidR="00DE60D5" w:rsidRPr="00356ADA">
        <w:rPr>
          <w:rFonts w:ascii="Times New Roman" w:hAnsi="Times New Roman" w:cs="Times New Roman"/>
          <w:b/>
          <w:sz w:val="24"/>
          <w:szCs w:val="24"/>
        </w:rPr>
        <w:t xml:space="preserve">eferences </w:t>
      </w:r>
    </w:p>
    <w:p w14:paraId="629CF447" w14:textId="77777777" w:rsidR="00B27CF1" w:rsidRPr="00356ADA" w:rsidRDefault="00B27CF1" w:rsidP="00B27CF1">
      <w:pPr>
        <w:spacing w:after="0" w:line="240" w:lineRule="auto"/>
        <w:ind w:hanging="170"/>
        <w:jc w:val="both"/>
        <w:rPr>
          <w:rFonts w:ascii="Times New Roman" w:hAnsi="Times New Roman" w:cs="Times New Roman"/>
          <w:sz w:val="24"/>
          <w:szCs w:val="24"/>
          <w:lang w:val="en"/>
        </w:rPr>
      </w:pPr>
    </w:p>
    <w:p w14:paraId="0FF2CAB6" w14:textId="45A1EF13" w:rsidR="00645E72" w:rsidRPr="00356ADA" w:rsidRDefault="00645E72" w:rsidP="002B7FB5">
      <w:pPr>
        <w:spacing w:after="0" w:line="240" w:lineRule="auto"/>
        <w:ind w:left="170" w:hanging="170"/>
        <w:jc w:val="both"/>
        <w:rPr>
          <w:rFonts w:ascii="Times New Roman" w:hAnsi="Times New Roman" w:cs="Times New Roman"/>
          <w:sz w:val="24"/>
          <w:szCs w:val="24"/>
        </w:rPr>
      </w:pPr>
      <w:bookmarkStart w:id="9" w:name="_Hlk95991611"/>
      <w:r w:rsidRPr="00356ADA">
        <w:rPr>
          <w:rFonts w:ascii="Times New Roman" w:hAnsi="Times New Roman" w:cs="Times New Roman"/>
          <w:sz w:val="24"/>
          <w:szCs w:val="24"/>
        </w:rPr>
        <w:t xml:space="preserve">Abraham, S., &amp; Cox, P. (2007). </w:t>
      </w:r>
      <w:bookmarkStart w:id="10" w:name="_Hlk116819684"/>
      <w:r w:rsidRPr="00356ADA">
        <w:rPr>
          <w:rFonts w:ascii="Times New Roman" w:hAnsi="Times New Roman" w:cs="Times New Roman"/>
          <w:sz w:val="24"/>
          <w:szCs w:val="24"/>
        </w:rPr>
        <w:t>Analysing the determinants of narrative risk information in UK FTSE 100 annual reports.</w:t>
      </w:r>
      <w:r w:rsidR="00537F2C" w:rsidRPr="00356ADA">
        <w:rPr>
          <w:rFonts w:ascii="Times New Roman" w:hAnsi="Times New Roman" w:cs="Times New Roman"/>
          <w:sz w:val="24"/>
          <w:szCs w:val="24"/>
        </w:rPr>
        <w:t xml:space="preserve"> </w:t>
      </w:r>
      <w:bookmarkEnd w:id="10"/>
      <w:r w:rsidRPr="00356ADA">
        <w:rPr>
          <w:rFonts w:ascii="Times New Roman" w:hAnsi="Times New Roman" w:cs="Times New Roman"/>
          <w:i/>
          <w:sz w:val="24"/>
          <w:szCs w:val="24"/>
        </w:rPr>
        <w:t>British Accounting Review</w:t>
      </w:r>
      <w:r w:rsidRPr="00356ADA">
        <w:rPr>
          <w:rFonts w:ascii="Times New Roman" w:hAnsi="Times New Roman" w:cs="Times New Roman"/>
          <w:sz w:val="24"/>
          <w:szCs w:val="24"/>
        </w:rPr>
        <w:t xml:space="preserve">, </w:t>
      </w:r>
      <w:r w:rsidRPr="00356ADA">
        <w:rPr>
          <w:rFonts w:ascii="Times New Roman" w:hAnsi="Times New Roman" w:cs="Times New Roman"/>
          <w:i/>
          <w:sz w:val="24"/>
          <w:szCs w:val="24"/>
        </w:rPr>
        <w:t>39</w:t>
      </w:r>
      <w:r w:rsidRPr="00356ADA">
        <w:rPr>
          <w:rFonts w:ascii="Times New Roman" w:hAnsi="Times New Roman" w:cs="Times New Roman"/>
          <w:sz w:val="24"/>
          <w:szCs w:val="24"/>
        </w:rPr>
        <w:t>, 227-248.</w:t>
      </w:r>
    </w:p>
    <w:bookmarkEnd w:id="9"/>
    <w:p w14:paraId="7154D943" w14:textId="6CE9E465" w:rsidR="00DB1E38" w:rsidRDefault="00DB1E38" w:rsidP="002B7FB5">
      <w:pPr>
        <w:spacing w:after="0" w:line="240" w:lineRule="auto"/>
        <w:ind w:left="170" w:hanging="170"/>
        <w:jc w:val="both"/>
        <w:rPr>
          <w:rFonts w:ascii="Times New Roman" w:hAnsi="Times New Roman" w:cs="Times New Roman"/>
          <w:sz w:val="24"/>
          <w:szCs w:val="24"/>
        </w:rPr>
      </w:pPr>
      <w:r>
        <w:rPr>
          <w:rFonts w:ascii="Times New Roman" w:hAnsi="Times New Roman" w:cs="Times New Roman"/>
          <w:sz w:val="24"/>
          <w:szCs w:val="24"/>
        </w:rPr>
        <w:t>Augur</w:t>
      </w:r>
      <w:r w:rsidR="00B3132A">
        <w:rPr>
          <w:rFonts w:ascii="Times New Roman" w:hAnsi="Times New Roman" w:cs="Times New Roman"/>
          <w:sz w:val="24"/>
          <w:szCs w:val="24"/>
        </w:rPr>
        <w:t xml:space="preserve"> (Review)</w:t>
      </w:r>
      <w:r>
        <w:rPr>
          <w:rFonts w:ascii="Times New Roman" w:hAnsi="Times New Roman" w:cs="Times New Roman"/>
          <w:sz w:val="24"/>
          <w:szCs w:val="24"/>
        </w:rPr>
        <w:t xml:space="preserve">, P. (2019). </w:t>
      </w:r>
      <w:r w:rsidRPr="008E42E1">
        <w:rPr>
          <w:rFonts w:ascii="Times New Roman" w:hAnsi="Times New Roman" w:cs="Times New Roman"/>
          <w:i/>
          <w:iCs/>
          <w:sz w:val="24"/>
          <w:szCs w:val="24"/>
        </w:rPr>
        <w:t>Independent Review of Post-18 Education and Funding</w:t>
      </w:r>
      <w:r>
        <w:rPr>
          <w:rFonts w:ascii="Times New Roman" w:hAnsi="Times New Roman" w:cs="Times New Roman"/>
          <w:sz w:val="24"/>
          <w:szCs w:val="24"/>
        </w:rPr>
        <w:t>, Department of Education, London.</w:t>
      </w:r>
    </w:p>
    <w:p w14:paraId="1D3125F6" w14:textId="7B27D2FD" w:rsidR="00A64AC1" w:rsidRDefault="00A64AC1" w:rsidP="002B7FB5">
      <w:pPr>
        <w:spacing w:after="0" w:line="240" w:lineRule="auto"/>
        <w:ind w:left="170" w:hanging="170"/>
        <w:jc w:val="both"/>
        <w:rPr>
          <w:rFonts w:ascii="Times New Roman" w:hAnsi="Times New Roman" w:cs="Times New Roman"/>
          <w:sz w:val="24"/>
          <w:szCs w:val="24"/>
        </w:rPr>
      </w:pPr>
      <w:r w:rsidRPr="00A64AC1">
        <w:rPr>
          <w:rFonts w:ascii="Times New Roman" w:hAnsi="Times New Roman" w:cs="Times New Roman"/>
          <w:sz w:val="24"/>
          <w:szCs w:val="24"/>
        </w:rPr>
        <w:t>Baboukardos, D. (2018). The valuation relevance of environmental performance revisited: The moderating role of environmental provisions. </w:t>
      </w:r>
      <w:r w:rsidRPr="00A64AC1">
        <w:rPr>
          <w:rFonts w:ascii="Times New Roman" w:hAnsi="Times New Roman" w:cs="Times New Roman"/>
          <w:i/>
          <w:iCs/>
          <w:sz w:val="24"/>
          <w:szCs w:val="24"/>
        </w:rPr>
        <w:t>British Accounting Review</w:t>
      </w:r>
      <w:r w:rsidRPr="00A64AC1">
        <w:rPr>
          <w:rFonts w:ascii="Times New Roman" w:hAnsi="Times New Roman" w:cs="Times New Roman"/>
          <w:sz w:val="24"/>
          <w:szCs w:val="24"/>
        </w:rPr>
        <w:t>, </w:t>
      </w:r>
      <w:r w:rsidRPr="00A64AC1">
        <w:rPr>
          <w:rFonts w:ascii="Times New Roman" w:hAnsi="Times New Roman" w:cs="Times New Roman"/>
          <w:i/>
          <w:iCs/>
          <w:sz w:val="24"/>
          <w:szCs w:val="24"/>
        </w:rPr>
        <w:t>50</w:t>
      </w:r>
      <w:r w:rsidRPr="00A64AC1">
        <w:rPr>
          <w:rFonts w:ascii="Times New Roman" w:hAnsi="Times New Roman" w:cs="Times New Roman"/>
          <w:sz w:val="24"/>
          <w:szCs w:val="24"/>
        </w:rPr>
        <w:t>(1), 32-47.</w:t>
      </w:r>
    </w:p>
    <w:p w14:paraId="313E2DE1" w14:textId="2AEA615E" w:rsidR="0021381D" w:rsidRPr="00FD0140" w:rsidRDefault="0021381D" w:rsidP="002B7FB5">
      <w:pPr>
        <w:spacing w:after="0" w:line="240" w:lineRule="auto"/>
        <w:ind w:left="170" w:hanging="170"/>
        <w:jc w:val="both"/>
        <w:rPr>
          <w:rFonts w:ascii="Times New Roman" w:hAnsi="Times New Roman" w:cs="Times New Roman"/>
          <w:sz w:val="24"/>
          <w:szCs w:val="24"/>
        </w:rPr>
      </w:pPr>
      <w:r w:rsidRPr="00FD0140">
        <w:rPr>
          <w:rFonts w:ascii="Times New Roman" w:hAnsi="Times New Roman" w:cs="Times New Roman"/>
          <w:sz w:val="24"/>
          <w:szCs w:val="24"/>
        </w:rPr>
        <w:t xml:space="preserve">Banks, W., Fisher, J., &amp; Nelson, M. (1997). University accountability in England, Wales, and Northern Irreland: 1992-1994. </w:t>
      </w:r>
      <w:r w:rsidRPr="00FD0140">
        <w:rPr>
          <w:rFonts w:ascii="Times New Roman" w:hAnsi="Times New Roman" w:cs="Times New Roman"/>
          <w:i/>
          <w:sz w:val="24"/>
          <w:szCs w:val="24"/>
        </w:rPr>
        <w:t>Journal of International Accounting, Auditing and Taxation</w:t>
      </w:r>
      <w:r w:rsidRPr="00FD0140">
        <w:rPr>
          <w:rFonts w:ascii="Times New Roman" w:hAnsi="Times New Roman" w:cs="Times New Roman"/>
          <w:sz w:val="24"/>
          <w:szCs w:val="24"/>
        </w:rPr>
        <w:t xml:space="preserve">, </w:t>
      </w:r>
      <w:r w:rsidRPr="00FD0140">
        <w:rPr>
          <w:rFonts w:ascii="Times New Roman" w:hAnsi="Times New Roman" w:cs="Times New Roman"/>
          <w:i/>
          <w:sz w:val="24"/>
          <w:szCs w:val="24"/>
        </w:rPr>
        <w:t>6</w:t>
      </w:r>
      <w:r w:rsidRPr="00FD0140">
        <w:rPr>
          <w:rFonts w:ascii="Times New Roman" w:hAnsi="Times New Roman" w:cs="Times New Roman"/>
          <w:sz w:val="24"/>
          <w:szCs w:val="24"/>
        </w:rPr>
        <w:t>(2), 211-226.</w:t>
      </w:r>
    </w:p>
    <w:p w14:paraId="7CA61190" w14:textId="35C05AFA" w:rsidR="00C666BD" w:rsidRPr="00FD0140" w:rsidRDefault="00C666BD" w:rsidP="002B7FB5">
      <w:pPr>
        <w:spacing w:after="0" w:line="240" w:lineRule="auto"/>
        <w:ind w:left="170" w:hanging="170"/>
        <w:jc w:val="both"/>
        <w:rPr>
          <w:rFonts w:ascii="Times New Roman" w:hAnsi="Times New Roman" w:cs="Times New Roman"/>
          <w:sz w:val="24"/>
          <w:szCs w:val="24"/>
        </w:rPr>
      </w:pPr>
      <w:r w:rsidRPr="00FD0140">
        <w:rPr>
          <w:rFonts w:ascii="Times New Roman" w:hAnsi="Times New Roman" w:cs="Times New Roman"/>
          <w:sz w:val="24"/>
          <w:szCs w:val="24"/>
        </w:rPr>
        <w:t xml:space="preserve">Bartlett, C. (2019). Three universities on the brink of bankruptcy: Institutions take last-gasp survival loans and consult on shutting departments as student numbers plunge. </w:t>
      </w:r>
      <w:r w:rsidRPr="00FD0140">
        <w:rPr>
          <w:rFonts w:ascii="Times New Roman" w:hAnsi="Times New Roman" w:cs="Times New Roman"/>
          <w:i/>
          <w:sz w:val="24"/>
          <w:szCs w:val="24"/>
        </w:rPr>
        <w:t>The Daily Mail Online</w:t>
      </w:r>
      <w:r w:rsidRPr="00FD0140">
        <w:rPr>
          <w:rFonts w:ascii="Times New Roman" w:hAnsi="Times New Roman" w:cs="Times New Roman"/>
          <w:sz w:val="24"/>
          <w:szCs w:val="24"/>
        </w:rPr>
        <w:t xml:space="preserve">, Available at: </w:t>
      </w:r>
      <w:hyperlink r:id="rId11" w:history="1">
        <w:r w:rsidRPr="00356ADA">
          <w:rPr>
            <w:rStyle w:val="Hyperlink"/>
            <w:rFonts w:asciiTheme="majorBidi" w:eastAsia="Times New Roman" w:hAnsiTheme="majorBidi" w:cstheme="majorBidi"/>
            <w:sz w:val="24"/>
            <w:szCs w:val="24"/>
            <w:lang w:eastAsia="en-GB"/>
          </w:rPr>
          <w:t>https://www.dailymail.co.uk/news/article-6340045/Three-universities-brink-BANKRUPTCY-student-numbers-plunge.html</w:t>
        </w:r>
      </w:hyperlink>
      <w:r w:rsidRPr="00FD0140">
        <w:rPr>
          <w:rFonts w:ascii="Times New Roman" w:hAnsi="Times New Roman" w:cs="Times New Roman"/>
          <w:sz w:val="24"/>
          <w:szCs w:val="24"/>
        </w:rPr>
        <w:t>, accessed on 22/0</w:t>
      </w:r>
      <w:r w:rsidR="00AC6CE9">
        <w:rPr>
          <w:rFonts w:ascii="Times New Roman" w:hAnsi="Times New Roman" w:cs="Times New Roman"/>
          <w:sz w:val="24"/>
          <w:szCs w:val="24"/>
        </w:rPr>
        <w:t>6</w:t>
      </w:r>
      <w:r w:rsidRPr="00FD0140">
        <w:rPr>
          <w:rFonts w:ascii="Times New Roman" w:hAnsi="Times New Roman" w:cs="Times New Roman"/>
          <w:sz w:val="24"/>
          <w:szCs w:val="24"/>
        </w:rPr>
        <w:t>/20</w:t>
      </w:r>
      <w:r w:rsidR="00AC6CE9">
        <w:rPr>
          <w:rFonts w:ascii="Times New Roman" w:hAnsi="Times New Roman" w:cs="Times New Roman"/>
          <w:sz w:val="24"/>
          <w:szCs w:val="24"/>
        </w:rPr>
        <w:t>21</w:t>
      </w:r>
      <w:r w:rsidRPr="00FD0140">
        <w:rPr>
          <w:rFonts w:ascii="Times New Roman" w:hAnsi="Times New Roman" w:cs="Times New Roman"/>
          <w:sz w:val="24"/>
          <w:szCs w:val="24"/>
        </w:rPr>
        <w:t>.</w:t>
      </w:r>
    </w:p>
    <w:p w14:paraId="02F7452C" w14:textId="4E02BEE1" w:rsidR="00E03DA4" w:rsidRPr="00FD0140" w:rsidRDefault="00E03DA4" w:rsidP="002B7FB5">
      <w:pPr>
        <w:spacing w:after="0" w:line="240" w:lineRule="auto"/>
        <w:ind w:left="170" w:hanging="170"/>
        <w:jc w:val="both"/>
        <w:rPr>
          <w:rFonts w:ascii="Times New Roman" w:hAnsi="Times New Roman" w:cs="Times New Roman"/>
          <w:sz w:val="24"/>
          <w:szCs w:val="24"/>
        </w:rPr>
      </w:pPr>
      <w:r w:rsidRPr="00FD0140">
        <w:rPr>
          <w:rFonts w:ascii="Times New Roman" w:hAnsi="Times New Roman" w:cs="Times New Roman"/>
          <w:sz w:val="24"/>
          <w:szCs w:val="24"/>
        </w:rPr>
        <w:t xml:space="preserve">Bazaraa, D. (2019). Three universities in England are </w:t>
      </w:r>
      <w:r w:rsidR="004E2002" w:rsidRPr="00FD0140">
        <w:rPr>
          <w:rFonts w:ascii="Times New Roman" w:hAnsi="Times New Roman" w:cs="Times New Roman"/>
          <w:sz w:val="24"/>
          <w:szCs w:val="24"/>
        </w:rPr>
        <w:t>‘</w:t>
      </w:r>
      <w:r w:rsidRPr="00FD0140">
        <w:rPr>
          <w:rFonts w:ascii="Times New Roman" w:hAnsi="Times New Roman" w:cs="Times New Roman"/>
          <w:sz w:val="24"/>
          <w:szCs w:val="24"/>
        </w:rPr>
        <w:t xml:space="preserve">on verge of bankruptcy and taking short-term loans to survive. </w:t>
      </w:r>
      <w:r w:rsidRPr="00FD0140">
        <w:rPr>
          <w:rFonts w:ascii="Times New Roman" w:hAnsi="Times New Roman" w:cs="Times New Roman"/>
          <w:i/>
          <w:sz w:val="24"/>
          <w:szCs w:val="24"/>
        </w:rPr>
        <w:t>The Mirror Online</w:t>
      </w:r>
      <w:r w:rsidRPr="00FD0140">
        <w:rPr>
          <w:rFonts w:ascii="Times New Roman" w:hAnsi="Times New Roman" w:cs="Times New Roman"/>
          <w:sz w:val="24"/>
          <w:szCs w:val="24"/>
        </w:rPr>
        <w:t xml:space="preserve">, Available at: </w:t>
      </w:r>
      <w:hyperlink r:id="rId12" w:history="1">
        <w:r w:rsidRPr="00356ADA">
          <w:rPr>
            <w:rStyle w:val="Hyperlink"/>
            <w:rFonts w:asciiTheme="majorBidi" w:eastAsia="Times New Roman" w:hAnsiTheme="majorBidi" w:cstheme="majorBidi"/>
            <w:sz w:val="24"/>
            <w:szCs w:val="24"/>
            <w:lang w:eastAsia="en-GB"/>
          </w:rPr>
          <w:t>https://www.mirror.co.uk/news/uk-news/least-three-universities-on-edge-13516261</w:t>
        </w:r>
      </w:hyperlink>
      <w:r w:rsidRPr="00FD0140">
        <w:rPr>
          <w:rFonts w:ascii="Times New Roman" w:hAnsi="Times New Roman" w:cs="Times New Roman"/>
          <w:sz w:val="24"/>
          <w:szCs w:val="24"/>
        </w:rPr>
        <w:t xml:space="preserve">, </w:t>
      </w:r>
      <w:r w:rsidR="00A53549" w:rsidRPr="00FD0140">
        <w:rPr>
          <w:rFonts w:ascii="Times New Roman" w:hAnsi="Times New Roman" w:cs="Times New Roman"/>
          <w:sz w:val="24"/>
          <w:szCs w:val="24"/>
        </w:rPr>
        <w:t>a</w:t>
      </w:r>
      <w:r w:rsidRPr="00FD0140">
        <w:rPr>
          <w:rFonts w:ascii="Times New Roman" w:hAnsi="Times New Roman" w:cs="Times New Roman"/>
          <w:sz w:val="24"/>
          <w:szCs w:val="24"/>
        </w:rPr>
        <w:t>ccessed on 22/0</w:t>
      </w:r>
      <w:r w:rsidR="00AC6CE9">
        <w:rPr>
          <w:rFonts w:ascii="Times New Roman" w:hAnsi="Times New Roman" w:cs="Times New Roman"/>
          <w:sz w:val="24"/>
          <w:szCs w:val="24"/>
        </w:rPr>
        <w:t>6</w:t>
      </w:r>
      <w:r w:rsidRPr="00FD0140">
        <w:rPr>
          <w:rFonts w:ascii="Times New Roman" w:hAnsi="Times New Roman" w:cs="Times New Roman"/>
          <w:sz w:val="24"/>
          <w:szCs w:val="24"/>
        </w:rPr>
        <w:t>/20</w:t>
      </w:r>
      <w:r w:rsidR="00AC6CE9">
        <w:rPr>
          <w:rFonts w:ascii="Times New Roman" w:hAnsi="Times New Roman" w:cs="Times New Roman"/>
          <w:sz w:val="24"/>
          <w:szCs w:val="24"/>
        </w:rPr>
        <w:t>21</w:t>
      </w:r>
      <w:r w:rsidRPr="00FD0140">
        <w:rPr>
          <w:rFonts w:ascii="Times New Roman" w:hAnsi="Times New Roman" w:cs="Times New Roman"/>
          <w:sz w:val="24"/>
          <w:szCs w:val="24"/>
        </w:rPr>
        <w:t>.</w:t>
      </w:r>
    </w:p>
    <w:p w14:paraId="1B8DC09D" w14:textId="41594B2A" w:rsidR="009D627E" w:rsidRPr="00FD0140" w:rsidRDefault="009D627E" w:rsidP="009D627E">
      <w:pPr>
        <w:spacing w:after="0" w:line="240" w:lineRule="auto"/>
        <w:ind w:left="170" w:hanging="170"/>
        <w:jc w:val="both"/>
        <w:rPr>
          <w:rFonts w:ascii="Times New Roman" w:hAnsi="Times New Roman" w:cs="Times New Roman"/>
          <w:sz w:val="24"/>
          <w:szCs w:val="24"/>
        </w:rPr>
      </w:pPr>
      <w:r w:rsidRPr="009D627E">
        <w:rPr>
          <w:rFonts w:ascii="Times New Roman" w:hAnsi="Times New Roman" w:cs="Times New Roman"/>
          <w:sz w:val="24"/>
          <w:szCs w:val="24"/>
        </w:rPr>
        <w:t xml:space="preserve">Breakwell, G.M., &amp; Tytherleigh, M.Y. (2008). UK university leaders at the turn of the 21st century: Changing patterns in their socio-demographic characteristics. </w:t>
      </w:r>
      <w:r w:rsidRPr="009D627E">
        <w:rPr>
          <w:rFonts w:ascii="Times New Roman" w:hAnsi="Times New Roman" w:cs="Times New Roman"/>
          <w:i/>
          <w:iCs/>
          <w:sz w:val="24"/>
          <w:szCs w:val="24"/>
        </w:rPr>
        <w:t>Higher Education, 56</w:t>
      </w:r>
      <w:r w:rsidRPr="009D627E">
        <w:rPr>
          <w:rFonts w:ascii="Times New Roman" w:hAnsi="Times New Roman" w:cs="Times New Roman"/>
          <w:sz w:val="24"/>
          <w:szCs w:val="24"/>
        </w:rPr>
        <w:t>(1), 109-127.</w:t>
      </w:r>
    </w:p>
    <w:p w14:paraId="46DE9A5C" w14:textId="7E9D034B" w:rsidR="00F33BFF" w:rsidRDefault="002B7FB5" w:rsidP="002B7FB5">
      <w:pPr>
        <w:spacing w:after="0" w:line="240" w:lineRule="auto"/>
        <w:ind w:left="170" w:hanging="170"/>
        <w:jc w:val="both"/>
        <w:rPr>
          <w:rFonts w:ascii="Times New Roman" w:hAnsi="Times New Roman" w:cs="Times New Roman"/>
          <w:sz w:val="24"/>
          <w:szCs w:val="24"/>
          <w:lang w:val="nl-BE"/>
        </w:rPr>
      </w:pPr>
      <w:r w:rsidRPr="00FD0140">
        <w:rPr>
          <w:rFonts w:ascii="Times New Roman" w:hAnsi="Times New Roman" w:cs="Times New Roman"/>
          <w:sz w:val="24"/>
          <w:szCs w:val="24"/>
          <w:lang w:val="nl-BE"/>
        </w:rPr>
        <w:t>Browne</w:t>
      </w:r>
      <w:r w:rsidR="00B3132A">
        <w:rPr>
          <w:rFonts w:ascii="Times New Roman" w:hAnsi="Times New Roman" w:cs="Times New Roman"/>
          <w:sz w:val="24"/>
          <w:szCs w:val="24"/>
          <w:lang w:val="nl-BE"/>
        </w:rPr>
        <w:t xml:space="preserve"> (Report)</w:t>
      </w:r>
      <w:r w:rsidRPr="00FD0140">
        <w:rPr>
          <w:rFonts w:ascii="Times New Roman" w:hAnsi="Times New Roman" w:cs="Times New Roman"/>
          <w:sz w:val="24"/>
          <w:szCs w:val="24"/>
          <w:lang w:val="nl-BE"/>
        </w:rPr>
        <w:t xml:space="preserve">, L.E.J.P. (2010). </w:t>
      </w:r>
      <w:r w:rsidRPr="00FD0140">
        <w:rPr>
          <w:rFonts w:ascii="Times New Roman" w:hAnsi="Times New Roman" w:cs="Times New Roman"/>
          <w:i/>
          <w:iCs/>
          <w:sz w:val="24"/>
          <w:szCs w:val="24"/>
          <w:lang w:val="nl-BE"/>
        </w:rPr>
        <w:t>Independent Review of Higher Education Funding and Student Finance</w:t>
      </w:r>
      <w:r w:rsidRPr="00FD0140">
        <w:rPr>
          <w:rFonts w:ascii="Times New Roman" w:hAnsi="Times New Roman" w:cs="Times New Roman"/>
          <w:sz w:val="24"/>
          <w:szCs w:val="24"/>
          <w:lang w:val="nl-BE"/>
        </w:rPr>
        <w:t>, HMSO, London.</w:t>
      </w:r>
    </w:p>
    <w:p w14:paraId="38E4922B" w14:textId="48CAEBD9" w:rsidR="00272690" w:rsidRDefault="0021381D" w:rsidP="002B7FB5">
      <w:pPr>
        <w:spacing w:after="0" w:line="240" w:lineRule="auto"/>
        <w:ind w:left="170" w:hanging="170"/>
        <w:jc w:val="both"/>
        <w:rPr>
          <w:rFonts w:ascii="Times New Roman" w:hAnsi="Times New Roman" w:cs="Times New Roman"/>
          <w:sz w:val="24"/>
          <w:szCs w:val="24"/>
        </w:rPr>
      </w:pPr>
      <w:r w:rsidRPr="00FD0140">
        <w:rPr>
          <w:rFonts w:ascii="Times New Roman" w:hAnsi="Times New Roman" w:cs="Times New Roman"/>
          <w:sz w:val="24"/>
          <w:szCs w:val="24"/>
        </w:rPr>
        <w:t xml:space="preserve">Cameron, J. &amp; Guthrie, J. (1993). External annual reporting by an Australian university: Changing patterns. </w:t>
      </w:r>
      <w:r w:rsidRPr="00FD0140">
        <w:rPr>
          <w:rFonts w:ascii="Times New Roman" w:hAnsi="Times New Roman" w:cs="Times New Roman"/>
          <w:i/>
          <w:sz w:val="24"/>
          <w:szCs w:val="24"/>
        </w:rPr>
        <w:t>Financial Accountability &amp; Management</w:t>
      </w:r>
      <w:r w:rsidRPr="00FD0140">
        <w:rPr>
          <w:rFonts w:ascii="Times New Roman" w:hAnsi="Times New Roman" w:cs="Times New Roman"/>
          <w:sz w:val="24"/>
          <w:szCs w:val="24"/>
        </w:rPr>
        <w:t xml:space="preserve">, </w:t>
      </w:r>
      <w:r w:rsidRPr="00FD0140">
        <w:rPr>
          <w:rFonts w:ascii="Times New Roman" w:hAnsi="Times New Roman" w:cs="Times New Roman"/>
          <w:i/>
          <w:sz w:val="24"/>
          <w:szCs w:val="24"/>
        </w:rPr>
        <w:t>9</w:t>
      </w:r>
      <w:r w:rsidRPr="00FD0140">
        <w:rPr>
          <w:rFonts w:ascii="Times New Roman" w:hAnsi="Times New Roman" w:cs="Times New Roman"/>
          <w:sz w:val="24"/>
          <w:szCs w:val="24"/>
        </w:rPr>
        <w:t>(1), 1-15.</w:t>
      </w:r>
    </w:p>
    <w:p w14:paraId="5D782B39" w14:textId="616CD271" w:rsidR="00B16E52" w:rsidRDefault="00B16E52" w:rsidP="00B16E52">
      <w:pPr>
        <w:spacing w:after="0" w:line="240" w:lineRule="auto"/>
        <w:ind w:left="170" w:hanging="170"/>
        <w:jc w:val="both"/>
        <w:rPr>
          <w:rFonts w:ascii="Times New Roman" w:hAnsi="Times New Roman" w:cs="Times New Roman"/>
          <w:sz w:val="24"/>
          <w:szCs w:val="24"/>
        </w:rPr>
      </w:pPr>
      <w:r w:rsidRPr="00F56701">
        <w:rPr>
          <w:rFonts w:ascii="Times New Roman" w:hAnsi="Times New Roman" w:cs="Times New Roman"/>
          <w:sz w:val="24"/>
          <w:szCs w:val="24"/>
        </w:rPr>
        <w:t>Committee of University Chairs</w:t>
      </w:r>
      <w:r>
        <w:rPr>
          <w:rFonts w:ascii="Times New Roman" w:hAnsi="Times New Roman" w:cs="Times New Roman"/>
          <w:sz w:val="24"/>
          <w:szCs w:val="24"/>
        </w:rPr>
        <w:t xml:space="preserve">. </w:t>
      </w:r>
      <w:r w:rsidRPr="00F56701">
        <w:rPr>
          <w:rFonts w:ascii="Times New Roman" w:hAnsi="Times New Roman" w:cs="Times New Roman"/>
          <w:sz w:val="24"/>
          <w:szCs w:val="24"/>
        </w:rPr>
        <w:t xml:space="preserve">(2014). </w:t>
      </w:r>
      <w:r w:rsidRPr="00F56701">
        <w:rPr>
          <w:rFonts w:ascii="Times New Roman" w:hAnsi="Times New Roman" w:cs="Times New Roman"/>
          <w:i/>
          <w:iCs/>
          <w:sz w:val="24"/>
          <w:szCs w:val="24"/>
        </w:rPr>
        <w:t>The higher education code of governance</w:t>
      </w:r>
      <w:r w:rsidRPr="00F56701">
        <w:rPr>
          <w:rFonts w:ascii="Times New Roman" w:hAnsi="Times New Roman" w:cs="Times New Roman"/>
          <w:sz w:val="24"/>
          <w:szCs w:val="24"/>
        </w:rPr>
        <w:t>. London</w:t>
      </w:r>
      <w:r>
        <w:rPr>
          <w:rFonts w:ascii="Times New Roman" w:hAnsi="Times New Roman" w:cs="Times New Roman"/>
          <w:sz w:val="24"/>
          <w:szCs w:val="24"/>
        </w:rPr>
        <w:t>.</w:t>
      </w:r>
      <w:r w:rsidRPr="00F56701">
        <w:rPr>
          <w:rFonts w:ascii="Times New Roman" w:hAnsi="Times New Roman" w:cs="Times New Roman"/>
          <w:sz w:val="24"/>
          <w:szCs w:val="24"/>
        </w:rPr>
        <w:t xml:space="preserve"> CUC</w:t>
      </w:r>
      <w:r>
        <w:rPr>
          <w:rFonts w:ascii="Times New Roman" w:hAnsi="Times New Roman" w:cs="Times New Roman"/>
          <w:sz w:val="24"/>
          <w:szCs w:val="24"/>
        </w:rPr>
        <w:t>.</w:t>
      </w:r>
    </w:p>
    <w:p w14:paraId="26D2125E" w14:textId="673D5311" w:rsidR="00B16E52" w:rsidRDefault="00B16E52" w:rsidP="00B16E52">
      <w:pPr>
        <w:spacing w:after="0" w:line="240" w:lineRule="auto"/>
        <w:ind w:left="170" w:hanging="170"/>
        <w:jc w:val="both"/>
        <w:rPr>
          <w:rFonts w:ascii="Times New Roman" w:hAnsi="Times New Roman" w:cs="Times New Roman"/>
          <w:sz w:val="24"/>
          <w:szCs w:val="24"/>
        </w:rPr>
      </w:pPr>
      <w:r>
        <w:rPr>
          <w:rFonts w:ascii="Times New Roman" w:hAnsi="Times New Roman" w:cs="Times New Roman"/>
          <w:sz w:val="24"/>
          <w:szCs w:val="24"/>
        </w:rPr>
        <w:t xml:space="preserve">Committee of University Chairs. (2013). </w:t>
      </w:r>
      <w:r w:rsidRPr="00F56701">
        <w:rPr>
          <w:rFonts w:ascii="Times New Roman" w:hAnsi="Times New Roman" w:cs="Times New Roman"/>
          <w:i/>
          <w:iCs/>
          <w:sz w:val="24"/>
          <w:szCs w:val="24"/>
        </w:rPr>
        <w:t>The Reasons to build Resilience into the future of your university Governance: A business guide for University Governors</w:t>
      </w:r>
      <w:r>
        <w:rPr>
          <w:rFonts w:ascii="Times New Roman" w:hAnsi="Times New Roman" w:cs="Times New Roman"/>
          <w:sz w:val="24"/>
          <w:szCs w:val="24"/>
        </w:rPr>
        <w:t>. London. CUC.</w:t>
      </w:r>
    </w:p>
    <w:p w14:paraId="6D10DD6C" w14:textId="02861D01" w:rsidR="00F56701" w:rsidRDefault="00F56701" w:rsidP="002B7FB5">
      <w:pPr>
        <w:spacing w:after="0" w:line="240" w:lineRule="auto"/>
        <w:ind w:left="170" w:hanging="170"/>
        <w:jc w:val="both"/>
        <w:rPr>
          <w:rFonts w:ascii="Times New Roman" w:hAnsi="Times New Roman" w:cs="Times New Roman"/>
          <w:sz w:val="24"/>
          <w:szCs w:val="24"/>
        </w:rPr>
      </w:pPr>
      <w:r>
        <w:rPr>
          <w:rFonts w:ascii="Times New Roman" w:hAnsi="Times New Roman" w:cs="Times New Roman"/>
          <w:sz w:val="24"/>
          <w:szCs w:val="24"/>
        </w:rPr>
        <w:t>Committee of University Chairs.</w:t>
      </w:r>
      <w:r w:rsidRPr="00F56701">
        <w:rPr>
          <w:rFonts w:ascii="Times New Roman" w:hAnsi="Times New Roman" w:cs="Times New Roman"/>
          <w:sz w:val="24"/>
          <w:szCs w:val="24"/>
        </w:rPr>
        <w:t xml:space="preserve"> (2009). </w:t>
      </w:r>
      <w:r w:rsidRPr="00F56701">
        <w:rPr>
          <w:rFonts w:ascii="Times New Roman" w:hAnsi="Times New Roman" w:cs="Times New Roman"/>
          <w:i/>
          <w:iCs/>
          <w:sz w:val="24"/>
          <w:szCs w:val="24"/>
        </w:rPr>
        <w:t>Guide for members of higher education governing bodies in the UK</w:t>
      </w:r>
      <w:r w:rsidRPr="00F56701">
        <w:rPr>
          <w:rFonts w:ascii="Times New Roman" w:hAnsi="Times New Roman" w:cs="Times New Roman"/>
          <w:sz w:val="24"/>
          <w:szCs w:val="24"/>
        </w:rPr>
        <w:t>. London</w:t>
      </w:r>
      <w:r>
        <w:rPr>
          <w:rFonts w:ascii="Times New Roman" w:hAnsi="Times New Roman" w:cs="Times New Roman"/>
          <w:sz w:val="24"/>
          <w:szCs w:val="24"/>
        </w:rPr>
        <w:t>.</w:t>
      </w:r>
      <w:r w:rsidRPr="00F56701">
        <w:rPr>
          <w:rFonts w:ascii="Times New Roman" w:hAnsi="Times New Roman" w:cs="Times New Roman"/>
          <w:sz w:val="24"/>
          <w:szCs w:val="24"/>
        </w:rPr>
        <w:t xml:space="preserve"> CUC.</w:t>
      </w:r>
    </w:p>
    <w:p w14:paraId="55CA7E08" w14:textId="6A825B38" w:rsidR="00F56701" w:rsidRDefault="00F56701" w:rsidP="002B7FB5">
      <w:pPr>
        <w:spacing w:after="0" w:line="240" w:lineRule="auto"/>
        <w:ind w:left="170" w:hanging="170"/>
        <w:jc w:val="both"/>
        <w:rPr>
          <w:rFonts w:ascii="Times New Roman" w:hAnsi="Times New Roman" w:cs="Times New Roman"/>
          <w:sz w:val="24"/>
          <w:szCs w:val="24"/>
        </w:rPr>
      </w:pPr>
      <w:r>
        <w:rPr>
          <w:rFonts w:ascii="Times New Roman" w:hAnsi="Times New Roman" w:cs="Times New Roman"/>
          <w:sz w:val="24"/>
          <w:szCs w:val="24"/>
        </w:rPr>
        <w:t xml:space="preserve">Committee of University Chairs. </w:t>
      </w:r>
      <w:r w:rsidRPr="00F56701">
        <w:rPr>
          <w:rFonts w:ascii="Times New Roman" w:hAnsi="Times New Roman" w:cs="Times New Roman"/>
          <w:sz w:val="24"/>
          <w:szCs w:val="24"/>
        </w:rPr>
        <w:t xml:space="preserve">(2008). </w:t>
      </w:r>
      <w:r w:rsidRPr="00F56701">
        <w:rPr>
          <w:rFonts w:ascii="Times New Roman" w:hAnsi="Times New Roman" w:cs="Times New Roman"/>
          <w:i/>
          <w:iCs/>
          <w:sz w:val="24"/>
          <w:szCs w:val="24"/>
        </w:rPr>
        <w:t>Handbook for embers of audit committees in higher education institutions</w:t>
      </w:r>
      <w:r w:rsidRPr="00F56701">
        <w:rPr>
          <w:rFonts w:ascii="Times New Roman" w:hAnsi="Times New Roman" w:cs="Times New Roman"/>
          <w:sz w:val="24"/>
          <w:szCs w:val="24"/>
        </w:rPr>
        <w:t>. London</w:t>
      </w:r>
      <w:r>
        <w:rPr>
          <w:rFonts w:ascii="Times New Roman" w:hAnsi="Times New Roman" w:cs="Times New Roman"/>
          <w:sz w:val="24"/>
          <w:szCs w:val="24"/>
        </w:rPr>
        <w:t>.</w:t>
      </w:r>
      <w:r w:rsidRPr="00F56701">
        <w:rPr>
          <w:rFonts w:ascii="Times New Roman" w:hAnsi="Times New Roman" w:cs="Times New Roman"/>
          <w:sz w:val="24"/>
          <w:szCs w:val="24"/>
        </w:rPr>
        <w:t xml:space="preserve"> CUC</w:t>
      </w:r>
      <w:r>
        <w:rPr>
          <w:rFonts w:ascii="Times New Roman" w:hAnsi="Times New Roman" w:cs="Times New Roman"/>
          <w:sz w:val="24"/>
          <w:szCs w:val="24"/>
        </w:rPr>
        <w:t>.</w:t>
      </w:r>
    </w:p>
    <w:p w14:paraId="25F2701A" w14:textId="068DA347" w:rsidR="00F56701" w:rsidRDefault="00F56701" w:rsidP="002B7FB5">
      <w:pPr>
        <w:spacing w:after="0" w:line="240" w:lineRule="auto"/>
        <w:ind w:left="170" w:hanging="170"/>
        <w:jc w:val="both"/>
        <w:rPr>
          <w:rFonts w:ascii="Times New Roman" w:hAnsi="Times New Roman" w:cs="Times New Roman"/>
          <w:sz w:val="24"/>
          <w:szCs w:val="24"/>
        </w:rPr>
      </w:pPr>
      <w:r w:rsidRPr="00F56701">
        <w:rPr>
          <w:rFonts w:ascii="Times New Roman" w:hAnsi="Times New Roman" w:cs="Times New Roman"/>
          <w:sz w:val="24"/>
          <w:szCs w:val="24"/>
        </w:rPr>
        <w:t xml:space="preserve">Committee of University Chairs. (2006). </w:t>
      </w:r>
      <w:r w:rsidRPr="00F56701">
        <w:rPr>
          <w:rFonts w:ascii="Times New Roman" w:hAnsi="Times New Roman" w:cs="Times New Roman"/>
          <w:i/>
          <w:iCs/>
          <w:sz w:val="24"/>
          <w:szCs w:val="24"/>
        </w:rPr>
        <w:t xml:space="preserve">Review of the effectiveness of university governing </w:t>
      </w:r>
      <w:r>
        <w:rPr>
          <w:rFonts w:ascii="Times New Roman" w:hAnsi="Times New Roman" w:cs="Times New Roman"/>
          <w:i/>
          <w:iCs/>
          <w:sz w:val="24"/>
          <w:szCs w:val="24"/>
        </w:rPr>
        <w:t>b</w:t>
      </w:r>
      <w:r w:rsidRPr="00F56701">
        <w:rPr>
          <w:rFonts w:ascii="Times New Roman" w:hAnsi="Times New Roman" w:cs="Times New Roman"/>
          <w:i/>
          <w:iCs/>
          <w:sz w:val="24"/>
          <w:szCs w:val="24"/>
        </w:rPr>
        <w:t>oards</w:t>
      </w:r>
      <w:r w:rsidRPr="00F56701">
        <w:rPr>
          <w:rFonts w:ascii="Times New Roman" w:hAnsi="Times New Roman" w:cs="Times New Roman"/>
          <w:sz w:val="24"/>
          <w:szCs w:val="24"/>
        </w:rPr>
        <w:t>. London</w:t>
      </w:r>
      <w:r>
        <w:rPr>
          <w:rFonts w:ascii="Times New Roman" w:hAnsi="Times New Roman" w:cs="Times New Roman"/>
          <w:sz w:val="24"/>
          <w:szCs w:val="24"/>
        </w:rPr>
        <w:t>.</w:t>
      </w:r>
      <w:r w:rsidRPr="00F56701">
        <w:rPr>
          <w:rFonts w:ascii="Times New Roman" w:hAnsi="Times New Roman" w:cs="Times New Roman"/>
          <w:sz w:val="24"/>
          <w:szCs w:val="24"/>
        </w:rPr>
        <w:t xml:space="preserve"> CUC.</w:t>
      </w:r>
    </w:p>
    <w:p w14:paraId="3213EB5B" w14:textId="77777777" w:rsidR="00B16E52" w:rsidRDefault="00B16E52" w:rsidP="00B16E52">
      <w:pPr>
        <w:spacing w:after="0" w:line="240" w:lineRule="auto"/>
        <w:ind w:left="170" w:hanging="170"/>
        <w:jc w:val="both"/>
        <w:rPr>
          <w:rFonts w:ascii="Times New Roman" w:hAnsi="Times New Roman" w:cs="Times New Roman"/>
          <w:sz w:val="24"/>
          <w:szCs w:val="24"/>
        </w:rPr>
      </w:pPr>
      <w:r w:rsidRPr="00F56701">
        <w:rPr>
          <w:rFonts w:ascii="Times New Roman" w:hAnsi="Times New Roman" w:cs="Times New Roman"/>
          <w:sz w:val="24"/>
          <w:szCs w:val="24"/>
        </w:rPr>
        <w:t xml:space="preserve">Committee of Scottish Chairs. (2013). </w:t>
      </w:r>
      <w:r w:rsidRPr="00F56701">
        <w:rPr>
          <w:rFonts w:ascii="Times New Roman" w:hAnsi="Times New Roman" w:cs="Times New Roman"/>
          <w:i/>
          <w:iCs/>
          <w:sz w:val="24"/>
          <w:szCs w:val="24"/>
        </w:rPr>
        <w:t>The Scottish higher education code of governance</w:t>
      </w:r>
      <w:r w:rsidRPr="00F56701">
        <w:rPr>
          <w:rFonts w:ascii="Times New Roman" w:hAnsi="Times New Roman" w:cs="Times New Roman"/>
          <w:sz w:val="24"/>
          <w:szCs w:val="24"/>
        </w:rPr>
        <w:t>. Edinburgh. CSC.</w:t>
      </w:r>
    </w:p>
    <w:p w14:paraId="7BDABD2C" w14:textId="68B3B4A6" w:rsidR="000950C9" w:rsidRPr="00356ADA" w:rsidRDefault="000950C9" w:rsidP="002B7FB5">
      <w:pPr>
        <w:spacing w:after="0" w:line="240" w:lineRule="auto"/>
        <w:ind w:left="170" w:hanging="170"/>
        <w:jc w:val="both"/>
        <w:rPr>
          <w:rFonts w:ascii="Times New Roman" w:hAnsi="Times New Roman" w:cs="Times New Roman"/>
          <w:sz w:val="24"/>
          <w:szCs w:val="24"/>
        </w:rPr>
      </w:pPr>
      <w:r w:rsidRPr="000950C9">
        <w:rPr>
          <w:rFonts w:ascii="Times New Roman" w:hAnsi="Times New Roman" w:cs="Times New Roman"/>
          <w:sz w:val="24"/>
          <w:szCs w:val="24"/>
        </w:rPr>
        <w:t xml:space="preserve">Conway, S.L., O'Keefe, P.A., &amp; Hrasky, S.L. (2015). Legitimacy, accountability and impression management in NGOs: </w:t>
      </w:r>
      <w:r w:rsidR="00E73278">
        <w:rPr>
          <w:rFonts w:ascii="Times New Roman" w:hAnsi="Times New Roman" w:cs="Times New Roman"/>
          <w:sz w:val="24"/>
          <w:szCs w:val="24"/>
        </w:rPr>
        <w:t>T</w:t>
      </w:r>
      <w:r w:rsidRPr="000950C9">
        <w:rPr>
          <w:rFonts w:ascii="Times New Roman" w:hAnsi="Times New Roman" w:cs="Times New Roman"/>
          <w:sz w:val="24"/>
          <w:szCs w:val="24"/>
        </w:rPr>
        <w:t xml:space="preserve">he Indian Ocean tsunami. </w:t>
      </w:r>
      <w:r w:rsidRPr="000950C9">
        <w:rPr>
          <w:rFonts w:ascii="Times New Roman" w:hAnsi="Times New Roman" w:cs="Times New Roman"/>
          <w:i/>
          <w:iCs/>
          <w:sz w:val="24"/>
          <w:szCs w:val="24"/>
        </w:rPr>
        <w:t>Accounting, Auditing &amp; Accountability Journal, 28</w:t>
      </w:r>
      <w:r>
        <w:rPr>
          <w:rFonts w:ascii="Times New Roman" w:hAnsi="Times New Roman" w:cs="Times New Roman"/>
          <w:sz w:val="24"/>
          <w:szCs w:val="24"/>
        </w:rPr>
        <w:t xml:space="preserve">(7), </w:t>
      </w:r>
      <w:r w:rsidRPr="000950C9">
        <w:rPr>
          <w:rFonts w:ascii="Times New Roman" w:hAnsi="Times New Roman" w:cs="Times New Roman"/>
          <w:sz w:val="24"/>
          <w:szCs w:val="24"/>
        </w:rPr>
        <w:t>1075-1098</w:t>
      </w:r>
      <w:r>
        <w:rPr>
          <w:rFonts w:ascii="Times New Roman" w:hAnsi="Times New Roman" w:cs="Times New Roman"/>
          <w:sz w:val="24"/>
          <w:szCs w:val="24"/>
        </w:rPr>
        <w:t>.</w:t>
      </w:r>
    </w:p>
    <w:p w14:paraId="22A7ACA8" w14:textId="77777777" w:rsidR="008708F4" w:rsidRPr="008708F4" w:rsidRDefault="008708F4" w:rsidP="008708F4">
      <w:pPr>
        <w:spacing w:after="0" w:line="240" w:lineRule="auto"/>
        <w:ind w:left="170" w:hanging="170"/>
        <w:jc w:val="both"/>
        <w:rPr>
          <w:rFonts w:ascii="Times New Roman" w:hAnsi="Times New Roman" w:cs="Times New Roman"/>
          <w:sz w:val="24"/>
          <w:szCs w:val="24"/>
        </w:rPr>
      </w:pPr>
      <w:r w:rsidRPr="008708F4">
        <w:rPr>
          <w:rFonts w:ascii="Times New Roman" w:hAnsi="Times New Roman" w:cs="Times New Roman"/>
          <w:sz w:val="24"/>
          <w:szCs w:val="24"/>
        </w:rPr>
        <w:t xml:space="preserve">Coy, D., Tower, G., &amp; Dixon, K. (1994). Public sector reform in New Zealand: The progress of tertiary education annual reports, 1990-92. </w:t>
      </w:r>
      <w:r w:rsidRPr="008708F4">
        <w:rPr>
          <w:rFonts w:ascii="Times New Roman" w:hAnsi="Times New Roman" w:cs="Times New Roman"/>
          <w:i/>
          <w:sz w:val="24"/>
          <w:szCs w:val="24"/>
        </w:rPr>
        <w:t>Financial Accountability &amp; Management</w:t>
      </w:r>
      <w:r w:rsidRPr="008708F4">
        <w:rPr>
          <w:rFonts w:ascii="Times New Roman" w:hAnsi="Times New Roman" w:cs="Times New Roman"/>
          <w:sz w:val="24"/>
          <w:szCs w:val="24"/>
        </w:rPr>
        <w:t xml:space="preserve">, </w:t>
      </w:r>
      <w:r w:rsidRPr="008708F4">
        <w:rPr>
          <w:rFonts w:ascii="Times New Roman" w:hAnsi="Times New Roman" w:cs="Times New Roman"/>
          <w:i/>
          <w:sz w:val="24"/>
          <w:szCs w:val="24"/>
        </w:rPr>
        <w:t>10</w:t>
      </w:r>
      <w:r w:rsidRPr="008708F4">
        <w:rPr>
          <w:rFonts w:ascii="Times New Roman" w:hAnsi="Times New Roman" w:cs="Times New Roman"/>
          <w:sz w:val="24"/>
          <w:szCs w:val="24"/>
        </w:rPr>
        <w:t>(3), 253-261.</w:t>
      </w:r>
    </w:p>
    <w:p w14:paraId="5183D545" w14:textId="5A6DE353" w:rsidR="008708F4" w:rsidRDefault="008708F4" w:rsidP="002B7FB5">
      <w:pPr>
        <w:spacing w:after="0" w:line="240" w:lineRule="auto"/>
        <w:ind w:left="170" w:hanging="170"/>
        <w:jc w:val="both"/>
        <w:rPr>
          <w:rFonts w:ascii="Times New Roman" w:hAnsi="Times New Roman" w:cs="Times New Roman"/>
          <w:sz w:val="24"/>
          <w:szCs w:val="24"/>
        </w:rPr>
      </w:pPr>
      <w:r w:rsidRPr="008708F4">
        <w:rPr>
          <w:rFonts w:ascii="Times New Roman" w:hAnsi="Times New Roman" w:cs="Times New Roman"/>
          <w:sz w:val="24"/>
          <w:szCs w:val="24"/>
        </w:rPr>
        <w:t xml:space="preserve">Coy, D., Dixon, K., Buchanan, J., &amp; Tower, G. (1997). Recipients of public sector annual reports: Theory and an empirical study compared. </w:t>
      </w:r>
      <w:r w:rsidRPr="008708F4">
        <w:rPr>
          <w:rFonts w:ascii="Times New Roman" w:hAnsi="Times New Roman" w:cs="Times New Roman"/>
          <w:i/>
          <w:sz w:val="24"/>
          <w:szCs w:val="24"/>
        </w:rPr>
        <w:t>British Accounting Review</w:t>
      </w:r>
      <w:r w:rsidRPr="008708F4">
        <w:rPr>
          <w:rFonts w:ascii="Times New Roman" w:hAnsi="Times New Roman" w:cs="Times New Roman"/>
          <w:sz w:val="24"/>
          <w:szCs w:val="24"/>
        </w:rPr>
        <w:t xml:space="preserve">, </w:t>
      </w:r>
      <w:r w:rsidRPr="008708F4">
        <w:rPr>
          <w:rFonts w:ascii="Times New Roman" w:hAnsi="Times New Roman" w:cs="Times New Roman"/>
          <w:i/>
          <w:sz w:val="24"/>
          <w:szCs w:val="24"/>
        </w:rPr>
        <w:t>29</w:t>
      </w:r>
      <w:r w:rsidRPr="008708F4">
        <w:rPr>
          <w:rFonts w:ascii="Times New Roman" w:hAnsi="Times New Roman" w:cs="Times New Roman"/>
          <w:sz w:val="24"/>
          <w:szCs w:val="24"/>
        </w:rPr>
        <w:t>, 103-127.</w:t>
      </w:r>
    </w:p>
    <w:p w14:paraId="304BCBAA" w14:textId="5B1ED64F" w:rsidR="0021381D" w:rsidRDefault="0021381D" w:rsidP="002B7FB5">
      <w:pPr>
        <w:spacing w:after="0" w:line="240" w:lineRule="auto"/>
        <w:ind w:left="170" w:hanging="170"/>
        <w:jc w:val="both"/>
        <w:rPr>
          <w:rFonts w:ascii="Times New Roman" w:hAnsi="Times New Roman" w:cs="Times New Roman"/>
          <w:sz w:val="24"/>
          <w:szCs w:val="24"/>
        </w:rPr>
      </w:pPr>
      <w:r w:rsidRPr="00356ADA">
        <w:rPr>
          <w:rFonts w:ascii="Times New Roman" w:hAnsi="Times New Roman" w:cs="Times New Roman"/>
          <w:sz w:val="24"/>
          <w:szCs w:val="24"/>
        </w:rPr>
        <w:t xml:space="preserve">Coy, D. &amp; Pratt, M. (1998). An insight into accountability and politics in universities: A case study. </w:t>
      </w:r>
      <w:r w:rsidRPr="00356ADA">
        <w:rPr>
          <w:rFonts w:ascii="Times New Roman" w:hAnsi="Times New Roman" w:cs="Times New Roman"/>
          <w:i/>
          <w:sz w:val="24"/>
          <w:szCs w:val="24"/>
        </w:rPr>
        <w:t>Accounting, Auditing &amp; Accountability Journal</w:t>
      </w:r>
      <w:r w:rsidRPr="00356ADA">
        <w:rPr>
          <w:rFonts w:ascii="Times New Roman" w:hAnsi="Times New Roman" w:cs="Times New Roman"/>
          <w:sz w:val="24"/>
          <w:szCs w:val="24"/>
        </w:rPr>
        <w:t xml:space="preserve">, </w:t>
      </w:r>
      <w:r w:rsidRPr="00356ADA">
        <w:rPr>
          <w:rFonts w:ascii="Times New Roman" w:hAnsi="Times New Roman" w:cs="Times New Roman"/>
          <w:i/>
          <w:sz w:val="24"/>
          <w:szCs w:val="24"/>
        </w:rPr>
        <w:t>11</w:t>
      </w:r>
      <w:r w:rsidRPr="00356ADA">
        <w:rPr>
          <w:rFonts w:ascii="Times New Roman" w:hAnsi="Times New Roman" w:cs="Times New Roman"/>
          <w:sz w:val="24"/>
          <w:szCs w:val="24"/>
        </w:rPr>
        <w:t>(5), 540-561.</w:t>
      </w:r>
    </w:p>
    <w:p w14:paraId="49106E8A" w14:textId="6978135C" w:rsidR="008708F4" w:rsidRPr="00356ADA" w:rsidRDefault="008708F4" w:rsidP="008708F4">
      <w:pPr>
        <w:spacing w:after="0" w:line="240" w:lineRule="auto"/>
        <w:ind w:left="170" w:hanging="170"/>
        <w:jc w:val="both"/>
        <w:rPr>
          <w:rFonts w:ascii="Times New Roman" w:hAnsi="Times New Roman" w:cs="Times New Roman"/>
          <w:sz w:val="24"/>
          <w:szCs w:val="24"/>
        </w:rPr>
      </w:pPr>
      <w:r w:rsidRPr="008708F4">
        <w:rPr>
          <w:rFonts w:ascii="Times New Roman" w:hAnsi="Times New Roman" w:cs="Times New Roman"/>
          <w:sz w:val="24"/>
          <w:szCs w:val="24"/>
        </w:rPr>
        <w:t xml:space="preserve">Coy, D, Fischer, M., &amp; Gordon, T. (2001). Public accountability: A new paradigm for college and university annual reports. </w:t>
      </w:r>
      <w:r w:rsidRPr="008708F4">
        <w:rPr>
          <w:rFonts w:ascii="Times New Roman" w:hAnsi="Times New Roman" w:cs="Times New Roman"/>
          <w:i/>
          <w:sz w:val="24"/>
          <w:szCs w:val="24"/>
        </w:rPr>
        <w:t>Critical Perspectives on Accounting</w:t>
      </w:r>
      <w:r w:rsidRPr="008708F4">
        <w:rPr>
          <w:rFonts w:ascii="Times New Roman" w:hAnsi="Times New Roman" w:cs="Times New Roman"/>
          <w:sz w:val="24"/>
          <w:szCs w:val="24"/>
        </w:rPr>
        <w:t xml:space="preserve">, </w:t>
      </w:r>
      <w:r w:rsidRPr="008708F4">
        <w:rPr>
          <w:rFonts w:ascii="Times New Roman" w:hAnsi="Times New Roman" w:cs="Times New Roman"/>
          <w:i/>
          <w:sz w:val="24"/>
          <w:szCs w:val="24"/>
        </w:rPr>
        <w:t>12</w:t>
      </w:r>
      <w:r w:rsidRPr="008708F4">
        <w:rPr>
          <w:rFonts w:ascii="Times New Roman" w:hAnsi="Times New Roman" w:cs="Times New Roman"/>
          <w:sz w:val="24"/>
          <w:szCs w:val="24"/>
        </w:rPr>
        <w:t>, 1-31.</w:t>
      </w:r>
    </w:p>
    <w:p w14:paraId="1B9677EF" w14:textId="5CF14670" w:rsidR="0021381D" w:rsidRDefault="0021381D" w:rsidP="002B7FB5">
      <w:pPr>
        <w:spacing w:after="0" w:line="240" w:lineRule="auto"/>
        <w:ind w:left="170" w:hanging="170"/>
        <w:jc w:val="both"/>
        <w:rPr>
          <w:rFonts w:ascii="Times New Roman" w:hAnsi="Times New Roman" w:cs="Times New Roman"/>
          <w:sz w:val="24"/>
          <w:szCs w:val="24"/>
        </w:rPr>
      </w:pPr>
      <w:r w:rsidRPr="00356ADA">
        <w:rPr>
          <w:rFonts w:ascii="Times New Roman" w:hAnsi="Times New Roman" w:cs="Times New Roman"/>
          <w:sz w:val="24"/>
          <w:szCs w:val="24"/>
        </w:rPr>
        <w:t xml:space="preserve">Dixon, K. &amp; Coy, D. (2007). University governance: Governing bodies as providers and users of annual reports. </w:t>
      </w:r>
      <w:r w:rsidRPr="00356ADA">
        <w:rPr>
          <w:rFonts w:ascii="Times New Roman" w:hAnsi="Times New Roman" w:cs="Times New Roman"/>
          <w:i/>
          <w:sz w:val="24"/>
          <w:szCs w:val="24"/>
        </w:rPr>
        <w:t>Higher Education</w:t>
      </w:r>
      <w:r w:rsidRPr="00356ADA">
        <w:rPr>
          <w:rFonts w:ascii="Times New Roman" w:hAnsi="Times New Roman" w:cs="Times New Roman"/>
          <w:sz w:val="24"/>
          <w:szCs w:val="24"/>
        </w:rPr>
        <w:t xml:space="preserve">, </w:t>
      </w:r>
      <w:r w:rsidRPr="00356ADA">
        <w:rPr>
          <w:rFonts w:ascii="Times New Roman" w:hAnsi="Times New Roman" w:cs="Times New Roman"/>
          <w:i/>
          <w:sz w:val="24"/>
          <w:szCs w:val="24"/>
        </w:rPr>
        <w:t>54</w:t>
      </w:r>
      <w:r w:rsidRPr="00356ADA">
        <w:rPr>
          <w:rFonts w:ascii="Times New Roman" w:hAnsi="Times New Roman" w:cs="Times New Roman"/>
          <w:sz w:val="24"/>
          <w:szCs w:val="24"/>
        </w:rPr>
        <w:t>(2), 267-291.</w:t>
      </w:r>
    </w:p>
    <w:p w14:paraId="2F2830F9" w14:textId="433CFBA0" w:rsidR="00631444" w:rsidRDefault="00631444" w:rsidP="002B7FB5">
      <w:pPr>
        <w:spacing w:after="0" w:line="240" w:lineRule="auto"/>
        <w:ind w:left="170" w:hanging="170"/>
        <w:jc w:val="both"/>
        <w:rPr>
          <w:rFonts w:ascii="Times New Roman" w:hAnsi="Times New Roman" w:cs="Times New Roman"/>
          <w:sz w:val="24"/>
          <w:szCs w:val="24"/>
        </w:rPr>
      </w:pPr>
      <w:r w:rsidRPr="00631444">
        <w:rPr>
          <w:rFonts w:ascii="Times New Roman" w:hAnsi="Times New Roman" w:cs="Times New Roman"/>
          <w:sz w:val="24"/>
          <w:szCs w:val="24"/>
        </w:rPr>
        <w:lastRenderedPageBreak/>
        <w:t>Elmagrhi, M.H., &amp; Ntim, C.G. (2022). Vice-</w:t>
      </w:r>
      <w:r w:rsidR="00786BB7">
        <w:rPr>
          <w:rFonts w:ascii="Times New Roman" w:hAnsi="Times New Roman" w:cs="Times New Roman"/>
          <w:sz w:val="24"/>
          <w:szCs w:val="24"/>
        </w:rPr>
        <w:t>c</w:t>
      </w:r>
      <w:r w:rsidRPr="00631444">
        <w:rPr>
          <w:rFonts w:ascii="Times New Roman" w:hAnsi="Times New Roman" w:cs="Times New Roman"/>
          <w:sz w:val="24"/>
          <w:szCs w:val="24"/>
        </w:rPr>
        <w:t xml:space="preserve">hancellor </w:t>
      </w:r>
      <w:r w:rsidR="00786BB7">
        <w:rPr>
          <w:rFonts w:ascii="Times New Roman" w:hAnsi="Times New Roman" w:cs="Times New Roman"/>
          <w:sz w:val="24"/>
          <w:szCs w:val="24"/>
        </w:rPr>
        <w:t>p</w:t>
      </w:r>
      <w:r w:rsidRPr="00631444">
        <w:rPr>
          <w:rFonts w:ascii="Times New Roman" w:hAnsi="Times New Roman" w:cs="Times New Roman"/>
          <w:sz w:val="24"/>
          <w:szCs w:val="24"/>
        </w:rPr>
        <w:t xml:space="preserve">ay and </w:t>
      </w:r>
      <w:r w:rsidR="00786BB7">
        <w:rPr>
          <w:rFonts w:ascii="Times New Roman" w:hAnsi="Times New Roman" w:cs="Times New Roman"/>
          <w:sz w:val="24"/>
          <w:szCs w:val="24"/>
        </w:rPr>
        <w:t>p</w:t>
      </w:r>
      <w:r w:rsidRPr="00631444">
        <w:rPr>
          <w:rFonts w:ascii="Times New Roman" w:hAnsi="Times New Roman" w:cs="Times New Roman"/>
          <w:sz w:val="24"/>
          <w:szCs w:val="24"/>
        </w:rPr>
        <w:t xml:space="preserve">erformance: The </w:t>
      </w:r>
      <w:r w:rsidR="00786BB7">
        <w:rPr>
          <w:rFonts w:ascii="Times New Roman" w:hAnsi="Times New Roman" w:cs="Times New Roman"/>
          <w:sz w:val="24"/>
          <w:szCs w:val="24"/>
        </w:rPr>
        <w:t>m</w:t>
      </w:r>
      <w:r w:rsidRPr="00631444">
        <w:rPr>
          <w:rFonts w:ascii="Times New Roman" w:hAnsi="Times New Roman" w:cs="Times New Roman"/>
          <w:sz w:val="24"/>
          <w:szCs w:val="24"/>
        </w:rPr>
        <w:t xml:space="preserve">oderating </w:t>
      </w:r>
      <w:r w:rsidR="00786BB7">
        <w:rPr>
          <w:rFonts w:ascii="Times New Roman" w:hAnsi="Times New Roman" w:cs="Times New Roman"/>
          <w:sz w:val="24"/>
          <w:szCs w:val="24"/>
        </w:rPr>
        <w:t>e</w:t>
      </w:r>
      <w:r w:rsidRPr="00631444">
        <w:rPr>
          <w:rFonts w:ascii="Times New Roman" w:hAnsi="Times New Roman" w:cs="Times New Roman"/>
          <w:sz w:val="24"/>
          <w:szCs w:val="24"/>
        </w:rPr>
        <w:t xml:space="preserve">ffect of </w:t>
      </w:r>
      <w:r w:rsidR="00786BB7">
        <w:rPr>
          <w:rFonts w:ascii="Times New Roman" w:hAnsi="Times New Roman" w:cs="Times New Roman"/>
          <w:sz w:val="24"/>
          <w:szCs w:val="24"/>
        </w:rPr>
        <w:t>v</w:t>
      </w:r>
      <w:r w:rsidRPr="00631444">
        <w:rPr>
          <w:rFonts w:ascii="Times New Roman" w:hAnsi="Times New Roman" w:cs="Times New Roman"/>
          <w:sz w:val="24"/>
          <w:szCs w:val="24"/>
        </w:rPr>
        <w:t>ice-</w:t>
      </w:r>
      <w:r w:rsidR="00786BB7">
        <w:rPr>
          <w:rFonts w:ascii="Times New Roman" w:hAnsi="Times New Roman" w:cs="Times New Roman"/>
          <w:sz w:val="24"/>
          <w:szCs w:val="24"/>
        </w:rPr>
        <w:t>c</w:t>
      </w:r>
      <w:r w:rsidRPr="00631444">
        <w:rPr>
          <w:rFonts w:ascii="Times New Roman" w:hAnsi="Times New Roman" w:cs="Times New Roman"/>
          <w:sz w:val="24"/>
          <w:szCs w:val="24"/>
        </w:rPr>
        <w:t xml:space="preserve">hancellor </w:t>
      </w:r>
      <w:r w:rsidR="00786BB7">
        <w:rPr>
          <w:rFonts w:ascii="Times New Roman" w:hAnsi="Times New Roman" w:cs="Times New Roman"/>
          <w:sz w:val="24"/>
          <w:szCs w:val="24"/>
        </w:rPr>
        <w:t>c</w:t>
      </w:r>
      <w:r w:rsidRPr="00631444">
        <w:rPr>
          <w:rFonts w:ascii="Times New Roman" w:hAnsi="Times New Roman" w:cs="Times New Roman"/>
          <w:sz w:val="24"/>
          <w:szCs w:val="24"/>
        </w:rPr>
        <w:t>haracteristics. </w:t>
      </w:r>
      <w:r w:rsidRPr="00631444">
        <w:rPr>
          <w:rFonts w:ascii="Times New Roman" w:hAnsi="Times New Roman" w:cs="Times New Roman"/>
          <w:i/>
          <w:iCs/>
          <w:sz w:val="24"/>
          <w:szCs w:val="24"/>
        </w:rPr>
        <w:t>Work, Employment and Society</w:t>
      </w:r>
      <w:r w:rsidRPr="00631444">
        <w:rPr>
          <w:rFonts w:ascii="Times New Roman" w:hAnsi="Times New Roman" w:cs="Times New Roman"/>
          <w:sz w:val="24"/>
          <w:szCs w:val="24"/>
        </w:rPr>
        <w:t xml:space="preserve">, </w:t>
      </w:r>
      <w:hyperlink r:id="rId13" w:history="1">
        <w:r w:rsidR="00533EB7" w:rsidRPr="00820743">
          <w:rPr>
            <w:rStyle w:val="Hyperlink"/>
            <w:rFonts w:ascii="Times New Roman" w:hAnsi="Times New Roman" w:cs="Times New Roman"/>
            <w:sz w:val="24"/>
            <w:szCs w:val="24"/>
          </w:rPr>
          <w:t>https://doi.org/10.1177/09500170221111366</w:t>
        </w:r>
      </w:hyperlink>
      <w:r w:rsidR="007C77C8">
        <w:rPr>
          <w:rFonts w:ascii="Times New Roman" w:hAnsi="Times New Roman" w:cs="Times New Roman"/>
          <w:sz w:val="24"/>
          <w:szCs w:val="24"/>
        </w:rPr>
        <w:t>.</w:t>
      </w:r>
      <w:r w:rsidR="00533EB7">
        <w:rPr>
          <w:rFonts w:ascii="Times New Roman" w:hAnsi="Times New Roman" w:cs="Times New Roman"/>
          <w:sz w:val="24"/>
          <w:szCs w:val="24"/>
        </w:rPr>
        <w:t xml:space="preserve"> </w:t>
      </w:r>
      <w:r>
        <w:rPr>
          <w:rFonts w:ascii="Times New Roman" w:hAnsi="Times New Roman" w:cs="Times New Roman"/>
          <w:sz w:val="24"/>
          <w:szCs w:val="24"/>
        </w:rPr>
        <w:t>Forthcoming</w:t>
      </w:r>
      <w:r w:rsidRPr="00631444">
        <w:rPr>
          <w:rFonts w:ascii="Times New Roman" w:hAnsi="Times New Roman" w:cs="Times New Roman"/>
          <w:sz w:val="24"/>
          <w:szCs w:val="24"/>
        </w:rPr>
        <w:t>.</w:t>
      </w:r>
    </w:p>
    <w:p w14:paraId="7732A5F6" w14:textId="320D2D15" w:rsidR="00A46BC5" w:rsidRDefault="00A46BC5" w:rsidP="002B7FB5">
      <w:pPr>
        <w:spacing w:after="0" w:line="240" w:lineRule="auto"/>
        <w:ind w:left="170" w:hanging="170"/>
        <w:jc w:val="both"/>
        <w:rPr>
          <w:rFonts w:ascii="Times New Roman" w:hAnsi="Times New Roman" w:cs="Times New Roman"/>
          <w:sz w:val="24"/>
          <w:szCs w:val="24"/>
        </w:rPr>
      </w:pPr>
      <w:r w:rsidRPr="00A46BC5">
        <w:rPr>
          <w:rFonts w:ascii="Times New Roman" w:hAnsi="Times New Roman" w:cs="Times New Roman"/>
          <w:sz w:val="24"/>
          <w:szCs w:val="24"/>
        </w:rPr>
        <w:t>Elmagrhi, M.H., Ntim, C.</w:t>
      </w:r>
      <w:r>
        <w:rPr>
          <w:rFonts w:ascii="Times New Roman" w:hAnsi="Times New Roman" w:cs="Times New Roman"/>
          <w:sz w:val="24"/>
          <w:szCs w:val="24"/>
        </w:rPr>
        <w:t>G.</w:t>
      </w:r>
      <w:r w:rsidRPr="00A46BC5">
        <w:rPr>
          <w:rFonts w:ascii="Times New Roman" w:hAnsi="Times New Roman" w:cs="Times New Roman"/>
          <w:sz w:val="24"/>
          <w:szCs w:val="24"/>
        </w:rPr>
        <w:t xml:space="preserve">, Wang, Y., Elamer, A.A., &amp; Crossley, R. (2021). The effect of vice-chancellor characteristics and internal governance mechanisms on voluntary disclosures in UK higher education institutions. </w:t>
      </w:r>
      <w:r w:rsidRPr="001424B0">
        <w:rPr>
          <w:rFonts w:ascii="Times New Roman" w:hAnsi="Times New Roman" w:cs="Times New Roman"/>
          <w:i/>
          <w:iCs/>
          <w:sz w:val="24"/>
          <w:szCs w:val="24"/>
        </w:rPr>
        <w:t>Journal of International Accounting, Auditing and Taxation</w:t>
      </w:r>
      <w:r w:rsidRPr="00A46BC5">
        <w:rPr>
          <w:rFonts w:ascii="Times New Roman" w:hAnsi="Times New Roman" w:cs="Times New Roman"/>
          <w:sz w:val="24"/>
          <w:szCs w:val="24"/>
        </w:rPr>
        <w:t xml:space="preserve">, 45, [100428]. </w:t>
      </w:r>
      <w:hyperlink r:id="rId14" w:history="1">
        <w:r w:rsidR="00DB659C" w:rsidRPr="00334C74">
          <w:rPr>
            <w:rStyle w:val="Hyperlink"/>
            <w:rFonts w:ascii="Times New Roman" w:hAnsi="Times New Roman" w:cs="Times New Roman"/>
            <w:sz w:val="24"/>
            <w:szCs w:val="24"/>
          </w:rPr>
          <w:t>https://doi.org/10.1016/j.intaccaudtax.2021.100428</w:t>
        </w:r>
      </w:hyperlink>
      <w:r w:rsidR="00DB659C">
        <w:rPr>
          <w:rFonts w:ascii="Times New Roman" w:hAnsi="Times New Roman" w:cs="Times New Roman"/>
          <w:sz w:val="24"/>
          <w:szCs w:val="24"/>
        </w:rPr>
        <w:t>.</w:t>
      </w:r>
    </w:p>
    <w:p w14:paraId="07FD4B3F" w14:textId="6E00C154" w:rsidR="00E67753" w:rsidRPr="00356ADA" w:rsidRDefault="00E67753" w:rsidP="002B7FB5">
      <w:pPr>
        <w:spacing w:after="0" w:line="240" w:lineRule="auto"/>
        <w:ind w:left="170" w:hanging="170"/>
        <w:jc w:val="both"/>
        <w:rPr>
          <w:rFonts w:ascii="Times New Roman" w:hAnsi="Times New Roman" w:cs="Times New Roman"/>
          <w:sz w:val="24"/>
          <w:szCs w:val="24"/>
        </w:rPr>
      </w:pPr>
      <w:r w:rsidRPr="00E67753">
        <w:rPr>
          <w:rFonts w:ascii="Times New Roman" w:hAnsi="Times New Roman" w:cs="Times New Roman"/>
          <w:sz w:val="24"/>
          <w:szCs w:val="24"/>
        </w:rPr>
        <w:t>Feng, N.C., Neely, D.G., &amp; Slatten, L.A.D. (2019). Stakeholder groups and accountability accreditation of non-profit organizations. </w:t>
      </w:r>
      <w:r w:rsidRPr="00E67753">
        <w:rPr>
          <w:rFonts w:ascii="Times New Roman" w:hAnsi="Times New Roman" w:cs="Times New Roman"/>
          <w:i/>
          <w:iCs/>
          <w:sz w:val="24"/>
          <w:szCs w:val="24"/>
        </w:rPr>
        <w:t>Journal of Public Budgeting, Accounting &amp; Financial Managemen</w:t>
      </w:r>
      <w:r w:rsidRPr="00E67753">
        <w:rPr>
          <w:rFonts w:ascii="Times New Roman" w:hAnsi="Times New Roman" w:cs="Times New Roman"/>
          <w:sz w:val="24"/>
          <w:szCs w:val="24"/>
        </w:rPr>
        <w:t>t, 31</w:t>
      </w:r>
      <w:r>
        <w:rPr>
          <w:rFonts w:ascii="Times New Roman" w:hAnsi="Times New Roman" w:cs="Times New Roman"/>
          <w:sz w:val="24"/>
          <w:szCs w:val="24"/>
        </w:rPr>
        <w:t>(2), 218-236.</w:t>
      </w:r>
    </w:p>
    <w:p w14:paraId="06F84CC1" w14:textId="6B34875D" w:rsidR="00646DFD" w:rsidRPr="00356ADA" w:rsidRDefault="00646DFD" w:rsidP="002B7FB5">
      <w:pPr>
        <w:spacing w:after="0" w:line="240" w:lineRule="auto"/>
        <w:ind w:left="170" w:hanging="170"/>
        <w:jc w:val="both"/>
        <w:rPr>
          <w:rFonts w:ascii="Times New Roman" w:hAnsi="Times New Roman" w:cs="Times New Roman"/>
          <w:sz w:val="24"/>
          <w:szCs w:val="24"/>
        </w:rPr>
      </w:pPr>
      <w:r w:rsidRPr="00646DFD">
        <w:rPr>
          <w:rFonts w:ascii="Times New Roman" w:hAnsi="Times New Roman" w:cs="Times New Roman"/>
          <w:sz w:val="24"/>
          <w:szCs w:val="24"/>
        </w:rPr>
        <w:t>Gaia, S., &amp; Jones, M.J. (2019). Biodiversity reporting for governmental organisations. </w:t>
      </w:r>
      <w:r w:rsidRPr="00646DFD">
        <w:rPr>
          <w:rFonts w:ascii="Times New Roman" w:hAnsi="Times New Roman" w:cs="Times New Roman"/>
          <w:i/>
          <w:iCs/>
          <w:sz w:val="24"/>
          <w:szCs w:val="24"/>
        </w:rPr>
        <w:t>Accounting, Auditing &amp; Accountability Journal, 33</w:t>
      </w:r>
      <w:r>
        <w:rPr>
          <w:rFonts w:ascii="Times New Roman" w:hAnsi="Times New Roman" w:cs="Times New Roman"/>
          <w:sz w:val="24"/>
          <w:szCs w:val="24"/>
        </w:rPr>
        <w:t>(1), 1-31.</w:t>
      </w:r>
    </w:p>
    <w:p w14:paraId="1EC14D36" w14:textId="77777777" w:rsidR="0021381D" w:rsidRPr="00356ADA" w:rsidRDefault="0021381D" w:rsidP="002B7FB5">
      <w:pPr>
        <w:spacing w:after="0" w:line="240" w:lineRule="auto"/>
        <w:ind w:left="170" w:hanging="170"/>
        <w:jc w:val="both"/>
        <w:rPr>
          <w:rFonts w:ascii="Times New Roman" w:hAnsi="Times New Roman" w:cs="Times New Roman"/>
          <w:sz w:val="24"/>
          <w:szCs w:val="24"/>
        </w:rPr>
      </w:pPr>
      <w:r w:rsidRPr="00356ADA">
        <w:rPr>
          <w:rFonts w:ascii="Times New Roman" w:hAnsi="Times New Roman" w:cs="Times New Roman"/>
          <w:sz w:val="24"/>
          <w:szCs w:val="24"/>
        </w:rPr>
        <w:t xml:space="preserve">Gordon, T., Fischer, M., Malone, D. and Tower, G. (2002). A comparative empirical examination of extent of disclosure by private and public colleges and universities in the United States. </w:t>
      </w:r>
      <w:r w:rsidRPr="00356ADA">
        <w:rPr>
          <w:rFonts w:ascii="Times New Roman" w:hAnsi="Times New Roman" w:cs="Times New Roman"/>
          <w:i/>
          <w:sz w:val="24"/>
          <w:szCs w:val="24"/>
        </w:rPr>
        <w:t>Journal of Accounting and Public Policy</w:t>
      </w:r>
      <w:r w:rsidRPr="00356ADA">
        <w:rPr>
          <w:rFonts w:ascii="Times New Roman" w:hAnsi="Times New Roman" w:cs="Times New Roman"/>
          <w:sz w:val="24"/>
          <w:szCs w:val="24"/>
        </w:rPr>
        <w:t xml:space="preserve">, </w:t>
      </w:r>
      <w:r w:rsidRPr="00356ADA">
        <w:rPr>
          <w:rFonts w:ascii="Times New Roman" w:hAnsi="Times New Roman" w:cs="Times New Roman"/>
          <w:i/>
          <w:sz w:val="24"/>
          <w:szCs w:val="24"/>
        </w:rPr>
        <w:t>21</w:t>
      </w:r>
      <w:r w:rsidRPr="00356ADA">
        <w:rPr>
          <w:rFonts w:ascii="Times New Roman" w:hAnsi="Times New Roman" w:cs="Times New Roman"/>
          <w:sz w:val="24"/>
          <w:szCs w:val="24"/>
        </w:rPr>
        <w:t>, 235-275.</w:t>
      </w:r>
    </w:p>
    <w:p w14:paraId="78BBDF5D" w14:textId="3F3C9928" w:rsidR="0021381D" w:rsidRDefault="0021381D" w:rsidP="002B7FB5">
      <w:pPr>
        <w:spacing w:after="0" w:line="240" w:lineRule="auto"/>
        <w:ind w:left="170" w:hanging="170"/>
        <w:jc w:val="both"/>
        <w:rPr>
          <w:rFonts w:ascii="Times New Roman" w:hAnsi="Times New Roman" w:cs="Times New Roman"/>
          <w:sz w:val="24"/>
          <w:szCs w:val="24"/>
          <w:lang w:val="en"/>
        </w:rPr>
      </w:pPr>
      <w:r w:rsidRPr="00356ADA">
        <w:rPr>
          <w:rFonts w:ascii="Times New Roman" w:hAnsi="Times New Roman" w:cs="Times New Roman"/>
          <w:sz w:val="24"/>
          <w:szCs w:val="24"/>
          <w:lang w:val="en"/>
        </w:rPr>
        <w:t xml:space="preserve">Gray, R., &amp; Haslam, J. (1990). External reporting by UK universities: </w:t>
      </w:r>
      <w:r w:rsidR="00E73278">
        <w:rPr>
          <w:rFonts w:ascii="Times New Roman" w:hAnsi="Times New Roman" w:cs="Times New Roman"/>
          <w:sz w:val="24"/>
          <w:szCs w:val="24"/>
          <w:lang w:val="en"/>
        </w:rPr>
        <w:t>A</w:t>
      </w:r>
      <w:r w:rsidRPr="00356ADA">
        <w:rPr>
          <w:rFonts w:ascii="Times New Roman" w:hAnsi="Times New Roman" w:cs="Times New Roman"/>
          <w:sz w:val="24"/>
          <w:szCs w:val="24"/>
          <w:lang w:val="en"/>
        </w:rPr>
        <w:t xml:space="preserve">n exploratory study of accounting change. </w:t>
      </w:r>
      <w:r w:rsidRPr="00356ADA">
        <w:rPr>
          <w:rFonts w:ascii="Times New Roman" w:hAnsi="Times New Roman" w:cs="Times New Roman"/>
          <w:i/>
          <w:sz w:val="24"/>
          <w:szCs w:val="24"/>
          <w:lang w:val="en"/>
        </w:rPr>
        <w:t>Financial Accountability &amp; Management</w:t>
      </w:r>
      <w:r w:rsidRPr="00356ADA">
        <w:rPr>
          <w:rFonts w:ascii="Times New Roman" w:hAnsi="Times New Roman" w:cs="Times New Roman"/>
          <w:sz w:val="24"/>
          <w:szCs w:val="24"/>
          <w:lang w:val="en"/>
        </w:rPr>
        <w:t xml:space="preserve">, </w:t>
      </w:r>
      <w:r w:rsidRPr="00356ADA">
        <w:rPr>
          <w:rFonts w:ascii="Times New Roman" w:hAnsi="Times New Roman" w:cs="Times New Roman"/>
          <w:i/>
          <w:sz w:val="24"/>
          <w:szCs w:val="24"/>
          <w:lang w:val="en"/>
        </w:rPr>
        <w:t>6</w:t>
      </w:r>
      <w:r w:rsidRPr="00356ADA">
        <w:rPr>
          <w:rFonts w:ascii="Times New Roman" w:hAnsi="Times New Roman" w:cs="Times New Roman"/>
          <w:sz w:val="24"/>
          <w:szCs w:val="24"/>
          <w:lang w:val="en"/>
        </w:rPr>
        <w:t>(1), 51-72.</w:t>
      </w:r>
    </w:p>
    <w:p w14:paraId="443C8DF4" w14:textId="55EAFFB2" w:rsidR="00514B36" w:rsidRDefault="00514B36" w:rsidP="002B7FB5">
      <w:pPr>
        <w:spacing w:after="0" w:line="240" w:lineRule="auto"/>
        <w:ind w:left="170" w:hanging="170"/>
        <w:jc w:val="both"/>
        <w:rPr>
          <w:rFonts w:ascii="Times New Roman" w:hAnsi="Times New Roman" w:cs="Times New Roman"/>
          <w:sz w:val="24"/>
          <w:szCs w:val="24"/>
          <w:lang w:val="en"/>
        </w:rPr>
      </w:pPr>
      <w:r w:rsidRPr="00514B36">
        <w:rPr>
          <w:rFonts w:ascii="Times New Roman" w:hAnsi="Times New Roman" w:cs="Times New Roman"/>
          <w:sz w:val="24"/>
          <w:szCs w:val="24"/>
          <w:lang w:val="en"/>
        </w:rPr>
        <w:t xml:space="preserve">Grobler, A. (2017). Conceptualisation of an ethical risk assessment for higher education institutions. </w:t>
      </w:r>
      <w:r w:rsidRPr="00514B36">
        <w:rPr>
          <w:rFonts w:ascii="Times New Roman" w:hAnsi="Times New Roman" w:cs="Times New Roman"/>
          <w:i/>
          <w:iCs/>
          <w:sz w:val="24"/>
          <w:szCs w:val="24"/>
          <w:lang w:val="en"/>
        </w:rPr>
        <w:t>South African Journal of Higher Education, 31</w:t>
      </w:r>
      <w:r w:rsidRPr="00514B36">
        <w:rPr>
          <w:rFonts w:ascii="Times New Roman" w:hAnsi="Times New Roman" w:cs="Times New Roman"/>
          <w:sz w:val="24"/>
          <w:szCs w:val="24"/>
          <w:lang w:val="en"/>
        </w:rPr>
        <w:t>(2), 154-171.</w:t>
      </w:r>
    </w:p>
    <w:p w14:paraId="2739499E" w14:textId="17C9113D" w:rsidR="004F32C3" w:rsidRPr="004F32C3" w:rsidRDefault="004F32C3" w:rsidP="004F32C3">
      <w:pPr>
        <w:spacing w:after="0" w:line="240" w:lineRule="auto"/>
        <w:ind w:left="170" w:hanging="170"/>
        <w:jc w:val="both"/>
        <w:rPr>
          <w:rFonts w:ascii="Times New Roman" w:hAnsi="Times New Roman" w:cs="Times New Roman"/>
          <w:sz w:val="24"/>
          <w:szCs w:val="24"/>
          <w:lang w:val="en"/>
        </w:rPr>
      </w:pPr>
      <w:r w:rsidRPr="004F32C3">
        <w:rPr>
          <w:rFonts w:ascii="Times New Roman" w:hAnsi="Times New Roman" w:cs="Times New Roman"/>
          <w:sz w:val="24"/>
          <w:szCs w:val="24"/>
        </w:rPr>
        <w:t xml:space="preserve">Harris, E.E., &amp; </w:t>
      </w:r>
      <w:bookmarkStart w:id="11" w:name="_Hlk117703555"/>
      <w:r w:rsidRPr="004F32C3">
        <w:rPr>
          <w:rFonts w:ascii="Times New Roman" w:hAnsi="Times New Roman" w:cs="Times New Roman"/>
          <w:sz w:val="24"/>
          <w:szCs w:val="24"/>
        </w:rPr>
        <w:t>Neely</w:t>
      </w:r>
      <w:bookmarkEnd w:id="11"/>
      <w:r w:rsidRPr="004F32C3">
        <w:rPr>
          <w:rFonts w:ascii="Times New Roman" w:hAnsi="Times New Roman" w:cs="Times New Roman"/>
          <w:sz w:val="24"/>
          <w:szCs w:val="24"/>
        </w:rPr>
        <w:t>, D. (2021). Determinants and consequences of nonprofit transparency. </w:t>
      </w:r>
      <w:r w:rsidRPr="004F32C3">
        <w:rPr>
          <w:rFonts w:ascii="Times New Roman" w:hAnsi="Times New Roman" w:cs="Times New Roman"/>
          <w:i/>
          <w:iCs/>
          <w:sz w:val="24"/>
          <w:szCs w:val="24"/>
        </w:rPr>
        <w:t>Journal of Accounting, Auditing &amp; Finance</w:t>
      </w:r>
      <w:r w:rsidRPr="004F32C3">
        <w:rPr>
          <w:rFonts w:ascii="Times New Roman" w:hAnsi="Times New Roman" w:cs="Times New Roman"/>
          <w:sz w:val="24"/>
          <w:szCs w:val="24"/>
        </w:rPr>
        <w:t>, </w:t>
      </w:r>
      <w:r w:rsidRPr="004F32C3">
        <w:rPr>
          <w:rFonts w:ascii="Times New Roman" w:hAnsi="Times New Roman" w:cs="Times New Roman"/>
          <w:i/>
          <w:iCs/>
          <w:sz w:val="24"/>
          <w:szCs w:val="24"/>
        </w:rPr>
        <w:t>36</w:t>
      </w:r>
      <w:r w:rsidRPr="004F32C3">
        <w:rPr>
          <w:rFonts w:ascii="Times New Roman" w:hAnsi="Times New Roman" w:cs="Times New Roman"/>
          <w:sz w:val="24"/>
          <w:szCs w:val="24"/>
        </w:rPr>
        <w:t>(1), 195-220.</w:t>
      </w:r>
    </w:p>
    <w:p w14:paraId="311A5264" w14:textId="5939E256" w:rsidR="00B7219E" w:rsidRDefault="00B7219E" w:rsidP="002B7FB5">
      <w:pPr>
        <w:spacing w:after="0" w:line="240" w:lineRule="auto"/>
        <w:ind w:left="170" w:hanging="170"/>
        <w:jc w:val="both"/>
        <w:rPr>
          <w:rFonts w:ascii="Times New Roman" w:hAnsi="Times New Roman" w:cs="Times New Roman"/>
          <w:sz w:val="24"/>
          <w:szCs w:val="24"/>
        </w:rPr>
      </w:pPr>
      <w:bookmarkStart w:id="12" w:name="_Hlk95994107"/>
      <w:r w:rsidRPr="00B7219E">
        <w:rPr>
          <w:rFonts w:ascii="Times New Roman" w:hAnsi="Times New Roman" w:cs="Times New Roman"/>
          <w:sz w:val="24"/>
          <w:szCs w:val="24"/>
        </w:rPr>
        <w:t>Harris, E., Petrovits, C.M., &amp; Yetman, M.H. (2015). The effect of nonprofit governance on donations: Evidence from the revised form 990. </w:t>
      </w:r>
      <w:r w:rsidRPr="00B7219E">
        <w:rPr>
          <w:rFonts w:ascii="Times New Roman" w:hAnsi="Times New Roman" w:cs="Times New Roman"/>
          <w:i/>
          <w:iCs/>
          <w:sz w:val="24"/>
          <w:szCs w:val="24"/>
        </w:rPr>
        <w:t>Accounting Review</w:t>
      </w:r>
      <w:r w:rsidRPr="00B7219E">
        <w:rPr>
          <w:rFonts w:ascii="Times New Roman" w:hAnsi="Times New Roman" w:cs="Times New Roman"/>
          <w:sz w:val="24"/>
          <w:szCs w:val="24"/>
        </w:rPr>
        <w:t>, </w:t>
      </w:r>
      <w:r w:rsidRPr="00B7219E">
        <w:rPr>
          <w:rFonts w:ascii="Times New Roman" w:hAnsi="Times New Roman" w:cs="Times New Roman"/>
          <w:i/>
          <w:iCs/>
          <w:sz w:val="24"/>
          <w:szCs w:val="24"/>
        </w:rPr>
        <w:t>90</w:t>
      </w:r>
      <w:r w:rsidRPr="00B7219E">
        <w:rPr>
          <w:rFonts w:ascii="Times New Roman" w:hAnsi="Times New Roman" w:cs="Times New Roman"/>
          <w:sz w:val="24"/>
          <w:szCs w:val="24"/>
        </w:rPr>
        <w:t>(2), 579-610.</w:t>
      </w:r>
    </w:p>
    <w:bookmarkEnd w:id="12"/>
    <w:p w14:paraId="3376B8B5" w14:textId="0EB8D8EE" w:rsidR="0021047D" w:rsidRDefault="0021047D" w:rsidP="00D964B6">
      <w:pPr>
        <w:spacing w:after="0" w:line="240" w:lineRule="auto"/>
        <w:ind w:left="170" w:hanging="170"/>
        <w:jc w:val="both"/>
        <w:rPr>
          <w:rFonts w:ascii="Times New Roman" w:hAnsi="Times New Roman" w:cs="Times New Roman"/>
          <w:sz w:val="24"/>
          <w:szCs w:val="24"/>
        </w:rPr>
      </w:pPr>
      <w:r w:rsidRPr="0021047D">
        <w:rPr>
          <w:rFonts w:ascii="Times New Roman" w:hAnsi="Times New Roman" w:cs="Times New Roman"/>
          <w:sz w:val="24"/>
          <w:szCs w:val="24"/>
        </w:rPr>
        <w:t xml:space="preserve">HEFCE (2005). </w:t>
      </w:r>
      <w:r w:rsidRPr="0021047D">
        <w:rPr>
          <w:rFonts w:ascii="Times New Roman" w:hAnsi="Times New Roman" w:cs="Times New Roman"/>
          <w:i/>
          <w:iCs/>
          <w:sz w:val="24"/>
          <w:szCs w:val="24"/>
        </w:rPr>
        <w:t>Risk management in higher education: a guide to good practice</w:t>
      </w:r>
      <w:r w:rsidRPr="0021047D">
        <w:rPr>
          <w:rFonts w:ascii="Times New Roman" w:hAnsi="Times New Roman" w:cs="Times New Roman"/>
          <w:sz w:val="24"/>
          <w:szCs w:val="24"/>
        </w:rPr>
        <w:t>. London</w:t>
      </w:r>
      <w:r>
        <w:rPr>
          <w:rFonts w:ascii="Times New Roman" w:hAnsi="Times New Roman" w:cs="Times New Roman"/>
          <w:sz w:val="24"/>
          <w:szCs w:val="24"/>
        </w:rPr>
        <w:t>.</w:t>
      </w:r>
      <w:r w:rsidRPr="0021047D">
        <w:rPr>
          <w:rFonts w:ascii="Times New Roman" w:hAnsi="Times New Roman" w:cs="Times New Roman"/>
          <w:sz w:val="24"/>
          <w:szCs w:val="24"/>
        </w:rPr>
        <w:t xml:space="preserve"> HEFCE</w:t>
      </w:r>
    </w:p>
    <w:p w14:paraId="0C51B24C" w14:textId="2D626984" w:rsidR="0021047D" w:rsidRDefault="0021047D" w:rsidP="00D964B6">
      <w:pPr>
        <w:spacing w:after="0" w:line="240" w:lineRule="auto"/>
        <w:ind w:left="170" w:hanging="170"/>
        <w:jc w:val="both"/>
        <w:rPr>
          <w:rFonts w:ascii="Times New Roman" w:hAnsi="Times New Roman" w:cs="Times New Roman"/>
          <w:sz w:val="24"/>
          <w:szCs w:val="24"/>
        </w:rPr>
      </w:pPr>
      <w:r w:rsidRPr="0021047D">
        <w:rPr>
          <w:rFonts w:ascii="Times New Roman" w:hAnsi="Times New Roman" w:cs="Times New Roman"/>
          <w:sz w:val="24"/>
          <w:szCs w:val="24"/>
        </w:rPr>
        <w:t>HEFCE</w:t>
      </w:r>
      <w:r>
        <w:rPr>
          <w:rFonts w:ascii="Times New Roman" w:hAnsi="Times New Roman" w:cs="Times New Roman"/>
          <w:sz w:val="24"/>
          <w:szCs w:val="24"/>
        </w:rPr>
        <w:t xml:space="preserve">. </w:t>
      </w:r>
      <w:r w:rsidRPr="0021047D">
        <w:rPr>
          <w:rFonts w:ascii="Times New Roman" w:hAnsi="Times New Roman" w:cs="Times New Roman"/>
          <w:sz w:val="24"/>
          <w:szCs w:val="24"/>
        </w:rPr>
        <w:t xml:space="preserve">(2001a). </w:t>
      </w:r>
      <w:r w:rsidRPr="0021047D">
        <w:rPr>
          <w:rFonts w:ascii="Times New Roman" w:hAnsi="Times New Roman" w:cs="Times New Roman"/>
          <w:i/>
          <w:iCs/>
          <w:sz w:val="24"/>
          <w:szCs w:val="24"/>
        </w:rPr>
        <w:t>Risk management: A briefing for governors and senior managers</w:t>
      </w:r>
      <w:r w:rsidRPr="0021047D">
        <w:rPr>
          <w:rFonts w:ascii="Times New Roman" w:hAnsi="Times New Roman" w:cs="Times New Roman"/>
          <w:sz w:val="24"/>
          <w:szCs w:val="24"/>
        </w:rPr>
        <w:t>. London</w:t>
      </w:r>
      <w:r>
        <w:rPr>
          <w:rFonts w:ascii="Times New Roman" w:hAnsi="Times New Roman" w:cs="Times New Roman"/>
          <w:sz w:val="24"/>
          <w:szCs w:val="24"/>
        </w:rPr>
        <w:t>.</w:t>
      </w:r>
      <w:r w:rsidRPr="0021047D">
        <w:rPr>
          <w:rFonts w:ascii="Times New Roman" w:hAnsi="Times New Roman" w:cs="Times New Roman"/>
          <w:sz w:val="24"/>
          <w:szCs w:val="24"/>
        </w:rPr>
        <w:t xml:space="preserve"> HEFCE.</w:t>
      </w:r>
    </w:p>
    <w:p w14:paraId="3057A5AD" w14:textId="791267B0" w:rsidR="0021047D" w:rsidRDefault="0021047D" w:rsidP="00D964B6">
      <w:pPr>
        <w:spacing w:after="0" w:line="240" w:lineRule="auto"/>
        <w:ind w:left="170" w:hanging="170"/>
        <w:jc w:val="both"/>
        <w:rPr>
          <w:rFonts w:ascii="Times New Roman" w:hAnsi="Times New Roman" w:cs="Times New Roman"/>
          <w:sz w:val="24"/>
          <w:szCs w:val="24"/>
        </w:rPr>
      </w:pPr>
      <w:r>
        <w:rPr>
          <w:rFonts w:ascii="Times New Roman" w:hAnsi="Times New Roman" w:cs="Times New Roman"/>
          <w:sz w:val="24"/>
          <w:szCs w:val="24"/>
        </w:rPr>
        <w:t>HEFCE.</w:t>
      </w:r>
      <w:r w:rsidRPr="0021047D">
        <w:rPr>
          <w:rFonts w:ascii="Times New Roman" w:hAnsi="Times New Roman" w:cs="Times New Roman"/>
          <w:sz w:val="24"/>
          <w:szCs w:val="24"/>
        </w:rPr>
        <w:t xml:space="preserve"> (2001b). </w:t>
      </w:r>
      <w:r w:rsidRPr="0021047D">
        <w:rPr>
          <w:rFonts w:ascii="Times New Roman" w:hAnsi="Times New Roman" w:cs="Times New Roman"/>
          <w:i/>
          <w:iCs/>
          <w:sz w:val="24"/>
          <w:szCs w:val="24"/>
        </w:rPr>
        <w:t>Risk prompt list for higher education institutions. London</w:t>
      </w:r>
      <w:r>
        <w:rPr>
          <w:rFonts w:ascii="Times New Roman" w:hAnsi="Times New Roman" w:cs="Times New Roman"/>
          <w:sz w:val="24"/>
          <w:szCs w:val="24"/>
        </w:rPr>
        <w:t>.</w:t>
      </w:r>
      <w:r w:rsidRPr="0021047D">
        <w:rPr>
          <w:rFonts w:ascii="Times New Roman" w:hAnsi="Times New Roman" w:cs="Times New Roman"/>
          <w:sz w:val="24"/>
          <w:szCs w:val="24"/>
        </w:rPr>
        <w:t xml:space="preserve"> </w:t>
      </w:r>
      <w:r>
        <w:rPr>
          <w:rFonts w:ascii="Times New Roman" w:hAnsi="Times New Roman" w:cs="Times New Roman"/>
          <w:sz w:val="24"/>
          <w:szCs w:val="24"/>
        </w:rPr>
        <w:t>HEFCE</w:t>
      </w:r>
    </w:p>
    <w:p w14:paraId="5CD13EE2" w14:textId="6C124F42" w:rsidR="009F500A" w:rsidRDefault="009F500A" w:rsidP="00D964B6">
      <w:pPr>
        <w:spacing w:after="0" w:line="240" w:lineRule="auto"/>
        <w:ind w:left="170" w:hanging="170"/>
        <w:jc w:val="both"/>
        <w:rPr>
          <w:rFonts w:ascii="Times New Roman" w:hAnsi="Times New Roman" w:cs="Times New Roman"/>
          <w:sz w:val="24"/>
          <w:szCs w:val="24"/>
        </w:rPr>
      </w:pPr>
      <w:r w:rsidRPr="009F500A">
        <w:rPr>
          <w:rFonts w:ascii="Times New Roman" w:hAnsi="Times New Roman" w:cs="Times New Roman"/>
          <w:sz w:val="24"/>
          <w:szCs w:val="24"/>
        </w:rPr>
        <w:t xml:space="preserve">LFHE (2009). </w:t>
      </w:r>
      <w:r w:rsidRPr="009F500A">
        <w:rPr>
          <w:rFonts w:ascii="Times New Roman" w:hAnsi="Times New Roman" w:cs="Times New Roman"/>
          <w:i/>
          <w:iCs/>
          <w:sz w:val="24"/>
          <w:szCs w:val="24"/>
        </w:rPr>
        <w:t>Getting to grips with risk: Resources for governors of UK universities and higher education colleges</w:t>
      </w:r>
      <w:r w:rsidRPr="009F500A">
        <w:rPr>
          <w:rFonts w:ascii="Times New Roman" w:hAnsi="Times New Roman" w:cs="Times New Roman"/>
          <w:sz w:val="24"/>
          <w:szCs w:val="24"/>
        </w:rPr>
        <w:t>. Summers, E. and Boothroyd, K., edited by Scholfield, A. London</w:t>
      </w:r>
      <w:r w:rsidR="0021047D">
        <w:rPr>
          <w:rFonts w:ascii="Times New Roman" w:hAnsi="Times New Roman" w:cs="Times New Roman"/>
          <w:sz w:val="24"/>
          <w:szCs w:val="24"/>
        </w:rPr>
        <w:t>.</w:t>
      </w:r>
      <w:r w:rsidRPr="009F500A">
        <w:rPr>
          <w:rFonts w:ascii="Times New Roman" w:hAnsi="Times New Roman" w:cs="Times New Roman"/>
          <w:sz w:val="24"/>
          <w:szCs w:val="24"/>
        </w:rPr>
        <w:t xml:space="preserve"> LFHE.</w:t>
      </w:r>
    </w:p>
    <w:p w14:paraId="2AB3B78E" w14:textId="0657B376" w:rsidR="0021381D" w:rsidRPr="00356ADA" w:rsidRDefault="0021381D" w:rsidP="00D964B6">
      <w:pPr>
        <w:spacing w:after="0" w:line="240" w:lineRule="auto"/>
        <w:ind w:left="170" w:hanging="170"/>
        <w:jc w:val="both"/>
        <w:rPr>
          <w:rFonts w:ascii="Times New Roman" w:hAnsi="Times New Roman" w:cs="Times New Roman"/>
          <w:sz w:val="24"/>
          <w:szCs w:val="24"/>
        </w:rPr>
      </w:pPr>
      <w:r w:rsidRPr="00356ADA">
        <w:rPr>
          <w:rFonts w:ascii="Times New Roman" w:hAnsi="Times New Roman" w:cs="Times New Roman"/>
          <w:sz w:val="24"/>
          <w:szCs w:val="24"/>
        </w:rPr>
        <w:t xml:space="preserve">Lokuwaduge, C.D.S. &amp; Armstrong, A. (2015). The impact of governance on the performance of the higher education sector in Australia. </w:t>
      </w:r>
      <w:r w:rsidRPr="00356ADA">
        <w:rPr>
          <w:rFonts w:ascii="Times New Roman" w:hAnsi="Times New Roman" w:cs="Times New Roman"/>
          <w:i/>
          <w:sz w:val="24"/>
          <w:szCs w:val="24"/>
        </w:rPr>
        <w:t>Educational Management Administration &amp; Leadership</w:t>
      </w:r>
      <w:r w:rsidRPr="00356ADA">
        <w:rPr>
          <w:rFonts w:ascii="Times New Roman" w:hAnsi="Times New Roman" w:cs="Times New Roman"/>
          <w:sz w:val="24"/>
          <w:szCs w:val="24"/>
        </w:rPr>
        <w:t xml:space="preserve">, </w:t>
      </w:r>
      <w:r w:rsidRPr="00356ADA">
        <w:rPr>
          <w:rFonts w:ascii="Times New Roman" w:hAnsi="Times New Roman" w:cs="Times New Roman"/>
          <w:i/>
          <w:sz w:val="24"/>
          <w:szCs w:val="24"/>
        </w:rPr>
        <w:t>43</w:t>
      </w:r>
      <w:r w:rsidR="008F37D2" w:rsidRPr="00356ADA">
        <w:rPr>
          <w:rFonts w:ascii="Times New Roman" w:hAnsi="Times New Roman" w:cs="Times New Roman"/>
          <w:sz w:val="24"/>
          <w:szCs w:val="24"/>
        </w:rPr>
        <w:t>(5), 811-827.</w:t>
      </w:r>
    </w:p>
    <w:p w14:paraId="578BD72A" w14:textId="27D3245E" w:rsidR="00BA7E1D" w:rsidRDefault="00BA7E1D" w:rsidP="00D964B6">
      <w:pPr>
        <w:spacing w:after="0" w:line="240" w:lineRule="auto"/>
        <w:ind w:left="170" w:hanging="170"/>
        <w:jc w:val="both"/>
        <w:rPr>
          <w:rFonts w:ascii="Times New Roman" w:hAnsi="Times New Roman" w:cs="Times New Roman"/>
          <w:sz w:val="24"/>
          <w:szCs w:val="24"/>
        </w:rPr>
      </w:pPr>
      <w:r w:rsidRPr="00356ADA">
        <w:rPr>
          <w:rFonts w:ascii="Times New Roman" w:hAnsi="Times New Roman" w:cs="Times New Roman"/>
          <w:sz w:val="24"/>
          <w:szCs w:val="24"/>
        </w:rPr>
        <w:t xml:space="preserve">Middlehurst, R. (2013). Changing internal governance: Are leadership roles and management structures in United Kingdom universities fit for the future? </w:t>
      </w:r>
      <w:r w:rsidRPr="00356ADA">
        <w:rPr>
          <w:rFonts w:ascii="Times New Roman" w:hAnsi="Times New Roman" w:cs="Times New Roman"/>
          <w:i/>
          <w:sz w:val="24"/>
          <w:szCs w:val="24"/>
        </w:rPr>
        <w:t>Higher Education Quarterly</w:t>
      </w:r>
      <w:r w:rsidRPr="00356ADA">
        <w:rPr>
          <w:rFonts w:ascii="Times New Roman" w:hAnsi="Times New Roman" w:cs="Times New Roman"/>
          <w:sz w:val="24"/>
          <w:szCs w:val="24"/>
        </w:rPr>
        <w:t xml:space="preserve">, </w:t>
      </w:r>
      <w:r w:rsidRPr="00356ADA">
        <w:rPr>
          <w:rFonts w:ascii="Times New Roman" w:hAnsi="Times New Roman" w:cs="Times New Roman"/>
          <w:i/>
          <w:sz w:val="24"/>
          <w:szCs w:val="24"/>
        </w:rPr>
        <w:t>67</w:t>
      </w:r>
      <w:r w:rsidRPr="00356ADA">
        <w:rPr>
          <w:rFonts w:ascii="Times New Roman" w:hAnsi="Times New Roman" w:cs="Times New Roman"/>
          <w:sz w:val="24"/>
          <w:szCs w:val="24"/>
        </w:rPr>
        <w:t>(3), 275-294.</w:t>
      </w:r>
    </w:p>
    <w:p w14:paraId="4448C2A9" w14:textId="77777777" w:rsidR="0021381D" w:rsidRPr="00356ADA" w:rsidRDefault="0021381D" w:rsidP="00D964B6">
      <w:pPr>
        <w:spacing w:after="0" w:line="240" w:lineRule="auto"/>
        <w:ind w:left="170" w:hanging="170"/>
        <w:jc w:val="both"/>
        <w:rPr>
          <w:rFonts w:ascii="Times New Roman" w:hAnsi="Times New Roman" w:cs="Times New Roman"/>
          <w:sz w:val="24"/>
          <w:szCs w:val="24"/>
        </w:rPr>
      </w:pPr>
      <w:r w:rsidRPr="00356ADA">
        <w:rPr>
          <w:rFonts w:ascii="Times New Roman" w:hAnsi="Times New Roman" w:cs="Times New Roman"/>
          <w:sz w:val="24"/>
          <w:szCs w:val="24"/>
        </w:rPr>
        <w:t xml:space="preserve">Nelson, M., Banks, W., &amp; Fisher, J. (2003). Improved accountability disclosures by Canadian universities. </w:t>
      </w:r>
      <w:r w:rsidRPr="00356ADA">
        <w:rPr>
          <w:rFonts w:ascii="Times New Roman" w:hAnsi="Times New Roman" w:cs="Times New Roman"/>
          <w:i/>
          <w:sz w:val="24"/>
          <w:szCs w:val="24"/>
        </w:rPr>
        <w:t>Canadian Accounting Perspectives</w:t>
      </w:r>
      <w:r w:rsidRPr="00356ADA">
        <w:rPr>
          <w:rFonts w:ascii="Times New Roman" w:hAnsi="Times New Roman" w:cs="Times New Roman"/>
          <w:sz w:val="24"/>
          <w:szCs w:val="24"/>
        </w:rPr>
        <w:t xml:space="preserve">, </w:t>
      </w:r>
      <w:r w:rsidRPr="00356ADA">
        <w:rPr>
          <w:rFonts w:ascii="Times New Roman" w:hAnsi="Times New Roman" w:cs="Times New Roman"/>
          <w:i/>
          <w:sz w:val="24"/>
          <w:szCs w:val="24"/>
        </w:rPr>
        <w:t>2</w:t>
      </w:r>
      <w:r w:rsidRPr="00356ADA">
        <w:rPr>
          <w:rFonts w:ascii="Times New Roman" w:hAnsi="Times New Roman" w:cs="Times New Roman"/>
          <w:sz w:val="24"/>
          <w:szCs w:val="24"/>
        </w:rPr>
        <w:t>(1), 77-107.</w:t>
      </w:r>
    </w:p>
    <w:p w14:paraId="73407730" w14:textId="58983B15" w:rsidR="008708F4" w:rsidRDefault="008708F4" w:rsidP="008708F4">
      <w:pPr>
        <w:spacing w:after="0" w:line="240" w:lineRule="auto"/>
        <w:ind w:left="170" w:hanging="170"/>
        <w:jc w:val="both"/>
        <w:rPr>
          <w:rFonts w:ascii="Times New Roman" w:hAnsi="Times New Roman" w:cs="Times New Roman"/>
          <w:sz w:val="24"/>
          <w:szCs w:val="24"/>
        </w:rPr>
      </w:pPr>
      <w:r w:rsidRPr="008708F4">
        <w:rPr>
          <w:rFonts w:ascii="Times New Roman" w:hAnsi="Times New Roman" w:cs="Times New Roman"/>
          <w:sz w:val="24"/>
          <w:szCs w:val="24"/>
        </w:rPr>
        <w:t xml:space="preserve">Ntim, C.G., Opong, K.K., &amp; Danbolt, J. (2012).  The relative value relevance of shareholder versus stakeholder corporate governance disclosure policy reforms in South Africa. </w:t>
      </w:r>
      <w:r w:rsidRPr="008708F4">
        <w:rPr>
          <w:rFonts w:ascii="Times New Roman" w:hAnsi="Times New Roman" w:cs="Times New Roman"/>
          <w:i/>
          <w:sz w:val="24"/>
          <w:szCs w:val="24"/>
        </w:rPr>
        <w:t>Corporate Governance: An International Review</w:t>
      </w:r>
      <w:r w:rsidRPr="008708F4">
        <w:rPr>
          <w:rFonts w:ascii="Times New Roman" w:hAnsi="Times New Roman" w:cs="Times New Roman"/>
          <w:sz w:val="24"/>
          <w:szCs w:val="24"/>
        </w:rPr>
        <w:t xml:space="preserve">, </w:t>
      </w:r>
      <w:r w:rsidRPr="008708F4">
        <w:rPr>
          <w:rFonts w:ascii="Times New Roman" w:hAnsi="Times New Roman" w:cs="Times New Roman"/>
          <w:i/>
          <w:sz w:val="24"/>
          <w:szCs w:val="24"/>
        </w:rPr>
        <w:t>20</w:t>
      </w:r>
      <w:r w:rsidRPr="008708F4">
        <w:rPr>
          <w:rFonts w:ascii="Times New Roman" w:hAnsi="Times New Roman" w:cs="Times New Roman"/>
          <w:sz w:val="24"/>
          <w:szCs w:val="24"/>
        </w:rPr>
        <w:t>, 84-105.</w:t>
      </w:r>
    </w:p>
    <w:p w14:paraId="6F611877" w14:textId="3CC1DD1B" w:rsidR="00E177F3" w:rsidRPr="00356ADA" w:rsidRDefault="00E177F3" w:rsidP="00D964B6">
      <w:pPr>
        <w:spacing w:after="0" w:line="240" w:lineRule="auto"/>
        <w:ind w:left="170" w:hanging="170"/>
        <w:jc w:val="both"/>
        <w:rPr>
          <w:rFonts w:ascii="Times New Roman" w:hAnsi="Times New Roman" w:cs="Times New Roman"/>
          <w:sz w:val="24"/>
          <w:szCs w:val="24"/>
        </w:rPr>
      </w:pPr>
      <w:r w:rsidRPr="00356ADA">
        <w:rPr>
          <w:rFonts w:ascii="Times New Roman" w:hAnsi="Times New Roman" w:cs="Times New Roman"/>
          <w:sz w:val="24"/>
          <w:szCs w:val="24"/>
        </w:rPr>
        <w:t xml:space="preserve">Ntim, C.G., &amp; Soobaroyen, T. (2013). Corporate governance and performance in socially responsible corporations: New empirical insights from a neo-institutional framework. </w:t>
      </w:r>
      <w:r w:rsidRPr="00356ADA">
        <w:rPr>
          <w:rFonts w:ascii="Times New Roman" w:hAnsi="Times New Roman" w:cs="Times New Roman"/>
          <w:i/>
          <w:iCs/>
          <w:sz w:val="24"/>
          <w:szCs w:val="24"/>
        </w:rPr>
        <w:t>Corporate Governance: An International Review</w:t>
      </w:r>
      <w:r w:rsidRPr="00356ADA">
        <w:rPr>
          <w:rFonts w:ascii="Times New Roman" w:hAnsi="Times New Roman" w:cs="Times New Roman"/>
          <w:sz w:val="24"/>
          <w:szCs w:val="24"/>
        </w:rPr>
        <w:t xml:space="preserve">, </w:t>
      </w:r>
      <w:r w:rsidRPr="00356ADA">
        <w:rPr>
          <w:rFonts w:ascii="Times New Roman" w:hAnsi="Times New Roman" w:cs="Times New Roman"/>
          <w:i/>
          <w:sz w:val="24"/>
          <w:szCs w:val="24"/>
        </w:rPr>
        <w:t>21</w:t>
      </w:r>
      <w:r w:rsidRPr="00356ADA">
        <w:rPr>
          <w:rFonts w:ascii="Times New Roman" w:hAnsi="Times New Roman" w:cs="Times New Roman"/>
          <w:sz w:val="24"/>
          <w:szCs w:val="24"/>
        </w:rPr>
        <w:t>(5), 468-494.</w:t>
      </w:r>
    </w:p>
    <w:p w14:paraId="7AF47108" w14:textId="77777777" w:rsidR="00E177F3" w:rsidRPr="00356ADA" w:rsidRDefault="00E177F3" w:rsidP="00D964B6">
      <w:pPr>
        <w:spacing w:after="0" w:line="240" w:lineRule="auto"/>
        <w:ind w:left="170" w:hanging="170"/>
        <w:jc w:val="both"/>
        <w:rPr>
          <w:rFonts w:ascii="Times New Roman" w:hAnsi="Times New Roman" w:cs="Times New Roman"/>
          <w:sz w:val="24"/>
          <w:szCs w:val="24"/>
        </w:rPr>
      </w:pPr>
      <w:r w:rsidRPr="00356ADA">
        <w:rPr>
          <w:rFonts w:ascii="Times New Roman" w:hAnsi="Times New Roman" w:cs="Times New Roman"/>
          <w:sz w:val="24"/>
          <w:szCs w:val="24"/>
        </w:rPr>
        <w:t xml:space="preserve">Ntim, C.G., Lindop, S., Osei, K.A., &amp; Thomas, D.A. (2013). Corporate governance and risk reporting in South Africa: A study of corporate risk disclosures in the pre- and post-2007/2008 global financial crisis period. </w:t>
      </w:r>
      <w:r w:rsidRPr="00356ADA">
        <w:rPr>
          <w:rFonts w:ascii="Times New Roman" w:hAnsi="Times New Roman" w:cs="Times New Roman"/>
          <w:i/>
          <w:sz w:val="24"/>
          <w:szCs w:val="24"/>
        </w:rPr>
        <w:t>International Review of Financial Analysis</w:t>
      </w:r>
      <w:r w:rsidRPr="00356ADA">
        <w:rPr>
          <w:rFonts w:ascii="Times New Roman" w:hAnsi="Times New Roman" w:cs="Times New Roman"/>
          <w:sz w:val="24"/>
          <w:szCs w:val="24"/>
        </w:rPr>
        <w:t xml:space="preserve">, </w:t>
      </w:r>
      <w:r w:rsidRPr="00356ADA">
        <w:rPr>
          <w:rFonts w:ascii="Times New Roman" w:hAnsi="Times New Roman" w:cs="Times New Roman"/>
          <w:i/>
          <w:sz w:val="24"/>
          <w:szCs w:val="24"/>
        </w:rPr>
        <w:t>30</w:t>
      </w:r>
      <w:r w:rsidRPr="00356ADA">
        <w:rPr>
          <w:rFonts w:ascii="Times New Roman" w:hAnsi="Times New Roman" w:cs="Times New Roman"/>
          <w:sz w:val="24"/>
          <w:szCs w:val="24"/>
        </w:rPr>
        <w:t>, 363-383.</w:t>
      </w:r>
    </w:p>
    <w:p w14:paraId="2FF7D9CB" w14:textId="177C07E3" w:rsidR="00E177F3" w:rsidRDefault="00E177F3" w:rsidP="00D964B6">
      <w:pPr>
        <w:spacing w:after="0" w:line="240" w:lineRule="auto"/>
        <w:ind w:left="170" w:hanging="170"/>
        <w:jc w:val="both"/>
        <w:rPr>
          <w:rFonts w:ascii="Times New Roman" w:hAnsi="Times New Roman" w:cs="Times New Roman"/>
          <w:bCs/>
          <w:sz w:val="24"/>
          <w:szCs w:val="24"/>
        </w:rPr>
      </w:pPr>
      <w:r w:rsidRPr="00356ADA">
        <w:rPr>
          <w:rFonts w:ascii="Times New Roman" w:hAnsi="Times New Roman" w:cs="Times New Roman"/>
          <w:sz w:val="24"/>
          <w:szCs w:val="24"/>
        </w:rPr>
        <w:t xml:space="preserve">Ntim, C.G., Soobaroyen, T., &amp; Broad, M.J. (2017). Governance structures, voluntary disclosures and public accountability: The case of UK higher education institutions. </w:t>
      </w:r>
      <w:r w:rsidRPr="00356ADA">
        <w:rPr>
          <w:rFonts w:ascii="Times New Roman" w:hAnsi="Times New Roman" w:cs="Times New Roman"/>
          <w:i/>
          <w:sz w:val="24"/>
          <w:szCs w:val="24"/>
        </w:rPr>
        <w:t xml:space="preserve">Accounting, Auditing and Accountability Journal, </w:t>
      </w:r>
      <w:r w:rsidRPr="00356ADA">
        <w:rPr>
          <w:rFonts w:ascii="Times New Roman" w:hAnsi="Times New Roman" w:cs="Times New Roman"/>
          <w:sz w:val="24"/>
          <w:szCs w:val="24"/>
        </w:rPr>
        <w:t xml:space="preserve">30(1), </w:t>
      </w:r>
      <w:r w:rsidRPr="00356ADA">
        <w:rPr>
          <w:rFonts w:ascii="Times New Roman" w:hAnsi="Times New Roman" w:cs="Times New Roman"/>
          <w:bCs/>
          <w:sz w:val="24"/>
          <w:szCs w:val="24"/>
        </w:rPr>
        <w:t>65-118.</w:t>
      </w:r>
    </w:p>
    <w:p w14:paraId="129BB19B" w14:textId="77777777" w:rsidR="0021381D" w:rsidRPr="00356ADA" w:rsidRDefault="0021381D" w:rsidP="00D964B6">
      <w:pPr>
        <w:spacing w:after="0" w:line="240" w:lineRule="auto"/>
        <w:ind w:left="170" w:hanging="170"/>
        <w:jc w:val="both"/>
        <w:rPr>
          <w:rFonts w:ascii="Times New Roman" w:hAnsi="Times New Roman" w:cs="Times New Roman"/>
          <w:sz w:val="24"/>
          <w:szCs w:val="24"/>
        </w:rPr>
      </w:pPr>
      <w:r w:rsidRPr="00356ADA">
        <w:rPr>
          <w:rFonts w:ascii="Times New Roman" w:hAnsi="Times New Roman" w:cs="Times New Roman"/>
          <w:sz w:val="24"/>
          <w:szCs w:val="24"/>
        </w:rPr>
        <w:t xml:space="preserve">Parker, L.D. (2012). From privatised to hybrid corporatized higher education: A global financial management discourse. </w:t>
      </w:r>
      <w:r w:rsidRPr="00356ADA">
        <w:rPr>
          <w:rFonts w:ascii="Times New Roman" w:hAnsi="Times New Roman" w:cs="Times New Roman"/>
          <w:i/>
          <w:sz w:val="24"/>
          <w:szCs w:val="24"/>
        </w:rPr>
        <w:t>Financial Accountability &amp; Management</w:t>
      </w:r>
      <w:r w:rsidRPr="00356ADA">
        <w:rPr>
          <w:rFonts w:ascii="Times New Roman" w:hAnsi="Times New Roman" w:cs="Times New Roman"/>
          <w:sz w:val="24"/>
          <w:szCs w:val="24"/>
        </w:rPr>
        <w:t xml:space="preserve">, </w:t>
      </w:r>
      <w:r w:rsidRPr="00356ADA">
        <w:rPr>
          <w:rFonts w:ascii="Times New Roman" w:hAnsi="Times New Roman" w:cs="Times New Roman"/>
          <w:i/>
          <w:sz w:val="24"/>
          <w:szCs w:val="24"/>
        </w:rPr>
        <w:t>28</w:t>
      </w:r>
      <w:r w:rsidRPr="00356ADA">
        <w:rPr>
          <w:rFonts w:ascii="Times New Roman" w:hAnsi="Times New Roman" w:cs="Times New Roman"/>
          <w:sz w:val="24"/>
          <w:szCs w:val="24"/>
        </w:rPr>
        <w:t>(3), 247-268.</w:t>
      </w:r>
    </w:p>
    <w:p w14:paraId="79F9420D" w14:textId="4C992025" w:rsidR="0021381D" w:rsidRDefault="0021381D" w:rsidP="00D964B6">
      <w:pPr>
        <w:spacing w:after="0" w:line="240" w:lineRule="auto"/>
        <w:ind w:left="170" w:hanging="170"/>
        <w:jc w:val="both"/>
        <w:rPr>
          <w:rFonts w:ascii="Times New Roman" w:hAnsi="Times New Roman" w:cs="Times New Roman"/>
          <w:sz w:val="24"/>
          <w:szCs w:val="24"/>
        </w:rPr>
      </w:pPr>
      <w:r w:rsidRPr="00356ADA">
        <w:rPr>
          <w:rFonts w:ascii="Times New Roman" w:hAnsi="Times New Roman" w:cs="Times New Roman"/>
          <w:sz w:val="24"/>
          <w:szCs w:val="24"/>
        </w:rPr>
        <w:lastRenderedPageBreak/>
        <w:t xml:space="preserve">Parker, L.D. (2013). Contemporary university strategizing: The financial imperative. </w:t>
      </w:r>
      <w:r w:rsidRPr="00356ADA">
        <w:rPr>
          <w:rFonts w:ascii="Times New Roman" w:hAnsi="Times New Roman" w:cs="Times New Roman"/>
          <w:i/>
          <w:sz w:val="24"/>
          <w:szCs w:val="24"/>
        </w:rPr>
        <w:t>Financial Accountability &amp; Management</w:t>
      </w:r>
      <w:r w:rsidRPr="00356ADA">
        <w:rPr>
          <w:rFonts w:ascii="Times New Roman" w:hAnsi="Times New Roman" w:cs="Times New Roman"/>
          <w:sz w:val="24"/>
          <w:szCs w:val="24"/>
        </w:rPr>
        <w:t xml:space="preserve">, </w:t>
      </w:r>
      <w:r w:rsidRPr="00356ADA">
        <w:rPr>
          <w:rFonts w:ascii="Times New Roman" w:hAnsi="Times New Roman" w:cs="Times New Roman"/>
          <w:i/>
          <w:sz w:val="24"/>
          <w:szCs w:val="24"/>
        </w:rPr>
        <w:t>29</w:t>
      </w:r>
      <w:r w:rsidRPr="00356ADA">
        <w:rPr>
          <w:rFonts w:ascii="Times New Roman" w:hAnsi="Times New Roman" w:cs="Times New Roman"/>
          <w:sz w:val="24"/>
          <w:szCs w:val="24"/>
        </w:rPr>
        <w:t>(1), 1-29.</w:t>
      </w:r>
    </w:p>
    <w:p w14:paraId="66541453" w14:textId="3C97996F" w:rsidR="00443BEA" w:rsidRDefault="00443BEA" w:rsidP="00D964B6">
      <w:pPr>
        <w:spacing w:after="0" w:line="240" w:lineRule="auto"/>
        <w:ind w:left="170" w:hanging="170"/>
        <w:jc w:val="both"/>
        <w:rPr>
          <w:rFonts w:ascii="Times New Roman" w:hAnsi="Times New Roman" w:cs="Times New Roman"/>
          <w:sz w:val="24"/>
          <w:szCs w:val="24"/>
        </w:rPr>
      </w:pPr>
      <w:r w:rsidRPr="00443BEA">
        <w:rPr>
          <w:rFonts w:ascii="Times New Roman" w:hAnsi="Times New Roman" w:cs="Times New Roman"/>
          <w:sz w:val="24"/>
          <w:szCs w:val="24"/>
        </w:rPr>
        <w:t>Ragland, L.G., &amp; Plante, C.A. (2021). The association between board composition, board governance, and charity care provided by nonprofit hospitals. </w:t>
      </w:r>
      <w:r w:rsidRPr="00443BEA">
        <w:rPr>
          <w:rFonts w:ascii="Times New Roman" w:hAnsi="Times New Roman" w:cs="Times New Roman"/>
          <w:i/>
          <w:iCs/>
          <w:sz w:val="24"/>
          <w:szCs w:val="24"/>
        </w:rPr>
        <w:t>Journal of Governmental &amp; Nonprofit Accounting</w:t>
      </w:r>
      <w:r w:rsidRPr="00443BEA">
        <w:rPr>
          <w:rFonts w:ascii="Times New Roman" w:hAnsi="Times New Roman" w:cs="Times New Roman"/>
          <w:sz w:val="24"/>
          <w:szCs w:val="24"/>
        </w:rPr>
        <w:t>, </w:t>
      </w:r>
      <w:r w:rsidRPr="00443BEA">
        <w:rPr>
          <w:rFonts w:ascii="Times New Roman" w:hAnsi="Times New Roman" w:cs="Times New Roman"/>
          <w:i/>
          <w:iCs/>
          <w:sz w:val="24"/>
          <w:szCs w:val="24"/>
        </w:rPr>
        <w:t>10</w:t>
      </w:r>
      <w:r w:rsidRPr="00443BEA">
        <w:rPr>
          <w:rFonts w:ascii="Times New Roman" w:hAnsi="Times New Roman" w:cs="Times New Roman"/>
          <w:sz w:val="24"/>
          <w:szCs w:val="24"/>
        </w:rPr>
        <w:t>(1), 50-85.</w:t>
      </w:r>
    </w:p>
    <w:p w14:paraId="7EA78844" w14:textId="23D6B1EE" w:rsidR="00D95AEC" w:rsidRDefault="00D95AEC" w:rsidP="00D964B6">
      <w:pPr>
        <w:spacing w:after="0" w:line="240" w:lineRule="auto"/>
        <w:ind w:left="170" w:hanging="170"/>
        <w:jc w:val="both"/>
        <w:rPr>
          <w:rFonts w:ascii="Times New Roman" w:hAnsi="Times New Roman" w:cs="Times New Roman"/>
          <w:sz w:val="24"/>
          <w:szCs w:val="24"/>
        </w:rPr>
      </w:pPr>
      <w:r w:rsidRPr="00D95AEC">
        <w:rPr>
          <w:rFonts w:ascii="Times New Roman" w:hAnsi="Times New Roman" w:cs="Times New Roman"/>
          <w:sz w:val="24"/>
          <w:szCs w:val="24"/>
        </w:rPr>
        <w:t>Saxton, G.D., &amp; Guo,</w:t>
      </w:r>
      <w:r w:rsidR="008A5CB3">
        <w:rPr>
          <w:rFonts w:ascii="Times New Roman" w:hAnsi="Times New Roman" w:cs="Times New Roman"/>
          <w:sz w:val="24"/>
          <w:szCs w:val="24"/>
        </w:rPr>
        <w:t xml:space="preserve"> </w:t>
      </w:r>
      <w:r w:rsidRPr="00D95AEC">
        <w:rPr>
          <w:rFonts w:ascii="Times New Roman" w:hAnsi="Times New Roman" w:cs="Times New Roman"/>
          <w:sz w:val="24"/>
          <w:szCs w:val="24"/>
        </w:rPr>
        <w:t>C. (2011). Accountability online: Understanding the web-based accountability practices of nonprofit organizations. </w:t>
      </w:r>
      <w:r w:rsidRPr="00D95AEC">
        <w:rPr>
          <w:rFonts w:ascii="Times New Roman" w:hAnsi="Times New Roman" w:cs="Times New Roman"/>
          <w:i/>
          <w:iCs/>
          <w:sz w:val="24"/>
          <w:szCs w:val="24"/>
        </w:rPr>
        <w:t xml:space="preserve">Nonprofit and </w:t>
      </w:r>
      <w:r>
        <w:rPr>
          <w:rFonts w:ascii="Times New Roman" w:hAnsi="Times New Roman" w:cs="Times New Roman"/>
          <w:i/>
          <w:iCs/>
          <w:sz w:val="24"/>
          <w:szCs w:val="24"/>
        </w:rPr>
        <w:t>V</w:t>
      </w:r>
      <w:r w:rsidRPr="00D95AEC">
        <w:rPr>
          <w:rFonts w:ascii="Times New Roman" w:hAnsi="Times New Roman" w:cs="Times New Roman"/>
          <w:i/>
          <w:iCs/>
          <w:sz w:val="24"/>
          <w:szCs w:val="24"/>
        </w:rPr>
        <w:t xml:space="preserve">oluntary </w:t>
      </w:r>
      <w:r>
        <w:rPr>
          <w:rFonts w:ascii="Times New Roman" w:hAnsi="Times New Roman" w:cs="Times New Roman"/>
          <w:i/>
          <w:iCs/>
          <w:sz w:val="24"/>
          <w:szCs w:val="24"/>
        </w:rPr>
        <w:t>S</w:t>
      </w:r>
      <w:r w:rsidRPr="00D95AEC">
        <w:rPr>
          <w:rFonts w:ascii="Times New Roman" w:hAnsi="Times New Roman" w:cs="Times New Roman"/>
          <w:i/>
          <w:iCs/>
          <w:sz w:val="24"/>
          <w:szCs w:val="24"/>
        </w:rPr>
        <w:t xml:space="preserve">ector </w:t>
      </w:r>
      <w:r>
        <w:rPr>
          <w:rFonts w:ascii="Times New Roman" w:hAnsi="Times New Roman" w:cs="Times New Roman"/>
          <w:i/>
          <w:iCs/>
          <w:sz w:val="24"/>
          <w:szCs w:val="24"/>
        </w:rPr>
        <w:t>Q</w:t>
      </w:r>
      <w:r w:rsidRPr="00D95AEC">
        <w:rPr>
          <w:rFonts w:ascii="Times New Roman" w:hAnsi="Times New Roman" w:cs="Times New Roman"/>
          <w:i/>
          <w:iCs/>
          <w:sz w:val="24"/>
          <w:szCs w:val="24"/>
        </w:rPr>
        <w:t>uarterly</w:t>
      </w:r>
      <w:r w:rsidRPr="00D95AEC">
        <w:rPr>
          <w:rFonts w:ascii="Times New Roman" w:hAnsi="Times New Roman" w:cs="Times New Roman"/>
          <w:sz w:val="24"/>
          <w:szCs w:val="24"/>
        </w:rPr>
        <w:t>, </w:t>
      </w:r>
      <w:r w:rsidRPr="00D95AEC">
        <w:rPr>
          <w:rFonts w:ascii="Times New Roman" w:hAnsi="Times New Roman" w:cs="Times New Roman"/>
          <w:i/>
          <w:iCs/>
          <w:sz w:val="24"/>
          <w:szCs w:val="24"/>
        </w:rPr>
        <w:t>40</w:t>
      </w:r>
      <w:r w:rsidRPr="00D95AEC">
        <w:rPr>
          <w:rFonts w:ascii="Times New Roman" w:hAnsi="Times New Roman" w:cs="Times New Roman"/>
          <w:sz w:val="24"/>
          <w:szCs w:val="24"/>
        </w:rPr>
        <w:t>(2), 270-295.</w:t>
      </w:r>
    </w:p>
    <w:p w14:paraId="30BE3972" w14:textId="3A865483" w:rsidR="00BE27C3" w:rsidRDefault="00BE27C3" w:rsidP="00D964B6">
      <w:pPr>
        <w:spacing w:after="0" w:line="240" w:lineRule="auto"/>
        <w:ind w:left="170" w:hanging="170"/>
        <w:jc w:val="both"/>
        <w:rPr>
          <w:rFonts w:ascii="Times New Roman" w:hAnsi="Times New Roman" w:cs="Times New Roman"/>
          <w:sz w:val="24"/>
          <w:szCs w:val="24"/>
        </w:rPr>
      </w:pPr>
      <w:r w:rsidRPr="00BE27C3">
        <w:rPr>
          <w:rFonts w:ascii="Times New Roman" w:hAnsi="Times New Roman" w:cs="Times New Roman"/>
          <w:sz w:val="24"/>
          <w:szCs w:val="24"/>
        </w:rPr>
        <w:t>Saxton, G.D., Kuo, J.S., &amp; Ho, Y.C. (2012). The determinants of voluntary financial disclosure by nonprofit organizations. </w:t>
      </w:r>
      <w:r w:rsidRPr="00BE27C3">
        <w:rPr>
          <w:rFonts w:ascii="Times New Roman" w:hAnsi="Times New Roman" w:cs="Times New Roman"/>
          <w:i/>
          <w:iCs/>
          <w:sz w:val="24"/>
          <w:szCs w:val="24"/>
        </w:rPr>
        <w:t xml:space="preserve">Nonprofit and </w:t>
      </w:r>
      <w:r>
        <w:rPr>
          <w:rFonts w:ascii="Times New Roman" w:hAnsi="Times New Roman" w:cs="Times New Roman"/>
          <w:i/>
          <w:iCs/>
          <w:sz w:val="24"/>
          <w:szCs w:val="24"/>
        </w:rPr>
        <w:t>V</w:t>
      </w:r>
      <w:r w:rsidRPr="00BE27C3">
        <w:rPr>
          <w:rFonts w:ascii="Times New Roman" w:hAnsi="Times New Roman" w:cs="Times New Roman"/>
          <w:i/>
          <w:iCs/>
          <w:sz w:val="24"/>
          <w:szCs w:val="24"/>
        </w:rPr>
        <w:t xml:space="preserve">oluntary </w:t>
      </w:r>
      <w:r>
        <w:rPr>
          <w:rFonts w:ascii="Times New Roman" w:hAnsi="Times New Roman" w:cs="Times New Roman"/>
          <w:i/>
          <w:iCs/>
          <w:sz w:val="24"/>
          <w:szCs w:val="24"/>
        </w:rPr>
        <w:t>S</w:t>
      </w:r>
      <w:r w:rsidRPr="00BE27C3">
        <w:rPr>
          <w:rFonts w:ascii="Times New Roman" w:hAnsi="Times New Roman" w:cs="Times New Roman"/>
          <w:i/>
          <w:iCs/>
          <w:sz w:val="24"/>
          <w:szCs w:val="24"/>
        </w:rPr>
        <w:t xml:space="preserve">ector </w:t>
      </w:r>
      <w:r>
        <w:rPr>
          <w:rFonts w:ascii="Times New Roman" w:hAnsi="Times New Roman" w:cs="Times New Roman"/>
          <w:i/>
          <w:iCs/>
          <w:sz w:val="24"/>
          <w:szCs w:val="24"/>
        </w:rPr>
        <w:t>Q</w:t>
      </w:r>
      <w:r w:rsidRPr="00BE27C3">
        <w:rPr>
          <w:rFonts w:ascii="Times New Roman" w:hAnsi="Times New Roman" w:cs="Times New Roman"/>
          <w:i/>
          <w:iCs/>
          <w:sz w:val="24"/>
          <w:szCs w:val="24"/>
        </w:rPr>
        <w:t>uarterly</w:t>
      </w:r>
      <w:r w:rsidRPr="00BE27C3">
        <w:rPr>
          <w:rFonts w:ascii="Times New Roman" w:hAnsi="Times New Roman" w:cs="Times New Roman"/>
          <w:sz w:val="24"/>
          <w:szCs w:val="24"/>
        </w:rPr>
        <w:t>, </w:t>
      </w:r>
      <w:r w:rsidRPr="00BE27C3">
        <w:rPr>
          <w:rFonts w:ascii="Times New Roman" w:hAnsi="Times New Roman" w:cs="Times New Roman"/>
          <w:i/>
          <w:iCs/>
          <w:sz w:val="24"/>
          <w:szCs w:val="24"/>
        </w:rPr>
        <w:t>41</w:t>
      </w:r>
      <w:r w:rsidRPr="00BE27C3">
        <w:rPr>
          <w:rFonts w:ascii="Times New Roman" w:hAnsi="Times New Roman" w:cs="Times New Roman"/>
          <w:sz w:val="24"/>
          <w:szCs w:val="24"/>
        </w:rPr>
        <w:t>(6), 1051-1071.</w:t>
      </w:r>
    </w:p>
    <w:p w14:paraId="7E96C0DC" w14:textId="6FE38890" w:rsidR="00BA7E1D" w:rsidRPr="00356ADA" w:rsidRDefault="00BA7E1D" w:rsidP="00AA127B">
      <w:pPr>
        <w:spacing w:after="0" w:line="240" w:lineRule="auto"/>
        <w:ind w:left="170" w:hanging="170"/>
        <w:jc w:val="both"/>
        <w:rPr>
          <w:rFonts w:ascii="Times New Roman" w:hAnsi="Times New Roman" w:cs="Times New Roman"/>
          <w:sz w:val="24"/>
          <w:szCs w:val="24"/>
        </w:rPr>
      </w:pPr>
      <w:r w:rsidRPr="00356ADA">
        <w:rPr>
          <w:rFonts w:ascii="Times New Roman" w:hAnsi="Times New Roman" w:cs="Times New Roman"/>
          <w:sz w:val="24"/>
          <w:szCs w:val="24"/>
        </w:rPr>
        <w:t xml:space="preserve">Shattock, M. (2013). University governance, leadership and management in a decade of diversification and uncertainty. </w:t>
      </w:r>
      <w:r w:rsidRPr="00356ADA">
        <w:rPr>
          <w:rFonts w:ascii="Times New Roman" w:hAnsi="Times New Roman" w:cs="Times New Roman"/>
          <w:i/>
          <w:sz w:val="24"/>
          <w:szCs w:val="24"/>
        </w:rPr>
        <w:t>Higher Education Quarterly</w:t>
      </w:r>
      <w:r w:rsidRPr="00356ADA">
        <w:rPr>
          <w:rFonts w:ascii="Times New Roman" w:hAnsi="Times New Roman" w:cs="Times New Roman"/>
          <w:sz w:val="24"/>
          <w:szCs w:val="24"/>
        </w:rPr>
        <w:t xml:space="preserve">, </w:t>
      </w:r>
      <w:r w:rsidRPr="00356ADA">
        <w:rPr>
          <w:rFonts w:ascii="Times New Roman" w:hAnsi="Times New Roman" w:cs="Times New Roman"/>
          <w:i/>
          <w:iCs/>
          <w:sz w:val="24"/>
          <w:szCs w:val="24"/>
        </w:rPr>
        <w:t>67</w:t>
      </w:r>
      <w:r w:rsidRPr="00356ADA">
        <w:rPr>
          <w:rFonts w:ascii="Times New Roman" w:hAnsi="Times New Roman" w:cs="Times New Roman"/>
          <w:sz w:val="24"/>
          <w:szCs w:val="24"/>
        </w:rPr>
        <w:t>(3)</w:t>
      </w:r>
      <w:r w:rsidR="003C628A">
        <w:rPr>
          <w:rFonts w:ascii="Times New Roman" w:hAnsi="Times New Roman" w:cs="Times New Roman"/>
          <w:sz w:val="24"/>
          <w:szCs w:val="24"/>
        </w:rPr>
        <w:t>,</w:t>
      </w:r>
      <w:r w:rsidRPr="00356ADA">
        <w:rPr>
          <w:rFonts w:ascii="Times New Roman" w:hAnsi="Times New Roman" w:cs="Times New Roman"/>
          <w:sz w:val="24"/>
          <w:szCs w:val="24"/>
        </w:rPr>
        <w:t xml:space="preserve"> 217–233.</w:t>
      </w:r>
    </w:p>
    <w:p w14:paraId="2C8F3929" w14:textId="77777777" w:rsidR="0021381D" w:rsidRPr="00356ADA" w:rsidRDefault="0021381D" w:rsidP="00AA127B">
      <w:pPr>
        <w:spacing w:after="0" w:line="240" w:lineRule="auto"/>
        <w:ind w:left="170" w:hanging="170"/>
        <w:jc w:val="both"/>
        <w:rPr>
          <w:rFonts w:ascii="Times New Roman" w:hAnsi="Times New Roman" w:cs="Times New Roman"/>
          <w:sz w:val="24"/>
          <w:szCs w:val="24"/>
        </w:rPr>
      </w:pPr>
      <w:r w:rsidRPr="00356ADA">
        <w:rPr>
          <w:rFonts w:ascii="Times New Roman" w:hAnsi="Times New Roman" w:cs="Times New Roman"/>
          <w:sz w:val="24"/>
          <w:szCs w:val="24"/>
        </w:rPr>
        <w:t xml:space="preserve">Schofield, A. (2009). </w:t>
      </w:r>
      <w:r w:rsidRPr="00356ADA">
        <w:rPr>
          <w:rFonts w:ascii="Times New Roman" w:hAnsi="Times New Roman" w:cs="Times New Roman"/>
          <w:i/>
          <w:sz w:val="24"/>
          <w:szCs w:val="24"/>
        </w:rPr>
        <w:t xml:space="preserve">What is an effective and high performing governing body in higher education? </w:t>
      </w:r>
      <w:r w:rsidRPr="00356ADA">
        <w:rPr>
          <w:rFonts w:ascii="Times New Roman" w:hAnsi="Times New Roman" w:cs="Times New Roman"/>
          <w:sz w:val="24"/>
          <w:szCs w:val="24"/>
        </w:rPr>
        <w:t>London: LFHE.</w:t>
      </w:r>
    </w:p>
    <w:p w14:paraId="0D90AD11" w14:textId="68F9B197" w:rsidR="0021381D" w:rsidRPr="00356ADA" w:rsidRDefault="0021381D" w:rsidP="00AA127B">
      <w:pPr>
        <w:spacing w:after="0" w:line="240" w:lineRule="auto"/>
        <w:ind w:left="170" w:hanging="170"/>
        <w:jc w:val="both"/>
        <w:rPr>
          <w:rFonts w:ascii="Times New Roman" w:hAnsi="Times New Roman" w:cs="Times New Roman"/>
          <w:sz w:val="24"/>
          <w:szCs w:val="24"/>
        </w:rPr>
      </w:pPr>
      <w:r w:rsidRPr="00356ADA">
        <w:rPr>
          <w:rFonts w:ascii="Times New Roman" w:hAnsi="Times New Roman" w:cs="Times New Roman"/>
          <w:sz w:val="24"/>
          <w:szCs w:val="24"/>
        </w:rPr>
        <w:t xml:space="preserve">Soobaroyen, T., Broad, M.J., Ntim, C.G. (2014). </w:t>
      </w:r>
      <w:r w:rsidRPr="00356ADA">
        <w:rPr>
          <w:rFonts w:ascii="Times New Roman" w:hAnsi="Times New Roman" w:cs="Times New Roman"/>
          <w:i/>
          <w:sz w:val="24"/>
          <w:szCs w:val="24"/>
        </w:rPr>
        <w:t>The role and effectiveness of audit committees in UK higher education institutions</w:t>
      </w:r>
      <w:r w:rsidRPr="00356ADA">
        <w:rPr>
          <w:rFonts w:ascii="Times New Roman" w:hAnsi="Times New Roman" w:cs="Times New Roman"/>
          <w:sz w:val="24"/>
          <w:szCs w:val="24"/>
        </w:rPr>
        <w:t>. London: LFHE.</w:t>
      </w:r>
    </w:p>
    <w:p w14:paraId="3FECA737" w14:textId="77777777" w:rsidR="0021381D" w:rsidRPr="00356ADA" w:rsidRDefault="0021381D" w:rsidP="00AA127B">
      <w:pPr>
        <w:spacing w:after="0" w:line="240" w:lineRule="auto"/>
        <w:ind w:left="170" w:hanging="170"/>
        <w:jc w:val="both"/>
        <w:rPr>
          <w:rFonts w:ascii="Times New Roman" w:hAnsi="Times New Roman" w:cs="Times New Roman"/>
          <w:sz w:val="24"/>
          <w:szCs w:val="24"/>
        </w:rPr>
      </w:pPr>
      <w:r w:rsidRPr="00356ADA">
        <w:rPr>
          <w:rFonts w:ascii="Times New Roman" w:hAnsi="Times New Roman" w:cs="Times New Roman"/>
          <w:sz w:val="24"/>
          <w:szCs w:val="24"/>
        </w:rPr>
        <w:t xml:space="preserve">Suchman, M.C. (1995). Managing legitimacy: Strategic and institutional approaches. </w:t>
      </w:r>
      <w:r w:rsidRPr="00356ADA">
        <w:rPr>
          <w:rFonts w:ascii="Times New Roman" w:hAnsi="Times New Roman" w:cs="Times New Roman"/>
          <w:i/>
          <w:iCs/>
          <w:sz w:val="24"/>
          <w:szCs w:val="24"/>
        </w:rPr>
        <w:t>Academy of Management Review</w:t>
      </w:r>
      <w:r w:rsidRPr="00356ADA">
        <w:rPr>
          <w:rFonts w:ascii="Times New Roman" w:hAnsi="Times New Roman" w:cs="Times New Roman"/>
          <w:sz w:val="24"/>
          <w:szCs w:val="24"/>
        </w:rPr>
        <w:t xml:space="preserve">, </w:t>
      </w:r>
      <w:r w:rsidRPr="00356ADA">
        <w:rPr>
          <w:rFonts w:ascii="Times New Roman" w:hAnsi="Times New Roman" w:cs="Times New Roman"/>
          <w:i/>
          <w:sz w:val="24"/>
          <w:szCs w:val="24"/>
        </w:rPr>
        <w:t>20</w:t>
      </w:r>
      <w:r w:rsidRPr="00356ADA">
        <w:rPr>
          <w:rFonts w:ascii="Times New Roman" w:hAnsi="Times New Roman" w:cs="Times New Roman"/>
          <w:sz w:val="24"/>
          <w:szCs w:val="24"/>
        </w:rPr>
        <w:t>, 571-606.</w:t>
      </w:r>
    </w:p>
    <w:p w14:paraId="5540CEEE" w14:textId="3AF28771" w:rsidR="00DF6ACF" w:rsidRDefault="0021381D" w:rsidP="00286643">
      <w:pPr>
        <w:spacing w:after="0" w:line="240" w:lineRule="auto"/>
        <w:ind w:left="170" w:hanging="170"/>
        <w:jc w:val="both"/>
        <w:rPr>
          <w:rFonts w:ascii="Times New Roman" w:hAnsi="Times New Roman" w:cs="Times New Roman"/>
          <w:sz w:val="24"/>
          <w:szCs w:val="24"/>
        </w:rPr>
      </w:pPr>
      <w:r w:rsidRPr="00356ADA">
        <w:rPr>
          <w:rFonts w:ascii="Times New Roman" w:hAnsi="Times New Roman" w:cs="Times New Roman"/>
          <w:sz w:val="24"/>
          <w:szCs w:val="24"/>
        </w:rPr>
        <w:t xml:space="preserve">Taylor, M. (2013). What is good university financial management? </w:t>
      </w:r>
      <w:r w:rsidRPr="00356ADA">
        <w:rPr>
          <w:rFonts w:ascii="Times New Roman" w:hAnsi="Times New Roman" w:cs="Times New Roman"/>
          <w:i/>
          <w:sz w:val="24"/>
          <w:szCs w:val="24"/>
        </w:rPr>
        <w:t>Perspectives: Policy and Practice in Higher Education</w:t>
      </w:r>
      <w:r w:rsidRPr="00356ADA">
        <w:rPr>
          <w:rFonts w:ascii="Times New Roman" w:hAnsi="Times New Roman" w:cs="Times New Roman"/>
          <w:sz w:val="24"/>
          <w:szCs w:val="24"/>
        </w:rPr>
        <w:t xml:space="preserve">, </w:t>
      </w:r>
      <w:r w:rsidRPr="00356ADA">
        <w:rPr>
          <w:rFonts w:ascii="Times New Roman" w:hAnsi="Times New Roman" w:cs="Times New Roman"/>
          <w:i/>
          <w:sz w:val="24"/>
          <w:szCs w:val="24"/>
        </w:rPr>
        <w:t>17</w:t>
      </w:r>
      <w:r w:rsidRPr="00356ADA">
        <w:rPr>
          <w:rFonts w:ascii="Times New Roman" w:hAnsi="Times New Roman" w:cs="Times New Roman"/>
          <w:sz w:val="24"/>
          <w:szCs w:val="24"/>
        </w:rPr>
        <w:t>(4), 141–147.</w:t>
      </w:r>
    </w:p>
    <w:p w14:paraId="0542BCAA" w14:textId="61AA2533" w:rsidR="00503418" w:rsidRDefault="00503418" w:rsidP="00286643">
      <w:pPr>
        <w:spacing w:after="0" w:line="240" w:lineRule="auto"/>
        <w:ind w:left="170" w:hanging="170"/>
        <w:jc w:val="both"/>
        <w:rPr>
          <w:rFonts w:ascii="Times New Roman" w:hAnsi="Times New Roman" w:cs="Times New Roman"/>
          <w:sz w:val="24"/>
          <w:szCs w:val="24"/>
        </w:rPr>
      </w:pPr>
      <w:r w:rsidRPr="00503418">
        <w:rPr>
          <w:rFonts w:ascii="Times New Roman" w:hAnsi="Times New Roman" w:cs="Times New Roman"/>
          <w:sz w:val="24"/>
          <w:szCs w:val="24"/>
        </w:rPr>
        <w:t>Tomlinson, F., &amp; Schwabenland, C. (2010). Reconciling competing discourses of diversity? The UK non-profit sector between social justice and the business case. </w:t>
      </w:r>
      <w:r w:rsidRPr="00503418">
        <w:rPr>
          <w:rFonts w:ascii="Times New Roman" w:hAnsi="Times New Roman" w:cs="Times New Roman"/>
          <w:i/>
          <w:iCs/>
          <w:sz w:val="24"/>
          <w:szCs w:val="24"/>
        </w:rPr>
        <w:t>Organization</w:t>
      </w:r>
      <w:r w:rsidRPr="00503418">
        <w:rPr>
          <w:rFonts w:ascii="Times New Roman" w:hAnsi="Times New Roman" w:cs="Times New Roman"/>
          <w:sz w:val="24"/>
          <w:szCs w:val="24"/>
        </w:rPr>
        <w:t>, </w:t>
      </w:r>
      <w:r w:rsidRPr="00503418">
        <w:rPr>
          <w:rFonts w:ascii="Times New Roman" w:hAnsi="Times New Roman" w:cs="Times New Roman"/>
          <w:i/>
          <w:iCs/>
          <w:sz w:val="24"/>
          <w:szCs w:val="24"/>
        </w:rPr>
        <w:t>17</w:t>
      </w:r>
      <w:r w:rsidRPr="00503418">
        <w:rPr>
          <w:rFonts w:ascii="Times New Roman" w:hAnsi="Times New Roman" w:cs="Times New Roman"/>
          <w:sz w:val="24"/>
          <w:szCs w:val="24"/>
        </w:rPr>
        <w:t>(1), 101-121.</w:t>
      </w:r>
    </w:p>
    <w:p w14:paraId="4D7105B6" w14:textId="246F2DB3" w:rsidR="00796775" w:rsidRDefault="00796775" w:rsidP="005375DF">
      <w:pPr>
        <w:spacing w:after="0" w:line="240" w:lineRule="auto"/>
        <w:ind w:left="170" w:hanging="170"/>
        <w:jc w:val="both"/>
        <w:rPr>
          <w:rFonts w:ascii="Times New Roman" w:hAnsi="Times New Roman" w:cs="Times New Roman"/>
          <w:color w:val="000000"/>
          <w:sz w:val="24"/>
          <w:szCs w:val="24"/>
          <w:bdr w:val="none" w:sz="0" w:space="0" w:color="auto" w:frame="1"/>
          <w:shd w:val="clear" w:color="auto" w:fill="FFFFFF"/>
        </w:rPr>
      </w:pPr>
      <w:r w:rsidRPr="00796775">
        <w:rPr>
          <w:rFonts w:ascii="Times New Roman" w:hAnsi="Times New Roman" w:cs="Times New Roman"/>
          <w:color w:val="000000"/>
          <w:sz w:val="24"/>
          <w:szCs w:val="24"/>
          <w:bdr w:val="none" w:sz="0" w:space="0" w:color="auto" w:frame="1"/>
          <w:shd w:val="clear" w:color="auto" w:fill="FFFFFF"/>
        </w:rPr>
        <w:t>Vafeas, N. (1999). Board meeting frequency and firm performance. </w:t>
      </w:r>
      <w:r w:rsidRPr="00796775">
        <w:rPr>
          <w:rFonts w:ascii="Times New Roman" w:hAnsi="Times New Roman" w:cs="Times New Roman"/>
          <w:i/>
          <w:iCs/>
          <w:color w:val="000000"/>
          <w:sz w:val="24"/>
          <w:szCs w:val="24"/>
          <w:bdr w:val="none" w:sz="0" w:space="0" w:color="auto" w:frame="1"/>
          <w:shd w:val="clear" w:color="auto" w:fill="FFFFFF"/>
        </w:rPr>
        <w:t xml:space="preserve">Journal of </w:t>
      </w:r>
      <w:r>
        <w:rPr>
          <w:rFonts w:ascii="Times New Roman" w:hAnsi="Times New Roman" w:cs="Times New Roman"/>
          <w:i/>
          <w:iCs/>
          <w:color w:val="000000"/>
          <w:sz w:val="24"/>
          <w:szCs w:val="24"/>
          <w:bdr w:val="none" w:sz="0" w:space="0" w:color="auto" w:frame="1"/>
          <w:shd w:val="clear" w:color="auto" w:fill="FFFFFF"/>
        </w:rPr>
        <w:t>F</w:t>
      </w:r>
      <w:r w:rsidRPr="00796775">
        <w:rPr>
          <w:rFonts w:ascii="Times New Roman" w:hAnsi="Times New Roman" w:cs="Times New Roman"/>
          <w:i/>
          <w:iCs/>
          <w:color w:val="000000"/>
          <w:sz w:val="24"/>
          <w:szCs w:val="24"/>
          <w:bdr w:val="none" w:sz="0" w:space="0" w:color="auto" w:frame="1"/>
          <w:shd w:val="clear" w:color="auto" w:fill="FFFFFF"/>
        </w:rPr>
        <w:t xml:space="preserve">inancial </w:t>
      </w:r>
      <w:r>
        <w:rPr>
          <w:rFonts w:ascii="Times New Roman" w:hAnsi="Times New Roman" w:cs="Times New Roman"/>
          <w:i/>
          <w:iCs/>
          <w:color w:val="000000"/>
          <w:sz w:val="24"/>
          <w:szCs w:val="24"/>
          <w:bdr w:val="none" w:sz="0" w:space="0" w:color="auto" w:frame="1"/>
          <w:shd w:val="clear" w:color="auto" w:fill="FFFFFF"/>
        </w:rPr>
        <w:t>E</w:t>
      </w:r>
      <w:r w:rsidRPr="00796775">
        <w:rPr>
          <w:rFonts w:ascii="Times New Roman" w:hAnsi="Times New Roman" w:cs="Times New Roman"/>
          <w:i/>
          <w:iCs/>
          <w:color w:val="000000"/>
          <w:sz w:val="24"/>
          <w:szCs w:val="24"/>
          <w:bdr w:val="none" w:sz="0" w:space="0" w:color="auto" w:frame="1"/>
          <w:shd w:val="clear" w:color="auto" w:fill="FFFFFF"/>
        </w:rPr>
        <w:t>conomics</w:t>
      </w:r>
      <w:r w:rsidRPr="00796775">
        <w:rPr>
          <w:rFonts w:ascii="Times New Roman" w:hAnsi="Times New Roman" w:cs="Times New Roman"/>
          <w:color w:val="000000"/>
          <w:sz w:val="24"/>
          <w:szCs w:val="24"/>
          <w:bdr w:val="none" w:sz="0" w:space="0" w:color="auto" w:frame="1"/>
          <w:shd w:val="clear" w:color="auto" w:fill="FFFFFF"/>
        </w:rPr>
        <w:t>, </w:t>
      </w:r>
      <w:r w:rsidRPr="00796775">
        <w:rPr>
          <w:rFonts w:ascii="Times New Roman" w:hAnsi="Times New Roman" w:cs="Times New Roman"/>
          <w:i/>
          <w:iCs/>
          <w:color w:val="000000"/>
          <w:sz w:val="24"/>
          <w:szCs w:val="24"/>
          <w:bdr w:val="none" w:sz="0" w:space="0" w:color="auto" w:frame="1"/>
          <w:shd w:val="clear" w:color="auto" w:fill="FFFFFF"/>
        </w:rPr>
        <w:t>53</w:t>
      </w:r>
      <w:r w:rsidRPr="00796775">
        <w:rPr>
          <w:rFonts w:ascii="Times New Roman" w:hAnsi="Times New Roman" w:cs="Times New Roman"/>
          <w:color w:val="000000"/>
          <w:sz w:val="24"/>
          <w:szCs w:val="24"/>
          <w:bdr w:val="none" w:sz="0" w:space="0" w:color="auto" w:frame="1"/>
          <w:shd w:val="clear" w:color="auto" w:fill="FFFFFF"/>
        </w:rPr>
        <w:t>(1), 113-142.</w:t>
      </w:r>
    </w:p>
    <w:p w14:paraId="76255E77" w14:textId="2FB5D5F2" w:rsidR="00A773E6" w:rsidRPr="00796775" w:rsidRDefault="00A773E6" w:rsidP="005375DF">
      <w:pPr>
        <w:spacing w:after="0" w:line="240" w:lineRule="auto"/>
        <w:ind w:left="170" w:hanging="170"/>
        <w:jc w:val="both"/>
        <w:rPr>
          <w:rFonts w:ascii="Times New Roman" w:hAnsi="Times New Roman" w:cs="Times New Roman"/>
          <w:color w:val="000000"/>
          <w:sz w:val="24"/>
          <w:szCs w:val="24"/>
          <w:bdr w:val="none" w:sz="0" w:space="0" w:color="auto" w:frame="1"/>
          <w:shd w:val="clear" w:color="auto" w:fill="FFFFFF"/>
        </w:rPr>
      </w:pPr>
      <w:r w:rsidRPr="00A773E6">
        <w:rPr>
          <w:rFonts w:ascii="Times New Roman" w:hAnsi="Times New Roman" w:cs="Times New Roman"/>
          <w:color w:val="000000"/>
          <w:sz w:val="24"/>
          <w:szCs w:val="24"/>
          <w:bdr w:val="none" w:sz="0" w:space="0" w:color="auto" w:frame="1"/>
          <w:shd w:val="clear" w:color="auto" w:fill="FFFFFF"/>
        </w:rPr>
        <w:t>Van Puyvelde, S., Brown, W.A., Walker, V., &amp; Tenuta, R. (2018). Board effectiveness in nonprofit organizations: Do interactions in the boardroom matter?. </w:t>
      </w:r>
      <w:r w:rsidRPr="00A773E6">
        <w:rPr>
          <w:rFonts w:ascii="Times New Roman" w:hAnsi="Times New Roman" w:cs="Times New Roman"/>
          <w:i/>
          <w:iCs/>
          <w:color w:val="000000"/>
          <w:sz w:val="24"/>
          <w:szCs w:val="24"/>
          <w:bdr w:val="none" w:sz="0" w:space="0" w:color="auto" w:frame="1"/>
          <w:shd w:val="clear" w:color="auto" w:fill="FFFFFF"/>
        </w:rPr>
        <w:t>Nonprofit and Voluntary Sector Quarterly</w:t>
      </w:r>
      <w:r w:rsidRPr="00A773E6">
        <w:rPr>
          <w:rFonts w:ascii="Times New Roman" w:hAnsi="Times New Roman" w:cs="Times New Roman"/>
          <w:color w:val="000000"/>
          <w:sz w:val="24"/>
          <w:szCs w:val="24"/>
          <w:bdr w:val="none" w:sz="0" w:space="0" w:color="auto" w:frame="1"/>
          <w:shd w:val="clear" w:color="auto" w:fill="FFFFFF"/>
        </w:rPr>
        <w:t>, </w:t>
      </w:r>
      <w:r w:rsidRPr="00A773E6">
        <w:rPr>
          <w:rFonts w:ascii="Times New Roman" w:hAnsi="Times New Roman" w:cs="Times New Roman"/>
          <w:i/>
          <w:iCs/>
          <w:color w:val="000000"/>
          <w:sz w:val="24"/>
          <w:szCs w:val="24"/>
          <w:bdr w:val="none" w:sz="0" w:space="0" w:color="auto" w:frame="1"/>
          <w:shd w:val="clear" w:color="auto" w:fill="FFFFFF"/>
        </w:rPr>
        <w:t>47</w:t>
      </w:r>
      <w:r w:rsidRPr="00A773E6">
        <w:rPr>
          <w:rFonts w:ascii="Times New Roman" w:hAnsi="Times New Roman" w:cs="Times New Roman"/>
          <w:color w:val="000000"/>
          <w:sz w:val="24"/>
          <w:szCs w:val="24"/>
          <w:bdr w:val="none" w:sz="0" w:space="0" w:color="auto" w:frame="1"/>
          <w:shd w:val="clear" w:color="auto" w:fill="FFFFFF"/>
        </w:rPr>
        <w:t>(6), 1296-1310.</w:t>
      </w:r>
    </w:p>
    <w:p w14:paraId="09380FA1" w14:textId="5FB41B65" w:rsidR="004B0351" w:rsidRPr="008E42E1" w:rsidRDefault="004B0351" w:rsidP="005375DF">
      <w:pPr>
        <w:spacing w:after="0" w:line="240" w:lineRule="auto"/>
        <w:ind w:left="170" w:hanging="170"/>
        <w:jc w:val="both"/>
        <w:rPr>
          <w:rFonts w:ascii="Times New Roman" w:hAnsi="Times New Roman" w:cs="Times New Roman"/>
          <w:color w:val="000000"/>
          <w:sz w:val="24"/>
          <w:szCs w:val="24"/>
          <w:bdr w:val="none" w:sz="0" w:space="0" w:color="auto" w:frame="1"/>
          <w:shd w:val="clear" w:color="auto" w:fill="FFFFFF"/>
        </w:rPr>
        <w:sectPr w:rsidR="004B0351" w:rsidRPr="008E42E1" w:rsidSect="004B2D55">
          <w:pgSz w:w="11906" w:h="16838"/>
          <w:pgMar w:top="1304" w:right="1304" w:bottom="1304" w:left="1304" w:header="708" w:footer="708" w:gutter="0"/>
          <w:cols w:space="708"/>
          <w:docGrid w:linePitch="360"/>
        </w:sectPr>
      </w:pPr>
    </w:p>
    <w:tbl>
      <w:tblPr>
        <w:tblW w:w="10783" w:type="dxa"/>
        <w:tblInd w:w="-567" w:type="dxa"/>
        <w:tblLook w:val="04A0" w:firstRow="1" w:lastRow="0" w:firstColumn="1" w:lastColumn="0" w:noHBand="0" w:noVBand="1"/>
      </w:tblPr>
      <w:tblGrid>
        <w:gridCol w:w="4027"/>
        <w:gridCol w:w="1016"/>
        <w:gridCol w:w="1163"/>
        <w:gridCol w:w="1028"/>
        <w:gridCol w:w="1130"/>
        <w:gridCol w:w="704"/>
        <w:gridCol w:w="830"/>
        <w:gridCol w:w="869"/>
        <w:gridCol w:w="16"/>
      </w:tblGrid>
      <w:tr w:rsidR="009E24BB" w:rsidRPr="00233EC8" w14:paraId="5C63F665" w14:textId="77777777" w:rsidTr="000073C5">
        <w:trPr>
          <w:gridAfter w:val="1"/>
          <w:wAfter w:w="16" w:type="dxa"/>
        </w:trPr>
        <w:tc>
          <w:tcPr>
            <w:tcW w:w="10767" w:type="dxa"/>
            <w:gridSpan w:val="8"/>
            <w:tcBorders>
              <w:bottom w:val="single" w:sz="12" w:space="0" w:color="auto"/>
            </w:tcBorders>
          </w:tcPr>
          <w:p w14:paraId="260D0420" w14:textId="4EF92CEB" w:rsidR="009E24BB" w:rsidRPr="00233EC8" w:rsidRDefault="00075214" w:rsidP="00CE4486">
            <w:pPr>
              <w:spacing w:after="0" w:line="240" w:lineRule="auto"/>
              <w:contextualSpacing/>
              <w:rPr>
                <w:rFonts w:ascii="Times New Roman" w:eastAsia="Calibri" w:hAnsi="Times New Roman" w:cs="Times New Roman"/>
                <w:bCs/>
                <w:sz w:val="20"/>
                <w:szCs w:val="20"/>
              </w:rPr>
            </w:pPr>
            <w:r w:rsidRPr="00233EC8">
              <w:rPr>
                <w:rFonts w:ascii="Times New Roman" w:eastAsia="Calibri" w:hAnsi="Times New Roman" w:cs="Times New Roman"/>
                <w:b/>
                <w:sz w:val="20"/>
                <w:szCs w:val="20"/>
              </w:rPr>
              <w:lastRenderedPageBreak/>
              <w:t>Table 1</w:t>
            </w:r>
            <w:r w:rsidR="00CE4486">
              <w:rPr>
                <w:rFonts w:ascii="Times New Roman" w:eastAsia="Calibri" w:hAnsi="Times New Roman" w:cs="Times New Roman"/>
                <w:b/>
                <w:sz w:val="20"/>
                <w:szCs w:val="20"/>
              </w:rPr>
              <w:t xml:space="preserve">. </w:t>
            </w:r>
            <w:r w:rsidR="009E24BB" w:rsidRPr="00233EC8">
              <w:rPr>
                <w:rFonts w:ascii="Times New Roman" w:eastAsia="Calibri" w:hAnsi="Times New Roman" w:cs="Times New Roman"/>
                <w:bCs/>
                <w:sz w:val="20"/>
                <w:szCs w:val="20"/>
              </w:rPr>
              <w:t xml:space="preserve">Study’s </w:t>
            </w:r>
            <w:r w:rsidR="00904E2C">
              <w:rPr>
                <w:rFonts w:ascii="Times New Roman" w:eastAsia="Calibri" w:hAnsi="Times New Roman" w:cs="Times New Roman"/>
                <w:bCs/>
                <w:sz w:val="20"/>
                <w:szCs w:val="20"/>
              </w:rPr>
              <w:t>s</w:t>
            </w:r>
            <w:r w:rsidR="009E24BB" w:rsidRPr="00233EC8">
              <w:rPr>
                <w:rFonts w:ascii="Times New Roman" w:eastAsia="Calibri" w:hAnsi="Times New Roman" w:cs="Times New Roman"/>
                <w:bCs/>
                <w:sz w:val="20"/>
                <w:szCs w:val="20"/>
              </w:rPr>
              <w:t>ample</w:t>
            </w:r>
            <w:r w:rsidR="00DE60D5" w:rsidRPr="00233EC8">
              <w:rPr>
                <w:rFonts w:ascii="Times New Roman" w:eastAsia="Calibri" w:hAnsi="Times New Roman" w:cs="Times New Roman"/>
                <w:bCs/>
                <w:sz w:val="20"/>
                <w:szCs w:val="20"/>
              </w:rPr>
              <w:t>.</w:t>
            </w:r>
          </w:p>
        </w:tc>
      </w:tr>
      <w:tr w:rsidR="009E24BB" w:rsidRPr="00233EC8" w14:paraId="5365959F" w14:textId="77777777" w:rsidTr="000073C5">
        <w:tc>
          <w:tcPr>
            <w:tcW w:w="4027" w:type="dxa"/>
            <w:tcBorders>
              <w:top w:val="single" w:sz="12" w:space="0" w:color="auto"/>
              <w:bottom w:val="single" w:sz="12" w:space="0" w:color="auto"/>
            </w:tcBorders>
          </w:tcPr>
          <w:p w14:paraId="01F0786E" w14:textId="77777777" w:rsidR="009E24BB" w:rsidRPr="00233EC8" w:rsidRDefault="009E24BB" w:rsidP="000073C5">
            <w:pPr>
              <w:rPr>
                <w:rFonts w:ascii="Times New Roman" w:eastAsia="Calibri" w:hAnsi="Times New Roman" w:cs="Times New Roman"/>
                <w:b/>
                <w:sz w:val="20"/>
                <w:szCs w:val="20"/>
              </w:rPr>
            </w:pPr>
          </w:p>
        </w:tc>
        <w:tc>
          <w:tcPr>
            <w:tcW w:w="1016" w:type="dxa"/>
            <w:tcBorders>
              <w:top w:val="single" w:sz="12" w:space="0" w:color="auto"/>
              <w:bottom w:val="single" w:sz="12" w:space="0" w:color="auto"/>
            </w:tcBorders>
          </w:tcPr>
          <w:p w14:paraId="0148D17B" w14:textId="77777777" w:rsidR="009E24BB" w:rsidRPr="00233EC8" w:rsidRDefault="009E24BB" w:rsidP="000073C5">
            <w:pPr>
              <w:rPr>
                <w:rFonts w:ascii="Times New Roman" w:eastAsia="Calibri" w:hAnsi="Times New Roman" w:cs="Times New Roman"/>
                <w:b/>
                <w:sz w:val="20"/>
                <w:szCs w:val="20"/>
              </w:rPr>
            </w:pPr>
            <w:r w:rsidRPr="00233EC8">
              <w:rPr>
                <w:rFonts w:ascii="Times New Roman" w:eastAsia="Calibri" w:hAnsi="Times New Roman" w:cs="Times New Roman"/>
                <w:b/>
                <w:sz w:val="20"/>
                <w:szCs w:val="20"/>
              </w:rPr>
              <w:t>Northern Ireland</w:t>
            </w:r>
          </w:p>
        </w:tc>
        <w:tc>
          <w:tcPr>
            <w:tcW w:w="1163" w:type="dxa"/>
            <w:tcBorders>
              <w:top w:val="single" w:sz="12" w:space="0" w:color="auto"/>
              <w:bottom w:val="single" w:sz="12" w:space="0" w:color="auto"/>
            </w:tcBorders>
          </w:tcPr>
          <w:p w14:paraId="61991408" w14:textId="77777777" w:rsidR="009E24BB" w:rsidRPr="00233EC8" w:rsidRDefault="009E24BB" w:rsidP="000073C5">
            <w:pPr>
              <w:rPr>
                <w:rFonts w:ascii="Times New Roman" w:eastAsia="Calibri" w:hAnsi="Times New Roman" w:cs="Times New Roman"/>
                <w:b/>
                <w:sz w:val="20"/>
                <w:szCs w:val="20"/>
              </w:rPr>
            </w:pPr>
            <w:r w:rsidRPr="00233EC8">
              <w:rPr>
                <w:rFonts w:ascii="Times New Roman" w:eastAsia="Calibri" w:hAnsi="Times New Roman" w:cs="Times New Roman"/>
                <w:b/>
                <w:sz w:val="20"/>
                <w:szCs w:val="20"/>
              </w:rPr>
              <w:t>Wales</w:t>
            </w:r>
          </w:p>
        </w:tc>
        <w:tc>
          <w:tcPr>
            <w:tcW w:w="1028" w:type="dxa"/>
            <w:tcBorders>
              <w:top w:val="single" w:sz="12" w:space="0" w:color="auto"/>
              <w:bottom w:val="single" w:sz="12" w:space="0" w:color="auto"/>
            </w:tcBorders>
          </w:tcPr>
          <w:p w14:paraId="48A25828" w14:textId="77777777" w:rsidR="009E24BB" w:rsidRPr="00233EC8" w:rsidRDefault="009E24BB" w:rsidP="000073C5">
            <w:pPr>
              <w:rPr>
                <w:rFonts w:ascii="Times New Roman" w:eastAsia="Calibri" w:hAnsi="Times New Roman" w:cs="Times New Roman"/>
                <w:b/>
                <w:sz w:val="20"/>
                <w:szCs w:val="20"/>
              </w:rPr>
            </w:pPr>
            <w:r w:rsidRPr="00233EC8">
              <w:rPr>
                <w:rFonts w:ascii="Times New Roman" w:eastAsia="Calibri" w:hAnsi="Times New Roman" w:cs="Times New Roman"/>
                <w:b/>
                <w:sz w:val="20"/>
                <w:szCs w:val="20"/>
              </w:rPr>
              <w:t>Scotland</w:t>
            </w:r>
          </w:p>
        </w:tc>
        <w:tc>
          <w:tcPr>
            <w:tcW w:w="1130" w:type="dxa"/>
            <w:tcBorders>
              <w:top w:val="single" w:sz="12" w:space="0" w:color="auto"/>
              <w:bottom w:val="single" w:sz="12" w:space="0" w:color="auto"/>
            </w:tcBorders>
          </w:tcPr>
          <w:p w14:paraId="171CDACA" w14:textId="77777777" w:rsidR="009E24BB" w:rsidRPr="00233EC8" w:rsidRDefault="009E24BB" w:rsidP="000073C5">
            <w:pPr>
              <w:ind w:right="-155"/>
              <w:rPr>
                <w:rFonts w:ascii="Times New Roman" w:eastAsia="Calibri" w:hAnsi="Times New Roman" w:cs="Times New Roman"/>
                <w:b/>
                <w:sz w:val="20"/>
                <w:szCs w:val="20"/>
              </w:rPr>
            </w:pPr>
            <w:r w:rsidRPr="00233EC8">
              <w:rPr>
                <w:rFonts w:ascii="Times New Roman" w:eastAsia="Calibri" w:hAnsi="Times New Roman" w:cs="Times New Roman"/>
                <w:b/>
                <w:sz w:val="20"/>
                <w:szCs w:val="20"/>
              </w:rPr>
              <w:t>England</w:t>
            </w:r>
          </w:p>
        </w:tc>
        <w:tc>
          <w:tcPr>
            <w:tcW w:w="704" w:type="dxa"/>
            <w:tcBorders>
              <w:top w:val="single" w:sz="12" w:space="0" w:color="auto"/>
              <w:bottom w:val="single" w:sz="12" w:space="0" w:color="auto"/>
            </w:tcBorders>
          </w:tcPr>
          <w:p w14:paraId="49022C35" w14:textId="77777777" w:rsidR="009E24BB" w:rsidRPr="00233EC8" w:rsidRDefault="009E24BB" w:rsidP="000073C5">
            <w:pPr>
              <w:rPr>
                <w:rFonts w:ascii="Times New Roman" w:eastAsia="Calibri" w:hAnsi="Times New Roman" w:cs="Times New Roman"/>
                <w:b/>
                <w:sz w:val="20"/>
                <w:szCs w:val="20"/>
              </w:rPr>
            </w:pPr>
            <w:r w:rsidRPr="00233EC8">
              <w:rPr>
                <w:rFonts w:ascii="Times New Roman" w:eastAsia="Calibri" w:hAnsi="Times New Roman" w:cs="Times New Roman"/>
                <w:b/>
                <w:sz w:val="20"/>
                <w:szCs w:val="20"/>
              </w:rPr>
              <w:t>Pre-1992</w:t>
            </w:r>
          </w:p>
        </w:tc>
        <w:tc>
          <w:tcPr>
            <w:tcW w:w="830" w:type="dxa"/>
            <w:tcBorders>
              <w:top w:val="single" w:sz="12" w:space="0" w:color="auto"/>
              <w:bottom w:val="single" w:sz="12" w:space="0" w:color="auto"/>
            </w:tcBorders>
          </w:tcPr>
          <w:p w14:paraId="7366C943" w14:textId="77777777" w:rsidR="009E24BB" w:rsidRPr="00233EC8" w:rsidRDefault="009E24BB" w:rsidP="000073C5">
            <w:pPr>
              <w:rPr>
                <w:rFonts w:ascii="Times New Roman" w:eastAsia="Calibri" w:hAnsi="Times New Roman" w:cs="Times New Roman"/>
                <w:b/>
                <w:sz w:val="20"/>
                <w:szCs w:val="20"/>
              </w:rPr>
            </w:pPr>
            <w:r w:rsidRPr="00233EC8">
              <w:rPr>
                <w:rFonts w:ascii="Times New Roman" w:eastAsia="Calibri" w:hAnsi="Times New Roman" w:cs="Times New Roman"/>
                <w:b/>
                <w:sz w:val="20"/>
                <w:szCs w:val="20"/>
              </w:rPr>
              <w:t xml:space="preserve"> Post-1992</w:t>
            </w:r>
          </w:p>
        </w:tc>
        <w:tc>
          <w:tcPr>
            <w:tcW w:w="885" w:type="dxa"/>
            <w:gridSpan w:val="2"/>
            <w:tcBorders>
              <w:top w:val="single" w:sz="12" w:space="0" w:color="auto"/>
              <w:bottom w:val="single" w:sz="12" w:space="0" w:color="auto"/>
            </w:tcBorders>
          </w:tcPr>
          <w:p w14:paraId="494411A4" w14:textId="77777777" w:rsidR="009E24BB" w:rsidRPr="00233EC8" w:rsidRDefault="009E24BB" w:rsidP="000073C5">
            <w:pPr>
              <w:rPr>
                <w:rFonts w:ascii="Times New Roman" w:eastAsia="Calibri" w:hAnsi="Times New Roman" w:cs="Times New Roman"/>
                <w:b/>
                <w:sz w:val="20"/>
                <w:szCs w:val="20"/>
              </w:rPr>
            </w:pPr>
            <w:r w:rsidRPr="00233EC8">
              <w:rPr>
                <w:rFonts w:ascii="Times New Roman" w:eastAsia="Calibri" w:hAnsi="Times New Roman" w:cs="Times New Roman"/>
                <w:b/>
                <w:sz w:val="20"/>
                <w:szCs w:val="20"/>
              </w:rPr>
              <w:t>No. HEIs</w:t>
            </w:r>
          </w:p>
        </w:tc>
      </w:tr>
      <w:tr w:rsidR="009E24BB" w:rsidRPr="00233EC8" w14:paraId="07B134DB" w14:textId="77777777" w:rsidTr="000073C5">
        <w:tc>
          <w:tcPr>
            <w:tcW w:w="4027" w:type="dxa"/>
            <w:tcBorders>
              <w:top w:val="single" w:sz="12" w:space="0" w:color="auto"/>
            </w:tcBorders>
          </w:tcPr>
          <w:p w14:paraId="7B29D4D1"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Total Sampled HEIs in UK</w:t>
            </w:r>
          </w:p>
        </w:tc>
        <w:tc>
          <w:tcPr>
            <w:tcW w:w="1016" w:type="dxa"/>
            <w:tcBorders>
              <w:top w:val="single" w:sz="12" w:space="0" w:color="auto"/>
            </w:tcBorders>
          </w:tcPr>
          <w:p w14:paraId="0ED650E3"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4</w:t>
            </w:r>
          </w:p>
        </w:tc>
        <w:tc>
          <w:tcPr>
            <w:tcW w:w="1163" w:type="dxa"/>
            <w:tcBorders>
              <w:top w:val="single" w:sz="12" w:space="0" w:color="auto"/>
            </w:tcBorders>
          </w:tcPr>
          <w:p w14:paraId="4EE9CACA"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10</w:t>
            </w:r>
          </w:p>
        </w:tc>
        <w:tc>
          <w:tcPr>
            <w:tcW w:w="1028" w:type="dxa"/>
            <w:tcBorders>
              <w:top w:val="single" w:sz="12" w:space="0" w:color="auto"/>
            </w:tcBorders>
          </w:tcPr>
          <w:p w14:paraId="7A15754E"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19</w:t>
            </w:r>
          </w:p>
        </w:tc>
        <w:tc>
          <w:tcPr>
            <w:tcW w:w="1130" w:type="dxa"/>
            <w:tcBorders>
              <w:top w:val="single" w:sz="12" w:space="0" w:color="auto"/>
            </w:tcBorders>
          </w:tcPr>
          <w:p w14:paraId="24422DF2"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131</w:t>
            </w:r>
          </w:p>
        </w:tc>
        <w:tc>
          <w:tcPr>
            <w:tcW w:w="704" w:type="dxa"/>
            <w:tcBorders>
              <w:top w:val="single" w:sz="12" w:space="0" w:color="auto"/>
            </w:tcBorders>
          </w:tcPr>
          <w:p w14:paraId="19E95317"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79</w:t>
            </w:r>
          </w:p>
        </w:tc>
        <w:tc>
          <w:tcPr>
            <w:tcW w:w="830" w:type="dxa"/>
            <w:tcBorders>
              <w:top w:val="single" w:sz="12" w:space="0" w:color="auto"/>
            </w:tcBorders>
          </w:tcPr>
          <w:p w14:paraId="27255959"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85</w:t>
            </w:r>
          </w:p>
        </w:tc>
        <w:tc>
          <w:tcPr>
            <w:tcW w:w="885" w:type="dxa"/>
            <w:gridSpan w:val="2"/>
            <w:tcBorders>
              <w:top w:val="single" w:sz="12" w:space="0" w:color="auto"/>
            </w:tcBorders>
          </w:tcPr>
          <w:p w14:paraId="5EE16374"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164</w:t>
            </w:r>
          </w:p>
        </w:tc>
      </w:tr>
      <w:tr w:rsidR="009E24BB" w:rsidRPr="00233EC8" w14:paraId="66CE15CB" w14:textId="77777777" w:rsidTr="000073C5">
        <w:tc>
          <w:tcPr>
            <w:tcW w:w="4027" w:type="dxa"/>
          </w:tcPr>
          <w:p w14:paraId="344575A0"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 xml:space="preserve">Less: </w:t>
            </w:r>
          </w:p>
          <w:p w14:paraId="67BE3A36"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 xml:space="preserve">        HEIs with 1 year missing reports</w:t>
            </w:r>
          </w:p>
        </w:tc>
        <w:tc>
          <w:tcPr>
            <w:tcW w:w="1016" w:type="dxa"/>
          </w:tcPr>
          <w:p w14:paraId="07CC2793" w14:textId="77777777" w:rsidR="009E24BB" w:rsidRPr="00233EC8" w:rsidRDefault="009E24BB" w:rsidP="000073C5">
            <w:pPr>
              <w:spacing w:after="0"/>
              <w:rPr>
                <w:rFonts w:ascii="Times New Roman" w:eastAsia="Calibri" w:hAnsi="Times New Roman" w:cs="Times New Roman"/>
                <w:sz w:val="20"/>
                <w:szCs w:val="20"/>
              </w:rPr>
            </w:pPr>
          </w:p>
          <w:p w14:paraId="3E16F2D7"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1</w:t>
            </w:r>
          </w:p>
        </w:tc>
        <w:tc>
          <w:tcPr>
            <w:tcW w:w="1163" w:type="dxa"/>
          </w:tcPr>
          <w:p w14:paraId="116F040A" w14:textId="77777777" w:rsidR="009E24BB" w:rsidRPr="00233EC8" w:rsidRDefault="009E24BB" w:rsidP="000073C5">
            <w:pPr>
              <w:spacing w:after="0"/>
              <w:rPr>
                <w:rFonts w:ascii="Times New Roman" w:eastAsia="Calibri" w:hAnsi="Times New Roman" w:cs="Times New Roman"/>
                <w:sz w:val="20"/>
                <w:szCs w:val="20"/>
              </w:rPr>
            </w:pPr>
          </w:p>
          <w:p w14:paraId="6AFAB69E"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1</w:t>
            </w:r>
          </w:p>
        </w:tc>
        <w:tc>
          <w:tcPr>
            <w:tcW w:w="1028" w:type="dxa"/>
          </w:tcPr>
          <w:p w14:paraId="2F3CB413" w14:textId="77777777" w:rsidR="009E24BB" w:rsidRPr="00233EC8" w:rsidRDefault="009E24BB" w:rsidP="000073C5">
            <w:pPr>
              <w:spacing w:after="0"/>
              <w:rPr>
                <w:rFonts w:ascii="Times New Roman" w:eastAsia="Calibri" w:hAnsi="Times New Roman" w:cs="Times New Roman"/>
                <w:sz w:val="20"/>
                <w:szCs w:val="20"/>
              </w:rPr>
            </w:pPr>
          </w:p>
          <w:p w14:paraId="46D50D4D"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1</w:t>
            </w:r>
          </w:p>
        </w:tc>
        <w:tc>
          <w:tcPr>
            <w:tcW w:w="1130" w:type="dxa"/>
          </w:tcPr>
          <w:p w14:paraId="766C18FD" w14:textId="77777777" w:rsidR="009E24BB" w:rsidRPr="00233EC8" w:rsidRDefault="009E24BB" w:rsidP="000073C5">
            <w:pPr>
              <w:spacing w:after="0"/>
              <w:rPr>
                <w:rFonts w:ascii="Times New Roman" w:eastAsia="Calibri" w:hAnsi="Times New Roman" w:cs="Times New Roman"/>
                <w:sz w:val="20"/>
                <w:szCs w:val="20"/>
              </w:rPr>
            </w:pPr>
          </w:p>
          <w:p w14:paraId="2C078FD5"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16</w:t>
            </w:r>
          </w:p>
        </w:tc>
        <w:tc>
          <w:tcPr>
            <w:tcW w:w="704" w:type="dxa"/>
          </w:tcPr>
          <w:p w14:paraId="3925A3D7" w14:textId="77777777" w:rsidR="009E24BB" w:rsidRPr="00233EC8" w:rsidRDefault="009E24BB" w:rsidP="000073C5">
            <w:pPr>
              <w:spacing w:after="0"/>
              <w:rPr>
                <w:rFonts w:ascii="Times New Roman" w:eastAsia="Calibri" w:hAnsi="Times New Roman" w:cs="Times New Roman"/>
                <w:sz w:val="20"/>
                <w:szCs w:val="20"/>
              </w:rPr>
            </w:pPr>
          </w:p>
          <w:p w14:paraId="740B3130"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8</w:t>
            </w:r>
          </w:p>
        </w:tc>
        <w:tc>
          <w:tcPr>
            <w:tcW w:w="830" w:type="dxa"/>
          </w:tcPr>
          <w:p w14:paraId="6C6B0694" w14:textId="77777777" w:rsidR="009E24BB" w:rsidRPr="00233EC8" w:rsidRDefault="009E24BB" w:rsidP="000073C5">
            <w:pPr>
              <w:spacing w:after="0"/>
              <w:rPr>
                <w:rFonts w:ascii="Times New Roman" w:eastAsia="Calibri" w:hAnsi="Times New Roman" w:cs="Times New Roman"/>
                <w:sz w:val="20"/>
                <w:szCs w:val="20"/>
              </w:rPr>
            </w:pPr>
          </w:p>
          <w:p w14:paraId="60E85D9D"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11</w:t>
            </w:r>
          </w:p>
        </w:tc>
        <w:tc>
          <w:tcPr>
            <w:tcW w:w="885" w:type="dxa"/>
            <w:gridSpan w:val="2"/>
          </w:tcPr>
          <w:p w14:paraId="4D5C47FF" w14:textId="77777777" w:rsidR="009E24BB" w:rsidRPr="00233EC8" w:rsidRDefault="009E24BB" w:rsidP="000073C5">
            <w:pPr>
              <w:spacing w:after="0"/>
              <w:rPr>
                <w:rFonts w:ascii="Times New Roman" w:eastAsia="Calibri" w:hAnsi="Times New Roman" w:cs="Times New Roman"/>
                <w:sz w:val="20"/>
                <w:szCs w:val="20"/>
              </w:rPr>
            </w:pPr>
          </w:p>
          <w:p w14:paraId="6842D40E"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19</w:t>
            </w:r>
          </w:p>
        </w:tc>
      </w:tr>
      <w:tr w:rsidR="009E24BB" w:rsidRPr="00233EC8" w14:paraId="73F8B244" w14:textId="77777777" w:rsidTr="000073C5">
        <w:tc>
          <w:tcPr>
            <w:tcW w:w="4027" w:type="dxa"/>
          </w:tcPr>
          <w:p w14:paraId="0B26FE7E"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 xml:space="preserve">        HEIs with 2 years missing reports</w:t>
            </w:r>
          </w:p>
        </w:tc>
        <w:tc>
          <w:tcPr>
            <w:tcW w:w="1016" w:type="dxa"/>
          </w:tcPr>
          <w:p w14:paraId="71FDD0E8"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0</w:t>
            </w:r>
          </w:p>
        </w:tc>
        <w:tc>
          <w:tcPr>
            <w:tcW w:w="1163" w:type="dxa"/>
          </w:tcPr>
          <w:p w14:paraId="314449C5"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1</w:t>
            </w:r>
          </w:p>
        </w:tc>
        <w:tc>
          <w:tcPr>
            <w:tcW w:w="1028" w:type="dxa"/>
          </w:tcPr>
          <w:p w14:paraId="23CEDD37"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0</w:t>
            </w:r>
          </w:p>
        </w:tc>
        <w:tc>
          <w:tcPr>
            <w:tcW w:w="1130" w:type="dxa"/>
          </w:tcPr>
          <w:p w14:paraId="520947DE"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15</w:t>
            </w:r>
          </w:p>
        </w:tc>
        <w:tc>
          <w:tcPr>
            <w:tcW w:w="704" w:type="dxa"/>
          </w:tcPr>
          <w:p w14:paraId="4916F507"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7</w:t>
            </w:r>
          </w:p>
        </w:tc>
        <w:tc>
          <w:tcPr>
            <w:tcW w:w="830" w:type="dxa"/>
          </w:tcPr>
          <w:p w14:paraId="10C2DE2B"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9</w:t>
            </w:r>
          </w:p>
        </w:tc>
        <w:tc>
          <w:tcPr>
            <w:tcW w:w="885" w:type="dxa"/>
            <w:gridSpan w:val="2"/>
          </w:tcPr>
          <w:p w14:paraId="1ED1DC2F"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16</w:t>
            </w:r>
          </w:p>
        </w:tc>
      </w:tr>
      <w:tr w:rsidR="009E24BB" w:rsidRPr="00233EC8" w14:paraId="4F1B457D" w14:textId="77777777" w:rsidTr="000073C5">
        <w:tc>
          <w:tcPr>
            <w:tcW w:w="4027" w:type="dxa"/>
          </w:tcPr>
          <w:p w14:paraId="26DBC793"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 xml:space="preserve">        HEIs with 3 years missing reports</w:t>
            </w:r>
          </w:p>
        </w:tc>
        <w:tc>
          <w:tcPr>
            <w:tcW w:w="1016" w:type="dxa"/>
          </w:tcPr>
          <w:p w14:paraId="58842965"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0</w:t>
            </w:r>
          </w:p>
        </w:tc>
        <w:tc>
          <w:tcPr>
            <w:tcW w:w="1163" w:type="dxa"/>
          </w:tcPr>
          <w:p w14:paraId="6134DD1C"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0</w:t>
            </w:r>
          </w:p>
        </w:tc>
        <w:tc>
          <w:tcPr>
            <w:tcW w:w="1028" w:type="dxa"/>
          </w:tcPr>
          <w:p w14:paraId="441357B5"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0</w:t>
            </w:r>
          </w:p>
        </w:tc>
        <w:tc>
          <w:tcPr>
            <w:tcW w:w="1130" w:type="dxa"/>
          </w:tcPr>
          <w:p w14:paraId="3518A11B"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5</w:t>
            </w:r>
          </w:p>
        </w:tc>
        <w:tc>
          <w:tcPr>
            <w:tcW w:w="704" w:type="dxa"/>
          </w:tcPr>
          <w:p w14:paraId="0CE9674C"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2</w:t>
            </w:r>
          </w:p>
        </w:tc>
        <w:tc>
          <w:tcPr>
            <w:tcW w:w="830" w:type="dxa"/>
          </w:tcPr>
          <w:p w14:paraId="712C83F5"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3</w:t>
            </w:r>
          </w:p>
        </w:tc>
        <w:tc>
          <w:tcPr>
            <w:tcW w:w="885" w:type="dxa"/>
            <w:gridSpan w:val="2"/>
          </w:tcPr>
          <w:p w14:paraId="53CF346E"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5</w:t>
            </w:r>
          </w:p>
        </w:tc>
      </w:tr>
      <w:tr w:rsidR="009E24BB" w:rsidRPr="00233EC8" w14:paraId="4D3ADFF0" w14:textId="77777777" w:rsidTr="000073C5">
        <w:tc>
          <w:tcPr>
            <w:tcW w:w="4027" w:type="dxa"/>
          </w:tcPr>
          <w:p w14:paraId="6445AAF8"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 xml:space="preserve">        HEIs with 4 years missing reports</w:t>
            </w:r>
          </w:p>
        </w:tc>
        <w:tc>
          <w:tcPr>
            <w:tcW w:w="1016" w:type="dxa"/>
          </w:tcPr>
          <w:p w14:paraId="5FBCCEC6"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0</w:t>
            </w:r>
          </w:p>
        </w:tc>
        <w:tc>
          <w:tcPr>
            <w:tcW w:w="1163" w:type="dxa"/>
          </w:tcPr>
          <w:p w14:paraId="6955643C"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0</w:t>
            </w:r>
          </w:p>
        </w:tc>
        <w:tc>
          <w:tcPr>
            <w:tcW w:w="1028" w:type="dxa"/>
          </w:tcPr>
          <w:p w14:paraId="0BF337A1"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0</w:t>
            </w:r>
          </w:p>
        </w:tc>
        <w:tc>
          <w:tcPr>
            <w:tcW w:w="1130" w:type="dxa"/>
          </w:tcPr>
          <w:p w14:paraId="0CA9C933"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0</w:t>
            </w:r>
          </w:p>
        </w:tc>
        <w:tc>
          <w:tcPr>
            <w:tcW w:w="704" w:type="dxa"/>
          </w:tcPr>
          <w:p w14:paraId="6898555C"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0</w:t>
            </w:r>
          </w:p>
        </w:tc>
        <w:tc>
          <w:tcPr>
            <w:tcW w:w="830" w:type="dxa"/>
          </w:tcPr>
          <w:p w14:paraId="370F8E3A"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0</w:t>
            </w:r>
          </w:p>
        </w:tc>
        <w:tc>
          <w:tcPr>
            <w:tcW w:w="885" w:type="dxa"/>
            <w:gridSpan w:val="2"/>
          </w:tcPr>
          <w:p w14:paraId="6AD01ECF"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0</w:t>
            </w:r>
          </w:p>
        </w:tc>
      </w:tr>
      <w:tr w:rsidR="009E24BB" w:rsidRPr="00233EC8" w14:paraId="3BB4E4B3" w14:textId="77777777" w:rsidTr="000073C5">
        <w:tc>
          <w:tcPr>
            <w:tcW w:w="4027" w:type="dxa"/>
          </w:tcPr>
          <w:p w14:paraId="66ADD406"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 xml:space="preserve">        HEIs with 5 years missing reports </w:t>
            </w:r>
          </w:p>
        </w:tc>
        <w:tc>
          <w:tcPr>
            <w:tcW w:w="1016" w:type="dxa"/>
          </w:tcPr>
          <w:p w14:paraId="35ABE237"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0</w:t>
            </w:r>
          </w:p>
        </w:tc>
        <w:tc>
          <w:tcPr>
            <w:tcW w:w="1163" w:type="dxa"/>
          </w:tcPr>
          <w:p w14:paraId="1E12315F"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0</w:t>
            </w:r>
          </w:p>
        </w:tc>
        <w:tc>
          <w:tcPr>
            <w:tcW w:w="1028" w:type="dxa"/>
          </w:tcPr>
          <w:p w14:paraId="3AFCD7BD"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1</w:t>
            </w:r>
          </w:p>
        </w:tc>
        <w:tc>
          <w:tcPr>
            <w:tcW w:w="1130" w:type="dxa"/>
          </w:tcPr>
          <w:p w14:paraId="10ED396A"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0</w:t>
            </w:r>
          </w:p>
        </w:tc>
        <w:tc>
          <w:tcPr>
            <w:tcW w:w="704" w:type="dxa"/>
          </w:tcPr>
          <w:p w14:paraId="77C0637B"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1</w:t>
            </w:r>
          </w:p>
        </w:tc>
        <w:tc>
          <w:tcPr>
            <w:tcW w:w="830" w:type="dxa"/>
          </w:tcPr>
          <w:p w14:paraId="2AB56CEE"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0</w:t>
            </w:r>
          </w:p>
        </w:tc>
        <w:tc>
          <w:tcPr>
            <w:tcW w:w="885" w:type="dxa"/>
            <w:gridSpan w:val="2"/>
          </w:tcPr>
          <w:p w14:paraId="0D20BB0F"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1</w:t>
            </w:r>
          </w:p>
        </w:tc>
      </w:tr>
      <w:tr w:rsidR="009E24BB" w:rsidRPr="00233EC8" w14:paraId="564BCADC" w14:textId="77777777" w:rsidTr="000073C5">
        <w:tc>
          <w:tcPr>
            <w:tcW w:w="4027" w:type="dxa"/>
          </w:tcPr>
          <w:p w14:paraId="25B66DFD"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 xml:space="preserve">        HEIs with 6 years missing reports </w:t>
            </w:r>
          </w:p>
        </w:tc>
        <w:tc>
          <w:tcPr>
            <w:tcW w:w="1016" w:type="dxa"/>
          </w:tcPr>
          <w:p w14:paraId="62A636E9"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0</w:t>
            </w:r>
          </w:p>
        </w:tc>
        <w:tc>
          <w:tcPr>
            <w:tcW w:w="1163" w:type="dxa"/>
          </w:tcPr>
          <w:p w14:paraId="1D9564BC"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0</w:t>
            </w:r>
          </w:p>
        </w:tc>
        <w:tc>
          <w:tcPr>
            <w:tcW w:w="1028" w:type="dxa"/>
          </w:tcPr>
          <w:p w14:paraId="07463CD8"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1</w:t>
            </w:r>
          </w:p>
        </w:tc>
        <w:tc>
          <w:tcPr>
            <w:tcW w:w="1130" w:type="dxa"/>
          </w:tcPr>
          <w:p w14:paraId="2C98D4F4"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5</w:t>
            </w:r>
          </w:p>
        </w:tc>
        <w:tc>
          <w:tcPr>
            <w:tcW w:w="704" w:type="dxa"/>
          </w:tcPr>
          <w:p w14:paraId="7E2E6E1A"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3</w:t>
            </w:r>
          </w:p>
        </w:tc>
        <w:tc>
          <w:tcPr>
            <w:tcW w:w="830" w:type="dxa"/>
          </w:tcPr>
          <w:p w14:paraId="5642D700"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3</w:t>
            </w:r>
          </w:p>
        </w:tc>
        <w:tc>
          <w:tcPr>
            <w:tcW w:w="885" w:type="dxa"/>
            <w:gridSpan w:val="2"/>
          </w:tcPr>
          <w:p w14:paraId="5D3F0911" w14:textId="77777777" w:rsidR="009E24BB" w:rsidRPr="00233EC8" w:rsidRDefault="009E24BB" w:rsidP="000073C5">
            <w:pPr>
              <w:spacing w:after="0"/>
              <w:rPr>
                <w:rFonts w:ascii="Times New Roman" w:eastAsia="Calibri" w:hAnsi="Times New Roman" w:cs="Times New Roman"/>
                <w:sz w:val="20"/>
                <w:szCs w:val="20"/>
              </w:rPr>
            </w:pPr>
            <w:r w:rsidRPr="00233EC8">
              <w:rPr>
                <w:rFonts w:ascii="Times New Roman" w:eastAsia="Calibri" w:hAnsi="Times New Roman" w:cs="Times New Roman"/>
                <w:sz w:val="20"/>
                <w:szCs w:val="20"/>
              </w:rPr>
              <w:t>6</w:t>
            </w:r>
          </w:p>
        </w:tc>
      </w:tr>
      <w:tr w:rsidR="009E24BB" w:rsidRPr="00233EC8" w14:paraId="46B08B8D" w14:textId="77777777" w:rsidTr="000073C5">
        <w:tc>
          <w:tcPr>
            <w:tcW w:w="4027" w:type="dxa"/>
            <w:tcBorders>
              <w:bottom w:val="single" w:sz="2" w:space="0" w:color="auto"/>
            </w:tcBorders>
          </w:tcPr>
          <w:p w14:paraId="34B2332A" w14:textId="77777777" w:rsidR="009E24BB" w:rsidRPr="00233EC8" w:rsidRDefault="009E24BB" w:rsidP="000073C5">
            <w:pPr>
              <w:spacing w:after="0"/>
              <w:rPr>
                <w:rFonts w:ascii="Times New Roman" w:eastAsia="Calibri" w:hAnsi="Times New Roman" w:cs="Times New Roman"/>
                <w:b/>
                <w:sz w:val="20"/>
                <w:szCs w:val="20"/>
              </w:rPr>
            </w:pPr>
            <w:r w:rsidRPr="00233EC8">
              <w:rPr>
                <w:rFonts w:ascii="Times New Roman" w:eastAsia="Calibri" w:hAnsi="Times New Roman" w:cs="Times New Roman"/>
                <w:b/>
                <w:sz w:val="20"/>
                <w:szCs w:val="20"/>
              </w:rPr>
              <w:t>Final (total) sample</w:t>
            </w:r>
          </w:p>
        </w:tc>
        <w:tc>
          <w:tcPr>
            <w:tcW w:w="1016" w:type="dxa"/>
            <w:tcBorders>
              <w:bottom w:val="single" w:sz="2" w:space="0" w:color="auto"/>
            </w:tcBorders>
          </w:tcPr>
          <w:p w14:paraId="3361928C" w14:textId="77777777" w:rsidR="009E24BB" w:rsidRPr="00233EC8" w:rsidRDefault="009E24BB" w:rsidP="000073C5">
            <w:pPr>
              <w:spacing w:after="0"/>
              <w:rPr>
                <w:rFonts w:ascii="Times New Roman" w:eastAsia="Calibri" w:hAnsi="Times New Roman" w:cs="Times New Roman"/>
                <w:b/>
                <w:sz w:val="20"/>
                <w:szCs w:val="20"/>
              </w:rPr>
            </w:pPr>
            <w:r w:rsidRPr="00233EC8">
              <w:rPr>
                <w:rFonts w:ascii="Times New Roman" w:eastAsia="Calibri" w:hAnsi="Times New Roman" w:cs="Times New Roman"/>
                <w:b/>
                <w:sz w:val="20"/>
                <w:szCs w:val="20"/>
              </w:rPr>
              <w:t>3</w:t>
            </w:r>
          </w:p>
        </w:tc>
        <w:tc>
          <w:tcPr>
            <w:tcW w:w="1163" w:type="dxa"/>
            <w:tcBorders>
              <w:bottom w:val="single" w:sz="2" w:space="0" w:color="auto"/>
            </w:tcBorders>
          </w:tcPr>
          <w:p w14:paraId="413FD8DB" w14:textId="77777777" w:rsidR="009E24BB" w:rsidRPr="00233EC8" w:rsidRDefault="009E24BB" w:rsidP="000073C5">
            <w:pPr>
              <w:spacing w:after="0"/>
              <w:rPr>
                <w:rFonts w:ascii="Times New Roman" w:eastAsia="Calibri" w:hAnsi="Times New Roman" w:cs="Times New Roman"/>
                <w:b/>
                <w:sz w:val="20"/>
                <w:szCs w:val="20"/>
              </w:rPr>
            </w:pPr>
            <w:r w:rsidRPr="00233EC8">
              <w:rPr>
                <w:rFonts w:ascii="Times New Roman" w:eastAsia="Calibri" w:hAnsi="Times New Roman" w:cs="Times New Roman"/>
                <w:b/>
                <w:sz w:val="20"/>
                <w:szCs w:val="20"/>
              </w:rPr>
              <w:t>8</w:t>
            </w:r>
          </w:p>
        </w:tc>
        <w:tc>
          <w:tcPr>
            <w:tcW w:w="1028" w:type="dxa"/>
            <w:tcBorders>
              <w:bottom w:val="single" w:sz="2" w:space="0" w:color="auto"/>
            </w:tcBorders>
          </w:tcPr>
          <w:p w14:paraId="496F14C9" w14:textId="77777777" w:rsidR="009E24BB" w:rsidRPr="00233EC8" w:rsidRDefault="009E24BB" w:rsidP="000073C5">
            <w:pPr>
              <w:spacing w:after="0"/>
              <w:rPr>
                <w:rFonts w:ascii="Times New Roman" w:eastAsia="Calibri" w:hAnsi="Times New Roman" w:cs="Times New Roman"/>
                <w:b/>
                <w:sz w:val="20"/>
                <w:szCs w:val="20"/>
              </w:rPr>
            </w:pPr>
            <w:r w:rsidRPr="00233EC8">
              <w:rPr>
                <w:rFonts w:ascii="Times New Roman" w:eastAsia="Calibri" w:hAnsi="Times New Roman" w:cs="Times New Roman"/>
                <w:b/>
                <w:sz w:val="20"/>
                <w:szCs w:val="20"/>
              </w:rPr>
              <w:t>16</w:t>
            </w:r>
          </w:p>
        </w:tc>
        <w:tc>
          <w:tcPr>
            <w:tcW w:w="1130" w:type="dxa"/>
            <w:tcBorders>
              <w:bottom w:val="single" w:sz="2" w:space="0" w:color="auto"/>
            </w:tcBorders>
          </w:tcPr>
          <w:p w14:paraId="457D4AF2" w14:textId="77777777" w:rsidR="009E24BB" w:rsidRPr="00233EC8" w:rsidRDefault="009E24BB" w:rsidP="000073C5">
            <w:pPr>
              <w:spacing w:after="0"/>
              <w:rPr>
                <w:rFonts w:ascii="Times New Roman" w:eastAsia="Calibri" w:hAnsi="Times New Roman" w:cs="Times New Roman"/>
                <w:b/>
                <w:sz w:val="20"/>
                <w:szCs w:val="20"/>
              </w:rPr>
            </w:pPr>
            <w:r w:rsidRPr="00233EC8">
              <w:rPr>
                <w:rFonts w:ascii="Times New Roman" w:eastAsia="Calibri" w:hAnsi="Times New Roman" w:cs="Times New Roman"/>
                <w:b/>
                <w:sz w:val="20"/>
                <w:szCs w:val="20"/>
              </w:rPr>
              <w:t>90</w:t>
            </w:r>
          </w:p>
        </w:tc>
        <w:tc>
          <w:tcPr>
            <w:tcW w:w="704" w:type="dxa"/>
            <w:tcBorders>
              <w:bottom w:val="single" w:sz="2" w:space="0" w:color="auto"/>
            </w:tcBorders>
          </w:tcPr>
          <w:p w14:paraId="72B0FD47" w14:textId="77777777" w:rsidR="009E24BB" w:rsidRPr="00233EC8" w:rsidRDefault="009E24BB" w:rsidP="000073C5">
            <w:pPr>
              <w:spacing w:after="0"/>
              <w:rPr>
                <w:rFonts w:ascii="Times New Roman" w:eastAsia="Calibri" w:hAnsi="Times New Roman" w:cs="Times New Roman"/>
                <w:b/>
                <w:sz w:val="20"/>
                <w:szCs w:val="20"/>
              </w:rPr>
            </w:pPr>
            <w:r w:rsidRPr="00233EC8">
              <w:rPr>
                <w:rFonts w:ascii="Times New Roman" w:eastAsia="Calibri" w:hAnsi="Times New Roman" w:cs="Times New Roman"/>
                <w:b/>
                <w:sz w:val="20"/>
                <w:szCs w:val="20"/>
              </w:rPr>
              <w:t>58</w:t>
            </w:r>
          </w:p>
        </w:tc>
        <w:tc>
          <w:tcPr>
            <w:tcW w:w="830" w:type="dxa"/>
            <w:tcBorders>
              <w:bottom w:val="single" w:sz="2" w:space="0" w:color="auto"/>
            </w:tcBorders>
          </w:tcPr>
          <w:p w14:paraId="0AF1850E" w14:textId="77777777" w:rsidR="009E24BB" w:rsidRPr="00233EC8" w:rsidRDefault="009E24BB" w:rsidP="000073C5">
            <w:pPr>
              <w:spacing w:after="0"/>
              <w:rPr>
                <w:rFonts w:ascii="Times New Roman" w:eastAsia="Calibri" w:hAnsi="Times New Roman" w:cs="Times New Roman"/>
                <w:b/>
                <w:sz w:val="20"/>
                <w:szCs w:val="20"/>
              </w:rPr>
            </w:pPr>
            <w:r w:rsidRPr="00233EC8">
              <w:rPr>
                <w:rFonts w:ascii="Times New Roman" w:eastAsia="Calibri" w:hAnsi="Times New Roman" w:cs="Times New Roman"/>
                <w:b/>
                <w:sz w:val="20"/>
                <w:szCs w:val="20"/>
              </w:rPr>
              <w:t>59</w:t>
            </w:r>
          </w:p>
        </w:tc>
        <w:tc>
          <w:tcPr>
            <w:tcW w:w="885" w:type="dxa"/>
            <w:gridSpan w:val="2"/>
            <w:tcBorders>
              <w:bottom w:val="single" w:sz="2" w:space="0" w:color="auto"/>
            </w:tcBorders>
          </w:tcPr>
          <w:p w14:paraId="6E8A3217" w14:textId="77777777" w:rsidR="009E24BB" w:rsidRPr="00233EC8" w:rsidRDefault="009E24BB" w:rsidP="000073C5">
            <w:pPr>
              <w:spacing w:after="0"/>
              <w:rPr>
                <w:rFonts w:ascii="Times New Roman" w:eastAsia="Calibri" w:hAnsi="Times New Roman" w:cs="Times New Roman"/>
                <w:b/>
                <w:sz w:val="20"/>
                <w:szCs w:val="20"/>
              </w:rPr>
            </w:pPr>
            <w:r w:rsidRPr="00233EC8">
              <w:rPr>
                <w:rFonts w:ascii="Times New Roman" w:eastAsia="Calibri" w:hAnsi="Times New Roman" w:cs="Times New Roman"/>
                <w:b/>
                <w:sz w:val="20"/>
                <w:szCs w:val="20"/>
              </w:rPr>
              <w:t>117</w:t>
            </w:r>
          </w:p>
        </w:tc>
      </w:tr>
    </w:tbl>
    <w:p w14:paraId="542A7566" w14:textId="77777777" w:rsidR="004241ED" w:rsidRPr="00233EC8" w:rsidRDefault="004241ED"/>
    <w:p w14:paraId="7BE6AC48" w14:textId="77777777" w:rsidR="004241ED" w:rsidRPr="00233EC8" w:rsidRDefault="004241ED"/>
    <w:p w14:paraId="5B6C4B61" w14:textId="77777777" w:rsidR="004241ED" w:rsidRPr="00233EC8" w:rsidRDefault="004241ED"/>
    <w:p w14:paraId="6494A094" w14:textId="77777777" w:rsidR="004241ED" w:rsidRPr="00233EC8" w:rsidRDefault="004241ED"/>
    <w:p w14:paraId="6F63F505" w14:textId="77777777" w:rsidR="005709F1" w:rsidRPr="00233EC8" w:rsidRDefault="005709F1">
      <w:pPr>
        <w:sectPr w:rsidR="005709F1" w:rsidRPr="00233EC8" w:rsidSect="004B2D55">
          <w:pgSz w:w="11906" w:h="16838"/>
          <w:pgMar w:top="1304" w:right="1304" w:bottom="1304" w:left="1304" w:header="708" w:footer="708" w:gutter="0"/>
          <w:cols w:space="708"/>
          <w:docGrid w:linePitch="360"/>
        </w:sectPr>
      </w:pPr>
    </w:p>
    <w:tbl>
      <w:tblPr>
        <w:tblStyle w:val="TableGrid2"/>
        <w:tblW w:w="9328"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039"/>
        <w:gridCol w:w="8282"/>
        <w:gridCol w:w="7"/>
      </w:tblGrid>
      <w:tr w:rsidR="008B566F" w:rsidRPr="00233EC8" w14:paraId="50CE3AE3" w14:textId="77777777" w:rsidTr="00DD7D5B">
        <w:trPr>
          <w:gridAfter w:val="1"/>
          <w:wAfter w:w="7" w:type="dxa"/>
        </w:trPr>
        <w:tc>
          <w:tcPr>
            <w:tcW w:w="9321" w:type="dxa"/>
            <w:gridSpan w:val="2"/>
            <w:tcBorders>
              <w:top w:val="nil"/>
              <w:bottom w:val="single" w:sz="12" w:space="0" w:color="auto"/>
            </w:tcBorders>
          </w:tcPr>
          <w:p w14:paraId="1F0D0039" w14:textId="0FCBCFD3" w:rsidR="008B566F" w:rsidRPr="00233EC8" w:rsidRDefault="00075214" w:rsidP="00F24425">
            <w:pPr>
              <w:numPr>
                <w:ilvl w:val="0"/>
                <w:numId w:val="1"/>
              </w:numPr>
              <w:tabs>
                <w:tab w:val="clear" w:pos="0"/>
              </w:tabs>
              <w:rPr>
                <w:rFonts w:ascii="Times New Roman" w:eastAsia="Calibri" w:hAnsi="Times New Roman" w:cs="Times New Roman"/>
                <w:bCs/>
                <w:i/>
                <w:iCs/>
                <w:sz w:val="20"/>
                <w:szCs w:val="20"/>
              </w:rPr>
            </w:pPr>
            <w:r w:rsidRPr="00233EC8">
              <w:rPr>
                <w:rFonts w:ascii="Times New Roman" w:eastAsia="Calibri" w:hAnsi="Times New Roman" w:cs="Times New Roman"/>
                <w:b/>
                <w:sz w:val="20"/>
                <w:szCs w:val="20"/>
              </w:rPr>
              <w:lastRenderedPageBreak/>
              <w:t>Table 2</w:t>
            </w:r>
            <w:r w:rsidR="00F24425">
              <w:rPr>
                <w:rFonts w:ascii="Times New Roman" w:eastAsia="Calibri" w:hAnsi="Times New Roman" w:cs="Times New Roman"/>
                <w:b/>
                <w:sz w:val="20"/>
                <w:szCs w:val="20"/>
              </w:rPr>
              <w:t xml:space="preserve">. </w:t>
            </w:r>
            <w:r w:rsidR="008B566F" w:rsidRPr="00233EC8">
              <w:rPr>
                <w:rFonts w:ascii="Times New Roman" w:eastAsia="Calibri" w:hAnsi="Times New Roman" w:cs="Times New Roman"/>
                <w:bCs/>
                <w:sz w:val="20"/>
                <w:szCs w:val="20"/>
              </w:rPr>
              <w:t>Summary of measures and variables</w:t>
            </w:r>
            <w:r w:rsidR="00DE60D5" w:rsidRPr="00233EC8">
              <w:rPr>
                <w:rFonts w:ascii="Times New Roman" w:eastAsia="Calibri" w:hAnsi="Times New Roman" w:cs="Times New Roman"/>
                <w:bCs/>
                <w:sz w:val="20"/>
                <w:szCs w:val="20"/>
              </w:rPr>
              <w:t>.</w:t>
            </w:r>
          </w:p>
        </w:tc>
      </w:tr>
      <w:tr w:rsidR="00DD7D5B" w:rsidRPr="00233EC8" w14:paraId="6E686198" w14:textId="77777777" w:rsidTr="00356ADA">
        <w:trPr>
          <w:trHeight w:val="418"/>
        </w:trPr>
        <w:tc>
          <w:tcPr>
            <w:tcW w:w="9328" w:type="dxa"/>
            <w:gridSpan w:val="3"/>
            <w:tcBorders>
              <w:top w:val="single" w:sz="12" w:space="0" w:color="auto"/>
            </w:tcBorders>
          </w:tcPr>
          <w:p w14:paraId="64B3AA61" w14:textId="77777777" w:rsidR="00DD7D5B" w:rsidRPr="00DD7D5B" w:rsidRDefault="00DD7D5B" w:rsidP="00B17BA0">
            <w:pPr>
              <w:numPr>
                <w:ilvl w:val="0"/>
                <w:numId w:val="1"/>
              </w:numPr>
              <w:tabs>
                <w:tab w:val="clear" w:pos="0"/>
              </w:tabs>
              <w:rPr>
                <w:rFonts w:ascii="Times New Roman" w:eastAsia="Calibri" w:hAnsi="Times New Roman" w:cs="Times New Roman"/>
                <w:b/>
                <w:sz w:val="20"/>
                <w:szCs w:val="20"/>
              </w:rPr>
            </w:pPr>
          </w:p>
          <w:p w14:paraId="67A2DF96" w14:textId="1669677B" w:rsidR="00DD7D5B" w:rsidRPr="00233EC8" w:rsidRDefault="00DD7D5B" w:rsidP="00B17BA0">
            <w:pPr>
              <w:numPr>
                <w:ilvl w:val="0"/>
                <w:numId w:val="1"/>
              </w:numPr>
              <w:tabs>
                <w:tab w:val="clear" w:pos="0"/>
              </w:tabs>
              <w:rPr>
                <w:rFonts w:ascii="Times New Roman" w:eastAsia="Calibri" w:hAnsi="Times New Roman" w:cs="Times New Roman"/>
                <w:b/>
                <w:sz w:val="20"/>
                <w:szCs w:val="20"/>
              </w:rPr>
            </w:pPr>
            <w:r w:rsidRPr="00233EC8">
              <w:rPr>
                <w:rFonts w:ascii="Times New Roman" w:eastAsia="Calibri" w:hAnsi="Times New Roman" w:cs="Times New Roman"/>
                <w:bCs/>
                <w:i/>
                <w:iCs/>
                <w:sz w:val="20"/>
                <w:szCs w:val="20"/>
              </w:rPr>
              <w:t>Risk disclosure</w:t>
            </w:r>
            <w:r w:rsidRPr="00233EC8">
              <w:rPr>
                <w:rFonts w:ascii="Times New Roman" w:eastAsia="Calibri" w:hAnsi="Times New Roman" w:cs="Times New Roman"/>
                <w:b/>
                <w:sz w:val="20"/>
                <w:szCs w:val="20"/>
              </w:rPr>
              <w:t xml:space="preserve"> </w:t>
            </w:r>
            <w:r w:rsidRPr="00233EC8">
              <w:rPr>
                <w:rFonts w:ascii="Times New Roman" w:eastAsia="Calibri" w:hAnsi="Times New Roman" w:cs="Times New Roman"/>
                <w:bCs/>
                <w:i/>
                <w:iCs/>
                <w:sz w:val="20"/>
                <w:szCs w:val="20"/>
              </w:rPr>
              <w:t>(RDI) – dependent variables</w:t>
            </w:r>
          </w:p>
        </w:tc>
      </w:tr>
      <w:tr w:rsidR="00E73B4D" w:rsidRPr="00233EC8" w14:paraId="3D5A23E9" w14:textId="77777777" w:rsidTr="00DD7D5B">
        <w:trPr>
          <w:gridAfter w:val="1"/>
          <w:wAfter w:w="7" w:type="dxa"/>
        </w:trPr>
        <w:tc>
          <w:tcPr>
            <w:tcW w:w="988" w:type="dxa"/>
          </w:tcPr>
          <w:p w14:paraId="3574F7D6" w14:textId="37CC2A38" w:rsidR="00E73B4D" w:rsidRPr="00233EC8" w:rsidRDefault="004E038E" w:rsidP="00B17BA0">
            <w:pPr>
              <w:numPr>
                <w:ilvl w:val="0"/>
                <w:numId w:val="1"/>
              </w:numPr>
              <w:tabs>
                <w:tab w:val="clear" w:pos="0"/>
              </w:tabs>
              <w:rPr>
                <w:rFonts w:ascii="Times New Roman" w:eastAsia="Calibri" w:hAnsi="Times New Roman" w:cs="Times New Roman"/>
                <w:bCs/>
                <w:sz w:val="20"/>
                <w:szCs w:val="20"/>
              </w:rPr>
            </w:pPr>
            <w:r>
              <w:rPr>
                <w:rFonts w:ascii="Times New Roman" w:eastAsia="Calibri" w:hAnsi="Times New Roman" w:cs="Times New Roman"/>
                <w:bCs/>
                <w:sz w:val="20"/>
                <w:szCs w:val="20"/>
              </w:rPr>
              <w:t>HE</w:t>
            </w:r>
            <w:r w:rsidR="00E73B4D" w:rsidRPr="00233EC8">
              <w:rPr>
                <w:rFonts w:ascii="Times New Roman" w:eastAsia="Calibri" w:hAnsi="Times New Roman" w:cs="Times New Roman"/>
                <w:bCs/>
                <w:sz w:val="20"/>
                <w:szCs w:val="20"/>
              </w:rPr>
              <w:t>RDI</w:t>
            </w:r>
          </w:p>
        </w:tc>
        <w:tc>
          <w:tcPr>
            <w:tcW w:w="8333" w:type="dxa"/>
          </w:tcPr>
          <w:p w14:paraId="697FA38D" w14:textId="7557CD7A" w:rsidR="00E73B4D" w:rsidRPr="00233EC8" w:rsidRDefault="00E73B4D" w:rsidP="00356ADA">
            <w:pPr>
              <w:numPr>
                <w:ilvl w:val="0"/>
                <w:numId w:val="1"/>
              </w:numPr>
              <w:tabs>
                <w:tab w:val="clear" w:pos="0"/>
              </w:tabs>
              <w:jc w:val="both"/>
              <w:rPr>
                <w:rFonts w:ascii="Times New Roman" w:eastAsia="Calibri" w:hAnsi="Times New Roman" w:cs="Times New Roman"/>
                <w:bCs/>
                <w:sz w:val="20"/>
                <w:szCs w:val="20"/>
              </w:rPr>
            </w:pPr>
            <w:r w:rsidRPr="00233EC8">
              <w:rPr>
                <w:rFonts w:ascii="Times New Roman" w:eastAsia="Calibri" w:hAnsi="Times New Roman" w:cs="Times New Roman"/>
                <w:bCs/>
                <w:sz w:val="20"/>
                <w:szCs w:val="20"/>
              </w:rPr>
              <w:t>Is the total HEI risk disclosures index containing 127 provisions based on 3 categorises as follows: 29 items on financial risks (</w:t>
            </w:r>
            <w:r w:rsidR="004E038E">
              <w:rPr>
                <w:rFonts w:ascii="Times New Roman" w:eastAsia="Calibri" w:hAnsi="Times New Roman" w:cs="Times New Roman"/>
                <w:bCs/>
                <w:sz w:val="20"/>
                <w:szCs w:val="20"/>
              </w:rPr>
              <w:t>HEFRD</w:t>
            </w:r>
            <w:r w:rsidRPr="00233EC8">
              <w:rPr>
                <w:rFonts w:ascii="Times New Roman" w:eastAsia="Calibri" w:hAnsi="Times New Roman" w:cs="Times New Roman"/>
                <w:bCs/>
                <w:sz w:val="20"/>
                <w:szCs w:val="20"/>
              </w:rPr>
              <w:t>); 83 items on operational risks (</w:t>
            </w:r>
            <w:r w:rsidR="004E038E">
              <w:rPr>
                <w:rFonts w:ascii="Times New Roman" w:eastAsia="Calibri" w:hAnsi="Times New Roman" w:cs="Times New Roman"/>
                <w:bCs/>
                <w:sz w:val="20"/>
                <w:szCs w:val="20"/>
              </w:rPr>
              <w:t>HEORD</w:t>
            </w:r>
            <w:r w:rsidRPr="00233EC8">
              <w:rPr>
                <w:rFonts w:ascii="Times New Roman" w:eastAsia="Calibri" w:hAnsi="Times New Roman" w:cs="Times New Roman"/>
                <w:bCs/>
                <w:sz w:val="20"/>
                <w:szCs w:val="20"/>
              </w:rPr>
              <w:t>); and 15 items on strategic risks (</w:t>
            </w:r>
            <w:r w:rsidR="004E038E">
              <w:rPr>
                <w:rFonts w:ascii="Times New Roman" w:eastAsia="Calibri" w:hAnsi="Times New Roman" w:cs="Times New Roman"/>
                <w:bCs/>
                <w:sz w:val="20"/>
                <w:szCs w:val="20"/>
              </w:rPr>
              <w:t>HESRD</w:t>
            </w:r>
            <w:r w:rsidRPr="00233EC8">
              <w:rPr>
                <w:rFonts w:ascii="Times New Roman" w:eastAsia="Calibri" w:hAnsi="Times New Roman" w:cs="Times New Roman"/>
                <w:bCs/>
                <w:sz w:val="20"/>
                <w:szCs w:val="20"/>
              </w:rPr>
              <w:t xml:space="preserve">). All the 127 provisions are awarded a value between 0 and 6, leading to having a potential total of 762 points, which is then scaled to a value between 0% and 100%. </w:t>
            </w:r>
          </w:p>
          <w:p w14:paraId="63548AB5" w14:textId="64CA6D21" w:rsidR="00E73B4D" w:rsidRPr="00233EC8" w:rsidRDefault="00E73B4D" w:rsidP="00B17BA0">
            <w:pPr>
              <w:numPr>
                <w:ilvl w:val="0"/>
                <w:numId w:val="1"/>
              </w:numPr>
              <w:tabs>
                <w:tab w:val="clear" w:pos="0"/>
              </w:tabs>
              <w:rPr>
                <w:rFonts w:ascii="Times New Roman" w:eastAsia="Calibri" w:hAnsi="Times New Roman" w:cs="Times New Roman"/>
                <w:bCs/>
                <w:sz w:val="20"/>
                <w:szCs w:val="20"/>
              </w:rPr>
            </w:pPr>
          </w:p>
        </w:tc>
      </w:tr>
      <w:tr w:rsidR="00DD7D5B" w:rsidRPr="00233EC8" w14:paraId="3ADD4C14" w14:textId="77777777" w:rsidTr="00356ADA">
        <w:trPr>
          <w:trHeight w:val="359"/>
        </w:trPr>
        <w:tc>
          <w:tcPr>
            <w:tcW w:w="9328" w:type="dxa"/>
            <w:gridSpan w:val="3"/>
          </w:tcPr>
          <w:p w14:paraId="0F009C07" w14:textId="77777777" w:rsidR="00CE617A" w:rsidRPr="00CE617A" w:rsidRDefault="00CE617A" w:rsidP="00B17BA0">
            <w:pPr>
              <w:numPr>
                <w:ilvl w:val="0"/>
                <w:numId w:val="1"/>
              </w:numPr>
              <w:tabs>
                <w:tab w:val="clear" w:pos="0"/>
              </w:tabs>
              <w:rPr>
                <w:rFonts w:ascii="Times New Roman" w:eastAsia="Calibri" w:hAnsi="Times New Roman" w:cs="Times New Roman"/>
                <w:bCs/>
                <w:i/>
                <w:iCs/>
                <w:sz w:val="10"/>
                <w:szCs w:val="10"/>
              </w:rPr>
            </w:pPr>
          </w:p>
          <w:p w14:paraId="66E35914" w14:textId="4D995938" w:rsidR="00DD7D5B" w:rsidRPr="00233EC8" w:rsidRDefault="00DD7D5B" w:rsidP="00B17BA0">
            <w:pPr>
              <w:numPr>
                <w:ilvl w:val="0"/>
                <w:numId w:val="1"/>
              </w:numPr>
              <w:tabs>
                <w:tab w:val="clear" w:pos="0"/>
              </w:tabs>
              <w:rPr>
                <w:rFonts w:ascii="Times New Roman" w:eastAsia="Calibri" w:hAnsi="Times New Roman" w:cs="Times New Roman"/>
                <w:bCs/>
                <w:i/>
                <w:iCs/>
                <w:sz w:val="20"/>
                <w:szCs w:val="20"/>
              </w:rPr>
            </w:pPr>
            <w:r w:rsidRPr="00233EC8">
              <w:rPr>
                <w:rFonts w:ascii="Times New Roman" w:eastAsia="Calibri" w:hAnsi="Times New Roman" w:cs="Times New Roman"/>
                <w:bCs/>
                <w:i/>
                <w:iCs/>
                <w:sz w:val="20"/>
                <w:szCs w:val="20"/>
              </w:rPr>
              <w:t xml:space="preserve">Internal </w:t>
            </w:r>
            <w:r w:rsidR="00CE5811">
              <w:rPr>
                <w:rFonts w:ascii="Times New Roman" w:eastAsia="Calibri" w:hAnsi="Times New Roman" w:cs="Times New Roman"/>
                <w:bCs/>
                <w:i/>
                <w:iCs/>
                <w:sz w:val="20"/>
                <w:szCs w:val="20"/>
              </w:rPr>
              <w:t>g</w:t>
            </w:r>
            <w:r w:rsidRPr="00233EC8">
              <w:rPr>
                <w:rFonts w:ascii="Times New Roman" w:eastAsia="Calibri" w:hAnsi="Times New Roman" w:cs="Times New Roman"/>
                <w:bCs/>
                <w:i/>
                <w:iCs/>
                <w:sz w:val="20"/>
                <w:szCs w:val="20"/>
              </w:rPr>
              <w:t>overnance structures – independent variables</w:t>
            </w:r>
          </w:p>
        </w:tc>
      </w:tr>
      <w:tr w:rsidR="00E73B4D" w:rsidRPr="00233EC8" w14:paraId="34028B3C" w14:textId="77777777" w:rsidTr="00DD7D5B">
        <w:trPr>
          <w:gridAfter w:val="1"/>
          <w:wAfter w:w="7" w:type="dxa"/>
        </w:trPr>
        <w:tc>
          <w:tcPr>
            <w:tcW w:w="988" w:type="dxa"/>
          </w:tcPr>
          <w:p w14:paraId="56BC5FC0" w14:textId="2741F03D" w:rsidR="00E73B4D" w:rsidRPr="00233EC8" w:rsidRDefault="002A69F1" w:rsidP="00B17BA0">
            <w:pPr>
              <w:numPr>
                <w:ilvl w:val="0"/>
                <w:numId w:val="1"/>
              </w:numPr>
              <w:tabs>
                <w:tab w:val="clear" w:pos="0"/>
              </w:tabs>
              <w:rPr>
                <w:rFonts w:ascii="Times New Roman" w:eastAsia="Calibri" w:hAnsi="Times New Roman" w:cs="Times New Roman"/>
                <w:bCs/>
                <w:sz w:val="20"/>
                <w:szCs w:val="20"/>
              </w:rPr>
            </w:pPr>
            <w:r>
              <w:rPr>
                <w:rFonts w:ascii="Times New Roman" w:eastAsia="Calibri" w:hAnsi="Times New Roman" w:cs="Times New Roman"/>
                <w:bCs/>
                <w:sz w:val="20"/>
                <w:szCs w:val="20"/>
              </w:rPr>
              <w:t>HE</w:t>
            </w:r>
            <w:r w:rsidR="00E73B4D" w:rsidRPr="00233EC8">
              <w:rPr>
                <w:rFonts w:ascii="Times New Roman" w:eastAsia="Calibri" w:hAnsi="Times New Roman" w:cs="Times New Roman"/>
                <w:bCs/>
                <w:sz w:val="20"/>
                <w:szCs w:val="20"/>
              </w:rPr>
              <w:t>GQI</w:t>
            </w:r>
          </w:p>
        </w:tc>
        <w:tc>
          <w:tcPr>
            <w:tcW w:w="8333" w:type="dxa"/>
          </w:tcPr>
          <w:p w14:paraId="13B22357" w14:textId="005A7029" w:rsidR="00E73B4D" w:rsidRPr="00233EC8" w:rsidRDefault="00E73B4D" w:rsidP="00BB1961">
            <w:pPr>
              <w:numPr>
                <w:ilvl w:val="0"/>
                <w:numId w:val="1"/>
              </w:numPr>
              <w:tabs>
                <w:tab w:val="clear" w:pos="0"/>
              </w:tabs>
              <w:jc w:val="both"/>
              <w:rPr>
                <w:rFonts w:ascii="Times New Roman" w:eastAsia="Calibri" w:hAnsi="Times New Roman" w:cs="Times New Roman"/>
                <w:bCs/>
                <w:sz w:val="20"/>
                <w:szCs w:val="20"/>
              </w:rPr>
            </w:pPr>
            <w:r w:rsidRPr="00233EC8">
              <w:rPr>
                <w:rFonts w:ascii="Times New Roman" w:eastAsia="Calibri" w:hAnsi="Times New Roman" w:cs="Times New Roman"/>
                <w:bCs/>
                <w:sz w:val="20"/>
                <w:szCs w:val="20"/>
              </w:rPr>
              <w:t xml:space="preserve">Is the total HEI governance </w:t>
            </w:r>
            <w:r w:rsidR="00CE5811">
              <w:rPr>
                <w:rFonts w:ascii="Times New Roman" w:eastAsia="Calibri" w:hAnsi="Times New Roman" w:cs="Times New Roman"/>
                <w:bCs/>
                <w:sz w:val="20"/>
                <w:szCs w:val="20"/>
              </w:rPr>
              <w:t>disclosure</w:t>
            </w:r>
            <w:r w:rsidRPr="00233EC8">
              <w:rPr>
                <w:rFonts w:ascii="Times New Roman" w:eastAsia="Calibri" w:hAnsi="Times New Roman" w:cs="Times New Roman"/>
                <w:bCs/>
                <w:sz w:val="20"/>
                <w:szCs w:val="20"/>
              </w:rPr>
              <w:t xml:space="preserve"> index containing 100 provisions based on 5 categorises as follows: </w:t>
            </w:r>
            <w:r w:rsidRPr="00233EC8">
              <w:rPr>
                <w:rFonts w:asciiTheme="majorBidi" w:hAnsiTheme="majorBidi" w:cstheme="majorBidi"/>
                <w:sz w:val="20"/>
                <w:szCs w:val="20"/>
              </w:rPr>
              <w:t xml:space="preserve">27 items on </w:t>
            </w:r>
            <w:bookmarkStart w:id="13" w:name="_Hlk95832816"/>
            <w:r w:rsidRPr="00233EC8">
              <w:rPr>
                <w:rFonts w:asciiTheme="majorBidi" w:hAnsiTheme="majorBidi" w:cstheme="majorBidi"/>
                <w:sz w:val="20"/>
                <w:szCs w:val="20"/>
              </w:rPr>
              <w:t>govern</w:t>
            </w:r>
            <w:r w:rsidR="00126518">
              <w:rPr>
                <w:rFonts w:asciiTheme="majorBidi" w:hAnsiTheme="majorBidi" w:cstheme="majorBidi"/>
                <w:sz w:val="20"/>
                <w:szCs w:val="20"/>
              </w:rPr>
              <w:t>ing board</w:t>
            </w:r>
            <w:r w:rsidRPr="00233EC8">
              <w:rPr>
                <w:rFonts w:asciiTheme="majorBidi" w:hAnsiTheme="majorBidi" w:cstheme="majorBidi"/>
                <w:sz w:val="20"/>
                <w:szCs w:val="20"/>
              </w:rPr>
              <w:t xml:space="preserve"> – (</w:t>
            </w:r>
            <w:r w:rsidR="00126518" w:rsidRPr="00126518">
              <w:rPr>
                <w:rFonts w:asciiTheme="majorBidi" w:hAnsiTheme="majorBidi" w:cstheme="majorBidi"/>
                <w:sz w:val="20"/>
                <w:szCs w:val="20"/>
              </w:rPr>
              <w:t>GOVB</w:t>
            </w:r>
            <w:r w:rsidRPr="00233EC8">
              <w:rPr>
                <w:rFonts w:asciiTheme="majorBidi" w:hAnsiTheme="majorBidi" w:cstheme="majorBidi"/>
                <w:sz w:val="20"/>
                <w:szCs w:val="20"/>
              </w:rPr>
              <w:t>); 24 items on procedures</w:t>
            </w:r>
            <w:r w:rsidR="00126518">
              <w:rPr>
                <w:rFonts w:asciiTheme="majorBidi" w:hAnsiTheme="majorBidi" w:cstheme="majorBidi"/>
                <w:sz w:val="20"/>
                <w:szCs w:val="20"/>
              </w:rPr>
              <w:t>/structures</w:t>
            </w:r>
            <w:r w:rsidRPr="00233EC8">
              <w:rPr>
                <w:rFonts w:asciiTheme="majorBidi" w:hAnsiTheme="majorBidi" w:cstheme="majorBidi"/>
                <w:sz w:val="20"/>
                <w:szCs w:val="20"/>
              </w:rPr>
              <w:t xml:space="preserve"> (</w:t>
            </w:r>
            <w:r w:rsidR="0055023F">
              <w:rPr>
                <w:rFonts w:asciiTheme="majorBidi" w:hAnsiTheme="majorBidi" w:cstheme="majorBidi"/>
                <w:sz w:val="20"/>
                <w:szCs w:val="20"/>
              </w:rPr>
              <w:t>PROS</w:t>
            </w:r>
            <w:r w:rsidRPr="00233EC8">
              <w:rPr>
                <w:rFonts w:asciiTheme="majorBidi" w:hAnsiTheme="majorBidi" w:cstheme="majorBidi"/>
                <w:sz w:val="20"/>
                <w:szCs w:val="20"/>
              </w:rPr>
              <w:t xml:space="preserve">); 22 items on </w:t>
            </w:r>
            <w:r w:rsidR="00BB1961">
              <w:rPr>
                <w:rFonts w:asciiTheme="majorBidi" w:hAnsiTheme="majorBidi" w:cstheme="majorBidi"/>
                <w:sz w:val="20"/>
                <w:szCs w:val="20"/>
              </w:rPr>
              <w:t xml:space="preserve">performance evaluation, </w:t>
            </w:r>
            <w:r w:rsidRPr="00233EC8">
              <w:rPr>
                <w:rFonts w:asciiTheme="majorBidi" w:hAnsiTheme="majorBidi" w:cstheme="majorBidi"/>
                <w:sz w:val="20"/>
                <w:szCs w:val="20"/>
              </w:rPr>
              <w:t>rewards</w:t>
            </w:r>
            <w:r w:rsidR="00BB1961">
              <w:rPr>
                <w:rFonts w:asciiTheme="majorBidi" w:hAnsiTheme="majorBidi" w:cstheme="majorBidi"/>
                <w:sz w:val="20"/>
                <w:szCs w:val="20"/>
              </w:rPr>
              <w:t xml:space="preserve"> and </w:t>
            </w:r>
            <w:r w:rsidRPr="00233EC8">
              <w:rPr>
                <w:rFonts w:asciiTheme="majorBidi" w:hAnsiTheme="majorBidi" w:cstheme="majorBidi"/>
                <w:sz w:val="20"/>
                <w:szCs w:val="20"/>
              </w:rPr>
              <w:t>pay (</w:t>
            </w:r>
            <w:r w:rsidR="00BB1961">
              <w:rPr>
                <w:rFonts w:asciiTheme="majorBidi" w:hAnsiTheme="majorBidi" w:cstheme="majorBidi"/>
                <w:sz w:val="20"/>
                <w:szCs w:val="20"/>
              </w:rPr>
              <w:t>PERP</w:t>
            </w:r>
            <w:r w:rsidRPr="00233EC8">
              <w:rPr>
                <w:rFonts w:asciiTheme="majorBidi" w:hAnsiTheme="majorBidi" w:cstheme="majorBidi"/>
                <w:sz w:val="20"/>
                <w:szCs w:val="20"/>
              </w:rPr>
              <w:t xml:space="preserve">); 20 items on </w:t>
            </w:r>
            <w:r w:rsidR="00BB1961" w:rsidRPr="00BB1961">
              <w:rPr>
                <w:rFonts w:asciiTheme="majorBidi" w:hAnsiTheme="majorBidi" w:cstheme="majorBidi"/>
                <w:sz w:val="20"/>
                <w:szCs w:val="20"/>
              </w:rPr>
              <w:t xml:space="preserve">accounting, auditing and accountability </w:t>
            </w:r>
            <w:r w:rsidRPr="00233EC8">
              <w:rPr>
                <w:rFonts w:asciiTheme="majorBidi" w:hAnsiTheme="majorBidi" w:cstheme="majorBidi"/>
                <w:sz w:val="20"/>
                <w:szCs w:val="20"/>
              </w:rPr>
              <w:t>(</w:t>
            </w:r>
            <w:r w:rsidR="0055023F">
              <w:rPr>
                <w:rFonts w:asciiTheme="majorBidi" w:hAnsiTheme="majorBidi" w:cstheme="majorBidi"/>
                <w:sz w:val="20"/>
                <w:szCs w:val="20"/>
              </w:rPr>
              <w:t>AAAC</w:t>
            </w:r>
            <w:r w:rsidRPr="00233EC8">
              <w:rPr>
                <w:rFonts w:asciiTheme="majorBidi" w:hAnsiTheme="majorBidi" w:cstheme="majorBidi"/>
                <w:sz w:val="20"/>
                <w:szCs w:val="20"/>
              </w:rPr>
              <w:t xml:space="preserve">); and 7 items on </w:t>
            </w:r>
            <w:r w:rsidR="00BA1A47">
              <w:rPr>
                <w:rFonts w:asciiTheme="majorBidi" w:hAnsiTheme="majorBidi" w:cstheme="majorBidi"/>
                <w:sz w:val="20"/>
                <w:szCs w:val="20"/>
              </w:rPr>
              <w:t>social, environmental responsibility</w:t>
            </w:r>
            <w:r w:rsidR="00305242" w:rsidRPr="00305242">
              <w:rPr>
                <w:rFonts w:asciiTheme="majorBidi" w:hAnsiTheme="majorBidi" w:cstheme="majorBidi"/>
                <w:bCs/>
                <w:sz w:val="20"/>
                <w:szCs w:val="20"/>
              </w:rPr>
              <w:t xml:space="preserve"> and stakeholders’ engagement (</w:t>
            </w:r>
            <w:bookmarkEnd w:id="13"/>
            <w:r w:rsidR="00305242">
              <w:rPr>
                <w:rFonts w:asciiTheme="majorBidi" w:hAnsiTheme="majorBidi" w:cstheme="majorBidi"/>
                <w:bCs/>
                <w:sz w:val="20"/>
                <w:szCs w:val="20"/>
              </w:rPr>
              <w:t>SERS</w:t>
            </w:r>
            <w:r w:rsidR="00C36355">
              <w:rPr>
                <w:rFonts w:asciiTheme="majorBidi" w:hAnsiTheme="majorBidi" w:cstheme="majorBidi"/>
                <w:bCs/>
                <w:sz w:val="20"/>
                <w:szCs w:val="20"/>
              </w:rPr>
              <w:t>E</w:t>
            </w:r>
            <w:r w:rsidRPr="00233EC8">
              <w:rPr>
                <w:rFonts w:asciiTheme="majorBidi" w:hAnsiTheme="majorBidi" w:cstheme="majorBidi"/>
                <w:sz w:val="20"/>
                <w:szCs w:val="20"/>
              </w:rPr>
              <w:t xml:space="preserve">). </w:t>
            </w:r>
            <w:r w:rsidRPr="00233EC8">
              <w:rPr>
                <w:rFonts w:ascii="Times New Roman" w:eastAsia="Calibri" w:hAnsi="Times New Roman" w:cs="Times New Roman"/>
                <w:bCs/>
                <w:sz w:val="20"/>
                <w:szCs w:val="20"/>
              </w:rPr>
              <w:t xml:space="preserve">All the 100 provisions are awarded a value between 0 and 1, leading to having a potential total of 100 points, which is then scaled to a value between 0% and 100%. </w:t>
            </w:r>
          </w:p>
        </w:tc>
      </w:tr>
      <w:tr w:rsidR="00DD7D5B" w:rsidRPr="00233EC8" w14:paraId="6955B6AA" w14:textId="77777777" w:rsidTr="00356ADA">
        <w:trPr>
          <w:gridAfter w:val="1"/>
          <w:wAfter w:w="7" w:type="dxa"/>
          <w:trHeight w:val="335"/>
        </w:trPr>
        <w:tc>
          <w:tcPr>
            <w:tcW w:w="9321" w:type="dxa"/>
            <w:gridSpan w:val="2"/>
          </w:tcPr>
          <w:p w14:paraId="15757381" w14:textId="77777777" w:rsidR="00DD7D5B" w:rsidRPr="00CE617A" w:rsidRDefault="00DD7D5B" w:rsidP="00B17BA0">
            <w:pPr>
              <w:numPr>
                <w:ilvl w:val="0"/>
                <w:numId w:val="1"/>
              </w:numPr>
              <w:tabs>
                <w:tab w:val="clear" w:pos="0"/>
              </w:tabs>
              <w:rPr>
                <w:rFonts w:ascii="Times New Roman" w:eastAsia="Calibri" w:hAnsi="Times New Roman" w:cs="Times New Roman"/>
                <w:bCs/>
                <w:i/>
                <w:iCs/>
                <w:sz w:val="10"/>
                <w:szCs w:val="10"/>
              </w:rPr>
            </w:pPr>
          </w:p>
          <w:p w14:paraId="1B1E0294" w14:textId="4C7D45B4" w:rsidR="00DD7D5B" w:rsidRPr="00233EC8" w:rsidRDefault="00DD7D5B" w:rsidP="00B17BA0">
            <w:pPr>
              <w:numPr>
                <w:ilvl w:val="0"/>
                <w:numId w:val="1"/>
              </w:numPr>
              <w:tabs>
                <w:tab w:val="clear" w:pos="0"/>
              </w:tabs>
              <w:rPr>
                <w:rFonts w:ascii="Times New Roman" w:eastAsia="Calibri" w:hAnsi="Times New Roman" w:cs="Times New Roman"/>
                <w:bCs/>
                <w:i/>
                <w:iCs/>
                <w:sz w:val="20"/>
                <w:szCs w:val="20"/>
              </w:rPr>
            </w:pPr>
            <w:r w:rsidRPr="00233EC8">
              <w:rPr>
                <w:rFonts w:ascii="Times New Roman" w:eastAsia="Calibri" w:hAnsi="Times New Roman" w:cs="Times New Roman"/>
                <w:bCs/>
                <w:i/>
                <w:iCs/>
                <w:sz w:val="20"/>
                <w:szCs w:val="20"/>
              </w:rPr>
              <w:t>Interaction variables – senior management team characteristics*</w:t>
            </w:r>
            <w:r w:rsidR="002A69F1">
              <w:rPr>
                <w:rFonts w:ascii="Times New Roman" w:eastAsia="Calibri" w:hAnsi="Times New Roman" w:cs="Times New Roman"/>
                <w:bCs/>
                <w:i/>
                <w:iCs/>
                <w:sz w:val="20"/>
                <w:szCs w:val="20"/>
              </w:rPr>
              <w:t>HE</w:t>
            </w:r>
            <w:r w:rsidRPr="00233EC8">
              <w:rPr>
                <w:rFonts w:ascii="Times New Roman" w:eastAsia="Calibri" w:hAnsi="Times New Roman" w:cs="Times New Roman"/>
                <w:bCs/>
                <w:i/>
                <w:iCs/>
                <w:sz w:val="20"/>
                <w:szCs w:val="20"/>
              </w:rPr>
              <w:t>GQI</w:t>
            </w:r>
          </w:p>
        </w:tc>
      </w:tr>
      <w:tr w:rsidR="00E73B4D" w:rsidRPr="00233EC8" w14:paraId="59565E06" w14:textId="77777777" w:rsidTr="00DD7D5B">
        <w:trPr>
          <w:gridAfter w:val="1"/>
          <w:wAfter w:w="7" w:type="dxa"/>
        </w:trPr>
        <w:tc>
          <w:tcPr>
            <w:tcW w:w="988" w:type="dxa"/>
          </w:tcPr>
          <w:p w14:paraId="184D7BDD" w14:textId="2D1FDB34" w:rsidR="00E73B4D" w:rsidRPr="00233EC8" w:rsidRDefault="00E73B4D" w:rsidP="00B17BA0">
            <w:pPr>
              <w:numPr>
                <w:ilvl w:val="0"/>
                <w:numId w:val="1"/>
              </w:numPr>
              <w:tabs>
                <w:tab w:val="clear" w:pos="0"/>
              </w:tabs>
              <w:rPr>
                <w:rFonts w:ascii="Times New Roman" w:eastAsia="Calibri" w:hAnsi="Times New Roman" w:cs="Times New Roman"/>
                <w:bCs/>
                <w:sz w:val="20"/>
                <w:szCs w:val="20"/>
              </w:rPr>
            </w:pPr>
            <w:r w:rsidRPr="00233EC8">
              <w:rPr>
                <w:rFonts w:ascii="Times New Roman" w:eastAsia="Calibri" w:hAnsi="Times New Roman" w:cs="Times New Roman"/>
                <w:bCs/>
                <w:sz w:val="20"/>
                <w:szCs w:val="20"/>
              </w:rPr>
              <w:t xml:space="preserve">I × </w:t>
            </w:r>
            <w:r w:rsidR="002A69F1">
              <w:rPr>
                <w:rFonts w:ascii="Times New Roman" w:eastAsia="Calibri" w:hAnsi="Times New Roman" w:cs="Times New Roman"/>
                <w:bCs/>
                <w:sz w:val="20"/>
                <w:szCs w:val="20"/>
              </w:rPr>
              <w:t>HE</w:t>
            </w:r>
            <w:r w:rsidR="004F04F8">
              <w:rPr>
                <w:rFonts w:ascii="Times New Roman" w:eastAsia="Calibri" w:hAnsi="Times New Roman" w:cs="Times New Roman"/>
                <w:bCs/>
                <w:sz w:val="20"/>
                <w:szCs w:val="20"/>
              </w:rPr>
              <w:t>G</w:t>
            </w:r>
            <w:r w:rsidRPr="00233EC8">
              <w:rPr>
                <w:rFonts w:ascii="Times New Roman" w:eastAsia="Calibri" w:hAnsi="Times New Roman" w:cs="Times New Roman"/>
                <w:bCs/>
                <w:sz w:val="20"/>
                <w:szCs w:val="20"/>
              </w:rPr>
              <w:t>QI</w:t>
            </w:r>
          </w:p>
        </w:tc>
        <w:tc>
          <w:tcPr>
            <w:tcW w:w="8333" w:type="dxa"/>
          </w:tcPr>
          <w:p w14:paraId="6F959A89" w14:textId="5AA132C4" w:rsidR="00E73B4D" w:rsidRPr="00233EC8" w:rsidRDefault="00E73B4D" w:rsidP="00356ADA">
            <w:pPr>
              <w:numPr>
                <w:ilvl w:val="0"/>
                <w:numId w:val="1"/>
              </w:numPr>
              <w:tabs>
                <w:tab w:val="clear" w:pos="0"/>
              </w:tabs>
              <w:jc w:val="both"/>
              <w:rPr>
                <w:rFonts w:ascii="Times New Roman" w:eastAsia="Calibri" w:hAnsi="Times New Roman" w:cs="Times New Roman"/>
                <w:bCs/>
                <w:sz w:val="20"/>
                <w:szCs w:val="20"/>
              </w:rPr>
            </w:pPr>
            <w:r w:rsidRPr="00233EC8">
              <w:rPr>
                <w:rFonts w:ascii="Times New Roman" w:eastAsia="Calibri" w:hAnsi="Times New Roman" w:cs="Times New Roman"/>
                <w:bCs/>
                <w:sz w:val="20"/>
                <w:szCs w:val="20"/>
              </w:rPr>
              <w:t xml:space="preserve">Interaction variable </w:t>
            </w:r>
            <w:r w:rsidR="00514B36">
              <w:rPr>
                <w:rFonts w:ascii="Times New Roman" w:eastAsia="Calibri" w:hAnsi="Times New Roman" w:cs="Times New Roman"/>
                <w:bCs/>
                <w:sz w:val="20"/>
                <w:szCs w:val="20"/>
              </w:rPr>
              <w:t>HE</w:t>
            </w:r>
            <w:r w:rsidRPr="00233EC8">
              <w:rPr>
                <w:rFonts w:ascii="Times New Roman" w:eastAsia="Calibri" w:hAnsi="Times New Roman" w:cs="Times New Roman"/>
                <w:bCs/>
                <w:sz w:val="20"/>
                <w:szCs w:val="20"/>
              </w:rPr>
              <w:t xml:space="preserve">GQI and the characteristics of senior management team (i.e., </w:t>
            </w:r>
            <w:r w:rsidR="002A69F1">
              <w:rPr>
                <w:rFonts w:ascii="Times New Roman" w:eastAsia="Calibri" w:hAnsi="Times New Roman" w:cs="Times New Roman"/>
                <w:bCs/>
                <w:sz w:val="20"/>
                <w:szCs w:val="20"/>
              </w:rPr>
              <w:t>SM</w:t>
            </w:r>
            <w:r w:rsidRPr="00233EC8">
              <w:rPr>
                <w:rFonts w:ascii="Times New Roman" w:eastAsia="Calibri" w:hAnsi="Times New Roman" w:cs="Times New Roman"/>
                <w:bCs/>
                <w:sz w:val="20"/>
                <w:szCs w:val="20"/>
              </w:rPr>
              <w:t>TSZ</w:t>
            </w:r>
            <w:r w:rsidR="002A69F1">
              <w:rPr>
                <w:rFonts w:ascii="Times New Roman" w:eastAsia="Calibri" w:hAnsi="Times New Roman" w:cs="Times New Roman"/>
                <w:bCs/>
                <w:sz w:val="20"/>
                <w:szCs w:val="20"/>
              </w:rPr>
              <w:t>E</w:t>
            </w:r>
            <w:r w:rsidRPr="00233EC8">
              <w:rPr>
                <w:rFonts w:ascii="Times New Roman" w:eastAsia="Calibri" w:hAnsi="Times New Roman" w:cs="Times New Roman"/>
                <w:bCs/>
                <w:sz w:val="20"/>
                <w:szCs w:val="20"/>
              </w:rPr>
              <w:t xml:space="preserve">, </w:t>
            </w:r>
            <w:r w:rsidR="002A69F1">
              <w:rPr>
                <w:rFonts w:ascii="Times New Roman" w:eastAsia="Calibri" w:hAnsi="Times New Roman" w:cs="Times New Roman"/>
                <w:bCs/>
                <w:sz w:val="20"/>
                <w:szCs w:val="20"/>
              </w:rPr>
              <w:t>SMTG</w:t>
            </w:r>
            <w:r w:rsidRPr="00233EC8">
              <w:rPr>
                <w:rFonts w:ascii="Times New Roman" w:eastAsia="Calibri" w:hAnsi="Times New Roman" w:cs="Times New Roman"/>
                <w:bCs/>
                <w:sz w:val="20"/>
                <w:szCs w:val="20"/>
              </w:rPr>
              <w:t>ED</w:t>
            </w:r>
            <w:r w:rsidR="00CE617A">
              <w:rPr>
                <w:rFonts w:ascii="Times New Roman" w:eastAsia="Calibri" w:hAnsi="Times New Roman" w:cs="Times New Roman"/>
                <w:bCs/>
                <w:sz w:val="20"/>
                <w:szCs w:val="20"/>
              </w:rPr>
              <w:t xml:space="preserve"> </w:t>
            </w:r>
            <w:r w:rsidRPr="00233EC8">
              <w:rPr>
                <w:rFonts w:ascii="Times New Roman" w:eastAsia="Calibri" w:hAnsi="Times New Roman" w:cs="Times New Roman"/>
                <w:bCs/>
                <w:sz w:val="20"/>
                <w:szCs w:val="20"/>
              </w:rPr>
              <w:t xml:space="preserve">and </w:t>
            </w:r>
            <w:r w:rsidR="002A69F1">
              <w:rPr>
                <w:rFonts w:ascii="Times New Roman" w:eastAsia="Calibri" w:hAnsi="Times New Roman" w:cs="Times New Roman"/>
                <w:bCs/>
                <w:sz w:val="20"/>
                <w:szCs w:val="20"/>
              </w:rPr>
              <w:t>SM</w:t>
            </w:r>
            <w:r w:rsidR="00DD7D5B">
              <w:rPr>
                <w:rFonts w:ascii="Times New Roman" w:eastAsia="Calibri" w:hAnsi="Times New Roman" w:cs="Times New Roman"/>
                <w:bCs/>
                <w:sz w:val="20"/>
                <w:szCs w:val="20"/>
              </w:rPr>
              <w:t>T</w:t>
            </w:r>
            <w:r w:rsidRPr="00233EC8">
              <w:rPr>
                <w:rFonts w:ascii="Times New Roman" w:eastAsia="Calibri" w:hAnsi="Times New Roman" w:cs="Times New Roman"/>
                <w:bCs/>
                <w:sz w:val="20"/>
                <w:szCs w:val="20"/>
              </w:rPr>
              <w:t>M).</w:t>
            </w:r>
          </w:p>
        </w:tc>
      </w:tr>
      <w:tr w:rsidR="00E73B4D" w:rsidRPr="00233EC8" w14:paraId="66BF1D9C" w14:textId="77777777" w:rsidTr="00DD7D5B">
        <w:trPr>
          <w:gridAfter w:val="1"/>
          <w:wAfter w:w="7" w:type="dxa"/>
        </w:trPr>
        <w:tc>
          <w:tcPr>
            <w:tcW w:w="988" w:type="dxa"/>
          </w:tcPr>
          <w:p w14:paraId="6161E784" w14:textId="4FA9A2A3" w:rsidR="00E73B4D" w:rsidRPr="00233EC8" w:rsidRDefault="00DD2EA3" w:rsidP="00B17BA0">
            <w:pPr>
              <w:numPr>
                <w:ilvl w:val="0"/>
                <w:numId w:val="1"/>
              </w:numPr>
              <w:tabs>
                <w:tab w:val="clear" w:pos="0"/>
              </w:tabs>
              <w:rPr>
                <w:rFonts w:ascii="Times New Roman" w:eastAsia="Calibri" w:hAnsi="Times New Roman" w:cs="Times New Roman"/>
                <w:bCs/>
                <w:sz w:val="20"/>
                <w:szCs w:val="20"/>
              </w:rPr>
            </w:pPr>
            <w:r>
              <w:rPr>
                <w:rFonts w:ascii="Times New Roman" w:eastAsia="Calibri" w:hAnsi="Times New Roman" w:cs="Times New Roman"/>
                <w:bCs/>
                <w:sz w:val="20"/>
                <w:szCs w:val="20"/>
              </w:rPr>
              <w:t>SM</w:t>
            </w:r>
            <w:r w:rsidR="00E73B4D" w:rsidRPr="00233EC8">
              <w:rPr>
                <w:rFonts w:ascii="Times New Roman" w:eastAsia="Calibri" w:hAnsi="Times New Roman" w:cs="Times New Roman"/>
                <w:bCs/>
                <w:sz w:val="20"/>
                <w:szCs w:val="20"/>
              </w:rPr>
              <w:t>TSZ</w:t>
            </w:r>
            <w:r>
              <w:rPr>
                <w:rFonts w:ascii="Times New Roman" w:eastAsia="Calibri" w:hAnsi="Times New Roman" w:cs="Times New Roman"/>
                <w:bCs/>
                <w:sz w:val="20"/>
                <w:szCs w:val="20"/>
              </w:rPr>
              <w:t>E</w:t>
            </w:r>
          </w:p>
        </w:tc>
        <w:tc>
          <w:tcPr>
            <w:tcW w:w="8333" w:type="dxa"/>
          </w:tcPr>
          <w:p w14:paraId="03FB9CE8" w14:textId="0844F3EF" w:rsidR="00E73B4D" w:rsidRPr="00233EC8" w:rsidRDefault="00CE5811" w:rsidP="00356ADA">
            <w:pPr>
              <w:numPr>
                <w:ilvl w:val="0"/>
                <w:numId w:val="1"/>
              </w:numPr>
              <w:tabs>
                <w:tab w:val="clear" w:pos="0"/>
              </w:tabs>
              <w:jc w:val="both"/>
              <w:rPr>
                <w:rFonts w:ascii="Times New Roman" w:eastAsia="Calibri" w:hAnsi="Times New Roman" w:cs="Times New Roman"/>
                <w:bCs/>
                <w:sz w:val="20"/>
                <w:szCs w:val="20"/>
              </w:rPr>
            </w:pPr>
            <w:r>
              <w:rPr>
                <w:rFonts w:ascii="Times New Roman" w:eastAsia="Calibri" w:hAnsi="Times New Roman" w:cs="Times New Roman"/>
                <w:bCs/>
                <w:sz w:val="20"/>
                <w:szCs w:val="20"/>
              </w:rPr>
              <w:t>Natural log of the</w:t>
            </w:r>
            <w:r w:rsidR="00E73B4D" w:rsidRPr="00233EC8">
              <w:rPr>
                <w:rFonts w:ascii="Times New Roman" w:eastAsia="Calibri" w:hAnsi="Times New Roman" w:cs="Times New Roman"/>
                <w:bCs/>
                <w:sz w:val="20"/>
                <w:szCs w:val="20"/>
              </w:rPr>
              <w:t xml:space="preserve"> number of </w:t>
            </w:r>
            <w:r w:rsidR="00DD7D5B">
              <w:rPr>
                <w:rFonts w:ascii="Times New Roman" w:eastAsia="Calibri" w:hAnsi="Times New Roman" w:cs="Times New Roman"/>
                <w:bCs/>
                <w:sz w:val="20"/>
                <w:szCs w:val="20"/>
              </w:rPr>
              <w:t>a</w:t>
            </w:r>
            <w:r w:rsidR="00E73B4D" w:rsidRPr="00233EC8">
              <w:rPr>
                <w:rFonts w:ascii="Times New Roman" w:eastAsia="Calibri" w:hAnsi="Times New Roman" w:cs="Times New Roman"/>
                <w:bCs/>
                <w:sz w:val="20"/>
                <w:szCs w:val="20"/>
              </w:rPr>
              <w:t xml:space="preserve"> HEI</w:t>
            </w:r>
            <w:r w:rsidR="00DD7D5B">
              <w:rPr>
                <w:rFonts w:ascii="Times New Roman" w:eastAsia="Calibri" w:hAnsi="Times New Roman" w:cs="Times New Roman"/>
                <w:bCs/>
                <w:sz w:val="20"/>
                <w:szCs w:val="20"/>
              </w:rPr>
              <w:t xml:space="preserve"> </w:t>
            </w:r>
            <w:r w:rsidR="00E73B4D" w:rsidRPr="00233EC8">
              <w:rPr>
                <w:rFonts w:ascii="Times New Roman" w:eastAsia="Calibri" w:hAnsi="Times New Roman" w:cs="Times New Roman"/>
                <w:bCs/>
                <w:sz w:val="20"/>
                <w:szCs w:val="20"/>
              </w:rPr>
              <w:t>executive/senior management team</w:t>
            </w:r>
            <w:r w:rsidR="00DD7D5B">
              <w:rPr>
                <w:rFonts w:ascii="Times New Roman" w:eastAsia="Calibri" w:hAnsi="Times New Roman" w:cs="Times New Roman"/>
                <w:bCs/>
                <w:sz w:val="20"/>
                <w:szCs w:val="20"/>
              </w:rPr>
              <w:t>.</w:t>
            </w:r>
          </w:p>
        </w:tc>
      </w:tr>
      <w:tr w:rsidR="00E73B4D" w:rsidRPr="00233EC8" w14:paraId="2E4CCDC4" w14:textId="77777777" w:rsidTr="00DD7D5B">
        <w:trPr>
          <w:gridAfter w:val="1"/>
          <w:wAfter w:w="7" w:type="dxa"/>
        </w:trPr>
        <w:tc>
          <w:tcPr>
            <w:tcW w:w="988" w:type="dxa"/>
          </w:tcPr>
          <w:p w14:paraId="4CDFE5C1" w14:textId="5A602E12" w:rsidR="00E73B4D" w:rsidRPr="00233EC8" w:rsidRDefault="00DD2EA3" w:rsidP="00B17BA0">
            <w:pPr>
              <w:numPr>
                <w:ilvl w:val="0"/>
                <w:numId w:val="1"/>
              </w:numPr>
              <w:tabs>
                <w:tab w:val="clear" w:pos="0"/>
              </w:tabs>
              <w:rPr>
                <w:rFonts w:ascii="Times New Roman" w:eastAsia="Calibri" w:hAnsi="Times New Roman" w:cs="Times New Roman"/>
                <w:bCs/>
                <w:sz w:val="20"/>
                <w:szCs w:val="20"/>
              </w:rPr>
            </w:pPr>
            <w:r>
              <w:rPr>
                <w:rFonts w:ascii="Times New Roman" w:eastAsia="Calibri" w:hAnsi="Times New Roman" w:cs="Times New Roman"/>
                <w:bCs/>
                <w:sz w:val="20"/>
                <w:szCs w:val="20"/>
              </w:rPr>
              <w:t>SM</w:t>
            </w:r>
            <w:r w:rsidR="00E73B4D" w:rsidRPr="00233EC8">
              <w:rPr>
                <w:rFonts w:ascii="Times New Roman" w:eastAsia="Calibri" w:hAnsi="Times New Roman" w:cs="Times New Roman"/>
                <w:bCs/>
                <w:sz w:val="20"/>
                <w:szCs w:val="20"/>
              </w:rPr>
              <w:t>T</w:t>
            </w:r>
            <w:r>
              <w:rPr>
                <w:rFonts w:ascii="Times New Roman" w:eastAsia="Calibri" w:hAnsi="Times New Roman" w:cs="Times New Roman"/>
                <w:bCs/>
                <w:sz w:val="20"/>
                <w:szCs w:val="20"/>
              </w:rPr>
              <w:t>GE</w:t>
            </w:r>
            <w:r w:rsidR="00E73B4D" w:rsidRPr="00233EC8">
              <w:rPr>
                <w:rFonts w:ascii="Times New Roman" w:eastAsia="Calibri" w:hAnsi="Times New Roman" w:cs="Times New Roman"/>
                <w:bCs/>
                <w:sz w:val="20"/>
                <w:szCs w:val="20"/>
              </w:rPr>
              <w:t>D</w:t>
            </w:r>
          </w:p>
        </w:tc>
        <w:tc>
          <w:tcPr>
            <w:tcW w:w="8333" w:type="dxa"/>
          </w:tcPr>
          <w:p w14:paraId="447DEF29" w14:textId="6AA3D9A6" w:rsidR="00E73B4D" w:rsidRPr="00233EC8" w:rsidRDefault="00E73B4D" w:rsidP="00356ADA">
            <w:pPr>
              <w:numPr>
                <w:ilvl w:val="0"/>
                <w:numId w:val="1"/>
              </w:numPr>
              <w:tabs>
                <w:tab w:val="clear" w:pos="0"/>
              </w:tabs>
              <w:jc w:val="both"/>
              <w:rPr>
                <w:rFonts w:ascii="Times New Roman" w:eastAsia="Calibri" w:hAnsi="Times New Roman" w:cs="Times New Roman"/>
                <w:bCs/>
                <w:sz w:val="20"/>
                <w:szCs w:val="20"/>
              </w:rPr>
            </w:pPr>
            <w:r w:rsidRPr="00233EC8">
              <w:rPr>
                <w:rFonts w:ascii="Times New Roman" w:eastAsia="Calibri" w:hAnsi="Times New Roman" w:cs="Times New Roman"/>
                <w:bCs/>
                <w:sz w:val="20"/>
                <w:szCs w:val="20"/>
              </w:rPr>
              <w:t>Percentage on women (</w:t>
            </w:r>
            <w:r w:rsidR="00DD2EA3">
              <w:rPr>
                <w:rFonts w:ascii="Times New Roman" w:eastAsia="Calibri" w:hAnsi="Times New Roman" w:cs="Times New Roman"/>
                <w:bCs/>
                <w:sz w:val="20"/>
                <w:szCs w:val="20"/>
              </w:rPr>
              <w:t>SM</w:t>
            </w:r>
            <w:r w:rsidRPr="00233EC8">
              <w:rPr>
                <w:rFonts w:ascii="Times New Roman" w:eastAsia="Calibri" w:hAnsi="Times New Roman" w:cs="Times New Roman"/>
                <w:bCs/>
                <w:sz w:val="20"/>
                <w:szCs w:val="20"/>
              </w:rPr>
              <w:t>T</w:t>
            </w:r>
            <w:r w:rsidR="00F36099">
              <w:rPr>
                <w:rFonts w:ascii="Times New Roman" w:eastAsia="Calibri" w:hAnsi="Times New Roman" w:cs="Times New Roman"/>
                <w:bCs/>
                <w:sz w:val="20"/>
                <w:szCs w:val="20"/>
              </w:rPr>
              <w:t>G</w:t>
            </w:r>
            <w:r w:rsidRPr="00233EC8">
              <w:rPr>
                <w:rFonts w:ascii="Times New Roman" w:eastAsia="Calibri" w:hAnsi="Times New Roman" w:cs="Times New Roman"/>
                <w:bCs/>
                <w:sz w:val="20"/>
                <w:szCs w:val="20"/>
              </w:rPr>
              <w:t>D) and ethnic minority (</w:t>
            </w:r>
            <w:r w:rsidR="00DD2EA3">
              <w:rPr>
                <w:rFonts w:ascii="Times New Roman" w:eastAsia="Calibri" w:hAnsi="Times New Roman" w:cs="Times New Roman"/>
                <w:bCs/>
                <w:sz w:val="20"/>
                <w:szCs w:val="20"/>
              </w:rPr>
              <w:t>SM</w:t>
            </w:r>
            <w:r w:rsidRPr="00233EC8">
              <w:rPr>
                <w:rFonts w:ascii="Times New Roman" w:eastAsia="Calibri" w:hAnsi="Times New Roman" w:cs="Times New Roman"/>
                <w:bCs/>
                <w:sz w:val="20"/>
                <w:szCs w:val="20"/>
              </w:rPr>
              <w:t>T</w:t>
            </w:r>
            <w:r w:rsidR="00F36099">
              <w:rPr>
                <w:rFonts w:ascii="Times New Roman" w:eastAsia="Calibri" w:hAnsi="Times New Roman" w:cs="Times New Roman"/>
                <w:bCs/>
                <w:sz w:val="20"/>
                <w:szCs w:val="20"/>
              </w:rPr>
              <w:t>E</w:t>
            </w:r>
            <w:r w:rsidRPr="00233EC8">
              <w:rPr>
                <w:rFonts w:ascii="Times New Roman" w:eastAsia="Calibri" w:hAnsi="Times New Roman" w:cs="Times New Roman"/>
                <w:bCs/>
                <w:sz w:val="20"/>
                <w:szCs w:val="20"/>
              </w:rPr>
              <w:t>D) in HEI</w:t>
            </w:r>
            <w:r w:rsidR="00DD7D5B">
              <w:rPr>
                <w:rFonts w:ascii="Times New Roman" w:eastAsia="Calibri" w:hAnsi="Times New Roman" w:cs="Times New Roman"/>
                <w:bCs/>
                <w:sz w:val="20"/>
                <w:szCs w:val="20"/>
              </w:rPr>
              <w:t>s</w:t>
            </w:r>
            <w:r w:rsidRPr="00233EC8">
              <w:rPr>
                <w:rFonts w:ascii="Times New Roman" w:eastAsia="Calibri" w:hAnsi="Times New Roman" w:cs="Times New Roman"/>
                <w:bCs/>
                <w:sz w:val="20"/>
                <w:szCs w:val="20"/>
              </w:rPr>
              <w:t xml:space="preserve"> executive/senior management team</w:t>
            </w:r>
            <w:r w:rsidR="00DD7D5B">
              <w:rPr>
                <w:rFonts w:ascii="Times New Roman" w:eastAsia="Calibri" w:hAnsi="Times New Roman" w:cs="Times New Roman"/>
                <w:bCs/>
                <w:sz w:val="20"/>
                <w:szCs w:val="20"/>
              </w:rPr>
              <w:t>.</w:t>
            </w:r>
          </w:p>
        </w:tc>
      </w:tr>
      <w:tr w:rsidR="00E73B4D" w:rsidRPr="00233EC8" w14:paraId="40AF9987" w14:textId="77777777" w:rsidTr="00DD7D5B">
        <w:trPr>
          <w:gridAfter w:val="1"/>
          <w:wAfter w:w="7" w:type="dxa"/>
        </w:trPr>
        <w:tc>
          <w:tcPr>
            <w:tcW w:w="988" w:type="dxa"/>
          </w:tcPr>
          <w:p w14:paraId="537E91D2" w14:textId="2AE1B728" w:rsidR="00E73B4D" w:rsidRPr="00233EC8" w:rsidRDefault="00DD2EA3" w:rsidP="00B17BA0">
            <w:pPr>
              <w:numPr>
                <w:ilvl w:val="0"/>
                <w:numId w:val="1"/>
              </w:numPr>
              <w:tabs>
                <w:tab w:val="clear" w:pos="0"/>
              </w:tabs>
              <w:rPr>
                <w:rFonts w:ascii="Times New Roman" w:eastAsia="Calibri" w:hAnsi="Times New Roman" w:cs="Times New Roman"/>
                <w:bCs/>
                <w:sz w:val="20"/>
                <w:szCs w:val="20"/>
              </w:rPr>
            </w:pPr>
            <w:r>
              <w:rPr>
                <w:rFonts w:ascii="Times New Roman" w:eastAsia="Calibri" w:hAnsi="Times New Roman" w:cs="Times New Roman"/>
                <w:bCs/>
                <w:sz w:val="20"/>
                <w:szCs w:val="20"/>
              </w:rPr>
              <w:t>SM</w:t>
            </w:r>
            <w:r w:rsidR="00DD7D5B">
              <w:rPr>
                <w:rFonts w:ascii="Times New Roman" w:eastAsia="Calibri" w:hAnsi="Times New Roman" w:cs="Times New Roman"/>
                <w:bCs/>
                <w:sz w:val="20"/>
                <w:szCs w:val="20"/>
              </w:rPr>
              <w:t>T</w:t>
            </w:r>
            <w:r w:rsidR="00E73B4D" w:rsidRPr="00233EC8">
              <w:rPr>
                <w:rFonts w:ascii="Times New Roman" w:eastAsia="Calibri" w:hAnsi="Times New Roman" w:cs="Times New Roman"/>
                <w:bCs/>
                <w:sz w:val="20"/>
                <w:szCs w:val="20"/>
              </w:rPr>
              <w:t>M</w:t>
            </w:r>
          </w:p>
        </w:tc>
        <w:tc>
          <w:tcPr>
            <w:tcW w:w="8333" w:type="dxa"/>
          </w:tcPr>
          <w:p w14:paraId="39AD1947" w14:textId="0822FF8F" w:rsidR="00E73B4D" w:rsidRPr="00233EC8" w:rsidRDefault="00CE5811" w:rsidP="00356ADA">
            <w:pPr>
              <w:numPr>
                <w:ilvl w:val="0"/>
                <w:numId w:val="1"/>
              </w:numPr>
              <w:tabs>
                <w:tab w:val="clear" w:pos="0"/>
              </w:tabs>
              <w:jc w:val="both"/>
              <w:rPr>
                <w:rFonts w:ascii="Times New Roman" w:eastAsia="Calibri" w:hAnsi="Times New Roman" w:cs="Times New Roman"/>
                <w:bCs/>
                <w:sz w:val="20"/>
                <w:szCs w:val="20"/>
              </w:rPr>
            </w:pPr>
            <w:r>
              <w:rPr>
                <w:rFonts w:ascii="Times New Roman" w:eastAsia="Calibri" w:hAnsi="Times New Roman" w:cs="Times New Roman"/>
                <w:bCs/>
                <w:sz w:val="20"/>
                <w:szCs w:val="20"/>
              </w:rPr>
              <w:t>Natu</w:t>
            </w:r>
            <w:r w:rsidR="00904E2C">
              <w:rPr>
                <w:rFonts w:ascii="Times New Roman" w:eastAsia="Calibri" w:hAnsi="Times New Roman" w:cs="Times New Roman"/>
                <w:bCs/>
                <w:sz w:val="20"/>
                <w:szCs w:val="20"/>
              </w:rPr>
              <w:t>r</w:t>
            </w:r>
            <w:r>
              <w:rPr>
                <w:rFonts w:ascii="Times New Roman" w:eastAsia="Calibri" w:hAnsi="Times New Roman" w:cs="Times New Roman"/>
                <w:bCs/>
                <w:sz w:val="20"/>
                <w:szCs w:val="20"/>
              </w:rPr>
              <w:t>al log of the</w:t>
            </w:r>
            <w:r w:rsidR="00DD7D5B">
              <w:rPr>
                <w:rFonts w:ascii="Times New Roman" w:eastAsia="Calibri" w:hAnsi="Times New Roman" w:cs="Times New Roman"/>
                <w:bCs/>
                <w:sz w:val="20"/>
                <w:szCs w:val="20"/>
              </w:rPr>
              <w:t xml:space="preserve"> number of a HEI</w:t>
            </w:r>
            <w:r w:rsidR="00DD7D5B" w:rsidRPr="00233EC8">
              <w:rPr>
                <w:rFonts w:ascii="Times New Roman" w:eastAsia="Calibri" w:hAnsi="Times New Roman" w:cs="Times New Roman"/>
                <w:bCs/>
                <w:sz w:val="20"/>
                <w:szCs w:val="20"/>
              </w:rPr>
              <w:t xml:space="preserve"> executive/senior management team meeting</w:t>
            </w:r>
            <w:r w:rsidR="00DD7D5B">
              <w:rPr>
                <w:rFonts w:ascii="Times New Roman" w:eastAsia="Calibri" w:hAnsi="Times New Roman" w:cs="Times New Roman"/>
                <w:bCs/>
                <w:sz w:val="20"/>
                <w:szCs w:val="20"/>
              </w:rPr>
              <w:t>.</w:t>
            </w:r>
          </w:p>
        </w:tc>
      </w:tr>
      <w:tr w:rsidR="00DD7D5B" w:rsidRPr="00233EC8" w14:paraId="671C7B6B" w14:textId="77777777" w:rsidTr="00356ADA">
        <w:trPr>
          <w:gridAfter w:val="1"/>
          <w:wAfter w:w="7" w:type="dxa"/>
          <w:trHeight w:val="321"/>
        </w:trPr>
        <w:tc>
          <w:tcPr>
            <w:tcW w:w="9321" w:type="dxa"/>
            <w:gridSpan w:val="2"/>
          </w:tcPr>
          <w:p w14:paraId="049BD8C9" w14:textId="77777777" w:rsidR="00DD7D5B" w:rsidRPr="00CE617A" w:rsidRDefault="00DD7D5B" w:rsidP="00B17BA0">
            <w:pPr>
              <w:numPr>
                <w:ilvl w:val="0"/>
                <w:numId w:val="1"/>
              </w:numPr>
              <w:tabs>
                <w:tab w:val="clear" w:pos="0"/>
              </w:tabs>
              <w:rPr>
                <w:rFonts w:ascii="Times New Roman" w:eastAsia="Calibri" w:hAnsi="Times New Roman" w:cs="Times New Roman"/>
                <w:bCs/>
                <w:i/>
                <w:iCs/>
                <w:sz w:val="10"/>
                <w:szCs w:val="10"/>
              </w:rPr>
            </w:pPr>
          </w:p>
          <w:p w14:paraId="711C5602" w14:textId="1E2B5BDE" w:rsidR="00DD7D5B" w:rsidRPr="00233EC8" w:rsidRDefault="00DD7D5B" w:rsidP="00B17BA0">
            <w:pPr>
              <w:numPr>
                <w:ilvl w:val="0"/>
                <w:numId w:val="1"/>
              </w:numPr>
              <w:tabs>
                <w:tab w:val="clear" w:pos="0"/>
              </w:tabs>
              <w:rPr>
                <w:rFonts w:ascii="Times New Roman" w:eastAsia="Calibri" w:hAnsi="Times New Roman" w:cs="Times New Roman"/>
                <w:bCs/>
                <w:i/>
                <w:iCs/>
                <w:sz w:val="20"/>
                <w:szCs w:val="20"/>
              </w:rPr>
            </w:pPr>
            <w:r w:rsidRPr="00233EC8">
              <w:rPr>
                <w:rFonts w:ascii="Times New Roman" w:eastAsia="Calibri" w:hAnsi="Times New Roman" w:cs="Times New Roman"/>
                <w:bCs/>
                <w:i/>
                <w:iCs/>
                <w:sz w:val="20"/>
                <w:szCs w:val="20"/>
              </w:rPr>
              <w:t>Controls</w:t>
            </w:r>
            <w:r>
              <w:rPr>
                <w:rFonts w:ascii="Times New Roman" w:eastAsia="Calibri" w:hAnsi="Times New Roman" w:cs="Times New Roman"/>
                <w:bCs/>
                <w:i/>
                <w:iCs/>
                <w:sz w:val="20"/>
                <w:szCs w:val="20"/>
              </w:rPr>
              <w:t xml:space="preserve"> </w:t>
            </w:r>
            <w:r w:rsidRPr="00233EC8">
              <w:rPr>
                <w:rFonts w:ascii="Times New Roman" w:eastAsia="Calibri" w:hAnsi="Times New Roman" w:cs="Times New Roman"/>
                <w:bCs/>
                <w:i/>
                <w:iCs/>
                <w:sz w:val="20"/>
                <w:szCs w:val="20"/>
              </w:rPr>
              <w:t>(</w:t>
            </w:r>
            <w:r w:rsidR="002E61AC">
              <w:rPr>
                <w:rFonts w:ascii="Times New Roman" w:eastAsia="Calibri" w:hAnsi="Times New Roman" w:cs="Times New Roman"/>
                <w:bCs/>
                <w:i/>
                <w:iCs/>
                <w:sz w:val="20"/>
                <w:szCs w:val="20"/>
              </w:rPr>
              <w:t>v</w:t>
            </w:r>
            <w:r w:rsidR="009104CC" w:rsidRPr="009104CC">
              <w:rPr>
                <w:rFonts w:ascii="Times New Roman" w:eastAsia="Calibri" w:hAnsi="Times New Roman" w:cs="Times New Roman"/>
                <w:bCs/>
                <w:i/>
                <w:iCs/>
                <w:sz w:val="20"/>
                <w:szCs w:val="20"/>
              </w:rPr>
              <w:t>ice-</w:t>
            </w:r>
            <w:r w:rsidR="002E61AC">
              <w:rPr>
                <w:rFonts w:ascii="Times New Roman" w:eastAsia="Calibri" w:hAnsi="Times New Roman" w:cs="Times New Roman"/>
                <w:bCs/>
                <w:i/>
                <w:iCs/>
                <w:sz w:val="20"/>
                <w:szCs w:val="20"/>
              </w:rPr>
              <w:t>c</w:t>
            </w:r>
            <w:r w:rsidR="009104CC" w:rsidRPr="009104CC">
              <w:rPr>
                <w:rFonts w:ascii="Times New Roman" w:eastAsia="Calibri" w:hAnsi="Times New Roman" w:cs="Times New Roman"/>
                <w:bCs/>
                <w:i/>
                <w:iCs/>
                <w:sz w:val="20"/>
                <w:szCs w:val="20"/>
              </w:rPr>
              <w:t xml:space="preserve">hancellor (VC) </w:t>
            </w:r>
            <w:r w:rsidR="002E61AC">
              <w:rPr>
                <w:rFonts w:ascii="Times New Roman" w:eastAsia="Calibri" w:hAnsi="Times New Roman" w:cs="Times New Roman"/>
                <w:bCs/>
                <w:i/>
                <w:iCs/>
                <w:sz w:val="20"/>
                <w:szCs w:val="20"/>
              </w:rPr>
              <w:t>c</w:t>
            </w:r>
            <w:r w:rsidR="009104CC" w:rsidRPr="009104CC">
              <w:rPr>
                <w:rFonts w:ascii="Times New Roman" w:eastAsia="Calibri" w:hAnsi="Times New Roman" w:cs="Times New Roman"/>
                <w:bCs/>
                <w:i/>
                <w:iCs/>
                <w:sz w:val="20"/>
                <w:szCs w:val="20"/>
              </w:rPr>
              <w:t>haracteristics</w:t>
            </w:r>
            <w:r w:rsidRPr="00233EC8">
              <w:rPr>
                <w:rFonts w:ascii="Times New Roman" w:eastAsia="Calibri" w:hAnsi="Times New Roman" w:cs="Times New Roman"/>
                <w:bCs/>
                <w:i/>
                <w:iCs/>
                <w:sz w:val="20"/>
                <w:szCs w:val="20"/>
              </w:rPr>
              <w:t>)</w:t>
            </w:r>
          </w:p>
        </w:tc>
      </w:tr>
      <w:tr w:rsidR="00E73B4D" w:rsidRPr="00233EC8" w14:paraId="25BB0847" w14:textId="77777777" w:rsidTr="00DD7D5B">
        <w:trPr>
          <w:gridAfter w:val="1"/>
          <w:wAfter w:w="7" w:type="dxa"/>
        </w:trPr>
        <w:tc>
          <w:tcPr>
            <w:tcW w:w="988" w:type="dxa"/>
          </w:tcPr>
          <w:p w14:paraId="4AB798E7" w14:textId="3EF97F14" w:rsidR="00E73B4D" w:rsidRPr="00233EC8" w:rsidRDefault="00CE5811" w:rsidP="00CE5811">
            <w:pPr>
              <w:rPr>
                <w:rFonts w:ascii="Times New Roman" w:eastAsia="Calibri" w:hAnsi="Times New Roman" w:cs="Times New Roman"/>
                <w:bCs/>
                <w:sz w:val="20"/>
                <w:szCs w:val="20"/>
              </w:rPr>
            </w:pPr>
            <w:r>
              <w:rPr>
                <w:rFonts w:ascii="Times New Roman" w:eastAsia="Calibri" w:hAnsi="Times New Roman" w:cs="Times New Roman"/>
                <w:bCs/>
                <w:sz w:val="20"/>
                <w:szCs w:val="20"/>
              </w:rPr>
              <w:t>VCAG</w:t>
            </w:r>
            <w:r w:rsidR="00DD2EA3">
              <w:rPr>
                <w:rFonts w:ascii="Times New Roman" w:eastAsia="Calibri" w:hAnsi="Times New Roman" w:cs="Times New Roman"/>
                <w:bCs/>
                <w:sz w:val="20"/>
                <w:szCs w:val="20"/>
              </w:rPr>
              <w:t>E</w:t>
            </w:r>
          </w:p>
        </w:tc>
        <w:tc>
          <w:tcPr>
            <w:tcW w:w="8333" w:type="dxa"/>
          </w:tcPr>
          <w:p w14:paraId="0071B861" w14:textId="75C15B71" w:rsidR="00E73B4D" w:rsidRPr="00233EC8" w:rsidRDefault="00095FBC" w:rsidP="00095FBC">
            <w:pPr>
              <w:jc w:val="both"/>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Refers to </w:t>
            </w:r>
            <w:r w:rsidR="009416D5">
              <w:rPr>
                <w:rFonts w:ascii="Times New Roman" w:eastAsia="Calibri" w:hAnsi="Times New Roman" w:cs="Times New Roman"/>
                <w:bCs/>
                <w:sz w:val="20"/>
                <w:szCs w:val="20"/>
              </w:rPr>
              <w:t>VC</w:t>
            </w:r>
            <w:r>
              <w:rPr>
                <w:rFonts w:ascii="Times New Roman" w:eastAsia="Calibri" w:hAnsi="Times New Roman" w:cs="Times New Roman"/>
                <w:bCs/>
                <w:sz w:val="20"/>
                <w:szCs w:val="20"/>
              </w:rPr>
              <w:t xml:space="preserve"> age. It is computed as the natural log of </w:t>
            </w:r>
            <w:r w:rsidR="009416D5">
              <w:rPr>
                <w:rFonts w:ascii="Times New Roman" w:eastAsia="Calibri" w:hAnsi="Times New Roman" w:cs="Times New Roman"/>
                <w:bCs/>
                <w:sz w:val="20"/>
                <w:szCs w:val="20"/>
              </w:rPr>
              <w:t>VC</w:t>
            </w:r>
            <w:r>
              <w:rPr>
                <w:rFonts w:ascii="Times New Roman" w:eastAsia="Calibri" w:hAnsi="Times New Roman" w:cs="Times New Roman"/>
                <w:bCs/>
                <w:sz w:val="20"/>
                <w:szCs w:val="20"/>
              </w:rPr>
              <w:t xml:space="preserve"> age.</w:t>
            </w:r>
          </w:p>
        </w:tc>
      </w:tr>
      <w:tr w:rsidR="00E73B4D" w:rsidRPr="00233EC8" w14:paraId="4015D5AA" w14:textId="77777777" w:rsidTr="00DD7D5B">
        <w:trPr>
          <w:gridAfter w:val="1"/>
          <w:wAfter w:w="7" w:type="dxa"/>
        </w:trPr>
        <w:tc>
          <w:tcPr>
            <w:tcW w:w="988" w:type="dxa"/>
          </w:tcPr>
          <w:p w14:paraId="133957A0" w14:textId="50099F01" w:rsidR="00E73B4D" w:rsidRPr="00233EC8" w:rsidRDefault="00CE5811" w:rsidP="00B17BA0">
            <w:pPr>
              <w:numPr>
                <w:ilvl w:val="0"/>
                <w:numId w:val="1"/>
              </w:numPr>
              <w:tabs>
                <w:tab w:val="clear" w:pos="0"/>
              </w:tabs>
              <w:rPr>
                <w:rFonts w:ascii="Times New Roman" w:eastAsia="Calibri" w:hAnsi="Times New Roman" w:cs="Times New Roman"/>
                <w:bCs/>
                <w:sz w:val="20"/>
                <w:szCs w:val="20"/>
              </w:rPr>
            </w:pPr>
            <w:r>
              <w:rPr>
                <w:rFonts w:ascii="Times New Roman" w:eastAsia="Calibri" w:hAnsi="Times New Roman" w:cs="Times New Roman"/>
                <w:bCs/>
                <w:sz w:val="20"/>
                <w:szCs w:val="20"/>
              </w:rPr>
              <w:t>VCG</w:t>
            </w:r>
            <w:r w:rsidR="00DD2EA3">
              <w:rPr>
                <w:rFonts w:ascii="Times New Roman" w:eastAsia="Calibri" w:hAnsi="Times New Roman" w:cs="Times New Roman"/>
                <w:bCs/>
                <w:sz w:val="20"/>
                <w:szCs w:val="20"/>
              </w:rPr>
              <w:t>EN</w:t>
            </w:r>
          </w:p>
        </w:tc>
        <w:tc>
          <w:tcPr>
            <w:tcW w:w="8333" w:type="dxa"/>
          </w:tcPr>
          <w:p w14:paraId="19E34D36" w14:textId="41EB5679" w:rsidR="00E73B4D" w:rsidRPr="00233EC8" w:rsidRDefault="00095FBC" w:rsidP="00356ADA">
            <w:pPr>
              <w:numPr>
                <w:ilvl w:val="0"/>
                <w:numId w:val="1"/>
              </w:numPr>
              <w:tabs>
                <w:tab w:val="clear" w:pos="0"/>
              </w:tabs>
              <w:jc w:val="both"/>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Refers to </w:t>
            </w:r>
            <w:r w:rsidR="009416D5">
              <w:rPr>
                <w:rFonts w:ascii="Times New Roman" w:eastAsia="Calibri" w:hAnsi="Times New Roman" w:cs="Times New Roman"/>
                <w:bCs/>
                <w:sz w:val="20"/>
                <w:szCs w:val="20"/>
              </w:rPr>
              <w:t>VC</w:t>
            </w:r>
            <w:r>
              <w:rPr>
                <w:rFonts w:ascii="Times New Roman" w:eastAsia="Calibri" w:hAnsi="Times New Roman" w:cs="Times New Roman"/>
                <w:bCs/>
                <w:sz w:val="20"/>
                <w:szCs w:val="20"/>
              </w:rPr>
              <w:t xml:space="preserve"> gender. Awarded </w:t>
            </w:r>
            <w:r w:rsidR="009416D5">
              <w:rPr>
                <w:rFonts w:ascii="Times New Roman" w:eastAsia="Calibri" w:hAnsi="Times New Roman" w:cs="Times New Roman"/>
                <w:bCs/>
                <w:sz w:val="20"/>
                <w:szCs w:val="20"/>
              </w:rPr>
              <w:t xml:space="preserve">1 if the VC is male, 0 otherwise. </w:t>
            </w:r>
          </w:p>
        </w:tc>
      </w:tr>
      <w:tr w:rsidR="00E73B4D" w:rsidRPr="00233EC8" w14:paraId="1CFDB78E" w14:textId="77777777" w:rsidTr="00DD7D5B">
        <w:trPr>
          <w:gridAfter w:val="1"/>
          <w:wAfter w:w="7" w:type="dxa"/>
        </w:trPr>
        <w:tc>
          <w:tcPr>
            <w:tcW w:w="988" w:type="dxa"/>
          </w:tcPr>
          <w:p w14:paraId="20B2B011" w14:textId="4F39D2FF" w:rsidR="00E73B4D" w:rsidRPr="00233EC8" w:rsidRDefault="00CE5811" w:rsidP="00B17BA0">
            <w:pPr>
              <w:numPr>
                <w:ilvl w:val="0"/>
                <w:numId w:val="1"/>
              </w:numPr>
              <w:tabs>
                <w:tab w:val="clear" w:pos="0"/>
              </w:tabs>
              <w:rPr>
                <w:rFonts w:ascii="Times New Roman" w:eastAsia="Calibri" w:hAnsi="Times New Roman" w:cs="Times New Roman"/>
                <w:bCs/>
                <w:sz w:val="20"/>
                <w:szCs w:val="20"/>
              </w:rPr>
            </w:pPr>
            <w:r>
              <w:rPr>
                <w:rFonts w:ascii="Times New Roman" w:eastAsia="Calibri" w:hAnsi="Times New Roman" w:cs="Times New Roman"/>
                <w:bCs/>
                <w:sz w:val="20"/>
                <w:szCs w:val="20"/>
              </w:rPr>
              <w:t>VCA</w:t>
            </w:r>
            <w:r w:rsidR="00010414">
              <w:rPr>
                <w:rFonts w:ascii="Times New Roman" w:eastAsia="Calibri" w:hAnsi="Times New Roman" w:cs="Times New Roman"/>
                <w:bCs/>
                <w:sz w:val="20"/>
                <w:szCs w:val="20"/>
              </w:rPr>
              <w:t>C</w:t>
            </w:r>
            <w:r>
              <w:rPr>
                <w:rFonts w:ascii="Times New Roman" w:eastAsia="Calibri" w:hAnsi="Times New Roman" w:cs="Times New Roman"/>
                <w:bCs/>
                <w:sz w:val="20"/>
                <w:szCs w:val="20"/>
              </w:rPr>
              <w:t>D</w:t>
            </w:r>
          </w:p>
        </w:tc>
        <w:tc>
          <w:tcPr>
            <w:tcW w:w="8333" w:type="dxa"/>
          </w:tcPr>
          <w:p w14:paraId="02193B1F" w14:textId="59D43670" w:rsidR="00E73B4D" w:rsidRPr="00233EC8" w:rsidRDefault="003622DC" w:rsidP="00356ADA">
            <w:pPr>
              <w:numPr>
                <w:ilvl w:val="0"/>
                <w:numId w:val="1"/>
              </w:numPr>
              <w:tabs>
                <w:tab w:val="clear" w:pos="0"/>
              </w:tabs>
              <w:jc w:val="both"/>
              <w:rPr>
                <w:rFonts w:ascii="Times New Roman" w:eastAsia="Calibri" w:hAnsi="Times New Roman" w:cs="Times New Roman"/>
                <w:bCs/>
                <w:sz w:val="20"/>
                <w:szCs w:val="20"/>
              </w:rPr>
            </w:pPr>
            <w:r>
              <w:rPr>
                <w:rFonts w:ascii="Times New Roman" w:eastAsia="Calibri" w:hAnsi="Times New Roman" w:cs="Times New Roman"/>
                <w:bCs/>
                <w:sz w:val="20"/>
                <w:szCs w:val="20"/>
              </w:rPr>
              <w:t>R</w:t>
            </w:r>
            <w:r w:rsidR="009416D5">
              <w:rPr>
                <w:rFonts w:ascii="Times New Roman" w:eastAsia="Calibri" w:hAnsi="Times New Roman" w:cs="Times New Roman"/>
                <w:bCs/>
                <w:sz w:val="20"/>
                <w:szCs w:val="20"/>
              </w:rPr>
              <w:t xml:space="preserve">efers to VC academic discipline. It is a continuous variable, which is awarded a value of: (i) 1 if the VC’s academic background is </w:t>
            </w:r>
            <w:r w:rsidR="009416D5" w:rsidRPr="009416D5">
              <w:rPr>
                <w:rFonts w:ascii="Times New Roman" w:eastAsia="Calibri" w:hAnsi="Times New Roman" w:cs="Times New Roman"/>
                <w:bCs/>
                <w:sz w:val="20"/>
                <w:szCs w:val="20"/>
              </w:rPr>
              <w:t>medicine</w:t>
            </w:r>
            <w:r w:rsidR="009416D5">
              <w:rPr>
                <w:rFonts w:ascii="Times New Roman" w:eastAsia="Calibri" w:hAnsi="Times New Roman" w:cs="Times New Roman"/>
                <w:bCs/>
                <w:sz w:val="20"/>
                <w:szCs w:val="20"/>
              </w:rPr>
              <w:t xml:space="preserve">; (ii) </w:t>
            </w:r>
            <w:r>
              <w:rPr>
                <w:rFonts w:ascii="Times New Roman" w:eastAsia="Calibri" w:hAnsi="Times New Roman" w:cs="Times New Roman"/>
                <w:bCs/>
                <w:sz w:val="20"/>
                <w:szCs w:val="20"/>
              </w:rPr>
              <w:t>2</w:t>
            </w:r>
            <w:r w:rsidR="009416D5">
              <w:rPr>
                <w:rFonts w:ascii="Times New Roman" w:eastAsia="Calibri" w:hAnsi="Times New Roman" w:cs="Times New Roman"/>
                <w:bCs/>
                <w:sz w:val="20"/>
                <w:szCs w:val="20"/>
              </w:rPr>
              <w:t xml:space="preserve"> if the VC’s academic background is </w:t>
            </w:r>
            <w:r w:rsidR="009416D5" w:rsidRPr="009416D5">
              <w:rPr>
                <w:rFonts w:ascii="Times New Roman" w:eastAsia="Calibri" w:hAnsi="Times New Roman" w:cs="Times New Roman"/>
                <w:bCs/>
                <w:sz w:val="20"/>
                <w:szCs w:val="20"/>
              </w:rPr>
              <w:t>engineering</w:t>
            </w:r>
            <w:r w:rsidR="009416D5">
              <w:rPr>
                <w:rFonts w:ascii="Times New Roman" w:eastAsia="Calibri" w:hAnsi="Times New Roman" w:cs="Times New Roman"/>
                <w:bCs/>
                <w:sz w:val="20"/>
                <w:szCs w:val="20"/>
              </w:rPr>
              <w:t xml:space="preserve">; </w:t>
            </w:r>
            <w:r>
              <w:rPr>
                <w:rFonts w:ascii="Times New Roman" w:eastAsia="Calibri" w:hAnsi="Times New Roman" w:cs="Times New Roman"/>
                <w:bCs/>
                <w:sz w:val="20"/>
                <w:szCs w:val="20"/>
              </w:rPr>
              <w:t xml:space="preserve">(iii) 3 if the VC’s academic background is </w:t>
            </w:r>
            <w:r w:rsidRPr="003622DC">
              <w:rPr>
                <w:rFonts w:ascii="Times New Roman" w:eastAsia="Calibri" w:hAnsi="Times New Roman" w:cs="Times New Roman"/>
                <w:bCs/>
                <w:sz w:val="20"/>
                <w:szCs w:val="20"/>
              </w:rPr>
              <w:t>accounting/finance/business/management</w:t>
            </w:r>
            <w:r>
              <w:rPr>
                <w:rFonts w:ascii="Times New Roman" w:eastAsia="Calibri" w:hAnsi="Times New Roman" w:cs="Times New Roman"/>
                <w:bCs/>
                <w:sz w:val="20"/>
                <w:szCs w:val="20"/>
              </w:rPr>
              <w:t>; (iv) 4</w:t>
            </w:r>
            <w:r w:rsidRPr="003622DC">
              <w:rPr>
                <w:rFonts w:ascii="Times New Roman" w:eastAsia="Calibri" w:hAnsi="Times New Roman" w:cs="Times New Roman"/>
                <w:bCs/>
                <w:sz w:val="20"/>
                <w:szCs w:val="20"/>
              </w:rPr>
              <w:t xml:space="preserve"> if the VC’s academic background is social sciences</w:t>
            </w:r>
            <w:r>
              <w:rPr>
                <w:rFonts w:ascii="Times New Roman" w:eastAsia="Calibri" w:hAnsi="Times New Roman" w:cs="Times New Roman"/>
                <w:bCs/>
                <w:sz w:val="20"/>
                <w:szCs w:val="20"/>
              </w:rPr>
              <w:t xml:space="preserve">; (v) 5 </w:t>
            </w:r>
            <w:r w:rsidRPr="003622DC">
              <w:rPr>
                <w:rFonts w:ascii="Times New Roman" w:eastAsia="Calibri" w:hAnsi="Times New Roman" w:cs="Times New Roman"/>
                <w:bCs/>
                <w:sz w:val="20"/>
                <w:szCs w:val="20"/>
              </w:rPr>
              <w:t>if the VC’s academic background is computing/maths/statistics</w:t>
            </w:r>
            <w:r>
              <w:rPr>
                <w:rFonts w:ascii="Times New Roman" w:eastAsia="Calibri" w:hAnsi="Times New Roman" w:cs="Times New Roman"/>
                <w:bCs/>
                <w:sz w:val="20"/>
                <w:szCs w:val="20"/>
              </w:rPr>
              <w:t xml:space="preserve">; and (vi) 6 if VC’s academic background is </w:t>
            </w:r>
            <w:r w:rsidRPr="003622DC">
              <w:rPr>
                <w:rFonts w:ascii="Times New Roman" w:eastAsia="Calibri" w:hAnsi="Times New Roman" w:cs="Times New Roman"/>
                <w:bCs/>
                <w:sz w:val="20"/>
                <w:szCs w:val="20"/>
              </w:rPr>
              <w:t>humanities/natural sciences backgrounds</w:t>
            </w:r>
            <w:r>
              <w:rPr>
                <w:rFonts w:ascii="Times New Roman" w:eastAsia="Calibri" w:hAnsi="Times New Roman" w:cs="Times New Roman"/>
                <w:bCs/>
                <w:sz w:val="20"/>
                <w:szCs w:val="20"/>
              </w:rPr>
              <w:t>.</w:t>
            </w:r>
          </w:p>
        </w:tc>
      </w:tr>
      <w:tr w:rsidR="00DD7D5B" w:rsidRPr="00233EC8" w14:paraId="53F77668" w14:textId="77777777" w:rsidTr="00DD7D5B">
        <w:trPr>
          <w:gridAfter w:val="1"/>
          <w:wAfter w:w="7" w:type="dxa"/>
        </w:trPr>
        <w:tc>
          <w:tcPr>
            <w:tcW w:w="988" w:type="dxa"/>
          </w:tcPr>
          <w:p w14:paraId="5E356685" w14:textId="2DB7A79C" w:rsidR="00DD7D5B" w:rsidRPr="00233EC8" w:rsidRDefault="00CE5811" w:rsidP="00DD7D5B">
            <w:pPr>
              <w:numPr>
                <w:ilvl w:val="0"/>
                <w:numId w:val="1"/>
              </w:numPr>
              <w:tabs>
                <w:tab w:val="clear" w:pos="0"/>
              </w:tabs>
              <w:rPr>
                <w:rFonts w:ascii="Times New Roman" w:eastAsia="Calibri" w:hAnsi="Times New Roman" w:cs="Times New Roman"/>
                <w:bCs/>
                <w:sz w:val="20"/>
                <w:szCs w:val="20"/>
              </w:rPr>
            </w:pPr>
            <w:r>
              <w:rPr>
                <w:rFonts w:ascii="Times New Roman" w:eastAsia="Calibri" w:hAnsi="Times New Roman" w:cs="Times New Roman"/>
                <w:bCs/>
                <w:sz w:val="20"/>
                <w:szCs w:val="20"/>
              </w:rPr>
              <w:t>VCT</w:t>
            </w:r>
            <w:r w:rsidR="00DD2EA3">
              <w:rPr>
                <w:rFonts w:ascii="Times New Roman" w:eastAsia="Calibri" w:hAnsi="Times New Roman" w:cs="Times New Roman"/>
                <w:bCs/>
                <w:sz w:val="20"/>
                <w:szCs w:val="20"/>
              </w:rPr>
              <w:t>E</w:t>
            </w:r>
            <w:r>
              <w:rPr>
                <w:rFonts w:ascii="Times New Roman" w:eastAsia="Calibri" w:hAnsi="Times New Roman" w:cs="Times New Roman"/>
                <w:bCs/>
                <w:sz w:val="20"/>
                <w:szCs w:val="20"/>
              </w:rPr>
              <w:t>N</w:t>
            </w:r>
          </w:p>
        </w:tc>
        <w:tc>
          <w:tcPr>
            <w:tcW w:w="8333" w:type="dxa"/>
          </w:tcPr>
          <w:p w14:paraId="41AAE3F1" w14:textId="14F6CB02" w:rsidR="00DD7D5B" w:rsidRPr="00233EC8" w:rsidRDefault="003622DC" w:rsidP="00356ADA">
            <w:pPr>
              <w:numPr>
                <w:ilvl w:val="0"/>
                <w:numId w:val="1"/>
              </w:numPr>
              <w:tabs>
                <w:tab w:val="clear" w:pos="0"/>
              </w:tabs>
              <w:jc w:val="both"/>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Refers to VC tenure. </w:t>
            </w:r>
            <w:r w:rsidR="00760F74">
              <w:rPr>
                <w:rFonts w:ascii="Times New Roman" w:eastAsia="Calibri" w:hAnsi="Times New Roman" w:cs="Times New Roman"/>
                <w:bCs/>
                <w:sz w:val="20"/>
                <w:szCs w:val="20"/>
              </w:rPr>
              <w:t xml:space="preserve">It is computed as the natural log of the number of years </w:t>
            </w:r>
            <w:r w:rsidR="00FC1415">
              <w:rPr>
                <w:rFonts w:ascii="Times New Roman" w:eastAsia="Calibri" w:hAnsi="Times New Roman" w:cs="Times New Roman"/>
                <w:bCs/>
                <w:sz w:val="20"/>
                <w:szCs w:val="20"/>
              </w:rPr>
              <w:t xml:space="preserve">since </w:t>
            </w:r>
            <w:r w:rsidR="00760F74">
              <w:rPr>
                <w:rFonts w:ascii="Times New Roman" w:eastAsia="Calibri" w:hAnsi="Times New Roman" w:cs="Times New Roman"/>
                <w:bCs/>
                <w:sz w:val="20"/>
                <w:szCs w:val="20"/>
              </w:rPr>
              <w:t>a</w:t>
            </w:r>
            <w:r w:rsidR="00FC1415">
              <w:rPr>
                <w:rFonts w:ascii="Times New Roman" w:eastAsia="Calibri" w:hAnsi="Times New Roman" w:cs="Times New Roman"/>
                <w:bCs/>
                <w:sz w:val="20"/>
                <w:szCs w:val="20"/>
              </w:rPr>
              <w:t>n individual</w:t>
            </w:r>
            <w:r w:rsidR="00760F74">
              <w:rPr>
                <w:rFonts w:ascii="Times New Roman" w:eastAsia="Calibri" w:hAnsi="Times New Roman" w:cs="Times New Roman"/>
                <w:bCs/>
                <w:sz w:val="20"/>
                <w:szCs w:val="20"/>
              </w:rPr>
              <w:t xml:space="preserve"> remained </w:t>
            </w:r>
            <w:r w:rsidR="00FC1415">
              <w:rPr>
                <w:rFonts w:ascii="Times New Roman" w:eastAsia="Calibri" w:hAnsi="Times New Roman" w:cs="Times New Roman"/>
                <w:bCs/>
                <w:sz w:val="20"/>
                <w:szCs w:val="20"/>
              </w:rPr>
              <w:t xml:space="preserve">in the VC position of a HEI. </w:t>
            </w:r>
          </w:p>
        </w:tc>
      </w:tr>
      <w:tr w:rsidR="00DD7D5B" w:rsidRPr="00233EC8" w14:paraId="57262415" w14:textId="77777777" w:rsidTr="005605A5">
        <w:trPr>
          <w:gridAfter w:val="1"/>
          <w:wAfter w:w="7" w:type="dxa"/>
          <w:trHeight w:val="249"/>
        </w:trPr>
        <w:tc>
          <w:tcPr>
            <w:tcW w:w="9321" w:type="dxa"/>
            <w:gridSpan w:val="2"/>
          </w:tcPr>
          <w:p w14:paraId="582FC644" w14:textId="77777777" w:rsidR="00DD7D5B" w:rsidRPr="00CE617A" w:rsidRDefault="00DD7D5B" w:rsidP="00DD7D5B">
            <w:pPr>
              <w:numPr>
                <w:ilvl w:val="0"/>
                <w:numId w:val="1"/>
              </w:numPr>
              <w:tabs>
                <w:tab w:val="clear" w:pos="0"/>
              </w:tabs>
              <w:rPr>
                <w:rFonts w:ascii="Times New Roman" w:eastAsia="Calibri" w:hAnsi="Times New Roman" w:cs="Times New Roman"/>
                <w:i/>
                <w:iCs/>
                <w:sz w:val="10"/>
                <w:szCs w:val="10"/>
              </w:rPr>
            </w:pPr>
          </w:p>
          <w:p w14:paraId="1FCEAF41" w14:textId="3BD5FA1E" w:rsidR="00DD7D5B" w:rsidRPr="00233EC8" w:rsidRDefault="00DD7D5B" w:rsidP="00DD7D5B">
            <w:pPr>
              <w:numPr>
                <w:ilvl w:val="0"/>
                <w:numId w:val="1"/>
              </w:numPr>
              <w:tabs>
                <w:tab w:val="clear" w:pos="0"/>
              </w:tabs>
              <w:rPr>
                <w:rFonts w:ascii="Times New Roman" w:eastAsia="Calibri" w:hAnsi="Times New Roman" w:cs="Times New Roman"/>
                <w:i/>
                <w:iCs/>
                <w:sz w:val="20"/>
                <w:szCs w:val="20"/>
              </w:rPr>
            </w:pPr>
            <w:r w:rsidRPr="00233EC8">
              <w:rPr>
                <w:rFonts w:ascii="Times New Roman" w:eastAsia="Calibri" w:hAnsi="Times New Roman" w:cs="Times New Roman"/>
                <w:i/>
                <w:iCs/>
                <w:sz w:val="20"/>
                <w:szCs w:val="20"/>
              </w:rPr>
              <w:t>Controls (general HEI characteristics)</w:t>
            </w:r>
          </w:p>
        </w:tc>
      </w:tr>
      <w:tr w:rsidR="00DD7D5B" w:rsidRPr="00233EC8" w14:paraId="305C0EA2" w14:textId="77777777" w:rsidTr="00DD7D5B">
        <w:trPr>
          <w:gridAfter w:val="1"/>
          <w:wAfter w:w="7" w:type="dxa"/>
        </w:trPr>
        <w:tc>
          <w:tcPr>
            <w:tcW w:w="988" w:type="dxa"/>
          </w:tcPr>
          <w:p w14:paraId="6D4320CD" w14:textId="380482DF" w:rsidR="00DD7D5B" w:rsidRPr="00233EC8" w:rsidRDefault="00DD7D5B" w:rsidP="00DD7D5B">
            <w:pPr>
              <w:numPr>
                <w:ilvl w:val="0"/>
                <w:numId w:val="1"/>
              </w:numPr>
              <w:tabs>
                <w:tab w:val="clear" w:pos="0"/>
              </w:tabs>
              <w:rPr>
                <w:rFonts w:ascii="Times New Roman" w:eastAsia="Calibri" w:hAnsi="Times New Roman" w:cs="Times New Roman"/>
                <w:bCs/>
                <w:sz w:val="20"/>
                <w:szCs w:val="20"/>
              </w:rPr>
            </w:pPr>
            <w:bookmarkStart w:id="14" w:name="_Hlk74818297"/>
            <w:r w:rsidRPr="00233EC8">
              <w:rPr>
                <w:rFonts w:ascii="Times New Roman" w:eastAsia="Calibri" w:hAnsi="Times New Roman" w:cs="Times New Roman"/>
                <w:bCs/>
                <w:sz w:val="20"/>
                <w:szCs w:val="20"/>
              </w:rPr>
              <w:t>P</w:t>
            </w:r>
            <w:r w:rsidR="00741ACB">
              <w:rPr>
                <w:rFonts w:ascii="Times New Roman" w:eastAsia="Calibri" w:hAnsi="Times New Roman" w:cs="Times New Roman"/>
                <w:bCs/>
                <w:sz w:val="20"/>
                <w:szCs w:val="20"/>
              </w:rPr>
              <w:t>OST</w:t>
            </w:r>
            <w:r w:rsidRPr="00233EC8">
              <w:rPr>
                <w:rFonts w:ascii="Times New Roman" w:eastAsia="Calibri" w:hAnsi="Times New Roman" w:cs="Times New Roman"/>
                <w:bCs/>
                <w:sz w:val="20"/>
                <w:szCs w:val="20"/>
              </w:rPr>
              <w:t>-92</w:t>
            </w:r>
          </w:p>
        </w:tc>
        <w:tc>
          <w:tcPr>
            <w:tcW w:w="8333" w:type="dxa"/>
          </w:tcPr>
          <w:p w14:paraId="434E5D3F" w14:textId="52C0CC3D" w:rsidR="00DD7D5B" w:rsidRPr="00233EC8" w:rsidRDefault="00DD7D5B" w:rsidP="00DD7D5B">
            <w:pPr>
              <w:numPr>
                <w:ilvl w:val="0"/>
                <w:numId w:val="1"/>
              </w:numPr>
              <w:tabs>
                <w:tab w:val="clear" w:pos="0"/>
              </w:tabs>
              <w:rPr>
                <w:rFonts w:ascii="Times New Roman" w:eastAsia="Calibri" w:hAnsi="Times New Roman" w:cs="Times New Roman"/>
                <w:sz w:val="20"/>
                <w:szCs w:val="20"/>
              </w:rPr>
            </w:pPr>
            <w:r w:rsidRPr="00233EC8">
              <w:rPr>
                <w:rFonts w:ascii="Times New Roman" w:eastAsia="Calibri" w:hAnsi="Times New Roman" w:cs="Times New Roman"/>
                <w:bCs/>
                <w:sz w:val="20"/>
                <w:szCs w:val="20"/>
              </w:rPr>
              <w:t xml:space="preserve">Indicator variable that equals </w:t>
            </w:r>
            <w:r w:rsidRPr="00233EC8">
              <w:rPr>
                <w:rFonts w:ascii="Times New Roman" w:eastAsia="Calibri" w:hAnsi="Times New Roman" w:cs="Times New Roman"/>
                <w:sz w:val="20"/>
                <w:szCs w:val="20"/>
              </w:rPr>
              <w:t>1 for HEIs established after 1992 or 0 otherwise.</w:t>
            </w:r>
          </w:p>
        </w:tc>
      </w:tr>
      <w:tr w:rsidR="00DD7D5B" w:rsidRPr="00233EC8" w14:paraId="516BA072" w14:textId="77777777" w:rsidTr="00DD7D5B">
        <w:trPr>
          <w:gridAfter w:val="1"/>
          <w:wAfter w:w="7" w:type="dxa"/>
        </w:trPr>
        <w:tc>
          <w:tcPr>
            <w:tcW w:w="988" w:type="dxa"/>
          </w:tcPr>
          <w:p w14:paraId="56AA2109" w14:textId="07619119" w:rsidR="00DD7D5B" w:rsidRPr="00233EC8" w:rsidRDefault="00DD7D5B" w:rsidP="00DD7D5B">
            <w:pPr>
              <w:numPr>
                <w:ilvl w:val="0"/>
                <w:numId w:val="1"/>
              </w:numPr>
              <w:tabs>
                <w:tab w:val="clear" w:pos="0"/>
              </w:tabs>
              <w:rPr>
                <w:rFonts w:ascii="Times New Roman" w:eastAsia="Calibri" w:hAnsi="Times New Roman" w:cs="Times New Roman"/>
                <w:bCs/>
                <w:sz w:val="20"/>
                <w:szCs w:val="20"/>
              </w:rPr>
            </w:pPr>
            <w:r w:rsidRPr="00233EC8">
              <w:rPr>
                <w:rFonts w:ascii="Times New Roman" w:eastAsia="Calibri" w:hAnsi="Times New Roman" w:cs="Times New Roman"/>
                <w:bCs/>
                <w:sz w:val="20"/>
                <w:szCs w:val="20"/>
              </w:rPr>
              <w:t>R</w:t>
            </w:r>
            <w:r w:rsidR="00741ACB">
              <w:rPr>
                <w:rFonts w:ascii="Times New Roman" w:eastAsia="Calibri" w:hAnsi="Times New Roman" w:cs="Times New Roman"/>
                <w:bCs/>
                <w:sz w:val="20"/>
                <w:szCs w:val="20"/>
              </w:rPr>
              <w:t>USS</w:t>
            </w:r>
            <w:r w:rsidRPr="00233EC8">
              <w:rPr>
                <w:rFonts w:ascii="Times New Roman" w:eastAsia="Calibri" w:hAnsi="Times New Roman" w:cs="Times New Roman"/>
                <w:bCs/>
                <w:sz w:val="20"/>
                <w:szCs w:val="20"/>
              </w:rPr>
              <w:t>G</w:t>
            </w:r>
          </w:p>
        </w:tc>
        <w:tc>
          <w:tcPr>
            <w:tcW w:w="8333" w:type="dxa"/>
          </w:tcPr>
          <w:p w14:paraId="57C23B59" w14:textId="7596CDAA" w:rsidR="00DD7D5B" w:rsidRPr="00233EC8" w:rsidRDefault="00DD7D5B" w:rsidP="00DD7D5B">
            <w:pPr>
              <w:numPr>
                <w:ilvl w:val="0"/>
                <w:numId w:val="1"/>
              </w:numPr>
              <w:tabs>
                <w:tab w:val="clear" w:pos="0"/>
              </w:tabs>
              <w:rPr>
                <w:rFonts w:ascii="Times New Roman" w:eastAsia="Calibri" w:hAnsi="Times New Roman" w:cs="Times New Roman"/>
                <w:sz w:val="20"/>
                <w:szCs w:val="20"/>
              </w:rPr>
            </w:pPr>
            <w:r w:rsidRPr="00233EC8">
              <w:rPr>
                <w:rFonts w:ascii="Times New Roman" w:eastAsia="Calibri" w:hAnsi="Times New Roman" w:cs="Times New Roman"/>
                <w:bCs/>
                <w:sz w:val="20"/>
                <w:szCs w:val="20"/>
              </w:rPr>
              <w:t xml:space="preserve">Indicator variable that equals </w:t>
            </w:r>
            <w:r w:rsidRPr="00233EC8">
              <w:rPr>
                <w:rFonts w:ascii="Times New Roman" w:eastAsia="Calibri" w:hAnsi="Times New Roman" w:cs="Times New Roman"/>
                <w:sz w:val="20"/>
                <w:szCs w:val="20"/>
              </w:rPr>
              <w:t>1 for Russel</w:t>
            </w:r>
            <w:r w:rsidR="00C16E59">
              <w:rPr>
                <w:rFonts w:ascii="Times New Roman" w:eastAsia="Calibri" w:hAnsi="Times New Roman" w:cs="Times New Roman"/>
                <w:sz w:val="20"/>
                <w:szCs w:val="20"/>
              </w:rPr>
              <w:t>l</w:t>
            </w:r>
            <w:r w:rsidRPr="00233EC8">
              <w:rPr>
                <w:rFonts w:ascii="Times New Roman" w:eastAsia="Calibri" w:hAnsi="Times New Roman" w:cs="Times New Roman"/>
                <w:sz w:val="20"/>
                <w:szCs w:val="20"/>
              </w:rPr>
              <w:t xml:space="preserve"> Group HEIs or 0 otherwise</w:t>
            </w:r>
            <w:r w:rsidR="00E376A8">
              <w:rPr>
                <w:rFonts w:ascii="Times New Roman" w:eastAsia="Calibri" w:hAnsi="Times New Roman" w:cs="Times New Roman"/>
                <w:sz w:val="20"/>
                <w:szCs w:val="20"/>
              </w:rPr>
              <w:t>.</w:t>
            </w:r>
          </w:p>
        </w:tc>
      </w:tr>
      <w:tr w:rsidR="00DD7D5B" w:rsidRPr="00233EC8" w14:paraId="7AF70AE7" w14:textId="77777777" w:rsidTr="00DD7D5B">
        <w:trPr>
          <w:gridAfter w:val="1"/>
          <w:wAfter w:w="7" w:type="dxa"/>
        </w:trPr>
        <w:tc>
          <w:tcPr>
            <w:tcW w:w="988" w:type="dxa"/>
          </w:tcPr>
          <w:p w14:paraId="28F70A76" w14:textId="0224A850" w:rsidR="00DD7D5B" w:rsidRPr="00233EC8" w:rsidRDefault="00DD7D5B" w:rsidP="00DD7D5B">
            <w:pPr>
              <w:numPr>
                <w:ilvl w:val="0"/>
                <w:numId w:val="1"/>
              </w:numPr>
              <w:tabs>
                <w:tab w:val="clear" w:pos="0"/>
              </w:tabs>
              <w:rPr>
                <w:rFonts w:ascii="Times New Roman" w:eastAsia="Calibri" w:hAnsi="Times New Roman" w:cs="Times New Roman"/>
                <w:bCs/>
                <w:sz w:val="20"/>
                <w:szCs w:val="20"/>
              </w:rPr>
            </w:pPr>
            <w:r>
              <w:rPr>
                <w:rFonts w:ascii="Times New Roman" w:eastAsia="Calibri" w:hAnsi="Times New Roman" w:cs="Times New Roman"/>
                <w:bCs/>
                <w:sz w:val="20"/>
                <w:szCs w:val="20"/>
              </w:rPr>
              <w:t>HEI</w:t>
            </w:r>
            <w:r w:rsidRPr="00233EC8">
              <w:rPr>
                <w:rFonts w:ascii="Times New Roman" w:eastAsia="Calibri" w:hAnsi="Times New Roman" w:cs="Times New Roman"/>
                <w:bCs/>
                <w:sz w:val="20"/>
                <w:szCs w:val="20"/>
              </w:rPr>
              <w:t>SZ</w:t>
            </w:r>
            <w:r w:rsidR="00DD2EA3">
              <w:rPr>
                <w:rFonts w:ascii="Times New Roman" w:eastAsia="Calibri" w:hAnsi="Times New Roman" w:cs="Times New Roman"/>
                <w:bCs/>
                <w:sz w:val="20"/>
                <w:szCs w:val="20"/>
              </w:rPr>
              <w:t>E</w:t>
            </w:r>
          </w:p>
        </w:tc>
        <w:tc>
          <w:tcPr>
            <w:tcW w:w="8333" w:type="dxa"/>
          </w:tcPr>
          <w:p w14:paraId="28590A90" w14:textId="58685126" w:rsidR="00DD7D5B" w:rsidRPr="00233EC8" w:rsidRDefault="00DD7D5B" w:rsidP="00DD7D5B">
            <w:pPr>
              <w:numPr>
                <w:ilvl w:val="0"/>
                <w:numId w:val="1"/>
              </w:numPr>
              <w:tabs>
                <w:tab w:val="clear" w:pos="0"/>
              </w:tabs>
              <w:rPr>
                <w:rFonts w:ascii="Times New Roman" w:eastAsia="Calibri" w:hAnsi="Times New Roman" w:cs="Times New Roman"/>
                <w:sz w:val="20"/>
                <w:szCs w:val="20"/>
              </w:rPr>
            </w:pPr>
            <w:r w:rsidRPr="00233EC8">
              <w:rPr>
                <w:rFonts w:ascii="Times New Roman" w:eastAsia="Calibri" w:hAnsi="Times New Roman" w:cs="Times New Roman"/>
                <w:sz w:val="20"/>
                <w:szCs w:val="20"/>
              </w:rPr>
              <w:t>Natural log of book total assets of HEIs</w:t>
            </w:r>
            <w:r w:rsidR="00E376A8">
              <w:rPr>
                <w:rFonts w:ascii="Times New Roman" w:eastAsia="Calibri" w:hAnsi="Times New Roman" w:cs="Times New Roman"/>
                <w:sz w:val="20"/>
                <w:szCs w:val="20"/>
              </w:rPr>
              <w:t>.</w:t>
            </w:r>
          </w:p>
        </w:tc>
      </w:tr>
      <w:tr w:rsidR="00DD7D5B" w:rsidRPr="00233EC8" w14:paraId="7EE6163D" w14:textId="77777777" w:rsidTr="00DD7D5B">
        <w:trPr>
          <w:gridAfter w:val="1"/>
          <w:wAfter w:w="7" w:type="dxa"/>
        </w:trPr>
        <w:tc>
          <w:tcPr>
            <w:tcW w:w="988" w:type="dxa"/>
          </w:tcPr>
          <w:p w14:paraId="726A42E4" w14:textId="08F9A4C8" w:rsidR="00DD7D5B" w:rsidRPr="00233EC8" w:rsidRDefault="00DD7D5B" w:rsidP="00DD7D5B">
            <w:pPr>
              <w:numPr>
                <w:ilvl w:val="0"/>
                <w:numId w:val="1"/>
              </w:numPr>
              <w:tabs>
                <w:tab w:val="clear" w:pos="0"/>
              </w:tabs>
              <w:rPr>
                <w:rFonts w:ascii="Times New Roman" w:eastAsia="Calibri" w:hAnsi="Times New Roman" w:cs="Times New Roman"/>
                <w:bCs/>
                <w:sz w:val="20"/>
                <w:szCs w:val="20"/>
              </w:rPr>
            </w:pPr>
            <w:r>
              <w:rPr>
                <w:rFonts w:ascii="Times New Roman" w:eastAsia="Calibri" w:hAnsi="Times New Roman" w:cs="Times New Roman"/>
                <w:bCs/>
                <w:sz w:val="20"/>
                <w:szCs w:val="20"/>
              </w:rPr>
              <w:t>HEI</w:t>
            </w:r>
            <w:r w:rsidRPr="00233EC8">
              <w:rPr>
                <w:rFonts w:ascii="Times New Roman" w:eastAsia="Calibri" w:hAnsi="Times New Roman" w:cs="Times New Roman"/>
                <w:bCs/>
                <w:sz w:val="20"/>
                <w:szCs w:val="20"/>
              </w:rPr>
              <w:t>AG</w:t>
            </w:r>
            <w:r w:rsidR="00DD2EA3">
              <w:rPr>
                <w:rFonts w:ascii="Times New Roman" w:eastAsia="Calibri" w:hAnsi="Times New Roman" w:cs="Times New Roman"/>
                <w:bCs/>
                <w:sz w:val="20"/>
                <w:szCs w:val="20"/>
              </w:rPr>
              <w:t>E</w:t>
            </w:r>
          </w:p>
        </w:tc>
        <w:tc>
          <w:tcPr>
            <w:tcW w:w="8333" w:type="dxa"/>
          </w:tcPr>
          <w:p w14:paraId="71951225" w14:textId="34FE1019" w:rsidR="00DD7D5B" w:rsidRPr="00233EC8" w:rsidRDefault="00DD7D5B" w:rsidP="00DD7D5B">
            <w:pPr>
              <w:numPr>
                <w:ilvl w:val="0"/>
                <w:numId w:val="1"/>
              </w:numPr>
              <w:tabs>
                <w:tab w:val="clear" w:pos="0"/>
              </w:tabs>
              <w:rPr>
                <w:rFonts w:ascii="Times New Roman" w:eastAsia="Calibri" w:hAnsi="Times New Roman" w:cs="Times New Roman"/>
                <w:sz w:val="20"/>
                <w:szCs w:val="20"/>
              </w:rPr>
            </w:pPr>
            <w:r w:rsidRPr="00233EC8">
              <w:rPr>
                <w:rFonts w:ascii="Times New Roman" w:eastAsia="Calibri" w:hAnsi="Times New Roman" w:cs="Times New Roman"/>
                <w:sz w:val="20"/>
                <w:szCs w:val="20"/>
              </w:rPr>
              <w:t>Natural log of the age of HEIs</w:t>
            </w:r>
            <w:r w:rsidR="00E376A8">
              <w:rPr>
                <w:rFonts w:ascii="Times New Roman" w:eastAsia="Calibri" w:hAnsi="Times New Roman" w:cs="Times New Roman"/>
                <w:sz w:val="20"/>
                <w:szCs w:val="20"/>
              </w:rPr>
              <w:t>.</w:t>
            </w:r>
          </w:p>
        </w:tc>
      </w:tr>
      <w:tr w:rsidR="00DD7D5B" w:rsidRPr="00233EC8" w14:paraId="2D3F5B35" w14:textId="77777777" w:rsidTr="00DD7D5B">
        <w:trPr>
          <w:gridAfter w:val="1"/>
          <w:wAfter w:w="7" w:type="dxa"/>
        </w:trPr>
        <w:tc>
          <w:tcPr>
            <w:tcW w:w="988" w:type="dxa"/>
          </w:tcPr>
          <w:p w14:paraId="5BF02BA7" w14:textId="467E7520" w:rsidR="00DD7D5B" w:rsidRPr="00233EC8" w:rsidRDefault="00DD7D5B" w:rsidP="00DD7D5B">
            <w:pPr>
              <w:numPr>
                <w:ilvl w:val="0"/>
                <w:numId w:val="1"/>
              </w:numPr>
              <w:tabs>
                <w:tab w:val="clear" w:pos="0"/>
              </w:tabs>
              <w:rPr>
                <w:rFonts w:ascii="Times New Roman" w:eastAsia="Calibri" w:hAnsi="Times New Roman" w:cs="Times New Roman"/>
                <w:bCs/>
                <w:sz w:val="20"/>
                <w:szCs w:val="20"/>
              </w:rPr>
            </w:pPr>
            <w:r w:rsidRPr="00233EC8">
              <w:rPr>
                <w:rFonts w:ascii="Times New Roman" w:eastAsia="Calibri" w:hAnsi="Times New Roman" w:cs="Times New Roman"/>
                <w:bCs/>
                <w:sz w:val="20"/>
                <w:szCs w:val="20"/>
              </w:rPr>
              <w:t>L</w:t>
            </w:r>
            <w:r w:rsidR="00741ACB">
              <w:rPr>
                <w:rFonts w:ascii="Times New Roman" w:eastAsia="Calibri" w:hAnsi="Times New Roman" w:cs="Times New Roman"/>
                <w:bCs/>
                <w:sz w:val="20"/>
                <w:szCs w:val="20"/>
              </w:rPr>
              <w:t>E</w:t>
            </w:r>
            <w:r w:rsidRPr="00233EC8">
              <w:rPr>
                <w:rFonts w:ascii="Times New Roman" w:eastAsia="Calibri" w:hAnsi="Times New Roman" w:cs="Times New Roman"/>
                <w:bCs/>
                <w:sz w:val="20"/>
                <w:szCs w:val="20"/>
              </w:rPr>
              <w:t>V</w:t>
            </w:r>
            <w:r w:rsidR="00741ACB">
              <w:rPr>
                <w:rFonts w:ascii="Times New Roman" w:eastAsia="Calibri" w:hAnsi="Times New Roman" w:cs="Times New Roman"/>
                <w:bCs/>
                <w:sz w:val="20"/>
                <w:szCs w:val="20"/>
              </w:rPr>
              <w:t>E</w:t>
            </w:r>
          </w:p>
        </w:tc>
        <w:tc>
          <w:tcPr>
            <w:tcW w:w="8333" w:type="dxa"/>
          </w:tcPr>
          <w:p w14:paraId="27C78B7F" w14:textId="6011894F" w:rsidR="00DD7D5B" w:rsidRPr="00233EC8" w:rsidRDefault="00DD7D5B" w:rsidP="00DD7D5B">
            <w:pPr>
              <w:numPr>
                <w:ilvl w:val="0"/>
                <w:numId w:val="1"/>
              </w:numPr>
              <w:tabs>
                <w:tab w:val="clear" w:pos="0"/>
              </w:tabs>
              <w:rPr>
                <w:rFonts w:ascii="Times New Roman" w:eastAsia="Calibri" w:hAnsi="Times New Roman" w:cs="Times New Roman"/>
                <w:sz w:val="20"/>
                <w:szCs w:val="20"/>
              </w:rPr>
            </w:pPr>
            <w:r w:rsidRPr="00233EC8">
              <w:rPr>
                <w:rFonts w:ascii="Times New Roman" w:eastAsia="Calibri" w:hAnsi="Times New Roman" w:cs="Times New Roman"/>
                <w:sz w:val="20"/>
                <w:szCs w:val="20"/>
              </w:rPr>
              <w:t>The ratio of total debt/book total assets</w:t>
            </w:r>
            <w:r w:rsidR="00E376A8">
              <w:rPr>
                <w:rFonts w:ascii="Times New Roman" w:eastAsia="Calibri" w:hAnsi="Times New Roman" w:cs="Times New Roman"/>
                <w:sz w:val="20"/>
                <w:szCs w:val="20"/>
              </w:rPr>
              <w:t>.</w:t>
            </w:r>
          </w:p>
        </w:tc>
      </w:tr>
      <w:tr w:rsidR="00DD7D5B" w:rsidRPr="00233EC8" w14:paraId="644750DE" w14:textId="77777777" w:rsidTr="00DD7D5B">
        <w:trPr>
          <w:gridAfter w:val="1"/>
          <w:wAfter w:w="7" w:type="dxa"/>
        </w:trPr>
        <w:tc>
          <w:tcPr>
            <w:tcW w:w="988" w:type="dxa"/>
          </w:tcPr>
          <w:p w14:paraId="729AD273" w14:textId="299C69FD" w:rsidR="00DD7D5B" w:rsidRPr="00233EC8" w:rsidRDefault="00DD7D5B" w:rsidP="00DD7D5B">
            <w:pPr>
              <w:numPr>
                <w:ilvl w:val="0"/>
                <w:numId w:val="1"/>
              </w:numPr>
              <w:tabs>
                <w:tab w:val="clear" w:pos="0"/>
              </w:tabs>
              <w:rPr>
                <w:rFonts w:ascii="Times New Roman" w:eastAsia="Calibri" w:hAnsi="Times New Roman" w:cs="Times New Roman"/>
                <w:bCs/>
                <w:sz w:val="20"/>
                <w:szCs w:val="20"/>
              </w:rPr>
            </w:pPr>
            <w:r w:rsidRPr="00233EC8">
              <w:rPr>
                <w:rFonts w:ascii="Times New Roman" w:eastAsia="Calibri" w:hAnsi="Times New Roman" w:cs="Times New Roman"/>
                <w:bCs/>
                <w:sz w:val="20"/>
                <w:szCs w:val="20"/>
              </w:rPr>
              <w:t>L</w:t>
            </w:r>
            <w:r w:rsidR="00741ACB">
              <w:rPr>
                <w:rFonts w:ascii="Times New Roman" w:eastAsia="Calibri" w:hAnsi="Times New Roman" w:cs="Times New Roman"/>
                <w:bCs/>
                <w:sz w:val="20"/>
                <w:szCs w:val="20"/>
              </w:rPr>
              <w:t>I</w:t>
            </w:r>
            <w:r w:rsidRPr="00233EC8">
              <w:rPr>
                <w:rFonts w:ascii="Times New Roman" w:eastAsia="Calibri" w:hAnsi="Times New Roman" w:cs="Times New Roman"/>
                <w:bCs/>
                <w:sz w:val="20"/>
                <w:szCs w:val="20"/>
              </w:rPr>
              <w:t>Q</w:t>
            </w:r>
            <w:r w:rsidR="00741ACB">
              <w:rPr>
                <w:rFonts w:ascii="Times New Roman" w:eastAsia="Calibri" w:hAnsi="Times New Roman" w:cs="Times New Roman"/>
                <w:bCs/>
                <w:sz w:val="20"/>
                <w:szCs w:val="20"/>
              </w:rPr>
              <w:t>U</w:t>
            </w:r>
            <w:r w:rsidR="00DD2EA3">
              <w:rPr>
                <w:rFonts w:ascii="Times New Roman" w:eastAsia="Calibri" w:hAnsi="Times New Roman" w:cs="Times New Roman"/>
                <w:bCs/>
                <w:sz w:val="20"/>
                <w:szCs w:val="20"/>
              </w:rPr>
              <w:t>D</w:t>
            </w:r>
          </w:p>
        </w:tc>
        <w:tc>
          <w:tcPr>
            <w:tcW w:w="8333" w:type="dxa"/>
          </w:tcPr>
          <w:p w14:paraId="38886995" w14:textId="582CE4F3" w:rsidR="00DD7D5B" w:rsidRPr="00233EC8" w:rsidRDefault="00DD7D5B" w:rsidP="00DD7D5B">
            <w:pPr>
              <w:numPr>
                <w:ilvl w:val="0"/>
                <w:numId w:val="1"/>
              </w:numPr>
              <w:tabs>
                <w:tab w:val="clear" w:pos="0"/>
              </w:tabs>
              <w:rPr>
                <w:rFonts w:ascii="Times New Roman" w:eastAsia="Calibri" w:hAnsi="Times New Roman" w:cs="Times New Roman"/>
                <w:sz w:val="20"/>
                <w:szCs w:val="20"/>
              </w:rPr>
            </w:pPr>
            <w:r w:rsidRPr="00233EC8">
              <w:rPr>
                <w:rFonts w:ascii="Times New Roman" w:eastAsia="Calibri" w:hAnsi="Times New Roman" w:cs="Times New Roman"/>
                <w:sz w:val="20"/>
                <w:szCs w:val="20"/>
              </w:rPr>
              <w:t>The ratio of net operating cash flow/total revenue.</w:t>
            </w:r>
          </w:p>
        </w:tc>
      </w:tr>
      <w:tr w:rsidR="00DD7D5B" w:rsidRPr="00233EC8" w14:paraId="2A72D4C5" w14:textId="77777777" w:rsidTr="00DD7D5B">
        <w:trPr>
          <w:gridAfter w:val="1"/>
          <w:wAfter w:w="7" w:type="dxa"/>
        </w:trPr>
        <w:tc>
          <w:tcPr>
            <w:tcW w:w="988" w:type="dxa"/>
          </w:tcPr>
          <w:p w14:paraId="1EF64964" w14:textId="77777777" w:rsidR="00DD7D5B" w:rsidRPr="00233EC8" w:rsidRDefault="00DD7D5B" w:rsidP="00DD7D5B">
            <w:pPr>
              <w:numPr>
                <w:ilvl w:val="0"/>
                <w:numId w:val="1"/>
              </w:numPr>
              <w:tabs>
                <w:tab w:val="clear" w:pos="0"/>
              </w:tabs>
              <w:rPr>
                <w:rFonts w:ascii="Times New Roman" w:eastAsia="Calibri" w:hAnsi="Times New Roman" w:cs="Times New Roman"/>
                <w:bCs/>
                <w:sz w:val="20"/>
                <w:szCs w:val="20"/>
              </w:rPr>
            </w:pPr>
            <w:r w:rsidRPr="00233EC8">
              <w:rPr>
                <w:rFonts w:ascii="Times New Roman" w:eastAsia="Calibri" w:hAnsi="Times New Roman" w:cs="Times New Roman"/>
                <w:bCs/>
                <w:sz w:val="20"/>
                <w:szCs w:val="20"/>
              </w:rPr>
              <w:t>GRTH</w:t>
            </w:r>
          </w:p>
        </w:tc>
        <w:tc>
          <w:tcPr>
            <w:tcW w:w="8333" w:type="dxa"/>
          </w:tcPr>
          <w:p w14:paraId="696A34A7" w14:textId="041A3555" w:rsidR="00DD7D5B" w:rsidRPr="00233EC8" w:rsidRDefault="00DD7D5B" w:rsidP="00DD7D5B">
            <w:pPr>
              <w:numPr>
                <w:ilvl w:val="0"/>
                <w:numId w:val="1"/>
              </w:numPr>
              <w:tabs>
                <w:tab w:val="clear" w:pos="0"/>
              </w:tabs>
              <w:rPr>
                <w:rFonts w:ascii="Times New Roman" w:eastAsia="Calibri" w:hAnsi="Times New Roman" w:cs="Times New Roman"/>
                <w:bCs/>
                <w:sz w:val="20"/>
                <w:szCs w:val="20"/>
              </w:rPr>
            </w:pPr>
            <w:r w:rsidRPr="00233EC8">
              <w:rPr>
                <w:rFonts w:ascii="Times New Roman" w:eastAsia="Calibri" w:hAnsi="Times New Roman" w:cs="Times New Roman"/>
                <w:bCs/>
                <w:sz w:val="20"/>
                <w:szCs w:val="20"/>
              </w:rPr>
              <w:t>Growth rate of the total income.</w:t>
            </w:r>
          </w:p>
        </w:tc>
      </w:tr>
      <w:tr w:rsidR="00DD7D5B" w:rsidRPr="00233EC8" w14:paraId="2EC69E24" w14:textId="77777777" w:rsidTr="00DD7D5B">
        <w:trPr>
          <w:gridAfter w:val="1"/>
          <w:wAfter w:w="7" w:type="dxa"/>
        </w:trPr>
        <w:tc>
          <w:tcPr>
            <w:tcW w:w="988" w:type="dxa"/>
          </w:tcPr>
          <w:p w14:paraId="125944D6" w14:textId="0E56CC84" w:rsidR="00DD7D5B" w:rsidRPr="00233EC8" w:rsidRDefault="00DD2EA3" w:rsidP="00DD7D5B">
            <w:pPr>
              <w:numPr>
                <w:ilvl w:val="0"/>
                <w:numId w:val="1"/>
              </w:numPr>
              <w:tabs>
                <w:tab w:val="clear" w:pos="0"/>
              </w:tabs>
              <w:rPr>
                <w:rFonts w:ascii="Times New Roman" w:eastAsia="Calibri" w:hAnsi="Times New Roman" w:cs="Times New Roman"/>
                <w:bCs/>
                <w:sz w:val="20"/>
                <w:szCs w:val="20"/>
              </w:rPr>
            </w:pPr>
            <w:r>
              <w:rPr>
                <w:rFonts w:ascii="Times New Roman" w:eastAsia="Calibri" w:hAnsi="Times New Roman" w:cs="Times New Roman"/>
                <w:bCs/>
                <w:sz w:val="20"/>
                <w:szCs w:val="20"/>
              </w:rPr>
              <w:t>IFUNDC</w:t>
            </w:r>
          </w:p>
        </w:tc>
        <w:tc>
          <w:tcPr>
            <w:tcW w:w="8333" w:type="dxa"/>
          </w:tcPr>
          <w:p w14:paraId="05B29339" w14:textId="1BCD86ED" w:rsidR="00DD7D5B" w:rsidRPr="00233EC8" w:rsidRDefault="00DD7D5B" w:rsidP="00DD7D5B">
            <w:pPr>
              <w:numPr>
                <w:ilvl w:val="0"/>
                <w:numId w:val="1"/>
              </w:numPr>
              <w:tabs>
                <w:tab w:val="clear" w:pos="0"/>
              </w:tabs>
              <w:rPr>
                <w:rFonts w:ascii="Times New Roman" w:eastAsia="Calibri" w:hAnsi="Times New Roman" w:cs="Times New Roman"/>
                <w:sz w:val="20"/>
                <w:szCs w:val="20"/>
              </w:rPr>
            </w:pPr>
            <w:r w:rsidRPr="00233EC8">
              <w:rPr>
                <w:rFonts w:ascii="Times New Roman" w:eastAsia="Calibri" w:hAnsi="Times New Roman" w:cs="Times New Roman"/>
                <w:sz w:val="20"/>
                <w:szCs w:val="20"/>
              </w:rPr>
              <w:t>Proportion of total revenues from funding councils to total income</w:t>
            </w:r>
            <w:r w:rsidR="00E376A8">
              <w:rPr>
                <w:rFonts w:ascii="Times New Roman" w:eastAsia="Calibri" w:hAnsi="Times New Roman" w:cs="Times New Roman"/>
                <w:sz w:val="20"/>
                <w:szCs w:val="20"/>
              </w:rPr>
              <w:t>.</w:t>
            </w:r>
          </w:p>
        </w:tc>
      </w:tr>
      <w:tr w:rsidR="00DD7D5B" w:rsidRPr="00233EC8" w14:paraId="14D2BA76" w14:textId="77777777" w:rsidTr="00DD7D5B">
        <w:trPr>
          <w:gridAfter w:val="1"/>
          <w:wAfter w:w="7" w:type="dxa"/>
        </w:trPr>
        <w:tc>
          <w:tcPr>
            <w:tcW w:w="988" w:type="dxa"/>
          </w:tcPr>
          <w:p w14:paraId="14AD99E8" w14:textId="698DB75C" w:rsidR="00DD7D5B" w:rsidRPr="00233EC8" w:rsidRDefault="00DD2EA3" w:rsidP="00DD7D5B">
            <w:pPr>
              <w:numPr>
                <w:ilvl w:val="0"/>
                <w:numId w:val="1"/>
              </w:numPr>
              <w:tabs>
                <w:tab w:val="clear" w:pos="0"/>
              </w:tabs>
              <w:rPr>
                <w:rFonts w:ascii="Times New Roman" w:eastAsia="Calibri" w:hAnsi="Times New Roman" w:cs="Times New Roman"/>
                <w:bCs/>
                <w:sz w:val="20"/>
                <w:szCs w:val="20"/>
              </w:rPr>
            </w:pPr>
            <w:r>
              <w:rPr>
                <w:rFonts w:ascii="Times New Roman" w:eastAsia="Calibri" w:hAnsi="Times New Roman" w:cs="Times New Roman"/>
                <w:bCs/>
                <w:sz w:val="20"/>
                <w:szCs w:val="20"/>
              </w:rPr>
              <w:t>F</w:t>
            </w:r>
            <w:r w:rsidR="00DD7D5B" w:rsidRPr="00233EC8">
              <w:rPr>
                <w:rFonts w:ascii="Times New Roman" w:eastAsia="Calibri" w:hAnsi="Times New Roman" w:cs="Times New Roman"/>
                <w:bCs/>
                <w:sz w:val="20"/>
                <w:szCs w:val="20"/>
              </w:rPr>
              <w:t>R</w:t>
            </w:r>
            <w:r>
              <w:rPr>
                <w:rFonts w:ascii="Times New Roman" w:eastAsia="Calibri" w:hAnsi="Times New Roman" w:cs="Times New Roman"/>
                <w:bCs/>
                <w:sz w:val="20"/>
                <w:szCs w:val="20"/>
              </w:rPr>
              <w:t>I</w:t>
            </w:r>
            <w:r w:rsidR="00DD7D5B" w:rsidRPr="00233EC8">
              <w:rPr>
                <w:rFonts w:ascii="Times New Roman" w:eastAsia="Calibri" w:hAnsi="Times New Roman" w:cs="Times New Roman"/>
                <w:bCs/>
                <w:sz w:val="20"/>
                <w:szCs w:val="20"/>
              </w:rPr>
              <w:t>SK</w:t>
            </w:r>
          </w:p>
        </w:tc>
        <w:tc>
          <w:tcPr>
            <w:tcW w:w="8333" w:type="dxa"/>
          </w:tcPr>
          <w:p w14:paraId="62F6100D" w14:textId="6CB95E61" w:rsidR="00DD7D5B" w:rsidRPr="00233EC8" w:rsidRDefault="00DD7D5B" w:rsidP="00DD7D5B">
            <w:pPr>
              <w:numPr>
                <w:ilvl w:val="0"/>
                <w:numId w:val="1"/>
              </w:numPr>
              <w:tabs>
                <w:tab w:val="clear" w:pos="0"/>
              </w:tabs>
              <w:rPr>
                <w:rFonts w:ascii="Times New Roman" w:eastAsia="Calibri" w:hAnsi="Times New Roman" w:cs="Times New Roman"/>
                <w:sz w:val="20"/>
                <w:szCs w:val="20"/>
              </w:rPr>
            </w:pPr>
            <w:r w:rsidRPr="00233EC8">
              <w:rPr>
                <w:rFonts w:ascii="Times New Roman" w:eastAsia="Calibri" w:hAnsi="Times New Roman" w:cs="Times New Roman"/>
                <w:sz w:val="20"/>
                <w:szCs w:val="20"/>
              </w:rPr>
              <w:t xml:space="preserve">Standard deviation of </w:t>
            </w:r>
            <w:r w:rsidR="00E376A8" w:rsidRPr="00E376A8">
              <w:rPr>
                <w:rFonts w:ascii="Times New Roman" w:eastAsia="Calibri" w:hAnsi="Times New Roman" w:cs="Times New Roman"/>
                <w:sz w:val="20"/>
                <w:szCs w:val="20"/>
              </w:rPr>
              <w:t>financial deficit</w:t>
            </w:r>
            <w:r w:rsidR="00E376A8">
              <w:rPr>
                <w:rFonts w:ascii="Times New Roman" w:eastAsia="Calibri" w:hAnsi="Times New Roman" w:cs="Times New Roman"/>
                <w:sz w:val="20"/>
                <w:szCs w:val="20"/>
              </w:rPr>
              <w:t>/</w:t>
            </w:r>
            <w:r w:rsidR="00E376A8" w:rsidRPr="00E376A8">
              <w:rPr>
                <w:rFonts w:ascii="Times New Roman" w:eastAsia="Calibri" w:hAnsi="Times New Roman" w:cs="Times New Roman"/>
                <w:sz w:val="20"/>
                <w:szCs w:val="20"/>
              </w:rPr>
              <w:t xml:space="preserve">surplus </w:t>
            </w:r>
            <w:r w:rsidR="00E376A8">
              <w:rPr>
                <w:rFonts w:ascii="Times New Roman" w:eastAsia="Calibri" w:hAnsi="Times New Roman" w:cs="Times New Roman"/>
                <w:sz w:val="20"/>
                <w:szCs w:val="20"/>
              </w:rPr>
              <w:t xml:space="preserve">to </w:t>
            </w:r>
            <w:r w:rsidRPr="00233EC8">
              <w:rPr>
                <w:rFonts w:ascii="Times New Roman" w:eastAsia="Calibri" w:hAnsi="Times New Roman" w:cs="Times New Roman"/>
                <w:sz w:val="20"/>
                <w:szCs w:val="20"/>
              </w:rPr>
              <w:t xml:space="preserve">total </w:t>
            </w:r>
            <w:r w:rsidR="00E376A8">
              <w:rPr>
                <w:rFonts w:ascii="Times New Roman" w:eastAsia="Calibri" w:hAnsi="Times New Roman" w:cs="Times New Roman"/>
                <w:sz w:val="20"/>
                <w:szCs w:val="20"/>
              </w:rPr>
              <w:t>assets.</w:t>
            </w:r>
          </w:p>
        </w:tc>
      </w:tr>
      <w:tr w:rsidR="00E376A8" w:rsidRPr="00233EC8" w14:paraId="407DAB23" w14:textId="77777777" w:rsidTr="00CE48CF">
        <w:trPr>
          <w:gridAfter w:val="1"/>
          <w:wAfter w:w="7" w:type="dxa"/>
        </w:trPr>
        <w:tc>
          <w:tcPr>
            <w:tcW w:w="988" w:type="dxa"/>
            <w:tcBorders>
              <w:bottom w:val="nil"/>
            </w:tcBorders>
          </w:tcPr>
          <w:p w14:paraId="70304378" w14:textId="303C4B0E" w:rsidR="00E376A8" w:rsidRPr="00233EC8" w:rsidRDefault="00E376A8" w:rsidP="00356ADA">
            <w:pPr>
              <w:numPr>
                <w:ilvl w:val="0"/>
                <w:numId w:val="1"/>
              </w:numPr>
              <w:tabs>
                <w:tab w:val="clear" w:pos="0"/>
              </w:tabs>
              <w:jc w:val="both"/>
              <w:rPr>
                <w:rFonts w:ascii="Times New Roman" w:eastAsia="Calibri" w:hAnsi="Times New Roman" w:cs="Times New Roman"/>
                <w:bCs/>
                <w:sz w:val="20"/>
                <w:szCs w:val="20"/>
              </w:rPr>
            </w:pPr>
            <w:r>
              <w:rPr>
                <w:rFonts w:ascii="Times New Roman" w:eastAsia="Calibri" w:hAnsi="Times New Roman" w:cs="Times New Roman"/>
                <w:bCs/>
                <w:sz w:val="20"/>
                <w:szCs w:val="20"/>
              </w:rPr>
              <w:t>AF</w:t>
            </w:r>
            <w:r w:rsidR="00DD2EA3">
              <w:rPr>
                <w:rFonts w:ascii="Times New Roman" w:eastAsia="Calibri" w:hAnsi="Times New Roman" w:cs="Times New Roman"/>
                <w:bCs/>
                <w:sz w:val="20"/>
                <w:szCs w:val="20"/>
              </w:rPr>
              <w:t>SZE</w:t>
            </w:r>
          </w:p>
        </w:tc>
        <w:tc>
          <w:tcPr>
            <w:tcW w:w="8333" w:type="dxa"/>
            <w:tcBorders>
              <w:bottom w:val="nil"/>
            </w:tcBorders>
          </w:tcPr>
          <w:p w14:paraId="069941CB" w14:textId="0F9BBA3D" w:rsidR="00E376A8" w:rsidRPr="00E376A8" w:rsidRDefault="00E376A8" w:rsidP="00356ADA">
            <w:pPr>
              <w:numPr>
                <w:ilvl w:val="0"/>
                <w:numId w:val="1"/>
              </w:numPr>
              <w:tabs>
                <w:tab w:val="clear" w:pos="0"/>
              </w:tabs>
              <w:jc w:val="both"/>
              <w:rPr>
                <w:rFonts w:ascii="Times New Roman" w:eastAsia="Calibri" w:hAnsi="Times New Roman" w:cs="Times New Roman"/>
                <w:bCs/>
                <w:sz w:val="20"/>
                <w:szCs w:val="20"/>
              </w:rPr>
            </w:pPr>
            <w:r w:rsidRPr="00233EC8">
              <w:rPr>
                <w:rFonts w:ascii="Times New Roman" w:eastAsia="Calibri" w:hAnsi="Times New Roman" w:cs="Times New Roman"/>
                <w:bCs/>
                <w:sz w:val="20"/>
                <w:szCs w:val="20"/>
              </w:rPr>
              <w:t xml:space="preserve">Indicator variable that equals 1 for HEIs that </w:t>
            </w:r>
            <w:r>
              <w:rPr>
                <w:rFonts w:ascii="Times New Roman" w:eastAsia="Calibri" w:hAnsi="Times New Roman" w:cs="Times New Roman"/>
                <w:bCs/>
                <w:sz w:val="20"/>
                <w:szCs w:val="20"/>
              </w:rPr>
              <w:t>are audited by one of the BIG4 accounting firms (</w:t>
            </w:r>
            <w:r w:rsidRPr="00356ADA">
              <w:rPr>
                <w:rFonts w:ascii="Times New Roman" w:eastAsia="Calibri" w:hAnsi="Times New Roman" w:cs="Times New Roman"/>
                <w:bCs/>
                <w:sz w:val="20"/>
                <w:szCs w:val="20"/>
              </w:rPr>
              <w:t xml:space="preserve">Deloitte, PwC, KPMG, and EY) </w:t>
            </w:r>
            <w:r w:rsidRPr="00233EC8">
              <w:rPr>
                <w:rFonts w:ascii="Times New Roman" w:eastAsia="Calibri" w:hAnsi="Times New Roman" w:cs="Times New Roman"/>
                <w:bCs/>
                <w:sz w:val="20"/>
                <w:szCs w:val="20"/>
              </w:rPr>
              <w:t xml:space="preserve">or 0 otherwise. </w:t>
            </w:r>
          </w:p>
        </w:tc>
      </w:tr>
      <w:tr w:rsidR="00E376A8" w:rsidRPr="00233EC8" w14:paraId="32B2027C" w14:textId="77777777" w:rsidTr="00236B90">
        <w:trPr>
          <w:gridAfter w:val="1"/>
          <w:wAfter w:w="7" w:type="dxa"/>
        </w:trPr>
        <w:tc>
          <w:tcPr>
            <w:tcW w:w="988" w:type="dxa"/>
            <w:tcBorders>
              <w:top w:val="nil"/>
              <w:bottom w:val="nil"/>
            </w:tcBorders>
          </w:tcPr>
          <w:p w14:paraId="301B45DE" w14:textId="789DB199" w:rsidR="00E376A8" w:rsidRPr="00233EC8" w:rsidRDefault="00E376A8" w:rsidP="00356ADA">
            <w:pPr>
              <w:numPr>
                <w:ilvl w:val="0"/>
                <w:numId w:val="1"/>
              </w:numPr>
              <w:tabs>
                <w:tab w:val="clear" w:pos="0"/>
              </w:tabs>
              <w:jc w:val="both"/>
              <w:rPr>
                <w:rFonts w:ascii="Times New Roman" w:eastAsia="Calibri" w:hAnsi="Times New Roman" w:cs="Times New Roman"/>
                <w:bCs/>
                <w:sz w:val="20"/>
                <w:szCs w:val="20"/>
              </w:rPr>
            </w:pPr>
            <w:r>
              <w:rPr>
                <w:rFonts w:ascii="Times New Roman" w:eastAsia="Calibri" w:hAnsi="Times New Roman" w:cs="Times New Roman"/>
                <w:bCs/>
                <w:sz w:val="20"/>
                <w:szCs w:val="20"/>
              </w:rPr>
              <w:t>CEXP</w:t>
            </w:r>
          </w:p>
        </w:tc>
        <w:tc>
          <w:tcPr>
            <w:tcW w:w="8333" w:type="dxa"/>
            <w:tcBorders>
              <w:top w:val="nil"/>
              <w:bottom w:val="nil"/>
            </w:tcBorders>
          </w:tcPr>
          <w:p w14:paraId="21541B8F" w14:textId="01291486" w:rsidR="00E376A8" w:rsidRPr="00E376A8" w:rsidRDefault="00E376A8" w:rsidP="00356ADA">
            <w:pPr>
              <w:numPr>
                <w:ilvl w:val="0"/>
                <w:numId w:val="1"/>
              </w:numPr>
              <w:tabs>
                <w:tab w:val="clear" w:pos="0"/>
              </w:tabs>
              <w:jc w:val="both"/>
              <w:rPr>
                <w:rFonts w:ascii="Times New Roman" w:eastAsia="Calibri" w:hAnsi="Times New Roman" w:cs="Times New Roman"/>
                <w:bCs/>
                <w:sz w:val="20"/>
                <w:szCs w:val="20"/>
              </w:rPr>
            </w:pPr>
            <w:r w:rsidRPr="00E376A8">
              <w:rPr>
                <w:rFonts w:ascii="Times New Roman" w:eastAsia="Calibri" w:hAnsi="Times New Roman" w:cs="Times New Roman"/>
                <w:bCs/>
                <w:sz w:val="20"/>
                <w:szCs w:val="20"/>
              </w:rPr>
              <w:t xml:space="preserve">Proportion of </w:t>
            </w:r>
            <w:r w:rsidRPr="00356ADA">
              <w:rPr>
                <w:rFonts w:ascii="Times New Roman" w:eastAsia="Calibri" w:hAnsi="Times New Roman" w:cs="Times New Roman"/>
                <w:bCs/>
                <w:sz w:val="20"/>
                <w:szCs w:val="20"/>
              </w:rPr>
              <w:t>capital expenditure to total assets</w:t>
            </w:r>
            <w:r>
              <w:rPr>
                <w:rFonts w:ascii="Times New Roman" w:eastAsia="Calibri" w:hAnsi="Times New Roman" w:cs="Times New Roman"/>
                <w:bCs/>
                <w:sz w:val="20"/>
                <w:szCs w:val="20"/>
              </w:rPr>
              <w:t>.</w:t>
            </w:r>
          </w:p>
        </w:tc>
      </w:tr>
      <w:tr w:rsidR="00236B90" w:rsidRPr="00233EC8" w14:paraId="4A29A377" w14:textId="77777777" w:rsidTr="00CE48CF">
        <w:trPr>
          <w:gridAfter w:val="1"/>
          <w:wAfter w:w="7" w:type="dxa"/>
        </w:trPr>
        <w:tc>
          <w:tcPr>
            <w:tcW w:w="988" w:type="dxa"/>
            <w:tcBorders>
              <w:top w:val="nil"/>
              <w:bottom w:val="single" w:sz="8" w:space="0" w:color="auto"/>
            </w:tcBorders>
          </w:tcPr>
          <w:p w14:paraId="0A0A7130" w14:textId="56BD8C56" w:rsidR="00236B90" w:rsidRDefault="00236B90" w:rsidP="00356ADA">
            <w:pPr>
              <w:numPr>
                <w:ilvl w:val="0"/>
                <w:numId w:val="1"/>
              </w:numPr>
              <w:tabs>
                <w:tab w:val="clear" w:pos="0"/>
              </w:tabs>
              <w:jc w:val="both"/>
              <w:rPr>
                <w:rFonts w:ascii="Times New Roman" w:eastAsia="Calibri" w:hAnsi="Times New Roman" w:cs="Times New Roman"/>
                <w:bCs/>
                <w:sz w:val="20"/>
                <w:szCs w:val="20"/>
              </w:rPr>
            </w:pPr>
            <w:r>
              <w:rPr>
                <w:rFonts w:ascii="Times New Roman" w:eastAsia="Calibri" w:hAnsi="Times New Roman" w:cs="Times New Roman"/>
                <w:bCs/>
                <w:sz w:val="20"/>
                <w:szCs w:val="20"/>
              </w:rPr>
              <w:t>YEARD</w:t>
            </w:r>
          </w:p>
        </w:tc>
        <w:tc>
          <w:tcPr>
            <w:tcW w:w="8333" w:type="dxa"/>
            <w:tcBorders>
              <w:top w:val="nil"/>
              <w:bottom w:val="single" w:sz="8" w:space="0" w:color="auto"/>
            </w:tcBorders>
          </w:tcPr>
          <w:p w14:paraId="4DA4E673" w14:textId="242C4E6C" w:rsidR="00236B90" w:rsidRPr="00E376A8" w:rsidRDefault="00CE5811" w:rsidP="00356ADA">
            <w:pPr>
              <w:numPr>
                <w:ilvl w:val="0"/>
                <w:numId w:val="1"/>
              </w:numPr>
              <w:tabs>
                <w:tab w:val="clear" w:pos="0"/>
              </w:tabs>
              <w:jc w:val="both"/>
              <w:rPr>
                <w:rFonts w:ascii="Times New Roman" w:eastAsia="Calibri" w:hAnsi="Times New Roman" w:cs="Times New Roman"/>
                <w:bCs/>
                <w:sz w:val="20"/>
                <w:szCs w:val="20"/>
              </w:rPr>
            </w:pPr>
            <w:r>
              <w:rPr>
                <w:rFonts w:ascii="Times New Roman" w:eastAsia="Calibri" w:hAnsi="Times New Roman" w:cs="Times New Roman"/>
                <w:bCs/>
                <w:sz w:val="20"/>
                <w:szCs w:val="20"/>
              </w:rPr>
              <w:t>Dummies for each of the examined six years (2009-2014).</w:t>
            </w:r>
          </w:p>
        </w:tc>
      </w:tr>
      <w:bookmarkEnd w:id="14"/>
    </w:tbl>
    <w:p w14:paraId="174FCDB5" w14:textId="4C7A903B" w:rsidR="004241ED" w:rsidRPr="00233EC8" w:rsidRDefault="004241ED" w:rsidP="00CB2B95">
      <w:pPr>
        <w:spacing w:after="0" w:line="240" w:lineRule="auto"/>
        <w:contextualSpacing/>
        <w:rPr>
          <w:rFonts w:asciiTheme="majorBidi" w:hAnsiTheme="majorBidi" w:cstheme="majorBidi"/>
          <w:b/>
          <w:sz w:val="20"/>
          <w:szCs w:val="20"/>
        </w:rPr>
      </w:pPr>
    </w:p>
    <w:p w14:paraId="46DFE993" w14:textId="77777777" w:rsidR="004241ED" w:rsidRPr="00233EC8" w:rsidRDefault="004241ED" w:rsidP="00CB2B95">
      <w:pPr>
        <w:spacing w:after="0" w:line="240" w:lineRule="auto"/>
        <w:ind w:left="-284"/>
        <w:rPr>
          <w:rFonts w:asciiTheme="majorBidi" w:hAnsiTheme="majorBidi" w:cstheme="majorBidi"/>
        </w:rPr>
      </w:pPr>
    </w:p>
    <w:p w14:paraId="17107875" w14:textId="77777777" w:rsidR="004241ED" w:rsidRPr="00233EC8" w:rsidRDefault="004241ED" w:rsidP="00CB2B95">
      <w:pPr>
        <w:spacing w:after="0" w:line="240" w:lineRule="auto"/>
        <w:rPr>
          <w:rFonts w:asciiTheme="majorBidi" w:hAnsiTheme="majorBidi" w:cstheme="majorBidi"/>
          <w:b/>
          <w:sz w:val="20"/>
          <w:szCs w:val="20"/>
        </w:rPr>
      </w:pPr>
      <w:r w:rsidRPr="00233EC8">
        <w:rPr>
          <w:rFonts w:asciiTheme="majorBidi" w:hAnsiTheme="majorBidi" w:cstheme="majorBidi"/>
          <w:b/>
          <w:sz w:val="20"/>
          <w:szCs w:val="20"/>
        </w:rPr>
        <w:t xml:space="preserve"> </w:t>
      </w:r>
    </w:p>
    <w:p w14:paraId="6DE9E1FD" w14:textId="610A4232" w:rsidR="004241ED" w:rsidRDefault="004241ED" w:rsidP="00CB2B95"/>
    <w:p w14:paraId="619A58F8" w14:textId="77777777" w:rsidR="00CE617A" w:rsidRPr="00233EC8" w:rsidRDefault="00CE617A" w:rsidP="00CB2B95"/>
    <w:p w14:paraId="408F9DAC" w14:textId="77777777" w:rsidR="004241ED" w:rsidRPr="00233EC8" w:rsidRDefault="004241ED" w:rsidP="00CB2B95"/>
    <w:p w14:paraId="60A0A593" w14:textId="77777777" w:rsidR="004241ED" w:rsidRPr="00233EC8" w:rsidRDefault="004241ED" w:rsidP="00CB2B95"/>
    <w:tbl>
      <w:tblPr>
        <w:tblW w:w="8210" w:type="dxa"/>
        <w:tblInd w:w="808" w:type="dxa"/>
        <w:tblLook w:val="00A0" w:firstRow="1" w:lastRow="0" w:firstColumn="1" w:lastColumn="0" w:noHBand="0" w:noVBand="0"/>
      </w:tblPr>
      <w:tblGrid>
        <w:gridCol w:w="2594"/>
        <w:gridCol w:w="992"/>
        <w:gridCol w:w="1276"/>
        <w:gridCol w:w="1134"/>
        <w:gridCol w:w="1078"/>
        <w:gridCol w:w="1136"/>
      </w:tblGrid>
      <w:tr w:rsidR="00F24425" w:rsidRPr="00F24425" w14:paraId="072F54C1" w14:textId="77777777" w:rsidTr="00CA2415">
        <w:trPr>
          <w:trHeight w:val="207"/>
        </w:trPr>
        <w:tc>
          <w:tcPr>
            <w:tcW w:w="8210" w:type="dxa"/>
            <w:gridSpan w:val="6"/>
            <w:tcBorders>
              <w:bottom w:val="single" w:sz="12" w:space="0" w:color="auto"/>
            </w:tcBorders>
            <w:noWrap/>
          </w:tcPr>
          <w:p w14:paraId="41FC4D54" w14:textId="1DF9C60C" w:rsidR="00F24425" w:rsidRPr="00F24425" w:rsidRDefault="00F24425" w:rsidP="00356ADA">
            <w:pPr>
              <w:spacing w:after="0" w:line="240" w:lineRule="auto"/>
              <w:rPr>
                <w:rFonts w:ascii="Times New Roman" w:eastAsia="SimSun" w:hAnsi="Times New Roman" w:cs="Times New Roman"/>
                <w:sz w:val="20"/>
                <w:szCs w:val="20"/>
                <w:lang w:val="en-US" w:eastAsia="en-GB"/>
              </w:rPr>
            </w:pPr>
            <w:r w:rsidRPr="00F24425">
              <w:rPr>
                <w:rFonts w:ascii="Times New Roman" w:eastAsia="Calibri" w:hAnsi="Times New Roman" w:cs="Times New Roman"/>
                <w:b/>
                <w:sz w:val="20"/>
                <w:szCs w:val="20"/>
              </w:rPr>
              <w:lastRenderedPageBreak/>
              <w:t xml:space="preserve">Table </w:t>
            </w:r>
            <w:r w:rsidR="00C9224B">
              <w:rPr>
                <w:rFonts w:ascii="Times New Roman" w:eastAsia="Calibri" w:hAnsi="Times New Roman" w:cs="Times New Roman"/>
                <w:b/>
                <w:sz w:val="20"/>
                <w:szCs w:val="20"/>
              </w:rPr>
              <w:t>3</w:t>
            </w:r>
            <w:r w:rsidR="00FE0152">
              <w:rPr>
                <w:rFonts w:ascii="Times New Roman" w:eastAsia="Calibri" w:hAnsi="Times New Roman" w:cs="Times New Roman"/>
                <w:b/>
                <w:sz w:val="20"/>
                <w:szCs w:val="20"/>
              </w:rPr>
              <w:t>.</w:t>
            </w:r>
            <w:r w:rsidRPr="00F24425">
              <w:rPr>
                <w:rFonts w:ascii="Times New Roman" w:eastAsia="Calibri" w:hAnsi="Times New Roman" w:cs="Times New Roman"/>
                <w:b/>
                <w:sz w:val="20"/>
                <w:szCs w:val="20"/>
              </w:rPr>
              <w:t xml:space="preserve"> </w:t>
            </w:r>
            <w:r w:rsidRPr="00F24425">
              <w:rPr>
                <w:rFonts w:ascii="Times New Roman" w:eastAsia="Calibri" w:hAnsi="Times New Roman" w:cs="Times New Roman"/>
                <w:bCs/>
                <w:sz w:val="20"/>
                <w:szCs w:val="20"/>
              </w:rPr>
              <w:t xml:space="preserve">Descriptive statistics of the </w:t>
            </w:r>
            <w:r w:rsidR="002E61AC">
              <w:rPr>
                <w:rFonts w:ascii="Times New Roman" w:eastAsia="Calibri" w:hAnsi="Times New Roman" w:cs="Times New Roman"/>
                <w:bCs/>
                <w:sz w:val="20"/>
                <w:szCs w:val="20"/>
              </w:rPr>
              <w:t>governance quality index</w:t>
            </w:r>
            <w:r w:rsidRPr="00F24425">
              <w:rPr>
                <w:rFonts w:ascii="Times New Roman" w:eastAsia="Calibri" w:hAnsi="Times New Roman" w:cs="Times New Roman"/>
                <w:bCs/>
                <w:sz w:val="20"/>
                <w:szCs w:val="20"/>
              </w:rPr>
              <w:t>, interaction and control</w:t>
            </w:r>
            <w:r w:rsidR="002E61AC">
              <w:rPr>
                <w:rFonts w:ascii="Times New Roman" w:eastAsia="Calibri" w:hAnsi="Times New Roman" w:cs="Times New Roman"/>
                <w:bCs/>
                <w:sz w:val="20"/>
                <w:szCs w:val="20"/>
              </w:rPr>
              <w:t xml:space="preserve"> variable</w:t>
            </w:r>
            <w:r w:rsidRPr="00F24425">
              <w:rPr>
                <w:rFonts w:ascii="Times New Roman" w:eastAsia="Calibri" w:hAnsi="Times New Roman" w:cs="Times New Roman"/>
                <w:bCs/>
                <w:sz w:val="20"/>
                <w:szCs w:val="20"/>
              </w:rPr>
              <w:t xml:space="preserve">s for UK </w:t>
            </w:r>
            <w:r w:rsidR="002E61AC">
              <w:rPr>
                <w:rFonts w:ascii="Times New Roman" w:eastAsia="Calibri" w:hAnsi="Times New Roman" w:cs="Times New Roman"/>
                <w:bCs/>
                <w:sz w:val="20"/>
                <w:szCs w:val="20"/>
              </w:rPr>
              <w:t>higher education institutions</w:t>
            </w:r>
            <w:r w:rsidRPr="00F24425">
              <w:rPr>
                <w:rFonts w:ascii="Times New Roman" w:eastAsia="Calibri" w:hAnsi="Times New Roman" w:cs="Times New Roman"/>
                <w:bCs/>
                <w:sz w:val="20"/>
                <w:szCs w:val="20"/>
              </w:rPr>
              <w:t>.</w:t>
            </w:r>
          </w:p>
        </w:tc>
      </w:tr>
      <w:tr w:rsidR="00F24425" w:rsidRPr="00F24425" w14:paraId="4EE496FA" w14:textId="77777777" w:rsidTr="00CA2415">
        <w:trPr>
          <w:trHeight w:val="230"/>
        </w:trPr>
        <w:tc>
          <w:tcPr>
            <w:tcW w:w="2594" w:type="dxa"/>
            <w:vMerge w:val="restart"/>
            <w:tcBorders>
              <w:top w:val="single" w:sz="12" w:space="0" w:color="auto"/>
              <w:bottom w:val="single" w:sz="2" w:space="0" w:color="auto"/>
            </w:tcBorders>
            <w:noWrap/>
            <w:vAlign w:val="center"/>
          </w:tcPr>
          <w:p w14:paraId="3DD31D4C" w14:textId="77777777" w:rsidR="00F24425" w:rsidRPr="007C567E" w:rsidRDefault="00F24425" w:rsidP="00356ADA">
            <w:pPr>
              <w:spacing w:after="0" w:line="240" w:lineRule="auto"/>
              <w:rPr>
                <w:rFonts w:ascii="Times New Roman" w:eastAsia="SimSun" w:hAnsi="Times New Roman" w:cs="Times New Roman"/>
                <w:sz w:val="20"/>
                <w:szCs w:val="20"/>
                <w:lang w:val="en-US" w:eastAsia="en-GB"/>
              </w:rPr>
            </w:pPr>
          </w:p>
          <w:p w14:paraId="6717B463" w14:textId="77777777" w:rsidR="00F24425" w:rsidRPr="007C567E" w:rsidRDefault="00F24425" w:rsidP="00356ADA">
            <w:pPr>
              <w:spacing w:after="0" w:line="240" w:lineRule="auto"/>
              <w:rPr>
                <w:rFonts w:ascii="Times New Roman" w:eastAsia="SimSun" w:hAnsi="Times New Roman" w:cs="Times New Roman"/>
                <w:sz w:val="20"/>
                <w:szCs w:val="20"/>
                <w:lang w:val="en-US" w:eastAsia="en-GB"/>
              </w:rPr>
            </w:pPr>
          </w:p>
          <w:p w14:paraId="13703A9F" w14:textId="77777777" w:rsidR="00F24425" w:rsidRPr="007C567E" w:rsidRDefault="00F24425" w:rsidP="00356ADA">
            <w:pPr>
              <w:spacing w:after="0" w:line="240" w:lineRule="auto"/>
              <w:rPr>
                <w:rFonts w:ascii="Times New Roman" w:eastAsia="SimSun" w:hAnsi="Times New Roman" w:cs="Times New Roman"/>
                <w:b/>
                <w:bCs/>
                <w:sz w:val="20"/>
                <w:szCs w:val="20"/>
                <w:lang w:val="en-US" w:eastAsia="en-GB"/>
              </w:rPr>
            </w:pPr>
            <w:r w:rsidRPr="007C567E">
              <w:rPr>
                <w:rFonts w:ascii="Times New Roman" w:eastAsia="SimSun" w:hAnsi="Times New Roman" w:cs="Times New Roman"/>
                <w:sz w:val="20"/>
                <w:szCs w:val="20"/>
                <w:lang w:val="en-US" w:eastAsia="en-GB"/>
              </w:rPr>
              <w:t>Variables</w:t>
            </w:r>
          </w:p>
        </w:tc>
        <w:tc>
          <w:tcPr>
            <w:tcW w:w="992" w:type="dxa"/>
            <w:vMerge w:val="restart"/>
            <w:tcBorders>
              <w:top w:val="single" w:sz="12" w:space="0" w:color="auto"/>
              <w:bottom w:val="single" w:sz="2" w:space="0" w:color="auto"/>
            </w:tcBorders>
            <w:vAlign w:val="center"/>
          </w:tcPr>
          <w:p w14:paraId="53859484" w14:textId="77777777" w:rsidR="00F24425" w:rsidRPr="007C567E" w:rsidRDefault="00F24425" w:rsidP="00356ADA">
            <w:pPr>
              <w:spacing w:after="0" w:line="240" w:lineRule="auto"/>
              <w:jc w:val="right"/>
              <w:rPr>
                <w:rFonts w:ascii="Times New Roman" w:eastAsia="SimSun" w:hAnsi="Times New Roman" w:cs="Times New Roman"/>
                <w:sz w:val="20"/>
                <w:szCs w:val="20"/>
                <w:lang w:val="en-US" w:eastAsia="en-GB"/>
              </w:rPr>
            </w:pPr>
          </w:p>
          <w:p w14:paraId="469F72FB" w14:textId="77777777" w:rsidR="00F24425" w:rsidRPr="007C567E" w:rsidRDefault="00F24425" w:rsidP="00356ADA">
            <w:pPr>
              <w:spacing w:after="0" w:line="240" w:lineRule="auto"/>
              <w:jc w:val="right"/>
              <w:rPr>
                <w:rFonts w:ascii="Times New Roman" w:eastAsia="SimSun" w:hAnsi="Times New Roman" w:cs="Times New Roman"/>
                <w:sz w:val="20"/>
                <w:szCs w:val="20"/>
                <w:lang w:val="en-US" w:eastAsia="en-GB"/>
              </w:rPr>
            </w:pPr>
          </w:p>
          <w:p w14:paraId="6E0AD7A7" w14:textId="77777777" w:rsidR="00F24425" w:rsidRPr="007C567E" w:rsidRDefault="00F24425" w:rsidP="00356ADA">
            <w:pPr>
              <w:spacing w:after="0" w:line="240" w:lineRule="auto"/>
              <w:jc w:val="right"/>
              <w:rPr>
                <w:rFonts w:ascii="Times New Roman" w:eastAsia="SimSun" w:hAnsi="Times New Roman" w:cs="Times New Roman"/>
                <w:b/>
                <w:bCs/>
                <w:sz w:val="20"/>
                <w:szCs w:val="20"/>
                <w:lang w:val="en-US" w:eastAsia="en-GB"/>
              </w:rPr>
            </w:pPr>
            <w:r w:rsidRPr="007C567E">
              <w:rPr>
                <w:rFonts w:ascii="Times New Roman" w:eastAsia="SimSun" w:hAnsi="Times New Roman" w:cs="Times New Roman"/>
                <w:sz w:val="20"/>
                <w:szCs w:val="20"/>
                <w:lang w:val="en-US" w:eastAsia="en-GB"/>
              </w:rPr>
              <w:t>Mean</w:t>
            </w:r>
          </w:p>
        </w:tc>
        <w:tc>
          <w:tcPr>
            <w:tcW w:w="1276" w:type="dxa"/>
            <w:vMerge w:val="restart"/>
            <w:tcBorders>
              <w:top w:val="single" w:sz="12" w:space="0" w:color="auto"/>
              <w:bottom w:val="single" w:sz="2" w:space="0" w:color="auto"/>
            </w:tcBorders>
            <w:vAlign w:val="center"/>
          </w:tcPr>
          <w:p w14:paraId="31002505" w14:textId="77777777" w:rsidR="00F24425" w:rsidRPr="007C567E" w:rsidRDefault="00F24425" w:rsidP="00356ADA">
            <w:pPr>
              <w:spacing w:after="0" w:line="240" w:lineRule="auto"/>
              <w:jc w:val="right"/>
              <w:rPr>
                <w:rFonts w:ascii="Times New Roman" w:eastAsia="SimSun" w:hAnsi="Times New Roman" w:cs="Times New Roman"/>
                <w:sz w:val="20"/>
                <w:szCs w:val="20"/>
                <w:lang w:val="en-US" w:eastAsia="en-GB"/>
              </w:rPr>
            </w:pPr>
          </w:p>
          <w:p w14:paraId="6D98F453" w14:textId="77777777" w:rsidR="00F24425" w:rsidRPr="007C567E" w:rsidRDefault="00F24425" w:rsidP="00356ADA">
            <w:pPr>
              <w:spacing w:after="0" w:line="240" w:lineRule="auto"/>
              <w:jc w:val="right"/>
              <w:rPr>
                <w:rFonts w:ascii="Times New Roman" w:eastAsia="SimSun" w:hAnsi="Times New Roman" w:cs="Times New Roman"/>
                <w:sz w:val="20"/>
                <w:szCs w:val="20"/>
                <w:lang w:val="en-US" w:eastAsia="en-GB"/>
              </w:rPr>
            </w:pPr>
          </w:p>
          <w:p w14:paraId="1FE2073F" w14:textId="77777777" w:rsidR="00F24425" w:rsidRPr="007C567E" w:rsidRDefault="00F24425" w:rsidP="00356ADA">
            <w:pPr>
              <w:spacing w:after="0" w:line="240" w:lineRule="auto"/>
              <w:jc w:val="right"/>
              <w:rPr>
                <w:rFonts w:ascii="Times New Roman" w:eastAsia="SimSun" w:hAnsi="Times New Roman" w:cs="Times New Roman"/>
                <w:b/>
                <w:bCs/>
                <w:sz w:val="20"/>
                <w:szCs w:val="20"/>
                <w:lang w:val="en-US" w:eastAsia="en-GB"/>
              </w:rPr>
            </w:pPr>
            <w:r w:rsidRPr="007C567E">
              <w:rPr>
                <w:rFonts w:ascii="Times New Roman" w:eastAsia="SimSun" w:hAnsi="Times New Roman" w:cs="Times New Roman"/>
                <w:sz w:val="20"/>
                <w:szCs w:val="20"/>
                <w:lang w:val="en-US" w:eastAsia="en-GB"/>
              </w:rPr>
              <w:t>Median</w:t>
            </w:r>
          </w:p>
        </w:tc>
        <w:tc>
          <w:tcPr>
            <w:tcW w:w="1134" w:type="dxa"/>
            <w:vMerge w:val="restart"/>
            <w:tcBorders>
              <w:top w:val="single" w:sz="12" w:space="0" w:color="auto"/>
              <w:bottom w:val="single" w:sz="2" w:space="0" w:color="auto"/>
            </w:tcBorders>
            <w:vAlign w:val="center"/>
          </w:tcPr>
          <w:p w14:paraId="3D3CAF5D" w14:textId="77777777" w:rsidR="00F24425" w:rsidRPr="007C567E" w:rsidRDefault="00F24425" w:rsidP="00356ADA">
            <w:pPr>
              <w:spacing w:after="0" w:line="240" w:lineRule="auto"/>
              <w:jc w:val="right"/>
              <w:rPr>
                <w:rFonts w:ascii="Times New Roman" w:eastAsia="SimSun" w:hAnsi="Times New Roman" w:cs="Times New Roman"/>
                <w:sz w:val="20"/>
                <w:szCs w:val="20"/>
                <w:lang w:val="en-US" w:eastAsia="en-GB"/>
              </w:rPr>
            </w:pPr>
          </w:p>
          <w:p w14:paraId="5C205475" w14:textId="77777777" w:rsidR="00F24425" w:rsidRPr="007C567E" w:rsidRDefault="00F24425" w:rsidP="00356ADA">
            <w:pPr>
              <w:spacing w:after="0" w:line="240" w:lineRule="auto"/>
              <w:jc w:val="right"/>
              <w:rPr>
                <w:rFonts w:ascii="Times New Roman" w:eastAsia="SimSun" w:hAnsi="Times New Roman" w:cs="Times New Roman"/>
                <w:sz w:val="20"/>
                <w:szCs w:val="20"/>
                <w:lang w:val="en-US" w:eastAsia="en-GB"/>
              </w:rPr>
            </w:pPr>
          </w:p>
          <w:p w14:paraId="5F54E5E4" w14:textId="77777777" w:rsidR="00F24425" w:rsidRPr="007C567E" w:rsidRDefault="00F24425" w:rsidP="00356ADA">
            <w:pPr>
              <w:spacing w:after="0" w:line="240" w:lineRule="auto"/>
              <w:jc w:val="right"/>
              <w:rPr>
                <w:rFonts w:ascii="Times New Roman" w:eastAsia="SimSun" w:hAnsi="Times New Roman" w:cs="Times New Roman"/>
                <w:b/>
                <w:bCs/>
                <w:sz w:val="20"/>
                <w:szCs w:val="20"/>
                <w:lang w:val="en-US" w:eastAsia="en-GB"/>
              </w:rPr>
            </w:pPr>
            <w:r w:rsidRPr="007C567E">
              <w:rPr>
                <w:rFonts w:ascii="Times New Roman" w:eastAsia="SimSun" w:hAnsi="Times New Roman" w:cs="Times New Roman"/>
                <w:sz w:val="20"/>
                <w:szCs w:val="20"/>
                <w:lang w:val="en-US" w:eastAsia="en-GB"/>
              </w:rPr>
              <w:t>Std. Dev.</w:t>
            </w:r>
          </w:p>
        </w:tc>
        <w:tc>
          <w:tcPr>
            <w:tcW w:w="1078" w:type="dxa"/>
            <w:vMerge w:val="restart"/>
            <w:tcBorders>
              <w:top w:val="single" w:sz="12" w:space="0" w:color="auto"/>
              <w:bottom w:val="single" w:sz="2" w:space="0" w:color="auto"/>
            </w:tcBorders>
            <w:vAlign w:val="center"/>
          </w:tcPr>
          <w:p w14:paraId="5704506A" w14:textId="77777777" w:rsidR="00F24425" w:rsidRPr="007C567E" w:rsidRDefault="00F24425" w:rsidP="00356ADA">
            <w:pPr>
              <w:spacing w:after="0" w:line="240" w:lineRule="auto"/>
              <w:jc w:val="right"/>
              <w:rPr>
                <w:rFonts w:ascii="Times New Roman" w:eastAsia="SimSun" w:hAnsi="Times New Roman" w:cs="Times New Roman"/>
                <w:sz w:val="20"/>
                <w:szCs w:val="20"/>
                <w:lang w:val="en-US" w:eastAsia="en-GB"/>
              </w:rPr>
            </w:pPr>
          </w:p>
          <w:p w14:paraId="5B8DE49F" w14:textId="77777777" w:rsidR="00F24425" w:rsidRPr="007C567E" w:rsidRDefault="00F24425" w:rsidP="00356ADA">
            <w:pPr>
              <w:spacing w:after="0" w:line="240" w:lineRule="auto"/>
              <w:jc w:val="right"/>
              <w:rPr>
                <w:rFonts w:ascii="Times New Roman" w:eastAsia="SimSun" w:hAnsi="Times New Roman" w:cs="Times New Roman"/>
                <w:sz w:val="20"/>
                <w:szCs w:val="20"/>
                <w:lang w:val="en-US" w:eastAsia="en-GB"/>
              </w:rPr>
            </w:pPr>
          </w:p>
          <w:p w14:paraId="6D889A1A" w14:textId="77777777" w:rsidR="00F24425" w:rsidRPr="007C567E" w:rsidRDefault="00F24425" w:rsidP="00356ADA">
            <w:pPr>
              <w:spacing w:after="0" w:line="240" w:lineRule="auto"/>
              <w:jc w:val="right"/>
              <w:rPr>
                <w:rFonts w:ascii="Times New Roman" w:eastAsia="SimSun" w:hAnsi="Times New Roman" w:cs="Times New Roman"/>
                <w:b/>
                <w:bCs/>
                <w:sz w:val="20"/>
                <w:szCs w:val="20"/>
                <w:lang w:val="en-US" w:eastAsia="en-GB"/>
              </w:rPr>
            </w:pPr>
            <w:r w:rsidRPr="007C567E">
              <w:rPr>
                <w:rFonts w:ascii="Times New Roman" w:eastAsia="SimSun" w:hAnsi="Times New Roman" w:cs="Times New Roman"/>
                <w:sz w:val="20"/>
                <w:szCs w:val="20"/>
                <w:lang w:val="en-US" w:eastAsia="en-GB"/>
              </w:rPr>
              <w:t>Min</w:t>
            </w:r>
          </w:p>
        </w:tc>
        <w:tc>
          <w:tcPr>
            <w:tcW w:w="1136" w:type="dxa"/>
            <w:vMerge w:val="restart"/>
            <w:tcBorders>
              <w:top w:val="single" w:sz="12" w:space="0" w:color="auto"/>
              <w:bottom w:val="single" w:sz="2" w:space="0" w:color="auto"/>
            </w:tcBorders>
            <w:vAlign w:val="center"/>
          </w:tcPr>
          <w:p w14:paraId="2C8CB854" w14:textId="77777777" w:rsidR="00F24425" w:rsidRPr="007C567E" w:rsidRDefault="00F24425" w:rsidP="00356ADA">
            <w:pPr>
              <w:spacing w:after="0" w:line="240" w:lineRule="auto"/>
              <w:jc w:val="right"/>
              <w:rPr>
                <w:rFonts w:ascii="Times New Roman" w:eastAsia="SimSun" w:hAnsi="Times New Roman" w:cs="Times New Roman"/>
                <w:sz w:val="20"/>
                <w:szCs w:val="20"/>
                <w:lang w:val="en-US" w:eastAsia="en-GB"/>
              </w:rPr>
            </w:pPr>
          </w:p>
          <w:p w14:paraId="2D88431C" w14:textId="77777777" w:rsidR="00F24425" w:rsidRPr="007C567E" w:rsidRDefault="00F24425" w:rsidP="00356ADA">
            <w:pPr>
              <w:spacing w:after="0" w:line="240" w:lineRule="auto"/>
              <w:jc w:val="right"/>
              <w:rPr>
                <w:rFonts w:ascii="Times New Roman" w:eastAsia="SimSun" w:hAnsi="Times New Roman" w:cs="Times New Roman"/>
                <w:sz w:val="20"/>
                <w:szCs w:val="20"/>
                <w:lang w:val="en-US" w:eastAsia="en-GB"/>
              </w:rPr>
            </w:pPr>
          </w:p>
          <w:p w14:paraId="5F8365C8" w14:textId="77777777" w:rsidR="00F24425" w:rsidRPr="007C567E" w:rsidRDefault="00F24425" w:rsidP="00356ADA">
            <w:pPr>
              <w:spacing w:after="0" w:line="240" w:lineRule="auto"/>
              <w:jc w:val="right"/>
              <w:rPr>
                <w:rFonts w:ascii="Times New Roman" w:eastAsia="SimSun" w:hAnsi="Times New Roman" w:cs="Times New Roman"/>
                <w:b/>
                <w:bCs/>
                <w:sz w:val="20"/>
                <w:szCs w:val="20"/>
                <w:lang w:val="en-US" w:eastAsia="en-GB"/>
              </w:rPr>
            </w:pPr>
            <w:r w:rsidRPr="007C567E">
              <w:rPr>
                <w:rFonts w:ascii="Times New Roman" w:eastAsia="SimSun" w:hAnsi="Times New Roman" w:cs="Times New Roman"/>
                <w:sz w:val="20"/>
                <w:szCs w:val="20"/>
                <w:lang w:val="en-US" w:eastAsia="en-GB"/>
              </w:rPr>
              <w:t>Max</w:t>
            </w:r>
          </w:p>
        </w:tc>
      </w:tr>
      <w:tr w:rsidR="00F24425" w:rsidRPr="00F24425" w14:paraId="29AEC7D5" w14:textId="77777777" w:rsidTr="00CA2415">
        <w:trPr>
          <w:trHeight w:val="230"/>
        </w:trPr>
        <w:tc>
          <w:tcPr>
            <w:tcW w:w="2594" w:type="dxa"/>
            <w:vMerge/>
            <w:tcBorders>
              <w:bottom w:val="single" w:sz="2" w:space="0" w:color="auto"/>
            </w:tcBorders>
            <w:noWrap/>
            <w:vAlign w:val="center"/>
          </w:tcPr>
          <w:p w14:paraId="3280CF2F" w14:textId="77777777" w:rsidR="00F24425" w:rsidRPr="007C567E" w:rsidRDefault="00F24425" w:rsidP="00356ADA">
            <w:pPr>
              <w:spacing w:after="0" w:line="240" w:lineRule="auto"/>
              <w:rPr>
                <w:rFonts w:ascii="Times New Roman" w:eastAsia="SimSun" w:hAnsi="Times New Roman" w:cs="Times New Roman"/>
                <w:sz w:val="20"/>
                <w:szCs w:val="20"/>
                <w:lang w:val="en-US" w:eastAsia="en-GB"/>
              </w:rPr>
            </w:pPr>
          </w:p>
        </w:tc>
        <w:tc>
          <w:tcPr>
            <w:tcW w:w="992" w:type="dxa"/>
            <w:vMerge/>
            <w:tcBorders>
              <w:bottom w:val="single" w:sz="2" w:space="0" w:color="auto"/>
            </w:tcBorders>
            <w:vAlign w:val="center"/>
          </w:tcPr>
          <w:p w14:paraId="12991A2A" w14:textId="77777777" w:rsidR="00F24425" w:rsidRPr="007C567E" w:rsidRDefault="00F24425" w:rsidP="00356ADA">
            <w:pPr>
              <w:spacing w:after="0" w:line="240" w:lineRule="auto"/>
              <w:jc w:val="right"/>
              <w:rPr>
                <w:rFonts w:ascii="Times New Roman" w:eastAsia="SimSun" w:hAnsi="Times New Roman" w:cs="Times New Roman"/>
                <w:sz w:val="20"/>
                <w:szCs w:val="20"/>
                <w:lang w:val="en-US" w:eastAsia="en-GB"/>
              </w:rPr>
            </w:pPr>
          </w:p>
        </w:tc>
        <w:tc>
          <w:tcPr>
            <w:tcW w:w="1276" w:type="dxa"/>
            <w:vMerge/>
            <w:tcBorders>
              <w:bottom w:val="single" w:sz="2" w:space="0" w:color="auto"/>
            </w:tcBorders>
            <w:vAlign w:val="center"/>
          </w:tcPr>
          <w:p w14:paraId="168D79CD" w14:textId="77777777" w:rsidR="00F24425" w:rsidRPr="007C567E" w:rsidRDefault="00F24425" w:rsidP="00356ADA">
            <w:pPr>
              <w:spacing w:after="0" w:line="240" w:lineRule="auto"/>
              <w:jc w:val="right"/>
              <w:rPr>
                <w:rFonts w:ascii="Times New Roman" w:eastAsia="SimSun" w:hAnsi="Times New Roman" w:cs="Times New Roman"/>
                <w:sz w:val="20"/>
                <w:szCs w:val="20"/>
                <w:lang w:val="en-US" w:eastAsia="en-GB"/>
              </w:rPr>
            </w:pPr>
          </w:p>
        </w:tc>
        <w:tc>
          <w:tcPr>
            <w:tcW w:w="1134" w:type="dxa"/>
            <w:vMerge/>
            <w:tcBorders>
              <w:bottom w:val="single" w:sz="2" w:space="0" w:color="auto"/>
            </w:tcBorders>
            <w:vAlign w:val="center"/>
          </w:tcPr>
          <w:p w14:paraId="4C867E52" w14:textId="77777777" w:rsidR="00F24425" w:rsidRPr="007C567E" w:rsidRDefault="00F24425" w:rsidP="00356ADA">
            <w:pPr>
              <w:spacing w:after="0" w:line="240" w:lineRule="auto"/>
              <w:jc w:val="right"/>
              <w:rPr>
                <w:rFonts w:ascii="Times New Roman" w:eastAsia="SimSun" w:hAnsi="Times New Roman" w:cs="Times New Roman"/>
                <w:sz w:val="20"/>
                <w:szCs w:val="20"/>
                <w:lang w:val="en-US" w:eastAsia="en-GB"/>
              </w:rPr>
            </w:pPr>
          </w:p>
        </w:tc>
        <w:tc>
          <w:tcPr>
            <w:tcW w:w="1078" w:type="dxa"/>
            <w:vMerge/>
            <w:tcBorders>
              <w:bottom w:val="single" w:sz="2" w:space="0" w:color="auto"/>
            </w:tcBorders>
            <w:vAlign w:val="center"/>
          </w:tcPr>
          <w:p w14:paraId="5EA8E940" w14:textId="77777777" w:rsidR="00F24425" w:rsidRPr="007C567E" w:rsidRDefault="00F24425" w:rsidP="00356ADA">
            <w:pPr>
              <w:spacing w:after="0" w:line="240" w:lineRule="auto"/>
              <w:jc w:val="right"/>
              <w:rPr>
                <w:rFonts w:ascii="Times New Roman" w:eastAsia="SimSun" w:hAnsi="Times New Roman" w:cs="Times New Roman"/>
                <w:sz w:val="20"/>
                <w:szCs w:val="20"/>
                <w:lang w:val="en-US" w:eastAsia="en-GB"/>
              </w:rPr>
            </w:pPr>
          </w:p>
        </w:tc>
        <w:tc>
          <w:tcPr>
            <w:tcW w:w="1136" w:type="dxa"/>
            <w:vMerge/>
            <w:tcBorders>
              <w:bottom w:val="single" w:sz="2" w:space="0" w:color="auto"/>
            </w:tcBorders>
            <w:vAlign w:val="center"/>
          </w:tcPr>
          <w:p w14:paraId="110937CF" w14:textId="77777777" w:rsidR="00F24425" w:rsidRPr="007C567E" w:rsidRDefault="00F24425" w:rsidP="00356ADA">
            <w:pPr>
              <w:spacing w:after="0" w:line="240" w:lineRule="auto"/>
              <w:jc w:val="right"/>
              <w:rPr>
                <w:rFonts w:ascii="Times New Roman" w:eastAsia="SimSun" w:hAnsi="Times New Roman" w:cs="Times New Roman"/>
                <w:sz w:val="20"/>
                <w:szCs w:val="20"/>
                <w:lang w:val="en-US" w:eastAsia="en-GB"/>
              </w:rPr>
            </w:pPr>
          </w:p>
        </w:tc>
      </w:tr>
      <w:tr w:rsidR="00F24425" w:rsidRPr="00F24425" w14:paraId="4DBD2C86" w14:textId="77777777" w:rsidTr="00CA2415">
        <w:trPr>
          <w:trHeight w:val="105"/>
        </w:trPr>
        <w:tc>
          <w:tcPr>
            <w:tcW w:w="8210" w:type="dxa"/>
            <w:gridSpan w:val="6"/>
            <w:tcBorders>
              <w:top w:val="single" w:sz="2" w:space="0" w:color="auto"/>
            </w:tcBorders>
          </w:tcPr>
          <w:p w14:paraId="313502BB" w14:textId="77777777" w:rsidR="00F24425" w:rsidRPr="00F24425" w:rsidRDefault="00F24425" w:rsidP="00356ADA">
            <w:pPr>
              <w:spacing w:after="0" w:line="240" w:lineRule="auto"/>
              <w:rPr>
                <w:rFonts w:ascii="Times New Roman" w:eastAsia="SimSun" w:hAnsi="Times New Roman" w:cs="Times New Roman"/>
                <w:i/>
                <w:iCs/>
                <w:sz w:val="20"/>
                <w:szCs w:val="20"/>
                <w:lang w:eastAsia="en-GB"/>
              </w:rPr>
            </w:pPr>
          </w:p>
          <w:p w14:paraId="59B69D4B" w14:textId="149FE7E7" w:rsidR="00F24425" w:rsidRPr="00C9224B" w:rsidRDefault="00C9224B" w:rsidP="00356ADA">
            <w:pPr>
              <w:spacing w:after="0" w:line="240" w:lineRule="auto"/>
              <w:rPr>
                <w:rFonts w:ascii="Times New Roman" w:eastAsia="SimSun" w:hAnsi="Times New Roman" w:cs="Times New Roman"/>
                <w:i/>
                <w:iCs/>
                <w:sz w:val="20"/>
                <w:szCs w:val="20"/>
                <w:lang w:val="en-US" w:eastAsia="en-GB"/>
              </w:rPr>
            </w:pPr>
            <w:r>
              <w:rPr>
                <w:rFonts w:ascii="Times New Roman" w:eastAsia="SimSun" w:hAnsi="Times New Roman" w:cs="Times New Roman"/>
                <w:i/>
                <w:iCs/>
                <w:sz w:val="20"/>
                <w:szCs w:val="20"/>
                <w:lang w:val="en-US" w:eastAsia="en-GB"/>
              </w:rPr>
              <w:t>Panel 1: Overall HEI risk disclosure</w:t>
            </w:r>
            <w:r w:rsidR="00F2587D">
              <w:rPr>
                <w:rFonts w:ascii="Times New Roman" w:eastAsia="SimSun" w:hAnsi="Times New Roman" w:cs="Times New Roman"/>
                <w:i/>
                <w:iCs/>
                <w:sz w:val="20"/>
                <w:szCs w:val="20"/>
                <w:lang w:val="en-US" w:eastAsia="en-GB"/>
              </w:rPr>
              <w:t xml:space="preserve"> index</w:t>
            </w:r>
          </w:p>
        </w:tc>
      </w:tr>
      <w:tr w:rsidR="00F24425" w:rsidRPr="00F24425" w14:paraId="5B2591D0" w14:textId="77777777" w:rsidTr="00CA2415">
        <w:trPr>
          <w:trHeight w:val="105"/>
        </w:trPr>
        <w:tc>
          <w:tcPr>
            <w:tcW w:w="2594" w:type="dxa"/>
          </w:tcPr>
          <w:p w14:paraId="6D61E832" w14:textId="6FB4713C" w:rsidR="00F24425" w:rsidRPr="007C567E" w:rsidRDefault="00C9224B" w:rsidP="00356ADA">
            <w:pPr>
              <w:spacing w:after="0" w:line="240" w:lineRule="auto"/>
              <w:ind w:right="-173"/>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    HERD</w:t>
            </w:r>
            <w:r w:rsidR="00F2587D">
              <w:rPr>
                <w:rFonts w:ascii="Times New Roman" w:eastAsia="SimSun" w:hAnsi="Times New Roman" w:cs="Times New Roman"/>
                <w:sz w:val="20"/>
                <w:szCs w:val="20"/>
                <w:lang w:val="en-US" w:eastAsia="zh-CN"/>
              </w:rPr>
              <w:t>I</w:t>
            </w:r>
            <w:r w:rsidR="00A60590">
              <w:rPr>
                <w:rFonts w:ascii="Times New Roman" w:eastAsia="SimSun" w:hAnsi="Times New Roman" w:cs="Times New Roman"/>
                <w:sz w:val="20"/>
                <w:szCs w:val="20"/>
                <w:lang w:val="en-US" w:eastAsia="zh-CN"/>
              </w:rPr>
              <w:t xml:space="preserve"> (%)</w:t>
            </w:r>
          </w:p>
        </w:tc>
        <w:tc>
          <w:tcPr>
            <w:tcW w:w="992" w:type="dxa"/>
            <w:noWrap/>
            <w:vAlign w:val="bottom"/>
          </w:tcPr>
          <w:p w14:paraId="6015A5FF" w14:textId="1B8345D3" w:rsidR="00F24425" w:rsidRPr="007C567E" w:rsidRDefault="00F2587D" w:rsidP="00356ADA">
            <w:pPr>
              <w:spacing w:after="0" w:line="240" w:lineRule="auto"/>
              <w:jc w:val="right"/>
              <w:rPr>
                <w:rFonts w:ascii="Times New Roman" w:eastAsia="SimSun" w:hAnsi="Times New Roman" w:cs="Times New Roman"/>
                <w:sz w:val="20"/>
                <w:szCs w:val="20"/>
                <w:lang w:val="en-US" w:eastAsia="en-GB"/>
              </w:rPr>
            </w:pPr>
            <w:r>
              <w:rPr>
                <w:rFonts w:ascii="Times New Roman" w:eastAsia="SimSun" w:hAnsi="Times New Roman" w:cs="Times New Roman"/>
                <w:sz w:val="20"/>
                <w:szCs w:val="20"/>
                <w:lang w:val="en-US" w:eastAsia="en-GB"/>
              </w:rPr>
              <w:t>17.31</w:t>
            </w:r>
          </w:p>
        </w:tc>
        <w:tc>
          <w:tcPr>
            <w:tcW w:w="1276" w:type="dxa"/>
            <w:noWrap/>
            <w:vAlign w:val="bottom"/>
          </w:tcPr>
          <w:p w14:paraId="398E0DC4" w14:textId="39D3B180" w:rsidR="00F24425" w:rsidRPr="007C567E" w:rsidRDefault="00F2587D" w:rsidP="00356ADA">
            <w:pPr>
              <w:spacing w:after="0" w:line="240" w:lineRule="auto"/>
              <w:jc w:val="right"/>
              <w:rPr>
                <w:rFonts w:ascii="Times New Roman" w:eastAsia="SimSun" w:hAnsi="Times New Roman" w:cs="Times New Roman"/>
                <w:sz w:val="20"/>
                <w:szCs w:val="20"/>
                <w:lang w:val="en-US" w:eastAsia="en-GB"/>
              </w:rPr>
            </w:pPr>
            <w:r>
              <w:rPr>
                <w:rFonts w:ascii="Times New Roman" w:eastAsia="SimSun" w:hAnsi="Times New Roman" w:cs="Times New Roman"/>
                <w:sz w:val="20"/>
                <w:szCs w:val="20"/>
                <w:lang w:val="en-US" w:eastAsia="en-GB"/>
              </w:rPr>
              <w:t>16.80</w:t>
            </w:r>
          </w:p>
        </w:tc>
        <w:tc>
          <w:tcPr>
            <w:tcW w:w="1134" w:type="dxa"/>
            <w:noWrap/>
            <w:vAlign w:val="bottom"/>
          </w:tcPr>
          <w:p w14:paraId="19B2E1C9" w14:textId="25E8F4D4" w:rsidR="00F24425" w:rsidRPr="007C567E" w:rsidRDefault="00F2587D" w:rsidP="00356ADA">
            <w:pPr>
              <w:spacing w:after="0" w:line="240" w:lineRule="auto"/>
              <w:jc w:val="right"/>
              <w:rPr>
                <w:rFonts w:ascii="Times New Roman" w:eastAsia="SimSun" w:hAnsi="Times New Roman" w:cs="Times New Roman"/>
                <w:sz w:val="20"/>
                <w:szCs w:val="20"/>
                <w:lang w:val="en-US" w:eastAsia="en-GB"/>
              </w:rPr>
            </w:pPr>
            <w:r>
              <w:rPr>
                <w:rFonts w:ascii="Times New Roman" w:eastAsia="SimSun" w:hAnsi="Times New Roman" w:cs="Times New Roman"/>
                <w:sz w:val="20"/>
                <w:szCs w:val="20"/>
                <w:lang w:val="en-US" w:eastAsia="en-GB"/>
              </w:rPr>
              <w:t>4.89</w:t>
            </w:r>
          </w:p>
        </w:tc>
        <w:tc>
          <w:tcPr>
            <w:tcW w:w="1078" w:type="dxa"/>
            <w:noWrap/>
            <w:vAlign w:val="bottom"/>
          </w:tcPr>
          <w:p w14:paraId="7E8C9DBA" w14:textId="4757492F" w:rsidR="00F24425" w:rsidRPr="007C567E" w:rsidRDefault="00F2587D" w:rsidP="00356ADA">
            <w:pPr>
              <w:spacing w:after="0" w:line="240" w:lineRule="auto"/>
              <w:jc w:val="right"/>
              <w:rPr>
                <w:rFonts w:ascii="Times New Roman" w:eastAsia="SimSun" w:hAnsi="Times New Roman" w:cs="Times New Roman"/>
                <w:sz w:val="20"/>
                <w:szCs w:val="20"/>
                <w:lang w:val="en-US" w:eastAsia="en-GB"/>
              </w:rPr>
            </w:pPr>
            <w:r>
              <w:rPr>
                <w:rFonts w:ascii="Times New Roman" w:eastAsia="SimSun" w:hAnsi="Times New Roman" w:cs="Times New Roman"/>
                <w:sz w:val="20"/>
                <w:szCs w:val="20"/>
                <w:lang w:val="en-US" w:eastAsia="en-GB"/>
              </w:rPr>
              <w:t>6.96</w:t>
            </w:r>
          </w:p>
        </w:tc>
        <w:tc>
          <w:tcPr>
            <w:tcW w:w="1136" w:type="dxa"/>
            <w:noWrap/>
            <w:vAlign w:val="bottom"/>
          </w:tcPr>
          <w:p w14:paraId="738BF43C" w14:textId="75763405" w:rsidR="00F24425" w:rsidRPr="007C567E" w:rsidRDefault="00F2587D" w:rsidP="00356ADA">
            <w:pPr>
              <w:spacing w:after="0" w:line="240" w:lineRule="auto"/>
              <w:jc w:val="right"/>
              <w:rPr>
                <w:rFonts w:ascii="Times New Roman" w:eastAsia="SimSun" w:hAnsi="Times New Roman" w:cs="Times New Roman"/>
                <w:sz w:val="20"/>
                <w:szCs w:val="20"/>
                <w:lang w:val="en-US" w:eastAsia="en-GB"/>
              </w:rPr>
            </w:pPr>
            <w:r>
              <w:rPr>
                <w:rFonts w:ascii="Times New Roman" w:eastAsia="SimSun" w:hAnsi="Times New Roman" w:cs="Times New Roman"/>
                <w:sz w:val="20"/>
                <w:szCs w:val="20"/>
                <w:lang w:val="en-US" w:eastAsia="en-GB"/>
              </w:rPr>
              <w:t>31.76</w:t>
            </w:r>
          </w:p>
        </w:tc>
      </w:tr>
      <w:tr w:rsidR="00AB2ACB" w:rsidRPr="00F24425" w14:paraId="4AE309AB" w14:textId="77777777" w:rsidTr="00CA2415">
        <w:trPr>
          <w:trHeight w:val="105"/>
        </w:trPr>
        <w:tc>
          <w:tcPr>
            <w:tcW w:w="2594" w:type="dxa"/>
          </w:tcPr>
          <w:p w14:paraId="0FE44109" w14:textId="34DB1059" w:rsidR="00AB2ACB" w:rsidRPr="007C567E" w:rsidRDefault="00C9224B" w:rsidP="00356ADA">
            <w:pPr>
              <w:spacing w:after="0" w:line="240" w:lineRule="auto"/>
              <w:ind w:right="-173"/>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    </w:t>
            </w:r>
            <w:r w:rsidR="00F2587D">
              <w:rPr>
                <w:rFonts w:ascii="Times New Roman" w:eastAsia="SimSun" w:hAnsi="Times New Roman" w:cs="Times New Roman"/>
                <w:sz w:val="20"/>
                <w:szCs w:val="20"/>
                <w:lang w:val="en-US" w:eastAsia="zh-CN"/>
              </w:rPr>
              <w:t>HEFRD</w:t>
            </w:r>
            <w:r w:rsidR="00A60590">
              <w:rPr>
                <w:rFonts w:ascii="Times New Roman" w:eastAsia="SimSun" w:hAnsi="Times New Roman" w:cs="Times New Roman"/>
                <w:sz w:val="20"/>
                <w:szCs w:val="20"/>
                <w:lang w:val="en-US" w:eastAsia="zh-CN"/>
              </w:rPr>
              <w:t xml:space="preserve"> (%)</w:t>
            </w:r>
          </w:p>
        </w:tc>
        <w:tc>
          <w:tcPr>
            <w:tcW w:w="992" w:type="dxa"/>
            <w:noWrap/>
            <w:vAlign w:val="bottom"/>
          </w:tcPr>
          <w:p w14:paraId="429FC04D" w14:textId="7ABB6BE5" w:rsidR="00AB2ACB" w:rsidRPr="007C567E" w:rsidRDefault="00F2587D" w:rsidP="00AB2ACB">
            <w:pPr>
              <w:spacing w:after="0" w:line="240" w:lineRule="auto"/>
              <w:jc w:val="right"/>
              <w:rPr>
                <w:rFonts w:ascii="Times New Roman" w:eastAsia="SimSun" w:hAnsi="Times New Roman" w:cs="Times New Roman"/>
                <w:sz w:val="20"/>
                <w:szCs w:val="20"/>
                <w:lang w:val="en-US" w:eastAsia="en-GB"/>
              </w:rPr>
            </w:pPr>
            <w:r>
              <w:rPr>
                <w:rFonts w:ascii="Times New Roman" w:eastAsia="SimSun" w:hAnsi="Times New Roman" w:cs="Times New Roman"/>
                <w:sz w:val="20"/>
                <w:szCs w:val="20"/>
                <w:lang w:val="en-US" w:eastAsia="en-GB"/>
              </w:rPr>
              <w:t>30.83</w:t>
            </w:r>
          </w:p>
        </w:tc>
        <w:tc>
          <w:tcPr>
            <w:tcW w:w="1276" w:type="dxa"/>
            <w:noWrap/>
            <w:vAlign w:val="bottom"/>
          </w:tcPr>
          <w:p w14:paraId="05A10F23" w14:textId="163E0FC1" w:rsidR="00AB2ACB" w:rsidRPr="007C567E" w:rsidRDefault="00F2587D" w:rsidP="00356ADA">
            <w:pPr>
              <w:spacing w:after="0" w:line="240" w:lineRule="auto"/>
              <w:jc w:val="right"/>
              <w:rPr>
                <w:rFonts w:ascii="Times New Roman" w:eastAsia="SimSun" w:hAnsi="Times New Roman" w:cs="Times New Roman"/>
                <w:sz w:val="20"/>
                <w:szCs w:val="20"/>
                <w:lang w:val="en-US" w:eastAsia="en-GB"/>
              </w:rPr>
            </w:pPr>
            <w:r>
              <w:rPr>
                <w:rFonts w:ascii="Times New Roman" w:eastAsia="SimSun" w:hAnsi="Times New Roman" w:cs="Times New Roman"/>
                <w:sz w:val="20"/>
                <w:szCs w:val="20"/>
                <w:lang w:val="en-US" w:eastAsia="en-GB"/>
              </w:rPr>
              <w:t>31.61</w:t>
            </w:r>
          </w:p>
        </w:tc>
        <w:tc>
          <w:tcPr>
            <w:tcW w:w="1134" w:type="dxa"/>
            <w:noWrap/>
            <w:vAlign w:val="bottom"/>
          </w:tcPr>
          <w:p w14:paraId="0ECE57EE" w14:textId="4F9DF2AE" w:rsidR="00AB2ACB" w:rsidRPr="007C567E" w:rsidRDefault="00F2587D" w:rsidP="00356ADA">
            <w:pPr>
              <w:spacing w:after="0" w:line="240" w:lineRule="auto"/>
              <w:jc w:val="right"/>
              <w:rPr>
                <w:rFonts w:ascii="Times New Roman" w:eastAsia="SimSun" w:hAnsi="Times New Roman" w:cs="Times New Roman"/>
                <w:sz w:val="20"/>
                <w:szCs w:val="20"/>
                <w:lang w:val="en-US" w:eastAsia="en-GB"/>
              </w:rPr>
            </w:pPr>
            <w:r>
              <w:rPr>
                <w:rFonts w:ascii="Times New Roman" w:eastAsia="SimSun" w:hAnsi="Times New Roman" w:cs="Times New Roman"/>
                <w:sz w:val="20"/>
                <w:szCs w:val="20"/>
                <w:lang w:val="en-US" w:eastAsia="en-GB"/>
              </w:rPr>
              <w:t>6.35</w:t>
            </w:r>
          </w:p>
        </w:tc>
        <w:tc>
          <w:tcPr>
            <w:tcW w:w="1078" w:type="dxa"/>
            <w:noWrap/>
            <w:vAlign w:val="bottom"/>
          </w:tcPr>
          <w:p w14:paraId="1D10115E" w14:textId="4C1E9C9D" w:rsidR="00AB2ACB" w:rsidRPr="007C567E" w:rsidRDefault="00F2587D" w:rsidP="00356ADA">
            <w:pPr>
              <w:spacing w:after="0" w:line="240" w:lineRule="auto"/>
              <w:jc w:val="right"/>
              <w:rPr>
                <w:rFonts w:ascii="Times New Roman" w:eastAsia="SimSun" w:hAnsi="Times New Roman" w:cs="Times New Roman"/>
                <w:sz w:val="20"/>
                <w:szCs w:val="20"/>
                <w:lang w:val="en-US" w:eastAsia="en-GB"/>
              </w:rPr>
            </w:pPr>
            <w:r>
              <w:rPr>
                <w:rFonts w:ascii="Times New Roman" w:eastAsia="SimSun" w:hAnsi="Times New Roman" w:cs="Times New Roman"/>
                <w:sz w:val="20"/>
                <w:szCs w:val="20"/>
                <w:lang w:val="en-US" w:eastAsia="en-GB"/>
              </w:rPr>
              <w:t>13.22</w:t>
            </w:r>
          </w:p>
        </w:tc>
        <w:tc>
          <w:tcPr>
            <w:tcW w:w="1136" w:type="dxa"/>
            <w:noWrap/>
            <w:vAlign w:val="bottom"/>
          </w:tcPr>
          <w:p w14:paraId="0C76F6B4" w14:textId="7BB15F9A" w:rsidR="00AB2ACB" w:rsidRPr="007C567E" w:rsidRDefault="00F2587D" w:rsidP="00AB2ACB">
            <w:pPr>
              <w:spacing w:after="0" w:line="240" w:lineRule="auto"/>
              <w:jc w:val="right"/>
              <w:rPr>
                <w:rFonts w:ascii="Times New Roman" w:eastAsia="SimSun" w:hAnsi="Times New Roman" w:cs="Times New Roman"/>
                <w:sz w:val="20"/>
                <w:szCs w:val="20"/>
                <w:lang w:val="en-US" w:eastAsia="en-GB"/>
              </w:rPr>
            </w:pPr>
            <w:r>
              <w:rPr>
                <w:rFonts w:ascii="Times New Roman" w:eastAsia="SimSun" w:hAnsi="Times New Roman" w:cs="Times New Roman"/>
                <w:sz w:val="20"/>
                <w:szCs w:val="20"/>
                <w:lang w:val="en-US" w:eastAsia="en-GB"/>
              </w:rPr>
              <w:t>50.00</w:t>
            </w:r>
          </w:p>
        </w:tc>
      </w:tr>
      <w:tr w:rsidR="00AB2ACB" w:rsidRPr="00F24425" w14:paraId="054872EE" w14:textId="77777777" w:rsidTr="00CA2415">
        <w:trPr>
          <w:trHeight w:val="105"/>
        </w:trPr>
        <w:tc>
          <w:tcPr>
            <w:tcW w:w="2594" w:type="dxa"/>
          </w:tcPr>
          <w:p w14:paraId="4F73F319" w14:textId="4D05AE4F" w:rsidR="00AB2ACB" w:rsidRPr="007C567E" w:rsidRDefault="00F2587D" w:rsidP="00356ADA">
            <w:pPr>
              <w:spacing w:after="0" w:line="240" w:lineRule="auto"/>
              <w:ind w:right="-173"/>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    HEORD</w:t>
            </w:r>
            <w:r w:rsidR="00A60590">
              <w:rPr>
                <w:rFonts w:ascii="Times New Roman" w:eastAsia="SimSun" w:hAnsi="Times New Roman" w:cs="Times New Roman"/>
                <w:sz w:val="20"/>
                <w:szCs w:val="20"/>
                <w:lang w:val="en-US" w:eastAsia="zh-CN"/>
              </w:rPr>
              <w:t xml:space="preserve"> (%)</w:t>
            </w:r>
          </w:p>
        </w:tc>
        <w:tc>
          <w:tcPr>
            <w:tcW w:w="992" w:type="dxa"/>
            <w:noWrap/>
            <w:vAlign w:val="bottom"/>
          </w:tcPr>
          <w:p w14:paraId="2E41D38F" w14:textId="5C9F4547" w:rsidR="00AB2ACB" w:rsidRPr="007C567E" w:rsidRDefault="00F2587D" w:rsidP="00356ADA">
            <w:pPr>
              <w:spacing w:after="0" w:line="240" w:lineRule="auto"/>
              <w:jc w:val="right"/>
              <w:rPr>
                <w:rFonts w:ascii="Times New Roman" w:eastAsia="SimSun" w:hAnsi="Times New Roman" w:cs="Times New Roman"/>
                <w:sz w:val="20"/>
                <w:szCs w:val="20"/>
                <w:lang w:val="en-US" w:eastAsia="en-GB"/>
              </w:rPr>
            </w:pPr>
            <w:r>
              <w:rPr>
                <w:rFonts w:ascii="Times New Roman" w:eastAsia="SimSun" w:hAnsi="Times New Roman" w:cs="Times New Roman"/>
                <w:sz w:val="20"/>
                <w:szCs w:val="20"/>
                <w:lang w:val="en-US" w:eastAsia="en-GB"/>
              </w:rPr>
              <w:t>12.66</w:t>
            </w:r>
          </w:p>
        </w:tc>
        <w:tc>
          <w:tcPr>
            <w:tcW w:w="1276" w:type="dxa"/>
            <w:noWrap/>
            <w:vAlign w:val="bottom"/>
          </w:tcPr>
          <w:p w14:paraId="2E5DE7BF" w14:textId="19E8DB69" w:rsidR="00AB2ACB" w:rsidRPr="007C567E" w:rsidRDefault="00F2587D" w:rsidP="00356ADA">
            <w:pPr>
              <w:spacing w:after="0" w:line="240" w:lineRule="auto"/>
              <w:jc w:val="right"/>
              <w:rPr>
                <w:rFonts w:ascii="Times New Roman" w:eastAsia="SimSun" w:hAnsi="Times New Roman" w:cs="Times New Roman"/>
                <w:sz w:val="20"/>
                <w:szCs w:val="20"/>
                <w:lang w:val="en-US" w:eastAsia="en-GB"/>
              </w:rPr>
            </w:pPr>
            <w:r>
              <w:rPr>
                <w:rFonts w:ascii="Times New Roman" w:eastAsia="SimSun" w:hAnsi="Times New Roman" w:cs="Times New Roman"/>
                <w:sz w:val="20"/>
                <w:szCs w:val="20"/>
                <w:lang w:val="en-US" w:eastAsia="en-GB"/>
              </w:rPr>
              <w:t>12.25</w:t>
            </w:r>
          </w:p>
        </w:tc>
        <w:tc>
          <w:tcPr>
            <w:tcW w:w="1134" w:type="dxa"/>
            <w:noWrap/>
            <w:vAlign w:val="bottom"/>
          </w:tcPr>
          <w:p w14:paraId="63905936" w14:textId="2AF8BB10" w:rsidR="00AB2ACB" w:rsidRPr="007C567E" w:rsidRDefault="00F2587D" w:rsidP="00AB2ACB">
            <w:pPr>
              <w:spacing w:after="0" w:line="240" w:lineRule="auto"/>
              <w:jc w:val="right"/>
              <w:rPr>
                <w:rFonts w:ascii="Times New Roman" w:eastAsia="SimSun" w:hAnsi="Times New Roman" w:cs="Times New Roman"/>
                <w:sz w:val="20"/>
                <w:szCs w:val="20"/>
                <w:lang w:val="en-US" w:eastAsia="en-GB"/>
              </w:rPr>
            </w:pPr>
            <w:r>
              <w:rPr>
                <w:rFonts w:ascii="Times New Roman" w:eastAsia="SimSun" w:hAnsi="Times New Roman" w:cs="Times New Roman"/>
                <w:sz w:val="20"/>
                <w:szCs w:val="20"/>
                <w:lang w:val="en-US" w:eastAsia="en-GB"/>
              </w:rPr>
              <w:t>4.72</w:t>
            </w:r>
          </w:p>
        </w:tc>
        <w:tc>
          <w:tcPr>
            <w:tcW w:w="1078" w:type="dxa"/>
            <w:noWrap/>
            <w:vAlign w:val="bottom"/>
          </w:tcPr>
          <w:p w14:paraId="33BB49C1" w14:textId="55F2D4A1" w:rsidR="00AB2ACB" w:rsidRPr="007C567E" w:rsidRDefault="00F2587D" w:rsidP="00356ADA">
            <w:pPr>
              <w:spacing w:after="0" w:line="240" w:lineRule="auto"/>
              <w:jc w:val="right"/>
              <w:rPr>
                <w:rFonts w:ascii="Times New Roman" w:eastAsia="SimSun" w:hAnsi="Times New Roman" w:cs="Times New Roman"/>
                <w:sz w:val="20"/>
                <w:szCs w:val="20"/>
                <w:lang w:val="en-US" w:eastAsia="en-GB"/>
              </w:rPr>
            </w:pPr>
            <w:r>
              <w:rPr>
                <w:rFonts w:ascii="Times New Roman" w:eastAsia="SimSun" w:hAnsi="Times New Roman" w:cs="Times New Roman"/>
                <w:sz w:val="20"/>
                <w:szCs w:val="20"/>
                <w:lang w:val="en-US" w:eastAsia="en-GB"/>
              </w:rPr>
              <w:t>3.21</w:t>
            </w:r>
          </w:p>
        </w:tc>
        <w:tc>
          <w:tcPr>
            <w:tcW w:w="1136" w:type="dxa"/>
            <w:noWrap/>
            <w:vAlign w:val="bottom"/>
          </w:tcPr>
          <w:p w14:paraId="3309427D" w14:textId="6F555209" w:rsidR="00AB2ACB" w:rsidRPr="007C567E" w:rsidRDefault="00F2587D" w:rsidP="00AB2ACB">
            <w:pPr>
              <w:spacing w:after="0" w:line="240" w:lineRule="auto"/>
              <w:jc w:val="right"/>
              <w:rPr>
                <w:rFonts w:ascii="Times New Roman" w:eastAsia="SimSun" w:hAnsi="Times New Roman" w:cs="Times New Roman"/>
                <w:sz w:val="20"/>
                <w:szCs w:val="20"/>
                <w:lang w:val="en-US" w:eastAsia="en-GB"/>
              </w:rPr>
            </w:pPr>
            <w:r>
              <w:rPr>
                <w:rFonts w:ascii="Times New Roman" w:eastAsia="SimSun" w:hAnsi="Times New Roman" w:cs="Times New Roman"/>
                <w:sz w:val="20"/>
                <w:szCs w:val="20"/>
                <w:lang w:val="en-US" w:eastAsia="en-GB"/>
              </w:rPr>
              <w:t>29.92</w:t>
            </w:r>
          </w:p>
        </w:tc>
      </w:tr>
      <w:tr w:rsidR="00AB2ACB" w:rsidRPr="00F24425" w14:paraId="37F358B9" w14:textId="77777777" w:rsidTr="00CA2415">
        <w:trPr>
          <w:trHeight w:val="105"/>
        </w:trPr>
        <w:tc>
          <w:tcPr>
            <w:tcW w:w="2594" w:type="dxa"/>
          </w:tcPr>
          <w:p w14:paraId="476DCCCF" w14:textId="76633E4A" w:rsidR="00AB2ACB" w:rsidRPr="007C567E" w:rsidRDefault="00F2587D" w:rsidP="00356ADA">
            <w:pPr>
              <w:spacing w:after="0" w:line="240" w:lineRule="auto"/>
              <w:ind w:right="-173"/>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    HESRD</w:t>
            </w:r>
            <w:r w:rsidR="00A60590">
              <w:rPr>
                <w:rFonts w:ascii="Times New Roman" w:eastAsia="SimSun" w:hAnsi="Times New Roman" w:cs="Times New Roman"/>
                <w:sz w:val="20"/>
                <w:szCs w:val="20"/>
                <w:lang w:val="en-US" w:eastAsia="zh-CN"/>
              </w:rPr>
              <w:t xml:space="preserve"> (%)</w:t>
            </w:r>
          </w:p>
        </w:tc>
        <w:tc>
          <w:tcPr>
            <w:tcW w:w="992" w:type="dxa"/>
            <w:noWrap/>
            <w:vAlign w:val="bottom"/>
          </w:tcPr>
          <w:p w14:paraId="5A56EB74" w14:textId="52B159EA" w:rsidR="00AB2ACB" w:rsidRPr="007C567E" w:rsidRDefault="00F2587D" w:rsidP="00356ADA">
            <w:pPr>
              <w:spacing w:after="0" w:line="240" w:lineRule="auto"/>
              <w:jc w:val="right"/>
              <w:rPr>
                <w:rFonts w:ascii="Times New Roman" w:eastAsia="SimSun" w:hAnsi="Times New Roman" w:cs="Times New Roman"/>
                <w:sz w:val="20"/>
                <w:szCs w:val="20"/>
                <w:lang w:val="en-US" w:eastAsia="en-GB"/>
              </w:rPr>
            </w:pPr>
            <w:r>
              <w:rPr>
                <w:rFonts w:ascii="Times New Roman" w:eastAsia="SimSun" w:hAnsi="Times New Roman" w:cs="Times New Roman"/>
                <w:sz w:val="20"/>
                <w:szCs w:val="20"/>
                <w:lang w:val="en-US" w:eastAsia="en-GB"/>
              </w:rPr>
              <w:t>16.91</w:t>
            </w:r>
          </w:p>
        </w:tc>
        <w:tc>
          <w:tcPr>
            <w:tcW w:w="1276" w:type="dxa"/>
            <w:noWrap/>
            <w:vAlign w:val="bottom"/>
          </w:tcPr>
          <w:p w14:paraId="53939B34" w14:textId="1E39F0DA" w:rsidR="00AB2ACB" w:rsidRPr="007C567E" w:rsidRDefault="00F2587D" w:rsidP="00356ADA">
            <w:pPr>
              <w:spacing w:after="0" w:line="240" w:lineRule="auto"/>
              <w:jc w:val="right"/>
              <w:rPr>
                <w:rFonts w:ascii="Times New Roman" w:eastAsia="SimSun" w:hAnsi="Times New Roman" w:cs="Times New Roman"/>
                <w:sz w:val="20"/>
                <w:szCs w:val="20"/>
                <w:lang w:val="en-US" w:eastAsia="en-GB"/>
              </w:rPr>
            </w:pPr>
            <w:r>
              <w:rPr>
                <w:rFonts w:ascii="Times New Roman" w:eastAsia="SimSun" w:hAnsi="Times New Roman" w:cs="Times New Roman"/>
                <w:sz w:val="20"/>
                <w:szCs w:val="20"/>
                <w:lang w:val="en-US" w:eastAsia="en-GB"/>
              </w:rPr>
              <w:t>17.78</w:t>
            </w:r>
          </w:p>
        </w:tc>
        <w:tc>
          <w:tcPr>
            <w:tcW w:w="1134" w:type="dxa"/>
            <w:noWrap/>
            <w:vAlign w:val="bottom"/>
          </w:tcPr>
          <w:p w14:paraId="60B60077" w14:textId="5F70A6C2" w:rsidR="00AB2ACB" w:rsidRPr="007C567E" w:rsidRDefault="00F2587D" w:rsidP="00356ADA">
            <w:pPr>
              <w:spacing w:after="0" w:line="240" w:lineRule="auto"/>
              <w:jc w:val="right"/>
              <w:rPr>
                <w:rFonts w:ascii="Times New Roman" w:eastAsia="SimSun" w:hAnsi="Times New Roman" w:cs="Times New Roman"/>
                <w:sz w:val="20"/>
                <w:szCs w:val="20"/>
                <w:lang w:val="en-US" w:eastAsia="en-GB"/>
              </w:rPr>
            </w:pPr>
            <w:r>
              <w:rPr>
                <w:rFonts w:ascii="Times New Roman" w:eastAsia="SimSun" w:hAnsi="Times New Roman" w:cs="Times New Roman"/>
                <w:sz w:val="20"/>
                <w:szCs w:val="20"/>
                <w:lang w:val="en-US" w:eastAsia="en-GB"/>
              </w:rPr>
              <w:t>6.71</w:t>
            </w:r>
          </w:p>
        </w:tc>
        <w:tc>
          <w:tcPr>
            <w:tcW w:w="1078" w:type="dxa"/>
            <w:noWrap/>
            <w:vAlign w:val="bottom"/>
          </w:tcPr>
          <w:p w14:paraId="413CC89F" w14:textId="798BDEE2" w:rsidR="00AB2ACB" w:rsidRPr="007C567E" w:rsidRDefault="00F2587D" w:rsidP="00356ADA">
            <w:pPr>
              <w:spacing w:after="0" w:line="240" w:lineRule="auto"/>
              <w:jc w:val="right"/>
              <w:rPr>
                <w:rFonts w:ascii="Times New Roman" w:eastAsia="SimSun" w:hAnsi="Times New Roman" w:cs="Times New Roman"/>
                <w:sz w:val="20"/>
                <w:szCs w:val="20"/>
                <w:lang w:val="en-US" w:eastAsia="en-GB"/>
              </w:rPr>
            </w:pPr>
            <w:r>
              <w:rPr>
                <w:rFonts w:ascii="Times New Roman" w:eastAsia="SimSun" w:hAnsi="Times New Roman" w:cs="Times New Roman"/>
                <w:sz w:val="20"/>
                <w:szCs w:val="20"/>
                <w:lang w:val="en-US" w:eastAsia="en-GB"/>
              </w:rPr>
              <w:t>2.22</w:t>
            </w:r>
          </w:p>
        </w:tc>
        <w:tc>
          <w:tcPr>
            <w:tcW w:w="1136" w:type="dxa"/>
            <w:noWrap/>
            <w:vAlign w:val="bottom"/>
          </w:tcPr>
          <w:p w14:paraId="53E94B1C" w14:textId="41EC01A4" w:rsidR="00AB2ACB" w:rsidRPr="007C567E" w:rsidRDefault="00F2587D" w:rsidP="00356ADA">
            <w:pPr>
              <w:spacing w:after="0" w:line="240" w:lineRule="auto"/>
              <w:jc w:val="right"/>
              <w:rPr>
                <w:rFonts w:ascii="Times New Roman" w:eastAsia="SimSun" w:hAnsi="Times New Roman" w:cs="Times New Roman"/>
                <w:sz w:val="20"/>
                <w:szCs w:val="20"/>
                <w:lang w:val="en-US" w:eastAsia="en-GB"/>
              </w:rPr>
            </w:pPr>
            <w:r>
              <w:rPr>
                <w:rFonts w:ascii="Times New Roman" w:eastAsia="SimSun" w:hAnsi="Times New Roman" w:cs="Times New Roman"/>
                <w:sz w:val="20"/>
                <w:szCs w:val="20"/>
                <w:lang w:val="en-US" w:eastAsia="en-GB"/>
              </w:rPr>
              <w:t>36.67</w:t>
            </w:r>
          </w:p>
        </w:tc>
      </w:tr>
      <w:tr w:rsidR="00AB2ACB" w:rsidRPr="00F24425" w14:paraId="4F1E8120" w14:textId="77777777" w:rsidTr="00CA2415">
        <w:trPr>
          <w:trHeight w:val="105"/>
        </w:trPr>
        <w:tc>
          <w:tcPr>
            <w:tcW w:w="2594" w:type="dxa"/>
          </w:tcPr>
          <w:p w14:paraId="078CB8B8" w14:textId="0261E618" w:rsidR="00AB2ACB" w:rsidRPr="007C567E" w:rsidRDefault="00AB2ACB" w:rsidP="00356ADA">
            <w:pPr>
              <w:spacing w:after="0" w:line="240" w:lineRule="auto"/>
              <w:ind w:right="-173"/>
              <w:jc w:val="both"/>
              <w:rPr>
                <w:rFonts w:ascii="Times New Roman" w:eastAsia="SimSun" w:hAnsi="Times New Roman" w:cs="Times New Roman"/>
                <w:sz w:val="20"/>
                <w:szCs w:val="20"/>
                <w:lang w:val="en-US" w:eastAsia="zh-CN"/>
              </w:rPr>
            </w:pPr>
          </w:p>
        </w:tc>
        <w:tc>
          <w:tcPr>
            <w:tcW w:w="992" w:type="dxa"/>
            <w:noWrap/>
            <w:vAlign w:val="bottom"/>
          </w:tcPr>
          <w:p w14:paraId="3C97322D" w14:textId="0B40A610" w:rsidR="00AB2ACB" w:rsidRPr="007C567E" w:rsidRDefault="00AB2ACB" w:rsidP="00356ADA">
            <w:pPr>
              <w:spacing w:after="0" w:line="240" w:lineRule="auto"/>
              <w:jc w:val="right"/>
              <w:rPr>
                <w:rFonts w:ascii="Times New Roman" w:eastAsia="SimSun" w:hAnsi="Times New Roman" w:cs="Times New Roman"/>
                <w:sz w:val="20"/>
                <w:szCs w:val="20"/>
                <w:lang w:val="en-US" w:eastAsia="en-GB"/>
              </w:rPr>
            </w:pPr>
          </w:p>
        </w:tc>
        <w:tc>
          <w:tcPr>
            <w:tcW w:w="1276" w:type="dxa"/>
            <w:noWrap/>
            <w:vAlign w:val="bottom"/>
          </w:tcPr>
          <w:p w14:paraId="0F6CBF31" w14:textId="00425196" w:rsidR="00AB2ACB" w:rsidRPr="007C567E" w:rsidRDefault="00AB2ACB" w:rsidP="00356ADA">
            <w:pPr>
              <w:spacing w:after="0" w:line="240" w:lineRule="auto"/>
              <w:jc w:val="right"/>
              <w:rPr>
                <w:rFonts w:ascii="Times New Roman" w:eastAsia="SimSun" w:hAnsi="Times New Roman" w:cs="Times New Roman"/>
                <w:sz w:val="20"/>
                <w:szCs w:val="20"/>
                <w:lang w:val="en-US" w:eastAsia="en-GB"/>
              </w:rPr>
            </w:pPr>
          </w:p>
        </w:tc>
        <w:tc>
          <w:tcPr>
            <w:tcW w:w="1134" w:type="dxa"/>
            <w:noWrap/>
            <w:vAlign w:val="bottom"/>
          </w:tcPr>
          <w:p w14:paraId="59EF8248" w14:textId="29A37EC0" w:rsidR="00AB2ACB" w:rsidRPr="007C567E" w:rsidRDefault="00AB2ACB" w:rsidP="00356ADA">
            <w:pPr>
              <w:spacing w:after="0" w:line="240" w:lineRule="auto"/>
              <w:jc w:val="right"/>
              <w:rPr>
                <w:rFonts w:ascii="Times New Roman" w:eastAsia="SimSun" w:hAnsi="Times New Roman" w:cs="Times New Roman"/>
                <w:sz w:val="20"/>
                <w:szCs w:val="20"/>
                <w:lang w:val="en-US" w:eastAsia="en-GB"/>
              </w:rPr>
            </w:pPr>
          </w:p>
        </w:tc>
        <w:tc>
          <w:tcPr>
            <w:tcW w:w="1078" w:type="dxa"/>
            <w:noWrap/>
            <w:vAlign w:val="bottom"/>
          </w:tcPr>
          <w:p w14:paraId="5465E8EF" w14:textId="4A6F447E" w:rsidR="00AB2ACB" w:rsidRPr="007C567E" w:rsidRDefault="00AB2ACB" w:rsidP="00356ADA">
            <w:pPr>
              <w:spacing w:after="0" w:line="240" w:lineRule="auto"/>
              <w:jc w:val="right"/>
              <w:rPr>
                <w:rFonts w:ascii="Times New Roman" w:eastAsia="SimSun" w:hAnsi="Times New Roman" w:cs="Times New Roman"/>
                <w:sz w:val="20"/>
                <w:szCs w:val="20"/>
                <w:lang w:val="en-US" w:eastAsia="en-GB"/>
              </w:rPr>
            </w:pPr>
          </w:p>
        </w:tc>
        <w:tc>
          <w:tcPr>
            <w:tcW w:w="1136" w:type="dxa"/>
            <w:noWrap/>
            <w:vAlign w:val="bottom"/>
          </w:tcPr>
          <w:p w14:paraId="64A5FE6D" w14:textId="68FCEF25" w:rsidR="00AB2ACB" w:rsidRPr="007C567E" w:rsidRDefault="00AB2ACB" w:rsidP="00356ADA">
            <w:pPr>
              <w:spacing w:after="0" w:line="240" w:lineRule="auto"/>
              <w:jc w:val="right"/>
              <w:rPr>
                <w:rFonts w:ascii="Times New Roman" w:eastAsia="SimSun" w:hAnsi="Times New Roman" w:cs="Times New Roman"/>
                <w:sz w:val="20"/>
                <w:szCs w:val="20"/>
                <w:lang w:val="en-US" w:eastAsia="en-GB"/>
              </w:rPr>
            </w:pPr>
          </w:p>
        </w:tc>
      </w:tr>
      <w:tr w:rsidR="00C9224B" w:rsidRPr="00F24425" w14:paraId="776643A8" w14:textId="77777777" w:rsidTr="00417E9C">
        <w:trPr>
          <w:trHeight w:val="105"/>
        </w:trPr>
        <w:tc>
          <w:tcPr>
            <w:tcW w:w="8210" w:type="dxa"/>
            <w:gridSpan w:val="6"/>
          </w:tcPr>
          <w:p w14:paraId="4704C599" w14:textId="77777777" w:rsidR="00F2587D" w:rsidRDefault="00F2587D" w:rsidP="00C9224B">
            <w:pPr>
              <w:spacing w:after="0" w:line="240" w:lineRule="auto"/>
              <w:rPr>
                <w:rFonts w:ascii="Times New Roman" w:eastAsia="SimSun" w:hAnsi="Times New Roman" w:cs="Times New Roman"/>
                <w:i/>
                <w:iCs/>
                <w:sz w:val="20"/>
                <w:szCs w:val="20"/>
                <w:lang w:eastAsia="en-GB"/>
              </w:rPr>
            </w:pPr>
          </w:p>
          <w:p w14:paraId="5D8FF992" w14:textId="122F87EA" w:rsidR="00C9224B" w:rsidRDefault="00C9224B" w:rsidP="00C9224B">
            <w:pPr>
              <w:spacing w:after="0" w:line="240" w:lineRule="auto"/>
              <w:rPr>
                <w:rFonts w:ascii="Times New Roman" w:eastAsia="SimSun" w:hAnsi="Times New Roman" w:cs="Times New Roman"/>
                <w:sz w:val="20"/>
                <w:szCs w:val="20"/>
                <w:lang w:val="en-US" w:eastAsia="en-GB"/>
              </w:rPr>
            </w:pPr>
            <w:r w:rsidRPr="00C9224B">
              <w:rPr>
                <w:rFonts w:ascii="Times New Roman" w:eastAsia="SimSun" w:hAnsi="Times New Roman" w:cs="Times New Roman"/>
                <w:i/>
                <w:iCs/>
                <w:sz w:val="20"/>
                <w:szCs w:val="20"/>
                <w:lang w:eastAsia="en-GB"/>
              </w:rPr>
              <w:t xml:space="preserve">Panel </w:t>
            </w:r>
            <w:r>
              <w:rPr>
                <w:rFonts w:ascii="Times New Roman" w:eastAsia="SimSun" w:hAnsi="Times New Roman" w:cs="Times New Roman"/>
                <w:i/>
                <w:iCs/>
                <w:sz w:val="20"/>
                <w:szCs w:val="20"/>
                <w:lang w:eastAsia="en-GB"/>
              </w:rPr>
              <w:t>2</w:t>
            </w:r>
            <w:r w:rsidRPr="00C9224B">
              <w:rPr>
                <w:rFonts w:ascii="Times New Roman" w:eastAsia="SimSun" w:hAnsi="Times New Roman" w:cs="Times New Roman"/>
                <w:i/>
                <w:iCs/>
                <w:sz w:val="20"/>
                <w:szCs w:val="20"/>
                <w:lang w:eastAsia="en-GB"/>
              </w:rPr>
              <w:t>: Overall HEI governance index</w:t>
            </w:r>
          </w:p>
        </w:tc>
      </w:tr>
      <w:tr w:rsidR="00C9224B" w:rsidRPr="00F24425" w14:paraId="3C3C1107" w14:textId="77777777" w:rsidTr="00CA2415">
        <w:trPr>
          <w:trHeight w:val="105"/>
        </w:trPr>
        <w:tc>
          <w:tcPr>
            <w:tcW w:w="2594" w:type="dxa"/>
          </w:tcPr>
          <w:p w14:paraId="4A5C9D60" w14:textId="0D798EC9" w:rsidR="00C9224B" w:rsidRDefault="00C9224B" w:rsidP="00C9224B">
            <w:pPr>
              <w:spacing w:after="0" w:line="240" w:lineRule="auto"/>
              <w:ind w:right="-173"/>
              <w:jc w:val="both"/>
              <w:rPr>
                <w:rFonts w:ascii="Times New Roman" w:eastAsia="SimSun" w:hAnsi="Times New Roman" w:cs="Times New Roman"/>
                <w:sz w:val="20"/>
                <w:szCs w:val="20"/>
                <w:lang w:val="en-US" w:eastAsia="zh-CN"/>
              </w:rPr>
            </w:pPr>
            <w:r w:rsidRPr="007C567E">
              <w:rPr>
                <w:rFonts w:ascii="Times New Roman" w:eastAsia="SimSun" w:hAnsi="Times New Roman" w:cs="Times New Roman"/>
                <w:sz w:val="20"/>
                <w:szCs w:val="20"/>
                <w:lang w:val="en-US" w:eastAsia="zh-CN"/>
              </w:rPr>
              <w:t xml:space="preserve">  </w:t>
            </w:r>
            <w:r w:rsidR="00F2587D">
              <w:rPr>
                <w:rFonts w:ascii="Times New Roman" w:eastAsia="SimSun" w:hAnsi="Times New Roman" w:cs="Times New Roman"/>
                <w:sz w:val="20"/>
                <w:szCs w:val="20"/>
                <w:lang w:val="en-US" w:eastAsia="zh-CN"/>
              </w:rPr>
              <w:t>HE</w:t>
            </w:r>
            <w:r w:rsidRPr="007C567E">
              <w:rPr>
                <w:rFonts w:ascii="Times New Roman" w:eastAsia="SimSun" w:hAnsi="Times New Roman" w:cs="Times New Roman"/>
                <w:sz w:val="20"/>
                <w:szCs w:val="20"/>
                <w:lang w:val="en-US" w:eastAsia="zh-CN"/>
              </w:rPr>
              <w:t>GQI (%)</w:t>
            </w:r>
          </w:p>
        </w:tc>
        <w:tc>
          <w:tcPr>
            <w:tcW w:w="992" w:type="dxa"/>
            <w:noWrap/>
            <w:vAlign w:val="bottom"/>
          </w:tcPr>
          <w:p w14:paraId="5E0E590B" w14:textId="50487947" w:rsidR="00C9224B" w:rsidRDefault="00C9224B" w:rsidP="00C9224B">
            <w:pPr>
              <w:spacing w:after="0" w:line="240" w:lineRule="auto"/>
              <w:jc w:val="right"/>
              <w:rPr>
                <w:rFonts w:ascii="Times New Roman" w:eastAsia="SimSun" w:hAnsi="Times New Roman" w:cs="Times New Roman"/>
                <w:sz w:val="20"/>
                <w:szCs w:val="20"/>
                <w:lang w:val="en-US" w:eastAsia="en-GB"/>
              </w:rPr>
            </w:pPr>
            <w:r w:rsidRPr="007C567E">
              <w:rPr>
                <w:rFonts w:ascii="Times New Roman" w:eastAsia="SimSun" w:hAnsi="Times New Roman" w:cs="Times New Roman"/>
                <w:sz w:val="20"/>
                <w:szCs w:val="20"/>
                <w:lang w:val="en-US" w:eastAsia="en-GB"/>
              </w:rPr>
              <w:t>40.02</w:t>
            </w:r>
          </w:p>
        </w:tc>
        <w:tc>
          <w:tcPr>
            <w:tcW w:w="1276" w:type="dxa"/>
            <w:noWrap/>
            <w:vAlign w:val="bottom"/>
          </w:tcPr>
          <w:p w14:paraId="677AEDC9" w14:textId="07618106" w:rsidR="00C9224B" w:rsidRDefault="00C9224B" w:rsidP="00C9224B">
            <w:pPr>
              <w:spacing w:after="0" w:line="240" w:lineRule="auto"/>
              <w:jc w:val="right"/>
              <w:rPr>
                <w:rFonts w:ascii="Times New Roman" w:eastAsia="SimSun" w:hAnsi="Times New Roman" w:cs="Times New Roman"/>
                <w:sz w:val="20"/>
                <w:szCs w:val="20"/>
                <w:lang w:val="en-US" w:eastAsia="en-GB"/>
              </w:rPr>
            </w:pPr>
            <w:r w:rsidRPr="007C567E">
              <w:rPr>
                <w:rFonts w:ascii="Times New Roman" w:eastAsia="SimSun" w:hAnsi="Times New Roman" w:cs="Times New Roman"/>
                <w:sz w:val="20"/>
                <w:szCs w:val="20"/>
                <w:lang w:val="en-US" w:eastAsia="en-GB"/>
              </w:rPr>
              <w:t>40.00</w:t>
            </w:r>
          </w:p>
        </w:tc>
        <w:tc>
          <w:tcPr>
            <w:tcW w:w="1134" w:type="dxa"/>
            <w:noWrap/>
            <w:vAlign w:val="bottom"/>
          </w:tcPr>
          <w:p w14:paraId="72011C59" w14:textId="429F69B1" w:rsidR="00C9224B" w:rsidRDefault="00C9224B" w:rsidP="00C9224B">
            <w:pPr>
              <w:spacing w:after="0" w:line="240" w:lineRule="auto"/>
              <w:jc w:val="right"/>
              <w:rPr>
                <w:rFonts w:ascii="Times New Roman" w:eastAsia="SimSun" w:hAnsi="Times New Roman" w:cs="Times New Roman"/>
                <w:sz w:val="20"/>
                <w:szCs w:val="20"/>
                <w:lang w:val="en-US" w:eastAsia="en-GB"/>
              </w:rPr>
            </w:pPr>
            <w:r w:rsidRPr="007C567E">
              <w:rPr>
                <w:rFonts w:ascii="Times New Roman" w:eastAsia="SimSun" w:hAnsi="Times New Roman" w:cs="Times New Roman"/>
                <w:sz w:val="20"/>
                <w:szCs w:val="20"/>
                <w:lang w:val="en-US" w:eastAsia="en-GB"/>
              </w:rPr>
              <w:t>9.20</w:t>
            </w:r>
          </w:p>
        </w:tc>
        <w:tc>
          <w:tcPr>
            <w:tcW w:w="1078" w:type="dxa"/>
            <w:noWrap/>
            <w:vAlign w:val="bottom"/>
          </w:tcPr>
          <w:p w14:paraId="2FA9647D" w14:textId="78A69313" w:rsidR="00C9224B" w:rsidRDefault="00C9224B" w:rsidP="00C9224B">
            <w:pPr>
              <w:spacing w:after="0" w:line="240" w:lineRule="auto"/>
              <w:jc w:val="right"/>
              <w:rPr>
                <w:rFonts w:ascii="Times New Roman" w:eastAsia="SimSun" w:hAnsi="Times New Roman" w:cs="Times New Roman"/>
                <w:sz w:val="20"/>
                <w:szCs w:val="20"/>
                <w:lang w:val="en-US" w:eastAsia="en-GB"/>
              </w:rPr>
            </w:pPr>
            <w:r w:rsidRPr="007C567E">
              <w:rPr>
                <w:rFonts w:ascii="Times New Roman" w:eastAsia="SimSun" w:hAnsi="Times New Roman" w:cs="Times New Roman"/>
                <w:sz w:val="20"/>
                <w:szCs w:val="20"/>
                <w:lang w:val="en-US" w:eastAsia="en-GB"/>
              </w:rPr>
              <w:t>8.00</w:t>
            </w:r>
          </w:p>
        </w:tc>
        <w:tc>
          <w:tcPr>
            <w:tcW w:w="1136" w:type="dxa"/>
            <w:noWrap/>
            <w:vAlign w:val="bottom"/>
          </w:tcPr>
          <w:p w14:paraId="1080E774" w14:textId="29652FB2" w:rsidR="00C9224B" w:rsidRDefault="00C9224B" w:rsidP="00C9224B">
            <w:pPr>
              <w:spacing w:after="0" w:line="240" w:lineRule="auto"/>
              <w:jc w:val="right"/>
              <w:rPr>
                <w:rFonts w:ascii="Times New Roman" w:eastAsia="SimSun" w:hAnsi="Times New Roman" w:cs="Times New Roman"/>
                <w:sz w:val="20"/>
                <w:szCs w:val="20"/>
                <w:lang w:val="en-US" w:eastAsia="en-GB"/>
              </w:rPr>
            </w:pPr>
            <w:r w:rsidRPr="007C567E">
              <w:rPr>
                <w:rFonts w:ascii="Times New Roman" w:eastAsia="SimSun" w:hAnsi="Times New Roman" w:cs="Times New Roman"/>
                <w:sz w:val="20"/>
                <w:szCs w:val="20"/>
                <w:lang w:val="en-US" w:eastAsia="en-GB"/>
              </w:rPr>
              <w:t>75.00</w:t>
            </w:r>
          </w:p>
        </w:tc>
      </w:tr>
      <w:tr w:rsidR="00C9224B" w:rsidRPr="00F24425" w14:paraId="2275EA87" w14:textId="77777777" w:rsidTr="00CA2415">
        <w:trPr>
          <w:trHeight w:val="105"/>
        </w:trPr>
        <w:tc>
          <w:tcPr>
            <w:tcW w:w="2594" w:type="dxa"/>
          </w:tcPr>
          <w:p w14:paraId="676602BF" w14:textId="0D10858A" w:rsidR="00C9224B" w:rsidRDefault="00C9224B" w:rsidP="00C9224B">
            <w:pPr>
              <w:spacing w:after="0" w:line="240" w:lineRule="auto"/>
              <w:ind w:right="-173"/>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  SERSE (%)</w:t>
            </w:r>
          </w:p>
        </w:tc>
        <w:tc>
          <w:tcPr>
            <w:tcW w:w="992" w:type="dxa"/>
            <w:noWrap/>
            <w:vAlign w:val="bottom"/>
          </w:tcPr>
          <w:p w14:paraId="4F8444FC" w14:textId="29E399CE" w:rsidR="00C9224B" w:rsidRDefault="00C9224B" w:rsidP="00C9224B">
            <w:pPr>
              <w:spacing w:after="0" w:line="240" w:lineRule="auto"/>
              <w:jc w:val="right"/>
              <w:rPr>
                <w:rFonts w:ascii="Times New Roman" w:eastAsia="SimSun" w:hAnsi="Times New Roman" w:cs="Times New Roman"/>
                <w:sz w:val="20"/>
                <w:szCs w:val="20"/>
                <w:lang w:val="en-US" w:eastAsia="en-GB"/>
              </w:rPr>
            </w:pPr>
            <w:r>
              <w:rPr>
                <w:rFonts w:ascii="Times New Roman" w:eastAsia="SimSun" w:hAnsi="Times New Roman" w:cs="Times New Roman"/>
                <w:sz w:val="20"/>
                <w:szCs w:val="20"/>
                <w:lang w:val="en-US" w:eastAsia="en-GB"/>
              </w:rPr>
              <w:t>40.07</w:t>
            </w:r>
          </w:p>
        </w:tc>
        <w:tc>
          <w:tcPr>
            <w:tcW w:w="1276" w:type="dxa"/>
            <w:noWrap/>
            <w:vAlign w:val="bottom"/>
          </w:tcPr>
          <w:p w14:paraId="20574B18" w14:textId="1B903B05" w:rsidR="00C9224B" w:rsidRDefault="00C9224B" w:rsidP="00C9224B">
            <w:pPr>
              <w:spacing w:after="0" w:line="240" w:lineRule="auto"/>
              <w:jc w:val="right"/>
              <w:rPr>
                <w:rFonts w:ascii="Times New Roman" w:eastAsia="SimSun" w:hAnsi="Times New Roman" w:cs="Times New Roman"/>
                <w:sz w:val="20"/>
                <w:szCs w:val="20"/>
                <w:lang w:val="en-US" w:eastAsia="en-GB"/>
              </w:rPr>
            </w:pPr>
            <w:r>
              <w:rPr>
                <w:rFonts w:ascii="Times New Roman" w:eastAsia="SimSun" w:hAnsi="Times New Roman" w:cs="Times New Roman"/>
                <w:sz w:val="20"/>
                <w:szCs w:val="20"/>
                <w:lang w:val="en-US" w:eastAsia="en-GB"/>
              </w:rPr>
              <w:t>42.86</w:t>
            </w:r>
          </w:p>
        </w:tc>
        <w:tc>
          <w:tcPr>
            <w:tcW w:w="1134" w:type="dxa"/>
            <w:noWrap/>
            <w:vAlign w:val="bottom"/>
          </w:tcPr>
          <w:p w14:paraId="4FE89F80" w14:textId="0734F7BA" w:rsidR="00C9224B" w:rsidRDefault="00C9224B" w:rsidP="00C9224B">
            <w:pPr>
              <w:spacing w:after="0" w:line="240" w:lineRule="auto"/>
              <w:jc w:val="right"/>
              <w:rPr>
                <w:rFonts w:ascii="Times New Roman" w:eastAsia="SimSun" w:hAnsi="Times New Roman" w:cs="Times New Roman"/>
                <w:sz w:val="20"/>
                <w:szCs w:val="20"/>
                <w:lang w:val="en-US" w:eastAsia="en-GB"/>
              </w:rPr>
            </w:pPr>
            <w:r>
              <w:rPr>
                <w:rFonts w:ascii="Times New Roman" w:eastAsia="SimSun" w:hAnsi="Times New Roman" w:cs="Times New Roman"/>
                <w:sz w:val="20"/>
                <w:szCs w:val="20"/>
                <w:lang w:val="en-US" w:eastAsia="en-GB"/>
              </w:rPr>
              <w:t>21.30</w:t>
            </w:r>
          </w:p>
        </w:tc>
        <w:tc>
          <w:tcPr>
            <w:tcW w:w="1078" w:type="dxa"/>
            <w:noWrap/>
            <w:vAlign w:val="bottom"/>
          </w:tcPr>
          <w:p w14:paraId="2A3BCBCA" w14:textId="161043EF" w:rsidR="00C9224B" w:rsidRDefault="00C9224B" w:rsidP="00C9224B">
            <w:pPr>
              <w:spacing w:after="0" w:line="240" w:lineRule="auto"/>
              <w:jc w:val="right"/>
              <w:rPr>
                <w:rFonts w:ascii="Times New Roman" w:eastAsia="SimSun" w:hAnsi="Times New Roman" w:cs="Times New Roman"/>
                <w:sz w:val="20"/>
                <w:szCs w:val="20"/>
                <w:lang w:val="en-US" w:eastAsia="en-GB"/>
              </w:rPr>
            </w:pPr>
            <w:r>
              <w:rPr>
                <w:rFonts w:ascii="Times New Roman" w:eastAsia="SimSun" w:hAnsi="Times New Roman" w:cs="Times New Roman"/>
                <w:sz w:val="20"/>
                <w:szCs w:val="20"/>
                <w:lang w:val="en-US" w:eastAsia="en-GB"/>
              </w:rPr>
              <w:t>0.00</w:t>
            </w:r>
          </w:p>
        </w:tc>
        <w:tc>
          <w:tcPr>
            <w:tcW w:w="1136" w:type="dxa"/>
            <w:noWrap/>
            <w:vAlign w:val="bottom"/>
          </w:tcPr>
          <w:p w14:paraId="5305D980" w14:textId="090AE57E" w:rsidR="00C9224B" w:rsidRDefault="00C9224B" w:rsidP="00C9224B">
            <w:pPr>
              <w:spacing w:after="0" w:line="240" w:lineRule="auto"/>
              <w:jc w:val="right"/>
              <w:rPr>
                <w:rFonts w:ascii="Times New Roman" w:eastAsia="SimSun" w:hAnsi="Times New Roman" w:cs="Times New Roman"/>
                <w:sz w:val="20"/>
                <w:szCs w:val="20"/>
                <w:lang w:val="en-US" w:eastAsia="en-GB"/>
              </w:rPr>
            </w:pPr>
            <w:r>
              <w:rPr>
                <w:rFonts w:ascii="Times New Roman" w:eastAsia="SimSun" w:hAnsi="Times New Roman" w:cs="Times New Roman"/>
                <w:sz w:val="20"/>
                <w:szCs w:val="20"/>
                <w:lang w:val="en-US" w:eastAsia="en-GB"/>
              </w:rPr>
              <w:t>100.00</w:t>
            </w:r>
          </w:p>
        </w:tc>
      </w:tr>
      <w:tr w:rsidR="00C9224B" w:rsidRPr="00F24425" w14:paraId="42301102" w14:textId="77777777" w:rsidTr="00CA2415">
        <w:trPr>
          <w:trHeight w:val="105"/>
        </w:trPr>
        <w:tc>
          <w:tcPr>
            <w:tcW w:w="2594" w:type="dxa"/>
          </w:tcPr>
          <w:p w14:paraId="20B30D85" w14:textId="6660EDD5" w:rsidR="00C9224B" w:rsidRDefault="00C9224B" w:rsidP="00C9224B">
            <w:pPr>
              <w:spacing w:after="0" w:line="240" w:lineRule="auto"/>
              <w:ind w:right="-173"/>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  A</w:t>
            </w:r>
            <w:r w:rsidR="009965EF">
              <w:rPr>
                <w:rFonts w:ascii="Times New Roman" w:eastAsia="SimSun" w:hAnsi="Times New Roman" w:cs="Times New Roman"/>
                <w:sz w:val="20"/>
                <w:szCs w:val="20"/>
                <w:lang w:val="en-US" w:eastAsia="zh-CN"/>
              </w:rPr>
              <w:t>A</w:t>
            </w:r>
            <w:r>
              <w:rPr>
                <w:rFonts w:ascii="Times New Roman" w:eastAsia="SimSun" w:hAnsi="Times New Roman" w:cs="Times New Roman"/>
                <w:sz w:val="20"/>
                <w:szCs w:val="20"/>
                <w:lang w:val="en-US" w:eastAsia="zh-CN"/>
              </w:rPr>
              <w:t>A</w:t>
            </w:r>
            <w:r w:rsidR="009965EF">
              <w:rPr>
                <w:rFonts w:ascii="Times New Roman" w:eastAsia="SimSun" w:hAnsi="Times New Roman" w:cs="Times New Roman"/>
                <w:sz w:val="20"/>
                <w:szCs w:val="20"/>
                <w:lang w:val="en-US" w:eastAsia="zh-CN"/>
              </w:rPr>
              <w:t>C</w:t>
            </w:r>
            <w:r>
              <w:rPr>
                <w:rFonts w:ascii="Times New Roman" w:eastAsia="SimSun" w:hAnsi="Times New Roman" w:cs="Times New Roman"/>
                <w:sz w:val="20"/>
                <w:szCs w:val="20"/>
                <w:lang w:val="en-US" w:eastAsia="zh-CN"/>
              </w:rPr>
              <w:t xml:space="preserve"> (%)</w:t>
            </w:r>
          </w:p>
        </w:tc>
        <w:tc>
          <w:tcPr>
            <w:tcW w:w="992" w:type="dxa"/>
            <w:noWrap/>
            <w:vAlign w:val="bottom"/>
          </w:tcPr>
          <w:p w14:paraId="101A5DF1" w14:textId="0212D90F" w:rsidR="00C9224B" w:rsidRDefault="00C9224B" w:rsidP="00C9224B">
            <w:pPr>
              <w:spacing w:after="0" w:line="240" w:lineRule="auto"/>
              <w:jc w:val="right"/>
              <w:rPr>
                <w:rFonts w:ascii="Times New Roman" w:eastAsia="SimSun" w:hAnsi="Times New Roman" w:cs="Times New Roman"/>
                <w:sz w:val="20"/>
                <w:szCs w:val="20"/>
                <w:lang w:val="en-US" w:eastAsia="en-GB"/>
              </w:rPr>
            </w:pPr>
            <w:r>
              <w:rPr>
                <w:rFonts w:ascii="Times New Roman" w:eastAsia="SimSun" w:hAnsi="Times New Roman" w:cs="Times New Roman"/>
                <w:sz w:val="20"/>
                <w:szCs w:val="20"/>
                <w:lang w:val="en-US" w:eastAsia="en-GB"/>
              </w:rPr>
              <w:t>49.67</w:t>
            </w:r>
          </w:p>
        </w:tc>
        <w:tc>
          <w:tcPr>
            <w:tcW w:w="1276" w:type="dxa"/>
            <w:noWrap/>
            <w:vAlign w:val="bottom"/>
          </w:tcPr>
          <w:p w14:paraId="5E92A9FC" w14:textId="281DD676" w:rsidR="00C9224B" w:rsidRDefault="00C9224B" w:rsidP="00C9224B">
            <w:pPr>
              <w:spacing w:after="0" w:line="240" w:lineRule="auto"/>
              <w:jc w:val="right"/>
              <w:rPr>
                <w:rFonts w:ascii="Times New Roman" w:eastAsia="SimSun" w:hAnsi="Times New Roman" w:cs="Times New Roman"/>
                <w:sz w:val="20"/>
                <w:szCs w:val="20"/>
                <w:lang w:val="en-US" w:eastAsia="en-GB"/>
              </w:rPr>
            </w:pPr>
            <w:r>
              <w:rPr>
                <w:rFonts w:ascii="Times New Roman" w:eastAsia="SimSun" w:hAnsi="Times New Roman" w:cs="Times New Roman"/>
                <w:sz w:val="20"/>
                <w:szCs w:val="20"/>
                <w:lang w:val="en-US" w:eastAsia="en-GB"/>
              </w:rPr>
              <w:t>50.00</w:t>
            </w:r>
          </w:p>
        </w:tc>
        <w:tc>
          <w:tcPr>
            <w:tcW w:w="1134" w:type="dxa"/>
            <w:noWrap/>
            <w:vAlign w:val="bottom"/>
          </w:tcPr>
          <w:p w14:paraId="3B9014AB" w14:textId="1BB947AF" w:rsidR="00C9224B" w:rsidRDefault="00C9224B" w:rsidP="00C9224B">
            <w:pPr>
              <w:spacing w:after="0" w:line="240" w:lineRule="auto"/>
              <w:jc w:val="right"/>
              <w:rPr>
                <w:rFonts w:ascii="Times New Roman" w:eastAsia="SimSun" w:hAnsi="Times New Roman" w:cs="Times New Roman"/>
                <w:sz w:val="20"/>
                <w:szCs w:val="20"/>
                <w:lang w:val="en-US" w:eastAsia="en-GB"/>
              </w:rPr>
            </w:pPr>
            <w:r>
              <w:rPr>
                <w:rFonts w:ascii="Times New Roman" w:eastAsia="SimSun" w:hAnsi="Times New Roman" w:cs="Times New Roman"/>
                <w:sz w:val="20"/>
                <w:szCs w:val="20"/>
                <w:lang w:val="en-US" w:eastAsia="en-GB"/>
              </w:rPr>
              <w:t>11.56</w:t>
            </w:r>
          </w:p>
        </w:tc>
        <w:tc>
          <w:tcPr>
            <w:tcW w:w="1078" w:type="dxa"/>
            <w:noWrap/>
            <w:vAlign w:val="bottom"/>
          </w:tcPr>
          <w:p w14:paraId="2175C215" w14:textId="2DFFD4C0" w:rsidR="00C9224B" w:rsidRDefault="00C9224B" w:rsidP="00C9224B">
            <w:pPr>
              <w:spacing w:after="0" w:line="240" w:lineRule="auto"/>
              <w:jc w:val="right"/>
              <w:rPr>
                <w:rFonts w:ascii="Times New Roman" w:eastAsia="SimSun" w:hAnsi="Times New Roman" w:cs="Times New Roman"/>
                <w:sz w:val="20"/>
                <w:szCs w:val="20"/>
                <w:lang w:val="en-US" w:eastAsia="en-GB"/>
              </w:rPr>
            </w:pPr>
            <w:r>
              <w:rPr>
                <w:rFonts w:ascii="Times New Roman" w:eastAsia="SimSun" w:hAnsi="Times New Roman" w:cs="Times New Roman"/>
                <w:sz w:val="20"/>
                <w:szCs w:val="20"/>
                <w:lang w:val="en-US" w:eastAsia="en-GB"/>
              </w:rPr>
              <w:t>0.00</w:t>
            </w:r>
          </w:p>
        </w:tc>
        <w:tc>
          <w:tcPr>
            <w:tcW w:w="1136" w:type="dxa"/>
            <w:noWrap/>
            <w:vAlign w:val="bottom"/>
          </w:tcPr>
          <w:p w14:paraId="3DA370ED" w14:textId="4A918ADD" w:rsidR="00C9224B" w:rsidRDefault="00C9224B" w:rsidP="00C9224B">
            <w:pPr>
              <w:spacing w:after="0" w:line="240" w:lineRule="auto"/>
              <w:jc w:val="right"/>
              <w:rPr>
                <w:rFonts w:ascii="Times New Roman" w:eastAsia="SimSun" w:hAnsi="Times New Roman" w:cs="Times New Roman"/>
                <w:sz w:val="20"/>
                <w:szCs w:val="20"/>
                <w:lang w:val="en-US" w:eastAsia="en-GB"/>
              </w:rPr>
            </w:pPr>
            <w:r>
              <w:rPr>
                <w:rFonts w:ascii="Times New Roman" w:eastAsia="SimSun" w:hAnsi="Times New Roman" w:cs="Times New Roman"/>
                <w:sz w:val="20"/>
                <w:szCs w:val="20"/>
                <w:lang w:val="en-US" w:eastAsia="en-GB"/>
              </w:rPr>
              <w:t>75.00</w:t>
            </w:r>
          </w:p>
        </w:tc>
      </w:tr>
      <w:tr w:rsidR="00C9224B" w:rsidRPr="00F24425" w14:paraId="09B11418" w14:textId="77777777" w:rsidTr="00CA2415">
        <w:trPr>
          <w:trHeight w:val="105"/>
        </w:trPr>
        <w:tc>
          <w:tcPr>
            <w:tcW w:w="2594" w:type="dxa"/>
          </w:tcPr>
          <w:p w14:paraId="49095C8F" w14:textId="1A553687" w:rsidR="00C9224B" w:rsidRDefault="00C9224B" w:rsidP="00C9224B">
            <w:pPr>
              <w:spacing w:after="0" w:line="240" w:lineRule="auto"/>
              <w:ind w:right="-173"/>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  PERP (%)</w:t>
            </w:r>
          </w:p>
        </w:tc>
        <w:tc>
          <w:tcPr>
            <w:tcW w:w="992" w:type="dxa"/>
            <w:noWrap/>
            <w:vAlign w:val="bottom"/>
          </w:tcPr>
          <w:p w14:paraId="0730A3D5" w14:textId="4C891434" w:rsidR="00C9224B" w:rsidRDefault="00C9224B" w:rsidP="00C9224B">
            <w:pPr>
              <w:spacing w:after="0" w:line="240" w:lineRule="auto"/>
              <w:jc w:val="right"/>
              <w:rPr>
                <w:rFonts w:ascii="Times New Roman" w:eastAsia="SimSun" w:hAnsi="Times New Roman" w:cs="Times New Roman"/>
                <w:sz w:val="20"/>
                <w:szCs w:val="20"/>
                <w:lang w:val="en-US" w:eastAsia="en-GB"/>
              </w:rPr>
            </w:pPr>
            <w:r>
              <w:rPr>
                <w:rFonts w:ascii="Times New Roman" w:eastAsia="SimSun" w:hAnsi="Times New Roman" w:cs="Times New Roman"/>
                <w:sz w:val="20"/>
                <w:szCs w:val="20"/>
                <w:lang w:val="en-US" w:eastAsia="en-GB"/>
              </w:rPr>
              <w:t>24.98</w:t>
            </w:r>
          </w:p>
        </w:tc>
        <w:tc>
          <w:tcPr>
            <w:tcW w:w="1276" w:type="dxa"/>
            <w:noWrap/>
            <w:vAlign w:val="bottom"/>
          </w:tcPr>
          <w:p w14:paraId="7009D999" w14:textId="41D8F984" w:rsidR="00C9224B" w:rsidRDefault="00C9224B" w:rsidP="00C9224B">
            <w:pPr>
              <w:spacing w:after="0" w:line="240" w:lineRule="auto"/>
              <w:jc w:val="right"/>
              <w:rPr>
                <w:rFonts w:ascii="Times New Roman" w:eastAsia="SimSun" w:hAnsi="Times New Roman" w:cs="Times New Roman"/>
                <w:sz w:val="20"/>
                <w:szCs w:val="20"/>
                <w:lang w:val="en-US" w:eastAsia="en-GB"/>
              </w:rPr>
            </w:pPr>
            <w:r>
              <w:rPr>
                <w:rFonts w:ascii="Times New Roman" w:eastAsia="SimSun" w:hAnsi="Times New Roman" w:cs="Times New Roman"/>
                <w:sz w:val="20"/>
                <w:szCs w:val="20"/>
                <w:lang w:val="en-US" w:eastAsia="en-GB"/>
              </w:rPr>
              <w:t>22.73</w:t>
            </w:r>
          </w:p>
        </w:tc>
        <w:tc>
          <w:tcPr>
            <w:tcW w:w="1134" w:type="dxa"/>
            <w:noWrap/>
            <w:vAlign w:val="bottom"/>
          </w:tcPr>
          <w:p w14:paraId="44EDBDC4" w14:textId="3BE902A3" w:rsidR="00C9224B" w:rsidRDefault="00C9224B" w:rsidP="00C9224B">
            <w:pPr>
              <w:spacing w:after="0" w:line="240" w:lineRule="auto"/>
              <w:jc w:val="right"/>
              <w:rPr>
                <w:rFonts w:ascii="Times New Roman" w:eastAsia="SimSun" w:hAnsi="Times New Roman" w:cs="Times New Roman"/>
                <w:sz w:val="20"/>
                <w:szCs w:val="20"/>
                <w:lang w:val="en-US" w:eastAsia="en-GB"/>
              </w:rPr>
            </w:pPr>
            <w:r>
              <w:rPr>
                <w:rFonts w:ascii="Times New Roman" w:eastAsia="SimSun" w:hAnsi="Times New Roman" w:cs="Times New Roman"/>
                <w:sz w:val="20"/>
                <w:szCs w:val="20"/>
                <w:lang w:val="en-US" w:eastAsia="en-GB"/>
              </w:rPr>
              <w:t>13.04</w:t>
            </w:r>
          </w:p>
        </w:tc>
        <w:tc>
          <w:tcPr>
            <w:tcW w:w="1078" w:type="dxa"/>
            <w:noWrap/>
            <w:vAlign w:val="bottom"/>
          </w:tcPr>
          <w:p w14:paraId="6F95D35B" w14:textId="7516FE34" w:rsidR="00C9224B" w:rsidRDefault="00C9224B" w:rsidP="00C9224B">
            <w:pPr>
              <w:spacing w:after="0" w:line="240" w:lineRule="auto"/>
              <w:jc w:val="right"/>
              <w:rPr>
                <w:rFonts w:ascii="Times New Roman" w:eastAsia="SimSun" w:hAnsi="Times New Roman" w:cs="Times New Roman"/>
                <w:sz w:val="20"/>
                <w:szCs w:val="20"/>
                <w:lang w:val="en-US" w:eastAsia="en-GB"/>
              </w:rPr>
            </w:pPr>
            <w:r>
              <w:rPr>
                <w:rFonts w:ascii="Times New Roman" w:eastAsia="SimSun" w:hAnsi="Times New Roman" w:cs="Times New Roman"/>
                <w:sz w:val="20"/>
                <w:szCs w:val="20"/>
                <w:lang w:val="en-US" w:eastAsia="en-GB"/>
              </w:rPr>
              <w:t>0.00</w:t>
            </w:r>
          </w:p>
        </w:tc>
        <w:tc>
          <w:tcPr>
            <w:tcW w:w="1136" w:type="dxa"/>
            <w:noWrap/>
            <w:vAlign w:val="bottom"/>
          </w:tcPr>
          <w:p w14:paraId="61DA2B04" w14:textId="0E230CAD" w:rsidR="00C9224B" w:rsidRDefault="00C9224B" w:rsidP="00C9224B">
            <w:pPr>
              <w:spacing w:after="0" w:line="240" w:lineRule="auto"/>
              <w:jc w:val="right"/>
              <w:rPr>
                <w:rFonts w:ascii="Times New Roman" w:eastAsia="SimSun" w:hAnsi="Times New Roman" w:cs="Times New Roman"/>
                <w:sz w:val="20"/>
                <w:szCs w:val="20"/>
                <w:lang w:val="en-US" w:eastAsia="en-GB"/>
              </w:rPr>
            </w:pPr>
            <w:r>
              <w:rPr>
                <w:rFonts w:ascii="Times New Roman" w:eastAsia="SimSun" w:hAnsi="Times New Roman" w:cs="Times New Roman"/>
                <w:sz w:val="20"/>
                <w:szCs w:val="20"/>
                <w:lang w:val="en-US" w:eastAsia="en-GB"/>
              </w:rPr>
              <w:t>72.73</w:t>
            </w:r>
          </w:p>
        </w:tc>
      </w:tr>
      <w:tr w:rsidR="00C9224B" w:rsidRPr="00F24425" w14:paraId="7C1408B6" w14:textId="77777777" w:rsidTr="00CA2415">
        <w:trPr>
          <w:trHeight w:val="105"/>
        </w:trPr>
        <w:tc>
          <w:tcPr>
            <w:tcW w:w="2594" w:type="dxa"/>
          </w:tcPr>
          <w:p w14:paraId="695C95D0" w14:textId="1C0988F4" w:rsidR="00C9224B" w:rsidRDefault="00C9224B" w:rsidP="00C9224B">
            <w:pPr>
              <w:spacing w:after="0" w:line="240" w:lineRule="auto"/>
              <w:ind w:right="-173"/>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  PR</w:t>
            </w:r>
            <w:r w:rsidR="004A0171">
              <w:rPr>
                <w:rFonts w:ascii="Times New Roman" w:eastAsia="SimSun" w:hAnsi="Times New Roman" w:cs="Times New Roman"/>
                <w:sz w:val="20"/>
                <w:szCs w:val="20"/>
                <w:lang w:val="en-US" w:eastAsia="zh-CN"/>
              </w:rPr>
              <w:t>O</w:t>
            </w:r>
            <w:r>
              <w:rPr>
                <w:rFonts w:ascii="Times New Roman" w:eastAsia="SimSun" w:hAnsi="Times New Roman" w:cs="Times New Roman"/>
                <w:sz w:val="20"/>
                <w:szCs w:val="20"/>
                <w:lang w:val="en-US" w:eastAsia="zh-CN"/>
              </w:rPr>
              <w:t>S (%)</w:t>
            </w:r>
          </w:p>
        </w:tc>
        <w:tc>
          <w:tcPr>
            <w:tcW w:w="992" w:type="dxa"/>
            <w:noWrap/>
            <w:vAlign w:val="bottom"/>
          </w:tcPr>
          <w:p w14:paraId="1FEC3624" w14:textId="71A9FF05" w:rsidR="00C9224B" w:rsidRDefault="00C9224B" w:rsidP="00C9224B">
            <w:pPr>
              <w:spacing w:after="0" w:line="240" w:lineRule="auto"/>
              <w:jc w:val="right"/>
              <w:rPr>
                <w:rFonts w:ascii="Times New Roman" w:eastAsia="SimSun" w:hAnsi="Times New Roman" w:cs="Times New Roman"/>
                <w:sz w:val="20"/>
                <w:szCs w:val="20"/>
                <w:lang w:val="en-US" w:eastAsia="en-GB"/>
              </w:rPr>
            </w:pPr>
            <w:r>
              <w:rPr>
                <w:rFonts w:ascii="Times New Roman" w:eastAsia="SimSun" w:hAnsi="Times New Roman" w:cs="Times New Roman"/>
                <w:sz w:val="20"/>
                <w:szCs w:val="20"/>
                <w:lang w:val="en-US" w:eastAsia="en-GB"/>
              </w:rPr>
              <w:t>31.52</w:t>
            </w:r>
          </w:p>
        </w:tc>
        <w:tc>
          <w:tcPr>
            <w:tcW w:w="1276" w:type="dxa"/>
            <w:noWrap/>
            <w:vAlign w:val="bottom"/>
          </w:tcPr>
          <w:p w14:paraId="43E5B3EE" w14:textId="21A9492C" w:rsidR="00C9224B" w:rsidRDefault="00C9224B" w:rsidP="00C9224B">
            <w:pPr>
              <w:spacing w:after="0" w:line="240" w:lineRule="auto"/>
              <w:jc w:val="right"/>
              <w:rPr>
                <w:rFonts w:ascii="Times New Roman" w:eastAsia="SimSun" w:hAnsi="Times New Roman" w:cs="Times New Roman"/>
                <w:sz w:val="20"/>
                <w:szCs w:val="20"/>
                <w:lang w:val="en-US" w:eastAsia="en-GB"/>
              </w:rPr>
            </w:pPr>
            <w:r>
              <w:rPr>
                <w:rFonts w:ascii="Times New Roman" w:eastAsia="SimSun" w:hAnsi="Times New Roman" w:cs="Times New Roman"/>
                <w:sz w:val="20"/>
                <w:szCs w:val="20"/>
                <w:lang w:val="en-US" w:eastAsia="en-GB"/>
              </w:rPr>
              <w:t>29.17</w:t>
            </w:r>
          </w:p>
        </w:tc>
        <w:tc>
          <w:tcPr>
            <w:tcW w:w="1134" w:type="dxa"/>
            <w:noWrap/>
            <w:vAlign w:val="bottom"/>
          </w:tcPr>
          <w:p w14:paraId="5E349BC8" w14:textId="7668D541" w:rsidR="00C9224B" w:rsidRDefault="00C9224B" w:rsidP="00C9224B">
            <w:pPr>
              <w:spacing w:after="0" w:line="240" w:lineRule="auto"/>
              <w:jc w:val="right"/>
              <w:rPr>
                <w:rFonts w:ascii="Times New Roman" w:eastAsia="SimSun" w:hAnsi="Times New Roman" w:cs="Times New Roman"/>
                <w:sz w:val="20"/>
                <w:szCs w:val="20"/>
                <w:lang w:val="en-US" w:eastAsia="en-GB"/>
              </w:rPr>
            </w:pPr>
            <w:r>
              <w:rPr>
                <w:rFonts w:ascii="Times New Roman" w:eastAsia="SimSun" w:hAnsi="Times New Roman" w:cs="Times New Roman"/>
                <w:sz w:val="20"/>
                <w:szCs w:val="20"/>
                <w:lang w:val="en-US" w:eastAsia="en-GB"/>
              </w:rPr>
              <w:t>11.85</w:t>
            </w:r>
          </w:p>
        </w:tc>
        <w:tc>
          <w:tcPr>
            <w:tcW w:w="1078" w:type="dxa"/>
            <w:noWrap/>
            <w:vAlign w:val="bottom"/>
          </w:tcPr>
          <w:p w14:paraId="23493E32" w14:textId="2ECA0843" w:rsidR="00C9224B" w:rsidRDefault="00C9224B" w:rsidP="00C9224B">
            <w:pPr>
              <w:spacing w:after="0" w:line="240" w:lineRule="auto"/>
              <w:jc w:val="right"/>
              <w:rPr>
                <w:rFonts w:ascii="Times New Roman" w:eastAsia="SimSun" w:hAnsi="Times New Roman" w:cs="Times New Roman"/>
                <w:sz w:val="20"/>
                <w:szCs w:val="20"/>
                <w:lang w:val="en-US" w:eastAsia="en-GB"/>
              </w:rPr>
            </w:pPr>
            <w:r>
              <w:rPr>
                <w:rFonts w:ascii="Times New Roman" w:eastAsia="SimSun" w:hAnsi="Times New Roman" w:cs="Times New Roman"/>
                <w:sz w:val="20"/>
                <w:szCs w:val="20"/>
                <w:lang w:val="en-US" w:eastAsia="en-GB"/>
              </w:rPr>
              <w:t>0.00</w:t>
            </w:r>
          </w:p>
        </w:tc>
        <w:tc>
          <w:tcPr>
            <w:tcW w:w="1136" w:type="dxa"/>
            <w:noWrap/>
            <w:vAlign w:val="bottom"/>
          </w:tcPr>
          <w:p w14:paraId="4BE3C547" w14:textId="17ABD0AD" w:rsidR="00C9224B" w:rsidRDefault="00C9224B" w:rsidP="00C9224B">
            <w:pPr>
              <w:spacing w:after="0" w:line="240" w:lineRule="auto"/>
              <w:jc w:val="right"/>
              <w:rPr>
                <w:rFonts w:ascii="Times New Roman" w:eastAsia="SimSun" w:hAnsi="Times New Roman" w:cs="Times New Roman"/>
                <w:sz w:val="20"/>
                <w:szCs w:val="20"/>
                <w:lang w:val="en-US" w:eastAsia="en-GB"/>
              </w:rPr>
            </w:pPr>
            <w:r>
              <w:rPr>
                <w:rFonts w:ascii="Times New Roman" w:eastAsia="SimSun" w:hAnsi="Times New Roman" w:cs="Times New Roman"/>
                <w:sz w:val="20"/>
                <w:szCs w:val="20"/>
                <w:lang w:val="en-US" w:eastAsia="en-GB"/>
              </w:rPr>
              <w:t>79.17</w:t>
            </w:r>
          </w:p>
        </w:tc>
      </w:tr>
      <w:tr w:rsidR="00C9224B" w:rsidRPr="00F24425" w14:paraId="19A944AE" w14:textId="77777777" w:rsidTr="00CA2415">
        <w:trPr>
          <w:trHeight w:val="105"/>
        </w:trPr>
        <w:tc>
          <w:tcPr>
            <w:tcW w:w="2594" w:type="dxa"/>
          </w:tcPr>
          <w:p w14:paraId="279F18BE" w14:textId="3A13B1C6" w:rsidR="00C9224B" w:rsidRDefault="00C9224B" w:rsidP="00C9224B">
            <w:pPr>
              <w:spacing w:after="0" w:line="240" w:lineRule="auto"/>
              <w:ind w:right="-173"/>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  GOVB (%)</w:t>
            </w:r>
          </w:p>
        </w:tc>
        <w:tc>
          <w:tcPr>
            <w:tcW w:w="992" w:type="dxa"/>
            <w:noWrap/>
            <w:vAlign w:val="bottom"/>
          </w:tcPr>
          <w:p w14:paraId="1D84F6C9" w14:textId="35714AA0" w:rsidR="00C9224B" w:rsidRDefault="00C9224B" w:rsidP="00C9224B">
            <w:pPr>
              <w:spacing w:after="0" w:line="240" w:lineRule="auto"/>
              <w:jc w:val="right"/>
              <w:rPr>
                <w:rFonts w:ascii="Times New Roman" w:eastAsia="SimSun" w:hAnsi="Times New Roman" w:cs="Times New Roman"/>
                <w:sz w:val="20"/>
                <w:szCs w:val="20"/>
                <w:lang w:val="en-US" w:eastAsia="en-GB"/>
              </w:rPr>
            </w:pPr>
            <w:r>
              <w:rPr>
                <w:rFonts w:ascii="Times New Roman" w:eastAsia="SimSun" w:hAnsi="Times New Roman" w:cs="Times New Roman"/>
                <w:sz w:val="20"/>
                <w:szCs w:val="20"/>
                <w:lang w:val="en-US" w:eastAsia="en-GB"/>
              </w:rPr>
              <w:t>52.65</w:t>
            </w:r>
          </w:p>
        </w:tc>
        <w:tc>
          <w:tcPr>
            <w:tcW w:w="1276" w:type="dxa"/>
            <w:noWrap/>
            <w:vAlign w:val="bottom"/>
          </w:tcPr>
          <w:p w14:paraId="10FC349F" w14:textId="5648A46E" w:rsidR="00C9224B" w:rsidRDefault="00C9224B" w:rsidP="00C9224B">
            <w:pPr>
              <w:spacing w:after="0" w:line="240" w:lineRule="auto"/>
              <w:jc w:val="right"/>
              <w:rPr>
                <w:rFonts w:ascii="Times New Roman" w:eastAsia="SimSun" w:hAnsi="Times New Roman" w:cs="Times New Roman"/>
                <w:sz w:val="20"/>
                <w:szCs w:val="20"/>
                <w:lang w:val="en-US" w:eastAsia="en-GB"/>
              </w:rPr>
            </w:pPr>
            <w:r>
              <w:rPr>
                <w:rFonts w:ascii="Times New Roman" w:eastAsia="SimSun" w:hAnsi="Times New Roman" w:cs="Times New Roman"/>
                <w:sz w:val="20"/>
                <w:szCs w:val="20"/>
                <w:lang w:val="en-US" w:eastAsia="en-GB"/>
              </w:rPr>
              <w:t>55.56</w:t>
            </w:r>
          </w:p>
        </w:tc>
        <w:tc>
          <w:tcPr>
            <w:tcW w:w="1134" w:type="dxa"/>
            <w:noWrap/>
            <w:vAlign w:val="bottom"/>
          </w:tcPr>
          <w:p w14:paraId="367B62B2" w14:textId="3BD8F4AA" w:rsidR="00C9224B" w:rsidRDefault="00C9224B" w:rsidP="00C9224B">
            <w:pPr>
              <w:spacing w:after="0" w:line="240" w:lineRule="auto"/>
              <w:jc w:val="right"/>
              <w:rPr>
                <w:rFonts w:ascii="Times New Roman" w:eastAsia="SimSun" w:hAnsi="Times New Roman" w:cs="Times New Roman"/>
                <w:sz w:val="20"/>
                <w:szCs w:val="20"/>
                <w:lang w:val="en-US" w:eastAsia="en-GB"/>
              </w:rPr>
            </w:pPr>
            <w:r>
              <w:rPr>
                <w:rFonts w:ascii="Times New Roman" w:eastAsia="SimSun" w:hAnsi="Times New Roman" w:cs="Times New Roman"/>
                <w:sz w:val="20"/>
                <w:szCs w:val="20"/>
                <w:lang w:val="en-US" w:eastAsia="en-GB"/>
              </w:rPr>
              <w:t>10.99</w:t>
            </w:r>
          </w:p>
        </w:tc>
        <w:tc>
          <w:tcPr>
            <w:tcW w:w="1078" w:type="dxa"/>
            <w:noWrap/>
            <w:vAlign w:val="bottom"/>
          </w:tcPr>
          <w:p w14:paraId="36862393" w14:textId="0D2EFC65" w:rsidR="00C9224B" w:rsidRDefault="00C9224B" w:rsidP="00C9224B">
            <w:pPr>
              <w:spacing w:after="0" w:line="240" w:lineRule="auto"/>
              <w:jc w:val="right"/>
              <w:rPr>
                <w:rFonts w:ascii="Times New Roman" w:eastAsia="SimSun" w:hAnsi="Times New Roman" w:cs="Times New Roman"/>
                <w:sz w:val="20"/>
                <w:szCs w:val="20"/>
                <w:lang w:val="en-US" w:eastAsia="en-GB"/>
              </w:rPr>
            </w:pPr>
            <w:r>
              <w:rPr>
                <w:rFonts w:ascii="Times New Roman" w:eastAsia="SimSun" w:hAnsi="Times New Roman" w:cs="Times New Roman"/>
                <w:sz w:val="20"/>
                <w:szCs w:val="20"/>
                <w:lang w:val="en-US" w:eastAsia="en-GB"/>
              </w:rPr>
              <w:t>14.81</w:t>
            </w:r>
          </w:p>
        </w:tc>
        <w:tc>
          <w:tcPr>
            <w:tcW w:w="1136" w:type="dxa"/>
            <w:noWrap/>
            <w:vAlign w:val="bottom"/>
          </w:tcPr>
          <w:p w14:paraId="530FA13B" w14:textId="5E9571FA" w:rsidR="00C9224B" w:rsidRDefault="00C9224B" w:rsidP="00C9224B">
            <w:pPr>
              <w:spacing w:after="0" w:line="240" w:lineRule="auto"/>
              <w:jc w:val="right"/>
              <w:rPr>
                <w:rFonts w:ascii="Times New Roman" w:eastAsia="SimSun" w:hAnsi="Times New Roman" w:cs="Times New Roman"/>
                <w:sz w:val="20"/>
                <w:szCs w:val="20"/>
                <w:lang w:val="en-US" w:eastAsia="en-GB"/>
              </w:rPr>
            </w:pPr>
            <w:r>
              <w:rPr>
                <w:rFonts w:ascii="Times New Roman" w:eastAsia="SimSun" w:hAnsi="Times New Roman" w:cs="Times New Roman"/>
                <w:sz w:val="20"/>
                <w:szCs w:val="20"/>
                <w:lang w:val="en-US" w:eastAsia="en-GB"/>
              </w:rPr>
              <w:t>74.07</w:t>
            </w:r>
          </w:p>
        </w:tc>
      </w:tr>
      <w:tr w:rsidR="00C9224B" w:rsidRPr="00F24425" w14:paraId="305C23B2" w14:textId="77777777" w:rsidTr="00CA2415">
        <w:trPr>
          <w:trHeight w:val="105"/>
        </w:trPr>
        <w:tc>
          <w:tcPr>
            <w:tcW w:w="8210" w:type="dxa"/>
            <w:gridSpan w:val="6"/>
          </w:tcPr>
          <w:p w14:paraId="4B57C7AE" w14:textId="77777777" w:rsidR="00C9224B" w:rsidRPr="00CE48CF" w:rsidRDefault="00C9224B" w:rsidP="00C9224B">
            <w:pPr>
              <w:spacing w:after="0" w:line="240" w:lineRule="auto"/>
              <w:rPr>
                <w:rFonts w:ascii="Times New Roman" w:eastAsia="SimSun" w:hAnsi="Times New Roman" w:cs="Times New Roman"/>
                <w:i/>
                <w:iCs/>
                <w:sz w:val="20"/>
                <w:szCs w:val="20"/>
                <w:lang w:eastAsia="en-GB"/>
              </w:rPr>
            </w:pPr>
          </w:p>
          <w:p w14:paraId="0194465E" w14:textId="00585B56" w:rsidR="00C9224B" w:rsidRPr="00CE48CF" w:rsidRDefault="00C9224B" w:rsidP="00C9224B">
            <w:pPr>
              <w:spacing w:after="0" w:line="240" w:lineRule="auto"/>
              <w:rPr>
                <w:rFonts w:ascii="Times New Roman" w:eastAsia="SimSun" w:hAnsi="Times New Roman" w:cs="Times New Roman"/>
                <w:sz w:val="20"/>
                <w:szCs w:val="20"/>
                <w:lang w:val="en-US" w:eastAsia="en-GB"/>
              </w:rPr>
            </w:pPr>
            <w:r w:rsidRPr="00CE48CF">
              <w:rPr>
                <w:rFonts w:ascii="Times New Roman" w:eastAsia="SimSun" w:hAnsi="Times New Roman" w:cs="Times New Roman"/>
                <w:i/>
                <w:iCs/>
                <w:sz w:val="20"/>
                <w:szCs w:val="20"/>
                <w:lang w:eastAsia="en-GB"/>
              </w:rPr>
              <w:t xml:space="preserve">Panel </w:t>
            </w:r>
            <w:r>
              <w:rPr>
                <w:rFonts w:ascii="Times New Roman" w:eastAsia="SimSun" w:hAnsi="Times New Roman" w:cs="Times New Roman"/>
                <w:i/>
                <w:iCs/>
                <w:sz w:val="20"/>
                <w:szCs w:val="20"/>
                <w:lang w:eastAsia="en-GB"/>
              </w:rPr>
              <w:t>3</w:t>
            </w:r>
            <w:r w:rsidRPr="00CE48CF">
              <w:rPr>
                <w:rFonts w:ascii="Times New Roman" w:eastAsia="SimSun" w:hAnsi="Times New Roman" w:cs="Times New Roman"/>
                <w:i/>
                <w:iCs/>
                <w:sz w:val="20"/>
                <w:szCs w:val="20"/>
                <w:lang w:eastAsia="en-GB"/>
              </w:rPr>
              <w:t>: Executive/</w:t>
            </w:r>
            <w:r w:rsidR="00C16E59">
              <w:rPr>
                <w:rFonts w:ascii="Times New Roman" w:eastAsia="SimSun" w:hAnsi="Times New Roman" w:cs="Times New Roman"/>
                <w:i/>
                <w:iCs/>
                <w:sz w:val="20"/>
                <w:szCs w:val="20"/>
                <w:lang w:eastAsia="en-GB"/>
              </w:rPr>
              <w:t>m</w:t>
            </w:r>
            <w:r w:rsidRPr="00CE48CF">
              <w:rPr>
                <w:rFonts w:ascii="Times New Roman" w:eastAsia="SimSun" w:hAnsi="Times New Roman" w:cs="Times New Roman"/>
                <w:i/>
                <w:iCs/>
                <w:sz w:val="20"/>
                <w:szCs w:val="20"/>
                <w:lang w:eastAsia="en-GB"/>
              </w:rPr>
              <w:t xml:space="preserve">anagement </w:t>
            </w:r>
            <w:r w:rsidR="00C16E59">
              <w:rPr>
                <w:rFonts w:ascii="Times New Roman" w:eastAsia="SimSun" w:hAnsi="Times New Roman" w:cs="Times New Roman"/>
                <w:i/>
                <w:iCs/>
                <w:sz w:val="20"/>
                <w:szCs w:val="20"/>
                <w:lang w:eastAsia="en-GB"/>
              </w:rPr>
              <w:t>g</w:t>
            </w:r>
            <w:r w:rsidRPr="00CE48CF">
              <w:rPr>
                <w:rFonts w:ascii="Times New Roman" w:eastAsia="SimSun" w:hAnsi="Times New Roman" w:cs="Times New Roman"/>
                <w:i/>
                <w:iCs/>
                <w:sz w:val="20"/>
                <w:szCs w:val="20"/>
                <w:lang w:eastAsia="en-GB"/>
              </w:rPr>
              <w:t xml:space="preserve">roup </w:t>
            </w:r>
            <w:r w:rsidR="00C16E59">
              <w:rPr>
                <w:rFonts w:ascii="Times New Roman" w:eastAsia="SimSun" w:hAnsi="Times New Roman" w:cs="Times New Roman"/>
                <w:i/>
                <w:iCs/>
                <w:sz w:val="20"/>
                <w:szCs w:val="20"/>
                <w:lang w:eastAsia="en-GB"/>
              </w:rPr>
              <w:t>v</w:t>
            </w:r>
            <w:r w:rsidRPr="00CE48CF">
              <w:rPr>
                <w:rFonts w:ascii="Times New Roman" w:eastAsia="SimSun" w:hAnsi="Times New Roman" w:cs="Times New Roman"/>
                <w:i/>
                <w:iCs/>
                <w:sz w:val="20"/>
                <w:szCs w:val="20"/>
                <w:lang w:eastAsia="en-GB"/>
              </w:rPr>
              <w:t>ariables</w:t>
            </w:r>
          </w:p>
        </w:tc>
      </w:tr>
      <w:tr w:rsidR="00C9224B" w:rsidRPr="00F24425" w14:paraId="2B9B9A37" w14:textId="77777777" w:rsidTr="00CA2415">
        <w:trPr>
          <w:trHeight w:val="105"/>
        </w:trPr>
        <w:tc>
          <w:tcPr>
            <w:tcW w:w="2594" w:type="dxa"/>
          </w:tcPr>
          <w:p w14:paraId="59D22933" w14:textId="1750A3E4" w:rsidR="00C9224B" w:rsidRPr="00CE48CF" w:rsidRDefault="00C9224B" w:rsidP="00C9224B">
            <w:pPr>
              <w:spacing w:after="0" w:line="240" w:lineRule="auto"/>
              <w:ind w:right="-173"/>
              <w:jc w:val="both"/>
              <w:rPr>
                <w:rFonts w:ascii="Times New Roman" w:eastAsia="SimSun" w:hAnsi="Times New Roman" w:cs="Times New Roman"/>
                <w:sz w:val="20"/>
                <w:szCs w:val="20"/>
                <w:lang w:val="en-US" w:eastAsia="zh-CN"/>
              </w:rPr>
            </w:pPr>
            <w:r w:rsidRPr="00CE48CF">
              <w:rPr>
                <w:rFonts w:ascii="Times New Roman" w:eastAsia="SimSun" w:hAnsi="Times New Roman" w:cs="Times New Roman"/>
                <w:sz w:val="20"/>
                <w:szCs w:val="20"/>
                <w:lang w:val="en-US" w:eastAsia="zh-CN"/>
              </w:rPr>
              <w:t xml:space="preserve">  </w:t>
            </w:r>
            <w:r w:rsidR="004A0171">
              <w:rPr>
                <w:rFonts w:ascii="Times New Roman" w:eastAsia="SimSun" w:hAnsi="Times New Roman" w:cs="Times New Roman"/>
                <w:sz w:val="20"/>
                <w:szCs w:val="20"/>
                <w:lang w:val="en-US" w:eastAsia="zh-CN"/>
              </w:rPr>
              <w:t>SM</w:t>
            </w:r>
            <w:r w:rsidRPr="00CE48CF">
              <w:rPr>
                <w:rFonts w:ascii="Times New Roman" w:eastAsia="SimSun" w:hAnsi="Times New Roman" w:cs="Times New Roman"/>
                <w:sz w:val="20"/>
                <w:szCs w:val="20"/>
                <w:lang w:val="en-US" w:eastAsia="zh-CN"/>
              </w:rPr>
              <w:t>TSZ</w:t>
            </w:r>
            <w:r w:rsidR="004A0171">
              <w:rPr>
                <w:rFonts w:ascii="Times New Roman" w:eastAsia="SimSun" w:hAnsi="Times New Roman" w:cs="Times New Roman"/>
                <w:sz w:val="20"/>
                <w:szCs w:val="20"/>
                <w:lang w:val="en-US" w:eastAsia="zh-CN"/>
              </w:rPr>
              <w:t>E</w:t>
            </w:r>
            <w:r w:rsidRPr="00CE48CF">
              <w:rPr>
                <w:rFonts w:ascii="Times New Roman" w:eastAsia="SimSun" w:hAnsi="Times New Roman" w:cs="Times New Roman"/>
                <w:sz w:val="20"/>
                <w:szCs w:val="20"/>
                <w:lang w:val="en-US" w:eastAsia="zh-CN"/>
              </w:rPr>
              <w:t xml:space="preserve"> (no. members)</w:t>
            </w:r>
          </w:p>
        </w:tc>
        <w:tc>
          <w:tcPr>
            <w:tcW w:w="992" w:type="dxa"/>
            <w:noWrap/>
            <w:vAlign w:val="bottom"/>
          </w:tcPr>
          <w:p w14:paraId="6E835E15" w14:textId="77777777" w:rsidR="00C9224B" w:rsidRPr="00CE48CF" w:rsidRDefault="00C9224B" w:rsidP="00C9224B">
            <w:pPr>
              <w:spacing w:after="0" w:line="240" w:lineRule="auto"/>
              <w:jc w:val="right"/>
              <w:rPr>
                <w:rFonts w:ascii="Times New Roman" w:eastAsia="SimSun" w:hAnsi="Times New Roman" w:cs="Times New Roman"/>
                <w:sz w:val="20"/>
                <w:szCs w:val="20"/>
                <w:lang w:val="en-US" w:eastAsia="en-GB"/>
              </w:rPr>
            </w:pPr>
            <w:r w:rsidRPr="00CE48CF">
              <w:rPr>
                <w:rFonts w:ascii="Times New Roman" w:eastAsia="SimSun" w:hAnsi="Times New Roman" w:cs="Times New Roman"/>
                <w:sz w:val="20"/>
                <w:szCs w:val="20"/>
                <w:lang w:val="en-US" w:eastAsia="en-GB"/>
              </w:rPr>
              <w:t>11.73</w:t>
            </w:r>
          </w:p>
        </w:tc>
        <w:tc>
          <w:tcPr>
            <w:tcW w:w="1276" w:type="dxa"/>
            <w:noWrap/>
            <w:vAlign w:val="bottom"/>
          </w:tcPr>
          <w:p w14:paraId="40BD37FA" w14:textId="77777777" w:rsidR="00C9224B" w:rsidRPr="00CE48CF" w:rsidRDefault="00C9224B" w:rsidP="00C9224B">
            <w:pPr>
              <w:spacing w:after="0" w:line="240" w:lineRule="auto"/>
              <w:jc w:val="right"/>
              <w:rPr>
                <w:rFonts w:ascii="Times New Roman" w:eastAsia="SimSun" w:hAnsi="Times New Roman" w:cs="Times New Roman"/>
                <w:sz w:val="20"/>
                <w:szCs w:val="20"/>
                <w:lang w:val="en-US" w:eastAsia="en-GB"/>
              </w:rPr>
            </w:pPr>
            <w:r w:rsidRPr="00CE48CF">
              <w:rPr>
                <w:rFonts w:ascii="Times New Roman" w:eastAsia="SimSun" w:hAnsi="Times New Roman" w:cs="Times New Roman"/>
                <w:sz w:val="20"/>
                <w:szCs w:val="20"/>
                <w:lang w:val="en-US" w:eastAsia="en-GB"/>
              </w:rPr>
              <w:t>10.00</w:t>
            </w:r>
          </w:p>
        </w:tc>
        <w:tc>
          <w:tcPr>
            <w:tcW w:w="1134" w:type="dxa"/>
            <w:noWrap/>
            <w:vAlign w:val="bottom"/>
          </w:tcPr>
          <w:p w14:paraId="36193E79" w14:textId="77777777" w:rsidR="00C9224B" w:rsidRPr="00CE48CF" w:rsidRDefault="00C9224B" w:rsidP="00C9224B">
            <w:pPr>
              <w:spacing w:after="0" w:line="240" w:lineRule="auto"/>
              <w:jc w:val="right"/>
              <w:rPr>
                <w:rFonts w:ascii="Times New Roman" w:eastAsia="SimSun" w:hAnsi="Times New Roman" w:cs="Times New Roman"/>
                <w:sz w:val="20"/>
                <w:szCs w:val="20"/>
                <w:lang w:val="en-US" w:eastAsia="en-GB"/>
              </w:rPr>
            </w:pPr>
            <w:r w:rsidRPr="00CE48CF">
              <w:rPr>
                <w:rFonts w:ascii="Times New Roman" w:eastAsia="SimSun" w:hAnsi="Times New Roman" w:cs="Times New Roman"/>
                <w:sz w:val="20"/>
                <w:szCs w:val="20"/>
                <w:lang w:val="en-US" w:eastAsia="en-GB"/>
              </w:rPr>
              <w:t>6.02</w:t>
            </w:r>
          </w:p>
        </w:tc>
        <w:tc>
          <w:tcPr>
            <w:tcW w:w="1078" w:type="dxa"/>
            <w:noWrap/>
            <w:vAlign w:val="bottom"/>
          </w:tcPr>
          <w:p w14:paraId="017E7AD5" w14:textId="77777777" w:rsidR="00C9224B" w:rsidRPr="00CE48CF" w:rsidRDefault="00C9224B" w:rsidP="00C9224B">
            <w:pPr>
              <w:spacing w:after="0" w:line="240" w:lineRule="auto"/>
              <w:jc w:val="right"/>
              <w:rPr>
                <w:rFonts w:ascii="Times New Roman" w:eastAsia="SimSun" w:hAnsi="Times New Roman" w:cs="Times New Roman"/>
                <w:sz w:val="20"/>
                <w:szCs w:val="20"/>
                <w:lang w:val="en-US" w:eastAsia="en-GB"/>
              </w:rPr>
            </w:pPr>
            <w:r w:rsidRPr="00CE48CF">
              <w:rPr>
                <w:rFonts w:ascii="Times New Roman" w:eastAsia="SimSun" w:hAnsi="Times New Roman" w:cs="Times New Roman"/>
                <w:sz w:val="20"/>
                <w:szCs w:val="20"/>
                <w:lang w:val="en-US" w:eastAsia="en-GB"/>
              </w:rPr>
              <w:t>3.00</w:t>
            </w:r>
          </w:p>
        </w:tc>
        <w:tc>
          <w:tcPr>
            <w:tcW w:w="1136" w:type="dxa"/>
            <w:noWrap/>
            <w:vAlign w:val="bottom"/>
          </w:tcPr>
          <w:p w14:paraId="6C3AECCE" w14:textId="77777777" w:rsidR="00C9224B" w:rsidRPr="00CE48CF" w:rsidRDefault="00C9224B" w:rsidP="00C9224B">
            <w:pPr>
              <w:spacing w:after="0" w:line="240" w:lineRule="auto"/>
              <w:jc w:val="right"/>
              <w:rPr>
                <w:rFonts w:ascii="Times New Roman" w:eastAsia="SimSun" w:hAnsi="Times New Roman" w:cs="Times New Roman"/>
                <w:sz w:val="20"/>
                <w:szCs w:val="20"/>
                <w:lang w:val="en-US" w:eastAsia="en-GB"/>
              </w:rPr>
            </w:pPr>
            <w:r w:rsidRPr="00CE48CF">
              <w:rPr>
                <w:rFonts w:ascii="Times New Roman" w:eastAsia="SimSun" w:hAnsi="Times New Roman" w:cs="Times New Roman"/>
                <w:sz w:val="20"/>
                <w:szCs w:val="20"/>
                <w:lang w:val="en-US" w:eastAsia="en-GB"/>
              </w:rPr>
              <w:t>35.00</w:t>
            </w:r>
          </w:p>
        </w:tc>
      </w:tr>
      <w:tr w:rsidR="00C9224B" w:rsidRPr="00F24425" w14:paraId="625B24DB" w14:textId="77777777" w:rsidTr="00CA2415">
        <w:trPr>
          <w:trHeight w:val="105"/>
        </w:trPr>
        <w:tc>
          <w:tcPr>
            <w:tcW w:w="2594" w:type="dxa"/>
          </w:tcPr>
          <w:p w14:paraId="0B780D45" w14:textId="68F62C66" w:rsidR="00C9224B" w:rsidRPr="00CE48CF" w:rsidRDefault="00C9224B" w:rsidP="00C9224B">
            <w:pPr>
              <w:spacing w:after="0" w:line="240" w:lineRule="auto"/>
              <w:ind w:right="-173"/>
              <w:jc w:val="both"/>
              <w:rPr>
                <w:rFonts w:ascii="Times New Roman" w:eastAsia="SimSun" w:hAnsi="Times New Roman" w:cs="Times New Roman"/>
                <w:sz w:val="20"/>
                <w:szCs w:val="20"/>
                <w:lang w:val="en-US" w:eastAsia="zh-CN"/>
              </w:rPr>
            </w:pPr>
            <w:r w:rsidRPr="00CE48CF">
              <w:rPr>
                <w:rFonts w:ascii="Times New Roman" w:eastAsia="SimSun" w:hAnsi="Times New Roman" w:cs="Times New Roman"/>
                <w:sz w:val="20"/>
                <w:szCs w:val="20"/>
                <w:lang w:val="en-US" w:eastAsia="zh-CN"/>
              </w:rPr>
              <w:t xml:space="preserve">  </w:t>
            </w:r>
            <w:r w:rsidR="004A0171">
              <w:rPr>
                <w:rFonts w:ascii="Times New Roman" w:eastAsia="SimSun" w:hAnsi="Times New Roman" w:cs="Times New Roman"/>
                <w:sz w:val="20"/>
                <w:szCs w:val="20"/>
                <w:lang w:val="en-US" w:eastAsia="zh-CN"/>
              </w:rPr>
              <w:t>SM</w:t>
            </w:r>
            <w:r w:rsidRPr="00CE48CF">
              <w:rPr>
                <w:rFonts w:ascii="Times New Roman" w:eastAsia="SimSun" w:hAnsi="Times New Roman" w:cs="Times New Roman"/>
                <w:sz w:val="20"/>
                <w:szCs w:val="20"/>
                <w:lang w:val="en-US" w:eastAsia="zh-CN"/>
              </w:rPr>
              <w:t>T</w:t>
            </w:r>
            <w:r w:rsidR="004A0171">
              <w:rPr>
                <w:rFonts w:ascii="Times New Roman" w:eastAsia="SimSun" w:hAnsi="Times New Roman" w:cs="Times New Roman"/>
                <w:sz w:val="20"/>
                <w:szCs w:val="20"/>
                <w:lang w:val="en-US" w:eastAsia="zh-CN"/>
              </w:rPr>
              <w:t>GE</w:t>
            </w:r>
            <w:r w:rsidRPr="00CE48CF">
              <w:rPr>
                <w:rFonts w:ascii="Times New Roman" w:eastAsia="SimSun" w:hAnsi="Times New Roman" w:cs="Times New Roman"/>
                <w:sz w:val="20"/>
                <w:szCs w:val="20"/>
                <w:lang w:val="en-US" w:eastAsia="zh-CN"/>
              </w:rPr>
              <w:t>D (%)</w:t>
            </w:r>
          </w:p>
        </w:tc>
        <w:tc>
          <w:tcPr>
            <w:tcW w:w="992" w:type="dxa"/>
            <w:noWrap/>
            <w:vAlign w:val="bottom"/>
          </w:tcPr>
          <w:p w14:paraId="17A1C904" w14:textId="77777777" w:rsidR="00C9224B" w:rsidRPr="00CE48CF" w:rsidRDefault="00C9224B" w:rsidP="00C9224B">
            <w:pPr>
              <w:spacing w:after="0" w:line="240" w:lineRule="auto"/>
              <w:jc w:val="right"/>
              <w:rPr>
                <w:rFonts w:ascii="Times New Roman" w:eastAsia="SimSun" w:hAnsi="Times New Roman" w:cs="Times New Roman"/>
                <w:sz w:val="20"/>
                <w:szCs w:val="20"/>
                <w:lang w:val="en-US" w:eastAsia="en-GB"/>
              </w:rPr>
            </w:pPr>
            <w:r w:rsidRPr="00CE48CF">
              <w:rPr>
                <w:rFonts w:ascii="Times New Roman" w:eastAsia="SimSun" w:hAnsi="Times New Roman" w:cs="Times New Roman"/>
                <w:sz w:val="20"/>
                <w:szCs w:val="20"/>
                <w:lang w:val="en-US" w:eastAsia="en-GB"/>
              </w:rPr>
              <w:t>29.83</w:t>
            </w:r>
          </w:p>
        </w:tc>
        <w:tc>
          <w:tcPr>
            <w:tcW w:w="1276" w:type="dxa"/>
            <w:noWrap/>
            <w:vAlign w:val="bottom"/>
          </w:tcPr>
          <w:p w14:paraId="34A953BA" w14:textId="77777777" w:rsidR="00C9224B" w:rsidRPr="00CE48CF" w:rsidRDefault="00C9224B" w:rsidP="00C9224B">
            <w:pPr>
              <w:spacing w:after="0" w:line="240" w:lineRule="auto"/>
              <w:jc w:val="right"/>
              <w:rPr>
                <w:rFonts w:ascii="Times New Roman" w:eastAsia="SimSun" w:hAnsi="Times New Roman" w:cs="Times New Roman"/>
                <w:sz w:val="20"/>
                <w:szCs w:val="20"/>
                <w:lang w:val="en-US" w:eastAsia="en-GB"/>
              </w:rPr>
            </w:pPr>
            <w:r w:rsidRPr="00CE48CF">
              <w:rPr>
                <w:rFonts w:ascii="Times New Roman" w:eastAsia="SimSun" w:hAnsi="Times New Roman" w:cs="Times New Roman"/>
                <w:sz w:val="20"/>
                <w:szCs w:val="20"/>
                <w:lang w:val="en-US" w:eastAsia="en-GB"/>
              </w:rPr>
              <w:t>30.00</w:t>
            </w:r>
          </w:p>
        </w:tc>
        <w:tc>
          <w:tcPr>
            <w:tcW w:w="1134" w:type="dxa"/>
            <w:noWrap/>
            <w:vAlign w:val="bottom"/>
          </w:tcPr>
          <w:p w14:paraId="5EFDE607" w14:textId="77777777" w:rsidR="00C9224B" w:rsidRPr="00CE48CF" w:rsidRDefault="00C9224B" w:rsidP="00C9224B">
            <w:pPr>
              <w:spacing w:after="0" w:line="240" w:lineRule="auto"/>
              <w:jc w:val="right"/>
              <w:rPr>
                <w:rFonts w:ascii="Times New Roman" w:eastAsia="SimSun" w:hAnsi="Times New Roman" w:cs="Times New Roman"/>
                <w:sz w:val="20"/>
                <w:szCs w:val="20"/>
                <w:lang w:val="en-US" w:eastAsia="en-GB"/>
              </w:rPr>
            </w:pPr>
            <w:r w:rsidRPr="00CE48CF">
              <w:rPr>
                <w:rFonts w:ascii="Times New Roman" w:eastAsia="SimSun" w:hAnsi="Times New Roman" w:cs="Times New Roman"/>
                <w:sz w:val="20"/>
                <w:szCs w:val="20"/>
                <w:lang w:val="en-US" w:eastAsia="en-GB"/>
              </w:rPr>
              <w:t>11.59</w:t>
            </w:r>
          </w:p>
        </w:tc>
        <w:tc>
          <w:tcPr>
            <w:tcW w:w="1078" w:type="dxa"/>
            <w:noWrap/>
            <w:vAlign w:val="bottom"/>
          </w:tcPr>
          <w:p w14:paraId="4D6E841E" w14:textId="77777777" w:rsidR="00C9224B" w:rsidRPr="00CE48CF" w:rsidRDefault="00C9224B" w:rsidP="00C9224B">
            <w:pPr>
              <w:spacing w:after="0" w:line="240" w:lineRule="auto"/>
              <w:jc w:val="right"/>
              <w:rPr>
                <w:rFonts w:ascii="Times New Roman" w:eastAsia="SimSun" w:hAnsi="Times New Roman" w:cs="Times New Roman"/>
                <w:sz w:val="20"/>
                <w:szCs w:val="20"/>
                <w:lang w:val="en-US" w:eastAsia="en-GB"/>
              </w:rPr>
            </w:pPr>
            <w:r w:rsidRPr="00CE48CF">
              <w:rPr>
                <w:rFonts w:ascii="Times New Roman" w:eastAsia="SimSun" w:hAnsi="Times New Roman" w:cs="Times New Roman"/>
                <w:sz w:val="20"/>
                <w:szCs w:val="20"/>
                <w:lang w:val="en-US" w:eastAsia="en-GB"/>
              </w:rPr>
              <w:t>0.00</w:t>
            </w:r>
          </w:p>
        </w:tc>
        <w:tc>
          <w:tcPr>
            <w:tcW w:w="1136" w:type="dxa"/>
            <w:noWrap/>
            <w:vAlign w:val="bottom"/>
          </w:tcPr>
          <w:p w14:paraId="23CF4A1E" w14:textId="77777777" w:rsidR="00C9224B" w:rsidRPr="00CE48CF" w:rsidRDefault="00C9224B" w:rsidP="00C9224B">
            <w:pPr>
              <w:spacing w:after="0" w:line="240" w:lineRule="auto"/>
              <w:jc w:val="right"/>
              <w:rPr>
                <w:rFonts w:ascii="Times New Roman" w:eastAsia="SimSun" w:hAnsi="Times New Roman" w:cs="Times New Roman"/>
                <w:sz w:val="20"/>
                <w:szCs w:val="20"/>
                <w:lang w:val="en-US" w:eastAsia="en-GB"/>
              </w:rPr>
            </w:pPr>
            <w:r w:rsidRPr="00CE48CF">
              <w:rPr>
                <w:rFonts w:ascii="Times New Roman" w:eastAsia="SimSun" w:hAnsi="Times New Roman" w:cs="Times New Roman"/>
                <w:sz w:val="20"/>
                <w:szCs w:val="20"/>
                <w:lang w:val="en-US" w:eastAsia="en-GB"/>
              </w:rPr>
              <w:t>53.85</w:t>
            </w:r>
          </w:p>
        </w:tc>
      </w:tr>
      <w:tr w:rsidR="00C9224B" w:rsidRPr="00F24425" w14:paraId="182B22C1" w14:textId="77777777" w:rsidTr="00CA2415">
        <w:trPr>
          <w:trHeight w:val="105"/>
        </w:trPr>
        <w:tc>
          <w:tcPr>
            <w:tcW w:w="2594" w:type="dxa"/>
          </w:tcPr>
          <w:p w14:paraId="5DA1DC18" w14:textId="05C2A1A1" w:rsidR="00C9224B" w:rsidRPr="00CE48CF" w:rsidRDefault="00C9224B" w:rsidP="00C9224B">
            <w:pPr>
              <w:spacing w:after="0" w:line="240" w:lineRule="auto"/>
              <w:ind w:right="-173"/>
              <w:jc w:val="both"/>
              <w:rPr>
                <w:rFonts w:ascii="Times New Roman" w:eastAsia="SimSun" w:hAnsi="Times New Roman" w:cs="Times New Roman"/>
                <w:sz w:val="20"/>
                <w:szCs w:val="20"/>
                <w:lang w:val="en-US" w:eastAsia="zh-CN"/>
              </w:rPr>
            </w:pPr>
            <w:r w:rsidRPr="00CE48CF">
              <w:rPr>
                <w:rFonts w:ascii="Times New Roman" w:eastAsia="SimSun" w:hAnsi="Times New Roman" w:cs="Times New Roman"/>
                <w:sz w:val="20"/>
                <w:szCs w:val="20"/>
                <w:lang w:val="en-US" w:eastAsia="zh-CN"/>
              </w:rPr>
              <w:t xml:space="preserve">  </w:t>
            </w:r>
            <w:r w:rsidR="004A0171">
              <w:rPr>
                <w:rFonts w:ascii="Times New Roman" w:eastAsia="SimSun" w:hAnsi="Times New Roman" w:cs="Times New Roman"/>
                <w:sz w:val="20"/>
                <w:szCs w:val="20"/>
                <w:lang w:val="en-US" w:eastAsia="zh-CN"/>
              </w:rPr>
              <w:t>SM</w:t>
            </w:r>
            <w:r w:rsidRPr="00CE48CF">
              <w:rPr>
                <w:rFonts w:ascii="Times New Roman" w:eastAsia="SimSun" w:hAnsi="Times New Roman" w:cs="Times New Roman"/>
                <w:sz w:val="20"/>
                <w:szCs w:val="20"/>
                <w:lang w:val="en-US" w:eastAsia="zh-CN"/>
              </w:rPr>
              <w:t>TGD (%)</w:t>
            </w:r>
          </w:p>
        </w:tc>
        <w:tc>
          <w:tcPr>
            <w:tcW w:w="992" w:type="dxa"/>
            <w:noWrap/>
            <w:vAlign w:val="bottom"/>
          </w:tcPr>
          <w:p w14:paraId="25856C32" w14:textId="77777777" w:rsidR="00C9224B" w:rsidRPr="00CE48CF" w:rsidRDefault="00C9224B" w:rsidP="00C9224B">
            <w:pPr>
              <w:spacing w:after="0" w:line="240" w:lineRule="auto"/>
              <w:jc w:val="right"/>
              <w:rPr>
                <w:rFonts w:ascii="Times New Roman" w:eastAsia="SimSun" w:hAnsi="Times New Roman" w:cs="Times New Roman"/>
                <w:sz w:val="20"/>
                <w:szCs w:val="20"/>
                <w:lang w:val="en-US" w:eastAsia="en-GB"/>
              </w:rPr>
            </w:pPr>
            <w:r w:rsidRPr="00CE48CF">
              <w:rPr>
                <w:rFonts w:ascii="Times New Roman" w:eastAsia="SimSun" w:hAnsi="Times New Roman" w:cs="Times New Roman"/>
                <w:sz w:val="20"/>
                <w:szCs w:val="20"/>
                <w:lang w:val="en-US" w:eastAsia="en-GB"/>
              </w:rPr>
              <w:t>25.69</w:t>
            </w:r>
          </w:p>
        </w:tc>
        <w:tc>
          <w:tcPr>
            <w:tcW w:w="1276" w:type="dxa"/>
            <w:noWrap/>
            <w:vAlign w:val="bottom"/>
          </w:tcPr>
          <w:p w14:paraId="0A948E16" w14:textId="77777777" w:rsidR="00C9224B" w:rsidRPr="00CE48CF" w:rsidRDefault="00C9224B" w:rsidP="00C9224B">
            <w:pPr>
              <w:spacing w:after="0" w:line="240" w:lineRule="auto"/>
              <w:jc w:val="right"/>
              <w:rPr>
                <w:rFonts w:ascii="Times New Roman" w:eastAsia="SimSun" w:hAnsi="Times New Roman" w:cs="Times New Roman"/>
                <w:sz w:val="20"/>
                <w:szCs w:val="20"/>
                <w:lang w:val="en-US" w:eastAsia="en-GB"/>
              </w:rPr>
            </w:pPr>
            <w:r w:rsidRPr="00CE48CF">
              <w:rPr>
                <w:rFonts w:ascii="Times New Roman" w:eastAsia="SimSun" w:hAnsi="Times New Roman" w:cs="Times New Roman"/>
                <w:sz w:val="20"/>
                <w:szCs w:val="20"/>
                <w:lang w:val="en-US" w:eastAsia="en-GB"/>
              </w:rPr>
              <w:t>26.92</w:t>
            </w:r>
          </w:p>
        </w:tc>
        <w:tc>
          <w:tcPr>
            <w:tcW w:w="1134" w:type="dxa"/>
            <w:noWrap/>
            <w:vAlign w:val="bottom"/>
          </w:tcPr>
          <w:p w14:paraId="001BA642" w14:textId="77777777" w:rsidR="00C9224B" w:rsidRPr="00CE48CF" w:rsidRDefault="00C9224B" w:rsidP="00C9224B">
            <w:pPr>
              <w:spacing w:after="0" w:line="240" w:lineRule="auto"/>
              <w:jc w:val="right"/>
              <w:rPr>
                <w:rFonts w:ascii="Times New Roman" w:eastAsia="SimSun" w:hAnsi="Times New Roman" w:cs="Times New Roman"/>
                <w:sz w:val="20"/>
                <w:szCs w:val="20"/>
                <w:lang w:val="en-US" w:eastAsia="en-GB"/>
              </w:rPr>
            </w:pPr>
            <w:r w:rsidRPr="00CE48CF">
              <w:rPr>
                <w:rFonts w:ascii="Times New Roman" w:eastAsia="SimSun" w:hAnsi="Times New Roman" w:cs="Times New Roman"/>
                <w:sz w:val="20"/>
                <w:szCs w:val="20"/>
                <w:lang w:val="en-US" w:eastAsia="en-GB"/>
              </w:rPr>
              <w:t>9.38</w:t>
            </w:r>
          </w:p>
        </w:tc>
        <w:tc>
          <w:tcPr>
            <w:tcW w:w="1078" w:type="dxa"/>
            <w:noWrap/>
            <w:vAlign w:val="bottom"/>
          </w:tcPr>
          <w:p w14:paraId="3FC5D14C" w14:textId="77777777" w:rsidR="00C9224B" w:rsidRPr="00CE48CF" w:rsidRDefault="00C9224B" w:rsidP="00C9224B">
            <w:pPr>
              <w:spacing w:after="0" w:line="240" w:lineRule="auto"/>
              <w:jc w:val="right"/>
              <w:rPr>
                <w:rFonts w:ascii="Times New Roman" w:eastAsia="SimSun" w:hAnsi="Times New Roman" w:cs="Times New Roman"/>
                <w:sz w:val="20"/>
                <w:szCs w:val="20"/>
                <w:lang w:val="en-US" w:eastAsia="en-GB"/>
              </w:rPr>
            </w:pPr>
            <w:r w:rsidRPr="00CE48CF">
              <w:rPr>
                <w:rFonts w:ascii="Times New Roman" w:eastAsia="SimSun" w:hAnsi="Times New Roman" w:cs="Times New Roman"/>
                <w:sz w:val="20"/>
                <w:szCs w:val="20"/>
                <w:lang w:val="en-US" w:eastAsia="en-GB"/>
              </w:rPr>
              <w:t>0.00</w:t>
            </w:r>
          </w:p>
        </w:tc>
        <w:tc>
          <w:tcPr>
            <w:tcW w:w="1136" w:type="dxa"/>
            <w:noWrap/>
            <w:vAlign w:val="bottom"/>
          </w:tcPr>
          <w:p w14:paraId="22FB279B" w14:textId="77777777" w:rsidR="00C9224B" w:rsidRPr="00CE48CF" w:rsidRDefault="00C9224B" w:rsidP="00C9224B">
            <w:pPr>
              <w:spacing w:after="0" w:line="240" w:lineRule="auto"/>
              <w:jc w:val="right"/>
              <w:rPr>
                <w:rFonts w:ascii="Times New Roman" w:eastAsia="SimSun" w:hAnsi="Times New Roman" w:cs="Times New Roman"/>
                <w:sz w:val="20"/>
                <w:szCs w:val="20"/>
                <w:lang w:val="en-US" w:eastAsia="en-GB"/>
              </w:rPr>
            </w:pPr>
            <w:r w:rsidRPr="00CE48CF">
              <w:rPr>
                <w:rFonts w:ascii="Times New Roman" w:eastAsia="SimSun" w:hAnsi="Times New Roman" w:cs="Times New Roman"/>
                <w:sz w:val="20"/>
                <w:szCs w:val="20"/>
                <w:lang w:val="en-US" w:eastAsia="en-GB"/>
              </w:rPr>
              <w:t>42.86</w:t>
            </w:r>
          </w:p>
        </w:tc>
      </w:tr>
      <w:tr w:rsidR="00C9224B" w:rsidRPr="00F24425" w14:paraId="36C6F38A" w14:textId="77777777" w:rsidTr="00CA2415">
        <w:trPr>
          <w:trHeight w:val="105"/>
        </w:trPr>
        <w:tc>
          <w:tcPr>
            <w:tcW w:w="2594" w:type="dxa"/>
          </w:tcPr>
          <w:p w14:paraId="49E0F77E" w14:textId="18EB283C" w:rsidR="00C9224B" w:rsidRPr="00CE48CF" w:rsidRDefault="00C9224B" w:rsidP="00C9224B">
            <w:pPr>
              <w:spacing w:after="0" w:line="240" w:lineRule="auto"/>
              <w:ind w:right="-173"/>
              <w:jc w:val="both"/>
              <w:rPr>
                <w:rFonts w:ascii="Times New Roman" w:eastAsia="SimSun" w:hAnsi="Times New Roman" w:cs="Times New Roman"/>
                <w:sz w:val="20"/>
                <w:szCs w:val="20"/>
                <w:lang w:val="en-US" w:eastAsia="zh-CN"/>
              </w:rPr>
            </w:pPr>
            <w:r w:rsidRPr="00CE48CF">
              <w:rPr>
                <w:rFonts w:ascii="Times New Roman" w:eastAsia="SimSun" w:hAnsi="Times New Roman" w:cs="Times New Roman"/>
                <w:sz w:val="20"/>
                <w:szCs w:val="20"/>
                <w:lang w:val="en-US" w:eastAsia="zh-CN"/>
              </w:rPr>
              <w:t xml:space="preserve">  </w:t>
            </w:r>
            <w:r w:rsidR="004A0171">
              <w:rPr>
                <w:rFonts w:ascii="Times New Roman" w:eastAsia="SimSun" w:hAnsi="Times New Roman" w:cs="Times New Roman"/>
                <w:sz w:val="20"/>
                <w:szCs w:val="20"/>
                <w:lang w:val="en-US" w:eastAsia="zh-CN"/>
              </w:rPr>
              <w:t>SM</w:t>
            </w:r>
            <w:r w:rsidRPr="00CE48CF">
              <w:rPr>
                <w:rFonts w:ascii="Times New Roman" w:eastAsia="SimSun" w:hAnsi="Times New Roman" w:cs="Times New Roman"/>
                <w:sz w:val="20"/>
                <w:szCs w:val="20"/>
                <w:lang w:val="en-US" w:eastAsia="zh-CN"/>
              </w:rPr>
              <w:t>TED (%)</w:t>
            </w:r>
          </w:p>
        </w:tc>
        <w:tc>
          <w:tcPr>
            <w:tcW w:w="992" w:type="dxa"/>
            <w:noWrap/>
            <w:vAlign w:val="bottom"/>
          </w:tcPr>
          <w:p w14:paraId="56836B26" w14:textId="77777777" w:rsidR="00C9224B" w:rsidRPr="00CE48CF" w:rsidRDefault="00C9224B" w:rsidP="00C9224B">
            <w:pPr>
              <w:spacing w:after="0" w:line="240" w:lineRule="auto"/>
              <w:jc w:val="right"/>
              <w:rPr>
                <w:rFonts w:ascii="Times New Roman" w:eastAsia="SimSun" w:hAnsi="Times New Roman" w:cs="Times New Roman"/>
                <w:sz w:val="20"/>
                <w:szCs w:val="20"/>
                <w:lang w:val="en-US" w:eastAsia="en-GB"/>
              </w:rPr>
            </w:pPr>
            <w:r w:rsidRPr="00CE48CF">
              <w:rPr>
                <w:rFonts w:ascii="Times New Roman" w:eastAsia="SimSun" w:hAnsi="Times New Roman" w:cs="Times New Roman"/>
                <w:sz w:val="20"/>
                <w:szCs w:val="20"/>
                <w:lang w:val="en-US" w:eastAsia="en-GB"/>
              </w:rPr>
              <w:t>11.36</w:t>
            </w:r>
          </w:p>
        </w:tc>
        <w:tc>
          <w:tcPr>
            <w:tcW w:w="1276" w:type="dxa"/>
            <w:noWrap/>
            <w:vAlign w:val="bottom"/>
          </w:tcPr>
          <w:p w14:paraId="0AB26A7F" w14:textId="77777777" w:rsidR="00C9224B" w:rsidRPr="00CE48CF" w:rsidRDefault="00C9224B" w:rsidP="00C9224B">
            <w:pPr>
              <w:spacing w:after="0" w:line="240" w:lineRule="auto"/>
              <w:jc w:val="right"/>
              <w:rPr>
                <w:rFonts w:ascii="Times New Roman" w:eastAsia="SimSun" w:hAnsi="Times New Roman" w:cs="Times New Roman"/>
                <w:sz w:val="20"/>
                <w:szCs w:val="20"/>
                <w:lang w:val="en-US" w:eastAsia="en-GB"/>
              </w:rPr>
            </w:pPr>
            <w:r w:rsidRPr="00CE48CF">
              <w:rPr>
                <w:rFonts w:ascii="Times New Roman" w:eastAsia="SimSun" w:hAnsi="Times New Roman" w:cs="Times New Roman"/>
                <w:sz w:val="20"/>
                <w:szCs w:val="20"/>
                <w:lang w:val="en-US" w:eastAsia="en-GB"/>
              </w:rPr>
              <w:t>12.50</w:t>
            </w:r>
          </w:p>
        </w:tc>
        <w:tc>
          <w:tcPr>
            <w:tcW w:w="1134" w:type="dxa"/>
            <w:noWrap/>
            <w:vAlign w:val="bottom"/>
          </w:tcPr>
          <w:p w14:paraId="79AC4DDE" w14:textId="77777777" w:rsidR="00C9224B" w:rsidRPr="00CE48CF" w:rsidRDefault="00C9224B" w:rsidP="00C9224B">
            <w:pPr>
              <w:spacing w:after="0" w:line="240" w:lineRule="auto"/>
              <w:jc w:val="right"/>
              <w:rPr>
                <w:rFonts w:ascii="Times New Roman" w:eastAsia="SimSun" w:hAnsi="Times New Roman" w:cs="Times New Roman"/>
                <w:sz w:val="20"/>
                <w:szCs w:val="20"/>
                <w:lang w:val="en-US" w:eastAsia="en-GB"/>
              </w:rPr>
            </w:pPr>
            <w:r w:rsidRPr="00CE48CF">
              <w:rPr>
                <w:rFonts w:ascii="Times New Roman" w:eastAsia="SimSun" w:hAnsi="Times New Roman" w:cs="Times New Roman"/>
                <w:sz w:val="20"/>
                <w:szCs w:val="20"/>
                <w:lang w:val="en-US" w:eastAsia="en-GB"/>
              </w:rPr>
              <w:t>4.87</w:t>
            </w:r>
          </w:p>
        </w:tc>
        <w:tc>
          <w:tcPr>
            <w:tcW w:w="1078" w:type="dxa"/>
            <w:noWrap/>
            <w:vAlign w:val="bottom"/>
          </w:tcPr>
          <w:p w14:paraId="623445A4" w14:textId="77777777" w:rsidR="00C9224B" w:rsidRPr="00CE48CF" w:rsidRDefault="00C9224B" w:rsidP="00C9224B">
            <w:pPr>
              <w:spacing w:after="0" w:line="240" w:lineRule="auto"/>
              <w:jc w:val="right"/>
              <w:rPr>
                <w:rFonts w:ascii="Times New Roman" w:eastAsia="SimSun" w:hAnsi="Times New Roman" w:cs="Times New Roman"/>
                <w:sz w:val="20"/>
                <w:szCs w:val="20"/>
                <w:lang w:val="en-US" w:eastAsia="en-GB"/>
              </w:rPr>
            </w:pPr>
            <w:r w:rsidRPr="00CE48CF">
              <w:rPr>
                <w:rFonts w:ascii="Times New Roman" w:eastAsia="SimSun" w:hAnsi="Times New Roman" w:cs="Times New Roman"/>
                <w:sz w:val="20"/>
                <w:szCs w:val="20"/>
                <w:lang w:val="en-US" w:eastAsia="en-GB"/>
              </w:rPr>
              <w:t>0.00</w:t>
            </w:r>
          </w:p>
        </w:tc>
        <w:tc>
          <w:tcPr>
            <w:tcW w:w="1136" w:type="dxa"/>
            <w:noWrap/>
            <w:vAlign w:val="bottom"/>
          </w:tcPr>
          <w:p w14:paraId="0A60987F" w14:textId="77777777" w:rsidR="00C9224B" w:rsidRPr="00CE48CF" w:rsidRDefault="00C9224B" w:rsidP="00C9224B">
            <w:pPr>
              <w:spacing w:after="0" w:line="240" w:lineRule="auto"/>
              <w:jc w:val="right"/>
              <w:rPr>
                <w:rFonts w:ascii="Times New Roman" w:eastAsia="SimSun" w:hAnsi="Times New Roman" w:cs="Times New Roman"/>
                <w:sz w:val="20"/>
                <w:szCs w:val="20"/>
                <w:lang w:val="en-US" w:eastAsia="en-GB"/>
              </w:rPr>
            </w:pPr>
            <w:r w:rsidRPr="00CE48CF">
              <w:rPr>
                <w:rFonts w:ascii="Times New Roman" w:eastAsia="SimSun" w:hAnsi="Times New Roman" w:cs="Times New Roman"/>
                <w:sz w:val="20"/>
                <w:szCs w:val="20"/>
                <w:lang w:val="en-US" w:eastAsia="en-GB"/>
              </w:rPr>
              <w:t>21.00</w:t>
            </w:r>
          </w:p>
        </w:tc>
      </w:tr>
      <w:tr w:rsidR="00C9224B" w:rsidRPr="00F24425" w14:paraId="426CC325" w14:textId="77777777" w:rsidTr="00CA2415">
        <w:trPr>
          <w:trHeight w:val="105"/>
        </w:trPr>
        <w:tc>
          <w:tcPr>
            <w:tcW w:w="2594" w:type="dxa"/>
          </w:tcPr>
          <w:p w14:paraId="0979BFD7" w14:textId="576C2CA5" w:rsidR="00C9224B" w:rsidRPr="00CE48CF" w:rsidRDefault="00C9224B" w:rsidP="00C9224B">
            <w:pPr>
              <w:spacing w:after="0" w:line="240" w:lineRule="auto"/>
              <w:ind w:right="-173"/>
              <w:jc w:val="both"/>
              <w:rPr>
                <w:rFonts w:ascii="Times New Roman" w:eastAsia="SimSun" w:hAnsi="Times New Roman" w:cs="Times New Roman"/>
                <w:sz w:val="20"/>
                <w:szCs w:val="20"/>
                <w:lang w:val="en-US" w:eastAsia="zh-CN"/>
              </w:rPr>
            </w:pPr>
            <w:r w:rsidRPr="00CE48CF">
              <w:rPr>
                <w:rFonts w:ascii="Times New Roman" w:eastAsia="SimSun" w:hAnsi="Times New Roman" w:cs="Times New Roman"/>
                <w:sz w:val="20"/>
                <w:szCs w:val="20"/>
                <w:lang w:val="en-US" w:eastAsia="zh-CN"/>
              </w:rPr>
              <w:t xml:space="preserve">  </w:t>
            </w:r>
            <w:r w:rsidR="004A0171">
              <w:rPr>
                <w:rFonts w:ascii="Times New Roman" w:eastAsia="SimSun" w:hAnsi="Times New Roman" w:cs="Times New Roman"/>
                <w:sz w:val="20"/>
                <w:szCs w:val="20"/>
                <w:lang w:val="en-US" w:eastAsia="zh-CN"/>
              </w:rPr>
              <w:t>SMT</w:t>
            </w:r>
            <w:r w:rsidRPr="00CE48CF">
              <w:rPr>
                <w:rFonts w:ascii="Times New Roman" w:eastAsia="SimSun" w:hAnsi="Times New Roman" w:cs="Times New Roman"/>
                <w:sz w:val="20"/>
                <w:szCs w:val="20"/>
                <w:lang w:val="en-US" w:eastAsia="zh-CN"/>
              </w:rPr>
              <w:t>M (no. meetings)</w:t>
            </w:r>
          </w:p>
        </w:tc>
        <w:tc>
          <w:tcPr>
            <w:tcW w:w="992" w:type="dxa"/>
            <w:noWrap/>
            <w:vAlign w:val="bottom"/>
          </w:tcPr>
          <w:p w14:paraId="1EC15241" w14:textId="77777777" w:rsidR="00C9224B" w:rsidRPr="00CE48CF" w:rsidRDefault="00C9224B" w:rsidP="00C9224B">
            <w:pPr>
              <w:spacing w:after="0" w:line="240" w:lineRule="auto"/>
              <w:jc w:val="right"/>
              <w:rPr>
                <w:rFonts w:ascii="Times New Roman" w:eastAsia="SimSun" w:hAnsi="Times New Roman" w:cs="Times New Roman"/>
                <w:sz w:val="20"/>
                <w:szCs w:val="20"/>
                <w:lang w:val="en-US" w:eastAsia="en-GB"/>
              </w:rPr>
            </w:pPr>
            <w:r w:rsidRPr="00CE48CF">
              <w:rPr>
                <w:rFonts w:ascii="Times New Roman" w:eastAsia="SimSun" w:hAnsi="Times New Roman" w:cs="Times New Roman"/>
                <w:sz w:val="20"/>
                <w:szCs w:val="20"/>
                <w:lang w:val="en-US" w:eastAsia="en-GB"/>
              </w:rPr>
              <w:t>14.13</w:t>
            </w:r>
          </w:p>
        </w:tc>
        <w:tc>
          <w:tcPr>
            <w:tcW w:w="1276" w:type="dxa"/>
            <w:noWrap/>
            <w:vAlign w:val="bottom"/>
          </w:tcPr>
          <w:p w14:paraId="797D5576" w14:textId="77777777" w:rsidR="00C9224B" w:rsidRPr="00CE48CF" w:rsidRDefault="00C9224B" w:rsidP="00C9224B">
            <w:pPr>
              <w:spacing w:after="0" w:line="240" w:lineRule="auto"/>
              <w:jc w:val="right"/>
              <w:rPr>
                <w:rFonts w:ascii="Times New Roman" w:eastAsia="SimSun" w:hAnsi="Times New Roman" w:cs="Times New Roman"/>
                <w:sz w:val="20"/>
                <w:szCs w:val="20"/>
                <w:lang w:val="en-US" w:eastAsia="en-GB"/>
              </w:rPr>
            </w:pPr>
            <w:r w:rsidRPr="00CE48CF">
              <w:rPr>
                <w:rFonts w:ascii="Times New Roman" w:eastAsia="SimSun" w:hAnsi="Times New Roman" w:cs="Times New Roman"/>
                <w:sz w:val="20"/>
                <w:szCs w:val="20"/>
                <w:lang w:val="en-US" w:eastAsia="en-GB"/>
              </w:rPr>
              <w:t>12.00</w:t>
            </w:r>
          </w:p>
        </w:tc>
        <w:tc>
          <w:tcPr>
            <w:tcW w:w="1134" w:type="dxa"/>
            <w:noWrap/>
            <w:vAlign w:val="bottom"/>
          </w:tcPr>
          <w:p w14:paraId="58448581" w14:textId="77777777" w:rsidR="00C9224B" w:rsidRPr="00CE48CF" w:rsidRDefault="00C9224B" w:rsidP="00C9224B">
            <w:pPr>
              <w:spacing w:after="0" w:line="240" w:lineRule="auto"/>
              <w:jc w:val="right"/>
              <w:rPr>
                <w:rFonts w:ascii="Times New Roman" w:eastAsia="SimSun" w:hAnsi="Times New Roman" w:cs="Times New Roman"/>
                <w:sz w:val="20"/>
                <w:szCs w:val="20"/>
                <w:lang w:val="en-US" w:eastAsia="en-GB"/>
              </w:rPr>
            </w:pPr>
            <w:r w:rsidRPr="00CE48CF">
              <w:rPr>
                <w:rFonts w:ascii="Times New Roman" w:eastAsia="SimSun" w:hAnsi="Times New Roman" w:cs="Times New Roman"/>
                <w:sz w:val="20"/>
                <w:szCs w:val="20"/>
                <w:lang w:val="en-US" w:eastAsia="en-GB"/>
              </w:rPr>
              <w:t>6.49</w:t>
            </w:r>
          </w:p>
        </w:tc>
        <w:tc>
          <w:tcPr>
            <w:tcW w:w="1078" w:type="dxa"/>
            <w:noWrap/>
            <w:vAlign w:val="bottom"/>
          </w:tcPr>
          <w:p w14:paraId="57C28698" w14:textId="77777777" w:rsidR="00C9224B" w:rsidRPr="00CE48CF" w:rsidRDefault="00C9224B" w:rsidP="00C9224B">
            <w:pPr>
              <w:spacing w:after="0" w:line="240" w:lineRule="auto"/>
              <w:jc w:val="right"/>
              <w:rPr>
                <w:rFonts w:ascii="Times New Roman" w:eastAsia="SimSun" w:hAnsi="Times New Roman" w:cs="Times New Roman"/>
                <w:sz w:val="20"/>
                <w:szCs w:val="20"/>
                <w:lang w:val="en-US" w:eastAsia="en-GB"/>
              </w:rPr>
            </w:pPr>
            <w:r w:rsidRPr="00CE48CF">
              <w:rPr>
                <w:rFonts w:ascii="Times New Roman" w:eastAsia="SimSun" w:hAnsi="Times New Roman" w:cs="Times New Roman"/>
                <w:sz w:val="20"/>
                <w:szCs w:val="20"/>
                <w:lang w:val="en-US" w:eastAsia="en-GB"/>
              </w:rPr>
              <w:t>3.00</w:t>
            </w:r>
          </w:p>
        </w:tc>
        <w:tc>
          <w:tcPr>
            <w:tcW w:w="1136" w:type="dxa"/>
            <w:noWrap/>
            <w:vAlign w:val="bottom"/>
          </w:tcPr>
          <w:p w14:paraId="5CB2622A" w14:textId="77777777" w:rsidR="00C9224B" w:rsidRPr="00CE48CF" w:rsidRDefault="00C9224B" w:rsidP="00C9224B">
            <w:pPr>
              <w:spacing w:after="0" w:line="240" w:lineRule="auto"/>
              <w:jc w:val="right"/>
              <w:rPr>
                <w:rFonts w:ascii="Times New Roman" w:eastAsia="SimSun" w:hAnsi="Times New Roman" w:cs="Times New Roman"/>
                <w:sz w:val="20"/>
                <w:szCs w:val="20"/>
                <w:lang w:val="en-US" w:eastAsia="en-GB"/>
              </w:rPr>
            </w:pPr>
            <w:r w:rsidRPr="00CE48CF">
              <w:rPr>
                <w:rFonts w:ascii="Times New Roman" w:eastAsia="SimSun" w:hAnsi="Times New Roman" w:cs="Times New Roman"/>
                <w:sz w:val="20"/>
                <w:szCs w:val="20"/>
                <w:lang w:val="en-US" w:eastAsia="en-GB"/>
              </w:rPr>
              <w:t>48.00</w:t>
            </w:r>
          </w:p>
        </w:tc>
      </w:tr>
      <w:tr w:rsidR="00C9224B" w:rsidRPr="00F24425" w14:paraId="774C6A09" w14:textId="77777777" w:rsidTr="00CA2415">
        <w:trPr>
          <w:trHeight w:val="105"/>
        </w:trPr>
        <w:tc>
          <w:tcPr>
            <w:tcW w:w="8210" w:type="dxa"/>
            <w:gridSpan w:val="6"/>
          </w:tcPr>
          <w:p w14:paraId="61872CC5" w14:textId="77777777" w:rsidR="00C9224B" w:rsidRPr="00CE48CF" w:rsidRDefault="00C9224B" w:rsidP="00C9224B">
            <w:pPr>
              <w:spacing w:after="0" w:line="240" w:lineRule="auto"/>
              <w:rPr>
                <w:rFonts w:ascii="Times New Roman" w:eastAsia="SimSun" w:hAnsi="Times New Roman" w:cs="Times New Roman"/>
                <w:i/>
                <w:iCs/>
                <w:sz w:val="20"/>
                <w:szCs w:val="20"/>
                <w:lang w:val="en-US" w:eastAsia="zh-CN"/>
              </w:rPr>
            </w:pPr>
          </w:p>
          <w:p w14:paraId="19CD629A" w14:textId="22AB7386" w:rsidR="00C9224B" w:rsidRPr="00CE48CF" w:rsidRDefault="00C9224B" w:rsidP="00C9224B">
            <w:pPr>
              <w:spacing w:after="0" w:line="240" w:lineRule="auto"/>
              <w:rPr>
                <w:rFonts w:ascii="Times New Roman" w:eastAsia="SimSun" w:hAnsi="Times New Roman" w:cs="Times New Roman"/>
                <w:sz w:val="20"/>
                <w:szCs w:val="20"/>
                <w:lang w:val="en-US" w:eastAsia="zh-CN"/>
              </w:rPr>
            </w:pPr>
            <w:r w:rsidRPr="00CE48CF">
              <w:rPr>
                <w:rFonts w:ascii="Times New Roman" w:eastAsia="SimSun" w:hAnsi="Times New Roman" w:cs="Times New Roman"/>
                <w:i/>
                <w:iCs/>
                <w:sz w:val="20"/>
                <w:szCs w:val="20"/>
                <w:lang w:val="en-US" w:eastAsia="zh-CN"/>
              </w:rPr>
              <w:t xml:space="preserve">Panel </w:t>
            </w:r>
            <w:r>
              <w:rPr>
                <w:rFonts w:ascii="Times New Roman" w:eastAsia="SimSun" w:hAnsi="Times New Roman" w:cs="Times New Roman"/>
                <w:i/>
                <w:iCs/>
                <w:sz w:val="20"/>
                <w:szCs w:val="20"/>
                <w:lang w:val="en-US" w:eastAsia="zh-CN"/>
              </w:rPr>
              <w:t>4</w:t>
            </w:r>
            <w:r w:rsidRPr="00CE48CF">
              <w:rPr>
                <w:rFonts w:ascii="Times New Roman" w:eastAsia="SimSun" w:hAnsi="Times New Roman" w:cs="Times New Roman"/>
                <w:i/>
                <w:iCs/>
                <w:sz w:val="20"/>
                <w:szCs w:val="20"/>
                <w:lang w:val="en-US" w:eastAsia="zh-CN"/>
              </w:rPr>
              <w:t xml:space="preserve">: </w:t>
            </w:r>
            <w:r w:rsidRPr="00CE48CF">
              <w:rPr>
                <w:rFonts w:ascii="Times New Roman" w:eastAsia="SimSun" w:hAnsi="Times New Roman" w:cs="Times New Roman"/>
                <w:i/>
                <w:iCs/>
                <w:sz w:val="20"/>
                <w:szCs w:val="20"/>
                <w:lang w:eastAsia="zh-CN"/>
              </w:rPr>
              <w:t>Controls (Vice-</w:t>
            </w:r>
            <w:r w:rsidR="00C16E59">
              <w:rPr>
                <w:rFonts w:ascii="Times New Roman" w:eastAsia="SimSun" w:hAnsi="Times New Roman" w:cs="Times New Roman"/>
                <w:i/>
                <w:iCs/>
                <w:sz w:val="20"/>
                <w:szCs w:val="20"/>
                <w:lang w:eastAsia="zh-CN"/>
              </w:rPr>
              <w:t>c</w:t>
            </w:r>
            <w:r w:rsidRPr="00CE48CF">
              <w:rPr>
                <w:rFonts w:ascii="Times New Roman" w:eastAsia="SimSun" w:hAnsi="Times New Roman" w:cs="Times New Roman"/>
                <w:i/>
                <w:iCs/>
                <w:sz w:val="20"/>
                <w:szCs w:val="20"/>
                <w:lang w:eastAsia="zh-CN"/>
              </w:rPr>
              <w:t xml:space="preserve">hancellor (VC) </w:t>
            </w:r>
            <w:r w:rsidR="00C16E59">
              <w:rPr>
                <w:rFonts w:ascii="Times New Roman" w:eastAsia="SimSun" w:hAnsi="Times New Roman" w:cs="Times New Roman"/>
                <w:i/>
                <w:iCs/>
                <w:sz w:val="20"/>
                <w:szCs w:val="20"/>
                <w:lang w:eastAsia="zh-CN"/>
              </w:rPr>
              <w:t>c</w:t>
            </w:r>
            <w:r w:rsidRPr="00CE48CF">
              <w:rPr>
                <w:rFonts w:ascii="Times New Roman" w:eastAsia="SimSun" w:hAnsi="Times New Roman" w:cs="Times New Roman"/>
                <w:i/>
                <w:iCs/>
                <w:sz w:val="20"/>
                <w:szCs w:val="20"/>
                <w:lang w:eastAsia="zh-CN"/>
              </w:rPr>
              <w:t>haracteristics)</w:t>
            </w:r>
          </w:p>
        </w:tc>
      </w:tr>
      <w:tr w:rsidR="00C9224B" w:rsidRPr="00F24425" w14:paraId="37B57054" w14:textId="77777777" w:rsidTr="00CA2415">
        <w:trPr>
          <w:trHeight w:val="105"/>
        </w:trPr>
        <w:tc>
          <w:tcPr>
            <w:tcW w:w="2594" w:type="dxa"/>
          </w:tcPr>
          <w:p w14:paraId="498CCF09" w14:textId="3BC7534B" w:rsidR="00C9224B" w:rsidRPr="00CE48CF" w:rsidRDefault="00C9224B" w:rsidP="00C9224B">
            <w:pPr>
              <w:spacing w:after="0" w:line="240" w:lineRule="auto"/>
              <w:ind w:right="-173"/>
              <w:jc w:val="both"/>
              <w:rPr>
                <w:rFonts w:ascii="Times New Roman" w:eastAsia="SimSun" w:hAnsi="Times New Roman" w:cs="Times New Roman"/>
                <w:sz w:val="20"/>
                <w:szCs w:val="20"/>
                <w:lang w:val="en-US" w:eastAsia="zh-CN"/>
              </w:rPr>
            </w:pPr>
            <w:r w:rsidRPr="00CE48CF">
              <w:rPr>
                <w:rFonts w:ascii="Times New Roman" w:eastAsia="SimSun" w:hAnsi="Times New Roman" w:cs="Times New Roman"/>
                <w:sz w:val="20"/>
                <w:szCs w:val="20"/>
                <w:lang w:val="en-US" w:eastAsia="zh-CN"/>
              </w:rPr>
              <w:t xml:space="preserve">  VCAG</w:t>
            </w:r>
            <w:r w:rsidR="004A0171">
              <w:rPr>
                <w:rFonts w:ascii="Times New Roman" w:eastAsia="SimSun" w:hAnsi="Times New Roman" w:cs="Times New Roman"/>
                <w:sz w:val="20"/>
                <w:szCs w:val="20"/>
                <w:lang w:val="en-US" w:eastAsia="zh-CN"/>
              </w:rPr>
              <w:t>E</w:t>
            </w:r>
            <w:r w:rsidRPr="00CE48CF">
              <w:rPr>
                <w:rFonts w:ascii="Times New Roman" w:eastAsia="SimSun" w:hAnsi="Times New Roman" w:cs="Times New Roman"/>
                <w:sz w:val="20"/>
                <w:szCs w:val="20"/>
                <w:lang w:val="en-US" w:eastAsia="zh-CN"/>
              </w:rPr>
              <w:t xml:space="preserve"> (no. years)</w:t>
            </w:r>
          </w:p>
        </w:tc>
        <w:tc>
          <w:tcPr>
            <w:tcW w:w="992" w:type="dxa"/>
            <w:noWrap/>
            <w:vAlign w:val="bottom"/>
          </w:tcPr>
          <w:p w14:paraId="39EF582C" w14:textId="0B4672A5" w:rsidR="00C9224B" w:rsidRPr="00CE48CF" w:rsidRDefault="00C9224B" w:rsidP="00C9224B">
            <w:pPr>
              <w:spacing w:after="0" w:line="240" w:lineRule="auto"/>
              <w:jc w:val="right"/>
              <w:rPr>
                <w:rFonts w:ascii="Times New Roman" w:eastAsia="SimSun" w:hAnsi="Times New Roman" w:cs="Times New Roman"/>
                <w:sz w:val="20"/>
                <w:szCs w:val="20"/>
                <w:lang w:val="en-US" w:eastAsia="zh-CN"/>
              </w:rPr>
            </w:pPr>
            <w:r w:rsidRPr="00CE48CF">
              <w:rPr>
                <w:rFonts w:ascii="Times New Roman" w:eastAsia="SimSun" w:hAnsi="Times New Roman" w:cs="Times New Roman"/>
                <w:sz w:val="20"/>
                <w:szCs w:val="20"/>
                <w:lang w:val="en-US" w:eastAsia="zh-CN"/>
              </w:rPr>
              <w:t>57.41</w:t>
            </w:r>
          </w:p>
        </w:tc>
        <w:tc>
          <w:tcPr>
            <w:tcW w:w="1276" w:type="dxa"/>
            <w:noWrap/>
            <w:vAlign w:val="bottom"/>
          </w:tcPr>
          <w:p w14:paraId="2E1669E6" w14:textId="65B0C7F7" w:rsidR="00C9224B" w:rsidRPr="00CE48CF" w:rsidRDefault="00C9224B" w:rsidP="00C9224B">
            <w:pPr>
              <w:spacing w:after="0" w:line="240" w:lineRule="auto"/>
              <w:jc w:val="right"/>
              <w:rPr>
                <w:rFonts w:ascii="Times New Roman" w:eastAsia="SimSun" w:hAnsi="Times New Roman" w:cs="Times New Roman"/>
                <w:sz w:val="20"/>
                <w:szCs w:val="20"/>
                <w:lang w:val="en-US" w:eastAsia="zh-CN"/>
              </w:rPr>
            </w:pPr>
            <w:r w:rsidRPr="00CE48CF">
              <w:rPr>
                <w:rFonts w:ascii="Times New Roman" w:eastAsia="SimSun" w:hAnsi="Times New Roman" w:cs="Times New Roman"/>
                <w:sz w:val="20"/>
                <w:szCs w:val="20"/>
                <w:lang w:val="en-US" w:eastAsia="zh-CN"/>
              </w:rPr>
              <w:t>58.00</w:t>
            </w:r>
          </w:p>
        </w:tc>
        <w:tc>
          <w:tcPr>
            <w:tcW w:w="1134" w:type="dxa"/>
            <w:noWrap/>
            <w:vAlign w:val="bottom"/>
          </w:tcPr>
          <w:p w14:paraId="2CE97532" w14:textId="54AD0887" w:rsidR="00C9224B" w:rsidRPr="00CE48CF" w:rsidRDefault="00C9224B" w:rsidP="00C9224B">
            <w:pPr>
              <w:spacing w:after="0" w:line="240" w:lineRule="auto"/>
              <w:jc w:val="right"/>
              <w:rPr>
                <w:rFonts w:ascii="Times New Roman" w:eastAsia="SimSun" w:hAnsi="Times New Roman" w:cs="Times New Roman"/>
                <w:sz w:val="20"/>
                <w:szCs w:val="20"/>
                <w:lang w:val="en-US" w:eastAsia="zh-CN"/>
              </w:rPr>
            </w:pPr>
            <w:r w:rsidRPr="00CE48CF">
              <w:rPr>
                <w:rFonts w:ascii="Times New Roman" w:eastAsia="SimSun" w:hAnsi="Times New Roman" w:cs="Times New Roman"/>
                <w:sz w:val="20"/>
                <w:szCs w:val="20"/>
                <w:lang w:val="en-US" w:eastAsia="zh-CN"/>
              </w:rPr>
              <w:t>5.22</w:t>
            </w:r>
          </w:p>
        </w:tc>
        <w:tc>
          <w:tcPr>
            <w:tcW w:w="1078" w:type="dxa"/>
            <w:noWrap/>
            <w:vAlign w:val="bottom"/>
          </w:tcPr>
          <w:p w14:paraId="1341D46F" w14:textId="31C21B31" w:rsidR="00C9224B" w:rsidRPr="00CE48CF" w:rsidRDefault="00C9224B" w:rsidP="00C9224B">
            <w:pPr>
              <w:spacing w:after="0" w:line="240" w:lineRule="auto"/>
              <w:jc w:val="right"/>
              <w:rPr>
                <w:rFonts w:ascii="Times New Roman" w:eastAsia="SimSun" w:hAnsi="Times New Roman" w:cs="Times New Roman"/>
                <w:sz w:val="20"/>
                <w:szCs w:val="20"/>
                <w:lang w:val="en-US" w:eastAsia="zh-CN"/>
              </w:rPr>
            </w:pPr>
            <w:r w:rsidRPr="00CE48CF">
              <w:rPr>
                <w:rFonts w:ascii="Times New Roman" w:eastAsia="SimSun" w:hAnsi="Times New Roman" w:cs="Times New Roman"/>
                <w:sz w:val="20"/>
                <w:szCs w:val="20"/>
                <w:lang w:val="en-US" w:eastAsia="zh-CN"/>
              </w:rPr>
              <w:t>41.00</w:t>
            </w:r>
          </w:p>
        </w:tc>
        <w:tc>
          <w:tcPr>
            <w:tcW w:w="1136" w:type="dxa"/>
            <w:noWrap/>
            <w:vAlign w:val="bottom"/>
          </w:tcPr>
          <w:p w14:paraId="5F7F74EC" w14:textId="35F36484" w:rsidR="00C9224B" w:rsidRPr="00CE48CF" w:rsidRDefault="00C9224B" w:rsidP="00C9224B">
            <w:pPr>
              <w:spacing w:after="0" w:line="240" w:lineRule="auto"/>
              <w:jc w:val="right"/>
              <w:rPr>
                <w:rFonts w:ascii="Times New Roman" w:eastAsia="SimSun" w:hAnsi="Times New Roman" w:cs="Times New Roman"/>
                <w:sz w:val="20"/>
                <w:szCs w:val="20"/>
                <w:lang w:val="en-US" w:eastAsia="zh-CN"/>
              </w:rPr>
            </w:pPr>
            <w:r w:rsidRPr="00CE48CF">
              <w:rPr>
                <w:rFonts w:ascii="Times New Roman" w:eastAsia="SimSun" w:hAnsi="Times New Roman" w:cs="Times New Roman"/>
                <w:sz w:val="20"/>
                <w:szCs w:val="20"/>
                <w:lang w:val="en-US" w:eastAsia="zh-CN"/>
              </w:rPr>
              <w:t>73.00</w:t>
            </w:r>
          </w:p>
        </w:tc>
      </w:tr>
      <w:tr w:rsidR="00C9224B" w:rsidRPr="00F24425" w14:paraId="72D5795D" w14:textId="77777777" w:rsidTr="00CA2415">
        <w:trPr>
          <w:trHeight w:val="105"/>
        </w:trPr>
        <w:tc>
          <w:tcPr>
            <w:tcW w:w="2594" w:type="dxa"/>
          </w:tcPr>
          <w:p w14:paraId="46A32440" w14:textId="29AA16B7" w:rsidR="00C9224B" w:rsidRPr="00CE48CF" w:rsidRDefault="00C9224B" w:rsidP="00C9224B">
            <w:pPr>
              <w:spacing w:after="0" w:line="240" w:lineRule="auto"/>
              <w:ind w:right="-173"/>
              <w:jc w:val="both"/>
              <w:rPr>
                <w:rFonts w:ascii="Times New Roman" w:eastAsia="SimSun" w:hAnsi="Times New Roman" w:cs="Times New Roman"/>
                <w:sz w:val="20"/>
                <w:szCs w:val="20"/>
                <w:lang w:val="en-US" w:eastAsia="zh-CN"/>
              </w:rPr>
            </w:pPr>
            <w:r w:rsidRPr="00CE48CF">
              <w:rPr>
                <w:rFonts w:ascii="Times New Roman" w:eastAsia="SimSun" w:hAnsi="Times New Roman" w:cs="Times New Roman"/>
                <w:sz w:val="20"/>
                <w:szCs w:val="20"/>
                <w:lang w:val="en-US" w:eastAsia="zh-CN"/>
              </w:rPr>
              <w:t xml:space="preserve">  VCG</w:t>
            </w:r>
            <w:r w:rsidR="004A0171">
              <w:rPr>
                <w:rFonts w:ascii="Times New Roman" w:eastAsia="SimSun" w:hAnsi="Times New Roman" w:cs="Times New Roman"/>
                <w:sz w:val="20"/>
                <w:szCs w:val="20"/>
                <w:lang w:val="en-US" w:eastAsia="zh-CN"/>
              </w:rPr>
              <w:t>EN</w:t>
            </w:r>
            <w:r w:rsidRPr="00CE48CF">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w:t>
            </w:r>
            <w:r w:rsidRPr="00CE48CF">
              <w:rPr>
                <w:rFonts w:ascii="Times New Roman" w:eastAsia="SimSun" w:hAnsi="Times New Roman" w:cs="Times New Roman"/>
                <w:sz w:val="20"/>
                <w:szCs w:val="20"/>
                <w:lang w:val="en-US" w:eastAsia="zh-CN"/>
              </w:rPr>
              <w:t>)</w:t>
            </w:r>
          </w:p>
        </w:tc>
        <w:tc>
          <w:tcPr>
            <w:tcW w:w="992" w:type="dxa"/>
            <w:noWrap/>
            <w:vAlign w:val="bottom"/>
          </w:tcPr>
          <w:p w14:paraId="7BB28E01" w14:textId="0A12C48F" w:rsidR="00C9224B" w:rsidRPr="00CE48CF" w:rsidRDefault="00C9224B" w:rsidP="00C9224B">
            <w:pPr>
              <w:spacing w:after="0" w:line="240" w:lineRule="auto"/>
              <w:jc w:val="right"/>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83.00</w:t>
            </w:r>
          </w:p>
        </w:tc>
        <w:tc>
          <w:tcPr>
            <w:tcW w:w="1276" w:type="dxa"/>
            <w:noWrap/>
            <w:vAlign w:val="bottom"/>
          </w:tcPr>
          <w:p w14:paraId="0BFEA5A4" w14:textId="525249EF" w:rsidR="00C9224B" w:rsidRPr="00CE48CF" w:rsidRDefault="00C9224B" w:rsidP="00C9224B">
            <w:pPr>
              <w:spacing w:after="0" w:line="240" w:lineRule="auto"/>
              <w:jc w:val="right"/>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100.00</w:t>
            </w:r>
          </w:p>
        </w:tc>
        <w:tc>
          <w:tcPr>
            <w:tcW w:w="1134" w:type="dxa"/>
            <w:noWrap/>
            <w:vAlign w:val="bottom"/>
          </w:tcPr>
          <w:p w14:paraId="43253FFF" w14:textId="2FCC2F6F" w:rsidR="00C9224B" w:rsidRPr="00CE48CF" w:rsidRDefault="00C9224B" w:rsidP="00C9224B">
            <w:pPr>
              <w:spacing w:after="0" w:line="240" w:lineRule="auto"/>
              <w:jc w:val="right"/>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38.00</w:t>
            </w:r>
          </w:p>
        </w:tc>
        <w:tc>
          <w:tcPr>
            <w:tcW w:w="1078" w:type="dxa"/>
            <w:noWrap/>
            <w:vAlign w:val="bottom"/>
          </w:tcPr>
          <w:p w14:paraId="0714F50E" w14:textId="74F17499" w:rsidR="00C9224B" w:rsidRPr="00CE48CF" w:rsidRDefault="00C9224B" w:rsidP="00C9224B">
            <w:pPr>
              <w:spacing w:after="0" w:line="240" w:lineRule="auto"/>
              <w:jc w:val="right"/>
              <w:rPr>
                <w:rFonts w:ascii="Times New Roman" w:eastAsia="SimSun" w:hAnsi="Times New Roman" w:cs="Times New Roman"/>
                <w:sz w:val="20"/>
                <w:szCs w:val="20"/>
                <w:lang w:val="en-US" w:eastAsia="zh-CN"/>
              </w:rPr>
            </w:pPr>
            <w:r w:rsidRPr="00CE48CF">
              <w:rPr>
                <w:rFonts w:ascii="Times New Roman" w:eastAsia="SimSun" w:hAnsi="Times New Roman" w:cs="Times New Roman"/>
                <w:sz w:val="20"/>
                <w:szCs w:val="20"/>
                <w:lang w:val="en-US" w:eastAsia="zh-CN"/>
              </w:rPr>
              <w:t>0.00</w:t>
            </w:r>
          </w:p>
        </w:tc>
        <w:tc>
          <w:tcPr>
            <w:tcW w:w="1136" w:type="dxa"/>
            <w:noWrap/>
            <w:vAlign w:val="bottom"/>
          </w:tcPr>
          <w:p w14:paraId="4A09BE47" w14:textId="3CCD9181" w:rsidR="00C9224B" w:rsidRPr="00CE48CF" w:rsidRDefault="00C9224B" w:rsidP="00C9224B">
            <w:pPr>
              <w:spacing w:after="0" w:line="240" w:lineRule="auto"/>
              <w:jc w:val="right"/>
              <w:rPr>
                <w:rFonts w:ascii="Times New Roman" w:eastAsia="SimSun" w:hAnsi="Times New Roman" w:cs="Times New Roman"/>
                <w:sz w:val="20"/>
                <w:szCs w:val="20"/>
                <w:lang w:val="en-US" w:eastAsia="zh-CN"/>
              </w:rPr>
            </w:pPr>
            <w:r w:rsidRPr="00CE48CF">
              <w:rPr>
                <w:rFonts w:ascii="Times New Roman" w:eastAsia="SimSun" w:hAnsi="Times New Roman" w:cs="Times New Roman"/>
                <w:sz w:val="20"/>
                <w:szCs w:val="20"/>
                <w:lang w:val="en-US" w:eastAsia="zh-CN"/>
              </w:rPr>
              <w:t>1</w:t>
            </w:r>
            <w:r>
              <w:rPr>
                <w:rFonts w:ascii="Times New Roman" w:eastAsia="SimSun" w:hAnsi="Times New Roman" w:cs="Times New Roman"/>
                <w:sz w:val="20"/>
                <w:szCs w:val="20"/>
                <w:lang w:val="en-US" w:eastAsia="zh-CN"/>
              </w:rPr>
              <w:t>00</w:t>
            </w:r>
            <w:r w:rsidRPr="00CE48CF">
              <w:rPr>
                <w:rFonts w:ascii="Times New Roman" w:eastAsia="SimSun" w:hAnsi="Times New Roman" w:cs="Times New Roman"/>
                <w:sz w:val="20"/>
                <w:szCs w:val="20"/>
                <w:lang w:val="en-US" w:eastAsia="zh-CN"/>
              </w:rPr>
              <w:t>.00</w:t>
            </w:r>
          </w:p>
        </w:tc>
      </w:tr>
      <w:tr w:rsidR="00C9224B" w:rsidRPr="00F24425" w14:paraId="00E62E98" w14:textId="77777777" w:rsidTr="00CA2415">
        <w:trPr>
          <w:trHeight w:val="105"/>
        </w:trPr>
        <w:tc>
          <w:tcPr>
            <w:tcW w:w="2594" w:type="dxa"/>
          </w:tcPr>
          <w:p w14:paraId="029DE13F" w14:textId="35934C7A" w:rsidR="00C9224B" w:rsidRPr="00CE48CF" w:rsidRDefault="00C9224B" w:rsidP="00C9224B">
            <w:pPr>
              <w:spacing w:after="0" w:line="240" w:lineRule="auto"/>
              <w:ind w:right="-173"/>
              <w:jc w:val="both"/>
              <w:rPr>
                <w:rFonts w:ascii="Times New Roman" w:eastAsia="SimSun" w:hAnsi="Times New Roman" w:cs="Times New Roman"/>
                <w:sz w:val="20"/>
                <w:szCs w:val="20"/>
                <w:lang w:val="en-US" w:eastAsia="zh-CN"/>
              </w:rPr>
            </w:pPr>
            <w:r w:rsidRPr="00CE48CF">
              <w:rPr>
                <w:rFonts w:ascii="Times New Roman" w:eastAsia="SimSun" w:hAnsi="Times New Roman" w:cs="Times New Roman"/>
                <w:sz w:val="20"/>
                <w:szCs w:val="20"/>
                <w:lang w:val="en-US" w:eastAsia="zh-CN"/>
              </w:rPr>
              <w:t xml:space="preserve">  VCT</w:t>
            </w:r>
            <w:r w:rsidR="004A0171">
              <w:rPr>
                <w:rFonts w:ascii="Times New Roman" w:eastAsia="SimSun" w:hAnsi="Times New Roman" w:cs="Times New Roman"/>
                <w:sz w:val="20"/>
                <w:szCs w:val="20"/>
                <w:lang w:val="en-US" w:eastAsia="zh-CN"/>
              </w:rPr>
              <w:t>E</w:t>
            </w:r>
            <w:r w:rsidRPr="00CE48CF">
              <w:rPr>
                <w:rFonts w:ascii="Times New Roman" w:eastAsia="SimSun" w:hAnsi="Times New Roman" w:cs="Times New Roman"/>
                <w:sz w:val="20"/>
                <w:szCs w:val="20"/>
                <w:lang w:val="en-US" w:eastAsia="zh-CN"/>
              </w:rPr>
              <w:t>N (no. years)</w:t>
            </w:r>
          </w:p>
        </w:tc>
        <w:tc>
          <w:tcPr>
            <w:tcW w:w="992" w:type="dxa"/>
            <w:noWrap/>
            <w:vAlign w:val="bottom"/>
          </w:tcPr>
          <w:p w14:paraId="7DD6D61F" w14:textId="3D2C1E86" w:rsidR="00C9224B" w:rsidRPr="00CE48CF" w:rsidRDefault="00C9224B" w:rsidP="00C9224B">
            <w:pPr>
              <w:spacing w:after="0" w:line="240" w:lineRule="auto"/>
              <w:jc w:val="right"/>
              <w:rPr>
                <w:rFonts w:ascii="Times New Roman" w:eastAsia="SimSun" w:hAnsi="Times New Roman" w:cs="Times New Roman"/>
                <w:sz w:val="20"/>
                <w:szCs w:val="20"/>
                <w:lang w:val="en-US" w:eastAsia="zh-CN"/>
              </w:rPr>
            </w:pPr>
            <w:r w:rsidRPr="00CE48CF">
              <w:rPr>
                <w:rFonts w:ascii="Times New Roman" w:eastAsia="SimSun" w:hAnsi="Times New Roman" w:cs="Times New Roman"/>
                <w:sz w:val="20"/>
                <w:szCs w:val="20"/>
                <w:lang w:val="en-US" w:eastAsia="zh-CN"/>
              </w:rPr>
              <w:t>6.15</w:t>
            </w:r>
          </w:p>
        </w:tc>
        <w:tc>
          <w:tcPr>
            <w:tcW w:w="1276" w:type="dxa"/>
            <w:noWrap/>
            <w:vAlign w:val="bottom"/>
          </w:tcPr>
          <w:p w14:paraId="35E151DC" w14:textId="60562644" w:rsidR="00C9224B" w:rsidRPr="00CE48CF" w:rsidRDefault="00C9224B" w:rsidP="00C9224B">
            <w:pPr>
              <w:spacing w:after="0" w:line="240" w:lineRule="auto"/>
              <w:jc w:val="right"/>
              <w:rPr>
                <w:rFonts w:ascii="Times New Roman" w:eastAsia="SimSun" w:hAnsi="Times New Roman" w:cs="Times New Roman"/>
                <w:sz w:val="20"/>
                <w:szCs w:val="20"/>
                <w:lang w:val="en-US" w:eastAsia="zh-CN"/>
              </w:rPr>
            </w:pPr>
            <w:r w:rsidRPr="00CE48CF">
              <w:rPr>
                <w:rFonts w:ascii="Times New Roman" w:eastAsia="SimSun" w:hAnsi="Times New Roman" w:cs="Times New Roman"/>
                <w:sz w:val="20"/>
                <w:szCs w:val="20"/>
                <w:lang w:val="en-US" w:eastAsia="zh-CN"/>
              </w:rPr>
              <w:t>5.00</w:t>
            </w:r>
          </w:p>
        </w:tc>
        <w:tc>
          <w:tcPr>
            <w:tcW w:w="1134" w:type="dxa"/>
            <w:noWrap/>
            <w:vAlign w:val="bottom"/>
          </w:tcPr>
          <w:p w14:paraId="200E3360" w14:textId="12F7E31C" w:rsidR="00C9224B" w:rsidRPr="00CE48CF" w:rsidRDefault="00C9224B" w:rsidP="00C9224B">
            <w:pPr>
              <w:spacing w:after="0" w:line="240" w:lineRule="auto"/>
              <w:jc w:val="right"/>
              <w:rPr>
                <w:rFonts w:ascii="Times New Roman" w:eastAsia="SimSun" w:hAnsi="Times New Roman" w:cs="Times New Roman"/>
                <w:sz w:val="20"/>
                <w:szCs w:val="20"/>
                <w:lang w:val="en-US" w:eastAsia="zh-CN"/>
              </w:rPr>
            </w:pPr>
            <w:r w:rsidRPr="00CE48CF">
              <w:rPr>
                <w:rFonts w:ascii="Times New Roman" w:eastAsia="SimSun" w:hAnsi="Times New Roman" w:cs="Times New Roman"/>
                <w:sz w:val="20"/>
                <w:szCs w:val="20"/>
                <w:lang w:val="en-US" w:eastAsia="zh-CN"/>
              </w:rPr>
              <w:t>3.37</w:t>
            </w:r>
          </w:p>
        </w:tc>
        <w:tc>
          <w:tcPr>
            <w:tcW w:w="1078" w:type="dxa"/>
            <w:noWrap/>
            <w:vAlign w:val="bottom"/>
          </w:tcPr>
          <w:p w14:paraId="5BD5A42B" w14:textId="3D102109" w:rsidR="00C9224B" w:rsidRPr="00CE48CF" w:rsidRDefault="00C9224B" w:rsidP="00C9224B">
            <w:pPr>
              <w:spacing w:after="0" w:line="240" w:lineRule="auto"/>
              <w:jc w:val="right"/>
              <w:rPr>
                <w:rFonts w:ascii="Times New Roman" w:eastAsia="SimSun" w:hAnsi="Times New Roman" w:cs="Times New Roman"/>
                <w:sz w:val="20"/>
                <w:szCs w:val="20"/>
                <w:lang w:val="en-US" w:eastAsia="zh-CN"/>
              </w:rPr>
            </w:pPr>
            <w:r w:rsidRPr="00CE48CF">
              <w:rPr>
                <w:rFonts w:ascii="Times New Roman" w:eastAsia="SimSun" w:hAnsi="Times New Roman" w:cs="Times New Roman"/>
                <w:sz w:val="20"/>
                <w:szCs w:val="20"/>
                <w:lang w:val="en-US" w:eastAsia="zh-CN"/>
              </w:rPr>
              <w:t>2.00</w:t>
            </w:r>
          </w:p>
        </w:tc>
        <w:tc>
          <w:tcPr>
            <w:tcW w:w="1136" w:type="dxa"/>
            <w:noWrap/>
            <w:vAlign w:val="bottom"/>
          </w:tcPr>
          <w:p w14:paraId="2E07EB9A" w14:textId="3669D7BB" w:rsidR="00C9224B" w:rsidRPr="00CE48CF" w:rsidRDefault="00C9224B" w:rsidP="00C9224B">
            <w:pPr>
              <w:spacing w:after="0" w:line="240" w:lineRule="auto"/>
              <w:jc w:val="right"/>
              <w:rPr>
                <w:rFonts w:ascii="Times New Roman" w:eastAsia="SimSun" w:hAnsi="Times New Roman" w:cs="Times New Roman"/>
                <w:sz w:val="20"/>
                <w:szCs w:val="20"/>
                <w:lang w:val="en-US" w:eastAsia="zh-CN"/>
              </w:rPr>
            </w:pPr>
            <w:r w:rsidRPr="00CE48CF">
              <w:rPr>
                <w:rFonts w:ascii="Times New Roman" w:eastAsia="SimSun" w:hAnsi="Times New Roman" w:cs="Times New Roman"/>
                <w:sz w:val="20"/>
                <w:szCs w:val="20"/>
                <w:lang w:val="en-US" w:eastAsia="zh-CN"/>
              </w:rPr>
              <w:t>21.00</w:t>
            </w:r>
          </w:p>
        </w:tc>
      </w:tr>
      <w:tr w:rsidR="00C9224B" w:rsidRPr="00F24425" w14:paraId="2CA73715" w14:textId="77777777" w:rsidTr="00CA2415">
        <w:trPr>
          <w:trHeight w:val="105"/>
        </w:trPr>
        <w:tc>
          <w:tcPr>
            <w:tcW w:w="2594" w:type="dxa"/>
          </w:tcPr>
          <w:p w14:paraId="199620D0" w14:textId="4C5DB55B" w:rsidR="00C9224B" w:rsidRPr="00CE48CF" w:rsidRDefault="00C9224B" w:rsidP="00C9224B">
            <w:pPr>
              <w:spacing w:after="0" w:line="240" w:lineRule="auto"/>
              <w:ind w:right="-173"/>
              <w:jc w:val="both"/>
              <w:rPr>
                <w:rFonts w:ascii="Times New Roman" w:eastAsia="SimSun" w:hAnsi="Times New Roman" w:cs="Times New Roman"/>
                <w:sz w:val="20"/>
                <w:szCs w:val="20"/>
                <w:lang w:val="en-US" w:eastAsia="zh-CN"/>
              </w:rPr>
            </w:pPr>
            <w:r w:rsidRPr="00CE48CF">
              <w:rPr>
                <w:rFonts w:ascii="Times New Roman" w:eastAsia="SimSun" w:hAnsi="Times New Roman" w:cs="Times New Roman"/>
                <w:sz w:val="20"/>
                <w:szCs w:val="20"/>
                <w:lang w:val="en-US" w:eastAsia="zh-CN"/>
              </w:rPr>
              <w:t xml:space="preserve">  VCA</w:t>
            </w:r>
            <w:r w:rsidR="00010414">
              <w:rPr>
                <w:rFonts w:ascii="Times New Roman" w:eastAsia="SimSun" w:hAnsi="Times New Roman" w:cs="Times New Roman"/>
                <w:sz w:val="20"/>
                <w:szCs w:val="20"/>
                <w:lang w:val="en-US" w:eastAsia="zh-CN"/>
              </w:rPr>
              <w:t>C</w:t>
            </w:r>
            <w:r w:rsidRPr="00CE48CF">
              <w:rPr>
                <w:rFonts w:ascii="Times New Roman" w:eastAsia="SimSun" w:hAnsi="Times New Roman" w:cs="Times New Roman"/>
                <w:sz w:val="20"/>
                <w:szCs w:val="20"/>
                <w:lang w:val="en-US" w:eastAsia="zh-CN"/>
              </w:rPr>
              <w:t>D (continuous)</w:t>
            </w:r>
          </w:p>
        </w:tc>
        <w:tc>
          <w:tcPr>
            <w:tcW w:w="992" w:type="dxa"/>
            <w:noWrap/>
            <w:vAlign w:val="bottom"/>
          </w:tcPr>
          <w:p w14:paraId="2F7589C1" w14:textId="3066BB72" w:rsidR="00C9224B" w:rsidRPr="00CE48CF" w:rsidRDefault="00C9224B" w:rsidP="00C9224B">
            <w:pPr>
              <w:spacing w:after="0" w:line="240" w:lineRule="auto"/>
              <w:jc w:val="right"/>
              <w:rPr>
                <w:rFonts w:ascii="Times New Roman" w:eastAsia="SimSun" w:hAnsi="Times New Roman" w:cs="Times New Roman"/>
                <w:sz w:val="20"/>
                <w:szCs w:val="20"/>
                <w:lang w:val="en-US" w:eastAsia="zh-CN"/>
              </w:rPr>
            </w:pPr>
            <w:r w:rsidRPr="00CE48CF">
              <w:rPr>
                <w:rFonts w:ascii="Times New Roman" w:eastAsia="SimSun" w:hAnsi="Times New Roman" w:cs="Times New Roman"/>
                <w:sz w:val="20"/>
                <w:szCs w:val="20"/>
                <w:lang w:val="en-US" w:eastAsia="zh-CN"/>
              </w:rPr>
              <w:t>4.33</w:t>
            </w:r>
          </w:p>
        </w:tc>
        <w:tc>
          <w:tcPr>
            <w:tcW w:w="1276" w:type="dxa"/>
            <w:noWrap/>
            <w:vAlign w:val="bottom"/>
          </w:tcPr>
          <w:p w14:paraId="4B328D50" w14:textId="1A5EFD70" w:rsidR="00C9224B" w:rsidRPr="00CE48CF" w:rsidRDefault="00C9224B" w:rsidP="00C9224B">
            <w:pPr>
              <w:spacing w:after="0" w:line="240" w:lineRule="auto"/>
              <w:jc w:val="right"/>
              <w:rPr>
                <w:rFonts w:ascii="Times New Roman" w:eastAsia="SimSun" w:hAnsi="Times New Roman" w:cs="Times New Roman"/>
                <w:sz w:val="20"/>
                <w:szCs w:val="20"/>
                <w:lang w:val="en-US" w:eastAsia="zh-CN"/>
              </w:rPr>
            </w:pPr>
            <w:r w:rsidRPr="00CE48CF">
              <w:rPr>
                <w:rFonts w:ascii="Times New Roman" w:eastAsia="SimSun" w:hAnsi="Times New Roman" w:cs="Times New Roman"/>
                <w:sz w:val="20"/>
                <w:szCs w:val="20"/>
                <w:lang w:val="en-US" w:eastAsia="zh-CN"/>
              </w:rPr>
              <w:t>4.00</w:t>
            </w:r>
          </w:p>
        </w:tc>
        <w:tc>
          <w:tcPr>
            <w:tcW w:w="1134" w:type="dxa"/>
            <w:noWrap/>
            <w:vAlign w:val="bottom"/>
          </w:tcPr>
          <w:p w14:paraId="6D64103C" w14:textId="1098B250" w:rsidR="00C9224B" w:rsidRPr="00CE48CF" w:rsidRDefault="00C9224B" w:rsidP="00C9224B">
            <w:pPr>
              <w:spacing w:after="0" w:line="240" w:lineRule="auto"/>
              <w:jc w:val="right"/>
              <w:rPr>
                <w:rFonts w:ascii="Times New Roman" w:eastAsia="SimSun" w:hAnsi="Times New Roman" w:cs="Times New Roman"/>
                <w:sz w:val="20"/>
                <w:szCs w:val="20"/>
                <w:lang w:val="en-US" w:eastAsia="zh-CN"/>
              </w:rPr>
            </w:pPr>
            <w:r w:rsidRPr="00CE48CF">
              <w:rPr>
                <w:rFonts w:ascii="Times New Roman" w:eastAsia="SimSun" w:hAnsi="Times New Roman" w:cs="Times New Roman"/>
                <w:sz w:val="20"/>
                <w:szCs w:val="20"/>
                <w:lang w:val="en-US" w:eastAsia="zh-CN"/>
              </w:rPr>
              <w:t>1.74</w:t>
            </w:r>
          </w:p>
        </w:tc>
        <w:tc>
          <w:tcPr>
            <w:tcW w:w="1078" w:type="dxa"/>
            <w:noWrap/>
            <w:vAlign w:val="bottom"/>
          </w:tcPr>
          <w:p w14:paraId="32CFD1F9" w14:textId="05496449" w:rsidR="00C9224B" w:rsidRPr="00CE48CF" w:rsidRDefault="00C9224B" w:rsidP="00C9224B">
            <w:pPr>
              <w:spacing w:after="0" w:line="240" w:lineRule="auto"/>
              <w:jc w:val="right"/>
              <w:rPr>
                <w:rFonts w:ascii="Times New Roman" w:eastAsia="SimSun" w:hAnsi="Times New Roman" w:cs="Times New Roman"/>
                <w:sz w:val="20"/>
                <w:szCs w:val="20"/>
                <w:lang w:val="en-US" w:eastAsia="zh-CN"/>
              </w:rPr>
            </w:pPr>
            <w:r w:rsidRPr="00CE48CF">
              <w:rPr>
                <w:rFonts w:ascii="Times New Roman" w:eastAsia="SimSun" w:hAnsi="Times New Roman" w:cs="Times New Roman"/>
                <w:sz w:val="20"/>
                <w:szCs w:val="20"/>
                <w:lang w:val="en-US" w:eastAsia="zh-CN"/>
              </w:rPr>
              <w:t>1.00</w:t>
            </w:r>
          </w:p>
        </w:tc>
        <w:tc>
          <w:tcPr>
            <w:tcW w:w="1136" w:type="dxa"/>
            <w:noWrap/>
            <w:vAlign w:val="bottom"/>
          </w:tcPr>
          <w:p w14:paraId="69B700D1" w14:textId="0EA1B0EA" w:rsidR="00C9224B" w:rsidRPr="00CE48CF" w:rsidRDefault="00C9224B" w:rsidP="00C9224B">
            <w:pPr>
              <w:spacing w:after="0" w:line="240" w:lineRule="auto"/>
              <w:jc w:val="right"/>
              <w:rPr>
                <w:rFonts w:ascii="Times New Roman" w:eastAsia="SimSun" w:hAnsi="Times New Roman" w:cs="Times New Roman"/>
                <w:sz w:val="20"/>
                <w:szCs w:val="20"/>
                <w:lang w:val="en-US" w:eastAsia="zh-CN"/>
              </w:rPr>
            </w:pPr>
            <w:r w:rsidRPr="00CE48CF">
              <w:rPr>
                <w:rFonts w:ascii="Times New Roman" w:eastAsia="SimSun" w:hAnsi="Times New Roman" w:cs="Times New Roman"/>
                <w:sz w:val="20"/>
                <w:szCs w:val="20"/>
                <w:lang w:val="en-US" w:eastAsia="zh-CN"/>
              </w:rPr>
              <w:t>6.00</w:t>
            </w:r>
          </w:p>
        </w:tc>
      </w:tr>
      <w:tr w:rsidR="00C9224B" w:rsidRPr="00F24425" w14:paraId="6551F2F3" w14:textId="77777777" w:rsidTr="00CA2415">
        <w:trPr>
          <w:trHeight w:val="231"/>
        </w:trPr>
        <w:tc>
          <w:tcPr>
            <w:tcW w:w="8210" w:type="dxa"/>
            <w:gridSpan w:val="6"/>
          </w:tcPr>
          <w:p w14:paraId="2A849654" w14:textId="77777777" w:rsidR="00C9224B" w:rsidRPr="00F24425" w:rsidRDefault="00C9224B" w:rsidP="00C9224B">
            <w:pPr>
              <w:spacing w:after="0" w:line="240" w:lineRule="auto"/>
              <w:rPr>
                <w:rFonts w:ascii="Times New Roman" w:eastAsia="SimSun" w:hAnsi="Times New Roman" w:cs="Times New Roman"/>
                <w:i/>
                <w:iCs/>
                <w:sz w:val="20"/>
                <w:szCs w:val="20"/>
                <w:lang w:val="en-US" w:eastAsia="zh-CN"/>
              </w:rPr>
            </w:pPr>
          </w:p>
          <w:p w14:paraId="3B87D70D" w14:textId="4A089758" w:rsidR="00C9224B" w:rsidRPr="00F24425" w:rsidRDefault="00C9224B" w:rsidP="00C9224B">
            <w:pPr>
              <w:spacing w:after="0" w:line="240" w:lineRule="auto"/>
              <w:rPr>
                <w:rFonts w:ascii="Times New Roman" w:eastAsia="SimSun" w:hAnsi="Times New Roman" w:cs="Times New Roman"/>
                <w:sz w:val="20"/>
                <w:szCs w:val="20"/>
                <w:lang w:val="en-US" w:eastAsia="zh-CN"/>
              </w:rPr>
            </w:pPr>
            <w:r w:rsidRPr="00F24425">
              <w:rPr>
                <w:rFonts w:ascii="Times New Roman" w:eastAsia="SimSun" w:hAnsi="Times New Roman" w:cs="Times New Roman"/>
                <w:i/>
                <w:iCs/>
                <w:sz w:val="20"/>
                <w:szCs w:val="20"/>
                <w:lang w:val="en-US" w:eastAsia="zh-CN"/>
              </w:rPr>
              <w:t xml:space="preserve">Panel </w:t>
            </w:r>
            <w:r>
              <w:rPr>
                <w:rFonts w:ascii="Times New Roman" w:eastAsia="SimSun" w:hAnsi="Times New Roman" w:cs="Times New Roman"/>
                <w:i/>
                <w:iCs/>
                <w:sz w:val="20"/>
                <w:szCs w:val="20"/>
                <w:lang w:val="en-US" w:eastAsia="zh-CN"/>
              </w:rPr>
              <w:t>5</w:t>
            </w:r>
            <w:r w:rsidRPr="00F24425">
              <w:rPr>
                <w:rFonts w:ascii="Times New Roman" w:eastAsia="SimSun" w:hAnsi="Times New Roman" w:cs="Times New Roman"/>
                <w:i/>
                <w:iCs/>
                <w:sz w:val="20"/>
                <w:szCs w:val="20"/>
                <w:lang w:val="en-US" w:eastAsia="zh-CN"/>
              </w:rPr>
              <w:t xml:space="preserve">: </w:t>
            </w:r>
            <w:r w:rsidRPr="00F24425">
              <w:rPr>
                <w:rFonts w:ascii="Times New Roman" w:eastAsia="SimSun" w:hAnsi="Times New Roman" w:cs="Times New Roman"/>
                <w:i/>
                <w:iCs/>
                <w:sz w:val="20"/>
                <w:szCs w:val="20"/>
                <w:lang w:eastAsia="zh-CN"/>
              </w:rPr>
              <w:t>Controls (HEI general characteristics)</w:t>
            </w:r>
          </w:p>
        </w:tc>
      </w:tr>
      <w:tr w:rsidR="00C9224B" w:rsidRPr="00F24425" w14:paraId="59720845" w14:textId="77777777" w:rsidTr="00CA2415">
        <w:trPr>
          <w:trHeight w:val="231"/>
        </w:trPr>
        <w:tc>
          <w:tcPr>
            <w:tcW w:w="2594" w:type="dxa"/>
          </w:tcPr>
          <w:p w14:paraId="13E23D54" w14:textId="063FA3A5" w:rsidR="00C9224B" w:rsidRPr="007C567E" w:rsidRDefault="00C9224B" w:rsidP="00C9224B">
            <w:pPr>
              <w:spacing w:after="0" w:line="240" w:lineRule="auto"/>
              <w:ind w:right="-173"/>
              <w:jc w:val="both"/>
              <w:rPr>
                <w:rFonts w:ascii="Times New Roman" w:eastAsia="SimSun" w:hAnsi="Times New Roman" w:cs="Times New Roman"/>
                <w:sz w:val="20"/>
                <w:szCs w:val="20"/>
                <w:lang w:val="en-US" w:eastAsia="zh-CN"/>
              </w:rPr>
            </w:pPr>
            <w:r w:rsidRPr="007C567E">
              <w:rPr>
                <w:rFonts w:ascii="Times New Roman" w:eastAsia="SimSun" w:hAnsi="Times New Roman" w:cs="Times New Roman"/>
                <w:sz w:val="20"/>
                <w:szCs w:val="20"/>
                <w:lang w:val="en-US" w:eastAsia="zh-CN"/>
              </w:rPr>
              <w:t xml:space="preserve">  P</w:t>
            </w:r>
            <w:r w:rsidRPr="00F24425">
              <w:rPr>
                <w:rFonts w:ascii="Times New Roman" w:eastAsia="SimSun" w:hAnsi="Times New Roman" w:cs="Times New Roman"/>
                <w:sz w:val="20"/>
                <w:szCs w:val="20"/>
                <w:lang w:val="en-US" w:eastAsia="zh-CN"/>
              </w:rPr>
              <w:t>OST</w:t>
            </w:r>
            <w:r>
              <w:rPr>
                <w:rFonts w:ascii="Times New Roman" w:eastAsia="SimSun" w:hAnsi="Times New Roman" w:cs="Times New Roman"/>
                <w:sz w:val="20"/>
                <w:szCs w:val="20"/>
                <w:lang w:val="en-US" w:eastAsia="zh-CN"/>
              </w:rPr>
              <w:t>-</w:t>
            </w:r>
            <w:r w:rsidRPr="007C567E">
              <w:rPr>
                <w:rFonts w:ascii="Times New Roman" w:eastAsia="SimSun" w:hAnsi="Times New Roman" w:cs="Times New Roman"/>
                <w:sz w:val="20"/>
                <w:szCs w:val="20"/>
                <w:lang w:val="en-US" w:eastAsia="zh-CN"/>
              </w:rPr>
              <w:t>92 (</w:t>
            </w:r>
            <w:r w:rsidRPr="00F24425">
              <w:rPr>
                <w:rFonts w:ascii="Times New Roman" w:eastAsia="SimSun" w:hAnsi="Times New Roman" w:cs="Times New Roman"/>
                <w:sz w:val="20"/>
                <w:szCs w:val="20"/>
                <w:lang w:val="en-US" w:eastAsia="zh-CN"/>
              </w:rPr>
              <w:t>%</w:t>
            </w:r>
            <w:r w:rsidRPr="007C567E">
              <w:rPr>
                <w:rFonts w:ascii="Times New Roman" w:eastAsia="SimSun" w:hAnsi="Times New Roman" w:cs="Times New Roman"/>
                <w:sz w:val="20"/>
                <w:szCs w:val="20"/>
                <w:lang w:val="en-US" w:eastAsia="zh-CN"/>
              </w:rPr>
              <w:t>)</w:t>
            </w:r>
          </w:p>
        </w:tc>
        <w:tc>
          <w:tcPr>
            <w:tcW w:w="992" w:type="dxa"/>
            <w:noWrap/>
            <w:vAlign w:val="bottom"/>
          </w:tcPr>
          <w:p w14:paraId="69578C51" w14:textId="77777777" w:rsidR="00C9224B" w:rsidRPr="007C567E" w:rsidRDefault="00C9224B" w:rsidP="00C9224B">
            <w:pPr>
              <w:spacing w:after="0" w:line="240" w:lineRule="auto"/>
              <w:jc w:val="right"/>
              <w:rPr>
                <w:rFonts w:ascii="Times New Roman" w:eastAsia="SimSun" w:hAnsi="Times New Roman" w:cs="Times New Roman"/>
                <w:sz w:val="20"/>
                <w:szCs w:val="20"/>
                <w:lang w:val="en-US" w:eastAsia="zh-CN"/>
              </w:rPr>
            </w:pPr>
            <w:r w:rsidRPr="007C567E">
              <w:rPr>
                <w:rFonts w:ascii="Times New Roman" w:eastAsia="SimSun" w:hAnsi="Times New Roman" w:cs="Times New Roman"/>
                <w:sz w:val="20"/>
                <w:szCs w:val="20"/>
                <w:lang w:val="en-US" w:eastAsia="zh-CN"/>
              </w:rPr>
              <w:t>48.00</w:t>
            </w:r>
          </w:p>
        </w:tc>
        <w:tc>
          <w:tcPr>
            <w:tcW w:w="1276" w:type="dxa"/>
            <w:noWrap/>
            <w:vAlign w:val="bottom"/>
          </w:tcPr>
          <w:p w14:paraId="5EAEE03B" w14:textId="77777777" w:rsidR="00C9224B" w:rsidRPr="007C567E" w:rsidRDefault="00C9224B" w:rsidP="00C9224B">
            <w:pPr>
              <w:spacing w:after="0" w:line="240" w:lineRule="auto"/>
              <w:jc w:val="right"/>
              <w:rPr>
                <w:rFonts w:ascii="Times New Roman" w:eastAsia="SimSun" w:hAnsi="Times New Roman" w:cs="Times New Roman"/>
                <w:sz w:val="20"/>
                <w:szCs w:val="20"/>
                <w:lang w:val="en-US" w:eastAsia="zh-CN"/>
              </w:rPr>
            </w:pPr>
            <w:r w:rsidRPr="007C567E">
              <w:rPr>
                <w:rFonts w:ascii="Times New Roman" w:eastAsia="SimSun" w:hAnsi="Times New Roman" w:cs="Times New Roman"/>
                <w:sz w:val="20"/>
                <w:szCs w:val="20"/>
                <w:lang w:val="en-US" w:eastAsia="zh-CN"/>
              </w:rPr>
              <w:t>0.00</w:t>
            </w:r>
          </w:p>
        </w:tc>
        <w:tc>
          <w:tcPr>
            <w:tcW w:w="1134" w:type="dxa"/>
            <w:noWrap/>
            <w:vAlign w:val="bottom"/>
          </w:tcPr>
          <w:p w14:paraId="75DD2B58" w14:textId="77777777" w:rsidR="00C9224B" w:rsidRPr="007C567E" w:rsidRDefault="00C9224B" w:rsidP="00C9224B">
            <w:pPr>
              <w:spacing w:after="0" w:line="240" w:lineRule="auto"/>
              <w:jc w:val="right"/>
              <w:rPr>
                <w:rFonts w:ascii="Times New Roman" w:eastAsia="SimSun" w:hAnsi="Times New Roman" w:cs="Times New Roman"/>
                <w:sz w:val="20"/>
                <w:szCs w:val="20"/>
                <w:lang w:val="en-US" w:eastAsia="zh-CN"/>
              </w:rPr>
            </w:pPr>
            <w:r w:rsidRPr="007C567E">
              <w:rPr>
                <w:rFonts w:ascii="Times New Roman" w:eastAsia="SimSun" w:hAnsi="Times New Roman" w:cs="Times New Roman"/>
                <w:sz w:val="20"/>
                <w:szCs w:val="20"/>
                <w:lang w:val="en-US" w:eastAsia="zh-CN"/>
              </w:rPr>
              <w:t>50.00</w:t>
            </w:r>
          </w:p>
        </w:tc>
        <w:tc>
          <w:tcPr>
            <w:tcW w:w="1078" w:type="dxa"/>
            <w:noWrap/>
            <w:vAlign w:val="bottom"/>
          </w:tcPr>
          <w:p w14:paraId="40D4CF19" w14:textId="77777777" w:rsidR="00C9224B" w:rsidRPr="007C567E" w:rsidRDefault="00C9224B" w:rsidP="00C9224B">
            <w:pPr>
              <w:spacing w:after="0" w:line="240" w:lineRule="auto"/>
              <w:jc w:val="right"/>
              <w:rPr>
                <w:rFonts w:ascii="Times New Roman" w:eastAsia="SimSun" w:hAnsi="Times New Roman" w:cs="Times New Roman"/>
                <w:sz w:val="20"/>
                <w:szCs w:val="20"/>
                <w:lang w:val="en-US" w:eastAsia="zh-CN"/>
              </w:rPr>
            </w:pPr>
            <w:r w:rsidRPr="007C567E">
              <w:rPr>
                <w:rFonts w:ascii="Times New Roman" w:eastAsia="SimSun" w:hAnsi="Times New Roman" w:cs="Times New Roman"/>
                <w:sz w:val="20"/>
                <w:szCs w:val="20"/>
                <w:lang w:val="en-US" w:eastAsia="zh-CN"/>
              </w:rPr>
              <w:t>0.00</w:t>
            </w:r>
          </w:p>
        </w:tc>
        <w:tc>
          <w:tcPr>
            <w:tcW w:w="1136" w:type="dxa"/>
            <w:noWrap/>
            <w:vAlign w:val="bottom"/>
          </w:tcPr>
          <w:p w14:paraId="3F19BCF0" w14:textId="77777777" w:rsidR="00C9224B" w:rsidRPr="007C567E" w:rsidRDefault="00C9224B" w:rsidP="00C9224B">
            <w:pPr>
              <w:spacing w:after="0" w:line="240" w:lineRule="auto"/>
              <w:jc w:val="right"/>
              <w:rPr>
                <w:rFonts w:ascii="Times New Roman" w:eastAsia="SimSun" w:hAnsi="Times New Roman" w:cs="Times New Roman"/>
                <w:sz w:val="20"/>
                <w:szCs w:val="20"/>
                <w:lang w:val="en-US" w:eastAsia="zh-CN"/>
              </w:rPr>
            </w:pPr>
            <w:r w:rsidRPr="007C567E">
              <w:rPr>
                <w:rFonts w:ascii="Times New Roman" w:eastAsia="SimSun" w:hAnsi="Times New Roman" w:cs="Times New Roman"/>
                <w:sz w:val="20"/>
                <w:szCs w:val="20"/>
                <w:lang w:val="en-US" w:eastAsia="zh-CN"/>
              </w:rPr>
              <w:t>100.00</w:t>
            </w:r>
          </w:p>
        </w:tc>
      </w:tr>
      <w:tr w:rsidR="00C9224B" w:rsidRPr="00F24425" w14:paraId="2E587010" w14:textId="77777777" w:rsidTr="00CA2415">
        <w:trPr>
          <w:trHeight w:val="231"/>
        </w:trPr>
        <w:tc>
          <w:tcPr>
            <w:tcW w:w="2594" w:type="dxa"/>
          </w:tcPr>
          <w:p w14:paraId="06B42B0B" w14:textId="77777777" w:rsidR="00C9224B" w:rsidRPr="007C567E" w:rsidRDefault="00C9224B" w:rsidP="00C9224B">
            <w:pPr>
              <w:spacing w:after="0" w:line="240" w:lineRule="auto"/>
              <w:ind w:right="-173"/>
              <w:jc w:val="both"/>
              <w:rPr>
                <w:rFonts w:ascii="Times New Roman" w:eastAsia="SimSun" w:hAnsi="Times New Roman" w:cs="Times New Roman"/>
                <w:sz w:val="20"/>
                <w:szCs w:val="20"/>
                <w:lang w:val="en-US" w:eastAsia="zh-CN"/>
              </w:rPr>
            </w:pPr>
            <w:r w:rsidRPr="007C567E">
              <w:rPr>
                <w:rFonts w:ascii="Times New Roman" w:eastAsia="SimSun" w:hAnsi="Times New Roman" w:cs="Times New Roman"/>
                <w:sz w:val="20"/>
                <w:szCs w:val="20"/>
                <w:lang w:val="en-US" w:eastAsia="zh-CN"/>
              </w:rPr>
              <w:t xml:space="preserve">  R</w:t>
            </w:r>
            <w:r w:rsidRPr="00F24425">
              <w:rPr>
                <w:rFonts w:ascii="Times New Roman" w:eastAsia="SimSun" w:hAnsi="Times New Roman" w:cs="Times New Roman"/>
                <w:sz w:val="20"/>
                <w:szCs w:val="20"/>
                <w:lang w:val="en-US" w:eastAsia="zh-CN"/>
              </w:rPr>
              <w:t>USS</w:t>
            </w:r>
            <w:r w:rsidRPr="007C567E">
              <w:rPr>
                <w:rFonts w:ascii="Times New Roman" w:eastAsia="SimSun" w:hAnsi="Times New Roman" w:cs="Times New Roman"/>
                <w:sz w:val="20"/>
                <w:szCs w:val="20"/>
                <w:lang w:val="en-US" w:eastAsia="zh-CN"/>
              </w:rPr>
              <w:t>G (</w:t>
            </w:r>
            <w:r w:rsidRPr="00F24425">
              <w:rPr>
                <w:rFonts w:ascii="Times New Roman" w:eastAsia="SimSun" w:hAnsi="Times New Roman" w:cs="Times New Roman"/>
                <w:sz w:val="20"/>
                <w:szCs w:val="20"/>
                <w:lang w:val="en-US" w:eastAsia="zh-CN"/>
              </w:rPr>
              <w:t>%</w:t>
            </w:r>
            <w:r w:rsidRPr="007C567E">
              <w:rPr>
                <w:rFonts w:ascii="Times New Roman" w:eastAsia="SimSun" w:hAnsi="Times New Roman" w:cs="Times New Roman"/>
                <w:sz w:val="20"/>
                <w:szCs w:val="20"/>
                <w:lang w:val="en-US" w:eastAsia="zh-CN"/>
              </w:rPr>
              <w:t>)</w:t>
            </w:r>
          </w:p>
        </w:tc>
        <w:tc>
          <w:tcPr>
            <w:tcW w:w="992" w:type="dxa"/>
            <w:noWrap/>
            <w:vAlign w:val="bottom"/>
          </w:tcPr>
          <w:p w14:paraId="48E3EEA8" w14:textId="77777777" w:rsidR="00C9224B" w:rsidRPr="007C567E" w:rsidRDefault="00C9224B" w:rsidP="00C9224B">
            <w:pPr>
              <w:spacing w:after="0" w:line="240" w:lineRule="auto"/>
              <w:jc w:val="right"/>
              <w:rPr>
                <w:rFonts w:ascii="Times New Roman" w:eastAsia="SimSun" w:hAnsi="Times New Roman" w:cs="Times New Roman"/>
                <w:sz w:val="20"/>
                <w:szCs w:val="20"/>
                <w:lang w:val="en-US" w:eastAsia="zh-CN"/>
              </w:rPr>
            </w:pPr>
            <w:r w:rsidRPr="007C567E">
              <w:rPr>
                <w:rFonts w:ascii="Times New Roman" w:eastAsia="SimSun" w:hAnsi="Times New Roman" w:cs="Times New Roman"/>
                <w:sz w:val="20"/>
                <w:szCs w:val="20"/>
                <w:lang w:val="en-US" w:eastAsia="zh-CN"/>
              </w:rPr>
              <w:t>21.00</w:t>
            </w:r>
          </w:p>
        </w:tc>
        <w:tc>
          <w:tcPr>
            <w:tcW w:w="1276" w:type="dxa"/>
            <w:noWrap/>
            <w:vAlign w:val="bottom"/>
          </w:tcPr>
          <w:p w14:paraId="6B477C91" w14:textId="77777777" w:rsidR="00C9224B" w:rsidRPr="007C567E" w:rsidRDefault="00C9224B" w:rsidP="00C9224B">
            <w:pPr>
              <w:spacing w:after="0" w:line="240" w:lineRule="auto"/>
              <w:jc w:val="right"/>
              <w:rPr>
                <w:rFonts w:ascii="Times New Roman" w:eastAsia="SimSun" w:hAnsi="Times New Roman" w:cs="Times New Roman"/>
                <w:sz w:val="20"/>
                <w:szCs w:val="20"/>
                <w:lang w:val="en-US" w:eastAsia="zh-CN"/>
              </w:rPr>
            </w:pPr>
            <w:r w:rsidRPr="007C567E">
              <w:rPr>
                <w:rFonts w:ascii="Times New Roman" w:eastAsia="SimSun" w:hAnsi="Times New Roman" w:cs="Times New Roman"/>
                <w:sz w:val="20"/>
                <w:szCs w:val="20"/>
                <w:lang w:val="en-US" w:eastAsia="zh-CN"/>
              </w:rPr>
              <w:t>0.00</w:t>
            </w:r>
          </w:p>
        </w:tc>
        <w:tc>
          <w:tcPr>
            <w:tcW w:w="1134" w:type="dxa"/>
            <w:noWrap/>
            <w:vAlign w:val="bottom"/>
          </w:tcPr>
          <w:p w14:paraId="3082C934" w14:textId="77777777" w:rsidR="00C9224B" w:rsidRPr="007C567E" w:rsidRDefault="00C9224B" w:rsidP="00C9224B">
            <w:pPr>
              <w:spacing w:after="0" w:line="240" w:lineRule="auto"/>
              <w:jc w:val="right"/>
              <w:rPr>
                <w:rFonts w:ascii="Times New Roman" w:eastAsia="SimSun" w:hAnsi="Times New Roman" w:cs="Times New Roman"/>
                <w:sz w:val="20"/>
                <w:szCs w:val="20"/>
                <w:lang w:val="en-US" w:eastAsia="zh-CN"/>
              </w:rPr>
            </w:pPr>
            <w:r w:rsidRPr="007C567E">
              <w:rPr>
                <w:rFonts w:ascii="Times New Roman" w:eastAsia="SimSun" w:hAnsi="Times New Roman" w:cs="Times New Roman"/>
                <w:sz w:val="20"/>
                <w:szCs w:val="20"/>
                <w:lang w:val="en-US" w:eastAsia="zh-CN"/>
              </w:rPr>
              <w:t>40.40</w:t>
            </w:r>
          </w:p>
        </w:tc>
        <w:tc>
          <w:tcPr>
            <w:tcW w:w="1078" w:type="dxa"/>
            <w:noWrap/>
            <w:vAlign w:val="bottom"/>
          </w:tcPr>
          <w:p w14:paraId="246D938E" w14:textId="77777777" w:rsidR="00C9224B" w:rsidRPr="007C567E" w:rsidRDefault="00C9224B" w:rsidP="00C9224B">
            <w:pPr>
              <w:spacing w:after="0" w:line="240" w:lineRule="auto"/>
              <w:jc w:val="right"/>
              <w:rPr>
                <w:rFonts w:ascii="Times New Roman" w:eastAsia="SimSun" w:hAnsi="Times New Roman" w:cs="Times New Roman"/>
                <w:sz w:val="20"/>
                <w:szCs w:val="20"/>
                <w:lang w:val="en-US" w:eastAsia="zh-CN"/>
              </w:rPr>
            </w:pPr>
            <w:r w:rsidRPr="007C567E">
              <w:rPr>
                <w:rFonts w:ascii="Times New Roman" w:eastAsia="SimSun" w:hAnsi="Times New Roman" w:cs="Times New Roman"/>
                <w:sz w:val="20"/>
                <w:szCs w:val="20"/>
                <w:lang w:val="en-US" w:eastAsia="zh-CN"/>
              </w:rPr>
              <w:t>0.00</w:t>
            </w:r>
          </w:p>
        </w:tc>
        <w:tc>
          <w:tcPr>
            <w:tcW w:w="1136" w:type="dxa"/>
            <w:noWrap/>
            <w:vAlign w:val="bottom"/>
          </w:tcPr>
          <w:p w14:paraId="1AC262E3" w14:textId="77777777" w:rsidR="00C9224B" w:rsidRPr="007C567E" w:rsidRDefault="00C9224B" w:rsidP="00C9224B">
            <w:pPr>
              <w:spacing w:after="0" w:line="240" w:lineRule="auto"/>
              <w:jc w:val="right"/>
              <w:rPr>
                <w:rFonts w:ascii="Times New Roman" w:eastAsia="SimSun" w:hAnsi="Times New Roman" w:cs="Times New Roman"/>
                <w:sz w:val="20"/>
                <w:szCs w:val="20"/>
                <w:lang w:val="en-US" w:eastAsia="zh-CN"/>
              </w:rPr>
            </w:pPr>
            <w:r w:rsidRPr="007C567E">
              <w:rPr>
                <w:rFonts w:ascii="Times New Roman" w:eastAsia="SimSun" w:hAnsi="Times New Roman" w:cs="Times New Roman"/>
                <w:sz w:val="20"/>
                <w:szCs w:val="20"/>
                <w:lang w:val="en-US" w:eastAsia="zh-CN"/>
              </w:rPr>
              <w:t>100.00</w:t>
            </w:r>
          </w:p>
        </w:tc>
      </w:tr>
      <w:tr w:rsidR="00C9224B" w:rsidRPr="00F24425" w14:paraId="5F2E70AB" w14:textId="77777777" w:rsidTr="00CA2415">
        <w:trPr>
          <w:trHeight w:val="231"/>
        </w:trPr>
        <w:tc>
          <w:tcPr>
            <w:tcW w:w="2594" w:type="dxa"/>
          </w:tcPr>
          <w:p w14:paraId="11CFE83D" w14:textId="71759BF2" w:rsidR="00C9224B" w:rsidRPr="007C567E" w:rsidRDefault="00C9224B" w:rsidP="00C9224B">
            <w:pPr>
              <w:spacing w:after="0" w:line="240" w:lineRule="auto"/>
              <w:ind w:right="-173"/>
              <w:jc w:val="both"/>
              <w:rPr>
                <w:rFonts w:ascii="Times New Roman" w:eastAsia="SimSun" w:hAnsi="Times New Roman" w:cs="Times New Roman"/>
                <w:sz w:val="20"/>
                <w:szCs w:val="20"/>
                <w:lang w:val="en-US" w:eastAsia="zh-CN"/>
              </w:rPr>
            </w:pPr>
            <w:r w:rsidRPr="007C567E">
              <w:rPr>
                <w:rFonts w:ascii="Times New Roman" w:eastAsia="SimSun" w:hAnsi="Times New Roman" w:cs="Times New Roman"/>
                <w:sz w:val="20"/>
                <w:szCs w:val="20"/>
                <w:lang w:val="en-US" w:eastAsia="zh-CN"/>
              </w:rPr>
              <w:t xml:space="preserve">  </w:t>
            </w:r>
            <w:r w:rsidRPr="00F24425">
              <w:rPr>
                <w:rFonts w:ascii="Times New Roman" w:eastAsia="SimSun" w:hAnsi="Times New Roman" w:cs="Times New Roman"/>
                <w:sz w:val="20"/>
                <w:szCs w:val="20"/>
                <w:lang w:val="en-US" w:eastAsia="zh-CN"/>
              </w:rPr>
              <w:t>HEI</w:t>
            </w:r>
            <w:r w:rsidRPr="007C567E">
              <w:rPr>
                <w:rFonts w:ascii="Times New Roman" w:eastAsia="SimSun" w:hAnsi="Times New Roman" w:cs="Times New Roman"/>
                <w:sz w:val="20"/>
                <w:szCs w:val="20"/>
                <w:lang w:val="en-US" w:eastAsia="zh-CN"/>
              </w:rPr>
              <w:t>SZ</w:t>
            </w:r>
            <w:r w:rsidR="004A0171">
              <w:rPr>
                <w:rFonts w:ascii="Times New Roman" w:eastAsia="SimSun" w:hAnsi="Times New Roman" w:cs="Times New Roman"/>
                <w:sz w:val="20"/>
                <w:szCs w:val="20"/>
                <w:lang w:val="en-US" w:eastAsia="zh-CN"/>
              </w:rPr>
              <w:t>E</w:t>
            </w:r>
            <w:r w:rsidRPr="007C567E">
              <w:rPr>
                <w:rFonts w:ascii="Times New Roman" w:eastAsia="SimSun" w:hAnsi="Times New Roman" w:cs="Times New Roman"/>
                <w:sz w:val="20"/>
                <w:szCs w:val="20"/>
                <w:lang w:val="en-US" w:eastAsia="zh-CN"/>
              </w:rPr>
              <w:t xml:space="preserve"> (£m)</w:t>
            </w:r>
          </w:p>
        </w:tc>
        <w:tc>
          <w:tcPr>
            <w:tcW w:w="992" w:type="dxa"/>
            <w:noWrap/>
            <w:vAlign w:val="bottom"/>
          </w:tcPr>
          <w:p w14:paraId="700D1824" w14:textId="77777777" w:rsidR="00C9224B" w:rsidRPr="007C567E" w:rsidRDefault="00C9224B" w:rsidP="00C9224B">
            <w:pPr>
              <w:spacing w:after="0" w:line="240" w:lineRule="auto"/>
              <w:jc w:val="right"/>
              <w:rPr>
                <w:rFonts w:ascii="Times New Roman" w:eastAsia="SimSun" w:hAnsi="Times New Roman" w:cs="Times New Roman"/>
                <w:sz w:val="20"/>
                <w:szCs w:val="20"/>
                <w:lang w:val="en-US" w:eastAsia="zh-CN"/>
              </w:rPr>
            </w:pPr>
            <w:r w:rsidRPr="007C567E">
              <w:rPr>
                <w:rFonts w:ascii="Times New Roman" w:eastAsia="Calibri" w:hAnsi="Times New Roman" w:cs="Times New Roman"/>
                <w:sz w:val="20"/>
                <w:szCs w:val="20"/>
              </w:rPr>
              <w:t>330.3</w:t>
            </w:r>
            <w:r w:rsidRPr="00F24425">
              <w:rPr>
                <w:rFonts w:ascii="Times New Roman" w:eastAsia="Calibri" w:hAnsi="Times New Roman" w:cs="Times New Roman"/>
                <w:sz w:val="20"/>
                <w:szCs w:val="20"/>
              </w:rPr>
              <w:t>3</w:t>
            </w:r>
          </w:p>
        </w:tc>
        <w:tc>
          <w:tcPr>
            <w:tcW w:w="1276" w:type="dxa"/>
            <w:noWrap/>
            <w:vAlign w:val="bottom"/>
          </w:tcPr>
          <w:p w14:paraId="41640ED2" w14:textId="77777777" w:rsidR="00C9224B" w:rsidRPr="007C567E" w:rsidRDefault="00C9224B" w:rsidP="00C9224B">
            <w:pPr>
              <w:spacing w:after="0" w:line="240" w:lineRule="auto"/>
              <w:jc w:val="right"/>
              <w:rPr>
                <w:rFonts w:ascii="Times New Roman" w:eastAsia="SimSun" w:hAnsi="Times New Roman" w:cs="Times New Roman"/>
                <w:sz w:val="20"/>
                <w:szCs w:val="20"/>
                <w:lang w:val="en-US" w:eastAsia="zh-CN"/>
              </w:rPr>
            </w:pPr>
            <w:r w:rsidRPr="007C567E">
              <w:rPr>
                <w:rFonts w:ascii="Times New Roman" w:eastAsia="Calibri" w:hAnsi="Times New Roman" w:cs="Times New Roman"/>
                <w:sz w:val="20"/>
                <w:szCs w:val="20"/>
              </w:rPr>
              <w:t>228.2</w:t>
            </w:r>
            <w:r w:rsidRPr="00F24425">
              <w:rPr>
                <w:rFonts w:ascii="Times New Roman" w:eastAsia="Calibri" w:hAnsi="Times New Roman" w:cs="Times New Roman"/>
                <w:sz w:val="20"/>
                <w:szCs w:val="20"/>
              </w:rPr>
              <w:t>6</w:t>
            </w:r>
          </w:p>
        </w:tc>
        <w:tc>
          <w:tcPr>
            <w:tcW w:w="1134" w:type="dxa"/>
            <w:noWrap/>
            <w:vAlign w:val="bottom"/>
          </w:tcPr>
          <w:p w14:paraId="36995DF0" w14:textId="77777777" w:rsidR="00C9224B" w:rsidRPr="007C567E" w:rsidRDefault="00C9224B" w:rsidP="00C9224B">
            <w:pPr>
              <w:spacing w:after="0" w:line="240" w:lineRule="auto"/>
              <w:jc w:val="right"/>
              <w:rPr>
                <w:rFonts w:ascii="Times New Roman" w:eastAsia="SimSun" w:hAnsi="Times New Roman" w:cs="Times New Roman"/>
                <w:sz w:val="20"/>
                <w:szCs w:val="20"/>
                <w:lang w:val="en-US" w:eastAsia="zh-CN"/>
              </w:rPr>
            </w:pPr>
            <w:r w:rsidRPr="007C567E">
              <w:rPr>
                <w:rFonts w:ascii="Times New Roman" w:eastAsia="Calibri" w:hAnsi="Times New Roman" w:cs="Times New Roman"/>
                <w:sz w:val="20"/>
                <w:szCs w:val="20"/>
              </w:rPr>
              <w:t>375.92</w:t>
            </w:r>
          </w:p>
        </w:tc>
        <w:tc>
          <w:tcPr>
            <w:tcW w:w="1078" w:type="dxa"/>
            <w:noWrap/>
          </w:tcPr>
          <w:p w14:paraId="34B59D40" w14:textId="77777777" w:rsidR="00C9224B" w:rsidRPr="007C567E" w:rsidRDefault="00C9224B" w:rsidP="00C9224B">
            <w:pPr>
              <w:spacing w:after="0" w:line="240" w:lineRule="auto"/>
              <w:jc w:val="right"/>
              <w:rPr>
                <w:rFonts w:ascii="Times New Roman" w:eastAsia="Calibri" w:hAnsi="Times New Roman" w:cs="Times New Roman"/>
                <w:sz w:val="20"/>
                <w:szCs w:val="20"/>
              </w:rPr>
            </w:pPr>
            <w:r w:rsidRPr="007C567E">
              <w:rPr>
                <w:rFonts w:ascii="Times New Roman" w:eastAsia="Calibri" w:hAnsi="Times New Roman" w:cs="Times New Roman"/>
                <w:sz w:val="20"/>
                <w:szCs w:val="20"/>
              </w:rPr>
              <w:t>2.7</w:t>
            </w:r>
            <w:r w:rsidRPr="00F24425">
              <w:rPr>
                <w:rFonts w:ascii="Times New Roman" w:eastAsia="Calibri" w:hAnsi="Times New Roman" w:cs="Times New Roman"/>
                <w:sz w:val="20"/>
                <w:szCs w:val="20"/>
              </w:rPr>
              <w:t>8</w:t>
            </w:r>
          </w:p>
        </w:tc>
        <w:tc>
          <w:tcPr>
            <w:tcW w:w="1136" w:type="dxa"/>
            <w:noWrap/>
            <w:vAlign w:val="bottom"/>
          </w:tcPr>
          <w:p w14:paraId="365E6AA8" w14:textId="77777777" w:rsidR="00C9224B" w:rsidRPr="007C567E" w:rsidRDefault="00C9224B" w:rsidP="00C9224B">
            <w:pPr>
              <w:spacing w:after="0" w:line="240" w:lineRule="auto"/>
              <w:jc w:val="right"/>
              <w:rPr>
                <w:rFonts w:ascii="Times New Roman" w:eastAsia="SimSun" w:hAnsi="Times New Roman" w:cs="Times New Roman"/>
                <w:sz w:val="20"/>
                <w:szCs w:val="20"/>
                <w:lang w:val="en-US" w:eastAsia="zh-CN"/>
              </w:rPr>
            </w:pPr>
            <w:r w:rsidRPr="007C567E">
              <w:rPr>
                <w:rFonts w:ascii="Times New Roman" w:eastAsia="Calibri" w:hAnsi="Times New Roman" w:cs="Times New Roman"/>
                <w:sz w:val="20"/>
                <w:szCs w:val="20"/>
              </w:rPr>
              <w:t>3,033.40</w:t>
            </w:r>
          </w:p>
        </w:tc>
      </w:tr>
      <w:tr w:rsidR="00C9224B" w:rsidRPr="00F24425" w14:paraId="76B70AAF" w14:textId="77777777" w:rsidTr="00CA2415">
        <w:trPr>
          <w:trHeight w:val="231"/>
        </w:trPr>
        <w:tc>
          <w:tcPr>
            <w:tcW w:w="2594" w:type="dxa"/>
          </w:tcPr>
          <w:p w14:paraId="13A52E75" w14:textId="2E46E621" w:rsidR="00C9224B" w:rsidRPr="007C567E" w:rsidRDefault="00C9224B" w:rsidP="00C9224B">
            <w:pPr>
              <w:spacing w:after="0" w:line="240" w:lineRule="auto"/>
              <w:ind w:right="-173"/>
              <w:jc w:val="both"/>
              <w:rPr>
                <w:rFonts w:ascii="Times New Roman" w:eastAsia="SimSun" w:hAnsi="Times New Roman" w:cs="Times New Roman"/>
                <w:sz w:val="20"/>
                <w:szCs w:val="20"/>
                <w:lang w:val="en-US" w:eastAsia="zh-CN"/>
              </w:rPr>
            </w:pPr>
            <w:r w:rsidRPr="007C567E">
              <w:rPr>
                <w:rFonts w:ascii="Times New Roman" w:eastAsia="SimSun" w:hAnsi="Times New Roman" w:cs="Times New Roman"/>
                <w:sz w:val="20"/>
                <w:szCs w:val="20"/>
                <w:lang w:val="en-US" w:eastAsia="zh-CN"/>
              </w:rPr>
              <w:t xml:space="preserve">  </w:t>
            </w:r>
            <w:r w:rsidRPr="00F24425">
              <w:rPr>
                <w:rFonts w:ascii="Times New Roman" w:eastAsia="SimSun" w:hAnsi="Times New Roman" w:cs="Times New Roman"/>
                <w:sz w:val="20"/>
                <w:szCs w:val="20"/>
                <w:lang w:val="en-US" w:eastAsia="zh-CN"/>
              </w:rPr>
              <w:t>HEI</w:t>
            </w:r>
            <w:r w:rsidRPr="007C567E">
              <w:rPr>
                <w:rFonts w:ascii="Times New Roman" w:eastAsia="SimSun" w:hAnsi="Times New Roman" w:cs="Times New Roman"/>
                <w:sz w:val="20"/>
                <w:szCs w:val="20"/>
                <w:lang w:val="en-US" w:eastAsia="zh-CN"/>
              </w:rPr>
              <w:t>AG</w:t>
            </w:r>
            <w:r w:rsidR="004A0171">
              <w:rPr>
                <w:rFonts w:ascii="Times New Roman" w:eastAsia="SimSun" w:hAnsi="Times New Roman" w:cs="Times New Roman"/>
                <w:sz w:val="20"/>
                <w:szCs w:val="20"/>
                <w:lang w:val="en-US" w:eastAsia="zh-CN"/>
              </w:rPr>
              <w:t>E</w:t>
            </w:r>
            <w:r w:rsidRPr="007C567E">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 xml:space="preserve">no. </w:t>
            </w:r>
            <w:r w:rsidRPr="007C567E">
              <w:rPr>
                <w:rFonts w:ascii="Times New Roman" w:eastAsia="SimSun" w:hAnsi="Times New Roman" w:cs="Times New Roman"/>
                <w:sz w:val="20"/>
                <w:szCs w:val="20"/>
                <w:lang w:val="en-US" w:eastAsia="zh-CN"/>
              </w:rPr>
              <w:t>years)</w:t>
            </w:r>
          </w:p>
        </w:tc>
        <w:tc>
          <w:tcPr>
            <w:tcW w:w="992" w:type="dxa"/>
            <w:noWrap/>
            <w:vAlign w:val="bottom"/>
          </w:tcPr>
          <w:p w14:paraId="42F40C48" w14:textId="77777777" w:rsidR="00C9224B" w:rsidRPr="007C567E" w:rsidRDefault="00C9224B" w:rsidP="00C9224B">
            <w:pPr>
              <w:spacing w:after="0" w:line="240" w:lineRule="auto"/>
              <w:jc w:val="right"/>
              <w:rPr>
                <w:rFonts w:ascii="Times New Roman" w:eastAsia="SimSun" w:hAnsi="Times New Roman" w:cs="Times New Roman"/>
                <w:sz w:val="20"/>
                <w:szCs w:val="20"/>
                <w:lang w:val="en-US" w:eastAsia="zh-CN"/>
              </w:rPr>
            </w:pPr>
            <w:r w:rsidRPr="007C567E">
              <w:rPr>
                <w:rFonts w:ascii="Times New Roman" w:eastAsia="Calibri" w:hAnsi="Times New Roman" w:cs="Times New Roman"/>
                <w:sz w:val="20"/>
                <w:szCs w:val="20"/>
              </w:rPr>
              <w:t>85.29</w:t>
            </w:r>
          </w:p>
        </w:tc>
        <w:tc>
          <w:tcPr>
            <w:tcW w:w="1276" w:type="dxa"/>
            <w:noWrap/>
            <w:vAlign w:val="bottom"/>
          </w:tcPr>
          <w:p w14:paraId="2787EE77" w14:textId="77777777" w:rsidR="00C9224B" w:rsidRPr="007C567E" w:rsidRDefault="00C9224B" w:rsidP="00C9224B">
            <w:pPr>
              <w:spacing w:after="0" w:line="240" w:lineRule="auto"/>
              <w:jc w:val="right"/>
              <w:rPr>
                <w:rFonts w:ascii="Times New Roman" w:eastAsia="SimSun" w:hAnsi="Times New Roman" w:cs="Times New Roman"/>
                <w:sz w:val="20"/>
                <w:szCs w:val="20"/>
                <w:lang w:val="en-US" w:eastAsia="zh-CN"/>
              </w:rPr>
            </w:pPr>
            <w:r w:rsidRPr="007C567E">
              <w:rPr>
                <w:rFonts w:ascii="Times New Roman" w:eastAsia="SimSun" w:hAnsi="Times New Roman" w:cs="Times New Roman"/>
                <w:sz w:val="20"/>
                <w:szCs w:val="20"/>
                <w:lang w:val="en-US" w:eastAsia="zh-CN"/>
              </w:rPr>
              <w:t>43.00</w:t>
            </w:r>
          </w:p>
        </w:tc>
        <w:tc>
          <w:tcPr>
            <w:tcW w:w="1134" w:type="dxa"/>
            <w:noWrap/>
            <w:vAlign w:val="bottom"/>
          </w:tcPr>
          <w:p w14:paraId="24D40993" w14:textId="77777777" w:rsidR="00C9224B" w:rsidRPr="007C567E" w:rsidRDefault="00C9224B" w:rsidP="00C9224B">
            <w:pPr>
              <w:spacing w:after="0" w:line="240" w:lineRule="auto"/>
              <w:jc w:val="right"/>
              <w:rPr>
                <w:rFonts w:ascii="Times New Roman" w:eastAsia="SimSun" w:hAnsi="Times New Roman" w:cs="Times New Roman"/>
                <w:sz w:val="20"/>
                <w:szCs w:val="20"/>
                <w:lang w:val="en-US" w:eastAsia="zh-CN"/>
              </w:rPr>
            </w:pPr>
            <w:r w:rsidRPr="007C567E">
              <w:rPr>
                <w:rFonts w:ascii="Times New Roman" w:eastAsia="SimSun" w:hAnsi="Times New Roman" w:cs="Times New Roman"/>
                <w:sz w:val="20"/>
                <w:szCs w:val="20"/>
                <w:lang w:val="en-US" w:eastAsia="zh-CN"/>
              </w:rPr>
              <w:t>143.98</w:t>
            </w:r>
          </w:p>
        </w:tc>
        <w:tc>
          <w:tcPr>
            <w:tcW w:w="1078" w:type="dxa"/>
            <w:noWrap/>
            <w:vAlign w:val="bottom"/>
          </w:tcPr>
          <w:p w14:paraId="758004AC" w14:textId="77777777" w:rsidR="00C9224B" w:rsidRPr="007C567E" w:rsidRDefault="00C9224B" w:rsidP="00C9224B">
            <w:pPr>
              <w:spacing w:after="0" w:line="240" w:lineRule="auto"/>
              <w:jc w:val="right"/>
              <w:rPr>
                <w:rFonts w:ascii="Times New Roman" w:eastAsia="SimSun" w:hAnsi="Times New Roman" w:cs="Times New Roman"/>
                <w:sz w:val="20"/>
                <w:szCs w:val="20"/>
                <w:lang w:val="en-US" w:eastAsia="zh-CN"/>
              </w:rPr>
            </w:pPr>
            <w:r w:rsidRPr="007C567E">
              <w:rPr>
                <w:rFonts w:ascii="Times New Roman" w:eastAsia="SimSun" w:hAnsi="Times New Roman" w:cs="Times New Roman"/>
                <w:sz w:val="20"/>
                <w:szCs w:val="20"/>
                <w:lang w:val="en-US" w:eastAsia="zh-CN"/>
              </w:rPr>
              <w:t>2.00</w:t>
            </w:r>
          </w:p>
        </w:tc>
        <w:tc>
          <w:tcPr>
            <w:tcW w:w="1136" w:type="dxa"/>
            <w:noWrap/>
            <w:vAlign w:val="bottom"/>
          </w:tcPr>
          <w:p w14:paraId="4B402422" w14:textId="77777777" w:rsidR="00C9224B" w:rsidRPr="007C567E" w:rsidRDefault="00C9224B" w:rsidP="00C9224B">
            <w:pPr>
              <w:spacing w:after="0" w:line="240" w:lineRule="auto"/>
              <w:jc w:val="right"/>
              <w:rPr>
                <w:rFonts w:ascii="Times New Roman" w:eastAsia="SimSun" w:hAnsi="Times New Roman" w:cs="Times New Roman"/>
                <w:sz w:val="20"/>
                <w:szCs w:val="20"/>
                <w:lang w:val="en-US" w:eastAsia="zh-CN"/>
              </w:rPr>
            </w:pPr>
            <w:r w:rsidRPr="007C567E">
              <w:rPr>
                <w:rFonts w:ascii="Times New Roman" w:eastAsia="SimSun" w:hAnsi="Times New Roman" w:cs="Times New Roman"/>
                <w:sz w:val="20"/>
                <w:szCs w:val="20"/>
                <w:lang w:val="en-US" w:eastAsia="zh-CN"/>
              </w:rPr>
              <w:t>918.00</w:t>
            </w:r>
          </w:p>
        </w:tc>
      </w:tr>
      <w:tr w:rsidR="00C9224B" w:rsidRPr="00F24425" w14:paraId="2BD5DBA0" w14:textId="77777777" w:rsidTr="00CA2415">
        <w:trPr>
          <w:trHeight w:val="231"/>
        </w:trPr>
        <w:tc>
          <w:tcPr>
            <w:tcW w:w="2594" w:type="dxa"/>
          </w:tcPr>
          <w:p w14:paraId="6721CFB6" w14:textId="77777777" w:rsidR="00C9224B" w:rsidRPr="007C567E" w:rsidRDefault="00C9224B" w:rsidP="00C9224B">
            <w:pPr>
              <w:spacing w:after="0" w:line="240" w:lineRule="auto"/>
              <w:ind w:right="-173"/>
              <w:jc w:val="both"/>
              <w:rPr>
                <w:rFonts w:ascii="Times New Roman" w:eastAsia="SimSun" w:hAnsi="Times New Roman" w:cs="Times New Roman"/>
                <w:sz w:val="20"/>
                <w:szCs w:val="20"/>
                <w:lang w:val="en-US" w:eastAsia="zh-CN"/>
              </w:rPr>
            </w:pPr>
            <w:r w:rsidRPr="007C567E">
              <w:rPr>
                <w:rFonts w:ascii="Times New Roman" w:eastAsia="SimSun" w:hAnsi="Times New Roman" w:cs="Times New Roman"/>
                <w:sz w:val="20"/>
                <w:szCs w:val="20"/>
                <w:lang w:val="en-US" w:eastAsia="zh-CN"/>
              </w:rPr>
              <w:t xml:space="preserve">  L</w:t>
            </w:r>
            <w:r w:rsidRPr="00F24425">
              <w:rPr>
                <w:rFonts w:ascii="Times New Roman" w:eastAsia="SimSun" w:hAnsi="Times New Roman" w:cs="Times New Roman"/>
                <w:sz w:val="20"/>
                <w:szCs w:val="20"/>
                <w:lang w:val="en-US" w:eastAsia="zh-CN"/>
              </w:rPr>
              <w:t>E</w:t>
            </w:r>
            <w:r w:rsidRPr="007C567E">
              <w:rPr>
                <w:rFonts w:ascii="Times New Roman" w:eastAsia="SimSun" w:hAnsi="Times New Roman" w:cs="Times New Roman"/>
                <w:sz w:val="20"/>
                <w:szCs w:val="20"/>
                <w:lang w:val="en-US" w:eastAsia="zh-CN"/>
              </w:rPr>
              <w:t>V</w:t>
            </w:r>
            <w:r w:rsidRPr="00F24425">
              <w:rPr>
                <w:rFonts w:ascii="Times New Roman" w:eastAsia="SimSun" w:hAnsi="Times New Roman" w:cs="Times New Roman"/>
                <w:sz w:val="20"/>
                <w:szCs w:val="20"/>
                <w:lang w:val="en-US" w:eastAsia="zh-CN"/>
              </w:rPr>
              <w:t>E</w:t>
            </w:r>
            <w:r w:rsidRPr="007C567E">
              <w:rPr>
                <w:rFonts w:ascii="Times New Roman" w:eastAsia="SimSun" w:hAnsi="Times New Roman" w:cs="Times New Roman"/>
                <w:sz w:val="20"/>
                <w:szCs w:val="20"/>
                <w:lang w:val="en-US" w:eastAsia="zh-CN"/>
              </w:rPr>
              <w:t xml:space="preserve"> (%)</w:t>
            </w:r>
          </w:p>
        </w:tc>
        <w:tc>
          <w:tcPr>
            <w:tcW w:w="992" w:type="dxa"/>
            <w:noWrap/>
            <w:vAlign w:val="bottom"/>
          </w:tcPr>
          <w:p w14:paraId="172A67F0" w14:textId="77777777" w:rsidR="00C9224B" w:rsidRPr="007C567E" w:rsidRDefault="00C9224B" w:rsidP="00C9224B">
            <w:pPr>
              <w:spacing w:after="0" w:line="240" w:lineRule="auto"/>
              <w:jc w:val="right"/>
              <w:rPr>
                <w:rFonts w:ascii="Times New Roman" w:eastAsia="SimSun" w:hAnsi="Times New Roman" w:cs="Times New Roman"/>
                <w:sz w:val="20"/>
                <w:szCs w:val="20"/>
                <w:lang w:val="en-US" w:eastAsia="zh-CN"/>
              </w:rPr>
            </w:pPr>
            <w:r w:rsidRPr="007C567E">
              <w:rPr>
                <w:rFonts w:ascii="Times New Roman" w:eastAsia="SimSun" w:hAnsi="Times New Roman" w:cs="Times New Roman"/>
                <w:sz w:val="20"/>
                <w:szCs w:val="20"/>
                <w:lang w:val="en-US" w:eastAsia="zh-CN"/>
              </w:rPr>
              <w:t>30.28</w:t>
            </w:r>
          </w:p>
        </w:tc>
        <w:tc>
          <w:tcPr>
            <w:tcW w:w="1276" w:type="dxa"/>
            <w:noWrap/>
            <w:vAlign w:val="bottom"/>
          </w:tcPr>
          <w:p w14:paraId="50E22E77" w14:textId="77777777" w:rsidR="00C9224B" w:rsidRPr="007C567E" w:rsidRDefault="00C9224B" w:rsidP="00C9224B">
            <w:pPr>
              <w:spacing w:after="0" w:line="240" w:lineRule="auto"/>
              <w:jc w:val="right"/>
              <w:rPr>
                <w:rFonts w:ascii="Times New Roman" w:eastAsia="SimSun" w:hAnsi="Times New Roman" w:cs="Times New Roman"/>
                <w:sz w:val="20"/>
                <w:szCs w:val="20"/>
                <w:lang w:val="en-US" w:eastAsia="zh-CN"/>
              </w:rPr>
            </w:pPr>
            <w:r w:rsidRPr="007C567E">
              <w:rPr>
                <w:rFonts w:ascii="Times New Roman" w:eastAsia="SimSun" w:hAnsi="Times New Roman" w:cs="Times New Roman"/>
                <w:sz w:val="20"/>
                <w:szCs w:val="20"/>
                <w:lang w:val="en-US" w:eastAsia="zh-CN"/>
              </w:rPr>
              <w:t>30.03</w:t>
            </w:r>
          </w:p>
        </w:tc>
        <w:tc>
          <w:tcPr>
            <w:tcW w:w="1134" w:type="dxa"/>
            <w:noWrap/>
            <w:vAlign w:val="bottom"/>
          </w:tcPr>
          <w:p w14:paraId="101D61A0" w14:textId="77777777" w:rsidR="00C9224B" w:rsidRPr="007C567E" w:rsidRDefault="00C9224B" w:rsidP="00C9224B">
            <w:pPr>
              <w:spacing w:after="0" w:line="240" w:lineRule="auto"/>
              <w:jc w:val="right"/>
              <w:rPr>
                <w:rFonts w:ascii="Times New Roman" w:eastAsia="SimSun" w:hAnsi="Times New Roman" w:cs="Times New Roman"/>
                <w:sz w:val="20"/>
                <w:szCs w:val="20"/>
                <w:lang w:val="en-US" w:eastAsia="zh-CN"/>
              </w:rPr>
            </w:pPr>
            <w:r w:rsidRPr="007C567E">
              <w:rPr>
                <w:rFonts w:ascii="Times New Roman" w:eastAsia="SimSun" w:hAnsi="Times New Roman" w:cs="Times New Roman"/>
                <w:sz w:val="20"/>
                <w:szCs w:val="20"/>
                <w:lang w:val="en-US" w:eastAsia="zh-CN"/>
              </w:rPr>
              <w:t>12.13</w:t>
            </w:r>
          </w:p>
        </w:tc>
        <w:tc>
          <w:tcPr>
            <w:tcW w:w="1078" w:type="dxa"/>
            <w:noWrap/>
            <w:vAlign w:val="bottom"/>
          </w:tcPr>
          <w:p w14:paraId="5236FB29" w14:textId="77777777" w:rsidR="00C9224B" w:rsidRPr="007C567E" w:rsidRDefault="00C9224B" w:rsidP="00C9224B">
            <w:pPr>
              <w:spacing w:after="0" w:line="240" w:lineRule="auto"/>
              <w:jc w:val="right"/>
              <w:rPr>
                <w:rFonts w:ascii="Times New Roman" w:eastAsia="SimSun" w:hAnsi="Times New Roman" w:cs="Times New Roman"/>
                <w:sz w:val="20"/>
                <w:szCs w:val="20"/>
                <w:lang w:val="en-US" w:eastAsia="zh-CN"/>
              </w:rPr>
            </w:pPr>
            <w:r w:rsidRPr="007C567E">
              <w:rPr>
                <w:rFonts w:ascii="Times New Roman" w:eastAsia="SimSun" w:hAnsi="Times New Roman" w:cs="Times New Roman"/>
                <w:sz w:val="20"/>
                <w:szCs w:val="20"/>
                <w:lang w:val="en-US" w:eastAsia="zh-CN"/>
              </w:rPr>
              <w:t>8.38</w:t>
            </w:r>
          </w:p>
        </w:tc>
        <w:tc>
          <w:tcPr>
            <w:tcW w:w="1136" w:type="dxa"/>
            <w:noWrap/>
            <w:vAlign w:val="bottom"/>
          </w:tcPr>
          <w:p w14:paraId="224E2B0A" w14:textId="77777777" w:rsidR="00C9224B" w:rsidRPr="007C567E" w:rsidRDefault="00C9224B" w:rsidP="00C9224B">
            <w:pPr>
              <w:spacing w:after="0" w:line="240" w:lineRule="auto"/>
              <w:jc w:val="right"/>
              <w:rPr>
                <w:rFonts w:ascii="Times New Roman" w:eastAsia="SimSun" w:hAnsi="Times New Roman" w:cs="Times New Roman"/>
                <w:sz w:val="20"/>
                <w:szCs w:val="20"/>
                <w:lang w:val="en-US" w:eastAsia="zh-CN"/>
              </w:rPr>
            </w:pPr>
            <w:r w:rsidRPr="007C567E">
              <w:rPr>
                <w:rFonts w:ascii="Times New Roman" w:eastAsia="SimSun" w:hAnsi="Times New Roman" w:cs="Times New Roman"/>
                <w:sz w:val="20"/>
                <w:szCs w:val="20"/>
                <w:lang w:val="en-US" w:eastAsia="zh-CN"/>
              </w:rPr>
              <w:t>74.59</w:t>
            </w:r>
          </w:p>
        </w:tc>
      </w:tr>
      <w:tr w:rsidR="00C9224B" w:rsidRPr="00F24425" w14:paraId="3517D6F0" w14:textId="77777777" w:rsidTr="00CA2415">
        <w:trPr>
          <w:trHeight w:val="231"/>
        </w:trPr>
        <w:tc>
          <w:tcPr>
            <w:tcW w:w="2594" w:type="dxa"/>
          </w:tcPr>
          <w:p w14:paraId="46575D6B" w14:textId="31001CD0" w:rsidR="00C9224B" w:rsidRPr="007C567E" w:rsidRDefault="00C9224B" w:rsidP="00C9224B">
            <w:pPr>
              <w:spacing w:after="0" w:line="240" w:lineRule="auto"/>
              <w:ind w:right="-173"/>
              <w:jc w:val="both"/>
              <w:rPr>
                <w:rFonts w:ascii="Times New Roman" w:eastAsia="SimSun" w:hAnsi="Times New Roman" w:cs="Times New Roman"/>
                <w:sz w:val="20"/>
                <w:szCs w:val="20"/>
                <w:lang w:val="en-US" w:eastAsia="zh-CN"/>
              </w:rPr>
            </w:pPr>
            <w:r w:rsidRPr="007C567E">
              <w:rPr>
                <w:rFonts w:ascii="Times New Roman" w:eastAsia="SimSun" w:hAnsi="Times New Roman" w:cs="Times New Roman"/>
                <w:sz w:val="20"/>
                <w:szCs w:val="20"/>
                <w:lang w:val="en-US" w:eastAsia="zh-CN"/>
              </w:rPr>
              <w:t xml:space="preserve">  L</w:t>
            </w:r>
            <w:r w:rsidRPr="00F24425">
              <w:rPr>
                <w:rFonts w:ascii="Times New Roman" w:eastAsia="SimSun" w:hAnsi="Times New Roman" w:cs="Times New Roman"/>
                <w:sz w:val="20"/>
                <w:szCs w:val="20"/>
                <w:lang w:val="en-US" w:eastAsia="zh-CN"/>
              </w:rPr>
              <w:t>I</w:t>
            </w:r>
            <w:r w:rsidRPr="007C567E">
              <w:rPr>
                <w:rFonts w:ascii="Times New Roman" w:eastAsia="SimSun" w:hAnsi="Times New Roman" w:cs="Times New Roman"/>
                <w:sz w:val="20"/>
                <w:szCs w:val="20"/>
                <w:lang w:val="en-US" w:eastAsia="zh-CN"/>
              </w:rPr>
              <w:t>Q</w:t>
            </w:r>
            <w:r w:rsidRPr="00F24425">
              <w:rPr>
                <w:rFonts w:ascii="Times New Roman" w:eastAsia="SimSun" w:hAnsi="Times New Roman" w:cs="Times New Roman"/>
                <w:sz w:val="20"/>
                <w:szCs w:val="20"/>
                <w:lang w:val="en-US" w:eastAsia="zh-CN"/>
              </w:rPr>
              <w:t>U</w:t>
            </w:r>
            <w:r w:rsidR="004A0171">
              <w:rPr>
                <w:rFonts w:ascii="Times New Roman" w:eastAsia="SimSun" w:hAnsi="Times New Roman" w:cs="Times New Roman"/>
                <w:sz w:val="20"/>
                <w:szCs w:val="20"/>
                <w:lang w:val="en-US" w:eastAsia="zh-CN"/>
              </w:rPr>
              <w:t>D</w:t>
            </w:r>
            <w:r w:rsidRPr="007C567E">
              <w:rPr>
                <w:rFonts w:ascii="Times New Roman" w:eastAsia="SimSun" w:hAnsi="Times New Roman" w:cs="Times New Roman"/>
                <w:sz w:val="20"/>
                <w:szCs w:val="20"/>
                <w:lang w:val="en-US" w:eastAsia="zh-CN"/>
              </w:rPr>
              <w:t xml:space="preserve"> (%)</w:t>
            </w:r>
          </w:p>
        </w:tc>
        <w:tc>
          <w:tcPr>
            <w:tcW w:w="992" w:type="dxa"/>
            <w:noWrap/>
            <w:vAlign w:val="bottom"/>
          </w:tcPr>
          <w:p w14:paraId="20A7B8FA" w14:textId="77777777" w:rsidR="00C9224B" w:rsidRPr="007C567E" w:rsidRDefault="00C9224B" w:rsidP="00C9224B">
            <w:pPr>
              <w:spacing w:after="0" w:line="240" w:lineRule="auto"/>
              <w:jc w:val="right"/>
              <w:rPr>
                <w:rFonts w:ascii="Times New Roman" w:eastAsia="SimSun" w:hAnsi="Times New Roman" w:cs="Times New Roman"/>
                <w:sz w:val="20"/>
                <w:szCs w:val="20"/>
                <w:lang w:val="en-US" w:eastAsia="zh-CN"/>
              </w:rPr>
            </w:pPr>
            <w:r w:rsidRPr="007C567E">
              <w:rPr>
                <w:rFonts w:ascii="Times New Roman" w:eastAsia="SimSun" w:hAnsi="Times New Roman" w:cs="Times New Roman"/>
                <w:sz w:val="20"/>
                <w:szCs w:val="20"/>
                <w:lang w:val="en-US" w:eastAsia="zh-CN"/>
              </w:rPr>
              <w:t>2.02</w:t>
            </w:r>
          </w:p>
        </w:tc>
        <w:tc>
          <w:tcPr>
            <w:tcW w:w="1276" w:type="dxa"/>
            <w:noWrap/>
            <w:vAlign w:val="bottom"/>
          </w:tcPr>
          <w:p w14:paraId="5D6FFFE6" w14:textId="77777777" w:rsidR="00C9224B" w:rsidRPr="007C567E" w:rsidRDefault="00C9224B" w:rsidP="00C9224B">
            <w:pPr>
              <w:spacing w:after="0" w:line="240" w:lineRule="auto"/>
              <w:jc w:val="right"/>
              <w:rPr>
                <w:rFonts w:ascii="Times New Roman" w:eastAsia="SimSun" w:hAnsi="Times New Roman" w:cs="Times New Roman"/>
                <w:sz w:val="20"/>
                <w:szCs w:val="20"/>
                <w:lang w:val="en-US" w:eastAsia="zh-CN"/>
              </w:rPr>
            </w:pPr>
            <w:r w:rsidRPr="007C567E">
              <w:rPr>
                <w:rFonts w:ascii="Times New Roman" w:eastAsia="SimSun" w:hAnsi="Times New Roman" w:cs="Times New Roman"/>
                <w:sz w:val="20"/>
                <w:szCs w:val="20"/>
                <w:lang w:val="en-US" w:eastAsia="zh-CN"/>
              </w:rPr>
              <w:t>1.23</w:t>
            </w:r>
          </w:p>
        </w:tc>
        <w:tc>
          <w:tcPr>
            <w:tcW w:w="1134" w:type="dxa"/>
            <w:noWrap/>
            <w:vAlign w:val="bottom"/>
          </w:tcPr>
          <w:p w14:paraId="2CB8F36C" w14:textId="77777777" w:rsidR="00C9224B" w:rsidRPr="007C567E" w:rsidRDefault="00C9224B" w:rsidP="00C9224B">
            <w:pPr>
              <w:spacing w:after="0" w:line="240" w:lineRule="auto"/>
              <w:jc w:val="right"/>
              <w:rPr>
                <w:rFonts w:ascii="Times New Roman" w:eastAsia="SimSun" w:hAnsi="Times New Roman" w:cs="Times New Roman"/>
                <w:sz w:val="20"/>
                <w:szCs w:val="20"/>
                <w:lang w:val="en-US" w:eastAsia="zh-CN"/>
              </w:rPr>
            </w:pPr>
            <w:r w:rsidRPr="007C567E">
              <w:rPr>
                <w:rFonts w:ascii="Times New Roman" w:eastAsia="SimSun" w:hAnsi="Times New Roman" w:cs="Times New Roman"/>
                <w:sz w:val="20"/>
                <w:szCs w:val="20"/>
                <w:lang w:val="en-US" w:eastAsia="zh-CN"/>
              </w:rPr>
              <w:t>5.72</w:t>
            </w:r>
          </w:p>
        </w:tc>
        <w:tc>
          <w:tcPr>
            <w:tcW w:w="1078" w:type="dxa"/>
            <w:noWrap/>
            <w:vAlign w:val="bottom"/>
          </w:tcPr>
          <w:p w14:paraId="4E5F3A0B" w14:textId="77777777" w:rsidR="00C9224B" w:rsidRPr="007C567E" w:rsidRDefault="00C9224B" w:rsidP="00C9224B">
            <w:pPr>
              <w:spacing w:after="0" w:line="240" w:lineRule="auto"/>
              <w:jc w:val="right"/>
              <w:rPr>
                <w:rFonts w:ascii="Times New Roman" w:eastAsia="SimSun" w:hAnsi="Times New Roman" w:cs="Times New Roman"/>
                <w:sz w:val="20"/>
                <w:szCs w:val="20"/>
                <w:lang w:val="en-US" w:eastAsia="zh-CN"/>
              </w:rPr>
            </w:pPr>
            <w:r w:rsidRPr="007C567E">
              <w:rPr>
                <w:rFonts w:ascii="Times New Roman" w:eastAsia="SimSun" w:hAnsi="Times New Roman" w:cs="Times New Roman"/>
                <w:sz w:val="20"/>
                <w:szCs w:val="20"/>
                <w:lang w:val="en-US" w:eastAsia="zh-CN"/>
              </w:rPr>
              <w:t>-19.82</w:t>
            </w:r>
          </w:p>
        </w:tc>
        <w:tc>
          <w:tcPr>
            <w:tcW w:w="1136" w:type="dxa"/>
            <w:noWrap/>
            <w:vAlign w:val="bottom"/>
          </w:tcPr>
          <w:p w14:paraId="3642A099" w14:textId="77777777" w:rsidR="00C9224B" w:rsidRPr="007C567E" w:rsidRDefault="00C9224B" w:rsidP="00C9224B">
            <w:pPr>
              <w:spacing w:after="0" w:line="240" w:lineRule="auto"/>
              <w:jc w:val="right"/>
              <w:rPr>
                <w:rFonts w:ascii="Times New Roman" w:eastAsia="SimSun" w:hAnsi="Times New Roman" w:cs="Times New Roman"/>
                <w:sz w:val="20"/>
                <w:szCs w:val="20"/>
                <w:lang w:val="en-US" w:eastAsia="zh-CN"/>
              </w:rPr>
            </w:pPr>
            <w:r w:rsidRPr="007C567E">
              <w:rPr>
                <w:rFonts w:ascii="Times New Roman" w:eastAsia="SimSun" w:hAnsi="Times New Roman" w:cs="Times New Roman"/>
                <w:sz w:val="20"/>
                <w:szCs w:val="20"/>
                <w:lang w:val="en-US" w:eastAsia="zh-CN"/>
              </w:rPr>
              <w:t>25.91</w:t>
            </w:r>
          </w:p>
        </w:tc>
      </w:tr>
      <w:tr w:rsidR="00C9224B" w:rsidRPr="00F24425" w14:paraId="1C78B98E" w14:textId="77777777" w:rsidTr="00CA2415">
        <w:trPr>
          <w:trHeight w:val="231"/>
        </w:trPr>
        <w:tc>
          <w:tcPr>
            <w:tcW w:w="2594" w:type="dxa"/>
          </w:tcPr>
          <w:p w14:paraId="6E9D885B" w14:textId="77777777" w:rsidR="00C9224B" w:rsidRPr="007C567E" w:rsidRDefault="00C9224B" w:rsidP="00C9224B">
            <w:pPr>
              <w:spacing w:after="0" w:line="240" w:lineRule="auto"/>
              <w:ind w:right="-173"/>
              <w:jc w:val="both"/>
              <w:rPr>
                <w:rFonts w:ascii="Times New Roman" w:eastAsia="SimSun" w:hAnsi="Times New Roman" w:cs="Times New Roman"/>
                <w:sz w:val="20"/>
                <w:szCs w:val="20"/>
                <w:lang w:val="en-US" w:eastAsia="zh-CN"/>
              </w:rPr>
            </w:pPr>
            <w:r w:rsidRPr="007C567E">
              <w:rPr>
                <w:rFonts w:ascii="Times New Roman" w:eastAsia="SimSun" w:hAnsi="Times New Roman" w:cs="Times New Roman"/>
                <w:sz w:val="20"/>
                <w:szCs w:val="20"/>
                <w:lang w:val="en-US" w:eastAsia="zh-CN"/>
              </w:rPr>
              <w:t xml:space="preserve">  GRTH (%)</w:t>
            </w:r>
          </w:p>
        </w:tc>
        <w:tc>
          <w:tcPr>
            <w:tcW w:w="992" w:type="dxa"/>
            <w:noWrap/>
            <w:vAlign w:val="bottom"/>
          </w:tcPr>
          <w:p w14:paraId="2C84FCBA" w14:textId="77777777" w:rsidR="00C9224B" w:rsidRPr="007C567E" w:rsidRDefault="00C9224B" w:rsidP="00C9224B">
            <w:pPr>
              <w:spacing w:after="0" w:line="240" w:lineRule="auto"/>
              <w:jc w:val="right"/>
              <w:rPr>
                <w:rFonts w:ascii="Times New Roman" w:eastAsia="SimSun" w:hAnsi="Times New Roman" w:cs="Times New Roman"/>
                <w:sz w:val="20"/>
                <w:szCs w:val="20"/>
                <w:lang w:val="en-US" w:eastAsia="zh-CN"/>
              </w:rPr>
            </w:pPr>
            <w:r w:rsidRPr="007C567E">
              <w:rPr>
                <w:rFonts w:ascii="Times New Roman" w:eastAsia="SimSun" w:hAnsi="Times New Roman" w:cs="Times New Roman"/>
                <w:sz w:val="20"/>
                <w:szCs w:val="20"/>
                <w:lang w:val="en-US" w:eastAsia="zh-CN"/>
              </w:rPr>
              <w:t>4.74</w:t>
            </w:r>
          </w:p>
        </w:tc>
        <w:tc>
          <w:tcPr>
            <w:tcW w:w="1276" w:type="dxa"/>
            <w:noWrap/>
            <w:vAlign w:val="bottom"/>
          </w:tcPr>
          <w:p w14:paraId="04E0342E" w14:textId="77777777" w:rsidR="00C9224B" w:rsidRPr="007C567E" w:rsidRDefault="00C9224B" w:rsidP="00C9224B">
            <w:pPr>
              <w:spacing w:after="0" w:line="240" w:lineRule="auto"/>
              <w:jc w:val="right"/>
              <w:rPr>
                <w:rFonts w:ascii="Times New Roman" w:eastAsia="SimSun" w:hAnsi="Times New Roman" w:cs="Times New Roman"/>
                <w:sz w:val="20"/>
                <w:szCs w:val="20"/>
                <w:lang w:val="en-US" w:eastAsia="zh-CN"/>
              </w:rPr>
            </w:pPr>
            <w:r w:rsidRPr="007C567E">
              <w:rPr>
                <w:rFonts w:ascii="Times New Roman" w:eastAsia="SimSun" w:hAnsi="Times New Roman" w:cs="Times New Roman"/>
                <w:sz w:val="20"/>
                <w:szCs w:val="20"/>
                <w:lang w:val="en-US" w:eastAsia="zh-CN"/>
              </w:rPr>
              <w:t>4.56</w:t>
            </w:r>
          </w:p>
        </w:tc>
        <w:tc>
          <w:tcPr>
            <w:tcW w:w="1134" w:type="dxa"/>
            <w:noWrap/>
            <w:vAlign w:val="bottom"/>
          </w:tcPr>
          <w:p w14:paraId="283E7C90" w14:textId="77777777" w:rsidR="00C9224B" w:rsidRPr="007C567E" w:rsidRDefault="00C9224B" w:rsidP="00C9224B">
            <w:pPr>
              <w:spacing w:after="0" w:line="240" w:lineRule="auto"/>
              <w:jc w:val="right"/>
              <w:rPr>
                <w:rFonts w:ascii="Times New Roman" w:eastAsia="SimSun" w:hAnsi="Times New Roman" w:cs="Times New Roman"/>
                <w:sz w:val="20"/>
                <w:szCs w:val="20"/>
                <w:lang w:val="en-US" w:eastAsia="zh-CN"/>
              </w:rPr>
            </w:pPr>
            <w:r w:rsidRPr="007C567E">
              <w:rPr>
                <w:rFonts w:ascii="Times New Roman" w:eastAsia="SimSun" w:hAnsi="Times New Roman" w:cs="Times New Roman"/>
                <w:sz w:val="20"/>
                <w:szCs w:val="20"/>
                <w:lang w:val="en-US" w:eastAsia="zh-CN"/>
              </w:rPr>
              <w:t>5.78</w:t>
            </w:r>
          </w:p>
        </w:tc>
        <w:tc>
          <w:tcPr>
            <w:tcW w:w="1078" w:type="dxa"/>
            <w:noWrap/>
            <w:vAlign w:val="bottom"/>
          </w:tcPr>
          <w:p w14:paraId="003D6E78" w14:textId="77777777" w:rsidR="00C9224B" w:rsidRPr="007C567E" w:rsidRDefault="00C9224B" w:rsidP="00C9224B">
            <w:pPr>
              <w:spacing w:after="0" w:line="240" w:lineRule="auto"/>
              <w:jc w:val="right"/>
              <w:rPr>
                <w:rFonts w:ascii="Times New Roman" w:eastAsia="SimSun" w:hAnsi="Times New Roman" w:cs="Times New Roman"/>
                <w:sz w:val="20"/>
                <w:szCs w:val="20"/>
                <w:lang w:val="en-US" w:eastAsia="zh-CN"/>
              </w:rPr>
            </w:pPr>
            <w:r w:rsidRPr="007C567E">
              <w:rPr>
                <w:rFonts w:ascii="Times New Roman" w:eastAsia="SimSun" w:hAnsi="Times New Roman" w:cs="Times New Roman"/>
                <w:sz w:val="20"/>
                <w:szCs w:val="20"/>
                <w:lang w:val="en-US" w:eastAsia="zh-CN"/>
              </w:rPr>
              <w:t>-11.70</w:t>
            </w:r>
          </w:p>
        </w:tc>
        <w:tc>
          <w:tcPr>
            <w:tcW w:w="1136" w:type="dxa"/>
            <w:noWrap/>
            <w:vAlign w:val="bottom"/>
          </w:tcPr>
          <w:p w14:paraId="4FC39004" w14:textId="77777777" w:rsidR="00C9224B" w:rsidRPr="007C567E" w:rsidRDefault="00C9224B" w:rsidP="00C9224B">
            <w:pPr>
              <w:spacing w:after="0" w:line="240" w:lineRule="auto"/>
              <w:jc w:val="right"/>
              <w:rPr>
                <w:rFonts w:ascii="Times New Roman" w:eastAsia="SimSun" w:hAnsi="Times New Roman" w:cs="Times New Roman"/>
                <w:sz w:val="20"/>
                <w:szCs w:val="20"/>
                <w:lang w:val="en-US" w:eastAsia="zh-CN"/>
              </w:rPr>
            </w:pPr>
            <w:r w:rsidRPr="007C567E">
              <w:rPr>
                <w:rFonts w:ascii="Times New Roman" w:eastAsia="SimSun" w:hAnsi="Times New Roman" w:cs="Times New Roman"/>
                <w:sz w:val="20"/>
                <w:szCs w:val="20"/>
                <w:lang w:val="en-US" w:eastAsia="zh-CN"/>
              </w:rPr>
              <w:t>44.36</w:t>
            </w:r>
          </w:p>
        </w:tc>
      </w:tr>
      <w:tr w:rsidR="00C9224B" w:rsidRPr="00F24425" w14:paraId="4E36A536" w14:textId="77777777" w:rsidTr="00CA2415">
        <w:trPr>
          <w:trHeight w:val="231"/>
        </w:trPr>
        <w:tc>
          <w:tcPr>
            <w:tcW w:w="2594" w:type="dxa"/>
          </w:tcPr>
          <w:p w14:paraId="5E73451D" w14:textId="3ACE98B1" w:rsidR="00C9224B" w:rsidRPr="007C567E" w:rsidRDefault="00C9224B" w:rsidP="00C9224B">
            <w:pPr>
              <w:spacing w:after="0" w:line="240" w:lineRule="auto"/>
              <w:ind w:right="-173"/>
              <w:jc w:val="both"/>
              <w:rPr>
                <w:rFonts w:ascii="Times New Roman" w:eastAsia="SimSun" w:hAnsi="Times New Roman" w:cs="Times New Roman"/>
                <w:sz w:val="20"/>
                <w:szCs w:val="20"/>
                <w:lang w:val="en-US" w:eastAsia="zh-CN"/>
              </w:rPr>
            </w:pPr>
            <w:r w:rsidRPr="007C567E">
              <w:rPr>
                <w:rFonts w:ascii="Times New Roman" w:eastAsia="SimSun" w:hAnsi="Times New Roman" w:cs="Times New Roman"/>
                <w:sz w:val="20"/>
                <w:szCs w:val="20"/>
                <w:lang w:val="en-US" w:eastAsia="zh-CN"/>
              </w:rPr>
              <w:t xml:space="preserve">  </w:t>
            </w:r>
            <w:r w:rsidR="004A0171">
              <w:rPr>
                <w:rFonts w:ascii="Times New Roman" w:eastAsia="SimSun" w:hAnsi="Times New Roman" w:cs="Times New Roman"/>
                <w:sz w:val="20"/>
                <w:szCs w:val="20"/>
                <w:lang w:val="en-US" w:eastAsia="zh-CN"/>
              </w:rPr>
              <w:t>IFUNDC</w:t>
            </w:r>
            <w:r w:rsidRPr="007C567E">
              <w:rPr>
                <w:rFonts w:ascii="Times New Roman" w:eastAsia="SimSun" w:hAnsi="Times New Roman" w:cs="Times New Roman"/>
                <w:sz w:val="20"/>
                <w:szCs w:val="20"/>
                <w:lang w:val="en-US" w:eastAsia="zh-CN"/>
              </w:rPr>
              <w:t xml:space="preserve"> (%)</w:t>
            </w:r>
          </w:p>
        </w:tc>
        <w:tc>
          <w:tcPr>
            <w:tcW w:w="992" w:type="dxa"/>
            <w:noWrap/>
            <w:vAlign w:val="bottom"/>
          </w:tcPr>
          <w:p w14:paraId="072F6326" w14:textId="77777777" w:rsidR="00C9224B" w:rsidRPr="007C567E" w:rsidRDefault="00C9224B" w:rsidP="00C9224B">
            <w:pPr>
              <w:spacing w:after="0" w:line="240" w:lineRule="auto"/>
              <w:jc w:val="right"/>
              <w:rPr>
                <w:rFonts w:ascii="Times New Roman" w:eastAsia="SimSun" w:hAnsi="Times New Roman" w:cs="Times New Roman"/>
                <w:sz w:val="20"/>
                <w:szCs w:val="20"/>
                <w:lang w:val="en-US" w:eastAsia="zh-CN"/>
              </w:rPr>
            </w:pPr>
            <w:r w:rsidRPr="007C567E">
              <w:rPr>
                <w:rFonts w:ascii="Times New Roman" w:eastAsia="SimSun" w:hAnsi="Times New Roman" w:cs="Times New Roman"/>
                <w:sz w:val="20"/>
                <w:szCs w:val="20"/>
                <w:lang w:val="en-US" w:eastAsia="zh-CN"/>
              </w:rPr>
              <w:t>32.77</w:t>
            </w:r>
          </w:p>
        </w:tc>
        <w:tc>
          <w:tcPr>
            <w:tcW w:w="1276" w:type="dxa"/>
            <w:noWrap/>
            <w:vAlign w:val="bottom"/>
          </w:tcPr>
          <w:p w14:paraId="3FFB54B7" w14:textId="77777777" w:rsidR="00C9224B" w:rsidRPr="007C567E" w:rsidRDefault="00C9224B" w:rsidP="00C9224B">
            <w:pPr>
              <w:spacing w:after="0" w:line="240" w:lineRule="auto"/>
              <w:jc w:val="right"/>
              <w:rPr>
                <w:rFonts w:ascii="Times New Roman" w:eastAsia="SimSun" w:hAnsi="Times New Roman" w:cs="Times New Roman"/>
                <w:sz w:val="20"/>
                <w:szCs w:val="20"/>
                <w:lang w:val="en-US" w:eastAsia="zh-CN"/>
              </w:rPr>
            </w:pPr>
            <w:r w:rsidRPr="007C567E">
              <w:rPr>
                <w:rFonts w:ascii="Times New Roman" w:eastAsia="SimSun" w:hAnsi="Times New Roman" w:cs="Times New Roman"/>
                <w:sz w:val="20"/>
                <w:szCs w:val="20"/>
                <w:lang w:val="en-US" w:eastAsia="zh-CN"/>
              </w:rPr>
              <w:t>32.18</w:t>
            </w:r>
          </w:p>
        </w:tc>
        <w:tc>
          <w:tcPr>
            <w:tcW w:w="1134" w:type="dxa"/>
            <w:noWrap/>
            <w:vAlign w:val="bottom"/>
          </w:tcPr>
          <w:p w14:paraId="27EDB4E4" w14:textId="77777777" w:rsidR="00C9224B" w:rsidRPr="007C567E" w:rsidRDefault="00C9224B" w:rsidP="00C9224B">
            <w:pPr>
              <w:spacing w:after="0" w:line="240" w:lineRule="auto"/>
              <w:jc w:val="right"/>
              <w:rPr>
                <w:rFonts w:ascii="Times New Roman" w:eastAsia="SimSun" w:hAnsi="Times New Roman" w:cs="Times New Roman"/>
                <w:sz w:val="20"/>
                <w:szCs w:val="20"/>
                <w:lang w:val="en-US" w:eastAsia="zh-CN"/>
              </w:rPr>
            </w:pPr>
            <w:r w:rsidRPr="007C567E">
              <w:rPr>
                <w:rFonts w:ascii="Times New Roman" w:eastAsia="SimSun" w:hAnsi="Times New Roman" w:cs="Times New Roman"/>
                <w:sz w:val="20"/>
                <w:szCs w:val="20"/>
                <w:lang w:val="en-US" w:eastAsia="zh-CN"/>
              </w:rPr>
              <w:t>12.15</w:t>
            </w:r>
          </w:p>
        </w:tc>
        <w:tc>
          <w:tcPr>
            <w:tcW w:w="1078" w:type="dxa"/>
            <w:noWrap/>
            <w:vAlign w:val="bottom"/>
          </w:tcPr>
          <w:p w14:paraId="65416272" w14:textId="77777777" w:rsidR="00C9224B" w:rsidRPr="007C567E" w:rsidRDefault="00C9224B" w:rsidP="00C9224B">
            <w:pPr>
              <w:spacing w:after="0" w:line="240" w:lineRule="auto"/>
              <w:jc w:val="right"/>
              <w:rPr>
                <w:rFonts w:ascii="Times New Roman" w:eastAsia="SimSun" w:hAnsi="Times New Roman" w:cs="Times New Roman"/>
                <w:sz w:val="20"/>
                <w:szCs w:val="20"/>
                <w:lang w:val="en-US" w:eastAsia="zh-CN"/>
              </w:rPr>
            </w:pPr>
            <w:r w:rsidRPr="007C567E">
              <w:rPr>
                <w:rFonts w:ascii="Times New Roman" w:eastAsia="SimSun" w:hAnsi="Times New Roman" w:cs="Times New Roman"/>
                <w:sz w:val="20"/>
                <w:szCs w:val="20"/>
                <w:lang w:val="en-US" w:eastAsia="zh-CN"/>
              </w:rPr>
              <w:t>6.95</w:t>
            </w:r>
          </w:p>
        </w:tc>
        <w:tc>
          <w:tcPr>
            <w:tcW w:w="1136" w:type="dxa"/>
            <w:noWrap/>
            <w:vAlign w:val="bottom"/>
          </w:tcPr>
          <w:p w14:paraId="186AA488" w14:textId="77777777" w:rsidR="00C9224B" w:rsidRPr="007C567E" w:rsidRDefault="00C9224B" w:rsidP="00C9224B">
            <w:pPr>
              <w:spacing w:after="0" w:line="240" w:lineRule="auto"/>
              <w:jc w:val="right"/>
              <w:rPr>
                <w:rFonts w:ascii="Times New Roman" w:eastAsia="SimSun" w:hAnsi="Times New Roman" w:cs="Times New Roman"/>
                <w:sz w:val="20"/>
                <w:szCs w:val="20"/>
                <w:lang w:val="en-US" w:eastAsia="zh-CN"/>
              </w:rPr>
            </w:pPr>
            <w:r w:rsidRPr="007C567E">
              <w:rPr>
                <w:rFonts w:ascii="Times New Roman" w:eastAsia="SimSun" w:hAnsi="Times New Roman" w:cs="Times New Roman"/>
                <w:sz w:val="20"/>
                <w:szCs w:val="20"/>
                <w:lang w:val="en-US" w:eastAsia="zh-CN"/>
              </w:rPr>
              <w:t>72.00</w:t>
            </w:r>
          </w:p>
        </w:tc>
      </w:tr>
      <w:tr w:rsidR="00C9224B" w:rsidRPr="00F24425" w14:paraId="678C8C95" w14:textId="77777777" w:rsidTr="00CA2415">
        <w:trPr>
          <w:trHeight w:val="231"/>
        </w:trPr>
        <w:tc>
          <w:tcPr>
            <w:tcW w:w="2594" w:type="dxa"/>
          </w:tcPr>
          <w:p w14:paraId="216CDE1D" w14:textId="3B7F2D52" w:rsidR="00C9224B" w:rsidRPr="007C567E" w:rsidRDefault="00C9224B" w:rsidP="00C9224B">
            <w:pPr>
              <w:spacing w:after="0" w:line="240" w:lineRule="auto"/>
              <w:ind w:right="-173"/>
              <w:jc w:val="both"/>
              <w:rPr>
                <w:rFonts w:ascii="Times New Roman" w:eastAsia="SimSun" w:hAnsi="Times New Roman" w:cs="Times New Roman"/>
                <w:sz w:val="20"/>
                <w:szCs w:val="20"/>
                <w:lang w:val="en-US" w:eastAsia="zh-CN"/>
              </w:rPr>
            </w:pPr>
            <w:r w:rsidRPr="007C567E">
              <w:rPr>
                <w:rFonts w:ascii="Times New Roman" w:eastAsia="SimSun" w:hAnsi="Times New Roman" w:cs="Times New Roman"/>
                <w:sz w:val="20"/>
                <w:szCs w:val="20"/>
                <w:lang w:val="en-US" w:eastAsia="zh-CN"/>
              </w:rPr>
              <w:t xml:space="preserve">  </w:t>
            </w:r>
            <w:r w:rsidR="004A0171">
              <w:rPr>
                <w:rFonts w:ascii="Times New Roman" w:eastAsia="SimSun" w:hAnsi="Times New Roman" w:cs="Times New Roman"/>
                <w:sz w:val="20"/>
                <w:szCs w:val="20"/>
                <w:lang w:val="en-US" w:eastAsia="zh-CN"/>
              </w:rPr>
              <w:t>F</w:t>
            </w:r>
            <w:r w:rsidRPr="007C567E">
              <w:rPr>
                <w:rFonts w:ascii="Times New Roman" w:eastAsia="SimSun" w:hAnsi="Times New Roman" w:cs="Times New Roman"/>
                <w:sz w:val="20"/>
                <w:szCs w:val="20"/>
                <w:lang w:val="en-US" w:eastAsia="zh-CN"/>
              </w:rPr>
              <w:t>R</w:t>
            </w:r>
            <w:r w:rsidR="004A0171">
              <w:rPr>
                <w:rFonts w:ascii="Times New Roman" w:eastAsia="SimSun" w:hAnsi="Times New Roman" w:cs="Times New Roman"/>
                <w:sz w:val="20"/>
                <w:szCs w:val="20"/>
                <w:lang w:val="en-US" w:eastAsia="zh-CN"/>
              </w:rPr>
              <w:t>I</w:t>
            </w:r>
            <w:r w:rsidRPr="007C567E">
              <w:rPr>
                <w:rFonts w:ascii="Times New Roman" w:eastAsia="SimSun" w:hAnsi="Times New Roman" w:cs="Times New Roman"/>
                <w:sz w:val="20"/>
                <w:szCs w:val="20"/>
                <w:lang w:val="en-US" w:eastAsia="zh-CN"/>
              </w:rPr>
              <w:t>SK</w:t>
            </w:r>
            <w:r w:rsidRPr="00F24425">
              <w:rPr>
                <w:rFonts w:ascii="Times New Roman" w:eastAsia="SimSun" w:hAnsi="Times New Roman" w:cs="Times New Roman"/>
                <w:sz w:val="20"/>
                <w:szCs w:val="20"/>
                <w:lang w:val="en-US" w:eastAsia="zh-CN"/>
              </w:rPr>
              <w:t xml:space="preserve"> (%)</w:t>
            </w:r>
          </w:p>
        </w:tc>
        <w:tc>
          <w:tcPr>
            <w:tcW w:w="992" w:type="dxa"/>
            <w:noWrap/>
            <w:vAlign w:val="bottom"/>
          </w:tcPr>
          <w:p w14:paraId="6891BBAD" w14:textId="77777777" w:rsidR="00C9224B" w:rsidRPr="007C567E" w:rsidRDefault="00C9224B" w:rsidP="00C9224B">
            <w:pPr>
              <w:spacing w:after="0" w:line="240" w:lineRule="auto"/>
              <w:jc w:val="right"/>
              <w:rPr>
                <w:rFonts w:ascii="Times New Roman" w:eastAsia="SimSun" w:hAnsi="Times New Roman" w:cs="Times New Roman"/>
                <w:sz w:val="20"/>
                <w:szCs w:val="20"/>
                <w:lang w:val="en-US" w:eastAsia="zh-CN"/>
              </w:rPr>
            </w:pPr>
            <w:r w:rsidRPr="00F24425">
              <w:rPr>
                <w:rFonts w:ascii="Times New Roman" w:eastAsia="SimSun" w:hAnsi="Times New Roman" w:cs="Times New Roman"/>
                <w:sz w:val="20"/>
                <w:szCs w:val="20"/>
                <w:lang w:val="en-US" w:eastAsia="zh-CN"/>
              </w:rPr>
              <w:t>1.30</w:t>
            </w:r>
          </w:p>
        </w:tc>
        <w:tc>
          <w:tcPr>
            <w:tcW w:w="1276" w:type="dxa"/>
            <w:noWrap/>
            <w:vAlign w:val="bottom"/>
          </w:tcPr>
          <w:p w14:paraId="39D9BE14" w14:textId="77777777" w:rsidR="00C9224B" w:rsidRPr="007C567E" w:rsidRDefault="00C9224B" w:rsidP="00C9224B">
            <w:pPr>
              <w:spacing w:after="0" w:line="240" w:lineRule="auto"/>
              <w:jc w:val="right"/>
              <w:rPr>
                <w:rFonts w:ascii="Times New Roman" w:eastAsia="SimSun" w:hAnsi="Times New Roman" w:cs="Times New Roman"/>
                <w:sz w:val="20"/>
                <w:szCs w:val="20"/>
                <w:lang w:val="en-US" w:eastAsia="zh-CN"/>
              </w:rPr>
            </w:pPr>
            <w:r w:rsidRPr="00F24425">
              <w:rPr>
                <w:rFonts w:ascii="Times New Roman" w:eastAsia="SimSun" w:hAnsi="Times New Roman" w:cs="Times New Roman"/>
                <w:sz w:val="20"/>
                <w:szCs w:val="20"/>
                <w:lang w:val="en-US" w:eastAsia="zh-CN"/>
              </w:rPr>
              <w:t>0.86</w:t>
            </w:r>
          </w:p>
        </w:tc>
        <w:tc>
          <w:tcPr>
            <w:tcW w:w="1134" w:type="dxa"/>
            <w:noWrap/>
            <w:vAlign w:val="bottom"/>
          </w:tcPr>
          <w:p w14:paraId="715DE41F" w14:textId="77777777" w:rsidR="00C9224B" w:rsidRPr="007C567E" w:rsidRDefault="00C9224B" w:rsidP="00C9224B">
            <w:pPr>
              <w:spacing w:after="0" w:line="240" w:lineRule="auto"/>
              <w:jc w:val="right"/>
              <w:rPr>
                <w:rFonts w:ascii="Times New Roman" w:eastAsia="SimSun" w:hAnsi="Times New Roman" w:cs="Times New Roman"/>
                <w:sz w:val="20"/>
                <w:szCs w:val="20"/>
                <w:lang w:val="en-US" w:eastAsia="zh-CN"/>
              </w:rPr>
            </w:pPr>
            <w:r w:rsidRPr="00F24425">
              <w:rPr>
                <w:rFonts w:ascii="Times New Roman" w:eastAsia="SimSun" w:hAnsi="Times New Roman" w:cs="Times New Roman"/>
                <w:sz w:val="20"/>
                <w:szCs w:val="20"/>
                <w:lang w:val="en-US" w:eastAsia="zh-CN"/>
              </w:rPr>
              <w:t>1.43</w:t>
            </w:r>
          </w:p>
        </w:tc>
        <w:tc>
          <w:tcPr>
            <w:tcW w:w="1078" w:type="dxa"/>
            <w:noWrap/>
            <w:vAlign w:val="bottom"/>
          </w:tcPr>
          <w:p w14:paraId="3A0577D1" w14:textId="77777777" w:rsidR="00C9224B" w:rsidRPr="007C567E" w:rsidRDefault="00C9224B" w:rsidP="00C9224B">
            <w:pPr>
              <w:spacing w:after="0" w:line="240" w:lineRule="auto"/>
              <w:jc w:val="right"/>
              <w:rPr>
                <w:rFonts w:ascii="Times New Roman" w:eastAsia="SimSun" w:hAnsi="Times New Roman" w:cs="Times New Roman"/>
                <w:sz w:val="20"/>
                <w:szCs w:val="20"/>
                <w:lang w:val="en-US" w:eastAsia="zh-CN"/>
              </w:rPr>
            </w:pPr>
            <w:r w:rsidRPr="00F24425">
              <w:rPr>
                <w:rFonts w:ascii="Times New Roman" w:eastAsia="SimSun" w:hAnsi="Times New Roman" w:cs="Times New Roman"/>
                <w:sz w:val="20"/>
                <w:szCs w:val="20"/>
                <w:lang w:val="en-US" w:eastAsia="zh-CN"/>
              </w:rPr>
              <w:t>0.00</w:t>
            </w:r>
          </w:p>
        </w:tc>
        <w:tc>
          <w:tcPr>
            <w:tcW w:w="1136" w:type="dxa"/>
            <w:noWrap/>
            <w:vAlign w:val="bottom"/>
          </w:tcPr>
          <w:p w14:paraId="7ED25ED2" w14:textId="77777777" w:rsidR="00C9224B" w:rsidRPr="007C567E" w:rsidRDefault="00C9224B" w:rsidP="00C9224B">
            <w:pPr>
              <w:spacing w:after="0" w:line="240" w:lineRule="auto"/>
              <w:jc w:val="right"/>
              <w:rPr>
                <w:rFonts w:ascii="Times New Roman" w:eastAsia="SimSun" w:hAnsi="Times New Roman" w:cs="Times New Roman"/>
                <w:sz w:val="20"/>
                <w:szCs w:val="20"/>
                <w:lang w:val="en-US" w:eastAsia="zh-CN"/>
              </w:rPr>
            </w:pPr>
            <w:r w:rsidRPr="00F24425">
              <w:rPr>
                <w:rFonts w:ascii="Times New Roman" w:eastAsia="SimSun" w:hAnsi="Times New Roman" w:cs="Times New Roman"/>
                <w:sz w:val="20"/>
                <w:szCs w:val="20"/>
                <w:lang w:val="en-US" w:eastAsia="zh-CN"/>
              </w:rPr>
              <w:t>9.62</w:t>
            </w:r>
          </w:p>
        </w:tc>
      </w:tr>
      <w:tr w:rsidR="00C9224B" w:rsidRPr="00F24425" w14:paraId="16C27EFE" w14:textId="77777777" w:rsidTr="005F3693">
        <w:trPr>
          <w:trHeight w:val="231"/>
        </w:trPr>
        <w:tc>
          <w:tcPr>
            <w:tcW w:w="2594" w:type="dxa"/>
          </w:tcPr>
          <w:p w14:paraId="15FA185B" w14:textId="179BC513" w:rsidR="00C9224B" w:rsidRPr="00F24425" w:rsidRDefault="00C9224B" w:rsidP="00C9224B">
            <w:pPr>
              <w:spacing w:after="0" w:line="240" w:lineRule="auto"/>
              <w:ind w:right="-173"/>
              <w:jc w:val="both"/>
              <w:rPr>
                <w:rFonts w:ascii="Times New Roman" w:eastAsia="SimSun" w:hAnsi="Times New Roman" w:cs="Times New Roman"/>
                <w:sz w:val="20"/>
                <w:szCs w:val="20"/>
                <w:lang w:val="en-US" w:eastAsia="zh-CN"/>
              </w:rPr>
            </w:pPr>
            <w:r w:rsidRPr="00F24425">
              <w:rPr>
                <w:rFonts w:ascii="Times New Roman" w:eastAsia="SimSun" w:hAnsi="Times New Roman" w:cs="Times New Roman"/>
                <w:sz w:val="20"/>
                <w:szCs w:val="20"/>
                <w:lang w:val="en-US" w:eastAsia="zh-CN"/>
              </w:rPr>
              <w:t xml:space="preserve">  AF</w:t>
            </w:r>
            <w:r w:rsidR="004A0171">
              <w:rPr>
                <w:rFonts w:ascii="Times New Roman" w:eastAsia="SimSun" w:hAnsi="Times New Roman" w:cs="Times New Roman"/>
                <w:sz w:val="20"/>
                <w:szCs w:val="20"/>
                <w:lang w:val="en-US" w:eastAsia="zh-CN"/>
              </w:rPr>
              <w:t>SZE</w:t>
            </w:r>
            <w:r w:rsidRPr="00F24425">
              <w:rPr>
                <w:rFonts w:ascii="Times New Roman" w:eastAsia="SimSun" w:hAnsi="Times New Roman" w:cs="Times New Roman"/>
                <w:sz w:val="20"/>
                <w:szCs w:val="20"/>
                <w:lang w:val="en-US" w:eastAsia="zh-CN"/>
              </w:rPr>
              <w:t xml:space="preserve"> (%)</w:t>
            </w:r>
          </w:p>
        </w:tc>
        <w:tc>
          <w:tcPr>
            <w:tcW w:w="992" w:type="dxa"/>
            <w:noWrap/>
            <w:vAlign w:val="bottom"/>
          </w:tcPr>
          <w:p w14:paraId="368527F0" w14:textId="77777777" w:rsidR="00C9224B" w:rsidRPr="00F24425" w:rsidRDefault="00C9224B" w:rsidP="00C9224B">
            <w:pPr>
              <w:spacing w:after="0" w:line="240" w:lineRule="auto"/>
              <w:jc w:val="right"/>
              <w:rPr>
                <w:rFonts w:ascii="Times New Roman" w:eastAsia="SimSun" w:hAnsi="Times New Roman" w:cs="Times New Roman"/>
                <w:sz w:val="20"/>
                <w:szCs w:val="20"/>
                <w:lang w:val="en-US" w:eastAsia="zh-CN"/>
              </w:rPr>
            </w:pPr>
            <w:r w:rsidRPr="00F24425">
              <w:rPr>
                <w:rFonts w:ascii="Times New Roman" w:eastAsia="SimSun" w:hAnsi="Times New Roman" w:cs="Times New Roman"/>
                <w:sz w:val="20"/>
                <w:szCs w:val="20"/>
                <w:lang w:val="en-US" w:eastAsia="zh-CN"/>
              </w:rPr>
              <w:t>73.50</w:t>
            </w:r>
          </w:p>
        </w:tc>
        <w:tc>
          <w:tcPr>
            <w:tcW w:w="1276" w:type="dxa"/>
            <w:noWrap/>
            <w:vAlign w:val="bottom"/>
          </w:tcPr>
          <w:p w14:paraId="2D59E39A" w14:textId="77777777" w:rsidR="00C9224B" w:rsidRPr="00F24425" w:rsidRDefault="00C9224B" w:rsidP="00C9224B">
            <w:pPr>
              <w:spacing w:after="0" w:line="240" w:lineRule="auto"/>
              <w:jc w:val="right"/>
              <w:rPr>
                <w:rFonts w:ascii="Times New Roman" w:eastAsia="SimSun" w:hAnsi="Times New Roman" w:cs="Times New Roman"/>
                <w:sz w:val="20"/>
                <w:szCs w:val="20"/>
                <w:lang w:val="en-US" w:eastAsia="zh-CN"/>
              </w:rPr>
            </w:pPr>
            <w:r w:rsidRPr="00F24425">
              <w:rPr>
                <w:rFonts w:ascii="Times New Roman" w:eastAsia="SimSun" w:hAnsi="Times New Roman" w:cs="Times New Roman"/>
                <w:sz w:val="20"/>
                <w:szCs w:val="20"/>
                <w:lang w:val="en-US" w:eastAsia="zh-CN"/>
              </w:rPr>
              <w:t>100.00</w:t>
            </w:r>
          </w:p>
        </w:tc>
        <w:tc>
          <w:tcPr>
            <w:tcW w:w="1134" w:type="dxa"/>
            <w:noWrap/>
            <w:vAlign w:val="bottom"/>
          </w:tcPr>
          <w:p w14:paraId="6C7D545F" w14:textId="77777777" w:rsidR="00C9224B" w:rsidRPr="00F24425" w:rsidRDefault="00C9224B" w:rsidP="00C9224B">
            <w:pPr>
              <w:spacing w:after="0" w:line="240" w:lineRule="auto"/>
              <w:jc w:val="right"/>
              <w:rPr>
                <w:rFonts w:ascii="Times New Roman" w:eastAsia="SimSun" w:hAnsi="Times New Roman" w:cs="Times New Roman"/>
                <w:sz w:val="20"/>
                <w:szCs w:val="20"/>
                <w:lang w:val="en-US" w:eastAsia="zh-CN"/>
              </w:rPr>
            </w:pPr>
            <w:r w:rsidRPr="00F24425">
              <w:rPr>
                <w:rFonts w:ascii="Times New Roman" w:eastAsia="SimSun" w:hAnsi="Times New Roman" w:cs="Times New Roman"/>
                <w:sz w:val="20"/>
                <w:szCs w:val="20"/>
                <w:lang w:val="en-US" w:eastAsia="zh-CN"/>
              </w:rPr>
              <w:t>44.16</w:t>
            </w:r>
          </w:p>
        </w:tc>
        <w:tc>
          <w:tcPr>
            <w:tcW w:w="1078" w:type="dxa"/>
            <w:noWrap/>
            <w:vAlign w:val="bottom"/>
          </w:tcPr>
          <w:p w14:paraId="1F1AC104" w14:textId="77777777" w:rsidR="00C9224B" w:rsidRPr="00F24425" w:rsidRDefault="00C9224B" w:rsidP="00C9224B">
            <w:pPr>
              <w:spacing w:after="0" w:line="240" w:lineRule="auto"/>
              <w:jc w:val="right"/>
              <w:rPr>
                <w:rFonts w:ascii="Times New Roman" w:eastAsia="SimSun" w:hAnsi="Times New Roman" w:cs="Times New Roman"/>
                <w:sz w:val="20"/>
                <w:szCs w:val="20"/>
                <w:lang w:val="en-US" w:eastAsia="zh-CN"/>
              </w:rPr>
            </w:pPr>
            <w:r w:rsidRPr="00F24425">
              <w:rPr>
                <w:rFonts w:ascii="Times New Roman" w:eastAsia="SimSun" w:hAnsi="Times New Roman" w:cs="Times New Roman"/>
                <w:sz w:val="20"/>
                <w:szCs w:val="20"/>
                <w:lang w:val="en-US" w:eastAsia="zh-CN"/>
              </w:rPr>
              <w:t>0.00</w:t>
            </w:r>
          </w:p>
        </w:tc>
        <w:tc>
          <w:tcPr>
            <w:tcW w:w="1136" w:type="dxa"/>
            <w:noWrap/>
            <w:vAlign w:val="bottom"/>
          </w:tcPr>
          <w:p w14:paraId="606B7DB5" w14:textId="77777777" w:rsidR="00C9224B" w:rsidRPr="00F24425" w:rsidRDefault="00C9224B" w:rsidP="00C9224B">
            <w:pPr>
              <w:spacing w:after="0" w:line="240" w:lineRule="auto"/>
              <w:jc w:val="right"/>
              <w:rPr>
                <w:rFonts w:ascii="Times New Roman" w:eastAsia="SimSun" w:hAnsi="Times New Roman" w:cs="Times New Roman"/>
                <w:sz w:val="20"/>
                <w:szCs w:val="20"/>
                <w:lang w:val="en-US" w:eastAsia="zh-CN"/>
              </w:rPr>
            </w:pPr>
            <w:r w:rsidRPr="00F24425">
              <w:rPr>
                <w:rFonts w:ascii="Times New Roman" w:eastAsia="SimSun" w:hAnsi="Times New Roman" w:cs="Times New Roman"/>
                <w:sz w:val="20"/>
                <w:szCs w:val="20"/>
                <w:lang w:val="en-US" w:eastAsia="zh-CN"/>
              </w:rPr>
              <w:t>100.00</w:t>
            </w:r>
          </w:p>
        </w:tc>
      </w:tr>
      <w:tr w:rsidR="00C9224B" w:rsidRPr="00F24425" w14:paraId="60997713" w14:textId="77777777" w:rsidTr="005F3693">
        <w:trPr>
          <w:trHeight w:val="231"/>
        </w:trPr>
        <w:tc>
          <w:tcPr>
            <w:tcW w:w="2594" w:type="dxa"/>
            <w:tcBorders>
              <w:bottom w:val="single" w:sz="6" w:space="0" w:color="auto"/>
            </w:tcBorders>
          </w:tcPr>
          <w:p w14:paraId="3E8EA1E0" w14:textId="77777777" w:rsidR="00C9224B" w:rsidRPr="00F24425" w:rsidRDefault="00C9224B" w:rsidP="00C9224B">
            <w:pPr>
              <w:spacing w:after="0" w:line="240" w:lineRule="auto"/>
              <w:ind w:right="-173"/>
              <w:jc w:val="both"/>
              <w:rPr>
                <w:rFonts w:ascii="Times New Roman" w:eastAsia="SimSun" w:hAnsi="Times New Roman" w:cs="Times New Roman"/>
                <w:sz w:val="20"/>
                <w:szCs w:val="20"/>
                <w:lang w:val="en-US" w:eastAsia="zh-CN"/>
              </w:rPr>
            </w:pPr>
            <w:r w:rsidRPr="00F24425">
              <w:rPr>
                <w:rFonts w:ascii="Times New Roman" w:eastAsia="SimSun" w:hAnsi="Times New Roman" w:cs="Times New Roman"/>
                <w:sz w:val="20"/>
                <w:szCs w:val="20"/>
                <w:lang w:val="en-US" w:eastAsia="zh-CN"/>
              </w:rPr>
              <w:t xml:space="preserve">  CEXP (%)</w:t>
            </w:r>
          </w:p>
        </w:tc>
        <w:tc>
          <w:tcPr>
            <w:tcW w:w="992" w:type="dxa"/>
            <w:tcBorders>
              <w:bottom w:val="single" w:sz="6" w:space="0" w:color="auto"/>
            </w:tcBorders>
            <w:noWrap/>
            <w:vAlign w:val="bottom"/>
          </w:tcPr>
          <w:p w14:paraId="00E4F2C8" w14:textId="77777777" w:rsidR="00C9224B" w:rsidRPr="00F24425" w:rsidRDefault="00C9224B" w:rsidP="00C9224B">
            <w:pPr>
              <w:spacing w:after="0" w:line="240" w:lineRule="auto"/>
              <w:jc w:val="right"/>
              <w:rPr>
                <w:rFonts w:ascii="Times New Roman" w:eastAsia="SimSun" w:hAnsi="Times New Roman" w:cs="Times New Roman"/>
                <w:sz w:val="20"/>
                <w:szCs w:val="20"/>
                <w:lang w:val="en-US" w:eastAsia="zh-CN"/>
              </w:rPr>
            </w:pPr>
            <w:r w:rsidRPr="00F24425">
              <w:rPr>
                <w:rFonts w:ascii="Times New Roman" w:eastAsia="SimSun" w:hAnsi="Times New Roman" w:cs="Times New Roman"/>
                <w:sz w:val="20"/>
                <w:szCs w:val="20"/>
                <w:lang w:val="en-US" w:eastAsia="zh-CN"/>
              </w:rPr>
              <w:t>58.96</w:t>
            </w:r>
          </w:p>
        </w:tc>
        <w:tc>
          <w:tcPr>
            <w:tcW w:w="1276" w:type="dxa"/>
            <w:tcBorders>
              <w:bottom w:val="single" w:sz="6" w:space="0" w:color="auto"/>
            </w:tcBorders>
            <w:noWrap/>
            <w:vAlign w:val="bottom"/>
          </w:tcPr>
          <w:p w14:paraId="6A42A56A" w14:textId="77777777" w:rsidR="00C9224B" w:rsidRPr="00F24425" w:rsidRDefault="00C9224B" w:rsidP="00C9224B">
            <w:pPr>
              <w:spacing w:after="0" w:line="240" w:lineRule="auto"/>
              <w:jc w:val="right"/>
              <w:rPr>
                <w:rFonts w:ascii="Times New Roman" w:eastAsia="SimSun" w:hAnsi="Times New Roman" w:cs="Times New Roman"/>
                <w:sz w:val="20"/>
                <w:szCs w:val="20"/>
                <w:lang w:val="en-US" w:eastAsia="zh-CN"/>
              </w:rPr>
            </w:pPr>
            <w:r w:rsidRPr="00F24425">
              <w:rPr>
                <w:rFonts w:ascii="Times New Roman" w:eastAsia="SimSun" w:hAnsi="Times New Roman" w:cs="Times New Roman"/>
                <w:sz w:val="20"/>
                <w:szCs w:val="20"/>
                <w:lang w:val="en-US" w:eastAsia="zh-CN"/>
              </w:rPr>
              <w:t>59.08</w:t>
            </w:r>
          </w:p>
        </w:tc>
        <w:tc>
          <w:tcPr>
            <w:tcW w:w="1134" w:type="dxa"/>
            <w:tcBorders>
              <w:bottom w:val="single" w:sz="6" w:space="0" w:color="auto"/>
            </w:tcBorders>
            <w:noWrap/>
            <w:vAlign w:val="bottom"/>
          </w:tcPr>
          <w:p w14:paraId="19D0CDA5" w14:textId="77777777" w:rsidR="00C9224B" w:rsidRPr="00F24425" w:rsidRDefault="00C9224B" w:rsidP="00C9224B">
            <w:pPr>
              <w:spacing w:after="0" w:line="240" w:lineRule="auto"/>
              <w:jc w:val="right"/>
              <w:rPr>
                <w:rFonts w:ascii="Times New Roman" w:eastAsia="SimSun" w:hAnsi="Times New Roman" w:cs="Times New Roman"/>
                <w:sz w:val="20"/>
                <w:szCs w:val="20"/>
                <w:lang w:val="en-US" w:eastAsia="zh-CN"/>
              </w:rPr>
            </w:pPr>
            <w:r w:rsidRPr="00F24425">
              <w:rPr>
                <w:rFonts w:ascii="Times New Roman" w:eastAsia="SimSun" w:hAnsi="Times New Roman" w:cs="Times New Roman"/>
                <w:sz w:val="20"/>
                <w:szCs w:val="20"/>
                <w:lang w:val="en-US" w:eastAsia="zh-CN"/>
              </w:rPr>
              <w:t>19.39</w:t>
            </w:r>
          </w:p>
        </w:tc>
        <w:tc>
          <w:tcPr>
            <w:tcW w:w="1078" w:type="dxa"/>
            <w:tcBorders>
              <w:bottom w:val="single" w:sz="6" w:space="0" w:color="auto"/>
            </w:tcBorders>
            <w:noWrap/>
            <w:vAlign w:val="bottom"/>
          </w:tcPr>
          <w:p w14:paraId="7A6DF4BA" w14:textId="77777777" w:rsidR="00C9224B" w:rsidRPr="00F24425" w:rsidRDefault="00C9224B" w:rsidP="00C9224B">
            <w:pPr>
              <w:spacing w:after="0" w:line="240" w:lineRule="auto"/>
              <w:jc w:val="right"/>
              <w:rPr>
                <w:rFonts w:ascii="Times New Roman" w:eastAsia="SimSun" w:hAnsi="Times New Roman" w:cs="Times New Roman"/>
                <w:sz w:val="20"/>
                <w:szCs w:val="20"/>
                <w:lang w:val="en-US" w:eastAsia="zh-CN"/>
              </w:rPr>
            </w:pPr>
            <w:r w:rsidRPr="00F24425">
              <w:rPr>
                <w:rFonts w:ascii="Times New Roman" w:eastAsia="SimSun" w:hAnsi="Times New Roman" w:cs="Times New Roman"/>
                <w:sz w:val="20"/>
                <w:szCs w:val="20"/>
                <w:lang w:val="en-US" w:eastAsia="zh-CN"/>
              </w:rPr>
              <w:t>-73.05</w:t>
            </w:r>
          </w:p>
        </w:tc>
        <w:tc>
          <w:tcPr>
            <w:tcW w:w="1136" w:type="dxa"/>
            <w:tcBorders>
              <w:bottom w:val="single" w:sz="6" w:space="0" w:color="auto"/>
            </w:tcBorders>
            <w:noWrap/>
            <w:vAlign w:val="bottom"/>
          </w:tcPr>
          <w:p w14:paraId="67526FD7" w14:textId="77777777" w:rsidR="00C9224B" w:rsidRPr="00F24425" w:rsidRDefault="00C9224B" w:rsidP="00C9224B">
            <w:pPr>
              <w:spacing w:after="0" w:line="240" w:lineRule="auto"/>
              <w:jc w:val="right"/>
              <w:rPr>
                <w:rFonts w:ascii="Times New Roman" w:eastAsia="SimSun" w:hAnsi="Times New Roman" w:cs="Times New Roman"/>
                <w:sz w:val="20"/>
                <w:szCs w:val="20"/>
                <w:lang w:val="en-US" w:eastAsia="zh-CN"/>
              </w:rPr>
            </w:pPr>
            <w:r w:rsidRPr="00F24425">
              <w:rPr>
                <w:rFonts w:ascii="Times New Roman" w:eastAsia="SimSun" w:hAnsi="Times New Roman" w:cs="Times New Roman"/>
                <w:sz w:val="20"/>
                <w:szCs w:val="20"/>
                <w:lang w:val="en-US" w:eastAsia="zh-CN"/>
              </w:rPr>
              <w:t>98.04</w:t>
            </w:r>
          </w:p>
        </w:tc>
      </w:tr>
      <w:tr w:rsidR="00C9224B" w:rsidRPr="00F24425" w14:paraId="36E9926C" w14:textId="77777777" w:rsidTr="005F3693">
        <w:trPr>
          <w:trHeight w:val="231"/>
        </w:trPr>
        <w:tc>
          <w:tcPr>
            <w:tcW w:w="8210" w:type="dxa"/>
            <w:gridSpan w:val="6"/>
            <w:tcBorders>
              <w:top w:val="single" w:sz="6" w:space="0" w:color="auto"/>
            </w:tcBorders>
          </w:tcPr>
          <w:p w14:paraId="7A7A0A49" w14:textId="77777777" w:rsidR="00C9224B" w:rsidRPr="00F24425" w:rsidRDefault="00C9224B" w:rsidP="00C9224B">
            <w:pPr>
              <w:spacing w:after="0" w:line="240" w:lineRule="auto"/>
              <w:jc w:val="both"/>
              <w:rPr>
                <w:rFonts w:ascii="Times New Roman" w:eastAsia="SimSun" w:hAnsi="Times New Roman" w:cs="Times New Roman"/>
                <w:sz w:val="20"/>
                <w:szCs w:val="20"/>
                <w:lang w:val="en-US" w:eastAsia="zh-CN"/>
              </w:rPr>
            </w:pPr>
            <w:r w:rsidRPr="00F24425">
              <w:rPr>
                <w:rFonts w:ascii="Times New Roman" w:eastAsia="Times New Roman" w:hAnsi="Times New Roman" w:cs="Times New Roman"/>
                <w:sz w:val="20"/>
                <w:szCs w:val="20"/>
                <w:lang w:val="en-US"/>
              </w:rPr>
              <w:t>Please see Table 2 for variable definitions.</w:t>
            </w:r>
          </w:p>
        </w:tc>
      </w:tr>
    </w:tbl>
    <w:p w14:paraId="28F6B731" w14:textId="77777777" w:rsidR="004241ED" w:rsidRPr="00233EC8" w:rsidRDefault="004241ED" w:rsidP="00CB2B95"/>
    <w:p w14:paraId="1BDE9890" w14:textId="77777777" w:rsidR="004241ED" w:rsidRPr="00233EC8" w:rsidRDefault="004241ED" w:rsidP="00CB2B95">
      <w:pPr>
        <w:spacing w:after="0" w:line="240" w:lineRule="auto"/>
        <w:rPr>
          <w:rFonts w:asciiTheme="majorBidi" w:hAnsiTheme="majorBidi" w:cstheme="majorBidi"/>
          <w:b/>
          <w:sz w:val="20"/>
          <w:szCs w:val="20"/>
        </w:rPr>
      </w:pPr>
      <w:r w:rsidRPr="00233EC8">
        <w:rPr>
          <w:rFonts w:asciiTheme="majorBidi" w:hAnsiTheme="majorBidi" w:cstheme="majorBidi"/>
          <w:b/>
          <w:sz w:val="20"/>
          <w:szCs w:val="20"/>
        </w:rPr>
        <w:t xml:space="preserve"> </w:t>
      </w:r>
    </w:p>
    <w:p w14:paraId="458F83E9" w14:textId="77777777" w:rsidR="004241ED" w:rsidRPr="00233EC8" w:rsidRDefault="004241ED" w:rsidP="00CB2B95"/>
    <w:p w14:paraId="2DC452F1" w14:textId="77777777" w:rsidR="004241ED" w:rsidRPr="00233EC8" w:rsidRDefault="004241ED" w:rsidP="00CB2B95">
      <w:r w:rsidRPr="00233EC8">
        <w:rPr>
          <w:rFonts w:asciiTheme="majorBidi" w:hAnsiTheme="majorBidi" w:cstheme="majorBidi"/>
          <w:b/>
          <w:sz w:val="20"/>
          <w:szCs w:val="20"/>
        </w:rPr>
        <w:t xml:space="preserve">                               </w:t>
      </w:r>
    </w:p>
    <w:p w14:paraId="5FAEC476" w14:textId="77777777" w:rsidR="004241ED" w:rsidRPr="00233EC8" w:rsidRDefault="004241ED" w:rsidP="00CB2B95"/>
    <w:p w14:paraId="2DDA5B0A" w14:textId="48B250AB" w:rsidR="004241ED" w:rsidRPr="00233EC8" w:rsidRDefault="004241ED" w:rsidP="00CB2B95"/>
    <w:p w14:paraId="563EEE0C" w14:textId="4C7488A0" w:rsidR="004241ED" w:rsidRPr="00233EC8" w:rsidRDefault="004241ED" w:rsidP="00CB2B95">
      <w:pPr>
        <w:sectPr w:rsidR="004241ED" w:rsidRPr="00233EC8" w:rsidSect="00075214">
          <w:pgSz w:w="11906" w:h="16838"/>
          <w:pgMar w:top="1418" w:right="1304" w:bottom="1304" w:left="1304" w:header="708" w:footer="708" w:gutter="0"/>
          <w:cols w:space="708"/>
          <w:docGrid w:linePitch="360"/>
        </w:sectPr>
      </w:pPr>
    </w:p>
    <w:p w14:paraId="2D9274A6" w14:textId="77777777" w:rsidR="004241ED" w:rsidRDefault="004241ED" w:rsidP="00CB2B95"/>
    <w:tbl>
      <w:tblPr>
        <w:tblStyle w:val="TableGrid12"/>
        <w:tblW w:w="15042" w:type="dxa"/>
        <w:tblInd w:w="-142" w:type="dxa"/>
        <w:tblLook w:val="04A0" w:firstRow="1" w:lastRow="0" w:firstColumn="1" w:lastColumn="0" w:noHBand="0" w:noVBand="1"/>
      </w:tblPr>
      <w:tblGrid>
        <w:gridCol w:w="1843"/>
        <w:gridCol w:w="1499"/>
        <w:gridCol w:w="1572"/>
        <w:gridCol w:w="1345"/>
        <w:gridCol w:w="1490"/>
        <w:gridCol w:w="1547"/>
        <w:gridCol w:w="1559"/>
        <w:gridCol w:w="1345"/>
        <w:gridCol w:w="1490"/>
        <w:gridCol w:w="1352"/>
      </w:tblGrid>
      <w:tr w:rsidR="00010414" w:rsidRPr="00010414" w14:paraId="083580D8" w14:textId="77777777" w:rsidTr="00010414">
        <w:tc>
          <w:tcPr>
            <w:tcW w:w="15042" w:type="dxa"/>
            <w:gridSpan w:val="10"/>
            <w:tcBorders>
              <w:top w:val="nil"/>
              <w:left w:val="nil"/>
              <w:bottom w:val="single" w:sz="2" w:space="0" w:color="auto"/>
              <w:right w:val="nil"/>
            </w:tcBorders>
          </w:tcPr>
          <w:p w14:paraId="64FE3B4A" w14:textId="038A3195" w:rsidR="00010414" w:rsidRPr="00010414" w:rsidRDefault="00010414" w:rsidP="008E705B">
            <w:pPr>
              <w:rPr>
                <w:rFonts w:ascii="Times New Roman" w:hAnsi="Times New Roman" w:cs="Times New Roman"/>
                <w:sz w:val="20"/>
                <w:szCs w:val="20"/>
                <w:lang w:val="en-US" w:eastAsia="zh-CN"/>
              </w:rPr>
            </w:pPr>
            <w:r w:rsidRPr="00010414">
              <w:rPr>
                <w:rFonts w:ascii="Times New Roman" w:eastAsia="Calibri" w:hAnsi="Times New Roman" w:cs="Times New Roman"/>
                <w:b/>
                <w:bCs/>
                <w:sz w:val="20"/>
                <w:szCs w:val="20"/>
                <w:lang w:val="en-US" w:eastAsia="zh-CN"/>
              </w:rPr>
              <w:t xml:space="preserve">Table 4. </w:t>
            </w:r>
            <w:r w:rsidRPr="00010414">
              <w:rPr>
                <w:rFonts w:ascii="Times New Roman" w:eastAsia="Calibri" w:hAnsi="Times New Roman" w:cs="Times New Roman"/>
                <w:sz w:val="20"/>
                <w:szCs w:val="20"/>
                <w:lang w:val="en-US" w:eastAsia="zh-CN"/>
              </w:rPr>
              <w:t xml:space="preserve">Effect of </w:t>
            </w:r>
            <w:r>
              <w:rPr>
                <w:rFonts w:ascii="Times New Roman" w:eastAsia="Calibri" w:hAnsi="Times New Roman" w:cs="Times New Roman"/>
                <w:sz w:val="20"/>
                <w:szCs w:val="20"/>
                <w:lang w:val="en-US" w:eastAsia="zh-CN"/>
              </w:rPr>
              <w:t xml:space="preserve">HEI </w:t>
            </w:r>
            <w:r w:rsidRPr="00010414">
              <w:rPr>
                <w:rFonts w:ascii="Times New Roman" w:eastAsia="Calibri" w:hAnsi="Times New Roman" w:cs="Times New Roman"/>
                <w:sz w:val="20"/>
                <w:szCs w:val="20"/>
                <w:lang w:val="en-US" w:eastAsia="zh-CN"/>
              </w:rPr>
              <w:t>governance quality index (</w:t>
            </w:r>
            <w:r>
              <w:rPr>
                <w:rFonts w:ascii="Times New Roman" w:eastAsia="Calibri" w:hAnsi="Times New Roman" w:cs="Times New Roman"/>
                <w:sz w:val="20"/>
                <w:szCs w:val="20"/>
                <w:lang w:val="en-US" w:eastAsia="zh-CN"/>
              </w:rPr>
              <w:t>HE</w:t>
            </w:r>
            <w:r w:rsidRPr="00010414">
              <w:rPr>
                <w:rFonts w:ascii="Times New Roman" w:eastAsia="Calibri" w:hAnsi="Times New Roman" w:cs="Times New Roman"/>
                <w:sz w:val="20"/>
                <w:szCs w:val="20"/>
                <w:lang w:val="en-US" w:eastAsia="zh-CN"/>
              </w:rPr>
              <w:t>GQI) on risk disclosure</w:t>
            </w:r>
            <w:r w:rsidR="007E539E">
              <w:rPr>
                <w:rFonts w:ascii="Times New Roman" w:eastAsia="Calibri" w:hAnsi="Times New Roman" w:cs="Times New Roman"/>
                <w:sz w:val="20"/>
                <w:szCs w:val="20"/>
                <w:lang w:val="en-US" w:eastAsia="zh-CN"/>
              </w:rPr>
              <w:t>s</w:t>
            </w:r>
            <w:r w:rsidRPr="00010414">
              <w:rPr>
                <w:rFonts w:ascii="Times New Roman" w:eastAsia="Calibri" w:hAnsi="Times New Roman" w:cs="Times New Roman"/>
                <w:sz w:val="20"/>
                <w:szCs w:val="20"/>
                <w:lang w:val="en-US" w:eastAsia="zh-CN"/>
              </w:rPr>
              <w:t>.</w:t>
            </w:r>
          </w:p>
        </w:tc>
      </w:tr>
      <w:tr w:rsidR="00010414" w:rsidRPr="00010414" w14:paraId="7F86FEDF" w14:textId="77777777" w:rsidTr="00010414">
        <w:tc>
          <w:tcPr>
            <w:tcW w:w="1843" w:type="dxa"/>
            <w:tcBorders>
              <w:top w:val="nil"/>
              <w:left w:val="nil"/>
              <w:bottom w:val="single" w:sz="4" w:space="0" w:color="auto"/>
              <w:right w:val="nil"/>
            </w:tcBorders>
          </w:tcPr>
          <w:p w14:paraId="079C94B8" w14:textId="77777777" w:rsidR="00010414" w:rsidRPr="00010414" w:rsidRDefault="00010414" w:rsidP="008E705B">
            <w:pPr>
              <w:rPr>
                <w:rFonts w:ascii="Times New Roman" w:hAnsi="Times New Roman" w:cs="Times New Roman"/>
                <w:sz w:val="20"/>
                <w:szCs w:val="20"/>
              </w:rPr>
            </w:pPr>
            <w:bookmarkStart w:id="15" w:name="_Hlk74821863"/>
            <w:r w:rsidRPr="00010414">
              <w:rPr>
                <w:rFonts w:ascii="Times New Roman" w:hAnsi="Times New Roman" w:cs="Times New Roman"/>
                <w:sz w:val="20"/>
                <w:szCs w:val="20"/>
              </w:rPr>
              <w:t>Dep. Variable</w:t>
            </w:r>
          </w:p>
          <w:p w14:paraId="1D021DCE"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w:t>
            </w:r>
            <w:r w:rsidRPr="00010414">
              <w:rPr>
                <w:rFonts w:ascii="Times New Roman" w:hAnsi="Times New Roman" w:cs="Times New Roman"/>
                <w:i/>
                <w:iCs/>
                <w:sz w:val="20"/>
                <w:szCs w:val="20"/>
              </w:rPr>
              <w:t>Model</w:t>
            </w:r>
            <w:r w:rsidRPr="00010414">
              <w:rPr>
                <w:rFonts w:ascii="Times New Roman" w:hAnsi="Times New Roman" w:cs="Times New Roman"/>
                <w:sz w:val="20"/>
                <w:szCs w:val="20"/>
              </w:rPr>
              <w:t>)</w:t>
            </w:r>
          </w:p>
        </w:tc>
        <w:tc>
          <w:tcPr>
            <w:tcW w:w="1499" w:type="dxa"/>
            <w:tcBorders>
              <w:top w:val="nil"/>
              <w:left w:val="nil"/>
              <w:bottom w:val="single" w:sz="4" w:space="0" w:color="auto"/>
              <w:right w:val="nil"/>
            </w:tcBorders>
          </w:tcPr>
          <w:p w14:paraId="753E1BD5" w14:textId="77777777" w:rsidR="00010414" w:rsidRPr="00010414" w:rsidRDefault="00010414" w:rsidP="008E705B">
            <w:pPr>
              <w:rPr>
                <w:rFonts w:ascii="Times New Roman" w:hAnsi="Times New Roman" w:cs="Times New Roman"/>
                <w:sz w:val="20"/>
                <w:szCs w:val="20"/>
                <w:lang w:val="en-US" w:eastAsia="zh-CN"/>
              </w:rPr>
            </w:pPr>
            <w:r w:rsidRPr="00010414">
              <w:rPr>
                <w:rFonts w:ascii="Times New Roman" w:hAnsi="Times New Roman" w:cs="Times New Roman"/>
                <w:sz w:val="20"/>
                <w:szCs w:val="20"/>
                <w:lang w:val="en-US" w:eastAsia="zh-CN"/>
              </w:rPr>
              <w:t>HERDI</w:t>
            </w:r>
          </w:p>
          <w:p w14:paraId="6ABEBCD4"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lang w:val="en-US" w:eastAsia="zh-CN"/>
              </w:rPr>
              <w:t>(1)</w:t>
            </w:r>
          </w:p>
        </w:tc>
        <w:tc>
          <w:tcPr>
            <w:tcW w:w="1572" w:type="dxa"/>
            <w:tcBorders>
              <w:top w:val="nil"/>
              <w:left w:val="nil"/>
              <w:bottom w:val="single" w:sz="4" w:space="0" w:color="auto"/>
              <w:right w:val="nil"/>
            </w:tcBorders>
          </w:tcPr>
          <w:p w14:paraId="325EF3FF" w14:textId="65D13351" w:rsidR="00010414" w:rsidRPr="00010414" w:rsidRDefault="00010414" w:rsidP="008E705B">
            <w:pPr>
              <w:rPr>
                <w:rFonts w:ascii="Times New Roman" w:hAnsi="Times New Roman" w:cs="Times New Roman"/>
                <w:sz w:val="20"/>
                <w:szCs w:val="20"/>
              </w:rPr>
            </w:pPr>
            <w:r>
              <w:rPr>
                <w:rFonts w:ascii="Times New Roman" w:hAnsi="Times New Roman" w:cs="Times New Roman"/>
                <w:sz w:val="20"/>
                <w:szCs w:val="20"/>
              </w:rPr>
              <w:t>HE</w:t>
            </w:r>
            <w:r w:rsidRPr="00010414">
              <w:rPr>
                <w:rFonts w:ascii="Times New Roman" w:hAnsi="Times New Roman" w:cs="Times New Roman"/>
                <w:sz w:val="20"/>
                <w:szCs w:val="20"/>
              </w:rPr>
              <w:t>RDI</w:t>
            </w:r>
          </w:p>
          <w:p w14:paraId="7FC35573"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(2)</w:t>
            </w:r>
          </w:p>
        </w:tc>
        <w:tc>
          <w:tcPr>
            <w:tcW w:w="1345" w:type="dxa"/>
            <w:tcBorders>
              <w:left w:val="nil"/>
              <w:bottom w:val="single" w:sz="4" w:space="0" w:color="auto"/>
              <w:right w:val="nil"/>
            </w:tcBorders>
          </w:tcPr>
          <w:p w14:paraId="03B2187D" w14:textId="630F117A" w:rsidR="00010414" w:rsidRPr="00010414" w:rsidRDefault="00010414" w:rsidP="008E705B">
            <w:pPr>
              <w:rPr>
                <w:rFonts w:ascii="Times New Roman" w:hAnsi="Times New Roman" w:cs="Times New Roman"/>
                <w:sz w:val="20"/>
                <w:szCs w:val="20"/>
              </w:rPr>
            </w:pPr>
            <w:r>
              <w:rPr>
                <w:rFonts w:ascii="Times New Roman" w:hAnsi="Times New Roman" w:cs="Times New Roman"/>
                <w:sz w:val="20"/>
                <w:szCs w:val="20"/>
              </w:rPr>
              <w:t>HE</w:t>
            </w:r>
            <w:r w:rsidRPr="00010414">
              <w:rPr>
                <w:rFonts w:ascii="Times New Roman" w:hAnsi="Times New Roman" w:cs="Times New Roman"/>
                <w:sz w:val="20"/>
                <w:szCs w:val="20"/>
              </w:rPr>
              <w:t>RDI</w:t>
            </w:r>
          </w:p>
          <w:p w14:paraId="626222B0"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(3)</w:t>
            </w:r>
          </w:p>
        </w:tc>
        <w:tc>
          <w:tcPr>
            <w:tcW w:w="1490" w:type="dxa"/>
            <w:tcBorders>
              <w:left w:val="nil"/>
              <w:bottom w:val="single" w:sz="4" w:space="0" w:color="auto"/>
              <w:right w:val="nil"/>
            </w:tcBorders>
          </w:tcPr>
          <w:p w14:paraId="69D9AB60" w14:textId="5F455CF3" w:rsidR="00010414" w:rsidRPr="00010414" w:rsidRDefault="00010414" w:rsidP="008E705B">
            <w:pPr>
              <w:rPr>
                <w:rFonts w:ascii="Times New Roman" w:hAnsi="Times New Roman" w:cs="Times New Roman"/>
                <w:sz w:val="20"/>
                <w:szCs w:val="20"/>
                <w:lang w:val="en-US"/>
              </w:rPr>
            </w:pPr>
            <w:r>
              <w:rPr>
                <w:rFonts w:ascii="Times New Roman" w:hAnsi="Times New Roman" w:cs="Times New Roman"/>
                <w:sz w:val="20"/>
                <w:szCs w:val="20"/>
                <w:lang w:val="en-US"/>
              </w:rPr>
              <w:t>HE</w:t>
            </w:r>
            <w:r w:rsidRPr="00010414">
              <w:rPr>
                <w:rFonts w:ascii="Times New Roman" w:hAnsi="Times New Roman" w:cs="Times New Roman"/>
                <w:sz w:val="20"/>
                <w:szCs w:val="20"/>
                <w:lang w:val="en-US"/>
              </w:rPr>
              <w:t>RDI</w:t>
            </w:r>
          </w:p>
          <w:p w14:paraId="5E90823A"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lang w:val="en-US"/>
              </w:rPr>
              <w:t>(4)</w:t>
            </w:r>
          </w:p>
        </w:tc>
        <w:tc>
          <w:tcPr>
            <w:tcW w:w="1547" w:type="dxa"/>
            <w:tcBorders>
              <w:left w:val="nil"/>
              <w:bottom w:val="single" w:sz="4" w:space="0" w:color="auto"/>
              <w:right w:val="nil"/>
            </w:tcBorders>
          </w:tcPr>
          <w:p w14:paraId="68E0CAAD" w14:textId="0A42E10B" w:rsidR="00010414" w:rsidRPr="00010414" w:rsidRDefault="00010414" w:rsidP="008E705B">
            <w:p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HE</w:t>
            </w:r>
            <w:r w:rsidRPr="00010414">
              <w:rPr>
                <w:rFonts w:ascii="Times New Roman" w:hAnsi="Times New Roman" w:cs="Times New Roman"/>
                <w:sz w:val="20"/>
                <w:szCs w:val="20"/>
                <w:lang w:val="en-US" w:eastAsia="zh-CN"/>
              </w:rPr>
              <w:t>RDI</w:t>
            </w:r>
          </w:p>
          <w:p w14:paraId="12CC465D"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lang w:val="en-US" w:eastAsia="zh-CN"/>
              </w:rPr>
              <w:t>(5)</w:t>
            </w:r>
          </w:p>
        </w:tc>
        <w:tc>
          <w:tcPr>
            <w:tcW w:w="1559" w:type="dxa"/>
            <w:tcBorders>
              <w:left w:val="nil"/>
              <w:bottom w:val="single" w:sz="4" w:space="0" w:color="auto"/>
              <w:right w:val="nil"/>
            </w:tcBorders>
          </w:tcPr>
          <w:p w14:paraId="41B40666" w14:textId="55AD8ED7" w:rsidR="00010414" w:rsidRPr="00010414" w:rsidRDefault="00010414" w:rsidP="008E705B">
            <w:pPr>
              <w:rPr>
                <w:rFonts w:ascii="Times New Roman" w:hAnsi="Times New Roman" w:cs="Times New Roman"/>
                <w:sz w:val="20"/>
                <w:szCs w:val="20"/>
                <w:lang w:val="en-US"/>
              </w:rPr>
            </w:pPr>
            <w:r>
              <w:rPr>
                <w:rFonts w:ascii="Times New Roman" w:hAnsi="Times New Roman" w:cs="Times New Roman"/>
                <w:sz w:val="20"/>
                <w:szCs w:val="20"/>
                <w:lang w:val="en-US"/>
              </w:rPr>
              <w:t>HE</w:t>
            </w:r>
            <w:r w:rsidRPr="00010414">
              <w:rPr>
                <w:rFonts w:ascii="Times New Roman" w:hAnsi="Times New Roman" w:cs="Times New Roman"/>
                <w:sz w:val="20"/>
                <w:szCs w:val="20"/>
                <w:lang w:val="en-US"/>
              </w:rPr>
              <w:t>RDI</w:t>
            </w:r>
          </w:p>
          <w:p w14:paraId="32663BC4"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lang w:val="en-US"/>
              </w:rPr>
              <w:t>(6)</w:t>
            </w:r>
          </w:p>
        </w:tc>
        <w:tc>
          <w:tcPr>
            <w:tcW w:w="1345" w:type="dxa"/>
            <w:tcBorders>
              <w:left w:val="nil"/>
              <w:bottom w:val="single" w:sz="4" w:space="0" w:color="auto"/>
              <w:right w:val="nil"/>
            </w:tcBorders>
          </w:tcPr>
          <w:p w14:paraId="170F9756" w14:textId="712007F2" w:rsidR="00010414" w:rsidRPr="00010414" w:rsidRDefault="00010414" w:rsidP="008E705B">
            <w:pPr>
              <w:rPr>
                <w:rFonts w:ascii="Times New Roman" w:hAnsi="Times New Roman" w:cs="Times New Roman"/>
                <w:sz w:val="20"/>
                <w:szCs w:val="20"/>
              </w:rPr>
            </w:pPr>
            <w:r>
              <w:rPr>
                <w:rFonts w:ascii="Times New Roman" w:hAnsi="Times New Roman" w:cs="Times New Roman"/>
                <w:sz w:val="20"/>
                <w:szCs w:val="20"/>
              </w:rPr>
              <w:t>HEFRD</w:t>
            </w:r>
          </w:p>
          <w:p w14:paraId="4C2D7C82"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(7)</w:t>
            </w:r>
          </w:p>
        </w:tc>
        <w:tc>
          <w:tcPr>
            <w:tcW w:w="1490" w:type="dxa"/>
            <w:tcBorders>
              <w:left w:val="nil"/>
              <w:bottom w:val="single" w:sz="4" w:space="0" w:color="auto"/>
              <w:right w:val="nil"/>
            </w:tcBorders>
          </w:tcPr>
          <w:p w14:paraId="080E5EE5" w14:textId="466B81B8" w:rsidR="00010414" w:rsidRPr="00010414" w:rsidRDefault="00010414" w:rsidP="008E705B">
            <w:pPr>
              <w:rPr>
                <w:rFonts w:ascii="Times New Roman" w:hAnsi="Times New Roman" w:cs="Times New Roman"/>
                <w:sz w:val="20"/>
                <w:szCs w:val="20"/>
                <w:lang w:eastAsia="zh-CN"/>
              </w:rPr>
            </w:pPr>
            <w:r>
              <w:rPr>
                <w:rFonts w:ascii="Times New Roman" w:hAnsi="Times New Roman" w:cs="Times New Roman"/>
                <w:sz w:val="20"/>
                <w:szCs w:val="20"/>
                <w:lang w:eastAsia="zh-CN"/>
              </w:rPr>
              <w:t>HEORD</w:t>
            </w:r>
          </w:p>
          <w:p w14:paraId="2A5B3E9A" w14:textId="77777777" w:rsidR="00010414" w:rsidRPr="00010414" w:rsidRDefault="00010414" w:rsidP="008E705B">
            <w:pPr>
              <w:rPr>
                <w:rFonts w:ascii="Times New Roman" w:hAnsi="Times New Roman" w:cs="Times New Roman"/>
                <w:sz w:val="20"/>
                <w:szCs w:val="20"/>
                <w:lang w:val="en-US" w:eastAsia="zh-CN"/>
              </w:rPr>
            </w:pPr>
            <w:r w:rsidRPr="00010414">
              <w:rPr>
                <w:rFonts w:ascii="Times New Roman" w:hAnsi="Times New Roman" w:cs="Times New Roman"/>
                <w:sz w:val="20"/>
                <w:szCs w:val="20"/>
                <w:lang w:eastAsia="zh-CN"/>
              </w:rPr>
              <w:t>(8)</w:t>
            </w:r>
          </w:p>
        </w:tc>
        <w:tc>
          <w:tcPr>
            <w:tcW w:w="1352" w:type="dxa"/>
            <w:tcBorders>
              <w:left w:val="nil"/>
              <w:bottom w:val="single" w:sz="4" w:space="0" w:color="auto"/>
              <w:right w:val="nil"/>
            </w:tcBorders>
          </w:tcPr>
          <w:p w14:paraId="097D5165" w14:textId="734F4264" w:rsidR="00010414" w:rsidRPr="00010414" w:rsidRDefault="00010414" w:rsidP="008E705B">
            <w:p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HESRD</w:t>
            </w:r>
          </w:p>
          <w:p w14:paraId="27A8530E" w14:textId="77777777" w:rsidR="00010414" w:rsidRPr="00010414" w:rsidRDefault="00010414" w:rsidP="008E705B">
            <w:pPr>
              <w:rPr>
                <w:rFonts w:ascii="Times New Roman" w:hAnsi="Times New Roman" w:cs="Times New Roman"/>
                <w:sz w:val="20"/>
                <w:szCs w:val="20"/>
                <w:lang w:val="en-US" w:eastAsia="zh-CN"/>
              </w:rPr>
            </w:pPr>
            <w:r w:rsidRPr="00010414">
              <w:rPr>
                <w:rFonts w:ascii="Times New Roman" w:hAnsi="Times New Roman" w:cs="Times New Roman"/>
                <w:sz w:val="20"/>
                <w:szCs w:val="20"/>
                <w:lang w:val="en-US" w:eastAsia="zh-CN"/>
              </w:rPr>
              <w:t>(9)</w:t>
            </w:r>
          </w:p>
        </w:tc>
      </w:tr>
      <w:tr w:rsidR="00010414" w:rsidRPr="00010414" w14:paraId="31DCF785" w14:textId="77777777" w:rsidTr="00010414">
        <w:trPr>
          <w:trHeight w:val="146"/>
        </w:trPr>
        <w:tc>
          <w:tcPr>
            <w:tcW w:w="15042" w:type="dxa"/>
            <w:gridSpan w:val="10"/>
            <w:tcBorders>
              <w:top w:val="single" w:sz="4" w:space="0" w:color="auto"/>
              <w:left w:val="nil"/>
              <w:bottom w:val="nil"/>
              <w:right w:val="nil"/>
            </w:tcBorders>
          </w:tcPr>
          <w:p w14:paraId="446C1471" w14:textId="77777777" w:rsidR="00010414" w:rsidRDefault="00010414" w:rsidP="008E705B">
            <w:pPr>
              <w:rPr>
                <w:rFonts w:ascii="Times New Roman" w:hAnsi="Times New Roman" w:cs="Times New Roman"/>
                <w:i/>
                <w:iCs/>
                <w:sz w:val="20"/>
                <w:szCs w:val="20"/>
              </w:rPr>
            </w:pPr>
          </w:p>
          <w:p w14:paraId="40FC8090" w14:textId="796030EC"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i/>
                <w:iCs/>
                <w:sz w:val="20"/>
                <w:szCs w:val="20"/>
              </w:rPr>
              <w:t>HEI governance quality index:</w:t>
            </w:r>
          </w:p>
        </w:tc>
      </w:tr>
      <w:tr w:rsidR="00010414" w:rsidRPr="00010414" w14:paraId="3FE02058" w14:textId="77777777" w:rsidTr="00010414">
        <w:trPr>
          <w:trHeight w:val="146"/>
        </w:trPr>
        <w:tc>
          <w:tcPr>
            <w:tcW w:w="1843" w:type="dxa"/>
            <w:tcBorders>
              <w:top w:val="nil"/>
              <w:left w:val="nil"/>
              <w:bottom w:val="nil"/>
              <w:right w:val="nil"/>
            </w:tcBorders>
          </w:tcPr>
          <w:p w14:paraId="78ECB974" w14:textId="77777777" w:rsidR="00010414" w:rsidRPr="00010414" w:rsidRDefault="00010414" w:rsidP="008E705B">
            <w:pPr>
              <w:ind w:left="175"/>
              <w:rPr>
                <w:rFonts w:ascii="Times New Roman" w:hAnsi="Times New Roman" w:cs="Times New Roman"/>
                <w:i/>
                <w:iCs/>
                <w:sz w:val="20"/>
                <w:szCs w:val="20"/>
              </w:rPr>
            </w:pPr>
            <w:r w:rsidRPr="00010414">
              <w:rPr>
                <w:rFonts w:ascii="Times New Roman" w:hAnsi="Times New Roman" w:cs="Times New Roman"/>
                <w:sz w:val="20"/>
                <w:szCs w:val="20"/>
              </w:rPr>
              <w:t>GovQuality</w:t>
            </w:r>
          </w:p>
        </w:tc>
        <w:tc>
          <w:tcPr>
            <w:tcW w:w="1499" w:type="dxa"/>
            <w:tcBorders>
              <w:top w:val="nil"/>
              <w:left w:val="nil"/>
              <w:bottom w:val="nil"/>
              <w:right w:val="nil"/>
            </w:tcBorders>
          </w:tcPr>
          <w:p w14:paraId="2C938E81"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0.215(.000)</w:t>
            </w:r>
            <w:r w:rsidRPr="00010414">
              <w:rPr>
                <w:rFonts w:ascii="Times New Roman" w:hAnsi="Times New Roman" w:cs="Times New Roman"/>
                <w:sz w:val="20"/>
                <w:szCs w:val="20"/>
                <w:vertAlign w:val="superscript"/>
              </w:rPr>
              <w:t>***</w:t>
            </w:r>
          </w:p>
        </w:tc>
        <w:tc>
          <w:tcPr>
            <w:tcW w:w="1572" w:type="dxa"/>
            <w:tcBorders>
              <w:top w:val="nil"/>
              <w:left w:val="nil"/>
              <w:bottom w:val="nil"/>
              <w:right w:val="nil"/>
            </w:tcBorders>
          </w:tcPr>
          <w:p w14:paraId="33CEABFA"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0.170(.000)</w:t>
            </w:r>
            <w:r w:rsidRPr="00010414">
              <w:rPr>
                <w:rFonts w:ascii="Times New Roman" w:hAnsi="Times New Roman" w:cs="Times New Roman"/>
                <w:sz w:val="20"/>
                <w:szCs w:val="20"/>
                <w:vertAlign w:val="superscript"/>
              </w:rPr>
              <w:t>***</w:t>
            </w:r>
          </w:p>
        </w:tc>
        <w:tc>
          <w:tcPr>
            <w:tcW w:w="1345" w:type="dxa"/>
            <w:tcBorders>
              <w:top w:val="nil"/>
              <w:left w:val="nil"/>
              <w:bottom w:val="nil"/>
              <w:right w:val="nil"/>
            </w:tcBorders>
          </w:tcPr>
          <w:p w14:paraId="1AA869BE"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0.099(.000)</w:t>
            </w:r>
            <w:r w:rsidRPr="00010414">
              <w:rPr>
                <w:rFonts w:ascii="Times New Roman" w:hAnsi="Times New Roman" w:cs="Times New Roman"/>
                <w:sz w:val="20"/>
                <w:szCs w:val="20"/>
                <w:vertAlign w:val="superscript"/>
              </w:rPr>
              <w:t>***</w:t>
            </w:r>
          </w:p>
        </w:tc>
        <w:tc>
          <w:tcPr>
            <w:tcW w:w="1490" w:type="dxa"/>
            <w:tcBorders>
              <w:top w:val="nil"/>
              <w:left w:val="nil"/>
              <w:bottom w:val="nil"/>
              <w:right w:val="nil"/>
            </w:tcBorders>
          </w:tcPr>
          <w:p w14:paraId="49ED6248"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0.115(.000)</w:t>
            </w:r>
            <w:r w:rsidRPr="00010414">
              <w:rPr>
                <w:rFonts w:ascii="Times New Roman" w:hAnsi="Times New Roman" w:cs="Times New Roman"/>
                <w:sz w:val="20"/>
                <w:szCs w:val="20"/>
                <w:vertAlign w:val="superscript"/>
              </w:rPr>
              <w:t>***</w:t>
            </w:r>
          </w:p>
        </w:tc>
        <w:tc>
          <w:tcPr>
            <w:tcW w:w="1547" w:type="dxa"/>
            <w:tcBorders>
              <w:top w:val="nil"/>
              <w:left w:val="nil"/>
              <w:bottom w:val="nil"/>
              <w:right w:val="nil"/>
            </w:tcBorders>
          </w:tcPr>
          <w:p w14:paraId="32E05034"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0.066(.000)</w:t>
            </w:r>
            <w:r w:rsidRPr="00010414">
              <w:rPr>
                <w:rFonts w:ascii="Times New Roman" w:hAnsi="Times New Roman" w:cs="Times New Roman"/>
                <w:sz w:val="20"/>
                <w:szCs w:val="20"/>
                <w:vertAlign w:val="superscript"/>
              </w:rPr>
              <w:t>***</w:t>
            </w:r>
          </w:p>
        </w:tc>
        <w:tc>
          <w:tcPr>
            <w:tcW w:w="1559" w:type="dxa"/>
            <w:tcBorders>
              <w:top w:val="nil"/>
              <w:left w:val="nil"/>
              <w:bottom w:val="nil"/>
              <w:right w:val="nil"/>
            </w:tcBorders>
          </w:tcPr>
          <w:p w14:paraId="6271B1E1"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0.063(.000)</w:t>
            </w:r>
            <w:r w:rsidRPr="00010414">
              <w:rPr>
                <w:rFonts w:ascii="Times New Roman" w:hAnsi="Times New Roman" w:cs="Times New Roman"/>
                <w:sz w:val="20"/>
                <w:szCs w:val="20"/>
                <w:vertAlign w:val="superscript"/>
              </w:rPr>
              <w:t>***</w:t>
            </w:r>
          </w:p>
        </w:tc>
        <w:tc>
          <w:tcPr>
            <w:tcW w:w="1345" w:type="dxa"/>
            <w:tcBorders>
              <w:top w:val="nil"/>
              <w:left w:val="nil"/>
              <w:bottom w:val="nil"/>
              <w:right w:val="nil"/>
            </w:tcBorders>
          </w:tcPr>
          <w:p w14:paraId="3EC20085"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0.145(.000)</w:t>
            </w:r>
            <w:r w:rsidRPr="00010414">
              <w:rPr>
                <w:rFonts w:ascii="Times New Roman" w:hAnsi="Times New Roman" w:cs="Times New Roman"/>
                <w:sz w:val="20"/>
                <w:szCs w:val="20"/>
                <w:vertAlign w:val="superscript"/>
              </w:rPr>
              <w:t>***</w:t>
            </w:r>
          </w:p>
        </w:tc>
        <w:tc>
          <w:tcPr>
            <w:tcW w:w="1490" w:type="dxa"/>
            <w:tcBorders>
              <w:top w:val="nil"/>
              <w:left w:val="nil"/>
              <w:bottom w:val="nil"/>
              <w:right w:val="nil"/>
            </w:tcBorders>
          </w:tcPr>
          <w:p w14:paraId="339ACADB"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0.231(.000)</w:t>
            </w:r>
            <w:r w:rsidRPr="00010414">
              <w:rPr>
                <w:rFonts w:ascii="Times New Roman" w:hAnsi="Times New Roman" w:cs="Times New Roman"/>
                <w:sz w:val="20"/>
                <w:szCs w:val="20"/>
                <w:vertAlign w:val="superscript"/>
              </w:rPr>
              <w:t>***</w:t>
            </w:r>
          </w:p>
        </w:tc>
        <w:tc>
          <w:tcPr>
            <w:tcW w:w="1352" w:type="dxa"/>
            <w:tcBorders>
              <w:top w:val="nil"/>
              <w:left w:val="nil"/>
              <w:bottom w:val="nil"/>
              <w:right w:val="nil"/>
            </w:tcBorders>
          </w:tcPr>
          <w:p w14:paraId="5464F38C"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0.265(.000)</w:t>
            </w:r>
            <w:r w:rsidRPr="00010414">
              <w:rPr>
                <w:rFonts w:ascii="Times New Roman" w:hAnsi="Times New Roman" w:cs="Times New Roman"/>
                <w:sz w:val="20"/>
                <w:szCs w:val="20"/>
                <w:vertAlign w:val="superscript"/>
              </w:rPr>
              <w:t>***</w:t>
            </w:r>
          </w:p>
        </w:tc>
      </w:tr>
      <w:tr w:rsidR="00010414" w:rsidRPr="00010414" w14:paraId="375E2044" w14:textId="77777777" w:rsidTr="0066392E">
        <w:tc>
          <w:tcPr>
            <w:tcW w:w="15042" w:type="dxa"/>
            <w:gridSpan w:val="10"/>
            <w:tcBorders>
              <w:top w:val="nil"/>
              <w:left w:val="nil"/>
              <w:bottom w:val="nil"/>
              <w:right w:val="nil"/>
            </w:tcBorders>
          </w:tcPr>
          <w:p w14:paraId="4275E929" w14:textId="77777777" w:rsidR="00010414" w:rsidRDefault="00010414" w:rsidP="008E705B">
            <w:pPr>
              <w:ind w:right="-142"/>
              <w:rPr>
                <w:rFonts w:ascii="Times New Roman" w:hAnsi="Times New Roman" w:cs="Times New Roman"/>
                <w:sz w:val="20"/>
                <w:szCs w:val="20"/>
              </w:rPr>
            </w:pPr>
          </w:p>
          <w:p w14:paraId="70EC6150" w14:textId="471EECCF" w:rsidR="00010414" w:rsidRPr="00010414" w:rsidRDefault="00010414" w:rsidP="008E705B">
            <w:pPr>
              <w:ind w:right="-142"/>
              <w:rPr>
                <w:rFonts w:ascii="Times New Roman" w:hAnsi="Times New Roman" w:cs="Times New Roman"/>
                <w:sz w:val="20"/>
                <w:szCs w:val="20"/>
              </w:rPr>
            </w:pPr>
            <w:r w:rsidRPr="00010414">
              <w:rPr>
                <w:rFonts w:ascii="Times New Roman" w:hAnsi="Times New Roman" w:cs="Times New Roman"/>
                <w:i/>
                <w:iCs/>
                <w:sz w:val="20"/>
                <w:szCs w:val="20"/>
              </w:rPr>
              <w:t>Controls (Vice-</w:t>
            </w:r>
            <w:r w:rsidR="00CE617A">
              <w:rPr>
                <w:rFonts w:ascii="Times New Roman" w:hAnsi="Times New Roman" w:cs="Times New Roman"/>
                <w:i/>
                <w:iCs/>
                <w:sz w:val="20"/>
                <w:szCs w:val="20"/>
              </w:rPr>
              <w:t>c</w:t>
            </w:r>
            <w:r w:rsidRPr="00010414">
              <w:rPr>
                <w:rFonts w:ascii="Times New Roman" w:hAnsi="Times New Roman" w:cs="Times New Roman"/>
                <w:i/>
                <w:iCs/>
                <w:sz w:val="20"/>
                <w:szCs w:val="20"/>
              </w:rPr>
              <w:t xml:space="preserve">hancellor (VC) </w:t>
            </w:r>
            <w:r w:rsidR="00CE617A">
              <w:rPr>
                <w:rFonts w:ascii="Times New Roman" w:hAnsi="Times New Roman" w:cs="Times New Roman"/>
                <w:i/>
                <w:iCs/>
                <w:sz w:val="20"/>
                <w:szCs w:val="20"/>
              </w:rPr>
              <w:t>c</w:t>
            </w:r>
            <w:r w:rsidRPr="00010414">
              <w:rPr>
                <w:rFonts w:ascii="Times New Roman" w:hAnsi="Times New Roman" w:cs="Times New Roman"/>
                <w:i/>
                <w:iCs/>
                <w:sz w:val="20"/>
                <w:szCs w:val="20"/>
              </w:rPr>
              <w:t>haracteristics</w:t>
            </w:r>
            <w:r>
              <w:rPr>
                <w:rFonts w:ascii="Times New Roman" w:hAnsi="Times New Roman" w:cs="Times New Roman"/>
                <w:i/>
                <w:iCs/>
                <w:sz w:val="18"/>
                <w:szCs w:val="18"/>
              </w:rPr>
              <w:t>):</w:t>
            </w:r>
          </w:p>
        </w:tc>
      </w:tr>
      <w:tr w:rsidR="00010414" w:rsidRPr="00010414" w14:paraId="5B9788C8" w14:textId="77777777" w:rsidTr="00010414">
        <w:tc>
          <w:tcPr>
            <w:tcW w:w="1843" w:type="dxa"/>
            <w:tcBorders>
              <w:top w:val="nil"/>
              <w:left w:val="nil"/>
              <w:bottom w:val="nil"/>
              <w:right w:val="nil"/>
            </w:tcBorders>
          </w:tcPr>
          <w:p w14:paraId="1445ABAF" w14:textId="5E34DE52" w:rsidR="00010414" w:rsidRPr="00010414" w:rsidRDefault="00010414" w:rsidP="008E705B">
            <w:pPr>
              <w:ind w:left="175"/>
              <w:rPr>
                <w:rFonts w:ascii="Times New Roman" w:hAnsi="Times New Roman" w:cs="Times New Roman"/>
                <w:sz w:val="20"/>
                <w:szCs w:val="20"/>
              </w:rPr>
            </w:pPr>
            <w:r w:rsidRPr="00010414">
              <w:rPr>
                <w:rFonts w:ascii="Times New Roman" w:hAnsi="Times New Roman" w:cs="Times New Roman"/>
                <w:sz w:val="20"/>
                <w:szCs w:val="20"/>
              </w:rPr>
              <w:t>VCAG</w:t>
            </w:r>
            <w:r>
              <w:rPr>
                <w:rFonts w:ascii="Times New Roman" w:hAnsi="Times New Roman" w:cs="Times New Roman"/>
                <w:sz w:val="20"/>
                <w:szCs w:val="20"/>
              </w:rPr>
              <w:t>E</w:t>
            </w:r>
          </w:p>
        </w:tc>
        <w:tc>
          <w:tcPr>
            <w:tcW w:w="1499" w:type="dxa"/>
            <w:tcBorders>
              <w:top w:val="nil"/>
              <w:left w:val="nil"/>
              <w:bottom w:val="nil"/>
              <w:right w:val="nil"/>
            </w:tcBorders>
          </w:tcPr>
          <w:p w14:paraId="4FD818A3"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-0.022(.295)</w:t>
            </w:r>
          </w:p>
        </w:tc>
        <w:tc>
          <w:tcPr>
            <w:tcW w:w="1572" w:type="dxa"/>
            <w:tcBorders>
              <w:top w:val="nil"/>
              <w:left w:val="nil"/>
              <w:bottom w:val="nil"/>
              <w:right w:val="nil"/>
            </w:tcBorders>
          </w:tcPr>
          <w:p w14:paraId="30360AAB"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-0.051(.018)</w:t>
            </w:r>
            <w:r w:rsidRPr="00010414">
              <w:rPr>
                <w:rFonts w:ascii="Times New Roman" w:hAnsi="Times New Roman" w:cs="Times New Roman"/>
                <w:sz w:val="20"/>
                <w:szCs w:val="20"/>
                <w:vertAlign w:val="superscript"/>
              </w:rPr>
              <w:t>**</w:t>
            </w:r>
          </w:p>
        </w:tc>
        <w:tc>
          <w:tcPr>
            <w:tcW w:w="1345" w:type="dxa"/>
            <w:tcBorders>
              <w:top w:val="nil"/>
              <w:left w:val="nil"/>
              <w:bottom w:val="nil"/>
              <w:right w:val="nil"/>
            </w:tcBorders>
          </w:tcPr>
          <w:p w14:paraId="244419B7"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-0.028(.214)</w:t>
            </w:r>
          </w:p>
        </w:tc>
        <w:tc>
          <w:tcPr>
            <w:tcW w:w="1490" w:type="dxa"/>
            <w:tcBorders>
              <w:top w:val="nil"/>
              <w:left w:val="nil"/>
              <w:bottom w:val="nil"/>
              <w:right w:val="nil"/>
            </w:tcBorders>
          </w:tcPr>
          <w:p w14:paraId="639B41EB"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-0.015(.510)</w:t>
            </w:r>
          </w:p>
        </w:tc>
        <w:tc>
          <w:tcPr>
            <w:tcW w:w="1547" w:type="dxa"/>
            <w:tcBorders>
              <w:top w:val="nil"/>
              <w:left w:val="nil"/>
              <w:bottom w:val="nil"/>
              <w:right w:val="nil"/>
            </w:tcBorders>
          </w:tcPr>
          <w:p w14:paraId="563CB64D"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-0.042(.072)</w:t>
            </w:r>
            <w:r w:rsidRPr="00010414">
              <w:rPr>
                <w:rFonts w:ascii="Times New Roman" w:hAnsi="Times New Roman" w:cs="Times New Roman"/>
                <w:sz w:val="20"/>
                <w:szCs w:val="20"/>
                <w:vertAlign w:val="superscript"/>
              </w:rPr>
              <w:t>*</w:t>
            </w:r>
          </w:p>
        </w:tc>
        <w:tc>
          <w:tcPr>
            <w:tcW w:w="1559" w:type="dxa"/>
            <w:tcBorders>
              <w:top w:val="nil"/>
              <w:left w:val="nil"/>
              <w:bottom w:val="nil"/>
              <w:right w:val="nil"/>
            </w:tcBorders>
          </w:tcPr>
          <w:p w14:paraId="722A9152"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-0.054(.016)</w:t>
            </w:r>
            <w:r w:rsidRPr="00010414">
              <w:rPr>
                <w:rFonts w:ascii="Times New Roman" w:hAnsi="Times New Roman" w:cs="Times New Roman"/>
                <w:sz w:val="20"/>
                <w:szCs w:val="20"/>
                <w:vertAlign w:val="superscript"/>
              </w:rPr>
              <w:t>**</w:t>
            </w:r>
          </w:p>
        </w:tc>
        <w:tc>
          <w:tcPr>
            <w:tcW w:w="1345" w:type="dxa"/>
            <w:tcBorders>
              <w:top w:val="nil"/>
              <w:left w:val="nil"/>
              <w:bottom w:val="nil"/>
              <w:right w:val="nil"/>
            </w:tcBorders>
          </w:tcPr>
          <w:p w14:paraId="6615DF76"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-0.029(.273)</w:t>
            </w:r>
          </w:p>
        </w:tc>
        <w:tc>
          <w:tcPr>
            <w:tcW w:w="1490" w:type="dxa"/>
            <w:tcBorders>
              <w:top w:val="nil"/>
              <w:left w:val="nil"/>
              <w:bottom w:val="nil"/>
              <w:right w:val="nil"/>
            </w:tcBorders>
          </w:tcPr>
          <w:p w14:paraId="702AA8A0"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-0.003(.876)</w:t>
            </w:r>
          </w:p>
        </w:tc>
        <w:tc>
          <w:tcPr>
            <w:tcW w:w="1352" w:type="dxa"/>
            <w:tcBorders>
              <w:top w:val="nil"/>
              <w:left w:val="nil"/>
              <w:bottom w:val="nil"/>
              <w:right w:val="nil"/>
            </w:tcBorders>
          </w:tcPr>
          <w:p w14:paraId="2F93FE82" w14:textId="77777777" w:rsidR="00010414" w:rsidRPr="00010414" w:rsidRDefault="00010414" w:rsidP="008E705B">
            <w:pPr>
              <w:ind w:right="-142"/>
              <w:rPr>
                <w:rFonts w:ascii="Times New Roman" w:hAnsi="Times New Roman" w:cs="Times New Roman"/>
                <w:sz w:val="20"/>
                <w:szCs w:val="20"/>
              </w:rPr>
            </w:pPr>
            <w:r w:rsidRPr="00010414">
              <w:rPr>
                <w:rFonts w:ascii="Times New Roman" w:hAnsi="Times New Roman" w:cs="Times New Roman"/>
                <w:sz w:val="20"/>
                <w:szCs w:val="20"/>
              </w:rPr>
              <w:t>-0.114(.000)</w:t>
            </w:r>
            <w:r w:rsidRPr="00010414">
              <w:rPr>
                <w:rFonts w:ascii="Times New Roman" w:hAnsi="Times New Roman" w:cs="Times New Roman"/>
                <w:sz w:val="20"/>
                <w:szCs w:val="20"/>
                <w:vertAlign w:val="superscript"/>
              </w:rPr>
              <w:t>***</w:t>
            </w:r>
          </w:p>
        </w:tc>
      </w:tr>
      <w:tr w:rsidR="00010414" w:rsidRPr="00010414" w14:paraId="17D8EE79" w14:textId="77777777" w:rsidTr="00010414">
        <w:tc>
          <w:tcPr>
            <w:tcW w:w="1843" w:type="dxa"/>
            <w:tcBorders>
              <w:top w:val="nil"/>
              <w:left w:val="nil"/>
              <w:bottom w:val="nil"/>
              <w:right w:val="nil"/>
            </w:tcBorders>
          </w:tcPr>
          <w:p w14:paraId="5F674C67" w14:textId="01748CEB" w:rsidR="00010414" w:rsidRPr="00010414" w:rsidRDefault="00010414" w:rsidP="008E705B">
            <w:pPr>
              <w:ind w:left="175"/>
              <w:rPr>
                <w:rFonts w:ascii="Times New Roman" w:hAnsi="Times New Roman" w:cs="Times New Roman"/>
                <w:sz w:val="20"/>
                <w:szCs w:val="20"/>
              </w:rPr>
            </w:pPr>
            <w:r w:rsidRPr="00010414">
              <w:rPr>
                <w:rFonts w:ascii="Times New Roman" w:hAnsi="Times New Roman" w:cs="Times New Roman"/>
                <w:sz w:val="20"/>
                <w:szCs w:val="20"/>
              </w:rPr>
              <w:t>VCG</w:t>
            </w:r>
            <w:r>
              <w:rPr>
                <w:rFonts w:ascii="Times New Roman" w:hAnsi="Times New Roman" w:cs="Times New Roman"/>
                <w:sz w:val="20"/>
                <w:szCs w:val="20"/>
              </w:rPr>
              <w:t>EN</w:t>
            </w:r>
          </w:p>
        </w:tc>
        <w:tc>
          <w:tcPr>
            <w:tcW w:w="1499" w:type="dxa"/>
            <w:tcBorders>
              <w:top w:val="nil"/>
              <w:left w:val="nil"/>
              <w:bottom w:val="nil"/>
              <w:right w:val="nil"/>
            </w:tcBorders>
          </w:tcPr>
          <w:p w14:paraId="18EAECE7"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-0.003(.569)</w:t>
            </w:r>
          </w:p>
        </w:tc>
        <w:tc>
          <w:tcPr>
            <w:tcW w:w="1572" w:type="dxa"/>
            <w:tcBorders>
              <w:top w:val="nil"/>
              <w:left w:val="nil"/>
              <w:bottom w:val="nil"/>
              <w:right w:val="nil"/>
            </w:tcBorders>
          </w:tcPr>
          <w:p w14:paraId="078F1976"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-0.003(.433)</w:t>
            </w:r>
          </w:p>
        </w:tc>
        <w:tc>
          <w:tcPr>
            <w:tcW w:w="1345" w:type="dxa"/>
            <w:tcBorders>
              <w:top w:val="nil"/>
              <w:left w:val="nil"/>
              <w:bottom w:val="nil"/>
              <w:right w:val="nil"/>
            </w:tcBorders>
          </w:tcPr>
          <w:p w14:paraId="17D0788B"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-0.003(.460)</w:t>
            </w:r>
          </w:p>
        </w:tc>
        <w:tc>
          <w:tcPr>
            <w:tcW w:w="1490" w:type="dxa"/>
            <w:tcBorders>
              <w:top w:val="nil"/>
              <w:left w:val="nil"/>
              <w:bottom w:val="nil"/>
              <w:right w:val="nil"/>
            </w:tcBorders>
          </w:tcPr>
          <w:p w14:paraId="33AD3A93"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0.002(.618)</w:t>
            </w:r>
          </w:p>
        </w:tc>
        <w:tc>
          <w:tcPr>
            <w:tcW w:w="1547" w:type="dxa"/>
            <w:tcBorders>
              <w:top w:val="nil"/>
              <w:left w:val="nil"/>
              <w:bottom w:val="nil"/>
              <w:right w:val="nil"/>
            </w:tcBorders>
          </w:tcPr>
          <w:p w14:paraId="17ACD739"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-0.003(.469</w:t>
            </w:r>
          </w:p>
        </w:tc>
        <w:tc>
          <w:tcPr>
            <w:tcW w:w="1559" w:type="dxa"/>
            <w:tcBorders>
              <w:top w:val="nil"/>
              <w:left w:val="nil"/>
              <w:bottom w:val="nil"/>
              <w:right w:val="nil"/>
            </w:tcBorders>
          </w:tcPr>
          <w:p w14:paraId="5CC95390"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-0.001(.893)</w:t>
            </w:r>
          </w:p>
        </w:tc>
        <w:tc>
          <w:tcPr>
            <w:tcW w:w="1345" w:type="dxa"/>
            <w:tcBorders>
              <w:top w:val="nil"/>
              <w:left w:val="nil"/>
              <w:bottom w:val="nil"/>
              <w:right w:val="nil"/>
            </w:tcBorders>
          </w:tcPr>
          <w:p w14:paraId="32979B72"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0.003(.568)</w:t>
            </w:r>
          </w:p>
        </w:tc>
        <w:tc>
          <w:tcPr>
            <w:tcW w:w="1490" w:type="dxa"/>
            <w:tcBorders>
              <w:top w:val="nil"/>
              <w:left w:val="nil"/>
              <w:bottom w:val="nil"/>
              <w:right w:val="nil"/>
            </w:tcBorders>
          </w:tcPr>
          <w:p w14:paraId="7D333FF9"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-0.003(.475)</w:t>
            </w:r>
          </w:p>
        </w:tc>
        <w:tc>
          <w:tcPr>
            <w:tcW w:w="1352" w:type="dxa"/>
            <w:tcBorders>
              <w:top w:val="nil"/>
              <w:left w:val="nil"/>
              <w:bottom w:val="nil"/>
              <w:right w:val="nil"/>
            </w:tcBorders>
          </w:tcPr>
          <w:p w14:paraId="322A3250"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-0.009(.140)</w:t>
            </w:r>
          </w:p>
        </w:tc>
      </w:tr>
      <w:tr w:rsidR="00010414" w:rsidRPr="00010414" w14:paraId="549C6FC7" w14:textId="77777777" w:rsidTr="00010414">
        <w:tc>
          <w:tcPr>
            <w:tcW w:w="1843" w:type="dxa"/>
            <w:tcBorders>
              <w:top w:val="nil"/>
              <w:left w:val="nil"/>
              <w:bottom w:val="nil"/>
              <w:right w:val="nil"/>
            </w:tcBorders>
          </w:tcPr>
          <w:p w14:paraId="78414F67" w14:textId="389688CD" w:rsidR="00010414" w:rsidRPr="00010414" w:rsidRDefault="00010414" w:rsidP="008E705B">
            <w:pPr>
              <w:ind w:left="175"/>
              <w:rPr>
                <w:rFonts w:ascii="Times New Roman" w:hAnsi="Times New Roman" w:cs="Times New Roman"/>
                <w:sz w:val="20"/>
                <w:szCs w:val="20"/>
              </w:rPr>
            </w:pPr>
            <w:r w:rsidRPr="00010414">
              <w:rPr>
                <w:rFonts w:ascii="Times New Roman" w:hAnsi="Times New Roman" w:cs="Times New Roman"/>
                <w:sz w:val="20"/>
                <w:szCs w:val="20"/>
              </w:rPr>
              <w:t>VCA</w:t>
            </w:r>
            <w:r>
              <w:rPr>
                <w:rFonts w:ascii="Times New Roman" w:hAnsi="Times New Roman" w:cs="Times New Roman"/>
                <w:sz w:val="20"/>
                <w:szCs w:val="20"/>
              </w:rPr>
              <w:t>C</w:t>
            </w:r>
            <w:r w:rsidRPr="00010414">
              <w:rPr>
                <w:rFonts w:ascii="Times New Roman" w:hAnsi="Times New Roman" w:cs="Times New Roman"/>
                <w:sz w:val="20"/>
                <w:szCs w:val="20"/>
              </w:rPr>
              <w:t>D</w:t>
            </w:r>
          </w:p>
        </w:tc>
        <w:tc>
          <w:tcPr>
            <w:tcW w:w="1499" w:type="dxa"/>
            <w:tcBorders>
              <w:top w:val="nil"/>
              <w:left w:val="nil"/>
              <w:bottom w:val="nil"/>
              <w:right w:val="nil"/>
            </w:tcBorders>
          </w:tcPr>
          <w:p w14:paraId="7C900C23"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0.001(.515)</w:t>
            </w:r>
          </w:p>
        </w:tc>
        <w:tc>
          <w:tcPr>
            <w:tcW w:w="1572" w:type="dxa"/>
            <w:tcBorders>
              <w:top w:val="nil"/>
              <w:left w:val="nil"/>
              <w:bottom w:val="nil"/>
              <w:right w:val="nil"/>
            </w:tcBorders>
          </w:tcPr>
          <w:p w14:paraId="3D2EA64F"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0.001(.449)</w:t>
            </w:r>
          </w:p>
        </w:tc>
        <w:tc>
          <w:tcPr>
            <w:tcW w:w="1345" w:type="dxa"/>
            <w:tcBorders>
              <w:top w:val="nil"/>
              <w:left w:val="nil"/>
              <w:bottom w:val="nil"/>
              <w:right w:val="nil"/>
            </w:tcBorders>
          </w:tcPr>
          <w:p w14:paraId="41AEE776"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0.001(.252)</w:t>
            </w:r>
          </w:p>
        </w:tc>
        <w:tc>
          <w:tcPr>
            <w:tcW w:w="1490" w:type="dxa"/>
            <w:tcBorders>
              <w:top w:val="nil"/>
              <w:left w:val="nil"/>
              <w:bottom w:val="nil"/>
              <w:right w:val="nil"/>
            </w:tcBorders>
          </w:tcPr>
          <w:p w14:paraId="6DF26DA2"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0.000(.631)</w:t>
            </w:r>
          </w:p>
        </w:tc>
        <w:tc>
          <w:tcPr>
            <w:tcW w:w="1547" w:type="dxa"/>
            <w:tcBorders>
              <w:top w:val="nil"/>
              <w:left w:val="nil"/>
              <w:bottom w:val="nil"/>
              <w:right w:val="nil"/>
            </w:tcBorders>
          </w:tcPr>
          <w:p w14:paraId="0864E2E8"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0.001(.465)</w:t>
            </w:r>
          </w:p>
        </w:tc>
        <w:tc>
          <w:tcPr>
            <w:tcW w:w="1559" w:type="dxa"/>
            <w:tcBorders>
              <w:top w:val="nil"/>
              <w:left w:val="nil"/>
              <w:bottom w:val="nil"/>
              <w:right w:val="nil"/>
            </w:tcBorders>
          </w:tcPr>
          <w:p w14:paraId="216185EC"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0.001(.454)</w:t>
            </w:r>
          </w:p>
        </w:tc>
        <w:tc>
          <w:tcPr>
            <w:tcW w:w="1345" w:type="dxa"/>
            <w:tcBorders>
              <w:top w:val="nil"/>
              <w:left w:val="nil"/>
              <w:bottom w:val="nil"/>
              <w:right w:val="nil"/>
            </w:tcBorders>
          </w:tcPr>
          <w:p w14:paraId="355B6595"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-0.002(.140)</w:t>
            </w:r>
          </w:p>
        </w:tc>
        <w:tc>
          <w:tcPr>
            <w:tcW w:w="1490" w:type="dxa"/>
            <w:tcBorders>
              <w:top w:val="nil"/>
              <w:left w:val="nil"/>
              <w:bottom w:val="nil"/>
              <w:right w:val="nil"/>
            </w:tcBorders>
          </w:tcPr>
          <w:p w14:paraId="0E54DD79"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0.001(.158)</w:t>
            </w:r>
          </w:p>
        </w:tc>
        <w:tc>
          <w:tcPr>
            <w:tcW w:w="1352" w:type="dxa"/>
            <w:tcBorders>
              <w:top w:val="nil"/>
              <w:left w:val="nil"/>
              <w:bottom w:val="nil"/>
              <w:right w:val="nil"/>
            </w:tcBorders>
          </w:tcPr>
          <w:p w14:paraId="68C1245A"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0.001(.471)</w:t>
            </w:r>
          </w:p>
        </w:tc>
      </w:tr>
      <w:tr w:rsidR="00010414" w:rsidRPr="00010414" w14:paraId="1D2D905D" w14:textId="77777777" w:rsidTr="00010414">
        <w:tc>
          <w:tcPr>
            <w:tcW w:w="1843" w:type="dxa"/>
            <w:tcBorders>
              <w:top w:val="nil"/>
              <w:left w:val="nil"/>
              <w:bottom w:val="nil"/>
              <w:right w:val="nil"/>
            </w:tcBorders>
          </w:tcPr>
          <w:p w14:paraId="10791264" w14:textId="214DA72F" w:rsidR="00010414" w:rsidRPr="00010414" w:rsidRDefault="00010414" w:rsidP="008E705B">
            <w:pPr>
              <w:ind w:left="175"/>
              <w:rPr>
                <w:rFonts w:ascii="Times New Roman" w:hAnsi="Times New Roman" w:cs="Times New Roman"/>
                <w:sz w:val="20"/>
                <w:szCs w:val="20"/>
              </w:rPr>
            </w:pPr>
            <w:r w:rsidRPr="00010414">
              <w:rPr>
                <w:rFonts w:ascii="Times New Roman" w:hAnsi="Times New Roman" w:cs="Times New Roman"/>
                <w:sz w:val="20"/>
                <w:szCs w:val="20"/>
              </w:rPr>
              <w:t>VCT</w:t>
            </w:r>
            <w:r>
              <w:rPr>
                <w:rFonts w:ascii="Times New Roman" w:hAnsi="Times New Roman" w:cs="Times New Roman"/>
                <w:sz w:val="20"/>
                <w:szCs w:val="20"/>
              </w:rPr>
              <w:t>E</w:t>
            </w:r>
            <w:r w:rsidRPr="00010414">
              <w:rPr>
                <w:rFonts w:ascii="Times New Roman" w:hAnsi="Times New Roman" w:cs="Times New Roman"/>
                <w:sz w:val="20"/>
                <w:szCs w:val="20"/>
              </w:rPr>
              <w:t>N</w:t>
            </w:r>
          </w:p>
        </w:tc>
        <w:tc>
          <w:tcPr>
            <w:tcW w:w="1499" w:type="dxa"/>
            <w:tcBorders>
              <w:top w:val="nil"/>
              <w:left w:val="nil"/>
              <w:bottom w:val="nil"/>
              <w:right w:val="nil"/>
            </w:tcBorders>
          </w:tcPr>
          <w:p w14:paraId="0FC34BCA"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0.000(.904)</w:t>
            </w:r>
          </w:p>
        </w:tc>
        <w:tc>
          <w:tcPr>
            <w:tcW w:w="1572" w:type="dxa"/>
            <w:tcBorders>
              <w:top w:val="nil"/>
              <w:left w:val="nil"/>
              <w:bottom w:val="nil"/>
              <w:right w:val="nil"/>
            </w:tcBorders>
          </w:tcPr>
          <w:p w14:paraId="523F4678"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0.002(.477)</w:t>
            </w:r>
          </w:p>
        </w:tc>
        <w:tc>
          <w:tcPr>
            <w:tcW w:w="1345" w:type="dxa"/>
            <w:tcBorders>
              <w:top w:val="nil"/>
              <w:left w:val="nil"/>
              <w:bottom w:val="nil"/>
              <w:right w:val="nil"/>
            </w:tcBorders>
          </w:tcPr>
          <w:p w14:paraId="607F4B60"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0.000(.975)</w:t>
            </w:r>
          </w:p>
        </w:tc>
        <w:tc>
          <w:tcPr>
            <w:tcW w:w="1490" w:type="dxa"/>
            <w:tcBorders>
              <w:top w:val="nil"/>
              <w:left w:val="nil"/>
              <w:bottom w:val="nil"/>
              <w:right w:val="nil"/>
            </w:tcBorders>
          </w:tcPr>
          <w:p w14:paraId="0E7B7D4A"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0.001(.671)</w:t>
            </w:r>
          </w:p>
        </w:tc>
        <w:tc>
          <w:tcPr>
            <w:tcW w:w="1547" w:type="dxa"/>
            <w:tcBorders>
              <w:top w:val="nil"/>
              <w:left w:val="nil"/>
              <w:bottom w:val="nil"/>
              <w:right w:val="nil"/>
            </w:tcBorders>
          </w:tcPr>
          <w:p w14:paraId="32824A70"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0.001(.878)</w:t>
            </w:r>
          </w:p>
        </w:tc>
        <w:tc>
          <w:tcPr>
            <w:tcW w:w="1559" w:type="dxa"/>
            <w:tcBorders>
              <w:top w:val="nil"/>
              <w:left w:val="nil"/>
              <w:bottom w:val="nil"/>
              <w:right w:val="nil"/>
            </w:tcBorders>
          </w:tcPr>
          <w:p w14:paraId="4B6E7A43"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0.001(.870)</w:t>
            </w:r>
          </w:p>
        </w:tc>
        <w:tc>
          <w:tcPr>
            <w:tcW w:w="1345" w:type="dxa"/>
            <w:tcBorders>
              <w:top w:val="nil"/>
              <w:left w:val="nil"/>
              <w:bottom w:val="nil"/>
              <w:right w:val="nil"/>
            </w:tcBorders>
          </w:tcPr>
          <w:p w14:paraId="6855326E"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-0.006(.161)</w:t>
            </w:r>
          </w:p>
        </w:tc>
        <w:tc>
          <w:tcPr>
            <w:tcW w:w="1490" w:type="dxa"/>
            <w:tcBorders>
              <w:top w:val="nil"/>
              <w:left w:val="nil"/>
              <w:bottom w:val="nil"/>
              <w:right w:val="nil"/>
            </w:tcBorders>
          </w:tcPr>
          <w:p w14:paraId="277C9ADA"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0.000(.889)</w:t>
            </w:r>
          </w:p>
        </w:tc>
        <w:tc>
          <w:tcPr>
            <w:tcW w:w="1352" w:type="dxa"/>
            <w:tcBorders>
              <w:top w:val="nil"/>
              <w:left w:val="nil"/>
              <w:bottom w:val="nil"/>
              <w:right w:val="nil"/>
            </w:tcBorders>
          </w:tcPr>
          <w:p w14:paraId="724D5E75"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0.005(.280)</w:t>
            </w:r>
          </w:p>
        </w:tc>
      </w:tr>
      <w:tr w:rsidR="00010414" w:rsidRPr="00010414" w14:paraId="6FDDA7DA" w14:textId="77777777" w:rsidTr="00C939D1">
        <w:tc>
          <w:tcPr>
            <w:tcW w:w="15042" w:type="dxa"/>
            <w:gridSpan w:val="10"/>
            <w:tcBorders>
              <w:top w:val="nil"/>
              <w:left w:val="nil"/>
              <w:bottom w:val="nil"/>
              <w:right w:val="nil"/>
            </w:tcBorders>
          </w:tcPr>
          <w:p w14:paraId="7766E444" w14:textId="77777777" w:rsidR="00010414" w:rsidRDefault="00010414" w:rsidP="008E705B">
            <w:pPr>
              <w:rPr>
                <w:rFonts w:ascii="Times New Roman" w:hAnsi="Times New Roman" w:cs="Times New Roman"/>
                <w:sz w:val="20"/>
                <w:szCs w:val="20"/>
              </w:rPr>
            </w:pPr>
          </w:p>
          <w:p w14:paraId="305960A7" w14:textId="48B4BBDB"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i/>
                <w:iCs/>
                <w:sz w:val="20"/>
                <w:szCs w:val="20"/>
              </w:rPr>
              <w:t>Controls (general HEI characteristics):</w:t>
            </w:r>
          </w:p>
        </w:tc>
      </w:tr>
      <w:tr w:rsidR="00010414" w:rsidRPr="00010414" w14:paraId="0DCF8428" w14:textId="77777777" w:rsidTr="00010414">
        <w:tc>
          <w:tcPr>
            <w:tcW w:w="1843" w:type="dxa"/>
            <w:tcBorders>
              <w:top w:val="nil"/>
              <w:left w:val="nil"/>
              <w:bottom w:val="nil"/>
              <w:right w:val="nil"/>
            </w:tcBorders>
          </w:tcPr>
          <w:p w14:paraId="7807FBF3" w14:textId="77777777" w:rsidR="00010414" w:rsidRPr="00010414" w:rsidRDefault="00010414" w:rsidP="008E705B">
            <w:pPr>
              <w:ind w:left="175"/>
              <w:rPr>
                <w:rFonts w:ascii="Times New Roman" w:eastAsia="SimSun" w:hAnsi="Times New Roman" w:cs="Times New Roman"/>
                <w:sz w:val="20"/>
                <w:szCs w:val="20"/>
                <w:lang w:val="en-US"/>
              </w:rPr>
            </w:pPr>
            <w:r w:rsidRPr="00010414">
              <w:rPr>
                <w:rFonts w:ascii="Times New Roman" w:eastAsia="SimSun" w:hAnsi="Times New Roman" w:cs="Times New Roman"/>
                <w:sz w:val="20"/>
                <w:szCs w:val="20"/>
                <w:lang w:val="en-US"/>
              </w:rPr>
              <w:t>POST-92</w:t>
            </w:r>
          </w:p>
        </w:tc>
        <w:tc>
          <w:tcPr>
            <w:tcW w:w="1499" w:type="dxa"/>
            <w:tcBorders>
              <w:top w:val="nil"/>
              <w:left w:val="nil"/>
              <w:bottom w:val="nil"/>
              <w:right w:val="nil"/>
            </w:tcBorders>
          </w:tcPr>
          <w:p w14:paraId="65599402"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0.005(.297)</w:t>
            </w:r>
          </w:p>
        </w:tc>
        <w:tc>
          <w:tcPr>
            <w:tcW w:w="1572" w:type="dxa"/>
            <w:tcBorders>
              <w:top w:val="nil"/>
              <w:left w:val="nil"/>
              <w:bottom w:val="nil"/>
              <w:right w:val="nil"/>
            </w:tcBorders>
          </w:tcPr>
          <w:p w14:paraId="388FFEF2"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0.005(.301)</w:t>
            </w:r>
          </w:p>
        </w:tc>
        <w:tc>
          <w:tcPr>
            <w:tcW w:w="1345" w:type="dxa"/>
            <w:tcBorders>
              <w:top w:val="nil"/>
              <w:left w:val="nil"/>
              <w:bottom w:val="nil"/>
              <w:right w:val="nil"/>
            </w:tcBorders>
          </w:tcPr>
          <w:p w14:paraId="07346B2D"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0.005(.377)</w:t>
            </w:r>
          </w:p>
        </w:tc>
        <w:tc>
          <w:tcPr>
            <w:tcW w:w="1490" w:type="dxa"/>
            <w:tcBorders>
              <w:top w:val="nil"/>
              <w:left w:val="nil"/>
              <w:bottom w:val="nil"/>
              <w:right w:val="nil"/>
            </w:tcBorders>
          </w:tcPr>
          <w:p w14:paraId="010047FC"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0.006(.239)</w:t>
            </w:r>
          </w:p>
        </w:tc>
        <w:tc>
          <w:tcPr>
            <w:tcW w:w="1547" w:type="dxa"/>
            <w:tcBorders>
              <w:top w:val="nil"/>
              <w:left w:val="nil"/>
              <w:bottom w:val="nil"/>
              <w:right w:val="nil"/>
            </w:tcBorders>
          </w:tcPr>
          <w:p w14:paraId="02D64F97"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0.006(.246)</w:t>
            </w:r>
          </w:p>
        </w:tc>
        <w:tc>
          <w:tcPr>
            <w:tcW w:w="1559" w:type="dxa"/>
            <w:tcBorders>
              <w:top w:val="nil"/>
              <w:left w:val="nil"/>
              <w:bottom w:val="nil"/>
              <w:right w:val="nil"/>
            </w:tcBorders>
          </w:tcPr>
          <w:p w14:paraId="72B7FA71"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-0.002(.807)</w:t>
            </w:r>
          </w:p>
        </w:tc>
        <w:tc>
          <w:tcPr>
            <w:tcW w:w="1345" w:type="dxa"/>
            <w:tcBorders>
              <w:top w:val="nil"/>
              <w:left w:val="nil"/>
              <w:bottom w:val="nil"/>
              <w:right w:val="nil"/>
            </w:tcBorders>
          </w:tcPr>
          <w:p w14:paraId="170FBB4C"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-0.007(.279)</w:t>
            </w:r>
          </w:p>
        </w:tc>
        <w:tc>
          <w:tcPr>
            <w:tcW w:w="1490" w:type="dxa"/>
            <w:tcBorders>
              <w:top w:val="nil"/>
              <w:left w:val="nil"/>
              <w:bottom w:val="nil"/>
              <w:right w:val="nil"/>
            </w:tcBorders>
          </w:tcPr>
          <w:p w14:paraId="51910FAD"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0.009(.074)</w:t>
            </w:r>
            <w:r w:rsidRPr="00010414">
              <w:rPr>
                <w:rFonts w:ascii="Times New Roman" w:hAnsi="Times New Roman" w:cs="Times New Roman"/>
                <w:sz w:val="20"/>
                <w:szCs w:val="20"/>
                <w:vertAlign w:val="superscript"/>
              </w:rPr>
              <w:t>*</w:t>
            </w:r>
          </w:p>
        </w:tc>
        <w:tc>
          <w:tcPr>
            <w:tcW w:w="1352" w:type="dxa"/>
            <w:tcBorders>
              <w:top w:val="nil"/>
              <w:left w:val="nil"/>
              <w:bottom w:val="nil"/>
              <w:right w:val="nil"/>
            </w:tcBorders>
          </w:tcPr>
          <w:p w14:paraId="45133B1C"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0.006(.376)</w:t>
            </w:r>
          </w:p>
        </w:tc>
      </w:tr>
      <w:tr w:rsidR="00010414" w:rsidRPr="00010414" w14:paraId="00F2CA4B" w14:textId="77777777" w:rsidTr="00010414">
        <w:tc>
          <w:tcPr>
            <w:tcW w:w="1843" w:type="dxa"/>
            <w:tcBorders>
              <w:top w:val="nil"/>
              <w:left w:val="nil"/>
              <w:bottom w:val="nil"/>
              <w:right w:val="nil"/>
            </w:tcBorders>
          </w:tcPr>
          <w:p w14:paraId="6D0DA3FB" w14:textId="77777777" w:rsidR="00010414" w:rsidRPr="00010414" w:rsidRDefault="00010414" w:rsidP="008E705B">
            <w:pPr>
              <w:ind w:left="175"/>
              <w:rPr>
                <w:rFonts w:ascii="Times New Roman" w:eastAsia="SimSun" w:hAnsi="Times New Roman" w:cs="Times New Roman"/>
                <w:sz w:val="20"/>
                <w:szCs w:val="20"/>
                <w:lang w:val="en-US"/>
              </w:rPr>
            </w:pPr>
            <w:r w:rsidRPr="00010414">
              <w:rPr>
                <w:rFonts w:ascii="Times New Roman" w:eastAsia="SimSun" w:hAnsi="Times New Roman" w:cs="Times New Roman"/>
                <w:sz w:val="20"/>
                <w:szCs w:val="20"/>
                <w:lang w:val="en-US"/>
              </w:rPr>
              <w:t>RUSSG</w:t>
            </w:r>
          </w:p>
        </w:tc>
        <w:tc>
          <w:tcPr>
            <w:tcW w:w="1499" w:type="dxa"/>
            <w:tcBorders>
              <w:top w:val="nil"/>
              <w:left w:val="nil"/>
              <w:bottom w:val="nil"/>
              <w:right w:val="nil"/>
            </w:tcBorders>
          </w:tcPr>
          <w:p w14:paraId="3F58CFE4"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0.026(.000)</w:t>
            </w:r>
            <w:r w:rsidRPr="00010414">
              <w:rPr>
                <w:rFonts w:ascii="Times New Roman" w:hAnsi="Times New Roman" w:cs="Times New Roman"/>
                <w:sz w:val="20"/>
                <w:szCs w:val="20"/>
                <w:vertAlign w:val="superscript"/>
              </w:rPr>
              <w:t>***</w:t>
            </w:r>
          </w:p>
        </w:tc>
        <w:tc>
          <w:tcPr>
            <w:tcW w:w="1572" w:type="dxa"/>
            <w:tcBorders>
              <w:top w:val="nil"/>
              <w:left w:val="nil"/>
              <w:bottom w:val="nil"/>
              <w:right w:val="nil"/>
            </w:tcBorders>
          </w:tcPr>
          <w:p w14:paraId="4D2C3378"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0.026(.000)</w:t>
            </w:r>
            <w:r w:rsidRPr="00010414">
              <w:rPr>
                <w:rFonts w:ascii="Times New Roman" w:hAnsi="Times New Roman" w:cs="Times New Roman"/>
                <w:sz w:val="20"/>
                <w:szCs w:val="20"/>
                <w:vertAlign w:val="superscript"/>
              </w:rPr>
              <w:t>***</w:t>
            </w:r>
          </w:p>
        </w:tc>
        <w:tc>
          <w:tcPr>
            <w:tcW w:w="1345" w:type="dxa"/>
            <w:tcBorders>
              <w:top w:val="nil"/>
              <w:left w:val="nil"/>
              <w:bottom w:val="nil"/>
              <w:right w:val="nil"/>
            </w:tcBorders>
          </w:tcPr>
          <w:p w14:paraId="33BF7409"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0.026(.000)</w:t>
            </w:r>
            <w:r w:rsidRPr="00010414">
              <w:rPr>
                <w:rFonts w:ascii="Times New Roman" w:hAnsi="Times New Roman" w:cs="Times New Roman"/>
                <w:sz w:val="20"/>
                <w:szCs w:val="20"/>
                <w:vertAlign w:val="superscript"/>
              </w:rPr>
              <w:t>***</w:t>
            </w:r>
          </w:p>
        </w:tc>
        <w:tc>
          <w:tcPr>
            <w:tcW w:w="1490" w:type="dxa"/>
            <w:tcBorders>
              <w:top w:val="nil"/>
              <w:left w:val="nil"/>
              <w:bottom w:val="nil"/>
              <w:right w:val="nil"/>
            </w:tcBorders>
          </w:tcPr>
          <w:p w14:paraId="52D35742"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0.020(.000)</w:t>
            </w:r>
            <w:r w:rsidRPr="00010414">
              <w:rPr>
                <w:rFonts w:ascii="Times New Roman" w:hAnsi="Times New Roman" w:cs="Times New Roman"/>
                <w:sz w:val="20"/>
                <w:szCs w:val="20"/>
                <w:vertAlign w:val="superscript"/>
              </w:rPr>
              <w:t>***</w:t>
            </w:r>
          </w:p>
        </w:tc>
        <w:tc>
          <w:tcPr>
            <w:tcW w:w="1547" w:type="dxa"/>
            <w:tcBorders>
              <w:top w:val="nil"/>
              <w:left w:val="nil"/>
              <w:bottom w:val="nil"/>
              <w:right w:val="nil"/>
            </w:tcBorders>
          </w:tcPr>
          <w:p w14:paraId="10C75E97"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0.024(.000)</w:t>
            </w:r>
            <w:r w:rsidRPr="00010414">
              <w:rPr>
                <w:rFonts w:ascii="Times New Roman" w:hAnsi="Times New Roman" w:cs="Times New Roman"/>
                <w:sz w:val="20"/>
                <w:szCs w:val="20"/>
                <w:vertAlign w:val="superscript"/>
              </w:rPr>
              <w:t>***</w:t>
            </w:r>
          </w:p>
        </w:tc>
        <w:tc>
          <w:tcPr>
            <w:tcW w:w="1559" w:type="dxa"/>
            <w:tcBorders>
              <w:top w:val="nil"/>
              <w:left w:val="nil"/>
              <w:bottom w:val="nil"/>
              <w:right w:val="nil"/>
            </w:tcBorders>
          </w:tcPr>
          <w:p w14:paraId="4B8471A4"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0.020(.000)</w:t>
            </w:r>
            <w:r w:rsidRPr="00010414">
              <w:rPr>
                <w:rFonts w:ascii="Times New Roman" w:hAnsi="Times New Roman" w:cs="Times New Roman"/>
                <w:sz w:val="20"/>
                <w:szCs w:val="20"/>
                <w:vertAlign w:val="superscript"/>
              </w:rPr>
              <w:t>***</w:t>
            </w:r>
          </w:p>
        </w:tc>
        <w:tc>
          <w:tcPr>
            <w:tcW w:w="1345" w:type="dxa"/>
            <w:tcBorders>
              <w:top w:val="nil"/>
              <w:left w:val="nil"/>
              <w:bottom w:val="nil"/>
              <w:right w:val="nil"/>
            </w:tcBorders>
          </w:tcPr>
          <w:p w14:paraId="33086F8E"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0.028(.000)</w:t>
            </w:r>
            <w:r w:rsidRPr="00010414">
              <w:rPr>
                <w:rFonts w:ascii="Times New Roman" w:hAnsi="Times New Roman" w:cs="Times New Roman"/>
                <w:sz w:val="20"/>
                <w:szCs w:val="20"/>
                <w:vertAlign w:val="superscript"/>
              </w:rPr>
              <w:t>***</w:t>
            </w:r>
          </w:p>
        </w:tc>
        <w:tc>
          <w:tcPr>
            <w:tcW w:w="1490" w:type="dxa"/>
            <w:tcBorders>
              <w:top w:val="nil"/>
              <w:left w:val="nil"/>
              <w:bottom w:val="nil"/>
              <w:right w:val="nil"/>
            </w:tcBorders>
          </w:tcPr>
          <w:p w14:paraId="65AC5F4B"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0.023(.000)</w:t>
            </w:r>
            <w:r w:rsidRPr="00010414">
              <w:rPr>
                <w:rFonts w:ascii="Times New Roman" w:hAnsi="Times New Roman" w:cs="Times New Roman"/>
                <w:sz w:val="20"/>
                <w:szCs w:val="20"/>
                <w:vertAlign w:val="superscript"/>
              </w:rPr>
              <w:t>***</w:t>
            </w:r>
          </w:p>
        </w:tc>
        <w:tc>
          <w:tcPr>
            <w:tcW w:w="1352" w:type="dxa"/>
            <w:tcBorders>
              <w:top w:val="nil"/>
              <w:left w:val="nil"/>
              <w:bottom w:val="nil"/>
              <w:right w:val="nil"/>
            </w:tcBorders>
          </w:tcPr>
          <w:p w14:paraId="20D0AFBE"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0.037(.000)</w:t>
            </w:r>
            <w:r w:rsidRPr="00010414">
              <w:rPr>
                <w:rFonts w:ascii="Times New Roman" w:hAnsi="Times New Roman" w:cs="Times New Roman"/>
                <w:sz w:val="20"/>
                <w:szCs w:val="20"/>
                <w:vertAlign w:val="superscript"/>
              </w:rPr>
              <w:t>***</w:t>
            </w:r>
          </w:p>
        </w:tc>
      </w:tr>
      <w:tr w:rsidR="00010414" w:rsidRPr="00010414" w14:paraId="6716241B" w14:textId="77777777" w:rsidTr="00010414">
        <w:trPr>
          <w:trHeight w:val="127"/>
        </w:trPr>
        <w:tc>
          <w:tcPr>
            <w:tcW w:w="1843" w:type="dxa"/>
            <w:tcBorders>
              <w:top w:val="nil"/>
              <w:left w:val="nil"/>
              <w:bottom w:val="nil"/>
              <w:right w:val="nil"/>
            </w:tcBorders>
          </w:tcPr>
          <w:p w14:paraId="7D47508C" w14:textId="3CE73D14" w:rsidR="00010414" w:rsidRPr="00010414" w:rsidRDefault="00010414" w:rsidP="008E705B">
            <w:pPr>
              <w:ind w:left="175"/>
              <w:rPr>
                <w:rFonts w:ascii="Times New Roman" w:eastAsia="SimSun" w:hAnsi="Times New Roman" w:cs="Times New Roman"/>
                <w:sz w:val="20"/>
                <w:szCs w:val="20"/>
                <w:lang w:val="en-US"/>
              </w:rPr>
            </w:pPr>
            <w:r w:rsidRPr="00010414">
              <w:rPr>
                <w:rFonts w:ascii="Times New Roman" w:eastAsia="SimSun" w:hAnsi="Times New Roman" w:cs="Times New Roman"/>
                <w:sz w:val="20"/>
                <w:szCs w:val="20"/>
                <w:lang w:val="en-US"/>
              </w:rPr>
              <w:t>HEISZ</w:t>
            </w:r>
            <w:r>
              <w:rPr>
                <w:rFonts w:ascii="Times New Roman" w:eastAsia="SimSun" w:hAnsi="Times New Roman" w:cs="Times New Roman"/>
                <w:sz w:val="20"/>
                <w:szCs w:val="20"/>
                <w:lang w:val="en-US"/>
              </w:rPr>
              <w:t>E</w:t>
            </w:r>
          </w:p>
        </w:tc>
        <w:tc>
          <w:tcPr>
            <w:tcW w:w="1499" w:type="dxa"/>
            <w:tcBorders>
              <w:top w:val="nil"/>
              <w:left w:val="nil"/>
              <w:bottom w:val="nil"/>
              <w:right w:val="nil"/>
            </w:tcBorders>
          </w:tcPr>
          <w:p w14:paraId="33E9F8A2"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0.008(.000)</w:t>
            </w:r>
            <w:r w:rsidRPr="00010414">
              <w:rPr>
                <w:rFonts w:ascii="Times New Roman" w:hAnsi="Times New Roman" w:cs="Times New Roman"/>
                <w:sz w:val="20"/>
                <w:szCs w:val="20"/>
                <w:vertAlign w:val="superscript"/>
              </w:rPr>
              <w:t>***</w:t>
            </w:r>
          </w:p>
        </w:tc>
        <w:tc>
          <w:tcPr>
            <w:tcW w:w="1572" w:type="dxa"/>
            <w:tcBorders>
              <w:top w:val="nil"/>
              <w:left w:val="nil"/>
              <w:bottom w:val="nil"/>
              <w:right w:val="nil"/>
            </w:tcBorders>
          </w:tcPr>
          <w:p w14:paraId="31F421EA"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0.008(.000)</w:t>
            </w:r>
            <w:r w:rsidRPr="00010414">
              <w:rPr>
                <w:rFonts w:ascii="Times New Roman" w:hAnsi="Times New Roman" w:cs="Times New Roman"/>
                <w:sz w:val="20"/>
                <w:szCs w:val="20"/>
                <w:vertAlign w:val="superscript"/>
              </w:rPr>
              <w:t>***</w:t>
            </w:r>
          </w:p>
        </w:tc>
        <w:tc>
          <w:tcPr>
            <w:tcW w:w="1345" w:type="dxa"/>
            <w:tcBorders>
              <w:top w:val="nil"/>
              <w:left w:val="nil"/>
              <w:bottom w:val="nil"/>
              <w:right w:val="nil"/>
            </w:tcBorders>
          </w:tcPr>
          <w:p w14:paraId="7DC5D749"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0.010(.000)</w:t>
            </w:r>
            <w:r w:rsidRPr="00010414">
              <w:rPr>
                <w:rFonts w:ascii="Times New Roman" w:hAnsi="Times New Roman" w:cs="Times New Roman"/>
                <w:sz w:val="20"/>
                <w:szCs w:val="20"/>
                <w:vertAlign w:val="superscript"/>
              </w:rPr>
              <w:t>***</w:t>
            </w:r>
          </w:p>
        </w:tc>
        <w:tc>
          <w:tcPr>
            <w:tcW w:w="1490" w:type="dxa"/>
            <w:tcBorders>
              <w:top w:val="nil"/>
              <w:left w:val="nil"/>
              <w:bottom w:val="nil"/>
              <w:right w:val="nil"/>
            </w:tcBorders>
          </w:tcPr>
          <w:p w14:paraId="29E0FE16"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0.010(.000)</w:t>
            </w:r>
            <w:r w:rsidRPr="00010414">
              <w:rPr>
                <w:rFonts w:ascii="Times New Roman" w:hAnsi="Times New Roman" w:cs="Times New Roman"/>
                <w:sz w:val="20"/>
                <w:szCs w:val="20"/>
                <w:vertAlign w:val="superscript"/>
              </w:rPr>
              <w:t>***</w:t>
            </w:r>
          </w:p>
        </w:tc>
        <w:tc>
          <w:tcPr>
            <w:tcW w:w="1547" w:type="dxa"/>
            <w:tcBorders>
              <w:top w:val="nil"/>
              <w:left w:val="nil"/>
              <w:bottom w:val="nil"/>
              <w:right w:val="nil"/>
            </w:tcBorders>
          </w:tcPr>
          <w:p w14:paraId="3780617E"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0.010(.000)</w:t>
            </w:r>
            <w:r w:rsidRPr="00010414">
              <w:rPr>
                <w:rFonts w:ascii="Times New Roman" w:hAnsi="Times New Roman" w:cs="Times New Roman"/>
                <w:sz w:val="20"/>
                <w:szCs w:val="20"/>
                <w:vertAlign w:val="superscript"/>
              </w:rPr>
              <w:t>***</w:t>
            </w:r>
          </w:p>
        </w:tc>
        <w:tc>
          <w:tcPr>
            <w:tcW w:w="1559" w:type="dxa"/>
            <w:tcBorders>
              <w:top w:val="nil"/>
              <w:left w:val="nil"/>
              <w:bottom w:val="nil"/>
              <w:right w:val="nil"/>
            </w:tcBorders>
          </w:tcPr>
          <w:p w14:paraId="5328EDE6"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0.013(.000)</w:t>
            </w:r>
            <w:r w:rsidRPr="00010414">
              <w:rPr>
                <w:rFonts w:ascii="Times New Roman" w:hAnsi="Times New Roman" w:cs="Times New Roman"/>
                <w:sz w:val="20"/>
                <w:szCs w:val="20"/>
                <w:vertAlign w:val="superscript"/>
              </w:rPr>
              <w:t>***</w:t>
            </w:r>
          </w:p>
        </w:tc>
        <w:tc>
          <w:tcPr>
            <w:tcW w:w="1345" w:type="dxa"/>
            <w:tcBorders>
              <w:top w:val="nil"/>
              <w:left w:val="nil"/>
              <w:bottom w:val="nil"/>
              <w:right w:val="nil"/>
            </w:tcBorders>
          </w:tcPr>
          <w:p w14:paraId="643B6333"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0.013(.000)</w:t>
            </w:r>
            <w:r w:rsidRPr="00010414">
              <w:rPr>
                <w:rFonts w:ascii="Times New Roman" w:hAnsi="Times New Roman" w:cs="Times New Roman"/>
                <w:sz w:val="20"/>
                <w:szCs w:val="20"/>
                <w:vertAlign w:val="superscript"/>
              </w:rPr>
              <w:t>***</w:t>
            </w:r>
          </w:p>
        </w:tc>
        <w:tc>
          <w:tcPr>
            <w:tcW w:w="1490" w:type="dxa"/>
            <w:tcBorders>
              <w:top w:val="nil"/>
              <w:left w:val="nil"/>
              <w:bottom w:val="nil"/>
              <w:right w:val="nil"/>
            </w:tcBorders>
          </w:tcPr>
          <w:p w14:paraId="555982C7"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0.005(.011)</w:t>
            </w:r>
            <w:r w:rsidRPr="00010414">
              <w:rPr>
                <w:rFonts w:ascii="Times New Roman" w:hAnsi="Times New Roman" w:cs="Times New Roman"/>
                <w:sz w:val="20"/>
                <w:szCs w:val="20"/>
                <w:vertAlign w:val="superscript"/>
              </w:rPr>
              <w:t>**</w:t>
            </w:r>
          </w:p>
        </w:tc>
        <w:tc>
          <w:tcPr>
            <w:tcW w:w="1352" w:type="dxa"/>
            <w:tcBorders>
              <w:top w:val="nil"/>
              <w:left w:val="nil"/>
              <w:bottom w:val="nil"/>
              <w:right w:val="nil"/>
            </w:tcBorders>
          </w:tcPr>
          <w:p w14:paraId="65FAF1AB"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0.010(.000)</w:t>
            </w:r>
            <w:r w:rsidRPr="00010414">
              <w:rPr>
                <w:rFonts w:ascii="Times New Roman" w:hAnsi="Times New Roman" w:cs="Times New Roman"/>
                <w:sz w:val="20"/>
                <w:szCs w:val="20"/>
                <w:vertAlign w:val="superscript"/>
              </w:rPr>
              <w:t>***</w:t>
            </w:r>
          </w:p>
        </w:tc>
      </w:tr>
      <w:tr w:rsidR="00010414" w:rsidRPr="00010414" w14:paraId="1F788753" w14:textId="77777777" w:rsidTr="00010414">
        <w:trPr>
          <w:trHeight w:val="127"/>
        </w:trPr>
        <w:tc>
          <w:tcPr>
            <w:tcW w:w="1843" w:type="dxa"/>
            <w:tcBorders>
              <w:top w:val="nil"/>
              <w:left w:val="nil"/>
              <w:bottom w:val="nil"/>
              <w:right w:val="nil"/>
            </w:tcBorders>
          </w:tcPr>
          <w:p w14:paraId="57740ABB" w14:textId="6F790F5F" w:rsidR="00010414" w:rsidRPr="00010414" w:rsidRDefault="00010414" w:rsidP="008E705B">
            <w:pPr>
              <w:ind w:left="175"/>
              <w:rPr>
                <w:rFonts w:ascii="Times New Roman" w:eastAsia="SimSun" w:hAnsi="Times New Roman" w:cs="Times New Roman"/>
                <w:sz w:val="20"/>
                <w:szCs w:val="20"/>
                <w:lang w:val="en-US"/>
              </w:rPr>
            </w:pPr>
            <w:r w:rsidRPr="00010414">
              <w:rPr>
                <w:rFonts w:ascii="Times New Roman" w:eastAsia="SimSun" w:hAnsi="Times New Roman" w:cs="Times New Roman"/>
                <w:sz w:val="20"/>
                <w:szCs w:val="20"/>
                <w:lang w:val="en-US"/>
              </w:rPr>
              <w:t>HEIAG</w:t>
            </w:r>
            <w:r>
              <w:rPr>
                <w:rFonts w:ascii="Times New Roman" w:eastAsia="SimSun" w:hAnsi="Times New Roman" w:cs="Times New Roman"/>
                <w:sz w:val="20"/>
                <w:szCs w:val="20"/>
                <w:lang w:val="en-US"/>
              </w:rPr>
              <w:t>E</w:t>
            </w:r>
          </w:p>
        </w:tc>
        <w:tc>
          <w:tcPr>
            <w:tcW w:w="1499" w:type="dxa"/>
            <w:tcBorders>
              <w:top w:val="nil"/>
              <w:left w:val="nil"/>
              <w:bottom w:val="nil"/>
              <w:right w:val="nil"/>
            </w:tcBorders>
          </w:tcPr>
          <w:p w14:paraId="19CC897E"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0.005(.010)</w:t>
            </w:r>
            <w:r w:rsidRPr="00010414">
              <w:rPr>
                <w:rFonts w:ascii="Times New Roman" w:hAnsi="Times New Roman" w:cs="Times New Roman"/>
                <w:sz w:val="20"/>
                <w:szCs w:val="20"/>
                <w:vertAlign w:val="superscript"/>
              </w:rPr>
              <w:t>***</w:t>
            </w:r>
          </w:p>
        </w:tc>
        <w:tc>
          <w:tcPr>
            <w:tcW w:w="1572" w:type="dxa"/>
            <w:tcBorders>
              <w:top w:val="nil"/>
              <w:left w:val="nil"/>
              <w:bottom w:val="nil"/>
              <w:right w:val="nil"/>
            </w:tcBorders>
          </w:tcPr>
          <w:p w14:paraId="56C36D48"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0.007(.000)</w:t>
            </w:r>
            <w:r w:rsidRPr="00010414">
              <w:rPr>
                <w:rFonts w:ascii="Times New Roman" w:hAnsi="Times New Roman" w:cs="Times New Roman"/>
                <w:sz w:val="20"/>
                <w:szCs w:val="20"/>
                <w:vertAlign w:val="superscript"/>
              </w:rPr>
              <w:t>***</w:t>
            </w:r>
          </w:p>
        </w:tc>
        <w:tc>
          <w:tcPr>
            <w:tcW w:w="1345" w:type="dxa"/>
            <w:tcBorders>
              <w:top w:val="nil"/>
              <w:left w:val="nil"/>
              <w:bottom w:val="nil"/>
              <w:right w:val="nil"/>
            </w:tcBorders>
          </w:tcPr>
          <w:p w14:paraId="22443A13"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0.006(.006)</w:t>
            </w:r>
            <w:r w:rsidRPr="00010414">
              <w:rPr>
                <w:rFonts w:ascii="Times New Roman" w:hAnsi="Times New Roman" w:cs="Times New Roman"/>
                <w:sz w:val="20"/>
                <w:szCs w:val="20"/>
                <w:vertAlign w:val="superscript"/>
              </w:rPr>
              <w:t>***</w:t>
            </w:r>
          </w:p>
        </w:tc>
        <w:tc>
          <w:tcPr>
            <w:tcW w:w="1490" w:type="dxa"/>
            <w:tcBorders>
              <w:top w:val="nil"/>
              <w:left w:val="nil"/>
              <w:bottom w:val="nil"/>
              <w:right w:val="nil"/>
            </w:tcBorders>
          </w:tcPr>
          <w:p w14:paraId="2E74B95B"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0.007(.000)</w:t>
            </w:r>
            <w:r w:rsidRPr="00010414">
              <w:rPr>
                <w:rFonts w:ascii="Times New Roman" w:hAnsi="Times New Roman" w:cs="Times New Roman"/>
                <w:sz w:val="20"/>
                <w:szCs w:val="20"/>
                <w:vertAlign w:val="superscript"/>
              </w:rPr>
              <w:t>***</w:t>
            </w:r>
          </w:p>
        </w:tc>
        <w:tc>
          <w:tcPr>
            <w:tcW w:w="1547" w:type="dxa"/>
            <w:tcBorders>
              <w:top w:val="nil"/>
              <w:left w:val="nil"/>
              <w:bottom w:val="nil"/>
              <w:right w:val="nil"/>
            </w:tcBorders>
          </w:tcPr>
          <w:p w14:paraId="4EF7925A"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0.007(.002)</w:t>
            </w:r>
            <w:r w:rsidRPr="00010414">
              <w:rPr>
                <w:rFonts w:ascii="Times New Roman" w:hAnsi="Times New Roman" w:cs="Times New Roman"/>
                <w:sz w:val="20"/>
                <w:szCs w:val="20"/>
                <w:vertAlign w:val="superscript"/>
              </w:rPr>
              <w:t>***</w:t>
            </w:r>
          </w:p>
        </w:tc>
        <w:tc>
          <w:tcPr>
            <w:tcW w:w="1559" w:type="dxa"/>
            <w:tcBorders>
              <w:top w:val="nil"/>
              <w:left w:val="nil"/>
              <w:bottom w:val="nil"/>
              <w:right w:val="nil"/>
            </w:tcBorders>
          </w:tcPr>
          <w:p w14:paraId="0AB66CAD"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0.006(.010)</w:t>
            </w:r>
            <w:r w:rsidRPr="00010414">
              <w:rPr>
                <w:rFonts w:ascii="Times New Roman" w:hAnsi="Times New Roman" w:cs="Times New Roman"/>
                <w:sz w:val="20"/>
                <w:szCs w:val="20"/>
                <w:vertAlign w:val="superscript"/>
              </w:rPr>
              <w:t>***</w:t>
            </w:r>
          </w:p>
        </w:tc>
        <w:tc>
          <w:tcPr>
            <w:tcW w:w="1345" w:type="dxa"/>
            <w:tcBorders>
              <w:top w:val="nil"/>
              <w:left w:val="nil"/>
              <w:bottom w:val="nil"/>
              <w:right w:val="nil"/>
            </w:tcBorders>
          </w:tcPr>
          <w:p w14:paraId="1373E47E"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0.008(.002)</w:t>
            </w:r>
            <w:r w:rsidRPr="00010414">
              <w:rPr>
                <w:rFonts w:ascii="Times New Roman" w:hAnsi="Times New Roman" w:cs="Times New Roman"/>
                <w:sz w:val="20"/>
                <w:szCs w:val="20"/>
                <w:vertAlign w:val="superscript"/>
              </w:rPr>
              <w:t>***</w:t>
            </w:r>
          </w:p>
        </w:tc>
        <w:tc>
          <w:tcPr>
            <w:tcW w:w="1490" w:type="dxa"/>
            <w:tcBorders>
              <w:top w:val="nil"/>
              <w:left w:val="nil"/>
              <w:bottom w:val="nil"/>
              <w:right w:val="nil"/>
            </w:tcBorders>
          </w:tcPr>
          <w:p w14:paraId="60117FBA"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0.004(.066)</w:t>
            </w:r>
            <w:r w:rsidRPr="00010414">
              <w:rPr>
                <w:rFonts w:ascii="Times New Roman" w:hAnsi="Times New Roman" w:cs="Times New Roman"/>
                <w:sz w:val="20"/>
                <w:szCs w:val="20"/>
                <w:vertAlign w:val="superscript"/>
              </w:rPr>
              <w:t>*</w:t>
            </w:r>
          </w:p>
        </w:tc>
        <w:tc>
          <w:tcPr>
            <w:tcW w:w="1352" w:type="dxa"/>
            <w:tcBorders>
              <w:top w:val="nil"/>
              <w:left w:val="nil"/>
              <w:bottom w:val="nil"/>
              <w:right w:val="nil"/>
            </w:tcBorders>
          </w:tcPr>
          <w:p w14:paraId="1A5DE720"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0.008(.011)</w:t>
            </w:r>
            <w:r w:rsidRPr="00010414">
              <w:rPr>
                <w:rFonts w:ascii="Times New Roman" w:hAnsi="Times New Roman" w:cs="Times New Roman"/>
                <w:sz w:val="20"/>
                <w:szCs w:val="20"/>
                <w:vertAlign w:val="superscript"/>
              </w:rPr>
              <w:t>**</w:t>
            </w:r>
          </w:p>
        </w:tc>
      </w:tr>
      <w:tr w:rsidR="00010414" w:rsidRPr="00010414" w14:paraId="2C690ED8" w14:textId="77777777" w:rsidTr="00010414">
        <w:trPr>
          <w:trHeight w:val="173"/>
        </w:trPr>
        <w:tc>
          <w:tcPr>
            <w:tcW w:w="1843" w:type="dxa"/>
            <w:tcBorders>
              <w:top w:val="nil"/>
              <w:left w:val="nil"/>
              <w:bottom w:val="nil"/>
              <w:right w:val="nil"/>
            </w:tcBorders>
          </w:tcPr>
          <w:p w14:paraId="6DEC46AD" w14:textId="77777777" w:rsidR="00010414" w:rsidRPr="00010414" w:rsidRDefault="00010414" w:rsidP="008E705B">
            <w:pPr>
              <w:ind w:left="175"/>
              <w:rPr>
                <w:rFonts w:ascii="Times New Roman" w:hAnsi="Times New Roman" w:cs="Times New Roman"/>
                <w:sz w:val="20"/>
                <w:szCs w:val="20"/>
              </w:rPr>
            </w:pPr>
            <w:r w:rsidRPr="00010414">
              <w:rPr>
                <w:rFonts w:ascii="Times New Roman" w:hAnsi="Times New Roman" w:cs="Times New Roman"/>
                <w:sz w:val="20"/>
                <w:szCs w:val="20"/>
              </w:rPr>
              <w:t>LEVE</w:t>
            </w:r>
          </w:p>
        </w:tc>
        <w:tc>
          <w:tcPr>
            <w:tcW w:w="1499" w:type="dxa"/>
            <w:tcBorders>
              <w:top w:val="nil"/>
              <w:left w:val="nil"/>
              <w:bottom w:val="nil"/>
              <w:right w:val="nil"/>
            </w:tcBorders>
          </w:tcPr>
          <w:p w14:paraId="1C605EA6"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0.022(.123)</w:t>
            </w:r>
          </w:p>
        </w:tc>
        <w:tc>
          <w:tcPr>
            <w:tcW w:w="1572" w:type="dxa"/>
            <w:tcBorders>
              <w:top w:val="nil"/>
              <w:left w:val="nil"/>
              <w:bottom w:val="nil"/>
              <w:right w:val="nil"/>
            </w:tcBorders>
          </w:tcPr>
          <w:p w14:paraId="381BCD43"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0.013(.354)</w:t>
            </w:r>
          </w:p>
        </w:tc>
        <w:tc>
          <w:tcPr>
            <w:tcW w:w="1345" w:type="dxa"/>
            <w:tcBorders>
              <w:top w:val="nil"/>
              <w:left w:val="nil"/>
              <w:bottom w:val="nil"/>
              <w:right w:val="nil"/>
            </w:tcBorders>
          </w:tcPr>
          <w:p w14:paraId="1D9E5DB5"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0.023(.129)</w:t>
            </w:r>
          </w:p>
        </w:tc>
        <w:tc>
          <w:tcPr>
            <w:tcW w:w="1490" w:type="dxa"/>
            <w:tcBorders>
              <w:top w:val="nil"/>
              <w:left w:val="nil"/>
              <w:bottom w:val="nil"/>
              <w:right w:val="nil"/>
            </w:tcBorders>
          </w:tcPr>
          <w:p w14:paraId="5F7D9E7A"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0.029(.051)</w:t>
            </w:r>
            <w:r w:rsidRPr="00010414">
              <w:rPr>
                <w:rFonts w:ascii="Times New Roman" w:hAnsi="Times New Roman" w:cs="Times New Roman"/>
                <w:sz w:val="20"/>
                <w:szCs w:val="20"/>
                <w:vertAlign w:val="superscript"/>
              </w:rPr>
              <w:t>*</w:t>
            </w:r>
          </w:p>
        </w:tc>
        <w:tc>
          <w:tcPr>
            <w:tcW w:w="1547" w:type="dxa"/>
            <w:tcBorders>
              <w:top w:val="nil"/>
              <w:left w:val="nil"/>
              <w:bottom w:val="nil"/>
              <w:right w:val="nil"/>
            </w:tcBorders>
          </w:tcPr>
          <w:p w14:paraId="71359139"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0.022(.153)</w:t>
            </w:r>
          </w:p>
        </w:tc>
        <w:tc>
          <w:tcPr>
            <w:tcW w:w="1559" w:type="dxa"/>
            <w:tcBorders>
              <w:top w:val="nil"/>
              <w:left w:val="nil"/>
              <w:bottom w:val="nil"/>
              <w:right w:val="nil"/>
            </w:tcBorders>
          </w:tcPr>
          <w:p w14:paraId="2F112EEB"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0.025(.095)</w:t>
            </w:r>
            <w:r w:rsidRPr="00010414">
              <w:rPr>
                <w:rFonts w:ascii="Times New Roman" w:hAnsi="Times New Roman" w:cs="Times New Roman"/>
                <w:sz w:val="20"/>
                <w:szCs w:val="20"/>
                <w:vertAlign w:val="superscript"/>
              </w:rPr>
              <w:t>*</w:t>
            </w:r>
          </w:p>
        </w:tc>
        <w:tc>
          <w:tcPr>
            <w:tcW w:w="1345" w:type="dxa"/>
            <w:tcBorders>
              <w:top w:val="nil"/>
              <w:left w:val="nil"/>
              <w:bottom w:val="nil"/>
              <w:right w:val="nil"/>
            </w:tcBorders>
          </w:tcPr>
          <w:p w14:paraId="4141C6E9"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0.038(.028)</w:t>
            </w:r>
            <w:r w:rsidRPr="00010414">
              <w:rPr>
                <w:rFonts w:ascii="Times New Roman" w:hAnsi="Times New Roman" w:cs="Times New Roman"/>
                <w:sz w:val="20"/>
                <w:szCs w:val="20"/>
                <w:vertAlign w:val="superscript"/>
              </w:rPr>
              <w:t>**</w:t>
            </w:r>
          </w:p>
        </w:tc>
        <w:tc>
          <w:tcPr>
            <w:tcW w:w="1490" w:type="dxa"/>
            <w:tcBorders>
              <w:top w:val="nil"/>
              <w:left w:val="nil"/>
              <w:bottom w:val="nil"/>
              <w:right w:val="nil"/>
            </w:tcBorders>
          </w:tcPr>
          <w:p w14:paraId="1378B4CF"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0.011(.459)</w:t>
            </w:r>
          </w:p>
        </w:tc>
        <w:tc>
          <w:tcPr>
            <w:tcW w:w="1352" w:type="dxa"/>
            <w:tcBorders>
              <w:top w:val="nil"/>
              <w:left w:val="nil"/>
              <w:bottom w:val="nil"/>
              <w:right w:val="nil"/>
            </w:tcBorders>
          </w:tcPr>
          <w:p w14:paraId="18BD2CB6"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0.051(.013)</w:t>
            </w:r>
            <w:r w:rsidRPr="00010414">
              <w:rPr>
                <w:rFonts w:ascii="Times New Roman" w:hAnsi="Times New Roman" w:cs="Times New Roman"/>
                <w:sz w:val="20"/>
                <w:szCs w:val="20"/>
                <w:vertAlign w:val="superscript"/>
              </w:rPr>
              <w:t>**</w:t>
            </w:r>
          </w:p>
        </w:tc>
      </w:tr>
      <w:tr w:rsidR="00010414" w:rsidRPr="00010414" w14:paraId="38E36664" w14:textId="77777777" w:rsidTr="00010414">
        <w:trPr>
          <w:trHeight w:val="173"/>
        </w:trPr>
        <w:tc>
          <w:tcPr>
            <w:tcW w:w="1843" w:type="dxa"/>
            <w:tcBorders>
              <w:top w:val="nil"/>
              <w:left w:val="nil"/>
              <w:bottom w:val="nil"/>
              <w:right w:val="nil"/>
            </w:tcBorders>
          </w:tcPr>
          <w:p w14:paraId="556B4E4F" w14:textId="17FAC2F5" w:rsidR="00010414" w:rsidRPr="00010414" w:rsidRDefault="00010414" w:rsidP="008E705B">
            <w:pPr>
              <w:ind w:left="175"/>
              <w:rPr>
                <w:rFonts w:ascii="Times New Roman" w:hAnsi="Times New Roman" w:cs="Times New Roman"/>
                <w:sz w:val="20"/>
                <w:szCs w:val="20"/>
              </w:rPr>
            </w:pPr>
            <w:r w:rsidRPr="00010414">
              <w:rPr>
                <w:rFonts w:ascii="Times New Roman" w:hAnsi="Times New Roman" w:cs="Times New Roman"/>
                <w:sz w:val="20"/>
                <w:szCs w:val="20"/>
              </w:rPr>
              <w:t>LIQU</w:t>
            </w:r>
            <w:r>
              <w:rPr>
                <w:rFonts w:ascii="Times New Roman" w:hAnsi="Times New Roman" w:cs="Times New Roman"/>
                <w:sz w:val="20"/>
                <w:szCs w:val="20"/>
              </w:rPr>
              <w:t>D</w:t>
            </w:r>
          </w:p>
        </w:tc>
        <w:tc>
          <w:tcPr>
            <w:tcW w:w="1499" w:type="dxa"/>
            <w:tcBorders>
              <w:top w:val="nil"/>
              <w:left w:val="nil"/>
              <w:bottom w:val="nil"/>
              <w:right w:val="nil"/>
            </w:tcBorders>
          </w:tcPr>
          <w:p w14:paraId="10A7FE60"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-0.046(.092)</w:t>
            </w:r>
            <w:r w:rsidRPr="00010414">
              <w:rPr>
                <w:rFonts w:ascii="Times New Roman" w:hAnsi="Times New Roman" w:cs="Times New Roman"/>
                <w:sz w:val="20"/>
                <w:szCs w:val="20"/>
                <w:vertAlign w:val="superscript"/>
              </w:rPr>
              <w:t>*</w:t>
            </w:r>
          </w:p>
        </w:tc>
        <w:tc>
          <w:tcPr>
            <w:tcW w:w="1572" w:type="dxa"/>
            <w:tcBorders>
              <w:top w:val="nil"/>
              <w:left w:val="nil"/>
              <w:bottom w:val="nil"/>
              <w:right w:val="nil"/>
            </w:tcBorders>
          </w:tcPr>
          <w:p w14:paraId="17D65BE7"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-0.027(.326)</w:t>
            </w:r>
          </w:p>
        </w:tc>
        <w:tc>
          <w:tcPr>
            <w:tcW w:w="1345" w:type="dxa"/>
            <w:tcBorders>
              <w:top w:val="nil"/>
              <w:left w:val="nil"/>
              <w:bottom w:val="nil"/>
              <w:right w:val="nil"/>
            </w:tcBorders>
          </w:tcPr>
          <w:p w14:paraId="15907B25"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-0.039(.177)</w:t>
            </w:r>
          </w:p>
        </w:tc>
        <w:tc>
          <w:tcPr>
            <w:tcW w:w="1490" w:type="dxa"/>
            <w:tcBorders>
              <w:top w:val="nil"/>
              <w:left w:val="nil"/>
              <w:bottom w:val="nil"/>
              <w:right w:val="nil"/>
            </w:tcBorders>
          </w:tcPr>
          <w:p w14:paraId="62D10631"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-0.041(.150)</w:t>
            </w:r>
          </w:p>
        </w:tc>
        <w:tc>
          <w:tcPr>
            <w:tcW w:w="1547" w:type="dxa"/>
            <w:tcBorders>
              <w:top w:val="nil"/>
              <w:left w:val="nil"/>
              <w:bottom w:val="nil"/>
              <w:right w:val="nil"/>
            </w:tcBorders>
          </w:tcPr>
          <w:p w14:paraId="07E77825"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-0.034(.245)</w:t>
            </w:r>
          </w:p>
        </w:tc>
        <w:tc>
          <w:tcPr>
            <w:tcW w:w="1559" w:type="dxa"/>
            <w:tcBorders>
              <w:top w:val="nil"/>
              <w:left w:val="nil"/>
              <w:bottom w:val="nil"/>
              <w:right w:val="nil"/>
            </w:tcBorders>
          </w:tcPr>
          <w:p w14:paraId="55F8DDF6"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-0.059(.042)</w:t>
            </w:r>
            <w:r w:rsidRPr="00010414">
              <w:rPr>
                <w:rFonts w:ascii="Times New Roman" w:hAnsi="Times New Roman" w:cs="Times New Roman"/>
                <w:sz w:val="20"/>
                <w:szCs w:val="20"/>
                <w:vertAlign w:val="superscript"/>
              </w:rPr>
              <w:t>**</w:t>
            </w:r>
          </w:p>
        </w:tc>
        <w:tc>
          <w:tcPr>
            <w:tcW w:w="1345" w:type="dxa"/>
            <w:tcBorders>
              <w:top w:val="nil"/>
              <w:left w:val="nil"/>
              <w:bottom w:val="nil"/>
              <w:right w:val="nil"/>
            </w:tcBorders>
          </w:tcPr>
          <w:p w14:paraId="4767FAE3"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-0.065(.054)</w:t>
            </w:r>
            <w:r w:rsidRPr="00010414">
              <w:rPr>
                <w:rFonts w:ascii="Times New Roman" w:hAnsi="Times New Roman" w:cs="Times New Roman"/>
                <w:sz w:val="20"/>
                <w:szCs w:val="20"/>
                <w:vertAlign w:val="superscript"/>
              </w:rPr>
              <w:t>*</w:t>
            </w:r>
          </w:p>
        </w:tc>
        <w:tc>
          <w:tcPr>
            <w:tcW w:w="1490" w:type="dxa"/>
            <w:tcBorders>
              <w:top w:val="nil"/>
              <w:left w:val="nil"/>
              <w:bottom w:val="nil"/>
              <w:right w:val="nil"/>
            </w:tcBorders>
          </w:tcPr>
          <w:p w14:paraId="7B10AC1B"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-0.043(.120)</w:t>
            </w:r>
          </w:p>
        </w:tc>
        <w:tc>
          <w:tcPr>
            <w:tcW w:w="1352" w:type="dxa"/>
            <w:tcBorders>
              <w:top w:val="nil"/>
              <w:left w:val="nil"/>
              <w:bottom w:val="nil"/>
              <w:right w:val="nil"/>
            </w:tcBorders>
          </w:tcPr>
          <w:p w14:paraId="49A77940"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-0.022(.577)</w:t>
            </w:r>
          </w:p>
        </w:tc>
      </w:tr>
      <w:tr w:rsidR="00010414" w:rsidRPr="00010414" w14:paraId="7BFF1EF1" w14:textId="77777777" w:rsidTr="00010414">
        <w:trPr>
          <w:trHeight w:val="173"/>
        </w:trPr>
        <w:tc>
          <w:tcPr>
            <w:tcW w:w="1843" w:type="dxa"/>
            <w:tcBorders>
              <w:top w:val="nil"/>
              <w:left w:val="nil"/>
              <w:bottom w:val="nil"/>
              <w:right w:val="nil"/>
            </w:tcBorders>
          </w:tcPr>
          <w:p w14:paraId="06DBD184" w14:textId="77777777" w:rsidR="00010414" w:rsidRPr="00010414" w:rsidRDefault="00010414" w:rsidP="008E705B">
            <w:pPr>
              <w:ind w:left="175"/>
              <w:rPr>
                <w:rFonts w:ascii="Times New Roman" w:hAnsi="Times New Roman" w:cs="Times New Roman"/>
                <w:sz w:val="20"/>
                <w:szCs w:val="20"/>
              </w:rPr>
            </w:pPr>
            <w:r w:rsidRPr="00010414">
              <w:rPr>
                <w:rFonts w:ascii="Times New Roman" w:hAnsi="Times New Roman" w:cs="Times New Roman"/>
                <w:sz w:val="20"/>
                <w:szCs w:val="20"/>
              </w:rPr>
              <w:t>GRTH</w:t>
            </w:r>
          </w:p>
        </w:tc>
        <w:tc>
          <w:tcPr>
            <w:tcW w:w="1499" w:type="dxa"/>
            <w:tcBorders>
              <w:top w:val="nil"/>
              <w:left w:val="nil"/>
              <w:bottom w:val="nil"/>
              <w:right w:val="nil"/>
            </w:tcBorders>
          </w:tcPr>
          <w:p w14:paraId="3A01577F"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0.031(.318)</w:t>
            </w:r>
          </w:p>
        </w:tc>
        <w:tc>
          <w:tcPr>
            <w:tcW w:w="1572" w:type="dxa"/>
            <w:tcBorders>
              <w:top w:val="nil"/>
              <w:left w:val="nil"/>
              <w:bottom w:val="nil"/>
              <w:right w:val="nil"/>
            </w:tcBorders>
          </w:tcPr>
          <w:p w14:paraId="608672DC"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0.040(.280)</w:t>
            </w:r>
          </w:p>
        </w:tc>
        <w:tc>
          <w:tcPr>
            <w:tcW w:w="1345" w:type="dxa"/>
            <w:tcBorders>
              <w:top w:val="nil"/>
              <w:left w:val="nil"/>
              <w:bottom w:val="nil"/>
              <w:right w:val="nil"/>
            </w:tcBorders>
          </w:tcPr>
          <w:p w14:paraId="20F145F4"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0.022(.516)</w:t>
            </w:r>
          </w:p>
        </w:tc>
        <w:tc>
          <w:tcPr>
            <w:tcW w:w="1490" w:type="dxa"/>
            <w:tcBorders>
              <w:top w:val="nil"/>
              <w:left w:val="nil"/>
              <w:bottom w:val="nil"/>
              <w:right w:val="nil"/>
            </w:tcBorders>
          </w:tcPr>
          <w:p w14:paraId="631567EC"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0.022(.500)</w:t>
            </w:r>
          </w:p>
        </w:tc>
        <w:tc>
          <w:tcPr>
            <w:tcW w:w="1547" w:type="dxa"/>
            <w:tcBorders>
              <w:top w:val="nil"/>
              <w:left w:val="nil"/>
              <w:bottom w:val="nil"/>
              <w:right w:val="nil"/>
            </w:tcBorders>
          </w:tcPr>
          <w:p w14:paraId="4740B11C"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0.023(.504)</w:t>
            </w:r>
          </w:p>
        </w:tc>
        <w:tc>
          <w:tcPr>
            <w:tcW w:w="1559" w:type="dxa"/>
            <w:tcBorders>
              <w:top w:val="nil"/>
              <w:left w:val="nil"/>
              <w:bottom w:val="nil"/>
              <w:right w:val="nil"/>
            </w:tcBorders>
          </w:tcPr>
          <w:p w14:paraId="17D759FD"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-0.000(.998)</w:t>
            </w:r>
          </w:p>
        </w:tc>
        <w:tc>
          <w:tcPr>
            <w:tcW w:w="1345" w:type="dxa"/>
            <w:tcBorders>
              <w:top w:val="nil"/>
              <w:left w:val="nil"/>
              <w:bottom w:val="nil"/>
              <w:right w:val="nil"/>
            </w:tcBorders>
          </w:tcPr>
          <w:p w14:paraId="3BA3F815"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-0.042(.278)</w:t>
            </w:r>
          </w:p>
        </w:tc>
        <w:tc>
          <w:tcPr>
            <w:tcW w:w="1490" w:type="dxa"/>
            <w:tcBorders>
              <w:top w:val="nil"/>
              <w:left w:val="nil"/>
              <w:bottom w:val="nil"/>
              <w:right w:val="nil"/>
            </w:tcBorders>
          </w:tcPr>
          <w:p w14:paraId="1C7107CF"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0.051(.110)</w:t>
            </w:r>
          </w:p>
        </w:tc>
        <w:tc>
          <w:tcPr>
            <w:tcW w:w="1352" w:type="dxa"/>
            <w:tcBorders>
              <w:top w:val="nil"/>
              <w:left w:val="nil"/>
              <w:bottom w:val="nil"/>
              <w:right w:val="nil"/>
            </w:tcBorders>
          </w:tcPr>
          <w:p w14:paraId="3745634C"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0.062(.167)</w:t>
            </w:r>
          </w:p>
        </w:tc>
      </w:tr>
      <w:tr w:rsidR="00010414" w:rsidRPr="00010414" w14:paraId="3A66A364" w14:textId="77777777" w:rsidTr="00010414">
        <w:trPr>
          <w:trHeight w:val="173"/>
        </w:trPr>
        <w:tc>
          <w:tcPr>
            <w:tcW w:w="1843" w:type="dxa"/>
            <w:tcBorders>
              <w:top w:val="nil"/>
              <w:left w:val="nil"/>
              <w:bottom w:val="nil"/>
              <w:right w:val="nil"/>
            </w:tcBorders>
          </w:tcPr>
          <w:p w14:paraId="0552F692" w14:textId="75EC9F93" w:rsidR="00010414" w:rsidRPr="00010414" w:rsidRDefault="00010414" w:rsidP="008E705B">
            <w:pPr>
              <w:ind w:left="175"/>
              <w:rPr>
                <w:rFonts w:ascii="Times New Roman" w:hAnsi="Times New Roman" w:cs="Times New Roman"/>
                <w:sz w:val="20"/>
                <w:szCs w:val="20"/>
              </w:rPr>
            </w:pPr>
            <w:r>
              <w:rPr>
                <w:rFonts w:ascii="Times New Roman" w:hAnsi="Times New Roman" w:cs="Times New Roman"/>
                <w:sz w:val="20"/>
                <w:szCs w:val="20"/>
              </w:rPr>
              <w:t>IFUNDC</w:t>
            </w:r>
          </w:p>
        </w:tc>
        <w:tc>
          <w:tcPr>
            <w:tcW w:w="1499" w:type="dxa"/>
            <w:tcBorders>
              <w:top w:val="nil"/>
              <w:left w:val="nil"/>
              <w:bottom w:val="nil"/>
              <w:right w:val="nil"/>
            </w:tcBorders>
          </w:tcPr>
          <w:p w14:paraId="5AC9EB9F"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-0.085(.000)</w:t>
            </w:r>
            <w:r w:rsidRPr="00010414">
              <w:rPr>
                <w:rFonts w:ascii="Times New Roman" w:hAnsi="Times New Roman" w:cs="Times New Roman"/>
                <w:sz w:val="20"/>
                <w:szCs w:val="20"/>
                <w:vertAlign w:val="superscript"/>
              </w:rPr>
              <w:t>***</w:t>
            </w:r>
          </w:p>
        </w:tc>
        <w:tc>
          <w:tcPr>
            <w:tcW w:w="1572" w:type="dxa"/>
            <w:tcBorders>
              <w:top w:val="nil"/>
              <w:left w:val="nil"/>
              <w:bottom w:val="nil"/>
              <w:right w:val="nil"/>
            </w:tcBorders>
          </w:tcPr>
          <w:p w14:paraId="0F610F87"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-0.071(.000)</w:t>
            </w:r>
            <w:r w:rsidRPr="00010414">
              <w:rPr>
                <w:rFonts w:ascii="Times New Roman" w:hAnsi="Times New Roman" w:cs="Times New Roman"/>
                <w:sz w:val="20"/>
                <w:szCs w:val="20"/>
                <w:vertAlign w:val="superscript"/>
              </w:rPr>
              <w:t>***</w:t>
            </w:r>
          </w:p>
        </w:tc>
        <w:tc>
          <w:tcPr>
            <w:tcW w:w="1345" w:type="dxa"/>
            <w:tcBorders>
              <w:top w:val="nil"/>
              <w:left w:val="nil"/>
              <w:bottom w:val="nil"/>
              <w:right w:val="nil"/>
            </w:tcBorders>
          </w:tcPr>
          <w:p w14:paraId="199D5C93" w14:textId="77777777" w:rsidR="00010414" w:rsidRPr="00010414" w:rsidRDefault="00010414" w:rsidP="008E705B">
            <w:pPr>
              <w:ind w:right="-113"/>
              <w:rPr>
                <w:rFonts w:ascii="Times New Roman" w:hAnsi="Times New Roman" w:cs="Times New Roman"/>
                <w:sz w:val="20"/>
                <w:szCs w:val="20"/>
              </w:rPr>
            </w:pPr>
            <w:r w:rsidRPr="00010414">
              <w:rPr>
                <w:rFonts w:ascii="Times New Roman" w:hAnsi="Times New Roman" w:cs="Times New Roman"/>
                <w:sz w:val="20"/>
                <w:szCs w:val="20"/>
              </w:rPr>
              <w:t>-0.059(.005)</w:t>
            </w:r>
            <w:r w:rsidRPr="00010414">
              <w:rPr>
                <w:rFonts w:ascii="Times New Roman" w:hAnsi="Times New Roman" w:cs="Times New Roman"/>
                <w:sz w:val="20"/>
                <w:szCs w:val="20"/>
                <w:vertAlign w:val="superscript"/>
              </w:rPr>
              <w:t>***</w:t>
            </w:r>
          </w:p>
        </w:tc>
        <w:tc>
          <w:tcPr>
            <w:tcW w:w="1490" w:type="dxa"/>
            <w:tcBorders>
              <w:top w:val="nil"/>
              <w:left w:val="nil"/>
              <w:bottom w:val="nil"/>
              <w:right w:val="nil"/>
            </w:tcBorders>
          </w:tcPr>
          <w:p w14:paraId="44F54586"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-0.072(.000)</w:t>
            </w:r>
            <w:r w:rsidRPr="00010414">
              <w:rPr>
                <w:rFonts w:ascii="Times New Roman" w:hAnsi="Times New Roman" w:cs="Times New Roman"/>
                <w:sz w:val="20"/>
                <w:szCs w:val="20"/>
                <w:vertAlign w:val="superscript"/>
              </w:rPr>
              <w:t>***</w:t>
            </w:r>
          </w:p>
        </w:tc>
        <w:tc>
          <w:tcPr>
            <w:tcW w:w="1547" w:type="dxa"/>
            <w:tcBorders>
              <w:top w:val="nil"/>
              <w:left w:val="nil"/>
              <w:bottom w:val="nil"/>
              <w:right w:val="nil"/>
            </w:tcBorders>
          </w:tcPr>
          <w:p w14:paraId="10790285"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-0.044(.038)</w:t>
            </w:r>
            <w:r w:rsidRPr="00010414">
              <w:rPr>
                <w:rFonts w:ascii="Times New Roman" w:hAnsi="Times New Roman" w:cs="Times New Roman"/>
                <w:sz w:val="20"/>
                <w:szCs w:val="20"/>
                <w:vertAlign w:val="superscript"/>
              </w:rPr>
              <w:t>**</w:t>
            </w:r>
          </w:p>
        </w:tc>
        <w:tc>
          <w:tcPr>
            <w:tcW w:w="1559" w:type="dxa"/>
            <w:tcBorders>
              <w:top w:val="nil"/>
              <w:left w:val="nil"/>
              <w:bottom w:val="nil"/>
              <w:right w:val="nil"/>
            </w:tcBorders>
          </w:tcPr>
          <w:p w14:paraId="0D625DD2"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0.010(.622)</w:t>
            </w:r>
          </w:p>
        </w:tc>
        <w:tc>
          <w:tcPr>
            <w:tcW w:w="1345" w:type="dxa"/>
            <w:tcBorders>
              <w:top w:val="nil"/>
              <w:left w:val="nil"/>
              <w:bottom w:val="nil"/>
              <w:right w:val="nil"/>
            </w:tcBorders>
          </w:tcPr>
          <w:p w14:paraId="11B5E8EE" w14:textId="77777777" w:rsidR="00010414" w:rsidRPr="00010414" w:rsidRDefault="00010414" w:rsidP="008E705B">
            <w:pPr>
              <w:ind w:right="-200"/>
              <w:rPr>
                <w:rFonts w:ascii="Times New Roman" w:hAnsi="Times New Roman" w:cs="Times New Roman"/>
                <w:sz w:val="20"/>
                <w:szCs w:val="20"/>
              </w:rPr>
            </w:pPr>
            <w:r w:rsidRPr="00010414">
              <w:rPr>
                <w:rFonts w:ascii="Times New Roman" w:hAnsi="Times New Roman" w:cs="Times New Roman"/>
                <w:sz w:val="20"/>
                <w:szCs w:val="20"/>
              </w:rPr>
              <w:t>-0.072(.003)</w:t>
            </w:r>
            <w:r w:rsidRPr="00010414">
              <w:rPr>
                <w:rFonts w:ascii="Times New Roman" w:hAnsi="Times New Roman" w:cs="Times New Roman"/>
                <w:sz w:val="20"/>
                <w:szCs w:val="20"/>
                <w:vertAlign w:val="superscript"/>
              </w:rPr>
              <w:t>***</w:t>
            </w:r>
          </w:p>
        </w:tc>
        <w:tc>
          <w:tcPr>
            <w:tcW w:w="1490" w:type="dxa"/>
            <w:tcBorders>
              <w:top w:val="nil"/>
              <w:left w:val="nil"/>
              <w:bottom w:val="nil"/>
              <w:right w:val="nil"/>
            </w:tcBorders>
          </w:tcPr>
          <w:p w14:paraId="0AB5A950" w14:textId="77777777" w:rsidR="00010414" w:rsidRPr="00010414" w:rsidRDefault="00010414" w:rsidP="008E705B">
            <w:pPr>
              <w:ind w:right="-62"/>
              <w:rPr>
                <w:rFonts w:ascii="Times New Roman" w:hAnsi="Times New Roman" w:cs="Times New Roman"/>
                <w:sz w:val="20"/>
                <w:szCs w:val="20"/>
                <w:vertAlign w:val="superscript"/>
              </w:rPr>
            </w:pPr>
            <w:r w:rsidRPr="00010414">
              <w:rPr>
                <w:rFonts w:ascii="Times New Roman" w:hAnsi="Times New Roman" w:cs="Times New Roman"/>
                <w:sz w:val="20"/>
                <w:szCs w:val="20"/>
              </w:rPr>
              <w:t>-0.093(.000)</w:t>
            </w:r>
            <w:r w:rsidRPr="00010414">
              <w:rPr>
                <w:rFonts w:ascii="Times New Roman" w:hAnsi="Times New Roman" w:cs="Times New Roman"/>
                <w:sz w:val="20"/>
                <w:szCs w:val="20"/>
                <w:vertAlign w:val="superscript"/>
              </w:rPr>
              <w:t>***</w:t>
            </w:r>
          </w:p>
        </w:tc>
        <w:tc>
          <w:tcPr>
            <w:tcW w:w="1352" w:type="dxa"/>
            <w:tcBorders>
              <w:top w:val="nil"/>
              <w:left w:val="nil"/>
              <w:bottom w:val="nil"/>
              <w:right w:val="nil"/>
            </w:tcBorders>
          </w:tcPr>
          <w:p w14:paraId="762D1409"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-0.063(.026)</w:t>
            </w:r>
            <w:r w:rsidRPr="00010414">
              <w:rPr>
                <w:rFonts w:ascii="Times New Roman" w:hAnsi="Times New Roman" w:cs="Times New Roman"/>
                <w:sz w:val="20"/>
                <w:szCs w:val="20"/>
                <w:vertAlign w:val="superscript"/>
              </w:rPr>
              <w:t>**</w:t>
            </w:r>
          </w:p>
        </w:tc>
      </w:tr>
      <w:tr w:rsidR="00010414" w:rsidRPr="00010414" w14:paraId="1E17A531" w14:textId="77777777" w:rsidTr="00010414">
        <w:trPr>
          <w:trHeight w:val="91"/>
        </w:trPr>
        <w:tc>
          <w:tcPr>
            <w:tcW w:w="1843" w:type="dxa"/>
            <w:tcBorders>
              <w:top w:val="nil"/>
              <w:left w:val="nil"/>
              <w:bottom w:val="nil"/>
              <w:right w:val="nil"/>
            </w:tcBorders>
          </w:tcPr>
          <w:p w14:paraId="0E971291" w14:textId="3EDD27F4" w:rsidR="00010414" w:rsidRPr="00010414" w:rsidRDefault="00010414" w:rsidP="008E705B">
            <w:pPr>
              <w:ind w:left="175"/>
              <w:rPr>
                <w:rFonts w:ascii="Times New Roman" w:hAnsi="Times New Roman" w:cs="Times New Roman"/>
                <w:sz w:val="20"/>
                <w:szCs w:val="20"/>
              </w:rPr>
            </w:pPr>
            <w:r>
              <w:rPr>
                <w:rFonts w:ascii="Times New Roman" w:eastAsia="SimSun" w:hAnsi="Times New Roman" w:cs="Times New Roman"/>
                <w:sz w:val="20"/>
                <w:szCs w:val="20"/>
                <w:lang w:val="en-US"/>
              </w:rPr>
              <w:t>F</w:t>
            </w:r>
            <w:r w:rsidRPr="00010414">
              <w:rPr>
                <w:rFonts w:ascii="Times New Roman" w:eastAsia="SimSun" w:hAnsi="Times New Roman" w:cs="Times New Roman"/>
                <w:sz w:val="20"/>
                <w:szCs w:val="20"/>
                <w:lang w:val="en-US"/>
              </w:rPr>
              <w:t>R</w:t>
            </w:r>
            <w:r>
              <w:rPr>
                <w:rFonts w:ascii="Times New Roman" w:eastAsia="SimSun" w:hAnsi="Times New Roman" w:cs="Times New Roman"/>
                <w:sz w:val="20"/>
                <w:szCs w:val="20"/>
                <w:lang w:val="en-US"/>
              </w:rPr>
              <w:t>I</w:t>
            </w:r>
            <w:r w:rsidRPr="00010414">
              <w:rPr>
                <w:rFonts w:ascii="Times New Roman" w:eastAsia="SimSun" w:hAnsi="Times New Roman" w:cs="Times New Roman"/>
                <w:sz w:val="20"/>
                <w:szCs w:val="20"/>
                <w:lang w:val="en-US"/>
              </w:rPr>
              <w:t>SK</w:t>
            </w:r>
          </w:p>
        </w:tc>
        <w:tc>
          <w:tcPr>
            <w:tcW w:w="1499" w:type="dxa"/>
            <w:tcBorders>
              <w:top w:val="nil"/>
              <w:left w:val="nil"/>
              <w:bottom w:val="nil"/>
              <w:right w:val="nil"/>
            </w:tcBorders>
          </w:tcPr>
          <w:p w14:paraId="54AFF2FB"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0.086(.480)</w:t>
            </w:r>
          </w:p>
        </w:tc>
        <w:tc>
          <w:tcPr>
            <w:tcW w:w="1572" w:type="dxa"/>
            <w:tcBorders>
              <w:top w:val="nil"/>
              <w:left w:val="nil"/>
              <w:bottom w:val="nil"/>
              <w:right w:val="nil"/>
            </w:tcBorders>
          </w:tcPr>
          <w:p w14:paraId="7D096AC3"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0.043(.726)</w:t>
            </w:r>
          </w:p>
        </w:tc>
        <w:tc>
          <w:tcPr>
            <w:tcW w:w="1345" w:type="dxa"/>
            <w:tcBorders>
              <w:top w:val="nil"/>
              <w:left w:val="nil"/>
              <w:bottom w:val="nil"/>
              <w:right w:val="nil"/>
            </w:tcBorders>
          </w:tcPr>
          <w:p w14:paraId="6D51A409"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0.122(.347)</w:t>
            </w:r>
          </w:p>
        </w:tc>
        <w:tc>
          <w:tcPr>
            <w:tcW w:w="1490" w:type="dxa"/>
            <w:tcBorders>
              <w:top w:val="nil"/>
              <w:left w:val="nil"/>
              <w:bottom w:val="nil"/>
              <w:right w:val="nil"/>
            </w:tcBorders>
          </w:tcPr>
          <w:p w14:paraId="700EEE5E"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0.100(.428)</w:t>
            </w:r>
          </w:p>
        </w:tc>
        <w:tc>
          <w:tcPr>
            <w:tcW w:w="1547" w:type="dxa"/>
            <w:tcBorders>
              <w:top w:val="nil"/>
              <w:left w:val="nil"/>
              <w:bottom w:val="nil"/>
              <w:right w:val="nil"/>
            </w:tcBorders>
          </w:tcPr>
          <w:p w14:paraId="07DB8B28"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0.120(.367)</w:t>
            </w:r>
          </w:p>
        </w:tc>
        <w:tc>
          <w:tcPr>
            <w:tcW w:w="1559" w:type="dxa"/>
            <w:tcBorders>
              <w:top w:val="nil"/>
              <w:left w:val="nil"/>
              <w:bottom w:val="nil"/>
              <w:right w:val="nil"/>
            </w:tcBorders>
          </w:tcPr>
          <w:p w14:paraId="0C762C84"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0.124(.336)</w:t>
            </w:r>
          </w:p>
        </w:tc>
        <w:tc>
          <w:tcPr>
            <w:tcW w:w="1345" w:type="dxa"/>
            <w:tcBorders>
              <w:top w:val="nil"/>
              <w:left w:val="nil"/>
              <w:bottom w:val="nil"/>
              <w:right w:val="nil"/>
            </w:tcBorders>
          </w:tcPr>
          <w:p w14:paraId="2C967329"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0.029(.848)</w:t>
            </w:r>
          </w:p>
        </w:tc>
        <w:tc>
          <w:tcPr>
            <w:tcW w:w="1490" w:type="dxa"/>
            <w:tcBorders>
              <w:top w:val="nil"/>
              <w:left w:val="nil"/>
              <w:bottom w:val="nil"/>
              <w:right w:val="nil"/>
            </w:tcBorders>
          </w:tcPr>
          <w:p w14:paraId="22CCB002"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0.126(.314)</w:t>
            </w:r>
          </w:p>
        </w:tc>
        <w:tc>
          <w:tcPr>
            <w:tcW w:w="1352" w:type="dxa"/>
            <w:tcBorders>
              <w:top w:val="nil"/>
              <w:left w:val="nil"/>
              <w:bottom w:val="nil"/>
              <w:right w:val="nil"/>
            </w:tcBorders>
          </w:tcPr>
          <w:p w14:paraId="2188F47A"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-0.025(887)</w:t>
            </w:r>
          </w:p>
        </w:tc>
      </w:tr>
      <w:tr w:rsidR="00010414" w:rsidRPr="00010414" w14:paraId="0A0277F4" w14:textId="77777777" w:rsidTr="00010414">
        <w:trPr>
          <w:trHeight w:val="91"/>
        </w:trPr>
        <w:tc>
          <w:tcPr>
            <w:tcW w:w="1843" w:type="dxa"/>
            <w:tcBorders>
              <w:top w:val="nil"/>
              <w:left w:val="nil"/>
              <w:bottom w:val="nil"/>
              <w:right w:val="nil"/>
            </w:tcBorders>
          </w:tcPr>
          <w:p w14:paraId="0C291D79" w14:textId="29EF1AC2" w:rsidR="00010414" w:rsidRPr="00010414" w:rsidRDefault="00010414" w:rsidP="008E705B">
            <w:pPr>
              <w:ind w:left="175"/>
              <w:rPr>
                <w:rFonts w:ascii="Times New Roman" w:eastAsia="SimSun" w:hAnsi="Times New Roman" w:cs="Times New Roman"/>
                <w:sz w:val="20"/>
                <w:szCs w:val="20"/>
                <w:lang w:val="en-US"/>
              </w:rPr>
            </w:pPr>
            <w:r w:rsidRPr="00010414">
              <w:rPr>
                <w:rFonts w:ascii="Times New Roman" w:eastAsia="SimSun" w:hAnsi="Times New Roman" w:cs="Times New Roman"/>
                <w:sz w:val="20"/>
                <w:szCs w:val="20"/>
                <w:lang w:val="en-US"/>
              </w:rPr>
              <w:t>AF</w:t>
            </w:r>
            <w:r>
              <w:rPr>
                <w:rFonts w:ascii="Times New Roman" w:eastAsia="SimSun" w:hAnsi="Times New Roman" w:cs="Times New Roman"/>
                <w:sz w:val="20"/>
                <w:szCs w:val="20"/>
                <w:lang w:val="en-US"/>
              </w:rPr>
              <w:t>SZE</w:t>
            </w:r>
          </w:p>
        </w:tc>
        <w:tc>
          <w:tcPr>
            <w:tcW w:w="1499" w:type="dxa"/>
            <w:tcBorders>
              <w:top w:val="nil"/>
              <w:left w:val="nil"/>
              <w:bottom w:val="nil"/>
              <w:right w:val="nil"/>
            </w:tcBorders>
          </w:tcPr>
          <w:p w14:paraId="205C682D"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-0.021(.000)</w:t>
            </w:r>
            <w:r w:rsidRPr="00010414">
              <w:rPr>
                <w:rFonts w:ascii="Times New Roman" w:hAnsi="Times New Roman" w:cs="Times New Roman"/>
                <w:sz w:val="20"/>
                <w:szCs w:val="20"/>
                <w:vertAlign w:val="superscript"/>
              </w:rPr>
              <w:t>***</w:t>
            </w:r>
          </w:p>
        </w:tc>
        <w:tc>
          <w:tcPr>
            <w:tcW w:w="1572" w:type="dxa"/>
            <w:tcBorders>
              <w:top w:val="nil"/>
              <w:left w:val="nil"/>
              <w:bottom w:val="nil"/>
              <w:right w:val="nil"/>
            </w:tcBorders>
          </w:tcPr>
          <w:p w14:paraId="14154930"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-0.021(.000)</w:t>
            </w:r>
            <w:r w:rsidRPr="00010414">
              <w:rPr>
                <w:rFonts w:ascii="Times New Roman" w:hAnsi="Times New Roman" w:cs="Times New Roman"/>
                <w:sz w:val="20"/>
                <w:szCs w:val="20"/>
                <w:vertAlign w:val="superscript"/>
              </w:rPr>
              <w:t>***</w:t>
            </w:r>
          </w:p>
        </w:tc>
        <w:tc>
          <w:tcPr>
            <w:tcW w:w="1345" w:type="dxa"/>
            <w:tcBorders>
              <w:top w:val="nil"/>
              <w:left w:val="nil"/>
              <w:bottom w:val="nil"/>
              <w:right w:val="nil"/>
            </w:tcBorders>
          </w:tcPr>
          <w:p w14:paraId="0FA56AD1" w14:textId="77777777" w:rsidR="00010414" w:rsidRPr="00010414" w:rsidRDefault="00010414" w:rsidP="008E705B">
            <w:pPr>
              <w:ind w:right="-113"/>
              <w:rPr>
                <w:rFonts w:ascii="Times New Roman" w:hAnsi="Times New Roman" w:cs="Times New Roman"/>
                <w:sz w:val="20"/>
                <w:szCs w:val="20"/>
              </w:rPr>
            </w:pPr>
            <w:r w:rsidRPr="00010414">
              <w:rPr>
                <w:rFonts w:ascii="Times New Roman" w:hAnsi="Times New Roman" w:cs="Times New Roman"/>
                <w:sz w:val="20"/>
                <w:szCs w:val="20"/>
              </w:rPr>
              <w:t>-0.023(.000)</w:t>
            </w:r>
            <w:r w:rsidRPr="00010414">
              <w:rPr>
                <w:rFonts w:ascii="Times New Roman" w:hAnsi="Times New Roman" w:cs="Times New Roman"/>
                <w:sz w:val="20"/>
                <w:szCs w:val="20"/>
                <w:vertAlign w:val="superscript"/>
              </w:rPr>
              <w:t>***</w:t>
            </w:r>
          </w:p>
        </w:tc>
        <w:tc>
          <w:tcPr>
            <w:tcW w:w="1490" w:type="dxa"/>
            <w:tcBorders>
              <w:top w:val="nil"/>
              <w:left w:val="nil"/>
              <w:bottom w:val="nil"/>
              <w:right w:val="nil"/>
            </w:tcBorders>
          </w:tcPr>
          <w:p w14:paraId="57FF8620"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-0.025(.000)</w:t>
            </w:r>
            <w:r w:rsidRPr="00010414">
              <w:rPr>
                <w:rFonts w:ascii="Times New Roman" w:hAnsi="Times New Roman" w:cs="Times New Roman"/>
                <w:sz w:val="20"/>
                <w:szCs w:val="20"/>
                <w:vertAlign w:val="superscript"/>
              </w:rPr>
              <w:t>***</w:t>
            </w:r>
          </w:p>
        </w:tc>
        <w:tc>
          <w:tcPr>
            <w:tcW w:w="1547" w:type="dxa"/>
            <w:tcBorders>
              <w:top w:val="nil"/>
              <w:left w:val="nil"/>
              <w:bottom w:val="nil"/>
              <w:right w:val="nil"/>
            </w:tcBorders>
          </w:tcPr>
          <w:p w14:paraId="00C96E4B" w14:textId="77777777" w:rsidR="00010414" w:rsidRPr="00010414" w:rsidRDefault="00010414" w:rsidP="008E705B">
            <w:pPr>
              <w:ind w:right="-96"/>
              <w:rPr>
                <w:rFonts w:ascii="Times New Roman" w:hAnsi="Times New Roman" w:cs="Times New Roman"/>
                <w:sz w:val="20"/>
                <w:szCs w:val="20"/>
              </w:rPr>
            </w:pPr>
            <w:r w:rsidRPr="00010414">
              <w:rPr>
                <w:rFonts w:ascii="Times New Roman" w:hAnsi="Times New Roman" w:cs="Times New Roman"/>
                <w:sz w:val="20"/>
                <w:szCs w:val="20"/>
              </w:rPr>
              <w:t>-0.025(.000)</w:t>
            </w:r>
            <w:r w:rsidRPr="00010414">
              <w:rPr>
                <w:rFonts w:ascii="Times New Roman" w:hAnsi="Times New Roman" w:cs="Times New Roman"/>
                <w:sz w:val="20"/>
                <w:szCs w:val="20"/>
                <w:vertAlign w:val="superscript"/>
              </w:rPr>
              <w:t>***</w:t>
            </w:r>
          </w:p>
        </w:tc>
        <w:tc>
          <w:tcPr>
            <w:tcW w:w="1559" w:type="dxa"/>
            <w:tcBorders>
              <w:top w:val="nil"/>
              <w:left w:val="nil"/>
              <w:bottom w:val="nil"/>
              <w:right w:val="nil"/>
            </w:tcBorders>
          </w:tcPr>
          <w:p w14:paraId="4A98DF9A"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-0.023(.000)</w:t>
            </w:r>
            <w:r w:rsidRPr="00010414">
              <w:rPr>
                <w:rFonts w:ascii="Times New Roman" w:hAnsi="Times New Roman" w:cs="Times New Roman"/>
                <w:sz w:val="20"/>
                <w:szCs w:val="20"/>
                <w:vertAlign w:val="superscript"/>
              </w:rPr>
              <w:t>***</w:t>
            </w:r>
          </w:p>
        </w:tc>
        <w:tc>
          <w:tcPr>
            <w:tcW w:w="1345" w:type="dxa"/>
            <w:tcBorders>
              <w:top w:val="nil"/>
              <w:left w:val="nil"/>
              <w:bottom w:val="nil"/>
              <w:right w:val="nil"/>
            </w:tcBorders>
          </w:tcPr>
          <w:p w14:paraId="65C7052A" w14:textId="77777777" w:rsidR="00010414" w:rsidRPr="00010414" w:rsidRDefault="00010414" w:rsidP="008E705B">
            <w:pPr>
              <w:ind w:right="-200"/>
              <w:rPr>
                <w:rFonts w:ascii="Times New Roman" w:hAnsi="Times New Roman" w:cs="Times New Roman"/>
                <w:sz w:val="20"/>
                <w:szCs w:val="20"/>
              </w:rPr>
            </w:pPr>
            <w:r w:rsidRPr="00010414">
              <w:rPr>
                <w:rFonts w:ascii="Times New Roman" w:hAnsi="Times New Roman" w:cs="Times New Roman"/>
                <w:sz w:val="20"/>
                <w:szCs w:val="20"/>
              </w:rPr>
              <w:t>-0.026(.000)</w:t>
            </w:r>
            <w:r w:rsidRPr="00010414">
              <w:rPr>
                <w:rFonts w:ascii="Times New Roman" w:hAnsi="Times New Roman" w:cs="Times New Roman"/>
                <w:sz w:val="20"/>
                <w:szCs w:val="20"/>
                <w:vertAlign w:val="superscript"/>
              </w:rPr>
              <w:t>***</w:t>
            </w:r>
          </w:p>
        </w:tc>
        <w:tc>
          <w:tcPr>
            <w:tcW w:w="1490" w:type="dxa"/>
            <w:tcBorders>
              <w:top w:val="nil"/>
              <w:left w:val="nil"/>
              <w:bottom w:val="nil"/>
              <w:right w:val="nil"/>
            </w:tcBorders>
          </w:tcPr>
          <w:p w14:paraId="1F1E08FB" w14:textId="77777777" w:rsidR="00010414" w:rsidRPr="00010414" w:rsidRDefault="00010414" w:rsidP="008E705B">
            <w:pPr>
              <w:ind w:right="-62"/>
              <w:rPr>
                <w:rFonts w:ascii="Times New Roman" w:hAnsi="Times New Roman" w:cs="Times New Roman"/>
                <w:sz w:val="20"/>
                <w:szCs w:val="20"/>
                <w:vertAlign w:val="superscript"/>
              </w:rPr>
            </w:pPr>
            <w:r w:rsidRPr="00010414">
              <w:rPr>
                <w:rFonts w:ascii="Times New Roman" w:hAnsi="Times New Roman" w:cs="Times New Roman"/>
                <w:sz w:val="20"/>
                <w:szCs w:val="20"/>
              </w:rPr>
              <w:t>-0.020(.000)</w:t>
            </w:r>
            <w:r w:rsidRPr="00010414">
              <w:rPr>
                <w:rFonts w:ascii="Times New Roman" w:hAnsi="Times New Roman" w:cs="Times New Roman"/>
                <w:sz w:val="20"/>
                <w:szCs w:val="20"/>
                <w:vertAlign w:val="superscript"/>
              </w:rPr>
              <w:t>***</w:t>
            </w:r>
          </w:p>
        </w:tc>
        <w:tc>
          <w:tcPr>
            <w:tcW w:w="1352" w:type="dxa"/>
            <w:tcBorders>
              <w:top w:val="nil"/>
              <w:left w:val="nil"/>
              <w:bottom w:val="nil"/>
              <w:right w:val="nil"/>
            </w:tcBorders>
          </w:tcPr>
          <w:p w14:paraId="5E4B4E2A"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-0.015(.017)</w:t>
            </w:r>
            <w:r w:rsidRPr="00010414">
              <w:rPr>
                <w:rFonts w:ascii="Times New Roman" w:hAnsi="Times New Roman" w:cs="Times New Roman"/>
                <w:sz w:val="20"/>
                <w:szCs w:val="20"/>
                <w:vertAlign w:val="superscript"/>
              </w:rPr>
              <w:t>**</w:t>
            </w:r>
          </w:p>
        </w:tc>
      </w:tr>
      <w:tr w:rsidR="00010414" w:rsidRPr="00010414" w14:paraId="4A5011A3" w14:textId="77777777" w:rsidTr="00010414">
        <w:trPr>
          <w:trHeight w:val="91"/>
        </w:trPr>
        <w:tc>
          <w:tcPr>
            <w:tcW w:w="1843" w:type="dxa"/>
            <w:tcBorders>
              <w:top w:val="nil"/>
              <w:left w:val="nil"/>
              <w:bottom w:val="nil"/>
              <w:right w:val="nil"/>
            </w:tcBorders>
          </w:tcPr>
          <w:p w14:paraId="1BC08530" w14:textId="77777777" w:rsidR="00010414" w:rsidRPr="00010414" w:rsidRDefault="00010414" w:rsidP="008E705B">
            <w:pPr>
              <w:ind w:left="175"/>
              <w:rPr>
                <w:rFonts w:ascii="Times New Roman" w:eastAsia="SimSun" w:hAnsi="Times New Roman" w:cs="Times New Roman"/>
                <w:sz w:val="20"/>
                <w:szCs w:val="20"/>
                <w:lang w:val="en-US"/>
              </w:rPr>
            </w:pPr>
            <w:r w:rsidRPr="00010414">
              <w:rPr>
                <w:rFonts w:ascii="Times New Roman" w:eastAsia="SimSun" w:hAnsi="Times New Roman" w:cs="Times New Roman"/>
                <w:sz w:val="20"/>
                <w:szCs w:val="20"/>
                <w:lang w:val="en-US"/>
              </w:rPr>
              <w:t>CEXP</w:t>
            </w:r>
          </w:p>
        </w:tc>
        <w:tc>
          <w:tcPr>
            <w:tcW w:w="1499" w:type="dxa"/>
            <w:tcBorders>
              <w:top w:val="nil"/>
              <w:left w:val="nil"/>
              <w:bottom w:val="nil"/>
              <w:right w:val="nil"/>
            </w:tcBorders>
          </w:tcPr>
          <w:p w14:paraId="43C24918"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-0.043(.000)</w:t>
            </w:r>
            <w:r w:rsidRPr="00010414">
              <w:rPr>
                <w:rFonts w:ascii="Times New Roman" w:hAnsi="Times New Roman" w:cs="Times New Roman"/>
                <w:sz w:val="20"/>
                <w:szCs w:val="20"/>
                <w:vertAlign w:val="superscript"/>
              </w:rPr>
              <w:t>***</w:t>
            </w:r>
          </w:p>
        </w:tc>
        <w:tc>
          <w:tcPr>
            <w:tcW w:w="1572" w:type="dxa"/>
            <w:tcBorders>
              <w:top w:val="nil"/>
              <w:left w:val="nil"/>
              <w:bottom w:val="nil"/>
              <w:right w:val="nil"/>
            </w:tcBorders>
          </w:tcPr>
          <w:p w14:paraId="0F7B0293"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-0.040(.000)</w:t>
            </w:r>
            <w:r w:rsidRPr="00010414">
              <w:rPr>
                <w:rFonts w:ascii="Times New Roman" w:hAnsi="Times New Roman" w:cs="Times New Roman"/>
                <w:sz w:val="20"/>
                <w:szCs w:val="20"/>
                <w:vertAlign w:val="superscript"/>
              </w:rPr>
              <w:t>***</w:t>
            </w:r>
          </w:p>
        </w:tc>
        <w:tc>
          <w:tcPr>
            <w:tcW w:w="1345" w:type="dxa"/>
            <w:tcBorders>
              <w:top w:val="nil"/>
              <w:left w:val="nil"/>
              <w:bottom w:val="nil"/>
              <w:right w:val="nil"/>
            </w:tcBorders>
          </w:tcPr>
          <w:p w14:paraId="7D1E879B" w14:textId="77777777" w:rsidR="00010414" w:rsidRPr="00010414" w:rsidRDefault="00010414" w:rsidP="008E705B">
            <w:pPr>
              <w:ind w:right="-113"/>
              <w:rPr>
                <w:rFonts w:ascii="Times New Roman" w:hAnsi="Times New Roman" w:cs="Times New Roman"/>
                <w:sz w:val="20"/>
                <w:szCs w:val="20"/>
              </w:rPr>
            </w:pPr>
            <w:r w:rsidRPr="00010414">
              <w:rPr>
                <w:rFonts w:ascii="Times New Roman" w:hAnsi="Times New Roman" w:cs="Times New Roman"/>
                <w:sz w:val="20"/>
                <w:szCs w:val="20"/>
              </w:rPr>
              <w:t>-0.046(.000)</w:t>
            </w:r>
            <w:r w:rsidRPr="00010414">
              <w:rPr>
                <w:rFonts w:ascii="Times New Roman" w:hAnsi="Times New Roman" w:cs="Times New Roman"/>
                <w:sz w:val="20"/>
                <w:szCs w:val="20"/>
                <w:vertAlign w:val="superscript"/>
              </w:rPr>
              <w:t>***</w:t>
            </w:r>
          </w:p>
        </w:tc>
        <w:tc>
          <w:tcPr>
            <w:tcW w:w="1490" w:type="dxa"/>
            <w:tcBorders>
              <w:top w:val="nil"/>
              <w:left w:val="nil"/>
              <w:bottom w:val="nil"/>
              <w:right w:val="nil"/>
            </w:tcBorders>
          </w:tcPr>
          <w:p w14:paraId="17454D15"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-0.047(.000)</w:t>
            </w:r>
            <w:r w:rsidRPr="00010414">
              <w:rPr>
                <w:rFonts w:ascii="Times New Roman" w:hAnsi="Times New Roman" w:cs="Times New Roman"/>
                <w:sz w:val="20"/>
                <w:szCs w:val="20"/>
                <w:vertAlign w:val="superscript"/>
              </w:rPr>
              <w:t>***</w:t>
            </w:r>
          </w:p>
        </w:tc>
        <w:tc>
          <w:tcPr>
            <w:tcW w:w="1547" w:type="dxa"/>
            <w:tcBorders>
              <w:top w:val="nil"/>
              <w:left w:val="nil"/>
              <w:bottom w:val="nil"/>
              <w:right w:val="nil"/>
            </w:tcBorders>
          </w:tcPr>
          <w:p w14:paraId="58AAD733" w14:textId="77777777" w:rsidR="00010414" w:rsidRPr="00010414" w:rsidRDefault="00010414" w:rsidP="008E705B">
            <w:pPr>
              <w:ind w:right="-96"/>
              <w:rPr>
                <w:rFonts w:ascii="Times New Roman" w:hAnsi="Times New Roman" w:cs="Times New Roman"/>
                <w:sz w:val="20"/>
                <w:szCs w:val="20"/>
              </w:rPr>
            </w:pPr>
            <w:r w:rsidRPr="00010414">
              <w:rPr>
                <w:rFonts w:ascii="Times New Roman" w:hAnsi="Times New Roman" w:cs="Times New Roman"/>
                <w:sz w:val="20"/>
                <w:szCs w:val="20"/>
              </w:rPr>
              <w:t>-0.042(.000)</w:t>
            </w:r>
            <w:r w:rsidRPr="00010414">
              <w:rPr>
                <w:rFonts w:ascii="Times New Roman" w:hAnsi="Times New Roman" w:cs="Times New Roman"/>
                <w:sz w:val="20"/>
                <w:szCs w:val="20"/>
                <w:vertAlign w:val="superscript"/>
              </w:rPr>
              <w:t>***</w:t>
            </w:r>
          </w:p>
        </w:tc>
        <w:tc>
          <w:tcPr>
            <w:tcW w:w="1559" w:type="dxa"/>
            <w:tcBorders>
              <w:top w:val="nil"/>
              <w:left w:val="nil"/>
              <w:bottom w:val="nil"/>
              <w:right w:val="nil"/>
            </w:tcBorders>
          </w:tcPr>
          <w:p w14:paraId="2D0E9EB0" w14:textId="77777777" w:rsidR="00010414" w:rsidRPr="00010414" w:rsidRDefault="00010414" w:rsidP="008E705B">
            <w:pPr>
              <w:ind w:right="-52"/>
              <w:rPr>
                <w:rFonts w:ascii="Times New Roman" w:hAnsi="Times New Roman" w:cs="Times New Roman"/>
                <w:sz w:val="20"/>
                <w:szCs w:val="20"/>
                <w:vertAlign w:val="superscript"/>
              </w:rPr>
            </w:pPr>
            <w:r w:rsidRPr="00010414">
              <w:rPr>
                <w:rFonts w:ascii="Times New Roman" w:hAnsi="Times New Roman" w:cs="Times New Roman"/>
                <w:sz w:val="20"/>
                <w:szCs w:val="20"/>
              </w:rPr>
              <w:t>-0.0.43(.000)</w:t>
            </w:r>
            <w:r w:rsidRPr="00010414">
              <w:rPr>
                <w:rFonts w:ascii="Times New Roman" w:hAnsi="Times New Roman" w:cs="Times New Roman"/>
                <w:sz w:val="20"/>
                <w:szCs w:val="20"/>
                <w:vertAlign w:val="superscript"/>
              </w:rPr>
              <w:t>***</w:t>
            </w:r>
          </w:p>
        </w:tc>
        <w:tc>
          <w:tcPr>
            <w:tcW w:w="1345" w:type="dxa"/>
            <w:tcBorders>
              <w:top w:val="nil"/>
              <w:left w:val="nil"/>
              <w:bottom w:val="nil"/>
              <w:right w:val="nil"/>
            </w:tcBorders>
          </w:tcPr>
          <w:p w14:paraId="24EA93A4" w14:textId="77777777" w:rsidR="00010414" w:rsidRPr="00010414" w:rsidRDefault="00010414" w:rsidP="008E705B">
            <w:pPr>
              <w:ind w:right="-200"/>
              <w:rPr>
                <w:rFonts w:ascii="Times New Roman" w:hAnsi="Times New Roman" w:cs="Times New Roman"/>
                <w:sz w:val="20"/>
                <w:szCs w:val="20"/>
              </w:rPr>
            </w:pPr>
            <w:r w:rsidRPr="00010414">
              <w:rPr>
                <w:rFonts w:ascii="Times New Roman" w:hAnsi="Times New Roman" w:cs="Times New Roman"/>
                <w:sz w:val="20"/>
                <w:szCs w:val="20"/>
              </w:rPr>
              <w:t>-0.040(.000)</w:t>
            </w:r>
            <w:r w:rsidRPr="00010414">
              <w:rPr>
                <w:rFonts w:ascii="Times New Roman" w:hAnsi="Times New Roman" w:cs="Times New Roman"/>
                <w:sz w:val="20"/>
                <w:szCs w:val="20"/>
                <w:vertAlign w:val="superscript"/>
              </w:rPr>
              <w:t>***</w:t>
            </w:r>
          </w:p>
        </w:tc>
        <w:tc>
          <w:tcPr>
            <w:tcW w:w="1490" w:type="dxa"/>
            <w:tcBorders>
              <w:top w:val="nil"/>
              <w:left w:val="nil"/>
              <w:bottom w:val="nil"/>
              <w:right w:val="nil"/>
            </w:tcBorders>
          </w:tcPr>
          <w:p w14:paraId="562EBBEA" w14:textId="77777777" w:rsidR="00010414" w:rsidRPr="00010414" w:rsidRDefault="00010414" w:rsidP="008E705B">
            <w:pPr>
              <w:ind w:right="-62"/>
              <w:rPr>
                <w:rFonts w:ascii="Times New Roman" w:hAnsi="Times New Roman" w:cs="Times New Roman"/>
                <w:sz w:val="20"/>
                <w:szCs w:val="20"/>
                <w:vertAlign w:val="superscript"/>
              </w:rPr>
            </w:pPr>
            <w:r w:rsidRPr="00010414">
              <w:rPr>
                <w:rFonts w:ascii="Times New Roman" w:hAnsi="Times New Roman" w:cs="Times New Roman"/>
                <w:sz w:val="20"/>
                <w:szCs w:val="20"/>
              </w:rPr>
              <w:t>-0.041(.000)</w:t>
            </w:r>
            <w:r w:rsidRPr="00010414">
              <w:rPr>
                <w:rFonts w:ascii="Times New Roman" w:hAnsi="Times New Roman" w:cs="Times New Roman"/>
                <w:sz w:val="20"/>
                <w:szCs w:val="20"/>
                <w:vertAlign w:val="superscript"/>
              </w:rPr>
              <w:t>***</w:t>
            </w:r>
          </w:p>
        </w:tc>
        <w:tc>
          <w:tcPr>
            <w:tcW w:w="1352" w:type="dxa"/>
            <w:tcBorders>
              <w:top w:val="nil"/>
              <w:left w:val="nil"/>
              <w:bottom w:val="nil"/>
              <w:right w:val="nil"/>
            </w:tcBorders>
          </w:tcPr>
          <w:p w14:paraId="59EBE8D5" w14:textId="77777777" w:rsidR="00010414" w:rsidRPr="00010414" w:rsidRDefault="00010414" w:rsidP="008E705B">
            <w:pPr>
              <w:ind w:right="-142"/>
              <w:rPr>
                <w:rFonts w:ascii="Times New Roman" w:hAnsi="Times New Roman" w:cs="Times New Roman"/>
                <w:sz w:val="20"/>
                <w:szCs w:val="20"/>
              </w:rPr>
            </w:pPr>
            <w:r w:rsidRPr="00010414">
              <w:rPr>
                <w:rFonts w:ascii="Times New Roman" w:hAnsi="Times New Roman" w:cs="Times New Roman"/>
                <w:sz w:val="20"/>
                <w:szCs w:val="20"/>
              </w:rPr>
              <w:t>-0.057(.000)</w:t>
            </w:r>
            <w:r w:rsidRPr="00010414">
              <w:rPr>
                <w:rFonts w:ascii="Times New Roman" w:hAnsi="Times New Roman" w:cs="Times New Roman"/>
                <w:sz w:val="20"/>
                <w:szCs w:val="20"/>
                <w:vertAlign w:val="superscript"/>
              </w:rPr>
              <w:t>***</w:t>
            </w:r>
          </w:p>
        </w:tc>
      </w:tr>
      <w:tr w:rsidR="00010414" w:rsidRPr="00010414" w14:paraId="1534E22B" w14:textId="77777777" w:rsidTr="00010414">
        <w:trPr>
          <w:trHeight w:val="91"/>
        </w:trPr>
        <w:tc>
          <w:tcPr>
            <w:tcW w:w="1843" w:type="dxa"/>
            <w:tcBorders>
              <w:top w:val="nil"/>
              <w:left w:val="nil"/>
              <w:bottom w:val="nil"/>
              <w:right w:val="nil"/>
            </w:tcBorders>
          </w:tcPr>
          <w:p w14:paraId="7CC18762" w14:textId="77777777" w:rsidR="00010414" w:rsidRPr="00010414" w:rsidRDefault="00010414" w:rsidP="008E705B">
            <w:pPr>
              <w:rPr>
                <w:rFonts w:ascii="Times New Roman" w:eastAsia="SimSun" w:hAnsi="Times New Roman" w:cs="Times New Roman"/>
                <w:sz w:val="20"/>
                <w:szCs w:val="20"/>
                <w:lang w:val="en-US"/>
              </w:rPr>
            </w:pPr>
            <w:r w:rsidRPr="00010414">
              <w:rPr>
                <w:rFonts w:ascii="Times New Roman" w:eastAsia="SimSun" w:hAnsi="Times New Roman" w:cs="Times New Roman"/>
                <w:sz w:val="20"/>
                <w:szCs w:val="20"/>
                <w:lang w:val="en-US"/>
              </w:rPr>
              <w:t xml:space="preserve">    YEARD</w:t>
            </w:r>
          </w:p>
        </w:tc>
        <w:tc>
          <w:tcPr>
            <w:tcW w:w="1499" w:type="dxa"/>
            <w:tcBorders>
              <w:top w:val="nil"/>
              <w:left w:val="nil"/>
              <w:bottom w:val="nil"/>
              <w:right w:val="nil"/>
            </w:tcBorders>
          </w:tcPr>
          <w:p w14:paraId="2773AD65"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Included</w:t>
            </w:r>
          </w:p>
        </w:tc>
        <w:tc>
          <w:tcPr>
            <w:tcW w:w="1572" w:type="dxa"/>
            <w:tcBorders>
              <w:top w:val="nil"/>
              <w:left w:val="nil"/>
              <w:bottom w:val="nil"/>
              <w:right w:val="nil"/>
            </w:tcBorders>
          </w:tcPr>
          <w:p w14:paraId="1BCFB9A9"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 xml:space="preserve">Included </w:t>
            </w:r>
          </w:p>
        </w:tc>
        <w:tc>
          <w:tcPr>
            <w:tcW w:w="1345" w:type="dxa"/>
            <w:tcBorders>
              <w:top w:val="nil"/>
              <w:left w:val="nil"/>
              <w:bottom w:val="nil"/>
              <w:right w:val="nil"/>
            </w:tcBorders>
          </w:tcPr>
          <w:p w14:paraId="0B124431"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 xml:space="preserve">Included </w:t>
            </w:r>
          </w:p>
        </w:tc>
        <w:tc>
          <w:tcPr>
            <w:tcW w:w="1490" w:type="dxa"/>
            <w:tcBorders>
              <w:top w:val="nil"/>
              <w:left w:val="nil"/>
              <w:bottom w:val="nil"/>
              <w:right w:val="nil"/>
            </w:tcBorders>
          </w:tcPr>
          <w:p w14:paraId="56CEBD54"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 xml:space="preserve">Included </w:t>
            </w:r>
          </w:p>
        </w:tc>
        <w:tc>
          <w:tcPr>
            <w:tcW w:w="1547" w:type="dxa"/>
            <w:tcBorders>
              <w:top w:val="nil"/>
              <w:left w:val="nil"/>
              <w:bottom w:val="nil"/>
              <w:right w:val="nil"/>
            </w:tcBorders>
          </w:tcPr>
          <w:p w14:paraId="54421BD4"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 xml:space="preserve">Included </w:t>
            </w:r>
          </w:p>
        </w:tc>
        <w:tc>
          <w:tcPr>
            <w:tcW w:w="1559" w:type="dxa"/>
            <w:tcBorders>
              <w:top w:val="nil"/>
              <w:left w:val="nil"/>
              <w:bottom w:val="nil"/>
              <w:right w:val="nil"/>
            </w:tcBorders>
          </w:tcPr>
          <w:p w14:paraId="07326577"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 xml:space="preserve">Included </w:t>
            </w:r>
          </w:p>
        </w:tc>
        <w:tc>
          <w:tcPr>
            <w:tcW w:w="1345" w:type="dxa"/>
            <w:tcBorders>
              <w:top w:val="nil"/>
              <w:left w:val="nil"/>
              <w:bottom w:val="nil"/>
              <w:right w:val="nil"/>
            </w:tcBorders>
          </w:tcPr>
          <w:p w14:paraId="336B4AB7"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 xml:space="preserve">Included </w:t>
            </w:r>
          </w:p>
        </w:tc>
        <w:tc>
          <w:tcPr>
            <w:tcW w:w="1490" w:type="dxa"/>
            <w:tcBorders>
              <w:top w:val="nil"/>
              <w:left w:val="nil"/>
              <w:bottom w:val="nil"/>
              <w:right w:val="nil"/>
            </w:tcBorders>
          </w:tcPr>
          <w:p w14:paraId="361E2912"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 xml:space="preserve">Included </w:t>
            </w:r>
          </w:p>
        </w:tc>
        <w:tc>
          <w:tcPr>
            <w:tcW w:w="1352" w:type="dxa"/>
            <w:tcBorders>
              <w:top w:val="nil"/>
              <w:left w:val="nil"/>
              <w:bottom w:val="nil"/>
              <w:right w:val="nil"/>
            </w:tcBorders>
          </w:tcPr>
          <w:p w14:paraId="3E1A622B"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Included</w:t>
            </w:r>
          </w:p>
        </w:tc>
      </w:tr>
      <w:tr w:rsidR="00010414" w:rsidRPr="00010414" w14:paraId="48C76573" w14:textId="77777777" w:rsidTr="00010414">
        <w:trPr>
          <w:trHeight w:val="80"/>
        </w:trPr>
        <w:tc>
          <w:tcPr>
            <w:tcW w:w="1843" w:type="dxa"/>
            <w:tcBorders>
              <w:top w:val="nil"/>
              <w:left w:val="nil"/>
              <w:bottom w:val="nil"/>
              <w:right w:val="nil"/>
            </w:tcBorders>
          </w:tcPr>
          <w:p w14:paraId="28D5373B" w14:textId="77777777" w:rsidR="00010414" w:rsidRPr="00010414" w:rsidRDefault="00010414" w:rsidP="008E705B">
            <w:pPr>
              <w:rPr>
                <w:rFonts w:ascii="Times New Roman" w:eastAsia="SimSun" w:hAnsi="Times New Roman" w:cs="Times New Roman"/>
                <w:sz w:val="20"/>
                <w:szCs w:val="20"/>
                <w:lang w:val="en-US"/>
              </w:rPr>
            </w:pPr>
            <w:r w:rsidRPr="00010414">
              <w:rPr>
                <w:rFonts w:ascii="Times New Roman" w:eastAsia="SimSun" w:hAnsi="Times New Roman" w:cs="Times New Roman"/>
                <w:sz w:val="20"/>
                <w:szCs w:val="20"/>
                <w:lang w:val="en-US"/>
              </w:rPr>
              <w:t>Constant</w:t>
            </w:r>
          </w:p>
        </w:tc>
        <w:tc>
          <w:tcPr>
            <w:tcW w:w="1499" w:type="dxa"/>
            <w:tcBorders>
              <w:top w:val="nil"/>
              <w:left w:val="nil"/>
              <w:bottom w:val="nil"/>
              <w:right w:val="nil"/>
            </w:tcBorders>
          </w:tcPr>
          <w:p w14:paraId="16B4A156"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0.114</w:t>
            </w:r>
          </w:p>
        </w:tc>
        <w:tc>
          <w:tcPr>
            <w:tcW w:w="1572" w:type="dxa"/>
            <w:tcBorders>
              <w:top w:val="nil"/>
              <w:left w:val="nil"/>
              <w:bottom w:val="nil"/>
              <w:right w:val="nil"/>
            </w:tcBorders>
          </w:tcPr>
          <w:p w14:paraId="2A9E1DFC"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0.213</w:t>
            </w:r>
            <w:r w:rsidRPr="00010414">
              <w:rPr>
                <w:rFonts w:ascii="Times New Roman" w:hAnsi="Times New Roman" w:cs="Times New Roman"/>
                <w:sz w:val="20"/>
                <w:szCs w:val="20"/>
                <w:vertAlign w:val="superscript"/>
              </w:rPr>
              <w:t>**</w:t>
            </w:r>
          </w:p>
        </w:tc>
        <w:tc>
          <w:tcPr>
            <w:tcW w:w="1345" w:type="dxa"/>
            <w:tcBorders>
              <w:top w:val="nil"/>
              <w:left w:val="nil"/>
              <w:bottom w:val="nil"/>
              <w:right w:val="nil"/>
            </w:tcBorders>
          </w:tcPr>
          <w:p w14:paraId="0EF119CD"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0.467</w:t>
            </w:r>
            <w:r w:rsidRPr="00010414">
              <w:rPr>
                <w:rFonts w:ascii="Times New Roman" w:hAnsi="Times New Roman" w:cs="Times New Roman"/>
                <w:sz w:val="20"/>
                <w:szCs w:val="20"/>
                <w:vertAlign w:val="superscript"/>
              </w:rPr>
              <w:t>*</w:t>
            </w:r>
          </w:p>
        </w:tc>
        <w:tc>
          <w:tcPr>
            <w:tcW w:w="1490" w:type="dxa"/>
            <w:tcBorders>
              <w:top w:val="nil"/>
              <w:left w:val="nil"/>
              <w:bottom w:val="nil"/>
              <w:right w:val="nil"/>
            </w:tcBorders>
          </w:tcPr>
          <w:p w14:paraId="52778B5D"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0.109</w:t>
            </w:r>
          </w:p>
        </w:tc>
        <w:tc>
          <w:tcPr>
            <w:tcW w:w="1547" w:type="dxa"/>
            <w:tcBorders>
              <w:top w:val="nil"/>
              <w:left w:val="nil"/>
              <w:bottom w:val="nil"/>
              <w:right w:val="nil"/>
            </w:tcBorders>
          </w:tcPr>
          <w:p w14:paraId="4F2A49F9"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0.205</w:t>
            </w:r>
            <w:r w:rsidRPr="00010414">
              <w:rPr>
                <w:rFonts w:ascii="Times New Roman" w:hAnsi="Times New Roman" w:cs="Times New Roman"/>
                <w:sz w:val="20"/>
                <w:szCs w:val="20"/>
                <w:vertAlign w:val="superscript"/>
              </w:rPr>
              <w:t>**</w:t>
            </w:r>
          </w:p>
        </w:tc>
        <w:tc>
          <w:tcPr>
            <w:tcW w:w="1559" w:type="dxa"/>
            <w:tcBorders>
              <w:top w:val="nil"/>
              <w:left w:val="nil"/>
              <w:bottom w:val="nil"/>
              <w:right w:val="nil"/>
            </w:tcBorders>
          </w:tcPr>
          <w:p w14:paraId="2464B179"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0.218</w:t>
            </w:r>
            <w:r w:rsidRPr="00010414">
              <w:rPr>
                <w:rFonts w:ascii="Times New Roman" w:hAnsi="Times New Roman" w:cs="Times New Roman"/>
                <w:sz w:val="20"/>
                <w:szCs w:val="20"/>
                <w:vertAlign w:val="superscript"/>
              </w:rPr>
              <w:t>**</w:t>
            </w:r>
          </w:p>
        </w:tc>
        <w:tc>
          <w:tcPr>
            <w:tcW w:w="1345" w:type="dxa"/>
            <w:tcBorders>
              <w:top w:val="nil"/>
              <w:left w:val="nil"/>
              <w:bottom w:val="nil"/>
              <w:right w:val="nil"/>
            </w:tcBorders>
          </w:tcPr>
          <w:p w14:paraId="45F92488"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0.247</w:t>
            </w:r>
            <w:r w:rsidRPr="00010414">
              <w:rPr>
                <w:rFonts w:ascii="Times New Roman" w:hAnsi="Times New Roman" w:cs="Times New Roman"/>
                <w:sz w:val="20"/>
                <w:szCs w:val="20"/>
                <w:vertAlign w:val="superscript"/>
              </w:rPr>
              <w:t>**</w:t>
            </w:r>
          </w:p>
        </w:tc>
        <w:tc>
          <w:tcPr>
            <w:tcW w:w="1490" w:type="dxa"/>
            <w:tcBorders>
              <w:top w:val="nil"/>
              <w:left w:val="nil"/>
              <w:bottom w:val="nil"/>
              <w:right w:val="nil"/>
            </w:tcBorders>
          </w:tcPr>
          <w:p w14:paraId="01FB4A61"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0.013</w:t>
            </w:r>
          </w:p>
        </w:tc>
        <w:tc>
          <w:tcPr>
            <w:tcW w:w="1352" w:type="dxa"/>
            <w:tcBorders>
              <w:top w:val="nil"/>
              <w:left w:val="nil"/>
              <w:bottom w:val="nil"/>
              <w:right w:val="nil"/>
            </w:tcBorders>
          </w:tcPr>
          <w:p w14:paraId="20611DF8"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0.413</w:t>
            </w:r>
            <w:r w:rsidRPr="00010414">
              <w:rPr>
                <w:rFonts w:ascii="Times New Roman" w:hAnsi="Times New Roman" w:cs="Times New Roman"/>
                <w:sz w:val="20"/>
                <w:szCs w:val="20"/>
                <w:vertAlign w:val="superscript"/>
              </w:rPr>
              <w:t>***</w:t>
            </w:r>
          </w:p>
        </w:tc>
      </w:tr>
      <w:tr w:rsidR="00010414" w:rsidRPr="00010414" w14:paraId="64B155BB" w14:textId="77777777" w:rsidTr="00010414">
        <w:trPr>
          <w:trHeight w:val="80"/>
        </w:trPr>
        <w:tc>
          <w:tcPr>
            <w:tcW w:w="1843" w:type="dxa"/>
            <w:tcBorders>
              <w:top w:val="nil"/>
              <w:left w:val="nil"/>
              <w:bottom w:val="nil"/>
              <w:right w:val="nil"/>
            </w:tcBorders>
          </w:tcPr>
          <w:p w14:paraId="248BB9A8" w14:textId="77777777" w:rsidR="00010414" w:rsidRPr="00010414" w:rsidRDefault="00010414" w:rsidP="008E705B">
            <w:pPr>
              <w:rPr>
                <w:rFonts w:ascii="Times New Roman" w:eastAsia="SimSun" w:hAnsi="Times New Roman" w:cs="Times New Roman"/>
                <w:sz w:val="20"/>
                <w:szCs w:val="20"/>
                <w:lang w:val="en-US"/>
              </w:rPr>
            </w:pPr>
            <w:r w:rsidRPr="00010414">
              <w:rPr>
                <w:rFonts w:ascii="Times New Roman" w:eastAsia="SimSun" w:hAnsi="Times New Roman" w:cs="Times New Roman"/>
                <w:sz w:val="20"/>
                <w:szCs w:val="20"/>
                <w:lang w:val="en-US"/>
              </w:rPr>
              <w:t>Durbin-W. Stat.</w:t>
            </w:r>
          </w:p>
        </w:tc>
        <w:tc>
          <w:tcPr>
            <w:tcW w:w="1499" w:type="dxa"/>
            <w:tcBorders>
              <w:top w:val="nil"/>
              <w:left w:val="nil"/>
              <w:bottom w:val="nil"/>
              <w:right w:val="nil"/>
            </w:tcBorders>
          </w:tcPr>
          <w:p w14:paraId="1F5E2372"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1.324</w:t>
            </w:r>
          </w:p>
        </w:tc>
        <w:tc>
          <w:tcPr>
            <w:tcW w:w="1572" w:type="dxa"/>
            <w:tcBorders>
              <w:top w:val="nil"/>
              <w:left w:val="nil"/>
              <w:bottom w:val="nil"/>
              <w:right w:val="nil"/>
            </w:tcBorders>
          </w:tcPr>
          <w:p w14:paraId="798295D7"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1.286</w:t>
            </w:r>
          </w:p>
        </w:tc>
        <w:tc>
          <w:tcPr>
            <w:tcW w:w="1345" w:type="dxa"/>
            <w:tcBorders>
              <w:top w:val="nil"/>
              <w:left w:val="nil"/>
              <w:bottom w:val="nil"/>
              <w:right w:val="nil"/>
            </w:tcBorders>
          </w:tcPr>
          <w:p w14:paraId="21BB599C"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1.320</w:t>
            </w:r>
          </w:p>
        </w:tc>
        <w:tc>
          <w:tcPr>
            <w:tcW w:w="1490" w:type="dxa"/>
            <w:tcBorders>
              <w:top w:val="nil"/>
              <w:left w:val="nil"/>
              <w:bottom w:val="nil"/>
              <w:right w:val="nil"/>
            </w:tcBorders>
          </w:tcPr>
          <w:p w14:paraId="2B697CEE"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1.311</w:t>
            </w:r>
          </w:p>
        </w:tc>
        <w:tc>
          <w:tcPr>
            <w:tcW w:w="1547" w:type="dxa"/>
            <w:tcBorders>
              <w:top w:val="nil"/>
              <w:left w:val="nil"/>
              <w:bottom w:val="nil"/>
              <w:right w:val="nil"/>
            </w:tcBorders>
          </w:tcPr>
          <w:p w14:paraId="08EA8657"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1.217</w:t>
            </w:r>
          </w:p>
        </w:tc>
        <w:tc>
          <w:tcPr>
            <w:tcW w:w="1559" w:type="dxa"/>
            <w:tcBorders>
              <w:top w:val="nil"/>
              <w:left w:val="nil"/>
              <w:bottom w:val="nil"/>
              <w:right w:val="nil"/>
            </w:tcBorders>
          </w:tcPr>
          <w:p w14:paraId="28305CD9"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1.114</w:t>
            </w:r>
          </w:p>
        </w:tc>
        <w:tc>
          <w:tcPr>
            <w:tcW w:w="1345" w:type="dxa"/>
            <w:tcBorders>
              <w:top w:val="nil"/>
              <w:left w:val="nil"/>
              <w:bottom w:val="nil"/>
              <w:right w:val="nil"/>
            </w:tcBorders>
          </w:tcPr>
          <w:p w14:paraId="6266AEDF"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1.327</w:t>
            </w:r>
          </w:p>
        </w:tc>
        <w:tc>
          <w:tcPr>
            <w:tcW w:w="1490" w:type="dxa"/>
            <w:tcBorders>
              <w:top w:val="nil"/>
              <w:left w:val="nil"/>
              <w:bottom w:val="nil"/>
              <w:right w:val="nil"/>
            </w:tcBorders>
          </w:tcPr>
          <w:p w14:paraId="184F8A24"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1.566</w:t>
            </w:r>
          </w:p>
        </w:tc>
        <w:tc>
          <w:tcPr>
            <w:tcW w:w="1352" w:type="dxa"/>
            <w:tcBorders>
              <w:top w:val="nil"/>
              <w:left w:val="nil"/>
              <w:bottom w:val="nil"/>
              <w:right w:val="nil"/>
            </w:tcBorders>
          </w:tcPr>
          <w:p w14:paraId="3E73347C"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1.210</w:t>
            </w:r>
          </w:p>
        </w:tc>
      </w:tr>
      <w:tr w:rsidR="00010414" w:rsidRPr="00010414" w14:paraId="5342B5F0" w14:textId="77777777" w:rsidTr="00010414">
        <w:tc>
          <w:tcPr>
            <w:tcW w:w="1843" w:type="dxa"/>
            <w:tcBorders>
              <w:top w:val="nil"/>
              <w:left w:val="nil"/>
              <w:bottom w:val="nil"/>
              <w:right w:val="nil"/>
            </w:tcBorders>
          </w:tcPr>
          <w:p w14:paraId="0232DB3A" w14:textId="77777777" w:rsidR="00010414" w:rsidRPr="00010414" w:rsidRDefault="00010414" w:rsidP="008E705B">
            <w:pPr>
              <w:rPr>
                <w:rFonts w:ascii="Times New Roman" w:eastAsia="SimSun" w:hAnsi="Times New Roman" w:cs="Times New Roman"/>
                <w:i/>
                <w:iCs/>
                <w:sz w:val="20"/>
                <w:szCs w:val="20"/>
                <w:lang w:val="en-US"/>
              </w:rPr>
            </w:pPr>
            <w:r w:rsidRPr="00010414">
              <w:rPr>
                <w:rFonts w:ascii="Times New Roman" w:eastAsia="SimSun" w:hAnsi="Times New Roman" w:cs="Times New Roman"/>
                <w:i/>
                <w:iCs/>
                <w:sz w:val="20"/>
                <w:szCs w:val="20"/>
                <w:lang w:val="en-US"/>
              </w:rPr>
              <w:t>F</w:t>
            </w:r>
            <w:r w:rsidRPr="00010414">
              <w:rPr>
                <w:rFonts w:ascii="Times New Roman" w:eastAsia="SimSun" w:hAnsi="Times New Roman" w:cs="Times New Roman"/>
                <w:sz w:val="20"/>
                <w:szCs w:val="20"/>
                <w:lang w:val="en-US"/>
              </w:rPr>
              <w:t>- value</w:t>
            </w:r>
          </w:p>
        </w:tc>
        <w:tc>
          <w:tcPr>
            <w:tcW w:w="1499" w:type="dxa"/>
            <w:tcBorders>
              <w:top w:val="nil"/>
              <w:left w:val="nil"/>
              <w:bottom w:val="nil"/>
              <w:right w:val="nil"/>
            </w:tcBorders>
          </w:tcPr>
          <w:p w14:paraId="7410EFF2"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19.505</w:t>
            </w:r>
            <w:r w:rsidRPr="00010414">
              <w:rPr>
                <w:rFonts w:ascii="Times New Roman" w:hAnsi="Times New Roman" w:cs="Times New Roman"/>
                <w:sz w:val="20"/>
                <w:szCs w:val="20"/>
                <w:vertAlign w:val="superscript"/>
              </w:rPr>
              <w:t>***</w:t>
            </w:r>
          </w:p>
        </w:tc>
        <w:tc>
          <w:tcPr>
            <w:tcW w:w="1572" w:type="dxa"/>
            <w:tcBorders>
              <w:top w:val="nil"/>
              <w:left w:val="nil"/>
              <w:bottom w:val="nil"/>
              <w:right w:val="nil"/>
            </w:tcBorders>
          </w:tcPr>
          <w:p w14:paraId="48D219BE"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18.932</w:t>
            </w:r>
            <w:r w:rsidRPr="00010414">
              <w:rPr>
                <w:rFonts w:ascii="Times New Roman" w:hAnsi="Times New Roman" w:cs="Times New Roman"/>
                <w:sz w:val="20"/>
                <w:szCs w:val="20"/>
                <w:vertAlign w:val="superscript"/>
              </w:rPr>
              <w:t>***</w:t>
            </w:r>
          </w:p>
        </w:tc>
        <w:tc>
          <w:tcPr>
            <w:tcW w:w="1345" w:type="dxa"/>
            <w:tcBorders>
              <w:top w:val="nil"/>
              <w:left w:val="nil"/>
              <w:bottom w:val="nil"/>
              <w:right w:val="nil"/>
            </w:tcBorders>
          </w:tcPr>
          <w:p w14:paraId="3F325E1F"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13.854</w:t>
            </w:r>
            <w:r w:rsidRPr="00010414">
              <w:rPr>
                <w:rFonts w:ascii="Times New Roman" w:hAnsi="Times New Roman" w:cs="Times New Roman"/>
                <w:sz w:val="20"/>
                <w:szCs w:val="20"/>
                <w:vertAlign w:val="superscript"/>
              </w:rPr>
              <w:t>***</w:t>
            </w:r>
          </w:p>
        </w:tc>
        <w:tc>
          <w:tcPr>
            <w:tcW w:w="1490" w:type="dxa"/>
            <w:tcBorders>
              <w:top w:val="nil"/>
              <w:left w:val="nil"/>
              <w:bottom w:val="nil"/>
              <w:right w:val="nil"/>
            </w:tcBorders>
          </w:tcPr>
          <w:p w14:paraId="0A51ABC6"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16.044</w:t>
            </w:r>
            <w:r w:rsidRPr="00010414">
              <w:rPr>
                <w:rFonts w:ascii="Times New Roman" w:hAnsi="Times New Roman" w:cs="Times New Roman"/>
                <w:sz w:val="20"/>
                <w:szCs w:val="20"/>
                <w:vertAlign w:val="superscript"/>
              </w:rPr>
              <w:t>***</w:t>
            </w:r>
          </w:p>
        </w:tc>
        <w:tc>
          <w:tcPr>
            <w:tcW w:w="1547" w:type="dxa"/>
            <w:tcBorders>
              <w:top w:val="nil"/>
              <w:left w:val="nil"/>
              <w:bottom w:val="nil"/>
              <w:right w:val="nil"/>
            </w:tcBorders>
          </w:tcPr>
          <w:p w14:paraId="7A377C9B"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12.080</w:t>
            </w:r>
            <w:r w:rsidRPr="00010414">
              <w:rPr>
                <w:rFonts w:ascii="Times New Roman" w:hAnsi="Times New Roman" w:cs="Times New Roman"/>
                <w:sz w:val="20"/>
                <w:szCs w:val="20"/>
                <w:vertAlign w:val="superscript"/>
              </w:rPr>
              <w:t>***</w:t>
            </w:r>
          </w:p>
        </w:tc>
        <w:tc>
          <w:tcPr>
            <w:tcW w:w="1559" w:type="dxa"/>
            <w:tcBorders>
              <w:top w:val="nil"/>
              <w:left w:val="nil"/>
              <w:bottom w:val="nil"/>
              <w:right w:val="nil"/>
            </w:tcBorders>
          </w:tcPr>
          <w:p w14:paraId="3DB4308F"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14.871</w:t>
            </w:r>
            <w:r w:rsidRPr="00010414">
              <w:rPr>
                <w:rFonts w:ascii="Times New Roman" w:hAnsi="Times New Roman" w:cs="Times New Roman"/>
                <w:sz w:val="20"/>
                <w:szCs w:val="20"/>
                <w:vertAlign w:val="superscript"/>
              </w:rPr>
              <w:t>***</w:t>
            </w:r>
          </w:p>
        </w:tc>
        <w:tc>
          <w:tcPr>
            <w:tcW w:w="1345" w:type="dxa"/>
            <w:tcBorders>
              <w:top w:val="nil"/>
              <w:left w:val="nil"/>
              <w:bottom w:val="nil"/>
              <w:right w:val="nil"/>
            </w:tcBorders>
          </w:tcPr>
          <w:p w14:paraId="44B7A74E"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17.915</w:t>
            </w:r>
            <w:r w:rsidRPr="00010414">
              <w:rPr>
                <w:rFonts w:ascii="Times New Roman" w:hAnsi="Times New Roman" w:cs="Times New Roman"/>
                <w:sz w:val="20"/>
                <w:szCs w:val="20"/>
                <w:vertAlign w:val="superscript"/>
              </w:rPr>
              <w:t>***</w:t>
            </w:r>
          </w:p>
        </w:tc>
        <w:tc>
          <w:tcPr>
            <w:tcW w:w="1490" w:type="dxa"/>
            <w:tcBorders>
              <w:top w:val="nil"/>
              <w:left w:val="nil"/>
              <w:bottom w:val="nil"/>
              <w:right w:val="nil"/>
            </w:tcBorders>
          </w:tcPr>
          <w:p w14:paraId="549A2E81" w14:textId="77777777" w:rsidR="00010414" w:rsidRPr="00010414" w:rsidRDefault="00010414" w:rsidP="008E705B">
            <w:pPr>
              <w:rPr>
                <w:rFonts w:ascii="Times New Roman" w:hAnsi="Times New Roman" w:cs="Times New Roman"/>
                <w:sz w:val="20"/>
                <w:szCs w:val="20"/>
                <w:vertAlign w:val="superscript"/>
              </w:rPr>
            </w:pPr>
            <w:r w:rsidRPr="00010414">
              <w:rPr>
                <w:rFonts w:ascii="Times New Roman" w:hAnsi="Times New Roman" w:cs="Times New Roman"/>
                <w:sz w:val="20"/>
                <w:szCs w:val="20"/>
              </w:rPr>
              <w:t>16.209</w:t>
            </w:r>
            <w:r w:rsidRPr="00010414">
              <w:rPr>
                <w:rFonts w:ascii="Times New Roman" w:hAnsi="Times New Roman" w:cs="Times New Roman"/>
                <w:sz w:val="20"/>
                <w:szCs w:val="20"/>
                <w:vertAlign w:val="superscript"/>
              </w:rPr>
              <w:t>***</w:t>
            </w:r>
          </w:p>
        </w:tc>
        <w:tc>
          <w:tcPr>
            <w:tcW w:w="1352" w:type="dxa"/>
            <w:tcBorders>
              <w:top w:val="nil"/>
              <w:left w:val="nil"/>
              <w:bottom w:val="nil"/>
              <w:right w:val="nil"/>
            </w:tcBorders>
          </w:tcPr>
          <w:p w14:paraId="39F6FC88"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15.287</w:t>
            </w:r>
            <w:r w:rsidRPr="00010414">
              <w:rPr>
                <w:rFonts w:ascii="Times New Roman" w:hAnsi="Times New Roman" w:cs="Times New Roman"/>
                <w:sz w:val="20"/>
                <w:szCs w:val="20"/>
                <w:vertAlign w:val="superscript"/>
              </w:rPr>
              <w:t>***</w:t>
            </w:r>
          </w:p>
        </w:tc>
      </w:tr>
      <w:tr w:rsidR="00010414" w:rsidRPr="00010414" w14:paraId="70BD7F12" w14:textId="77777777" w:rsidTr="00010414">
        <w:tc>
          <w:tcPr>
            <w:tcW w:w="1843" w:type="dxa"/>
            <w:tcBorders>
              <w:top w:val="nil"/>
              <w:left w:val="nil"/>
              <w:bottom w:val="nil"/>
              <w:right w:val="nil"/>
            </w:tcBorders>
          </w:tcPr>
          <w:p w14:paraId="414A8B6F" w14:textId="77777777" w:rsidR="00010414" w:rsidRPr="00010414" w:rsidRDefault="00010414" w:rsidP="008E705B">
            <w:pPr>
              <w:rPr>
                <w:rFonts w:ascii="Times New Roman" w:eastAsia="SimSun" w:hAnsi="Times New Roman" w:cs="Times New Roman"/>
                <w:sz w:val="20"/>
                <w:szCs w:val="20"/>
                <w:lang w:val="en-US"/>
              </w:rPr>
            </w:pPr>
            <w:r w:rsidRPr="00010414">
              <w:rPr>
                <w:rFonts w:ascii="Times New Roman" w:eastAsia="SimSun" w:hAnsi="Times New Roman" w:cs="Times New Roman"/>
                <w:sz w:val="20"/>
                <w:szCs w:val="20"/>
                <w:lang w:val="en-US"/>
              </w:rPr>
              <w:t xml:space="preserve">Adj. </w:t>
            </w:r>
            <w:r w:rsidRPr="00010414">
              <w:rPr>
                <w:rFonts w:ascii="Times New Roman" w:eastAsia="SimSun" w:hAnsi="Times New Roman" w:cs="Times New Roman"/>
                <w:i/>
                <w:sz w:val="20"/>
                <w:szCs w:val="20"/>
                <w:lang w:val="en-US"/>
              </w:rPr>
              <w:t>R</w:t>
            </w:r>
            <w:r w:rsidRPr="00010414">
              <w:rPr>
                <w:rFonts w:ascii="Times New Roman" w:eastAsia="SimSun" w:hAnsi="Times New Roman" w:cs="Times New Roman"/>
                <w:i/>
                <w:sz w:val="20"/>
                <w:szCs w:val="20"/>
                <w:vertAlign w:val="superscript"/>
                <w:lang w:val="en-US"/>
              </w:rPr>
              <w:t>2</w:t>
            </w:r>
          </w:p>
        </w:tc>
        <w:tc>
          <w:tcPr>
            <w:tcW w:w="1499" w:type="dxa"/>
            <w:tcBorders>
              <w:top w:val="nil"/>
              <w:left w:val="nil"/>
              <w:bottom w:val="nil"/>
              <w:right w:val="nil"/>
            </w:tcBorders>
          </w:tcPr>
          <w:p w14:paraId="63D3F398"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0.415</w:t>
            </w:r>
          </w:p>
        </w:tc>
        <w:tc>
          <w:tcPr>
            <w:tcW w:w="1572" w:type="dxa"/>
            <w:tcBorders>
              <w:top w:val="nil"/>
              <w:left w:val="nil"/>
              <w:bottom w:val="nil"/>
              <w:right w:val="nil"/>
            </w:tcBorders>
          </w:tcPr>
          <w:p w14:paraId="5534F8FE"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0.408</w:t>
            </w:r>
          </w:p>
        </w:tc>
        <w:tc>
          <w:tcPr>
            <w:tcW w:w="1345" w:type="dxa"/>
            <w:tcBorders>
              <w:top w:val="nil"/>
              <w:left w:val="nil"/>
              <w:bottom w:val="nil"/>
              <w:right w:val="nil"/>
            </w:tcBorders>
          </w:tcPr>
          <w:p w14:paraId="6C40FBE4"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0.330</w:t>
            </w:r>
          </w:p>
        </w:tc>
        <w:tc>
          <w:tcPr>
            <w:tcW w:w="1490" w:type="dxa"/>
            <w:tcBorders>
              <w:top w:val="nil"/>
              <w:left w:val="nil"/>
              <w:bottom w:val="nil"/>
              <w:right w:val="nil"/>
            </w:tcBorders>
          </w:tcPr>
          <w:p w14:paraId="140C4EF2"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0.366</w:t>
            </w:r>
          </w:p>
        </w:tc>
        <w:tc>
          <w:tcPr>
            <w:tcW w:w="1547" w:type="dxa"/>
            <w:tcBorders>
              <w:top w:val="nil"/>
              <w:left w:val="nil"/>
              <w:bottom w:val="nil"/>
              <w:right w:val="nil"/>
            </w:tcBorders>
          </w:tcPr>
          <w:p w14:paraId="373D49CB"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0.298</w:t>
            </w:r>
          </w:p>
        </w:tc>
        <w:tc>
          <w:tcPr>
            <w:tcW w:w="1559" w:type="dxa"/>
            <w:tcBorders>
              <w:top w:val="nil"/>
              <w:left w:val="nil"/>
              <w:bottom w:val="nil"/>
              <w:right w:val="nil"/>
            </w:tcBorders>
          </w:tcPr>
          <w:p w14:paraId="4544CD35"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0.347</w:t>
            </w:r>
          </w:p>
        </w:tc>
        <w:tc>
          <w:tcPr>
            <w:tcW w:w="1345" w:type="dxa"/>
            <w:tcBorders>
              <w:top w:val="nil"/>
              <w:left w:val="nil"/>
              <w:bottom w:val="nil"/>
              <w:right w:val="nil"/>
            </w:tcBorders>
          </w:tcPr>
          <w:p w14:paraId="7B8149A2"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0.394</w:t>
            </w:r>
          </w:p>
        </w:tc>
        <w:tc>
          <w:tcPr>
            <w:tcW w:w="1490" w:type="dxa"/>
            <w:tcBorders>
              <w:top w:val="nil"/>
              <w:left w:val="nil"/>
              <w:bottom w:val="nil"/>
              <w:right w:val="nil"/>
            </w:tcBorders>
          </w:tcPr>
          <w:p w14:paraId="29F2D4D2"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0.369</w:t>
            </w:r>
          </w:p>
        </w:tc>
        <w:tc>
          <w:tcPr>
            <w:tcW w:w="1352" w:type="dxa"/>
            <w:tcBorders>
              <w:top w:val="nil"/>
              <w:left w:val="nil"/>
              <w:bottom w:val="nil"/>
              <w:right w:val="nil"/>
            </w:tcBorders>
          </w:tcPr>
          <w:p w14:paraId="63DB57A0"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0.354</w:t>
            </w:r>
          </w:p>
        </w:tc>
      </w:tr>
      <w:tr w:rsidR="00010414" w:rsidRPr="00010414" w14:paraId="251E03A1" w14:textId="77777777" w:rsidTr="00010414">
        <w:tc>
          <w:tcPr>
            <w:tcW w:w="1843" w:type="dxa"/>
            <w:tcBorders>
              <w:top w:val="nil"/>
              <w:left w:val="nil"/>
              <w:bottom w:val="single" w:sz="4" w:space="0" w:color="auto"/>
              <w:right w:val="nil"/>
            </w:tcBorders>
          </w:tcPr>
          <w:p w14:paraId="30C0CF99" w14:textId="77777777" w:rsidR="00010414" w:rsidRPr="00010414" w:rsidRDefault="00010414" w:rsidP="008E705B">
            <w:pPr>
              <w:rPr>
                <w:rFonts w:ascii="Times New Roman" w:eastAsia="SimSun" w:hAnsi="Times New Roman" w:cs="Times New Roman"/>
                <w:sz w:val="20"/>
                <w:szCs w:val="20"/>
                <w:lang w:val="en-US"/>
              </w:rPr>
            </w:pPr>
            <w:r w:rsidRPr="00010414">
              <w:rPr>
                <w:rFonts w:ascii="Times New Roman" w:eastAsia="SimSun" w:hAnsi="Times New Roman" w:cs="Times New Roman"/>
                <w:sz w:val="20"/>
                <w:szCs w:val="20"/>
                <w:lang w:val="en-US"/>
              </w:rPr>
              <w:t>No. observations</w:t>
            </w:r>
          </w:p>
        </w:tc>
        <w:tc>
          <w:tcPr>
            <w:tcW w:w="1499" w:type="dxa"/>
            <w:tcBorders>
              <w:top w:val="nil"/>
              <w:left w:val="nil"/>
              <w:bottom w:val="single" w:sz="4" w:space="0" w:color="auto"/>
              <w:right w:val="nil"/>
            </w:tcBorders>
          </w:tcPr>
          <w:p w14:paraId="6FE8F65F"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702</w:t>
            </w:r>
          </w:p>
        </w:tc>
        <w:tc>
          <w:tcPr>
            <w:tcW w:w="1572" w:type="dxa"/>
            <w:tcBorders>
              <w:top w:val="nil"/>
              <w:left w:val="nil"/>
              <w:bottom w:val="single" w:sz="4" w:space="0" w:color="auto"/>
              <w:right w:val="nil"/>
            </w:tcBorders>
          </w:tcPr>
          <w:p w14:paraId="574099E4"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702</w:t>
            </w:r>
          </w:p>
        </w:tc>
        <w:tc>
          <w:tcPr>
            <w:tcW w:w="1345" w:type="dxa"/>
            <w:tcBorders>
              <w:top w:val="nil"/>
              <w:left w:val="nil"/>
              <w:bottom w:val="single" w:sz="4" w:space="0" w:color="auto"/>
              <w:right w:val="nil"/>
            </w:tcBorders>
          </w:tcPr>
          <w:p w14:paraId="645C9193"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702</w:t>
            </w:r>
          </w:p>
        </w:tc>
        <w:tc>
          <w:tcPr>
            <w:tcW w:w="1490" w:type="dxa"/>
            <w:tcBorders>
              <w:top w:val="nil"/>
              <w:left w:val="nil"/>
              <w:bottom w:val="single" w:sz="4" w:space="0" w:color="auto"/>
              <w:right w:val="nil"/>
            </w:tcBorders>
          </w:tcPr>
          <w:p w14:paraId="4E4994C2"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702</w:t>
            </w:r>
          </w:p>
        </w:tc>
        <w:tc>
          <w:tcPr>
            <w:tcW w:w="1547" w:type="dxa"/>
            <w:tcBorders>
              <w:top w:val="nil"/>
              <w:left w:val="nil"/>
              <w:bottom w:val="single" w:sz="4" w:space="0" w:color="auto"/>
              <w:right w:val="nil"/>
            </w:tcBorders>
          </w:tcPr>
          <w:p w14:paraId="77DCC6F1"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702</w:t>
            </w:r>
          </w:p>
        </w:tc>
        <w:tc>
          <w:tcPr>
            <w:tcW w:w="1559" w:type="dxa"/>
            <w:tcBorders>
              <w:top w:val="nil"/>
              <w:left w:val="nil"/>
              <w:bottom w:val="single" w:sz="4" w:space="0" w:color="auto"/>
              <w:right w:val="nil"/>
            </w:tcBorders>
          </w:tcPr>
          <w:p w14:paraId="6BC8FE0A"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702</w:t>
            </w:r>
          </w:p>
        </w:tc>
        <w:tc>
          <w:tcPr>
            <w:tcW w:w="1345" w:type="dxa"/>
            <w:tcBorders>
              <w:top w:val="nil"/>
              <w:left w:val="nil"/>
              <w:bottom w:val="single" w:sz="4" w:space="0" w:color="auto"/>
              <w:right w:val="nil"/>
            </w:tcBorders>
          </w:tcPr>
          <w:p w14:paraId="18C6B474"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702</w:t>
            </w:r>
          </w:p>
        </w:tc>
        <w:tc>
          <w:tcPr>
            <w:tcW w:w="1490" w:type="dxa"/>
            <w:tcBorders>
              <w:top w:val="nil"/>
              <w:left w:val="nil"/>
              <w:bottom w:val="single" w:sz="4" w:space="0" w:color="auto"/>
              <w:right w:val="nil"/>
            </w:tcBorders>
          </w:tcPr>
          <w:p w14:paraId="1A05927F"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702</w:t>
            </w:r>
          </w:p>
        </w:tc>
        <w:tc>
          <w:tcPr>
            <w:tcW w:w="1352" w:type="dxa"/>
            <w:tcBorders>
              <w:top w:val="nil"/>
              <w:left w:val="nil"/>
              <w:bottom w:val="single" w:sz="4" w:space="0" w:color="auto"/>
              <w:right w:val="nil"/>
            </w:tcBorders>
          </w:tcPr>
          <w:p w14:paraId="62D1C922" w14:textId="77777777" w:rsidR="00010414" w:rsidRPr="00010414" w:rsidRDefault="00010414" w:rsidP="008E705B">
            <w:pPr>
              <w:rPr>
                <w:rFonts w:ascii="Times New Roman" w:hAnsi="Times New Roman" w:cs="Times New Roman"/>
                <w:sz w:val="20"/>
                <w:szCs w:val="20"/>
              </w:rPr>
            </w:pPr>
            <w:r w:rsidRPr="00010414">
              <w:rPr>
                <w:rFonts w:ascii="Times New Roman" w:hAnsi="Times New Roman" w:cs="Times New Roman"/>
                <w:sz w:val="20"/>
                <w:szCs w:val="20"/>
              </w:rPr>
              <w:t>702</w:t>
            </w:r>
          </w:p>
        </w:tc>
      </w:tr>
      <w:tr w:rsidR="00010414" w:rsidRPr="00010414" w14:paraId="7E127931" w14:textId="77777777" w:rsidTr="00010414">
        <w:tc>
          <w:tcPr>
            <w:tcW w:w="15042" w:type="dxa"/>
            <w:gridSpan w:val="10"/>
            <w:tcBorders>
              <w:top w:val="single" w:sz="4" w:space="0" w:color="auto"/>
              <w:left w:val="nil"/>
              <w:bottom w:val="nil"/>
              <w:right w:val="nil"/>
            </w:tcBorders>
          </w:tcPr>
          <w:p w14:paraId="0B7E0F02" w14:textId="439716D0" w:rsidR="00010414" w:rsidRPr="00010414" w:rsidRDefault="00010414" w:rsidP="008E705B">
            <w:pPr>
              <w:jc w:val="both"/>
              <w:rPr>
                <w:rFonts w:ascii="Times New Roman" w:hAnsi="Times New Roman" w:cs="Times New Roman"/>
                <w:sz w:val="20"/>
                <w:szCs w:val="20"/>
              </w:rPr>
            </w:pPr>
            <w:r w:rsidRPr="00010414">
              <w:rPr>
                <w:rFonts w:ascii="Times New Roman" w:hAnsi="Times New Roman" w:cs="Times New Roman"/>
                <w:sz w:val="20"/>
                <w:szCs w:val="20"/>
              </w:rPr>
              <w:t xml:space="preserve">Model 1 presents the findings of the impact of </w:t>
            </w:r>
            <w:r>
              <w:rPr>
                <w:rFonts w:ascii="Times New Roman" w:hAnsi="Times New Roman" w:cs="Times New Roman"/>
                <w:sz w:val="20"/>
                <w:szCs w:val="20"/>
              </w:rPr>
              <w:t>HE</w:t>
            </w:r>
            <w:r w:rsidRPr="00010414">
              <w:rPr>
                <w:rFonts w:ascii="Times New Roman" w:hAnsi="Times New Roman" w:cs="Times New Roman"/>
                <w:sz w:val="20"/>
                <w:szCs w:val="20"/>
              </w:rPr>
              <w:t>GQI on risk disclosure index (</w:t>
            </w:r>
            <w:r>
              <w:rPr>
                <w:rFonts w:ascii="Times New Roman" w:hAnsi="Times New Roman" w:cs="Times New Roman"/>
                <w:sz w:val="20"/>
                <w:szCs w:val="20"/>
              </w:rPr>
              <w:t>HE</w:t>
            </w:r>
            <w:r w:rsidRPr="00010414">
              <w:rPr>
                <w:rFonts w:ascii="Times New Roman" w:hAnsi="Times New Roman" w:cs="Times New Roman"/>
                <w:sz w:val="20"/>
                <w:szCs w:val="20"/>
              </w:rPr>
              <w:t xml:space="preserve">RDI). Models 2-6 present the findings of the impact of each sub-section of </w:t>
            </w:r>
            <w:r>
              <w:rPr>
                <w:rFonts w:ascii="Times New Roman" w:hAnsi="Times New Roman" w:cs="Times New Roman"/>
                <w:i/>
                <w:iCs/>
                <w:sz w:val="20"/>
                <w:szCs w:val="20"/>
              </w:rPr>
              <w:t>HE</w:t>
            </w:r>
            <w:r w:rsidRPr="00010414">
              <w:rPr>
                <w:rFonts w:ascii="Times New Roman" w:hAnsi="Times New Roman" w:cs="Times New Roman"/>
                <w:i/>
                <w:iCs/>
                <w:sz w:val="20"/>
                <w:szCs w:val="20"/>
              </w:rPr>
              <w:t>GQI</w:t>
            </w:r>
            <w:r w:rsidRPr="00010414">
              <w:rPr>
                <w:rFonts w:ascii="Times New Roman" w:hAnsi="Times New Roman" w:cs="Times New Roman"/>
                <w:sz w:val="20"/>
                <w:szCs w:val="20"/>
              </w:rPr>
              <w:t xml:space="preserve"> (</w:t>
            </w:r>
            <w:r w:rsidRPr="00010414">
              <w:rPr>
                <w:rFonts w:asciiTheme="majorBidi" w:hAnsiTheme="majorBidi" w:cstheme="majorBidi"/>
                <w:sz w:val="20"/>
                <w:szCs w:val="20"/>
              </w:rPr>
              <w:t>governing board – GOVB, procedures/structures – PR</w:t>
            </w:r>
            <w:r>
              <w:rPr>
                <w:rFonts w:asciiTheme="majorBidi" w:hAnsiTheme="majorBidi" w:cstheme="majorBidi"/>
                <w:sz w:val="20"/>
                <w:szCs w:val="20"/>
              </w:rPr>
              <w:t>O</w:t>
            </w:r>
            <w:r w:rsidRPr="00010414">
              <w:rPr>
                <w:rFonts w:asciiTheme="majorBidi" w:hAnsiTheme="majorBidi" w:cstheme="majorBidi"/>
                <w:sz w:val="20"/>
                <w:szCs w:val="20"/>
              </w:rPr>
              <w:t>S, performance evaluation, rewards and pay – PERP, accounting, auditing and accountability – A</w:t>
            </w:r>
            <w:r>
              <w:rPr>
                <w:rFonts w:asciiTheme="majorBidi" w:hAnsiTheme="majorBidi" w:cstheme="majorBidi"/>
                <w:sz w:val="20"/>
                <w:szCs w:val="20"/>
              </w:rPr>
              <w:t>AA</w:t>
            </w:r>
            <w:r w:rsidRPr="00010414">
              <w:rPr>
                <w:rFonts w:asciiTheme="majorBidi" w:hAnsiTheme="majorBidi" w:cstheme="majorBidi"/>
                <w:sz w:val="20"/>
                <w:szCs w:val="20"/>
              </w:rPr>
              <w:t>C, and social, environmental responsibility</w:t>
            </w:r>
            <w:r w:rsidRPr="00010414">
              <w:rPr>
                <w:rFonts w:asciiTheme="majorBidi" w:hAnsiTheme="majorBidi" w:cstheme="majorBidi"/>
                <w:bCs/>
                <w:sz w:val="20"/>
                <w:szCs w:val="20"/>
              </w:rPr>
              <w:t xml:space="preserve"> and stakeholders’ engagement </w:t>
            </w:r>
            <w:r w:rsidRPr="00010414">
              <w:rPr>
                <w:rFonts w:asciiTheme="majorBidi" w:hAnsiTheme="majorBidi" w:cstheme="majorBidi"/>
                <w:sz w:val="20"/>
                <w:szCs w:val="20"/>
              </w:rPr>
              <w:t xml:space="preserve">– SERSE) on </w:t>
            </w:r>
            <w:r>
              <w:rPr>
                <w:rFonts w:asciiTheme="majorBidi" w:hAnsiTheme="majorBidi" w:cstheme="majorBidi"/>
                <w:i/>
                <w:iCs/>
                <w:sz w:val="20"/>
                <w:szCs w:val="20"/>
              </w:rPr>
              <w:t>HE</w:t>
            </w:r>
            <w:r w:rsidRPr="00010414">
              <w:rPr>
                <w:rFonts w:asciiTheme="majorBidi" w:hAnsiTheme="majorBidi" w:cstheme="majorBidi"/>
                <w:i/>
                <w:iCs/>
                <w:sz w:val="20"/>
                <w:szCs w:val="20"/>
              </w:rPr>
              <w:t>RDI</w:t>
            </w:r>
            <w:r w:rsidRPr="00010414">
              <w:rPr>
                <w:rFonts w:asciiTheme="majorBidi" w:hAnsiTheme="majorBidi" w:cstheme="majorBidi"/>
                <w:sz w:val="20"/>
                <w:szCs w:val="20"/>
              </w:rPr>
              <w:t xml:space="preserve">. Models 7-9 shows the findings of the impact of </w:t>
            </w:r>
            <w:r>
              <w:rPr>
                <w:rFonts w:asciiTheme="majorBidi" w:hAnsiTheme="majorBidi" w:cstheme="majorBidi"/>
                <w:i/>
                <w:iCs/>
                <w:sz w:val="20"/>
                <w:szCs w:val="20"/>
              </w:rPr>
              <w:t>HE</w:t>
            </w:r>
            <w:r w:rsidRPr="00010414">
              <w:rPr>
                <w:rFonts w:asciiTheme="majorBidi" w:hAnsiTheme="majorBidi" w:cstheme="majorBidi"/>
                <w:i/>
                <w:iCs/>
                <w:sz w:val="20"/>
                <w:szCs w:val="20"/>
              </w:rPr>
              <w:t>GQI</w:t>
            </w:r>
            <w:r w:rsidRPr="00010414">
              <w:rPr>
                <w:rFonts w:asciiTheme="majorBidi" w:hAnsiTheme="majorBidi" w:cstheme="majorBidi"/>
                <w:sz w:val="20"/>
                <w:szCs w:val="20"/>
              </w:rPr>
              <w:t xml:space="preserve"> on financial (</w:t>
            </w:r>
            <w:r>
              <w:rPr>
                <w:rFonts w:asciiTheme="majorBidi" w:hAnsiTheme="majorBidi" w:cstheme="majorBidi"/>
                <w:sz w:val="20"/>
                <w:szCs w:val="20"/>
              </w:rPr>
              <w:t>HEFRD</w:t>
            </w:r>
            <w:r w:rsidRPr="00010414">
              <w:rPr>
                <w:rFonts w:asciiTheme="majorBidi" w:hAnsiTheme="majorBidi" w:cstheme="majorBidi"/>
                <w:sz w:val="20"/>
                <w:szCs w:val="20"/>
              </w:rPr>
              <w:t>), operational (</w:t>
            </w:r>
            <w:r>
              <w:rPr>
                <w:rFonts w:asciiTheme="majorBidi" w:hAnsiTheme="majorBidi" w:cstheme="majorBidi"/>
                <w:sz w:val="20"/>
                <w:szCs w:val="20"/>
              </w:rPr>
              <w:t>HEORD</w:t>
            </w:r>
            <w:r w:rsidRPr="00010414">
              <w:rPr>
                <w:rFonts w:asciiTheme="majorBidi" w:hAnsiTheme="majorBidi" w:cstheme="majorBidi"/>
                <w:sz w:val="20"/>
                <w:szCs w:val="20"/>
              </w:rPr>
              <w:t>) and strategic (</w:t>
            </w:r>
            <w:r>
              <w:rPr>
                <w:rFonts w:asciiTheme="majorBidi" w:hAnsiTheme="majorBidi" w:cstheme="majorBidi"/>
                <w:sz w:val="20"/>
                <w:szCs w:val="20"/>
              </w:rPr>
              <w:t>HESRD</w:t>
            </w:r>
            <w:r w:rsidRPr="00010414">
              <w:rPr>
                <w:rFonts w:asciiTheme="majorBidi" w:hAnsiTheme="majorBidi" w:cstheme="majorBidi"/>
                <w:sz w:val="20"/>
                <w:szCs w:val="20"/>
              </w:rPr>
              <w:t>) risk disclosure, respectively</w:t>
            </w:r>
            <w:r w:rsidR="009965EF">
              <w:rPr>
                <w:rFonts w:asciiTheme="majorBidi" w:hAnsiTheme="majorBidi" w:cstheme="majorBidi"/>
                <w:sz w:val="20"/>
                <w:szCs w:val="20"/>
              </w:rPr>
              <w:t>. ***, **, and * means the coefficient is statistically significant at the 1%, 5% and 10% levels, respectively</w:t>
            </w:r>
            <w:r w:rsidRPr="00010414">
              <w:rPr>
                <w:rFonts w:asciiTheme="majorBidi" w:hAnsiTheme="majorBidi" w:cstheme="majorBidi"/>
                <w:sz w:val="20"/>
                <w:szCs w:val="20"/>
              </w:rPr>
              <w:t xml:space="preserve">. </w:t>
            </w:r>
          </w:p>
        </w:tc>
      </w:tr>
      <w:bookmarkEnd w:id="15"/>
    </w:tbl>
    <w:p w14:paraId="5B22A264" w14:textId="17A26D32" w:rsidR="005F5DB6" w:rsidRPr="00233EC8" w:rsidRDefault="005F5DB6" w:rsidP="00CB2B95">
      <w:pPr>
        <w:sectPr w:rsidR="005F5DB6" w:rsidRPr="00233EC8" w:rsidSect="007B6387">
          <w:pgSz w:w="16838" w:h="11906" w:orient="landscape"/>
          <w:pgMar w:top="851" w:right="1440" w:bottom="1440" w:left="1276" w:header="708" w:footer="708" w:gutter="0"/>
          <w:cols w:space="708"/>
          <w:docGrid w:linePitch="360"/>
        </w:sectPr>
      </w:pPr>
    </w:p>
    <w:p w14:paraId="031F219B" w14:textId="66430496" w:rsidR="004241ED" w:rsidRPr="00233EC8" w:rsidRDefault="004241ED" w:rsidP="00CB2B95"/>
    <w:tbl>
      <w:tblPr>
        <w:tblW w:w="9072" w:type="dxa"/>
        <w:tblInd w:w="284" w:type="dxa"/>
        <w:tblLook w:val="04A0" w:firstRow="1" w:lastRow="0" w:firstColumn="1" w:lastColumn="0" w:noHBand="0" w:noVBand="1"/>
      </w:tblPr>
      <w:tblGrid>
        <w:gridCol w:w="1657"/>
        <w:gridCol w:w="1520"/>
        <w:gridCol w:w="1412"/>
        <w:gridCol w:w="1520"/>
        <w:gridCol w:w="1475"/>
        <w:gridCol w:w="1488"/>
      </w:tblGrid>
      <w:tr w:rsidR="00CB179F" w:rsidRPr="00AE6FD3" w14:paraId="23DF6E24" w14:textId="77777777" w:rsidTr="00356ADA">
        <w:tc>
          <w:tcPr>
            <w:tcW w:w="9072" w:type="dxa"/>
            <w:gridSpan w:val="6"/>
            <w:tcBorders>
              <w:top w:val="nil"/>
              <w:left w:val="nil"/>
              <w:bottom w:val="single" w:sz="12" w:space="0" w:color="auto"/>
              <w:right w:val="nil"/>
            </w:tcBorders>
          </w:tcPr>
          <w:p w14:paraId="66FA1AB5" w14:textId="679CC0D2" w:rsidR="00CB179F" w:rsidRPr="00AE6FD3" w:rsidRDefault="00CB179F" w:rsidP="00356ADA">
            <w:pPr>
              <w:spacing w:after="0"/>
              <w:rPr>
                <w:rFonts w:ascii="Times New Roman" w:eastAsia="Times New Roman" w:hAnsi="Times New Roman" w:cs="Times New Roman"/>
                <w:b/>
                <w:bCs/>
                <w:sz w:val="20"/>
                <w:szCs w:val="20"/>
                <w:lang w:val="en-US" w:eastAsia="zh-CN"/>
              </w:rPr>
            </w:pPr>
            <w:r w:rsidRPr="00AE6FD3">
              <w:rPr>
                <w:rFonts w:ascii="Times New Roman" w:eastAsia="Times New Roman" w:hAnsi="Times New Roman" w:cs="Times New Roman"/>
                <w:b/>
                <w:bCs/>
                <w:sz w:val="20"/>
                <w:szCs w:val="20"/>
                <w:lang w:val="en-US" w:eastAsia="zh-CN"/>
              </w:rPr>
              <w:t xml:space="preserve">Table </w:t>
            </w:r>
            <w:r w:rsidR="00BE5CE8">
              <w:rPr>
                <w:rFonts w:ascii="Times New Roman" w:eastAsia="Times New Roman" w:hAnsi="Times New Roman" w:cs="Times New Roman"/>
                <w:b/>
                <w:bCs/>
                <w:sz w:val="20"/>
                <w:szCs w:val="20"/>
                <w:lang w:val="en-US" w:eastAsia="zh-CN"/>
              </w:rPr>
              <w:t>5</w:t>
            </w:r>
            <w:r w:rsidRPr="00AE6FD3">
              <w:rPr>
                <w:rFonts w:ascii="Times New Roman" w:eastAsia="Times New Roman" w:hAnsi="Times New Roman" w:cs="Times New Roman"/>
                <w:b/>
                <w:bCs/>
                <w:sz w:val="20"/>
                <w:szCs w:val="20"/>
                <w:lang w:val="en-US" w:eastAsia="zh-CN"/>
              </w:rPr>
              <w:t xml:space="preserve">. </w:t>
            </w:r>
            <w:r w:rsidRPr="00AE6FD3">
              <w:rPr>
                <w:rFonts w:ascii="Times New Roman" w:eastAsia="Times New Roman" w:hAnsi="Times New Roman" w:cs="Times New Roman"/>
                <w:sz w:val="20"/>
                <w:szCs w:val="20"/>
                <w:lang w:val="en-US" w:eastAsia="zh-CN"/>
              </w:rPr>
              <w:t xml:space="preserve">Effects of </w:t>
            </w:r>
            <w:r w:rsidR="007E539E">
              <w:rPr>
                <w:rFonts w:ascii="Times New Roman" w:eastAsia="Calibri" w:hAnsi="Times New Roman" w:cs="Times New Roman"/>
                <w:sz w:val="20"/>
                <w:szCs w:val="20"/>
                <w:lang w:val="en-US" w:eastAsia="zh-CN"/>
              </w:rPr>
              <w:t xml:space="preserve">HEI </w:t>
            </w:r>
            <w:r w:rsidR="007E539E" w:rsidRPr="00010414">
              <w:rPr>
                <w:rFonts w:ascii="Times New Roman" w:eastAsia="Calibri" w:hAnsi="Times New Roman" w:cs="Times New Roman"/>
                <w:sz w:val="20"/>
                <w:szCs w:val="20"/>
                <w:lang w:val="en-US" w:eastAsia="zh-CN"/>
              </w:rPr>
              <w:t>governance quality index (</w:t>
            </w:r>
            <w:r w:rsidR="007E539E">
              <w:rPr>
                <w:rFonts w:ascii="Times New Roman" w:eastAsia="Calibri" w:hAnsi="Times New Roman" w:cs="Times New Roman"/>
                <w:sz w:val="20"/>
                <w:szCs w:val="20"/>
                <w:lang w:val="en-US" w:eastAsia="zh-CN"/>
              </w:rPr>
              <w:t>HE</w:t>
            </w:r>
            <w:r w:rsidR="007E539E" w:rsidRPr="00010414">
              <w:rPr>
                <w:rFonts w:ascii="Times New Roman" w:eastAsia="Calibri" w:hAnsi="Times New Roman" w:cs="Times New Roman"/>
                <w:sz w:val="20"/>
                <w:szCs w:val="20"/>
                <w:lang w:val="en-US" w:eastAsia="zh-CN"/>
              </w:rPr>
              <w:t>GQI)</w:t>
            </w:r>
            <w:r w:rsidR="007E539E">
              <w:rPr>
                <w:rFonts w:ascii="Times New Roman" w:eastAsia="Calibri" w:hAnsi="Times New Roman" w:cs="Times New Roman"/>
                <w:sz w:val="20"/>
                <w:szCs w:val="20"/>
                <w:lang w:val="en-US" w:eastAsia="zh-CN"/>
              </w:rPr>
              <w:t xml:space="preserve"> on risk disclosures</w:t>
            </w:r>
            <w:r w:rsidRPr="00AE6FD3">
              <w:rPr>
                <w:rFonts w:ascii="Times New Roman" w:eastAsia="Times New Roman" w:hAnsi="Times New Roman" w:cs="Times New Roman"/>
                <w:sz w:val="20"/>
                <w:szCs w:val="20"/>
                <w:lang w:val="en-US" w:eastAsia="zh-CN"/>
              </w:rPr>
              <w:t xml:space="preserve">: </w:t>
            </w:r>
            <w:r w:rsidR="00E30A6C" w:rsidRPr="00AE6FD3">
              <w:rPr>
                <w:rFonts w:ascii="Times New Roman" w:eastAsia="Times New Roman" w:hAnsi="Times New Roman" w:cs="Times New Roman"/>
                <w:sz w:val="20"/>
                <w:szCs w:val="20"/>
                <w:lang w:val="en-US" w:eastAsia="zh-CN"/>
              </w:rPr>
              <w:t>I</w:t>
            </w:r>
            <w:r w:rsidRPr="00AE6FD3">
              <w:rPr>
                <w:rFonts w:ascii="Times New Roman" w:eastAsia="Times New Roman" w:hAnsi="Times New Roman" w:cs="Times New Roman"/>
                <w:sz w:val="20"/>
                <w:szCs w:val="20"/>
                <w:lang w:val="en-US" w:eastAsia="zh-CN"/>
              </w:rPr>
              <w:t>nteraction effect.</w:t>
            </w:r>
          </w:p>
        </w:tc>
      </w:tr>
      <w:tr w:rsidR="00CB179F" w:rsidRPr="00AE6FD3" w14:paraId="10BDADC5" w14:textId="77777777" w:rsidTr="00356ADA">
        <w:tc>
          <w:tcPr>
            <w:tcW w:w="1657" w:type="dxa"/>
            <w:tcBorders>
              <w:top w:val="nil"/>
              <w:left w:val="nil"/>
              <w:bottom w:val="single" w:sz="2" w:space="0" w:color="auto"/>
              <w:right w:val="nil"/>
            </w:tcBorders>
          </w:tcPr>
          <w:p w14:paraId="4D91337E" w14:textId="77777777" w:rsidR="00CB179F" w:rsidRPr="00AE6FD3" w:rsidRDefault="00CB179F" w:rsidP="00356ADA">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Dep. Variable</w:t>
            </w:r>
          </w:p>
          <w:p w14:paraId="56714F80" w14:textId="77777777" w:rsidR="00CB179F" w:rsidRPr="00AE6FD3" w:rsidRDefault="00CB179F" w:rsidP="00356ADA">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w:t>
            </w:r>
            <w:r w:rsidRPr="00AE6FD3">
              <w:rPr>
                <w:rFonts w:ascii="Times New Roman" w:eastAsia="Times New Roman" w:hAnsi="Times New Roman" w:cs="Times New Roman"/>
                <w:i/>
                <w:iCs/>
                <w:sz w:val="20"/>
                <w:szCs w:val="20"/>
              </w:rPr>
              <w:t>Model</w:t>
            </w:r>
            <w:r w:rsidRPr="00AE6FD3">
              <w:rPr>
                <w:rFonts w:ascii="Times New Roman" w:eastAsia="Times New Roman" w:hAnsi="Times New Roman" w:cs="Times New Roman"/>
                <w:sz w:val="20"/>
                <w:szCs w:val="20"/>
              </w:rPr>
              <w:t>)</w:t>
            </w:r>
          </w:p>
        </w:tc>
        <w:tc>
          <w:tcPr>
            <w:tcW w:w="1520" w:type="dxa"/>
            <w:tcBorders>
              <w:top w:val="nil"/>
              <w:left w:val="nil"/>
              <w:bottom w:val="single" w:sz="2" w:space="0" w:color="auto"/>
              <w:right w:val="nil"/>
            </w:tcBorders>
          </w:tcPr>
          <w:p w14:paraId="5403BC76" w14:textId="028AF33E" w:rsidR="00CB179F" w:rsidRPr="00AE6FD3" w:rsidRDefault="007E539E" w:rsidP="00356ADA">
            <w:pPr>
              <w:spacing w:after="0"/>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lang w:val="en-US" w:eastAsia="zh-CN"/>
              </w:rPr>
              <w:t>HE</w:t>
            </w:r>
            <w:r w:rsidR="00CB179F" w:rsidRPr="00AE6FD3">
              <w:rPr>
                <w:rFonts w:ascii="Times New Roman" w:eastAsia="Times New Roman" w:hAnsi="Times New Roman" w:cs="Times New Roman"/>
                <w:sz w:val="20"/>
                <w:szCs w:val="20"/>
                <w:lang w:val="en-US" w:eastAsia="zh-CN"/>
              </w:rPr>
              <w:t>RDI</w:t>
            </w:r>
          </w:p>
          <w:p w14:paraId="2E61E857" w14:textId="77777777" w:rsidR="00CB179F" w:rsidRPr="00AE6FD3" w:rsidRDefault="00CB179F" w:rsidP="00356ADA">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lang w:val="en-US" w:eastAsia="zh-CN"/>
              </w:rPr>
              <w:t>(1)</w:t>
            </w:r>
          </w:p>
        </w:tc>
        <w:tc>
          <w:tcPr>
            <w:tcW w:w="1412" w:type="dxa"/>
            <w:tcBorders>
              <w:top w:val="nil"/>
              <w:left w:val="nil"/>
              <w:bottom w:val="single" w:sz="2" w:space="0" w:color="auto"/>
              <w:right w:val="nil"/>
            </w:tcBorders>
          </w:tcPr>
          <w:p w14:paraId="7D1B138A" w14:textId="5D92EBC1" w:rsidR="00CB179F" w:rsidRPr="00AE6FD3" w:rsidRDefault="007E539E" w:rsidP="00356ADA">
            <w:pPr>
              <w:spacing w:after="0"/>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lang w:val="en-US" w:eastAsia="zh-CN"/>
              </w:rPr>
              <w:t>HE</w:t>
            </w:r>
            <w:r w:rsidR="00CB179F" w:rsidRPr="00AE6FD3">
              <w:rPr>
                <w:rFonts w:ascii="Times New Roman" w:eastAsia="Times New Roman" w:hAnsi="Times New Roman" w:cs="Times New Roman"/>
                <w:sz w:val="20"/>
                <w:szCs w:val="20"/>
                <w:lang w:val="en-US" w:eastAsia="zh-CN"/>
              </w:rPr>
              <w:t>RDI</w:t>
            </w:r>
          </w:p>
          <w:p w14:paraId="12C98F58" w14:textId="77777777" w:rsidR="00CB179F" w:rsidRPr="00AE6FD3" w:rsidRDefault="00CB179F" w:rsidP="00356ADA">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lang w:val="en-US" w:eastAsia="zh-CN"/>
              </w:rPr>
              <w:t>(2)</w:t>
            </w:r>
          </w:p>
        </w:tc>
        <w:tc>
          <w:tcPr>
            <w:tcW w:w="1520" w:type="dxa"/>
            <w:tcBorders>
              <w:top w:val="nil"/>
              <w:left w:val="nil"/>
              <w:bottom w:val="single" w:sz="2" w:space="0" w:color="auto"/>
              <w:right w:val="nil"/>
            </w:tcBorders>
          </w:tcPr>
          <w:p w14:paraId="598CE055" w14:textId="68C0B425" w:rsidR="00CB179F" w:rsidRPr="00AE6FD3" w:rsidRDefault="007E539E" w:rsidP="00356ADA">
            <w:pPr>
              <w:spacing w:after="0"/>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lang w:val="en-US" w:eastAsia="zh-CN"/>
              </w:rPr>
              <w:t>HE</w:t>
            </w:r>
            <w:r w:rsidR="00CB179F" w:rsidRPr="00AE6FD3">
              <w:rPr>
                <w:rFonts w:ascii="Times New Roman" w:eastAsia="Times New Roman" w:hAnsi="Times New Roman" w:cs="Times New Roman"/>
                <w:sz w:val="20"/>
                <w:szCs w:val="20"/>
                <w:lang w:val="en-US" w:eastAsia="zh-CN"/>
              </w:rPr>
              <w:t>RDI</w:t>
            </w:r>
          </w:p>
          <w:p w14:paraId="0C871405" w14:textId="77777777" w:rsidR="00CB179F" w:rsidRPr="00AE6FD3" w:rsidRDefault="00CB179F" w:rsidP="00356ADA">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lang w:val="en-US" w:eastAsia="zh-CN"/>
              </w:rPr>
              <w:t>(3)</w:t>
            </w:r>
          </w:p>
        </w:tc>
        <w:tc>
          <w:tcPr>
            <w:tcW w:w="1475" w:type="dxa"/>
            <w:tcBorders>
              <w:left w:val="nil"/>
              <w:bottom w:val="single" w:sz="2" w:space="0" w:color="auto"/>
              <w:right w:val="nil"/>
            </w:tcBorders>
          </w:tcPr>
          <w:p w14:paraId="3517AFF3" w14:textId="33BE8D9E" w:rsidR="00CB179F" w:rsidRPr="00AE6FD3" w:rsidRDefault="007E539E" w:rsidP="00356ADA">
            <w:pPr>
              <w:spacing w:after="0"/>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lang w:val="en-US" w:eastAsia="zh-CN"/>
              </w:rPr>
              <w:t>HE</w:t>
            </w:r>
            <w:r w:rsidR="00CB179F" w:rsidRPr="00AE6FD3">
              <w:rPr>
                <w:rFonts w:ascii="Times New Roman" w:eastAsia="Times New Roman" w:hAnsi="Times New Roman" w:cs="Times New Roman"/>
                <w:sz w:val="20"/>
                <w:szCs w:val="20"/>
                <w:lang w:val="en-US" w:eastAsia="zh-CN"/>
              </w:rPr>
              <w:t>RDI</w:t>
            </w:r>
          </w:p>
          <w:p w14:paraId="68C5D697" w14:textId="77777777" w:rsidR="00CB179F" w:rsidRPr="00AE6FD3" w:rsidRDefault="00CB179F" w:rsidP="00356ADA">
            <w:pPr>
              <w:spacing w:after="0"/>
              <w:rPr>
                <w:rFonts w:ascii="Times New Roman" w:eastAsia="Times New Roman" w:hAnsi="Times New Roman" w:cs="Times New Roman"/>
                <w:sz w:val="20"/>
                <w:szCs w:val="20"/>
                <w:lang w:val="en-US" w:eastAsia="zh-CN"/>
              </w:rPr>
            </w:pPr>
            <w:r w:rsidRPr="00AE6FD3">
              <w:rPr>
                <w:rFonts w:ascii="Times New Roman" w:eastAsia="Times New Roman" w:hAnsi="Times New Roman" w:cs="Times New Roman"/>
                <w:sz w:val="20"/>
                <w:szCs w:val="20"/>
                <w:lang w:val="en-US" w:eastAsia="zh-CN"/>
              </w:rPr>
              <w:t>(4)</w:t>
            </w:r>
          </w:p>
        </w:tc>
        <w:tc>
          <w:tcPr>
            <w:tcW w:w="1488" w:type="dxa"/>
            <w:tcBorders>
              <w:left w:val="nil"/>
              <w:bottom w:val="single" w:sz="2" w:space="0" w:color="auto"/>
              <w:right w:val="nil"/>
            </w:tcBorders>
          </w:tcPr>
          <w:p w14:paraId="08C64C7B" w14:textId="12EBED1A" w:rsidR="00CB179F" w:rsidRPr="00AE6FD3" w:rsidRDefault="007E539E" w:rsidP="00356ADA">
            <w:pPr>
              <w:spacing w:after="0"/>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lang w:val="en-US" w:eastAsia="zh-CN"/>
              </w:rPr>
              <w:t>HE</w:t>
            </w:r>
            <w:r w:rsidR="00CB179F" w:rsidRPr="00AE6FD3">
              <w:rPr>
                <w:rFonts w:ascii="Times New Roman" w:eastAsia="Times New Roman" w:hAnsi="Times New Roman" w:cs="Times New Roman"/>
                <w:sz w:val="20"/>
                <w:szCs w:val="20"/>
                <w:lang w:val="en-US" w:eastAsia="zh-CN"/>
              </w:rPr>
              <w:t>RDI</w:t>
            </w:r>
          </w:p>
          <w:p w14:paraId="3A70B432" w14:textId="77777777" w:rsidR="00CB179F" w:rsidRPr="00AE6FD3" w:rsidRDefault="00CB179F" w:rsidP="00356ADA">
            <w:pPr>
              <w:spacing w:after="0"/>
              <w:rPr>
                <w:rFonts w:ascii="Times New Roman" w:eastAsia="Times New Roman" w:hAnsi="Times New Roman" w:cs="Times New Roman"/>
                <w:sz w:val="20"/>
                <w:szCs w:val="20"/>
                <w:lang w:val="en-US" w:eastAsia="zh-CN"/>
              </w:rPr>
            </w:pPr>
            <w:r w:rsidRPr="00AE6FD3">
              <w:rPr>
                <w:rFonts w:ascii="Times New Roman" w:eastAsia="Times New Roman" w:hAnsi="Times New Roman" w:cs="Times New Roman"/>
                <w:sz w:val="20"/>
                <w:szCs w:val="20"/>
                <w:lang w:val="en-US" w:eastAsia="zh-CN"/>
              </w:rPr>
              <w:t>(5)</w:t>
            </w:r>
          </w:p>
        </w:tc>
      </w:tr>
      <w:tr w:rsidR="00CB179F" w:rsidRPr="00AE6FD3" w14:paraId="4F1F5A68" w14:textId="77777777" w:rsidTr="00356ADA">
        <w:trPr>
          <w:trHeight w:val="354"/>
        </w:trPr>
        <w:tc>
          <w:tcPr>
            <w:tcW w:w="7584" w:type="dxa"/>
            <w:gridSpan w:val="5"/>
            <w:tcBorders>
              <w:top w:val="single" w:sz="2" w:space="0" w:color="auto"/>
              <w:left w:val="nil"/>
              <w:bottom w:val="nil"/>
              <w:right w:val="nil"/>
            </w:tcBorders>
          </w:tcPr>
          <w:p w14:paraId="57C01C9B" w14:textId="77777777" w:rsidR="00CB179F" w:rsidRPr="00AE6FD3" w:rsidRDefault="00CB179F" w:rsidP="00356ADA">
            <w:pPr>
              <w:spacing w:after="0"/>
              <w:rPr>
                <w:rFonts w:ascii="Times New Roman" w:eastAsia="Times New Roman" w:hAnsi="Times New Roman" w:cs="Times New Roman"/>
                <w:i/>
                <w:iCs/>
                <w:sz w:val="20"/>
                <w:szCs w:val="20"/>
              </w:rPr>
            </w:pPr>
          </w:p>
          <w:p w14:paraId="00164F70" w14:textId="7BD614AC" w:rsidR="00CB179F" w:rsidRPr="00AE6FD3" w:rsidRDefault="00CB179F" w:rsidP="00356ADA">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i/>
                <w:iCs/>
                <w:sz w:val="20"/>
                <w:szCs w:val="20"/>
              </w:rPr>
              <w:t xml:space="preserve">HEI governance </w:t>
            </w:r>
            <w:r w:rsidR="000D5284">
              <w:rPr>
                <w:rFonts w:ascii="Times New Roman" w:eastAsia="Times New Roman" w:hAnsi="Times New Roman" w:cs="Times New Roman"/>
                <w:i/>
                <w:iCs/>
                <w:sz w:val="20"/>
                <w:szCs w:val="20"/>
              </w:rPr>
              <w:t>quality</w:t>
            </w:r>
            <w:r w:rsidR="007E539E">
              <w:rPr>
                <w:rFonts w:ascii="Times New Roman" w:eastAsia="Times New Roman" w:hAnsi="Times New Roman" w:cs="Times New Roman"/>
                <w:i/>
                <w:iCs/>
                <w:sz w:val="20"/>
                <w:szCs w:val="20"/>
              </w:rPr>
              <w:t xml:space="preserve"> index</w:t>
            </w:r>
            <w:r w:rsidRPr="00AE6FD3">
              <w:rPr>
                <w:rFonts w:ascii="Times New Roman" w:eastAsia="Times New Roman" w:hAnsi="Times New Roman" w:cs="Times New Roman"/>
                <w:i/>
                <w:iCs/>
                <w:sz w:val="20"/>
                <w:szCs w:val="20"/>
              </w:rPr>
              <w:t>:</w:t>
            </w:r>
          </w:p>
        </w:tc>
        <w:tc>
          <w:tcPr>
            <w:tcW w:w="1488" w:type="dxa"/>
            <w:tcBorders>
              <w:top w:val="single" w:sz="2" w:space="0" w:color="auto"/>
              <w:left w:val="nil"/>
              <w:bottom w:val="nil"/>
              <w:right w:val="nil"/>
            </w:tcBorders>
          </w:tcPr>
          <w:p w14:paraId="72F22917" w14:textId="77777777" w:rsidR="00CB179F" w:rsidRPr="00AE6FD3" w:rsidRDefault="00CB179F" w:rsidP="00356ADA">
            <w:pPr>
              <w:spacing w:after="0"/>
              <w:rPr>
                <w:rFonts w:ascii="Times New Roman" w:eastAsia="Times New Roman" w:hAnsi="Times New Roman" w:cs="Times New Roman"/>
                <w:i/>
                <w:iCs/>
                <w:sz w:val="20"/>
                <w:szCs w:val="20"/>
              </w:rPr>
            </w:pPr>
          </w:p>
        </w:tc>
      </w:tr>
      <w:tr w:rsidR="00CB179F" w:rsidRPr="00AE6FD3" w14:paraId="0C740B8B" w14:textId="77777777" w:rsidTr="00356ADA">
        <w:trPr>
          <w:trHeight w:val="144"/>
        </w:trPr>
        <w:tc>
          <w:tcPr>
            <w:tcW w:w="1657" w:type="dxa"/>
            <w:tcBorders>
              <w:top w:val="nil"/>
              <w:left w:val="nil"/>
              <w:bottom w:val="nil"/>
              <w:right w:val="nil"/>
            </w:tcBorders>
          </w:tcPr>
          <w:p w14:paraId="00DC236C" w14:textId="4303C713" w:rsidR="00CB179F" w:rsidRPr="00AE6FD3" w:rsidRDefault="007E539E" w:rsidP="00356ADA">
            <w:pPr>
              <w:spacing w:after="0"/>
              <w:ind w:left="175"/>
              <w:rPr>
                <w:rFonts w:ascii="Times New Roman" w:eastAsia="Times New Roman" w:hAnsi="Times New Roman" w:cs="Times New Roman"/>
                <w:i/>
                <w:iCs/>
                <w:sz w:val="20"/>
                <w:szCs w:val="20"/>
              </w:rPr>
            </w:pPr>
            <w:r>
              <w:rPr>
                <w:rFonts w:ascii="Times New Roman" w:eastAsia="Times New Roman" w:hAnsi="Times New Roman" w:cs="Times New Roman"/>
                <w:sz w:val="20"/>
                <w:szCs w:val="20"/>
              </w:rPr>
              <w:t>HE</w:t>
            </w:r>
            <w:r w:rsidR="00CB179F" w:rsidRPr="00AE6FD3">
              <w:rPr>
                <w:rFonts w:ascii="Times New Roman" w:eastAsia="Times New Roman" w:hAnsi="Times New Roman" w:cs="Times New Roman"/>
                <w:sz w:val="20"/>
                <w:szCs w:val="20"/>
              </w:rPr>
              <w:t>GQI</w:t>
            </w:r>
          </w:p>
        </w:tc>
        <w:tc>
          <w:tcPr>
            <w:tcW w:w="1520" w:type="dxa"/>
            <w:tcBorders>
              <w:top w:val="nil"/>
              <w:left w:val="nil"/>
              <w:bottom w:val="nil"/>
              <w:right w:val="nil"/>
            </w:tcBorders>
          </w:tcPr>
          <w:p w14:paraId="18479F55" w14:textId="5176A725" w:rsidR="00CB179F" w:rsidRPr="00AE6FD3" w:rsidRDefault="00CB179F"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w:t>
            </w:r>
            <w:r w:rsidR="00A96ED8" w:rsidRPr="00AE6FD3">
              <w:rPr>
                <w:rFonts w:ascii="Times New Roman" w:eastAsia="Times New Roman" w:hAnsi="Times New Roman" w:cs="Times New Roman"/>
                <w:sz w:val="20"/>
                <w:szCs w:val="20"/>
              </w:rPr>
              <w:t>383</w:t>
            </w:r>
            <w:r w:rsidRPr="00AE6FD3">
              <w:rPr>
                <w:rFonts w:ascii="Times New Roman" w:eastAsia="Times New Roman" w:hAnsi="Times New Roman" w:cs="Times New Roman"/>
                <w:sz w:val="20"/>
                <w:szCs w:val="20"/>
              </w:rPr>
              <w:t>(.00</w:t>
            </w:r>
            <w:r w:rsidR="00A96ED8" w:rsidRPr="00AE6FD3">
              <w:rPr>
                <w:rFonts w:ascii="Times New Roman" w:eastAsia="Times New Roman" w:hAnsi="Times New Roman" w:cs="Times New Roman"/>
                <w:sz w:val="20"/>
                <w:szCs w:val="20"/>
              </w:rPr>
              <w:t>0</w:t>
            </w:r>
            <w:r w:rsidRPr="00AE6FD3">
              <w:rPr>
                <w:rFonts w:ascii="Times New Roman" w:eastAsia="Times New Roman" w:hAnsi="Times New Roman" w:cs="Times New Roman"/>
                <w:sz w:val="20"/>
                <w:szCs w:val="20"/>
              </w:rPr>
              <w:t>)</w:t>
            </w:r>
            <w:r w:rsidRPr="00AE6FD3">
              <w:rPr>
                <w:rFonts w:ascii="Times New Roman" w:eastAsia="Times New Roman" w:hAnsi="Times New Roman" w:cs="Times New Roman"/>
                <w:sz w:val="20"/>
                <w:szCs w:val="20"/>
                <w:vertAlign w:val="superscript"/>
              </w:rPr>
              <w:t>***</w:t>
            </w:r>
          </w:p>
        </w:tc>
        <w:tc>
          <w:tcPr>
            <w:tcW w:w="1412" w:type="dxa"/>
            <w:tcBorders>
              <w:top w:val="nil"/>
              <w:left w:val="nil"/>
              <w:bottom w:val="nil"/>
              <w:right w:val="nil"/>
            </w:tcBorders>
          </w:tcPr>
          <w:p w14:paraId="0EB84318" w14:textId="5832DA9F" w:rsidR="00CB179F" w:rsidRPr="00AE6FD3" w:rsidRDefault="00CB179F"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w:t>
            </w:r>
            <w:r w:rsidR="00482A24" w:rsidRPr="00AE6FD3">
              <w:rPr>
                <w:rFonts w:ascii="Times New Roman" w:eastAsia="Times New Roman" w:hAnsi="Times New Roman" w:cs="Times New Roman"/>
                <w:sz w:val="20"/>
                <w:szCs w:val="20"/>
              </w:rPr>
              <w:t>179</w:t>
            </w:r>
            <w:r w:rsidRPr="00AE6FD3">
              <w:rPr>
                <w:rFonts w:ascii="Times New Roman" w:eastAsia="Times New Roman" w:hAnsi="Times New Roman" w:cs="Times New Roman"/>
                <w:sz w:val="20"/>
                <w:szCs w:val="20"/>
              </w:rPr>
              <w:t>(.00</w:t>
            </w:r>
            <w:r w:rsidR="00482A24" w:rsidRPr="00AE6FD3">
              <w:rPr>
                <w:rFonts w:ascii="Times New Roman" w:eastAsia="Times New Roman" w:hAnsi="Times New Roman" w:cs="Times New Roman"/>
                <w:sz w:val="20"/>
                <w:szCs w:val="20"/>
              </w:rPr>
              <w:t>4</w:t>
            </w:r>
            <w:r w:rsidRPr="00AE6FD3">
              <w:rPr>
                <w:rFonts w:ascii="Times New Roman" w:eastAsia="Times New Roman" w:hAnsi="Times New Roman" w:cs="Times New Roman"/>
                <w:sz w:val="20"/>
                <w:szCs w:val="20"/>
              </w:rPr>
              <w:t>)</w:t>
            </w:r>
            <w:r w:rsidRPr="00AE6FD3">
              <w:rPr>
                <w:rFonts w:ascii="Times New Roman" w:eastAsia="Times New Roman" w:hAnsi="Times New Roman" w:cs="Times New Roman"/>
                <w:sz w:val="20"/>
                <w:szCs w:val="20"/>
                <w:vertAlign w:val="superscript"/>
              </w:rPr>
              <w:t>***</w:t>
            </w:r>
          </w:p>
        </w:tc>
        <w:tc>
          <w:tcPr>
            <w:tcW w:w="1520" w:type="dxa"/>
            <w:tcBorders>
              <w:top w:val="nil"/>
              <w:left w:val="nil"/>
              <w:bottom w:val="nil"/>
              <w:right w:val="nil"/>
            </w:tcBorders>
          </w:tcPr>
          <w:p w14:paraId="4DF2AC13" w14:textId="29EAEF0F" w:rsidR="00CB179F" w:rsidRPr="00AE6FD3" w:rsidRDefault="00CB179F"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w:t>
            </w:r>
            <w:r w:rsidR="00E16D17" w:rsidRPr="00AE6FD3">
              <w:rPr>
                <w:rFonts w:ascii="Times New Roman" w:eastAsia="Times New Roman" w:hAnsi="Times New Roman" w:cs="Times New Roman"/>
                <w:sz w:val="20"/>
                <w:szCs w:val="20"/>
              </w:rPr>
              <w:t>194</w:t>
            </w:r>
            <w:r w:rsidRPr="00AE6FD3">
              <w:rPr>
                <w:rFonts w:ascii="Times New Roman" w:eastAsia="Times New Roman" w:hAnsi="Times New Roman" w:cs="Times New Roman"/>
                <w:sz w:val="20"/>
                <w:szCs w:val="20"/>
              </w:rPr>
              <w:t>(.00</w:t>
            </w:r>
            <w:r w:rsidR="00E16D17" w:rsidRPr="00AE6FD3">
              <w:rPr>
                <w:rFonts w:ascii="Times New Roman" w:eastAsia="Times New Roman" w:hAnsi="Times New Roman" w:cs="Times New Roman"/>
                <w:sz w:val="20"/>
                <w:szCs w:val="20"/>
              </w:rPr>
              <w:t>2</w:t>
            </w:r>
            <w:r w:rsidRPr="00AE6FD3">
              <w:rPr>
                <w:rFonts w:ascii="Times New Roman" w:eastAsia="Times New Roman" w:hAnsi="Times New Roman" w:cs="Times New Roman"/>
                <w:sz w:val="20"/>
                <w:szCs w:val="20"/>
              </w:rPr>
              <w:t>)</w:t>
            </w:r>
            <w:r w:rsidRPr="00AE6FD3">
              <w:rPr>
                <w:rFonts w:ascii="Times New Roman" w:eastAsia="Times New Roman" w:hAnsi="Times New Roman" w:cs="Times New Roman"/>
                <w:sz w:val="20"/>
                <w:szCs w:val="20"/>
                <w:vertAlign w:val="superscript"/>
              </w:rPr>
              <w:t>***</w:t>
            </w:r>
          </w:p>
        </w:tc>
        <w:tc>
          <w:tcPr>
            <w:tcW w:w="1475" w:type="dxa"/>
            <w:tcBorders>
              <w:top w:val="nil"/>
              <w:left w:val="nil"/>
              <w:bottom w:val="nil"/>
              <w:right w:val="nil"/>
            </w:tcBorders>
          </w:tcPr>
          <w:p w14:paraId="71C02782" w14:textId="5B016EE6" w:rsidR="00CB179F" w:rsidRPr="00AE6FD3" w:rsidRDefault="00CB179F"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w:t>
            </w:r>
            <w:r w:rsidR="00E35784" w:rsidRPr="00AE6FD3">
              <w:rPr>
                <w:rFonts w:ascii="Times New Roman" w:eastAsia="Times New Roman" w:hAnsi="Times New Roman" w:cs="Times New Roman"/>
                <w:sz w:val="20"/>
                <w:szCs w:val="20"/>
              </w:rPr>
              <w:t>355</w:t>
            </w:r>
            <w:r w:rsidRPr="00AE6FD3">
              <w:rPr>
                <w:rFonts w:ascii="Times New Roman" w:eastAsia="Times New Roman" w:hAnsi="Times New Roman" w:cs="Times New Roman"/>
                <w:sz w:val="20"/>
                <w:szCs w:val="20"/>
              </w:rPr>
              <w:t>(.00</w:t>
            </w:r>
            <w:r w:rsidR="00E35784" w:rsidRPr="00AE6FD3">
              <w:rPr>
                <w:rFonts w:ascii="Times New Roman" w:eastAsia="Times New Roman" w:hAnsi="Times New Roman" w:cs="Times New Roman"/>
                <w:sz w:val="20"/>
                <w:szCs w:val="20"/>
              </w:rPr>
              <w:t>0</w:t>
            </w:r>
            <w:r w:rsidRPr="00AE6FD3">
              <w:rPr>
                <w:rFonts w:ascii="Times New Roman" w:eastAsia="Times New Roman" w:hAnsi="Times New Roman" w:cs="Times New Roman"/>
                <w:sz w:val="20"/>
                <w:szCs w:val="20"/>
              </w:rPr>
              <w:t>)</w:t>
            </w:r>
            <w:r w:rsidRPr="00AE6FD3">
              <w:rPr>
                <w:rFonts w:ascii="Times New Roman" w:eastAsia="Times New Roman" w:hAnsi="Times New Roman" w:cs="Times New Roman"/>
                <w:sz w:val="20"/>
                <w:szCs w:val="20"/>
                <w:vertAlign w:val="superscript"/>
              </w:rPr>
              <w:t>***</w:t>
            </w:r>
          </w:p>
        </w:tc>
        <w:tc>
          <w:tcPr>
            <w:tcW w:w="1488" w:type="dxa"/>
            <w:tcBorders>
              <w:top w:val="nil"/>
              <w:left w:val="nil"/>
              <w:bottom w:val="nil"/>
              <w:right w:val="nil"/>
            </w:tcBorders>
          </w:tcPr>
          <w:p w14:paraId="73B89D36" w14:textId="134FEBCE" w:rsidR="00CB179F" w:rsidRPr="00AE6FD3" w:rsidRDefault="00693B2B"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0.514</w:t>
            </w:r>
            <w:r w:rsidR="00CB179F" w:rsidRPr="00AE6FD3">
              <w:rPr>
                <w:rFonts w:ascii="Times New Roman" w:eastAsia="Times New Roman" w:hAnsi="Times New Roman" w:cs="Times New Roman"/>
                <w:sz w:val="20"/>
                <w:szCs w:val="20"/>
              </w:rPr>
              <w:t>(.00</w:t>
            </w:r>
            <w:r w:rsidRPr="00AE6FD3">
              <w:rPr>
                <w:rFonts w:ascii="Times New Roman" w:eastAsia="Times New Roman" w:hAnsi="Times New Roman" w:cs="Times New Roman"/>
                <w:sz w:val="20"/>
                <w:szCs w:val="20"/>
              </w:rPr>
              <w:t>0</w:t>
            </w:r>
            <w:r w:rsidR="00CB179F" w:rsidRPr="00AE6FD3">
              <w:rPr>
                <w:rFonts w:ascii="Times New Roman" w:eastAsia="Times New Roman" w:hAnsi="Times New Roman" w:cs="Times New Roman"/>
                <w:sz w:val="20"/>
                <w:szCs w:val="20"/>
              </w:rPr>
              <w:t>)</w:t>
            </w:r>
            <w:r w:rsidR="00CB179F" w:rsidRPr="00AE6FD3">
              <w:rPr>
                <w:rFonts w:ascii="Times New Roman" w:eastAsia="Times New Roman" w:hAnsi="Times New Roman" w:cs="Times New Roman"/>
                <w:sz w:val="20"/>
                <w:szCs w:val="20"/>
                <w:vertAlign w:val="superscript"/>
              </w:rPr>
              <w:t>***</w:t>
            </w:r>
          </w:p>
        </w:tc>
      </w:tr>
      <w:tr w:rsidR="00CB179F" w:rsidRPr="00AE6FD3" w14:paraId="78C96001" w14:textId="77777777" w:rsidTr="00356ADA">
        <w:tc>
          <w:tcPr>
            <w:tcW w:w="9072" w:type="dxa"/>
            <w:gridSpan w:val="6"/>
            <w:tcBorders>
              <w:top w:val="nil"/>
              <w:left w:val="nil"/>
              <w:bottom w:val="nil"/>
              <w:right w:val="nil"/>
            </w:tcBorders>
          </w:tcPr>
          <w:p w14:paraId="5AEB8EC3" w14:textId="77777777" w:rsidR="00CB179F" w:rsidRPr="00AE6FD3" w:rsidRDefault="00CB179F" w:rsidP="00356ADA">
            <w:pPr>
              <w:spacing w:after="0"/>
              <w:rPr>
                <w:rFonts w:ascii="Times New Roman" w:eastAsia="Times New Roman" w:hAnsi="Times New Roman" w:cs="Times New Roman"/>
                <w:i/>
                <w:iCs/>
                <w:sz w:val="20"/>
                <w:szCs w:val="20"/>
              </w:rPr>
            </w:pPr>
          </w:p>
          <w:p w14:paraId="19D0C2AE" w14:textId="77777777" w:rsidR="00CB179F" w:rsidRPr="00AE6FD3" w:rsidRDefault="00CB179F" w:rsidP="00356ADA">
            <w:pPr>
              <w:spacing w:after="0"/>
              <w:rPr>
                <w:rFonts w:ascii="Times New Roman" w:eastAsia="Times New Roman" w:hAnsi="Times New Roman" w:cs="Times New Roman"/>
                <w:i/>
                <w:iCs/>
                <w:sz w:val="20"/>
                <w:szCs w:val="20"/>
              </w:rPr>
            </w:pPr>
            <w:r w:rsidRPr="00AE6FD3">
              <w:rPr>
                <w:rFonts w:ascii="Times New Roman" w:eastAsia="Times New Roman" w:hAnsi="Times New Roman" w:cs="Times New Roman"/>
                <w:i/>
                <w:iCs/>
                <w:sz w:val="20"/>
                <w:szCs w:val="20"/>
              </w:rPr>
              <w:t xml:space="preserve">Interaction variables: </w:t>
            </w:r>
          </w:p>
        </w:tc>
      </w:tr>
      <w:tr w:rsidR="00CB179F" w:rsidRPr="00AE6FD3" w14:paraId="33750202" w14:textId="77777777" w:rsidTr="00356ADA">
        <w:tc>
          <w:tcPr>
            <w:tcW w:w="1657" w:type="dxa"/>
            <w:tcBorders>
              <w:top w:val="nil"/>
              <w:left w:val="nil"/>
              <w:bottom w:val="nil"/>
              <w:right w:val="nil"/>
            </w:tcBorders>
          </w:tcPr>
          <w:p w14:paraId="6074FB8D" w14:textId="55594F34" w:rsidR="00CB179F" w:rsidRPr="00AE6FD3" w:rsidRDefault="00CB179F" w:rsidP="00356ADA">
            <w:pPr>
              <w:spacing w:after="0"/>
              <w:ind w:left="175"/>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 xml:space="preserve">I × </w:t>
            </w:r>
            <w:r w:rsidR="007E539E">
              <w:rPr>
                <w:rFonts w:ascii="Times New Roman" w:eastAsia="Times New Roman" w:hAnsi="Times New Roman" w:cs="Times New Roman"/>
                <w:sz w:val="20"/>
                <w:szCs w:val="20"/>
              </w:rPr>
              <w:t>HE</w:t>
            </w:r>
            <w:r w:rsidRPr="00AE6FD3">
              <w:rPr>
                <w:rFonts w:ascii="Times New Roman" w:eastAsia="Times New Roman" w:hAnsi="Times New Roman" w:cs="Times New Roman"/>
                <w:sz w:val="20"/>
                <w:szCs w:val="20"/>
              </w:rPr>
              <w:t>GQI</w:t>
            </w:r>
          </w:p>
        </w:tc>
        <w:tc>
          <w:tcPr>
            <w:tcW w:w="1520" w:type="dxa"/>
            <w:tcBorders>
              <w:top w:val="nil"/>
              <w:left w:val="nil"/>
              <w:bottom w:val="nil"/>
              <w:right w:val="nil"/>
            </w:tcBorders>
          </w:tcPr>
          <w:p w14:paraId="02E32D5D" w14:textId="4CF40DDD" w:rsidR="00CB179F" w:rsidRPr="00AE6FD3" w:rsidRDefault="00CB179F"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-0.0</w:t>
            </w:r>
            <w:r w:rsidR="00A96ED8" w:rsidRPr="00AE6FD3">
              <w:rPr>
                <w:rFonts w:ascii="Times New Roman" w:eastAsia="Times New Roman" w:hAnsi="Times New Roman" w:cs="Times New Roman"/>
                <w:sz w:val="20"/>
                <w:szCs w:val="20"/>
              </w:rPr>
              <w:t>76</w:t>
            </w:r>
            <w:r w:rsidRPr="00AE6FD3">
              <w:rPr>
                <w:rFonts w:ascii="Times New Roman" w:eastAsia="Times New Roman" w:hAnsi="Times New Roman" w:cs="Times New Roman"/>
                <w:sz w:val="20"/>
                <w:szCs w:val="20"/>
              </w:rPr>
              <w:t>(.</w:t>
            </w:r>
            <w:r w:rsidR="00A96ED8" w:rsidRPr="00AE6FD3">
              <w:rPr>
                <w:rFonts w:ascii="Times New Roman" w:eastAsia="Times New Roman" w:hAnsi="Times New Roman" w:cs="Times New Roman"/>
                <w:sz w:val="20"/>
                <w:szCs w:val="20"/>
              </w:rPr>
              <w:t>037</w:t>
            </w:r>
            <w:r w:rsidRPr="00AE6FD3">
              <w:rPr>
                <w:rFonts w:ascii="Times New Roman" w:eastAsia="Times New Roman" w:hAnsi="Times New Roman" w:cs="Times New Roman"/>
                <w:sz w:val="20"/>
                <w:szCs w:val="20"/>
              </w:rPr>
              <w:t>)</w:t>
            </w:r>
            <w:r w:rsidR="00A96ED8" w:rsidRPr="00AE6FD3">
              <w:rPr>
                <w:rFonts w:ascii="Times New Roman" w:eastAsia="Times New Roman" w:hAnsi="Times New Roman" w:cs="Times New Roman"/>
                <w:sz w:val="20"/>
                <w:szCs w:val="20"/>
                <w:vertAlign w:val="superscript"/>
              </w:rPr>
              <w:t>**</w:t>
            </w:r>
          </w:p>
        </w:tc>
        <w:tc>
          <w:tcPr>
            <w:tcW w:w="1412" w:type="dxa"/>
            <w:tcBorders>
              <w:top w:val="nil"/>
              <w:left w:val="nil"/>
              <w:bottom w:val="nil"/>
              <w:right w:val="nil"/>
            </w:tcBorders>
          </w:tcPr>
          <w:p w14:paraId="604FF3CB" w14:textId="2F1EFE31" w:rsidR="00CB179F" w:rsidRPr="00AE6FD3" w:rsidRDefault="00482A24"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0.118</w:t>
            </w:r>
            <w:r w:rsidR="00CB179F" w:rsidRPr="00AE6FD3">
              <w:rPr>
                <w:rFonts w:ascii="Times New Roman" w:eastAsia="Times New Roman" w:hAnsi="Times New Roman" w:cs="Times New Roman"/>
                <w:sz w:val="20"/>
                <w:szCs w:val="20"/>
              </w:rPr>
              <w:t>(.</w:t>
            </w:r>
            <w:r w:rsidRPr="00AE6FD3">
              <w:rPr>
                <w:rFonts w:ascii="Times New Roman" w:eastAsia="Times New Roman" w:hAnsi="Times New Roman" w:cs="Times New Roman"/>
                <w:sz w:val="20"/>
                <w:szCs w:val="20"/>
              </w:rPr>
              <w:t>532</w:t>
            </w:r>
            <w:r w:rsidR="00CB179F" w:rsidRPr="00AE6FD3">
              <w:rPr>
                <w:rFonts w:ascii="Times New Roman" w:eastAsia="Times New Roman" w:hAnsi="Times New Roman" w:cs="Times New Roman"/>
                <w:sz w:val="20"/>
                <w:szCs w:val="20"/>
              </w:rPr>
              <w:t>)</w:t>
            </w:r>
          </w:p>
        </w:tc>
        <w:tc>
          <w:tcPr>
            <w:tcW w:w="1520" w:type="dxa"/>
            <w:tcBorders>
              <w:top w:val="nil"/>
              <w:left w:val="nil"/>
              <w:bottom w:val="nil"/>
              <w:right w:val="nil"/>
            </w:tcBorders>
          </w:tcPr>
          <w:p w14:paraId="764896A0" w14:textId="7D58636E" w:rsidR="00CB179F" w:rsidRPr="00AE6FD3" w:rsidRDefault="00E16D17"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0.084</w:t>
            </w:r>
            <w:r w:rsidR="00CB179F" w:rsidRPr="00AE6FD3">
              <w:rPr>
                <w:rFonts w:ascii="Times New Roman" w:eastAsia="Times New Roman" w:hAnsi="Times New Roman" w:cs="Times New Roman"/>
                <w:sz w:val="20"/>
                <w:szCs w:val="20"/>
              </w:rPr>
              <w:t>(.</w:t>
            </w:r>
            <w:r w:rsidRPr="00AE6FD3">
              <w:rPr>
                <w:rFonts w:ascii="Times New Roman" w:eastAsia="Times New Roman" w:hAnsi="Times New Roman" w:cs="Times New Roman"/>
                <w:sz w:val="20"/>
                <w:szCs w:val="20"/>
              </w:rPr>
              <w:t>693</w:t>
            </w:r>
            <w:r w:rsidR="00CB179F" w:rsidRPr="00AE6FD3">
              <w:rPr>
                <w:rFonts w:ascii="Times New Roman" w:eastAsia="Times New Roman" w:hAnsi="Times New Roman" w:cs="Times New Roman"/>
                <w:sz w:val="20"/>
                <w:szCs w:val="20"/>
              </w:rPr>
              <w:t>)</w:t>
            </w:r>
          </w:p>
        </w:tc>
        <w:tc>
          <w:tcPr>
            <w:tcW w:w="1475" w:type="dxa"/>
            <w:tcBorders>
              <w:top w:val="nil"/>
              <w:left w:val="nil"/>
              <w:bottom w:val="nil"/>
              <w:right w:val="nil"/>
            </w:tcBorders>
          </w:tcPr>
          <w:p w14:paraId="59C76DD6" w14:textId="6835FB26" w:rsidR="00CB179F" w:rsidRPr="00AE6FD3" w:rsidRDefault="00CB179F"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w:t>
            </w:r>
            <w:r w:rsidR="00E35784" w:rsidRPr="00AE6FD3">
              <w:rPr>
                <w:rFonts w:ascii="Times New Roman" w:eastAsia="Times New Roman" w:hAnsi="Times New Roman" w:cs="Times New Roman"/>
                <w:sz w:val="20"/>
                <w:szCs w:val="20"/>
              </w:rPr>
              <w:t>1.018</w:t>
            </w:r>
            <w:r w:rsidRPr="00AE6FD3">
              <w:rPr>
                <w:rFonts w:ascii="Times New Roman" w:eastAsia="Times New Roman" w:hAnsi="Times New Roman" w:cs="Times New Roman"/>
                <w:sz w:val="20"/>
                <w:szCs w:val="20"/>
              </w:rPr>
              <w:t>(.</w:t>
            </w:r>
            <w:r w:rsidR="00E35784" w:rsidRPr="00AE6FD3">
              <w:rPr>
                <w:rFonts w:ascii="Times New Roman" w:eastAsia="Times New Roman" w:hAnsi="Times New Roman" w:cs="Times New Roman"/>
                <w:sz w:val="20"/>
                <w:szCs w:val="20"/>
              </w:rPr>
              <w:t>136</w:t>
            </w:r>
            <w:r w:rsidRPr="00AE6FD3">
              <w:rPr>
                <w:rFonts w:ascii="Times New Roman" w:eastAsia="Times New Roman" w:hAnsi="Times New Roman" w:cs="Times New Roman"/>
                <w:sz w:val="20"/>
                <w:szCs w:val="20"/>
              </w:rPr>
              <w:t>)</w:t>
            </w:r>
          </w:p>
        </w:tc>
        <w:tc>
          <w:tcPr>
            <w:tcW w:w="1488" w:type="dxa"/>
            <w:tcBorders>
              <w:top w:val="nil"/>
              <w:left w:val="nil"/>
              <w:bottom w:val="nil"/>
              <w:right w:val="nil"/>
            </w:tcBorders>
          </w:tcPr>
          <w:p w14:paraId="52CD925E" w14:textId="36903141" w:rsidR="00CB179F" w:rsidRPr="00AE6FD3" w:rsidRDefault="00693B2B"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-0.142</w:t>
            </w:r>
            <w:r w:rsidR="00CB179F" w:rsidRPr="00AE6FD3">
              <w:rPr>
                <w:rFonts w:ascii="Times New Roman" w:eastAsia="Times New Roman" w:hAnsi="Times New Roman" w:cs="Times New Roman"/>
                <w:sz w:val="20"/>
                <w:szCs w:val="20"/>
              </w:rPr>
              <w:t>(.0</w:t>
            </w:r>
            <w:r w:rsidRPr="00AE6FD3">
              <w:rPr>
                <w:rFonts w:ascii="Times New Roman" w:eastAsia="Times New Roman" w:hAnsi="Times New Roman" w:cs="Times New Roman"/>
                <w:sz w:val="20"/>
                <w:szCs w:val="20"/>
              </w:rPr>
              <w:t>02</w:t>
            </w:r>
            <w:r w:rsidR="00CB179F" w:rsidRPr="00AE6FD3">
              <w:rPr>
                <w:rFonts w:ascii="Times New Roman" w:eastAsia="Times New Roman" w:hAnsi="Times New Roman" w:cs="Times New Roman"/>
                <w:sz w:val="20"/>
                <w:szCs w:val="20"/>
              </w:rPr>
              <w:t>)</w:t>
            </w:r>
            <w:r w:rsidR="00CB179F" w:rsidRPr="00AE6FD3">
              <w:rPr>
                <w:rFonts w:ascii="Times New Roman" w:eastAsia="Times New Roman" w:hAnsi="Times New Roman" w:cs="Times New Roman"/>
                <w:sz w:val="20"/>
                <w:szCs w:val="20"/>
                <w:vertAlign w:val="superscript"/>
              </w:rPr>
              <w:t>**</w:t>
            </w:r>
            <w:r w:rsidRPr="00AE6FD3">
              <w:rPr>
                <w:rFonts w:ascii="Times New Roman" w:eastAsia="Times New Roman" w:hAnsi="Times New Roman" w:cs="Times New Roman"/>
                <w:sz w:val="20"/>
                <w:szCs w:val="20"/>
                <w:vertAlign w:val="superscript"/>
              </w:rPr>
              <w:t>*</w:t>
            </w:r>
          </w:p>
        </w:tc>
      </w:tr>
      <w:tr w:rsidR="00CB179F" w:rsidRPr="00AE6FD3" w14:paraId="03304B3E" w14:textId="77777777" w:rsidTr="00356ADA">
        <w:tc>
          <w:tcPr>
            <w:tcW w:w="9072" w:type="dxa"/>
            <w:gridSpan w:val="6"/>
            <w:tcBorders>
              <w:top w:val="nil"/>
              <w:left w:val="nil"/>
              <w:bottom w:val="nil"/>
              <w:right w:val="nil"/>
            </w:tcBorders>
          </w:tcPr>
          <w:p w14:paraId="2ADAC2BF" w14:textId="77777777" w:rsidR="00CB179F" w:rsidRPr="00AE6FD3" w:rsidRDefault="00CB179F" w:rsidP="00356ADA">
            <w:pPr>
              <w:spacing w:after="0"/>
              <w:rPr>
                <w:rFonts w:ascii="Times New Roman" w:eastAsia="Times New Roman" w:hAnsi="Times New Roman" w:cs="Times New Roman"/>
                <w:i/>
                <w:iCs/>
                <w:sz w:val="20"/>
                <w:szCs w:val="20"/>
              </w:rPr>
            </w:pPr>
          </w:p>
          <w:p w14:paraId="256DDFD2" w14:textId="77777777" w:rsidR="00CB179F" w:rsidRPr="00AE6FD3" w:rsidRDefault="00CB179F" w:rsidP="00356ADA">
            <w:pPr>
              <w:spacing w:after="0"/>
              <w:rPr>
                <w:rFonts w:ascii="Times New Roman" w:eastAsia="Times New Roman" w:hAnsi="Times New Roman" w:cs="Times New Roman"/>
                <w:i/>
                <w:iCs/>
                <w:sz w:val="20"/>
                <w:szCs w:val="20"/>
              </w:rPr>
            </w:pPr>
            <w:r w:rsidRPr="00AE6FD3">
              <w:rPr>
                <w:rFonts w:ascii="Times New Roman" w:eastAsia="Times New Roman" w:hAnsi="Times New Roman" w:cs="Times New Roman"/>
                <w:i/>
                <w:iCs/>
                <w:sz w:val="20"/>
                <w:szCs w:val="20"/>
              </w:rPr>
              <w:t>Moderating variables:</w:t>
            </w:r>
          </w:p>
        </w:tc>
      </w:tr>
      <w:tr w:rsidR="00CB179F" w:rsidRPr="00AE6FD3" w14:paraId="1F79748C" w14:textId="77777777" w:rsidTr="00356ADA">
        <w:tc>
          <w:tcPr>
            <w:tcW w:w="1657" w:type="dxa"/>
          </w:tcPr>
          <w:p w14:paraId="6EC335BB" w14:textId="3173872C" w:rsidR="00CB179F" w:rsidRPr="00AE6FD3" w:rsidRDefault="007E539E" w:rsidP="00356ADA">
            <w:pPr>
              <w:spacing w:after="0"/>
              <w:ind w:left="175"/>
              <w:rPr>
                <w:rFonts w:ascii="Times New Roman" w:eastAsia="Times New Roman" w:hAnsi="Times New Roman" w:cs="Times New Roman"/>
                <w:sz w:val="20"/>
                <w:szCs w:val="20"/>
              </w:rPr>
            </w:pPr>
            <w:r>
              <w:rPr>
                <w:rFonts w:ascii="Times New Roman" w:eastAsia="Calibri" w:hAnsi="Times New Roman" w:cs="Times New Roman"/>
                <w:bCs/>
                <w:sz w:val="20"/>
                <w:szCs w:val="20"/>
              </w:rPr>
              <w:t>SM</w:t>
            </w:r>
            <w:r w:rsidR="00CB179F" w:rsidRPr="00AE6FD3">
              <w:rPr>
                <w:rFonts w:ascii="Times New Roman" w:eastAsia="Calibri" w:hAnsi="Times New Roman" w:cs="Times New Roman"/>
                <w:bCs/>
                <w:sz w:val="20"/>
                <w:szCs w:val="20"/>
              </w:rPr>
              <w:t>TSZ</w:t>
            </w:r>
            <w:r>
              <w:rPr>
                <w:rFonts w:ascii="Times New Roman" w:eastAsia="Calibri" w:hAnsi="Times New Roman" w:cs="Times New Roman"/>
                <w:bCs/>
                <w:sz w:val="20"/>
                <w:szCs w:val="20"/>
              </w:rPr>
              <w:t>E</w:t>
            </w:r>
          </w:p>
        </w:tc>
        <w:tc>
          <w:tcPr>
            <w:tcW w:w="1520" w:type="dxa"/>
            <w:tcBorders>
              <w:top w:val="nil"/>
              <w:left w:val="nil"/>
              <w:bottom w:val="nil"/>
              <w:right w:val="nil"/>
            </w:tcBorders>
          </w:tcPr>
          <w:p w14:paraId="51F12738" w14:textId="1C14ACEE" w:rsidR="00CB179F" w:rsidRPr="00AE6FD3" w:rsidRDefault="00A96ED8"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0.044</w:t>
            </w:r>
            <w:r w:rsidR="00CB179F" w:rsidRPr="00AE6FD3">
              <w:rPr>
                <w:rFonts w:ascii="Times New Roman" w:eastAsia="Times New Roman" w:hAnsi="Times New Roman" w:cs="Times New Roman"/>
                <w:sz w:val="20"/>
                <w:szCs w:val="20"/>
              </w:rPr>
              <w:t>(.</w:t>
            </w:r>
            <w:r w:rsidRPr="00AE6FD3">
              <w:rPr>
                <w:rFonts w:ascii="Times New Roman" w:eastAsia="Times New Roman" w:hAnsi="Times New Roman" w:cs="Times New Roman"/>
                <w:sz w:val="20"/>
                <w:szCs w:val="20"/>
              </w:rPr>
              <w:t>003</w:t>
            </w:r>
            <w:r w:rsidR="00CB179F" w:rsidRPr="00AE6FD3">
              <w:rPr>
                <w:rFonts w:ascii="Times New Roman" w:eastAsia="Times New Roman" w:hAnsi="Times New Roman" w:cs="Times New Roman"/>
                <w:sz w:val="20"/>
                <w:szCs w:val="20"/>
              </w:rPr>
              <w:t>)</w:t>
            </w:r>
            <w:r w:rsidRPr="00AE6FD3">
              <w:rPr>
                <w:rFonts w:ascii="Times New Roman" w:eastAsia="Times New Roman" w:hAnsi="Times New Roman" w:cs="Times New Roman"/>
                <w:sz w:val="20"/>
                <w:szCs w:val="20"/>
                <w:vertAlign w:val="superscript"/>
              </w:rPr>
              <w:t>***</w:t>
            </w:r>
          </w:p>
        </w:tc>
        <w:tc>
          <w:tcPr>
            <w:tcW w:w="1412" w:type="dxa"/>
            <w:tcBorders>
              <w:top w:val="nil"/>
              <w:left w:val="nil"/>
              <w:bottom w:val="nil"/>
              <w:right w:val="nil"/>
            </w:tcBorders>
          </w:tcPr>
          <w:p w14:paraId="2B7A697C" w14:textId="77777777" w:rsidR="00CB179F" w:rsidRPr="00AE6FD3" w:rsidRDefault="00CB179F" w:rsidP="00356ADA">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w:t>
            </w:r>
          </w:p>
        </w:tc>
        <w:tc>
          <w:tcPr>
            <w:tcW w:w="1520" w:type="dxa"/>
            <w:tcBorders>
              <w:top w:val="nil"/>
              <w:left w:val="nil"/>
              <w:bottom w:val="nil"/>
              <w:right w:val="nil"/>
            </w:tcBorders>
          </w:tcPr>
          <w:p w14:paraId="122D813B" w14:textId="77777777" w:rsidR="00CB179F" w:rsidRPr="00AE6FD3" w:rsidRDefault="00CB179F" w:rsidP="00356ADA">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w:t>
            </w:r>
          </w:p>
        </w:tc>
        <w:tc>
          <w:tcPr>
            <w:tcW w:w="1475" w:type="dxa"/>
            <w:tcBorders>
              <w:top w:val="nil"/>
              <w:left w:val="nil"/>
              <w:bottom w:val="nil"/>
              <w:right w:val="nil"/>
            </w:tcBorders>
          </w:tcPr>
          <w:p w14:paraId="76C37D56" w14:textId="77777777" w:rsidR="00CB179F" w:rsidRPr="00AE6FD3" w:rsidRDefault="00CB179F" w:rsidP="00356ADA">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w:t>
            </w:r>
          </w:p>
        </w:tc>
        <w:tc>
          <w:tcPr>
            <w:tcW w:w="1488" w:type="dxa"/>
            <w:tcBorders>
              <w:top w:val="nil"/>
              <w:left w:val="nil"/>
              <w:bottom w:val="nil"/>
              <w:right w:val="nil"/>
            </w:tcBorders>
          </w:tcPr>
          <w:p w14:paraId="44AC4254" w14:textId="77777777" w:rsidR="00CB179F" w:rsidRPr="00AE6FD3" w:rsidRDefault="00CB179F" w:rsidP="00356ADA">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w:t>
            </w:r>
          </w:p>
        </w:tc>
      </w:tr>
      <w:tr w:rsidR="00CB179F" w:rsidRPr="00AE6FD3" w14:paraId="75D2434D" w14:textId="77777777" w:rsidTr="00356ADA">
        <w:tc>
          <w:tcPr>
            <w:tcW w:w="1657" w:type="dxa"/>
            <w:tcBorders>
              <w:top w:val="nil"/>
              <w:left w:val="nil"/>
              <w:bottom w:val="nil"/>
              <w:right w:val="nil"/>
            </w:tcBorders>
          </w:tcPr>
          <w:p w14:paraId="1178E525" w14:textId="0F0D2FA6" w:rsidR="00CB179F" w:rsidRPr="00AE6FD3" w:rsidRDefault="007E539E" w:rsidP="00356ADA">
            <w:pPr>
              <w:spacing w:after="0"/>
              <w:ind w:left="175"/>
              <w:rPr>
                <w:rFonts w:ascii="Times New Roman" w:eastAsia="Times New Roman" w:hAnsi="Times New Roman" w:cs="Times New Roman"/>
                <w:sz w:val="20"/>
                <w:szCs w:val="20"/>
              </w:rPr>
            </w:pPr>
            <w:r>
              <w:rPr>
                <w:rFonts w:ascii="Times New Roman" w:eastAsia="Times New Roman" w:hAnsi="Times New Roman" w:cs="Times New Roman"/>
                <w:bCs/>
                <w:sz w:val="20"/>
                <w:szCs w:val="20"/>
              </w:rPr>
              <w:t>SMTG</w:t>
            </w:r>
            <w:r w:rsidR="00CB179F" w:rsidRPr="00AE6FD3">
              <w:rPr>
                <w:rFonts w:ascii="Times New Roman" w:eastAsia="Times New Roman" w:hAnsi="Times New Roman" w:cs="Times New Roman"/>
                <w:bCs/>
                <w:sz w:val="20"/>
                <w:szCs w:val="20"/>
              </w:rPr>
              <w:t>ED</w:t>
            </w:r>
          </w:p>
        </w:tc>
        <w:tc>
          <w:tcPr>
            <w:tcW w:w="1520" w:type="dxa"/>
            <w:tcBorders>
              <w:top w:val="nil"/>
              <w:left w:val="nil"/>
              <w:bottom w:val="nil"/>
              <w:right w:val="nil"/>
            </w:tcBorders>
          </w:tcPr>
          <w:p w14:paraId="65FB7E74" w14:textId="77777777" w:rsidR="00CB179F" w:rsidRPr="00AE6FD3" w:rsidRDefault="00CB179F" w:rsidP="00356ADA">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w:t>
            </w:r>
          </w:p>
        </w:tc>
        <w:tc>
          <w:tcPr>
            <w:tcW w:w="1412" w:type="dxa"/>
            <w:tcBorders>
              <w:top w:val="nil"/>
              <w:left w:val="nil"/>
              <w:bottom w:val="nil"/>
              <w:right w:val="nil"/>
            </w:tcBorders>
          </w:tcPr>
          <w:p w14:paraId="7C2F02F3" w14:textId="7518157F" w:rsidR="00CB179F" w:rsidRPr="00AE6FD3" w:rsidRDefault="00482A24" w:rsidP="00356ADA">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-0.098</w:t>
            </w:r>
            <w:r w:rsidR="00CB179F" w:rsidRPr="00AE6FD3">
              <w:rPr>
                <w:rFonts w:ascii="Times New Roman" w:eastAsia="Times New Roman" w:hAnsi="Times New Roman" w:cs="Times New Roman"/>
                <w:sz w:val="20"/>
                <w:szCs w:val="20"/>
              </w:rPr>
              <w:t>(.209)</w:t>
            </w:r>
          </w:p>
        </w:tc>
        <w:tc>
          <w:tcPr>
            <w:tcW w:w="1520" w:type="dxa"/>
            <w:tcBorders>
              <w:top w:val="nil"/>
              <w:left w:val="nil"/>
              <w:bottom w:val="nil"/>
              <w:right w:val="nil"/>
            </w:tcBorders>
          </w:tcPr>
          <w:p w14:paraId="32912A2D" w14:textId="77777777" w:rsidR="00CB179F" w:rsidRPr="00AE6FD3" w:rsidRDefault="00CB179F" w:rsidP="00356ADA">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w:t>
            </w:r>
          </w:p>
        </w:tc>
        <w:tc>
          <w:tcPr>
            <w:tcW w:w="1475" w:type="dxa"/>
            <w:tcBorders>
              <w:top w:val="nil"/>
              <w:left w:val="nil"/>
              <w:bottom w:val="nil"/>
              <w:right w:val="nil"/>
            </w:tcBorders>
          </w:tcPr>
          <w:p w14:paraId="060BCA9B" w14:textId="77777777" w:rsidR="00CB179F" w:rsidRPr="00AE6FD3" w:rsidRDefault="00CB179F" w:rsidP="00356ADA">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w:t>
            </w:r>
          </w:p>
        </w:tc>
        <w:tc>
          <w:tcPr>
            <w:tcW w:w="1488" w:type="dxa"/>
            <w:tcBorders>
              <w:top w:val="nil"/>
              <w:left w:val="nil"/>
              <w:bottom w:val="nil"/>
              <w:right w:val="nil"/>
            </w:tcBorders>
          </w:tcPr>
          <w:p w14:paraId="0D685003" w14:textId="77777777" w:rsidR="00CB179F" w:rsidRPr="00AE6FD3" w:rsidRDefault="00CB179F" w:rsidP="00356ADA">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w:t>
            </w:r>
          </w:p>
        </w:tc>
      </w:tr>
      <w:tr w:rsidR="00CB179F" w:rsidRPr="00AE6FD3" w14:paraId="3CEE3B3A" w14:textId="77777777" w:rsidTr="00356ADA">
        <w:tc>
          <w:tcPr>
            <w:tcW w:w="1657" w:type="dxa"/>
            <w:tcBorders>
              <w:top w:val="nil"/>
              <w:left w:val="nil"/>
              <w:bottom w:val="nil"/>
              <w:right w:val="nil"/>
            </w:tcBorders>
          </w:tcPr>
          <w:p w14:paraId="1E6CD45D" w14:textId="606B80AE" w:rsidR="00CB179F" w:rsidRPr="00AE6FD3" w:rsidRDefault="007E539E" w:rsidP="00356ADA">
            <w:pPr>
              <w:spacing w:after="0"/>
              <w:ind w:left="175"/>
              <w:rPr>
                <w:rFonts w:ascii="Times New Roman" w:eastAsia="Times New Roman" w:hAnsi="Times New Roman" w:cs="Times New Roman"/>
                <w:sz w:val="20"/>
                <w:szCs w:val="20"/>
              </w:rPr>
            </w:pPr>
            <w:r>
              <w:rPr>
                <w:rFonts w:ascii="Times New Roman" w:eastAsia="Times New Roman" w:hAnsi="Times New Roman" w:cs="Times New Roman"/>
                <w:sz w:val="20"/>
                <w:szCs w:val="20"/>
              </w:rPr>
              <w:t>SM</w:t>
            </w:r>
            <w:r w:rsidR="00CB179F" w:rsidRPr="00AE6FD3">
              <w:rPr>
                <w:rFonts w:ascii="Times New Roman" w:eastAsia="Times New Roman" w:hAnsi="Times New Roman" w:cs="Times New Roman"/>
                <w:sz w:val="20"/>
                <w:szCs w:val="20"/>
              </w:rPr>
              <w:t>TGD</w:t>
            </w:r>
          </w:p>
        </w:tc>
        <w:tc>
          <w:tcPr>
            <w:tcW w:w="1520" w:type="dxa"/>
            <w:tcBorders>
              <w:top w:val="nil"/>
              <w:left w:val="nil"/>
              <w:bottom w:val="nil"/>
              <w:right w:val="nil"/>
            </w:tcBorders>
          </w:tcPr>
          <w:p w14:paraId="501BC322" w14:textId="77777777" w:rsidR="00CB179F" w:rsidRPr="00AE6FD3" w:rsidRDefault="00CB179F" w:rsidP="00356ADA">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w:t>
            </w:r>
          </w:p>
        </w:tc>
        <w:tc>
          <w:tcPr>
            <w:tcW w:w="1412" w:type="dxa"/>
            <w:tcBorders>
              <w:top w:val="nil"/>
              <w:left w:val="nil"/>
              <w:bottom w:val="nil"/>
              <w:right w:val="nil"/>
            </w:tcBorders>
          </w:tcPr>
          <w:p w14:paraId="5419D6E7" w14:textId="77777777" w:rsidR="00CB179F" w:rsidRPr="00AE6FD3" w:rsidRDefault="00CB179F" w:rsidP="00356ADA">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w:t>
            </w:r>
          </w:p>
        </w:tc>
        <w:tc>
          <w:tcPr>
            <w:tcW w:w="1520" w:type="dxa"/>
            <w:tcBorders>
              <w:top w:val="nil"/>
              <w:left w:val="nil"/>
              <w:bottom w:val="nil"/>
              <w:right w:val="nil"/>
            </w:tcBorders>
          </w:tcPr>
          <w:p w14:paraId="7E5636CD" w14:textId="72A9BB00" w:rsidR="00CB179F" w:rsidRPr="00AE6FD3" w:rsidRDefault="00E16D17"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-0.073</w:t>
            </w:r>
            <w:r w:rsidR="00CB179F" w:rsidRPr="00AE6FD3">
              <w:rPr>
                <w:rFonts w:ascii="Times New Roman" w:eastAsia="Times New Roman" w:hAnsi="Times New Roman" w:cs="Times New Roman"/>
                <w:sz w:val="20"/>
                <w:szCs w:val="20"/>
              </w:rPr>
              <w:t>(.</w:t>
            </w:r>
            <w:r w:rsidRPr="00AE6FD3">
              <w:rPr>
                <w:rFonts w:ascii="Times New Roman" w:eastAsia="Times New Roman" w:hAnsi="Times New Roman" w:cs="Times New Roman"/>
                <w:sz w:val="20"/>
                <w:szCs w:val="20"/>
              </w:rPr>
              <w:t>415</w:t>
            </w:r>
            <w:r w:rsidR="00CB179F" w:rsidRPr="00AE6FD3">
              <w:rPr>
                <w:rFonts w:ascii="Times New Roman" w:eastAsia="Times New Roman" w:hAnsi="Times New Roman" w:cs="Times New Roman"/>
                <w:sz w:val="20"/>
                <w:szCs w:val="20"/>
              </w:rPr>
              <w:t>)</w:t>
            </w:r>
          </w:p>
        </w:tc>
        <w:tc>
          <w:tcPr>
            <w:tcW w:w="1475" w:type="dxa"/>
            <w:tcBorders>
              <w:top w:val="nil"/>
              <w:left w:val="nil"/>
              <w:bottom w:val="nil"/>
              <w:right w:val="nil"/>
            </w:tcBorders>
          </w:tcPr>
          <w:p w14:paraId="4C816356" w14:textId="77777777" w:rsidR="00CB179F" w:rsidRPr="00AE6FD3" w:rsidRDefault="00CB179F" w:rsidP="00356ADA">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w:t>
            </w:r>
          </w:p>
        </w:tc>
        <w:tc>
          <w:tcPr>
            <w:tcW w:w="1488" w:type="dxa"/>
            <w:tcBorders>
              <w:top w:val="nil"/>
              <w:left w:val="nil"/>
              <w:bottom w:val="nil"/>
              <w:right w:val="nil"/>
            </w:tcBorders>
          </w:tcPr>
          <w:p w14:paraId="1ACCC6AB" w14:textId="77777777" w:rsidR="00CB179F" w:rsidRPr="00AE6FD3" w:rsidRDefault="00CB179F" w:rsidP="00356ADA">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w:t>
            </w:r>
          </w:p>
        </w:tc>
      </w:tr>
      <w:tr w:rsidR="00CB179F" w:rsidRPr="00AE6FD3" w14:paraId="41055B7E" w14:textId="77777777" w:rsidTr="00356ADA">
        <w:tc>
          <w:tcPr>
            <w:tcW w:w="1657" w:type="dxa"/>
            <w:tcBorders>
              <w:top w:val="nil"/>
              <w:left w:val="nil"/>
              <w:bottom w:val="nil"/>
              <w:right w:val="nil"/>
            </w:tcBorders>
          </w:tcPr>
          <w:p w14:paraId="1A630740" w14:textId="3F64F728" w:rsidR="00CB179F" w:rsidRPr="00AE6FD3" w:rsidRDefault="007E539E" w:rsidP="00356ADA">
            <w:pPr>
              <w:spacing w:after="0"/>
              <w:ind w:left="175"/>
              <w:rPr>
                <w:rFonts w:ascii="Times New Roman" w:eastAsia="Times New Roman" w:hAnsi="Times New Roman" w:cs="Times New Roman"/>
                <w:sz w:val="20"/>
                <w:szCs w:val="20"/>
              </w:rPr>
            </w:pPr>
            <w:r>
              <w:rPr>
                <w:rFonts w:ascii="Times New Roman" w:eastAsia="Times New Roman" w:hAnsi="Times New Roman" w:cs="Times New Roman"/>
                <w:sz w:val="20"/>
                <w:szCs w:val="20"/>
              </w:rPr>
              <w:t>SM</w:t>
            </w:r>
            <w:r w:rsidR="00CB179F" w:rsidRPr="00AE6FD3">
              <w:rPr>
                <w:rFonts w:ascii="Times New Roman" w:eastAsia="Times New Roman" w:hAnsi="Times New Roman" w:cs="Times New Roman"/>
                <w:sz w:val="20"/>
                <w:szCs w:val="20"/>
              </w:rPr>
              <w:t>TED</w:t>
            </w:r>
          </w:p>
        </w:tc>
        <w:tc>
          <w:tcPr>
            <w:tcW w:w="1520" w:type="dxa"/>
            <w:tcBorders>
              <w:top w:val="nil"/>
              <w:left w:val="nil"/>
              <w:bottom w:val="nil"/>
              <w:right w:val="nil"/>
            </w:tcBorders>
          </w:tcPr>
          <w:p w14:paraId="6419DA4B" w14:textId="77777777" w:rsidR="00CB179F" w:rsidRPr="00AE6FD3" w:rsidRDefault="00CB179F" w:rsidP="00356ADA">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w:t>
            </w:r>
          </w:p>
        </w:tc>
        <w:tc>
          <w:tcPr>
            <w:tcW w:w="1412" w:type="dxa"/>
            <w:tcBorders>
              <w:top w:val="nil"/>
              <w:left w:val="nil"/>
              <w:bottom w:val="nil"/>
              <w:right w:val="nil"/>
            </w:tcBorders>
          </w:tcPr>
          <w:p w14:paraId="4ED86A5A" w14:textId="77777777" w:rsidR="00CB179F" w:rsidRPr="00AE6FD3" w:rsidRDefault="00CB179F" w:rsidP="00356ADA">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w:t>
            </w:r>
          </w:p>
        </w:tc>
        <w:tc>
          <w:tcPr>
            <w:tcW w:w="1520" w:type="dxa"/>
            <w:tcBorders>
              <w:top w:val="nil"/>
              <w:left w:val="nil"/>
              <w:bottom w:val="nil"/>
              <w:right w:val="nil"/>
            </w:tcBorders>
          </w:tcPr>
          <w:p w14:paraId="5F74E93E" w14:textId="77777777" w:rsidR="00CB179F" w:rsidRPr="00AE6FD3" w:rsidRDefault="00CB179F" w:rsidP="00356ADA">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w:t>
            </w:r>
          </w:p>
        </w:tc>
        <w:tc>
          <w:tcPr>
            <w:tcW w:w="1475" w:type="dxa"/>
            <w:tcBorders>
              <w:top w:val="nil"/>
              <w:left w:val="nil"/>
              <w:bottom w:val="nil"/>
              <w:right w:val="nil"/>
            </w:tcBorders>
          </w:tcPr>
          <w:p w14:paraId="2324D49B" w14:textId="6F54CC72" w:rsidR="00CB179F" w:rsidRPr="00AE6FD3" w:rsidRDefault="00CB179F"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w:t>
            </w:r>
            <w:r w:rsidR="00E35784" w:rsidRPr="00AE6FD3">
              <w:rPr>
                <w:rFonts w:ascii="Times New Roman" w:eastAsia="Times New Roman" w:hAnsi="Times New Roman" w:cs="Times New Roman"/>
                <w:sz w:val="20"/>
                <w:szCs w:val="20"/>
              </w:rPr>
              <w:t>207</w:t>
            </w:r>
            <w:r w:rsidRPr="00AE6FD3">
              <w:rPr>
                <w:rFonts w:ascii="Times New Roman" w:eastAsia="Times New Roman" w:hAnsi="Times New Roman" w:cs="Times New Roman"/>
                <w:sz w:val="20"/>
                <w:szCs w:val="20"/>
              </w:rPr>
              <w:t>(.</w:t>
            </w:r>
            <w:r w:rsidR="00E35784" w:rsidRPr="00AE6FD3">
              <w:rPr>
                <w:rFonts w:ascii="Times New Roman" w:eastAsia="Times New Roman" w:hAnsi="Times New Roman" w:cs="Times New Roman"/>
                <w:sz w:val="20"/>
                <w:szCs w:val="20"/>
              </w:rPr>
              <w:t>464</w:t>
            </w:r>
            <w:r w:rsidRPr="00AE6FD3">
              <w:rPr>
                <w:rFonts w:ascii="Times New Roman" w:eastAsia="Times New Roman" w:hAnsi="Times New Roman" w:cs="Times New Roman"/>
                <w:sz w:val="20"/>
                <w:szCs w:val="20"/>
              </w:rPr>
              <w:t>)</w:t>
            </w:r>
          </w:p>
        </w:tc>
        <w:tc>
          <w:tcPr>
            <w:tcW w:w="1488" w:type="dxa"/>
            <w:tcBorders>
              <w:top w:val="nil"/>
              <w:left w:val="nil"/>
              <w:bottom w:val="nil"/>
              <w:right w:val="nil"/>
            </w:tcBorders>
          </w:tcPr>
          <w:p w14:paraId="56FCF30F" w14:textId="77777777" w:rsidR="00CB179F" w:rsidRPr="00AE6FD3" w:rsidRDefault="00CB179F" w:rsidP="00356ADA">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w:t>
            </w:r>
          </w:p>
        </w:tc>
      </w:tr>
      <w:tr w:rsidR="00CB179F" w:rsidRPr="00AE6FD3" w14:paraId="132CAE67" w14:textId="77777777" w:rsidTr="00356ADA">
        <w:tc>
          <w:tcPr>
            <w:tcW w:w="1657" w:type="dxa"/>
            <w:tcBorders>
              <w:top w:val="nil"/>
              <w:left w:val="nil"/>
              <w:bottom w:val="nil"/>
              <w:right w:val="nil"/>
            </w:tcBorders>
          </w:tcPr>
          <w:p w14:paraId="0593D0D6" w14:textId="6095588B" w:rsidR="00CB179F" w:rsidRPr="00AE6FD3" w:rsidRDefault="007E539E" w:rsidP="00356ADA">
            <w:pPr>
              <w:spacing w:after="0"/>
              <w:ind w:left="175"/>
              <w:rPr>
                <w:rFonts w:ascii="Times New Roman" w:eastAsia="Times New Roman" w:hAnsi="Times New Roman" w:cs="Times New Roman"/>
                <w:sz w:val="20"/>
                <w:szCs w:val="20"/>
              </w:rPr>
            </w:pPr>
            <w:r>
              <w:rPr>
                <w:rFonts w:ascii="Times New Roman" w:eastAsia="Times New Roman" w:hAnsi="Times New Roman" w:cs="Times New Roman"/>
                <w:sz w:val="20"/>
                <w:szCs w:val="20"/>
              </w:rPr>
              <w:t>SM</w:t>
            </w:r>
            <w:r w:rsidR="00CB179F" w:rsidRPr="00AE6FD3">
              <w:rPr>
                <w:rFonts w:ascii="Times New Roman" w:eastAsia="Times New Roman" w:hAnsi="Times New Roman" w:cs="Times New Roman"/>
                <w:sz w:val="20"/>
                <w:szCs w:val="20"/>
              </w:rPr>
              <w:t>TM</w:t>
            </w:r>
          </w:p>
        </w:tc>
        <w:tc>
          <w:tcPr>
            <w:tcW w:w="1520" w:type="dxa"/>
            <w:tcBorders>
              <w:top w:val="nil"/>
              <w:left w:val="nil"/>
              <w:bottom w:val="nil"/>
              <w:right w:val="nil"/>
            </w:tcBorders>
          </w:tcPr>
          <w:p w14:paraId="12BF4FFA" w14:textId="77777777" w:rsidR="00CB179F" w:rsidRPr="00AE6FD3" w:rsidRDefault="00CB179F" w:rsidP="00356ADA">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w:t>
            </w:r>
          </w:p>
        </w:tc>
        <w:tc>
          <w:tcPr>
            <w:tcW w:w="1412" w:type="dxa"/>
            <w:tcBorders>
              <w:top w:val="nil"/>
              <w:left w:val="nil"/>
              <w:bottom w:val="nil"/>
              <w:right w:val="nil"/>
            </w:tcBorders>
          </w:tcPr>
          <w:p w14:paraId="506BE011" w14:textId="77777777" w:rsidR="00CB179F" w:rsidRPr="00AE6FD3" w:rsidRDefault="00CB179F" w:rsidP="00356ADA">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w:t>
            </w:r>
          </w:p>
        </w:tc>
        <w:tc>
          <w:tcPr>
            <w:tcW w:w="1520" w:type="dxa"/>
            <w:tcBorders>
              <w:top w:val="nil"/>
              <w:left w:val="nil"/>
              <w:bottom w:val="nil"/>
              <w:right w:val="nil"/>
            </w:tcBorders>
          </w:tcPr>
          <w:p w14:paraId="557FD97F" w14:textId="77777777" w:rsidR="00CB179F" w:rsidRPr="00AE6FD3" w:rsidRDefault="00CB179F" w:rsidP="00356ADA">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w:t>
            </w:r>
          </w:p>
        </w:tc>
        <w:tc>
          <w:tcPr>
            <w:tcW w:w="1475" w:type="dxa"/>
            <w:tcBorders>
              <w:top w:val="nil"/>
              <w:left w:val="nil"/>
              <w:bottom w:val="nil"/>
              <w:right w:val="nil"/>
            </w:tcBorders>
          </w:tcPr>
          <w:p w14:paraId="24C7B781" w14:textId="77777777" w:rsidR="00CB179F" w:rsidRPr="00AE6FD3" w:rsidRDefault="00CB179F" w:rsidP="00356ADA">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w:t>
            </w:r>
          </w:p>
        </w:tc>
        <w:tc>
          <w:tcPr>
            <w:tcW w:w="1488" w:type="dxa"/>
            <w:tcBorders>
              <w:top w:val="nil"/>
              <w:left w:val="nil"/>
              <w:bottom w:val="nil"/>
              <w:right w:val="nil"/>
            </w:tcBorders>
          </w:tcPr>
          <w:p w14:paraId="1CD78597" w14:textId="7C6CE9F2" w:rsidR="00CB179F" w:rsidRPr="00AE6FD3" w:rsidRDefault="00693B2B"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0.083</w:t>
            </w:r>
            <w:r w:rsidR="00CB179F" w:rsidRPr="00AE6FD3">
              <w:rPr>
                <w:rFonts w:ascii="Times New Roman" w:eastAsia="Times New Roman" w:hAnsi="Times New Roman" w:cs="Times New Roman"/>
                <w:sz w:val="20"/>
                <w:szCs w:val="20"/>
              </w:rPr>
              <w:t>(.0</w:t>
            </w:r>
            <w:r w:rsidRPr="00AE6FD3">
              <w:rPr>
                <w:rFonts w:ascii="Times New Roman" w:eastAsia="Times New Roman" w:hAnsi="Times New Roman" w:cs="Times New Roman"/>
                <w:sz w:val="20"/>
                <w:szCs w:val="20"/>
              </w:rPr>
              <w:t>00</w:t>
            </w:r>
            <w:r w:rsidR="00CB179F" w:rsidRPr="00AE6FD3">
              <w:rPr>
                <w:rFonts w:ascii="Times New Roman" w:eastAsia="Times New Roman" w:hAnsi="Times New Roman" w:cs="Times New Roman"/>
                <w:sz w:val="20"/>
                <w:szCs w:val="20"/>
              </w:rPr>
              <w:t>)</w:t>
            </w:r>
            <w:r w:rsidR="00CB179F" w:rsidRPr="00AE6FD3">
              <w:rPr>
                <w:rFonts w:ascii="Times New Roman" w:eastAsia="Times New Roman" w:hAnsi="Times New Roman" w:cs="Times New Roman"/>
                <w:sz w:val="20"/>
                <w:szCs w:val="20"/>
                <w:vertAlign w:val="superscript"/>
              </w:rPr>
              <w:t>**</w:t>
            </w:r>
            <w:r w:rsidRPr="00AE6FD3">
              <w:rPr>
                <w:rFonts w:ascii="Times New Roman" w:eastAsia="Times New Roman" w:hAnsi="Times New Roman" w:cs="Times New Roman"/>
                <w:sz w:val="20"/>
                <w:szCs w:val="20"/>
                <w:vertAlign w:val="superscript"/>
              </w:rPr>
              <w:t>*</w:t>
            </w:r>
          </w:p>
        </w:tc>
      </w:tr>
      <w:tr w:rsidR="00CB179F" w:rsidRPr="00AE6FD3" w14:paraId="6757C6CB" w14:textId="77777777" w:rsidTr="00356ADA">
        <w:trPr>
          <w:trHeight w:val="460"/>
        </w:trPr>
        <w:tc>
          <w:tcPr>
            <w:tcW w:w="9072" w:type="dxa"/>
            <w:gridSpan w:val="6"/>
            <w:tcBorders>
              <w:top w:val="nil"/>
              <w:left w:val="nil"/>
              <w:bottom w:val="nil"/>
              <w:right w:val="nil"/>
            </w:tcBorders>
          </w:tcPr>
          <w:p w14:paraId="342B4FE7" w14:textId="77777777" w:rsidR="00CB179F" w:rsidRPr="00AE6FD3" w:rsidRDefault="00CB179F" w:rsidP="00356ADA">
            <w:pPr>
              <w:spacing w:after="0"/>
              <w:rPr>
                <w:rFonts w:ascii="Times New Roman" w:eastAsia="Times New Roman" w:hAnsi="Times New Roman" w:cs="Times New Roman"/>
                <w:i/>
                <w:iCs/>
                <w:sz w:val="20"/>
                <w:szCs w:val="20"/>
              </w:rPr>
            </w:pPr>
          </w:p>
          <w:p w14:paraId="7CA52A61" w14:textId="06550D11" w:rsidR="00CB179F" w:rsidRPr="00AE6FD3" w:rsidRDefault="00CB179F" w:rsidP="00356ADA">
            <w:pPr>
              <w:spacing w:after="0"/>
              <w:rPr>
                <w:rFonts w:ascii="Times New Roman" w:eastAsia="Times New Roman" w:hAnsi="Times New Roman" w:cs="Times New Roman"/>
                <w:i/>
                <w:iCs/>
                <w:sz w:val="20"/>
                <w:szCs w:val="20"/>
              </w:rPr>
            </w:pPr>
            <w:r w:rsidRPr="00AE6FD3">
              <w:rPr>
                <w:rFonts w:ascii="Times New Roman" w:eastAsia="Times New Roman" w:hAnsi="Times New Roman" w:cs="Times New Roman"/>
                <w:i/>
                <w:iCs/>
                <w:sz w:val="20"/>
                <w:szCs w:val="20"/>
              </w:rPr>
              <w:t>Controls (</w:t>
            </w:r>
            <w:r w:rsidR="00A96ED8" w:rsidRPr="00AE6FD3">
              <w:rPr>
                <w:rFonts w:ascii="Times New Roman" w:eastAsia="Times New Roman" w:hAnsi="Times New Roman" w:cs="Times New Roman"/>
                <w:i/>
                <w:iCs/>
                <w:sz w:val="20"/>
                <w:szCs w:val="20"/>
              </w:rPr>
              <w:t>Vice-</w:t>
            </w:r>
            <w:r w:rsidR="003223E9">
              <w:rPr>
                <w:rFonts w:ascii="Times New Roman" w:eastAsia="Times New Roman" w:hAnsi="Times New Roman" w:cs="Times New Roman"/>
                <w:i/>
                <w:iCs/>
                <w:sz w:val="20"/>
                <w:szCs w:val="20"/>
              </w:rPr>
              <w:t>c</w:t>
            </w:r>
            <w:r w:rsidR="00A96ED8" w:rsidRPr="00AE6FD3">
              <w:rPr>
                <w:rFonts w:ascii="Times New Roman" w:eastAsia="Times New Roman" w:hAnsi="Times New Roman" w:cs="Times New Roman"/>
                <w:i/>
                <w:iCs/>
                <w:sz w:val="20"/>
                <w:szCs w:val="20"/>
              </w:rPr>
              <w:t xml:space="preserve">hancellor (VC) </w:t>
            </w:r>
            <w:r w:rsidR="003223E9">
              <w:rPr>
                <w:rFonts w:ascii="Times New Roman" w:eastAsia="Times New Roman" w:hAnsi="Times New Roman" w:cs="Times New Roman"/>
                <w:i/>
                <w:iCs/>
                <w:sz w:val="20"/>
                <w:szCs w:val="20"/>
              </w:rPr>
              <w:t>c</w:t>
            </w:r>
            <w:r w:rsidR="00A96ED8" w:rsidRPr="00AE6FD3">
              <w:rPr>
                <w:rFonts w:ascii="Times New Roman" w:eastAsia="Times New Roman" w:hAnsi="Times New Roman" w:cs="Times New Roman"/>
                <w:i/>
                <w:iCs/>
                <w:sz w:val="20"/>
                <w:szCs w:val="20"/>
              </w:rPr>
              <w:t>haracteristics</w:t>
            </w:r>
            <w:r w:rsidRPr="00AE6FD3">
              <w:rPr>
                <w:rFonts w:ascii="Times New Roman" w:eastAsia="Times New Roman" w:hAnsi="Times New Roman" w:cs="Times New Roman"/>
                <w:i/>
                <w:iCs/>
                <w:sz w:val="20"/>
                <w:szCs w:val="20"/>
              </w:rPr>
              <w:t>)</w:t>
            </w:r>
          </w:p>
        </w:tc>
      </w:tr>
      <w:tr w:rsidR="00482A24" w:rsidRPr="00AE6FD3" w14:paraId="0AB77B8C" w14:textId="77777777" w:rsidTr="00356ADA">
        <w:trPr>
          <w:trHeight w:val="127"/>
        </w:trPr>
        <w:tc>
          <w:tcPr>
            <w:tcW w:w="1657" w:type="dxa"/>
            <w:tcBorders>
              <w:top w:val="nil"/>
              <w:left w:val="nil"/>
              <w:bottom w:val="nil"/>
              <w:right w:val="nil"/>
            </w:tcBorders>
          </w:tcPr>
          <w:p w14:paraId="2D7247D1" w14:textId="71A55CE6" w:rsidR="00482A24" w:rsidRPr="00AE6FD3" w:rsidRDefault="00482A24" w:rsidP="00482A24">
            <w:pPr>
              <w:spacing w:after="0"/>
              <w:ind w:left="175"/>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VCAG</w:t>
            </w:r>
            <w:r w:rsidR="007E539E">
              <w:rPr>
                <w:rFonts w:ascii="Times New Roman" w:eastAsia="Times New Roman" w:hAnsi="Times New Roman" w:cs="Times New Roman"/>
                <w:sz w:val="20"/>
                <w:szCs w:val="20"/>
              </w:rPr>
              <w:t>E</w:t>
            </w:r>
          </w:p>
        </w:tc>
        <w:tc>
          <w:tcPr>
            <w:tcW w:w="1520" w:type="dxa"/>
            <w:tcBorders>
              <w:top w:val="nil"/>
              <w:left w:val="nil"/>
              <w:bottom w:val="nil"/>
              <w:right w:val="nil"/>
            </w:tcBorders>
          </w:tcPr>
          <w:p w14:paraId="1439F040" w14:textId="23176B3F" w:rsidR="00482A24" w:rsidRPr="00AE6FD3" w:rsidRDefault="00482A24" w:rsidP="00482A24">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-0.011(598)</w:t>
            </w:r>
          </w:p>
        </w:tc>
        <w:tc>
          <w:tcPr>
            <w:tcW w:w="1412" w:type="dxa"/>
            <w:tcBorders>
              <w:top w:val="nil"/>
              <w:left w:val="nil"/>
              <w:bottom w:val="nil"/>
              <w:right w:val="nil"/>
            </w:tcBorders>
          </w:tcPr>
          <w:p w14:paraId="0DC27A21" w14:textId="24CBD7A3" w:rsidR="00482A24" w:rsidRPr="00AE6FD3" w:rsidRDefault="00482A24" w:rsidP="00482A24">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-0.</w:t>
            </w:r>
            <w:r w:rsidR="00676321" w:rsidRPr="00AE6FD3">
              <w:rPr>
                <w:rFonts w:ascii="Times New Roman" w:eastAsia="Times New Roman" w:hAnsi="Times New Roman" w:cs="Times New Roman"/>
                <w:sz w:val="20"/>
                <w:szCs w:val="20"/>
              </w:rPr>
              <w:t>018</w:t>
            </w:r>
            <w:r w:rsidRPr="00AE6FD3">
              <w:rPr>
                <w:rFonts w:ascii="Times New Roman" w:eastAsia="Times New Roman" w:hAnsi="Times New Roman" w:cs="Times New Roman"/>
                <w:sz w:val="20"/>
                <w:szCs w:val="20"/>
              </w:rPr>
              <w:t>(.411)</w:t>
            </w:r>
          </w:p>
        </w:tc>
        <w:tc>
          <w:tcPr>
            <w:tcW w:w="1520" w:type="dxa"/>
            <w:tcBorders>
              <w:top w:val="nil"/>
              <w:left w:val="nil"/>
              <w:bottom w:val="nil"/>
              <w:right w:val="nil"/>
            </w:tcBorders>
          </w:tcPr>
          <w:p w14:paraId="78D40446" w14:textId="1CCCE14B" w:rsidR="00482A24" w:rsidRPr="00AE6FD3" w:rsidRDefault="00E16D17" w:rsidP="00482A24">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-0.018</w:t>
            </w:r>
            <w:r w:rsidR="00482A24" w:rsidRPr="00AE6FD3">
              <w:rPr>
                <w:rFonts w:ascii="Times New Roman" w:eastAsia="Times New Roman" w:hAnsi="Times New Roman" w:cs="Times New Roman"/>
                <w:sz w:val="20"/>
                <w:szCs w:val="20"/>
              </w:rPr>
              <w:t>(.</w:t>
            </w:r>
            <w:r w:rsidRPr="00AE6FD3">
              <w:rPr>
                <w:rFonts w:ascii="Times New Roman" w:eastAsia="Times New Roman" w:hAnsi="Times New Roman" w:cs="Times New Roman"/>
                <w:sz w:val="20"/>
                <w:szCs w:val="20"/>
              </w:rPr>
              <w:t>395</w:t>
            </w:r>
            <w:r w:rsidR="00482A24" w:rsidRPr="00AE6FD3">
              <w:rPr>
                <w:rFonts w:ascii="Times New Roman" w:eastAsia="Times New Roman" w:hAnsi="Times New Roman" w:cs="Times New Roman"/>
                <w:sz w:val="20"/>
                <w:szCs w:val="20"/>
              </w:rPr>
              <w:t>)</w:t>
            </w:r>
          </w:p>
        </w:tc>
        <w:tc>
          <w:tcPr>
            <w:tcW w:w="1475" w:type="dxa"/>
            <w:tcBorders>
              <w:top w:val="nil"/>
              <w:left w:val="nil"/>
              <w:bottom w:val="nil"/>
              <w:right w:val="nil"/>
            </w:tcBorders>
          </w:tcPr>
          <w:p w14:paraId="78B4EBC9" w14:textId="7DD623DD" w:rsidR="00482A24" w:rsidRPr="00AE6FD3" w:rsidRDefault="00E35784" w:rsidP="00482A24">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-0.024</w:t>
            </w:r>
            <w:r w:rsidR="00482A24" w:rsidRPr="00AE6FD3">
              <w:rPr>
                <w:rFonts w:ascii="Times New Roman" w:eastAsia="Times New Roman" w:hAnsi="Times New Roman" w:cs="Times New Roman"/>
                <w:sz w:val="20"/>
                <w:szCs w:val="20"/>
              </w:rPr>
              <w:t>(.</w:t>
            </w:r>
            <w:r w:rsidRPr="00AE6FD3">
              <w:rPr>
                <w:rFonts w:ascii="Times New Roman" w:eastAsia="Times New Roman" w:hAnsi="Times New Roman" w:cs="Times New Roman"/>
                <w:sz w:val="20"/>
                <w:szCs w:val="20"/>
              </w:rPr>
              <w:t>577</w:t>
            </w:r>
            <w:r w:rsidR="00482A24" w:rsidRPr="00AE6FD3">
              <w:rPr>
                <w:rFonts w:ascii="Times New Roman" w:eastAsia="Times New Roman" w:hAnsi="Times New Roman" w:cs="Times New Roman"/>
                <w:sz w:val="20"/>
                <w:szCs w:val="20"/>
              </w:rPr>
              <w:t>)</w:t>
            </w:r>
          </w:p>
        </w:tc>
        <w:tc>
          <w:tcPr>
            <w:tcW w:w="1488" w:type="dxa"/>
            <w:tcBorders>
              <w:top w:val="nil"/>
              <w:left w:val="nil"/>
              <w:bottom w:val="nil"/>
              <w:right w:val="nil"/>
            </w:tcBorders>
          </w:tcPr>
          <w:p w14:paraId="4FC66FAF" w14:textId="55E55A4D" w:rsidR="00482A24" w:rsidRPr="00AE6FD3" w:rsidRDefault="00693B2B" w:rsidP="00482A24">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0.040</w:t>
            </w:r>
            <w:r w:rsidR="00482A24" w:rsidRPr="00AE6FD3">
              <w:rPr>
                <w:rFonts w:ascii="Times New Roman" w:eastAsia="Times New Roman" w:hAnsi="Times New Roman" w:cs="Times New Roman"/>
                <w:sz w:val="20"/>
                <w:szCs w:val="20"/>
              </w:rPr>
              <w:t>(.</w:t>
            </w:r>
            <w:r w:rsidRPr="00AE6FD3">
              <w:rPr>
                <w:rFonts w:ascii="Times New Roman" w:eastAsia="Times New Roman" w:hAnsi="Times New Roman" w:cs="Times New Roman"/>
                <w:sz w:val="20"/>
                <w:szCs w:val="20"/>
              </w:rPr>
              <w:t>110</w:t>
            </w:r>
            <w:r w:rsidR="00482A24" w:rsidRPr="00AE6FD3">
              <w:rPr>
                <w:rFonts w:ascii="Times New Roman" w:eastAsia="Times New Roman" w:hAnsi="Times New Roman" w:cs="Times New Roman"/>
                <w:sz w:val="20"/>
                <w:szCs w:val="20"/>
              </w:rPr>
              <w:t>)</w:t>
            </w:r>
          </w:p>
        </w:tc>
      </w:tr>
      <w:tr w:rsidR="00482A24" w:rsidRPr="00AE6FD3" w14:paraId="31DAC66B" w14:textId="77777777" w:rsidTr="00356ADA">
        <w:trPr>
          <w:trHeight w:val="173"/>
        </w:trPr>
        <w:tc>
          <w:tcPr>
            <w:tcW w:w="1657" w:type="dxa"/>
            <w:tcBorders>
              <w:top w:val="nil"/>
              <w:left w:val="nil"/>
              <w:bottom w:val="nil"/>
              <w:right w:val="nil"/>
            </w:tcBorders>
          </w:tcPr>
          <w:p w14:paraId="3C0B5DB6" w14:textId="5870ACB8" w:rsidR="00482A24" w:rsidRPr="00AE6FD3" w:rsidRDefault="00482A24" w:rsidP="00482A24">
            <w:pPr>
              <w:spacing w:after="0"/>
              <w:ind w:left="175"/>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VCG</w:t>
            </w:r>
            <w:r w:rsidR="007E539E">
              <w:rPr>
                <w:rFonts w:ascii="Times New Roman" w:eastAsia="Times New Roman" w:hAnsi="Times New Roman" w:cs="Times New Roman"/>
                <w:sz w:val="20"/>
                <w:szCs w:val="20"/>
              </w:rPr>
              <w:t>EN</w:t>
            </w:r>
          </w:p>
        </w:tc>
        <w:tc>
          <w:tcPr>
            <w:tcW w:w="1520" w:type="dxa"/>
            <w:tcBorders>
              <w:top w:val="nil"/>
              <w:left w:val="nil"/>
              <w:bottom w:val="nil"/>
              <w:right w:val="nil"/>
            </w:tcBorders>
          </w:tcPr>
          <w:p w14:paraId="1B16DD45" w14:textId="4EF59212" w:rsidR="00482A24" w:rsidRPr="00AE6FD3" w:rsidRDefault="00482A24" w:rsidP="00482A24">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-0.003(.473)</w:t>
            </w:r>
          </w:p>
        </w:tc>
        <w:tc>
          <w:tcPr>
            <w:tcW w:w="1412" w:type="dxa"/>
            <w:tcBorders>
              <w:top w:val="nil"/>
              <w:left w:val="nil"/>
              <w:bottom w:val="nil"/>
              <w:right w:val="nil"/>
            </w:tcBorders>
          </w:tcPr>
          <w:p w14:paraId="573364D9" w14:textId="574A1F0C" w:rsidR="00482A24" w:rsidRPr="00AE6FD3" w:rsidRDefault="00482A24" w:rsidP="00482A24">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-0.002(.680)</w:t>
            </w:r>
          </w:p>
        </w:tc>
        <w:tc>
          <w:tcPr>
            <w:tcW w:w="1520" w:type="dxa"/>
            <w:tcBorders>
              <w:top w:val="nil"/>
              <w:left w:val="nil"/>
              <w:bottom w:val="nil"/>
              <w:right w:val="nil"/>
            </w:tcBorders>
          </w:tcPr>
          <w:p w14:paraId="69B0CF4B" w14:textId="51AC89E9" w:rsidR="00482A24" w:rsidRPr="00AE6FD3" w:rsidRDefault="00320B4A" w:rsidP="00482A24">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-0.003</w:t>
            </w:r>
            <w:r w:rsidR="00482A24" w:rsidRPr="00AE6FD3">
              <w:rPr>
                <w:rFonts w:ascii="Times New Roman" w:eastAsia="Times New Roman" w:hAnsi="Times New Roman" w:cs="Times New Roman"/>
                <w:sz w:val="20"/>
                <w:szCs w:val="20"/>
              </w:rPr>
              <w:t>(.</w:t>
            </w:r>
            <w:r w:rsidRPr="00AE6FD3">
              <w:rPr>
                <w:rFonts w:ascii="Times New Roman" w:eastAsia="Times New Roman" w:hAnsi="Times New Roman" w:cs="Times New Roman"/>
                <w:sz w:val="20"/>
                <w:szCs w:val="20"/>
              </w:rPr>
              <w:t>503</w:t>
            </w:r>
            <w:r w:rsidR="00482A24" w:rsidRPr="00AE6FD3">
              <w:rPr>
                <w:rFonts w:ascii="Times New Roman" w:eastAsia="Times New Roman" w:hAnsi="Times New Roman" w:cs="Times New Roman"/>
                <w:sz w:val="20"/>
                <w:szCs w:val="20"/>
              </w:rPr>
              <w:t>)</w:t>
            </w:r>
          </w:p>
        </w:tc>
        <w:tc>
          <w:tcPr>
            <w:tcW w:w="1475" w:type="dxa"/>
            <w:tcBorders>
              <w:top w:val="nil"/>
              <w:left w:val="nil"/>
              <w:bottom w:val="nil"/>
              <w:right w:val="nil"/>
            </w:tcBorders>
          </w:tcPr>
          <w:p w14:paraId="3F0D50C1" w14:textId="6CE86F52" w:rsidR="00482A24" w:rsidRPr="00AE6FD3" w:rsidRDefault="00482A24" w:rsidP="00482A24">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-0.0</w:t>
            </w:r>
            <w:r w:rsidR="00E35784" w:rsidRPr="00AE6FD3">
              <w:rPr>
                <w:rFonts w:ascii="Times New Roman" w:eastAsia="Times New Roman" w:hAnsi="Times New Roman" w:cs="Times New Roman"/>
                <w:sz w:val="20"/>
                <w:szCs w:val="20"/>
              </w:rPr>
              <w:t>21</w:t>
            </w:r>
            <w:r w:rsidRPr="00AE6FD3">
              <w:rPr>
                <w:rFonts w:ascii="Times New Roman" w:eastAsia="Times New Roman" w:hAnsi="Times New Roman" w:cs="Times New Roman"/>
                <w:sz w:val="20"/>
                <w:szCs w:val="20"/>
              </w:rPr>
              <w:t>(.</w:t>
            </w:r>
            <w:r w:rsidR="00E35784" w:rsidRPr="00AE6FD3">
              <w:rPr>
                <w:rFonts w:ascii="Times New Roman" w:eastAsia="Times New Roman" w:hAnsi="Times New Roman" w:cs="Times New Roman"/>
                <w:sz w:val="20"/>
                <w:szCs w:val="20"/>
              </w:rPr>
              <w:t>037</w:t>
            </w:r>
            <w:r w:rsidRPr="00AE6FD3">
              <w:rPr>
                <w:rFonts w:ascii="Times New Roman" w:eastAsia="Times New Roman" w:hAnsi="Times New Roman" w:cs="Times New Roman"/>
                <w:sz w:val="20"/>
                <w:szCs w:val="20"/>
              </w:rPr>
              <w:t>)</w:t>
            </w:r>
            <w:r w:rsidR="00E35784" w:rsidRPr="00AE6FD3">
              <w:rPr>
                <w:rFonts w:ascii="Times New Roman" w:eastAsia="Times New Roman" w:hAnsi="Times New Roman" w:cs="Times New Roman"/>
                <w:sz w:val="20"/>
                <w:szCs w:val="20"/>
                <w:vertAlign w:val="superscript"/>
              </w:rPr>
              <w:t>**</w:t>
            </w:r>
          </w:p>
        </w:tc>
        <w:tc>
          <w:tcPr>
            <w:tcW w:w="1488" w:type="dxa"/>
            <w:tcBorders>
              <w:top w:val="nil"/>
              <w:left w:val="nil"/>
              <w:bottom w:val="nil"/>
              <w:right w:val="nil"/>
            </w:tcBorders>
          </w:tcPr>
          <w:p w14:paraId="7CDFD427" w14:textId="6D5FC536" w:rsidR="00482A24" w:rsidRPr="00AE6FD3" w:rsidRDefault="00693B2B" w:rsidP="00482A24">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-0.002</w:t>
            </w:r>
            <w:r w:rsidR="00482A24" w:rsidRPr="00AE6FD3">
              <w:rPr>
                <w:rFonts w:ascii="Times New Roman" w:eastAsia="Times New Roman" w:hAnsi="Times New Roman" w:cs="Times New Roman"/>
                <w:sz w:val="20"/>
                <w:szCs w:val="20"/>
              </w:rPr>
              <w:t>(.</w:t>
            </w:r>
            <w:r w:rsidRPr="00AE6FD3">
              <w:rPr>
                <w:rFonts w:ascii="Times New Roman" w:eastAsia="Times New Roman" w:hAnsi="Times New Roman" w:cs="Times New Roman"/>
                <w:sz w:val="20"/>
                <w:szCs w:val="20"/>
              </w:rPr>
              <w:t>619</w:t>
            </w:r>
            <w:r w:rsidR="00482A24" w:rsidRPr="00AE6FD3">
              <w:rPr>
                <w:rFonts w:ascii="Times New Roman" w:eastAsia="Times New Roman" w:hAnsi="Times New Roman" w:cs="Times New Roman"/>
                <w:sz w:val="20"/>
                <w:szCs w:val="20"/>
              </w:rPr>
              <w:t>)</w:t>
            </w:r>
          </w:p>
        </w:tc>
      </w:tr>
      <w:tr w:rsidR="00482A24" w:rsidRPr="00AE6FD3" w14:paraId="6EA107E8" w14:textId="77777777" w:rsidTr="00356ADA">
        <w:trPr>
          <w:trHeight w:val="173"/>
        </w:trPr>
        <w:tc>
          <w:tcPr>
            <w:tcW w:w="1657" w:type="dxa"/>
            <w:tcBorders>
              <w:top w:val="nil"/>
              <w:left w:val="nil"/>
              <w:bottom w:val="nil"/>
              <w:right w:val="nil"/>
            </w:tcBorders>
          </w:tcPr>
          <w:p w14:paraId="30FAC03A" w14:textId="50E97B43" w:rsidR="00482A24" w:rsidRPr="00AE6FD3" w:rsidRDefault="00676321" w:rsidP="00482A24">
            <w:pPr>
              <w:spacing w:after="0"/>
              <w:ind w:left="175"/>
              <w:rPr>
                <w:rFonts w:ascii="Times New Roman" w:eastAsia="Times New Roman" w:hAnsi="Times New Roman" w:cs="Times New Roman"/>
                <w:sz w:val="20"/>
                <w:szCs w:val="20"/>
              </w:rPr>
            </w:pPr>
            <w:r w:rsidRPr="00AE6FD3">
              <w:rPr>
                <w:rFonts w:ascii="Times New Roman" w:hAnsi="Times New Roman" w:cs="Times New Roman"/>
                <w:sz w:val="20"/>
                <w:szCs w:val="20"/>
              </w:rPr>
              <w:t>VCA</w:t>
            </w:r>
            <w:r w:rsidR="007E539E">
              <w:rPr>
                <w:rFonts w:ascii="Times New Roman" w:hAnsi="Times New Roman" w:cs="Times New Roman"/>
                <w:sz w:val="20"/>
                <w:szCs w:val="20"/>
              </w:rPr>
              <w:t>C</w:t>
            </w:r>
            <w:r w:rsidRPr="00AE6FD3">
              <w:rPr>
                <w:rFonts w:ascii="Times New Roman" w:hAnsi="Times New Roman" w:cs="Times New Roman"/>
                <w:sz w:val="20"/>
                <w:szCs w:val="20"/>
              </w:rPr>
              <w:t>D</w:t>
            </w:r>
          </w:p>
        </w:tc>
        <w:tc>
          <w:tcPr>
            <w:tcW w:w="1520" w:type="dxa"/>
            <w:tcBorders>
              <w:top w:val="nil"/>
              <w:left w:val="nil"/>
              <w:bottom w:val="nil"/>
              <w:right w:val="nil"/>
            </w:tcBorders>
          </w:tcPr>
          <w:p w14:paraId="1EAD443E" w14:textId="4DE75C09" w:rsidR="00482A24" w:rsidRPr="00AE6FD3" w:rsidRDefault="00482A24" w:rsidP="00482A24">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0.001(.494)</w:t>
            </w:r>
          </w:p>
        </w:tc>
        <w:tc>
          <w:tcPr>
            <w:tcW w:w="1412" w:type="dxa"/>
            <w:tcBorders>
              <w:top w:val="nil"/>
              <w:left w:val="nil"/>
              <w:bottom w:val="nil"/>
              <w:right w:val="nil"/>
            </w:tcBorders>
          </w:tcPr>
          <w:p w14:paraId="781FC9D3" w14:textId="454A171F" w:rsidR="00482A24" w:rsidRPr="00AE6FD3" w:rsidRDefault="00676321" w:rsidP="00482A24">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0.001</w:t>
            </w:r>
            <w:r w:rsidR="00482A24" w:rsidRPr="00AE6FD3">
              <w:rPr>
                <w:rFonts w:ascii="Times New Roman" w:eastAsia="Times New Roman" w:hAnsi="Times New Roman" w:cs="Times New Roman"/>
                <w:sz w:val="20"/>
                <w:szCs w:val="20"/>
              </w:rPr>
              <w:t>(.</w:t>
            </w:r>
            <w:r w:rsidRPr="00AE6FD3">
              <w:rPr>
                <w:rFonts w:ascii="Times New Roman" w:eastAsia="Times New Roman" w:hAnsi="Times New Roman" w:cs="Times New Roman"/>
                <w:sz w:val="20"/>
                <w:szCs w:val="20"/>
              </w:rPr>
              <w:t>505</w:t>
            </w:r>
            <w:r w:rsidR="00482A24" w:rsidRPr="00AE6FD3">
              <w:rPr>
                <w:rFonts w:ascii="Times New Roman" w:eastAsia="Times New Roman" w:hAnsi="Times New Roman" w:cs="Times New Roman"/>
                <w:sz w:val="20"/>
                <w:szCs w:val="20"/>
              </w:rPr>
              <w:t>)</w:t>
            </w:r>
          </w:p>
        </w:tc>
        <w:tc>
          <w:tcPr>
            <w:tcW w:w="1520" w:type="dxa"/>
            <w:tcBorders>
              <w:top w:val="nil"/>
              <w:left w:val="nil"/>
              <w:bottom w:val="nil"/>
              <w:right w:val="nil"/>
            </w:tcBorders>
          </w:tcPr>
          <w:p w14:paraId="768E928B" w14:textId="2432AE93" w:rsidR="00482A24" w:rsidRPr="00AE6FD3" w:rsidRDefault="00482A24" w:rsidP="00482A24">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0.0</w:t>
            </w:r>
            <w:r w:rsidR="00320B4A" w:rsidRPr="00AE6FD3">
              <w:rPr>
                <w:rFonts w:ascii="Times New Roman" w:eastAsia="Times New Roman" w:hAnsi="Times New Roman" w:cs="Times New Roman"/>
                <w:sz w:val="20"/>
                <w:szCs w:val="20"/>
              </w:rPr>
              <w:t>01</w:t>
            </w:r>
            <w:r w:rsidRPr="00AE6FD3">
              <w:rPr>
                <w:rFonts w:ascii="Times New Roman" w:eastAsia="Times New Roman" w:hAnsi="Times New Roman" w:cs="Times New Roman"/>
                <w:sz w:val="20"/>
                <w:szCs w:val="20"/>
              </w:rPr>
              <w:t>(.</w:t>
            </w:r>
            <w:r w:rsidR="00320B4A" w:rsidRPr="00AE6FD3">
              <w:rPr>
                <w:rFonts w:ascii="Times New Roman" w:eastAsia="Times New Roman" w:hAnsi="Times New Roman" w:cs="Times New Roman"/>
                <w:sz w:val="20"/>
                <w:szCs w:val="20"/>
              </w:rPr>
              <w:t>399</w:t>
            </w:r>
            <w:r w:rsidRPr="00AE6FD3">
              <w:rPr>
                <w:rFonts w:ascii="Times New Roman" w:eastAsia="Times New Roman" w:hAnsi="Times New Roman" w:cs="Times New Roman"/>
                <w:sz w:val="20"/>
                <w:szCs w:val="20"/>
              </w:rPr>
              <w:t>)</w:t>
            </w:r>
          </w:p>
        </w:tc>
        <w:tc>
          <w:tcPr>
            <w:tcW w:w="1475" w:type="dxa"/>
            <w:tcBorders>
              <w:top w:val="nil"/>
              <w:left w:val="nil"/>
              <w:bottom w:val="nil"/>
              <w:right w:val="nil"/>
            </w:tcBorders>
          </w:tcPr>
          <w:p w14:paraId="5698D81B" w14:textId="1431FB55" w:rsidR="00482A24" w:rsidRPr="00AE6FD3" w:rsidRDefault="00482A24" w:rsidP="00482A24">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0.0</w:t>
            </w:r>
            <w:r w:rsidR="00E35784" w:rsidRPr="00AE6FD3">
              <w:rPr>
                <w:rFonts w:ascii="Times New Roman" w:eastAsia="Times New Roman" w:hAnsi="Times New Roman" w:cs="Times New Roman"/>
                <w:sz w:val="20"/>
                <w:szCs w:val="20"/>
              </w:rPr>
              <w:t>03</w:t>
            </w:r>
            <w:r w:rsidRPr="00AE6FD3">
              <w:rPr>
                <w:rFonts w:ascii="Times New Roman" w:eastAsia="Times New Roman" w:hAnsi="Times New Roman" w:cs="Times New Roman"/>
                <w:sz w:val="20"/>
                <w:szCs w:val="20"/>
              </w:rPr>
              <w:t>(.</w:t>
            </w:r>
            <w:r w:rsidR="00E35784" w:rsidRPr="00AE6FD3">
              <w:rPr>
                <w:rFonts w:ascii="Times New Roman" w:eastAsia="Times New Roman" w:hAnsi="Times New Roman" w:cs="Times New Roman"/>
                <w:sz w:val="20"/>
                <w:szCs w:val="20"/>
              </w:rPr>
              <w:t>169</w:t>
            </w:r>
            <w:r w:rsidRPr="00AE6FD3">
              <w:rPr>
                <w:rFonts w:ascii="Times New Roman" w:eastAsia="Times New Roman" w:hAnsi="Times New Roman" w:cs="Times New Roman"/>
                <w:sz w:val="20"/>
                <w:szCs w:val="20"/>
              </w:rPr>
              <w:t>)</w:t>
            </w:r>
          </w:p>
        </w:tc>
        <w:tc>
          <w:tcPr>
            <w:tcW w:w="1488" w:type="dxa"/>
            <w:tcBorders>
              <w:top w:val="nil"/>
              <w:left w:val="nil"/>
              <w:bottom w:val="nil"/>
              <w:right w:val="nil"/>
            </w:tcBorders>
          </w:tcPr>
          <w:p w14:paraId="40A75628" w14:textId="1DCC42A4" w:rsidR="00482A24" w:rsidRPr="00AE6FD3" w:rsidRDefault="00F75B82" w:rsidP="00482A24">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-0.002</w:t>
            </w:r>
            <w:r w:rsidR="00482A24" w:rsidRPr="00AE6FD3">
              <w:rPr>
                <w:rFonts w:ascii="Times New Roman" w:eastAsia="Times New Roman" w:hAnsi="Times New Roman" w:cs="Times New Roman"/>
                <w:sz w:val="20"/>
                <w:szCs w:val="20"/>
              </w:rPr>
              <w:t>(.</w:t>
            </w:r>
            <w:r w:rsidRPr="00AE6FD3">
              <w:rPr>
                <w:rFonts w:ascii="Times New Roman" w:eastAsia="Times New Roman" w:hAnsi="Times New Roman" w:cs="Times New Roman"/>
                <w:sz w:val="20"/>
                <w:szCs w:val="20"/>
              </w:rPr>
              <w:t>096</w:t>
            </w:r>
            <w:r w:rsidR="00482A24" w:rsidRPr="00AE6FD3">
              <w:rPr>
                <w:rFonts w:ascii="Times New Roman" w:eastAsia="Times New Roman" w:hAnsi="Times New Roman" w:cs="Times New Roman"/>
                <w:sz w:val="20"/>
                <w:szCs w:val="20"/>
              </w:rPr>
              <w:t>)</w:t>
            </w:r>
            <w:r w:rsidRPr="00AE6FD3">
              <w:rPr>
                <w:rFonts w:ascii="Times New Roman" w:eastAsia="Times New Roman" w:hAnsi="Times New Roman" w:cs="Times New Roman"/>
                <w:sz w:val="20"/>
                <w:szCs w:val="20"/>
                <w:vertAlign w:val="superscript"/>
              </w:rPr>
              <w:t>*</w:t>
            </w:r>
          </w:p>
        </w:tc>
      </w:tr>
      <w:tr w:rsidR="00482A24" w:rsidRPr="00AE6FD3" w14:paraId="3B2338F2" w14:textId="77777777" w:rsidTr="00356ADA">
        <w:trPr>
          <w:trHeight w:val="91"/>
        </w:trPr>
        <w:tc>
          <w:tcPr>
            <w:tcW w:w="1657" w:type="dxa"/>
            <w:tcBorders>
              <w:top w:val="nil"/>
              <w:left w:val="nil"/>
              <w:bottom w:val="nil"/>
              <w:right w:val="nil"/>
            </w:tcBorders>
          </w:tcPr>
          <w:p w14:paraId="32B94525" w14:textId="13F7E9CB" w:rsidR="00482A24" w:rsidRPr="00AE6FD3" w:rsidRDefault="00676321" w:rsidP="00482A24">
            <w:pPr>
              <w:spacing w:after="0"/>
              <w:ind w:left="175"/>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VCT</w:t>
            </w:r>
            <w:r w:rsidR="007E539E">
              <w:rPr>
                <w:rFonts w:ascii="Times New Roman" w:eastAsia="Times New Roman" w:hAnsi="Times New Roman" w:cs="Times New Roman"/>
                <w:sz w:val="20"/>
                <w:szCs w:val="20"/>
              </w:rPr>
              <w:t>E</w:t>
            </w:r>
            <w:r w:rsidRPr="00AE6FD3">
              <w:rPr>
                <w:rFonts w:ascii="Times New Roman" w:eastAsia="Times New Roman" w:hAnsi="Times New Roman" w:cs="Times New Roman"/>
                <w:sz w:val="20"/>
                <w:szCs w:val="20"/>
              </w:rPr>
              <w:t>N</w:t>
            </w:r>
          </w:p>
        </w:tc>
        <w:tc>
          <w:tcPr>
            <w:tcW w:w="1520" w:type="dxa"/>
            <w:tcBorders>
              <w:top w:val="nil"/>
              <w:left w:val="nil"/>
              <w:bottom w:val="nil"/>
              <w:right w:val="nil"/>
            </w:tcBorders>
          </w:tcPr>
          <w:p w14:paraId="089E6BA5" w14:textId="6AFF212A" w:rsidR="00482A24" w:rsidRPr="00AE6FD3" w:rsidRDefault="00482A24" w:rsidP="00482A24">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0.001(.846)</w:t>
            </w:r>
          </w:p>
        </w:tc>
        <w:tc>
          <w:tcPr>
            <w:tcW w:w="1412" w:type="dxa"/>
            <w:tcBorders>
              <w:top w:val="nil"/>
              <w:left w:val="nil"/>
              <w:bottom w:val="nil"/>
              <w:right w:val="nil"/>
            </w:tcBorders>
          </w:tcPr>
          <w:p w14:paraId="40944C31" w14:textId="3E409347" w:rsidR="00482A24" w:rsidRPr="00AE6FD3" w:rsidRDefault="00482A24" w:rsidP="00482A24">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-0.00</w:t>
            </w:r>
            <w:r w:rsidR="00676321" w:rsidRPr="00AE6FD3">
              <w:rPr>
                <w:rFonts w:ascii="Times New Roman" w:eastAsia="Times New Roman" w:hAnsi="Times New Roman" w:cs="Times New Roman"/>
                <w:sz w:val="20"/>
                <w:szCs w:val="20"/>
              </w:rPr>
              <w:t>1</w:t>
            </w:r>
            <w:r w:rsidRPr="00AE6FD3">
              <w:rPr>
                <w:rFonts w:ascii="Times New Roman" w:eastAsia="Times New Roman" w:hAnsi="Times New Roman" w:cs="Times New Roman"/>
                <w:sz w:val="20"/>
                <w:szCs w:val="20"/>
              </w:rPr>
              <w:t>(.</w:t>
            </w:r>
            <w:r w:rsidR="00676321" w:rsidRPr="00AE6FD3">
              <w:rPr>
                <w:rFonts w:ascii="Times New Roman" w:eastAsia="Times New Roman" w:hAnsi="Times New Roman" w:cs="Times New Roman"/>
                <w:sz w:val="20"/>
                <w:szCs w:val="20"/>
              </w:rPr>
              <w:t>692</w:t>
            </w:r>
            <w:r w:rsidRPr="00AE6FD3">
              <w:rPr>
                <w:rFonts w:ascii="Times New Roman" w:eastAsia="Times New Roman" w:hAnsi="Times New Roman" w:cs="Times New Roman"/>
                <w:sz w:val="20"/>
                <w:szCs w:val="20"/>
              </w:rPr>
              <w:t>)</w:t>
            </w:r>
          </w:p>
        </w:tc>
        <w:tc>
          <w:tcPr>
            <w:tcW w:w="1520" w:type="dxa"/>
            <w:tcBorders>
              <w:top w:val="nil"/>
              <w:left w:val="nil"/>
              <w:bottom w:val="nil"/>
              <w:right w:val="nil"/>
            </w:tcBorders>
          </w:tcPr>
          <w:p w14:paraId="143BD6EF" w14:textId="672F736D" w:rsidR="00482A24" w:rsidRPr="00AE6FD3" w:rsidRDefault="00320B4A" w:rsidP="00482A24">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-0.002</w:t>
            </w:r>
            <w:r w:rsidR="00482A24" w:rsidRPr="00AE6FD3">
              <w:rPr>
                <w:rFonts w:ascii="Times New Roman" w:eastAsia="Times New Roman" w:hAnsi="Times New Roman" w:cs="Times New Roman"/>
                <w:sz w:val="20"/>
                <w:szCs w:val="20"/>
              </w:rPr>
              <w:t>(.</w:t>
            </w:r>
            <w:r w:rsidRPr="00AE6FD3">
              <w:rPr>
                <w:rFonts w:ascii="Times New Roman" w:eastAsia="Times New Roman" w:hAnsi="Times New Roman" w:cs="Times New Roman"/>
                <w:sz w:val="20"/>
                <w:szCs w:val="20"/>
              </w:rPr>
              <w:t>645</w:t>
            </w:r>
            <w:r w:rsidR="00482A24" w:rsidRPr="00AE6FD3">
              <w:rPr>
                <w:rFonts w:ascii="Times New Roman" w:eastAsia="Times New Roman" w:hAnsi="Times New Roman" w:cs="Times New Roman"/>
                <w:sz w:val="20"/>
                <w:szCs w:val="20"/>
              </w:rPr>
              <w:t>)</w:t>
            </w:r>
          </w:p>
        </w:tc>
        <w:tc>
          <w:tcPr>
            <w:tcW w:w="1475" w:type="dxa"/>
            <w:tcBorders>
              <w:top w:val="nil"/>
              <w:left w:val="nil"/>
              <w:bottom w:val="nil"/>
              <w:right w:val="nil"/>
            </w:tcBorders>
          </w:tcPr>
          <w:p w14:paraId="56B14E36" w14:textId="564EDDE8" w:rsidR="00482A24" w:rsidRPr="00AE6FD3" w:rsidRDefault="00E35784" w:rsidP="00482A24">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0.005</w:t>
            </w:r>
            <w:r w:rsidR="00482A24" w:rsidRPr="00AE6FD3">
              <w:rPr>
                <w:rFonts w:ascii="Times New Roman" w:eastAsia="Times New Roman" w:hAnsi="Times New Roman" w:cs="Times New Roman"/>
                <w:sz w:val="20"/>
                <w:szCs w:val="20"/>
              </w:rPr>
              <w:t>(.</w:t>
            </w:r>
            <w:r w:rsidRPr="00AE6FD3">
              <w:rPr>
                <w:rFonts w:ascii="Times New Roman" w:eastAsia="Times New Roman" w:hAnsi="Times New Roman" w:cs="Times New Roman"/>
                <w:sz w:val="20"/>
                <w:szCs w:val="20"/>
              </w:rPr>
              <w:t>402</w:t>
            </w:r>
            <w:r w:rsidR="00482A24" w:rsidRPr="00AE6FD3">
              <w:rPr>
                <w:rFonts w:ascii="Times New Roman" w:eastAsia="Times New Roman" w:hAnsi="Times New Roman" w:cs="Times New Roman"/>
                <w:sz w:val="20"/>
                <w:szCs w:val="20"/>
              </w:rPr>
              <w:t>)</w:t>
            </w:r>
          </w:p>
        </w:tc>
        <w:tc>
          <w:tcPr>
            <w:tcW w:w="1488" w:type="dxa"/>
            <w:tcBorders>
              <w:top w:val="nil"/>
              <w:left w:val="nil"/>
              <w:bottom w:val="nil"/>
              <w:right w:val="nil"/>
            </w:tcBorders>
          </w:tcPr>
          <w:p w14:paraId="6B126114" w14:textId="5E6073A6" w:rsidR="00482A24" w:rsidRPr="00AE6FD3" w:rsidRDefault="00F75B82" w:rsidP="00482A24">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-0.006</w:t>
            </w:r>
            <w:r w:rsidR="00482A24" w:rsidRPr="00AE6FD3">
              <w:rPr>
                <w:rFonts w:ascii="Times New Roman" w:eastAsia="Times New Roman" w:hAnsi="Times New Roman" w:cs="Times New Roman"/>
                <w:sz w:val="20"/>
                <w:szCs w:val="20"/>
              </w:rPr>
              <w:t>(.</w:t>
            </w:r>
            <w:r w:rsidRPr="00AE6FD3">
              <w:rPr>
                <w:rFonts w:ascii="Times New Roman" w:eastAsia="Times New Roman" w:hAnsi="Times New Roman" w:cs="Times New Roman"/>
                <w:sz w:val="20"/>
                <w:szCs w:val="20"/>
              </w:rPr>
              <w:t>103</w:t>
            </w:r>
            <w:r w:rsidR="00482A24" w:rsidRPr="00AE6FD3">
              <w:rPr>
                <w:rFonts w:ascii="Times New Roman" w:eastAsia="Times New Roman" w:hAnsi="Times New Roman" w:cs="Times New Roman"/>
                <w:sz w:val="20"/>
                <w:szCs w:val="20"/>
              </w:rPr>
              <w:t>)</w:t>
            </w:r>
          </w:p>
        </w:tc>
      </w:tr>
      <w:tr w:rsidR="00CB179F" w:rsidRPr="00AE6FD3" w14:paraId="30C392D4" w14:textId="77777777" w:rsidTr="00356ADA">
        <w:trPr>
          <w:trHeight w:val="475"/>
        </w:trPr>
        <w:tc>
          <w:tcPr>
            <w:tcW w:w="9072" w:type="dxa"/>
            <w:gridSpan w:val="6"/>
            <w:tcBorders>
              <w:top w:val="nil"/>
              <w:left w:val="nil"/>
              <w:bottom w:val="nil"/>
              <w:right w:val="nil"/>
            </w:tcBorders>
          </w:tcPr>
          <w:p w14:paraId="464CD3F5" w14:textId="77777777" w:rsidR="00CB179F" w:rsidRPr="00AE6FD3" w:rsidRDefault="00CB179F" w:rsidP="00356ADA">
            <w:pPr>
              <w:spacing w:after="0"/>
              <w:rPr>
                <w:rFonts w:ascii="Times New Roman" w:eastAsia="Times New Roman" w:hAnsi="Times New Roman" w:cs="Times New Roman"/>
                <w:sz w:val="20"/>
                <w:szCs w:val="20"/>
              </w:rPr>
            </w:pPr>
          </w:p>
          <w:p w14:paraId="0C6C45EF" w14:textId="439E7DBF" w:rsidR="00CB179F" w:rsidRPr="00AE6FD3" w:rsidRDefault="00CB179F" w:rsidP="00356ADA">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i/>
                <w:iCs/>
                <w:sz w:val="20"/>
                <w:szCs w:val="20"/>
              </w:rPr>
              <w:t xml:space="preserve">Controls (general HEI </w:t>
            </w:r>
            <w:r w:rsidR="005605A5">
              <w:rPr>
                <w:rFonts w:ascii="Times New Roman" w:eastAsia="Times New Roman" w:hAnsi="Times New Roman" w:cs="Times New Roman"/>
                <w:i/>
                <w:iCs/>
                <w:sz w:val="20"/>
                <w:szCs w:val="20"/>
              </w:rPr>
              <w:t>c</w:t>
            </w:r>
            <w:r w:rsidRPr="00AE6FD3">
              <w:rPr>
                <w:rFonts w:ascii="Times New Roman" w:eastAsia="Times New Roman" w:hAnsi="Times New Roman" w:cs="Times New Roman"/>
                <w:i/>
                <w:iCs/>
                <w:sz w:val="20"/>
                <w:szCs w:val="20"/>
              </w:rPr>
              <w:t>haracteristics)</w:t>
            </w:r>
            <w:r w:rsidR="0073005F" w:rsidRPr="00AE6FD3">
              <w:rPr>
                <w:rFonts w:ascii="Times New Roman" w:eastAsia="Times New Roman" w:hAnsi="Times New Roman" w:cs="Times New Roman"/>
                <w:i/>
                <w:iCs/>
                <w:sz w:val="20"/>
                <w:szCs w:val="20"/>
              </w:rPr>
              <w:t>:</w:t>
            </w:r>
          </w:p>
        </w:tc>
      </w:tr>
      <w:tr w:rsidR="00CB179F" w:rsidRPr="00AE6FD3" w14:paraId="0388E544" w14:textId="77777777" w:rsidTr="00356ADA">
        <w:trPr>
          <w:trHeight w:val="87"/>
        </w:trPr>
        <w:tc>
          <w:tcPr>
            <w:tcW w:w="1657" w:type="dxa"/>
            <w:tcBorders>
              <w:top w:val="nil"/>
              <w:left w:val="nil"/>
              <w:bottom w:val="nil"/>
              <w:right w:val="nil"/>
            </w:tcBorders>
          </w:tcPr>
          <w:p w14:paraId="59E4A0E9" w14:textId="77777777" w:rsidR="00CB179F" w:rsidRPr="00AE6FD3" w:rsidRDefault="00CB179F" w:rsidP="00356ADA">
            <w:pPr>
              <w:spacing w:after="0"/>
              <w:ind w:left="175"/>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POST-92</w:t>
            </w:r>
          </w:p>
        </w:tc>
        <w:tc>
          <w:tcPr>
            <w:tcW w:w="1520" w:type="dxa"/>
            <w:tcBorders>
              <w:top w:val="nil"/>
              <w:left w:val="nil"/>
              <w:bottom w:val="nil"/>
              <w:right w:val="nil"/>
            </w:tcBorders>
          </w:tcPr>
          <w:p w14:paraId="32FDF8F1" w14:textId="4608A127" w:rsidR="00CB179F" w:rsidRPr="00AE6FD3" w:rsidRDefault="0055624E"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0.006</w:t>
            </w:r>
            <w:r w:rsidR="00CB179F" w:rsidRPr="00AE6FD3">
              <w:rPr>
                <w:rFonts w:ascii="Times New Roman" w:eastAsia="Times New Roman" w:hAnsi="Times New Roman" w:cs="Times New Roman"/>
                <w:sz w:val="20"/>
                <w:szCs w:val="20"/>
              </w:rPr>
              <w:t>(.</w:t>
            </w:r>
            <w:r w:rsidRPr="00AE6FD3">
              <w:rPr>
                <w:rFonts w:ascii="Times New Roman" w:eastAsia="Times New Roman" w:hAnsi="Times New Roman" w:cs="Times New Roman"/>
                <w:sz w:val="20"/>
                <w:szCs w:val="20"/>
              </w:rPr>
              <w:t>248</w:t>
            </w:r>
            <w:r w:rsidR="00CB179F" w:rsidRPr="00AE6FD3">
              <w:rPr>
                <w:rFonts w:ascii="Times New Roman" w:eastAsia="Times New Roman" w:hAnsi="Times New Roman" w:cs="Times New Roman"/>
                <w:sz w:val="20"/>
                <w:szCs w:val="20"/>
              </w:rPr>
              <w:t>)</w:t>
            </w:r>
          </w:p>
        </w:tc>
        <w:tc>
          <w:tcPr>
            <w:tcW w:w="1412" w:type="dxa"/>
            <w:tcBorders>
              <w:top w:val="nil"/>
              <w:left w:val="nil"/>
              <w:bottom w:val="nil"/>
              <w:right w:val="nil"/>
            </w:tcBorders>
          </w:tcPr>
          <w:p w14:paraId="5443F769" w14:textId="53A1B3E5" w:rsidR="00CB179F" w:rsidRPr="00AE6FD3" w:rsidRDefault="00676321"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0.005</w:t>
            </w:r>
            <w:r w:rsidR="00CB179F" w:rsidRPr="00AE6FD3">
              <w:rPr>
                <w:rFonts w:ascii="Times New Roman" w:eastAsia="Times New Roman" w:hAnsi="Times New Roman" w:cs="Times New Roman"/>
                <w:sz w:val="20"/>
                <w:szCs w:val="20"/>
              </w:rPr>
              <w:t>(.</w:t>
            </w:r>
            <w:r w:rsidRPr="00AE6FD3">
              <w:rPr>
                <w:rFonts w:ascii="Times New Roman" w:eastAsia="Times New Roman" w:hAnsi="Times New Roman" w:cs="Times New Roman"/>
                <w:sz w:val="20"/>
                <w:szCs w:val="20"/>
              </w:rPr>
              <w:t>290</w:t>
            </w:r>
            <w:r w:rsidR="00CB179F" w:rsidRPr="00AE6FD3">
              <w:rPr>
                <w:rFonts w:ascii="Times New Roman" w:eastAsia="Times New Roman" w:hAnsi="Times New Roman" w:cs="Times New Roman"/>
                <w:sz w:val="20"/>
                <w:szCs w:val="20"/>
              </w:rPr>
              <w:t>)</w:t>
            </w:r>
          </w:p>
        </w:tc>
        <w:tc>
          <w:tcPr>
            <w:tcW w:w="1520" w:type="dxa"/>
            <w:tcBorders>
              <w:top w:val="nil"/>
              <w:left w:val="nil"/>
              <w:bottom w:val="nil"/>
              <w:right w:val="nil"/>
            </w:tcBorders>
          </w:tcPr>
          <w:p w14:paraId="4E776A62" w14:textId="1A3C5024" w:rsidR="00CB179F" w:rsidRPr="00AE6FD3" w:rsidRDefault="000C19E2"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0.004</w:t>
            </w:r>
            <w:r w:rsidR="00CB179F" w:rsidRPr="00AE6FD3">
              <w:rPr>
                <w:rFonts w:ascii="Times New Roman" w:eastAsia="Times New Roman" w:hAnsi="Times New Roman" w:cs="Times New Roman"/>
                <w:sz w:val="20"/>
                <w:szCs w:val="20"/>
              </w:rPr>
              <w:t>(.</w:t>
            </w:r>
            <w:r w:rsidRPr="00AE6FD3">
              <w:rPr>
                <w:rFonts w:ascii="Times New Roman" w:eastAsia="Times New Roman" w:hAnsi="Times New Roman" w:cs="Times New Roman"/>
                <w:sz w:val="20"/>
                <w:szCs w:val="20"/>
              </w:rPr>
              <w:t>415</w:t>
            </w:r>
            <w:r w:rsidR="00CB179F" w:rsidRPr="00AE6FD3">
              <w:rPr>
                <w:rFonts w:ascii="Times New Roman" w:eastAsia="Times New Roman" w:hAnsi="Times New Roman" w:cs="Times New Roman"/>
                <w:sz w:val="20"/>
                <w:szCs w:val="20"/>
              </w:rPr>
              <w:t>)</w:t>
            </w:r>
          </w:p>
        </w:tc>
        <w:tc>
          <w:tcPr>
            <w:tcW w:w="1475" w:type="dxa"/>
            <w:tcBorders>
              <w:top w:val="nil"/>
              <w:left w:val="nil"/>
              <w:bottom w:val="nil"/>
              <w:right w:val="nil"/>
            </w:tcBorders>
          </w:tcPr>
          <w:p w14:paraId="56391960" w14:textId="0708C5E7" w:rsidR="00CB179F" w:rsidRPr="00AE6FD3" w:rsidRDefault="00E35784"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0.004</w:t>
            </w:r>
            <w:r w:rsidR="00CB179F" w:rsidRPr="00AE6FD3">
              <w:rPr>
                <w:rFonts w:ascii="Times New Roman" w:eastAsia="Times New Roman" w:hAnsi="Times New Roman" w:cs="Times New Roman"/>
                <w:sz w:val="20"/>
                <w:szCs w:val="20"/>
              </w:rPr>
              <w:t>(.</w:t>
            </w:r>
            <w:r w:rsidRPr="00AE6FD3">
              <w:rPr>
                <w:rFonts w:ascii="Times New Roman" w:eastAsia="Times New Roman" w:hAnsi="Times New Roman" w:cs="Times New Roman"/>
                <w:sz w:val="20"/>
                <w:szCs w:val="20"/>
              </w:rPr>
              <w:t>647</w:t>
            </w:r>
            <w:r w:rsidR="00CB179F" w:rsidRPr="00AE6FD3">
              <w:rPr>
                <w:rFonts w:ascii="Times New Roman" w:eastAsia="Times New Roman" w:hAnsi="Times New Roman" w:cs="Times New Roman"/>
                <w:sz w:val="20"/>
                <w:szCs w:val="20"/>
              </w:rPr>
              <w:t>)</w:t>
            </w:r>
          </w:p>
        </w:tc>
        <w:tc>
          <w:tcPr>
            <w:tcW w:w="1488" w:type="dxa"/>
            <w:tcBorders>
              <w:top w:val="nil"/>
              <w:left w:val="nil"/>
              <w:bottom w:val="nil"/>
              <w:right w:val="nil"/>
            </w:tcBorders>
          </w:tcPr>
          <w:p w14:paraId="678F67AA" w14:textId="2C230FC6" w:rsidR="00CB179F" w:rsidRPr="00AE6FD3" w:rsidRDefault="00F75B82"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0.010</w:t>
            </w:r>
            <w:r w:rsidR="00CB179F" w:rsidRPr="00AE6FD3">
              <w:rPr>
                <w:rFonts w:ascii="Times New Roman" w:eastAsia="Times New Roman" w:hAnsi="Times New Roman" w:cs="Times New Roman"/>
                <w:sz w:val="20"/>
                <w:szCs w:val="20"/>
              </w:rPr>
              <w:t>(.</w:t>
            </w:r>
            <w:r w:rsidRPr="00AE6FD3">
              <w:rPr>
                <w:rFonts w:ascii="Times New Roman" w:eastAsia="Times New Roman" w:hAnsi="Times New Roman" w:cs="Times New Roman"/>
                <w:sz w:val="20"/>
                <w:szCs w:val="20"/>
              </w:rPr>
              <w:t>080</w:t>
            </w:r>
            <w:r w:rsidR="00CB179F" w:rsidRPr="00AE6FD3">
              <w:rPr>
                <w:rFonts w:ascii="Times New Roman" w:eastAsia="Times New Roman" w:hAnsi="Times New Roman" w:cs="Times New Roman"/>
                <w:sz w:val="20"/>
                <w:szCs w:val="20"/>
              </w:rPr>
              <w:t>)</w:t>
            </w:r>
            <w:r w:rsidRPr="00AE6FD3">
              <w:rPr>
                <w:rFonts w:ascii="Times New Roman" w:eastAsia="Times New Roman" w:hAnsi="Times New Roman" w:cs="Times New Roman"/>
                <w:sz w:val="20"/>
                <w:szCs w:val="20"/>
                <w:vertAlign w:val="superscript"/>
              </w:rPr>
              <w:t>*</w:t>
            </w:r>
          </w:p>
        </w:tc>
      </w:tr>
      <w:tr w:rsidR="00CB179F" w:rsidRPr="00AE6FD3" w14:paraId="70119346" w14:textId="77777777" w:rsidTr="00356ADA">
        <w:trPr>
          <w:trHeight w:val="87"/>
        </w:trPr>
        <w:tc>
          <w:tcPr>
            <w:tcW w:w="1657" w:type="dxa"/>
            <w:tcBorders>
              <w:top w:val="nil"/>
              <w:left w:val="nil"/>
              <w:bottom w:val="nil"/>
              <w:right w:val="nil"/>
            </w:tcBorders>
          </w:tcPr>
          <w:p w14:paraId="35D00286" w14:textId="77777777" w:rsidR="00CB179F" w:rsidRPr="00AE6FD3" w:rsidRDefault="00CB179F" w:rsidP="00356ADA">
            <w:pPr>
              <w:spacing w:after="0"/>
              <w:ind w:left="175"/>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RUSSG</w:t>
            </w:r>
          </w:p>
        </w:tc>
        <w:tc>
          <w:tcPr>
            <w:tcW w:w="1520" w:type="dxa"/>
            <w:tcBorders>
              <w:top w:val="nil"/>
              <w:left w:val="nil"/>
              <w:bottom w:val="nil"/>
              <w:right w:val="nil"/>
            </w:tcBorders>
          </w:tcPr>
          <w:p w14:paraId="07FD9797" w14:textId="64ECD1C0" w:rsidR="00CB179F" w:rsidRPr="00AE6FD3" w:rsidRDefault="00CB179F"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0.0</w:t>
            </w:r>
            <w:r w:rsidR="0055624E" w:rsidRPr="00AE6FD3">
              <w:rPr>
                <w:rFonts w:ascii="Times New Roman" w:eastAsia="Times New Roman" w:hAnsi="Times New Roman" w:cs="Times New Roman"/>
                <w:sz w:val="20"/>
                <w:szCs w:val="20"/>
              </w:rPr>
              <w:t>24</w:t>
            </w:r>
            <w:r w:rsidRPr="00AE6FD3">
              <w:rPr>
                <w:rFonts w:ascii="Times New Roman" w:eastAsia="Times New Roman" w:hAnsi="Times New Roman" w:cs="Times New Roman"/>
                <w:sz w:val="20"/>
                <w:szCs w:val="20"/>
              </w:rPr>
              <w:t>(.000)</w:t>
            </w:r>
            <w:r w:rsidRPr="00AE6FD3">
              <w:rPr>
                <w:rFonts w:ascii="Times New Roman" w:eastAsia="Times New Roman" w:hAnsi="Times New Roman" w:cs="Times New Roman"/>
                <w:sz w:val="20"/>
                <w:szCs w:val="20"/>
                <w:vertAlign w:val="superscript"/>
              </w:rPr>
              <w:t>***</w:t>
            </w:r>
          </w:p>
        </w:tc>
        <w:tc>
          <w:tcPr>
            <w:tcW w:w="1412" w:type="dxa"/>
            <w:tcBorders>
              <w:top w:val="nil"/>
              <w:left w:val="nil"/>
              <w:bottom w:val="nil"/>
              <w:right w:val="nil"/>
            </w:tcBorders>
          </w:tcPr>
          <w:p w14:paraId="26AD2538" w14:textId="3DD95518" w:rsidR="00CB179F" w:rsidRPr="00AE6FD3" w:rsidRDefault="00CB179F"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0.02</w:t>
            </w:r>
            <w:r w:rsidR="00676321" w:rsidRPr="00AE6FD3">
              <w:rPr>
                <w:rFonts w:ascii="Times New Roman" w:eastAsia="Times New Roman" w:hAnsi="Times New Roman" w:cs="Times New Roman"/>
                <w:sz w:val="20"/>
                <w:szCs w:val="20"/>
              </w:rPr>
              <w:t>4</w:t>
            </w:r>
            <w:r w:rsidRPr="00AE6FD3">
              <w:rPr>
                <w:rFonts w:ascii="Times New Roman" w:eastAsia="Times New Roman" w:hAnsi="Times New Roman" w:cs="Times New Roman"/>
                <w:sz w:val="20"/>
                <w:szCs w:val="20"/>
              </w:rPr>
              <w:t>(.00</w:t>
            </w:r>
            <w:r w:rsidR="00676321" w:rsidRPr="00AE6FD3">
              <w:rPr>
                <w:rFonts w:ascii="Times New Roman" w:eastAsia="Times New Roman" w:hAnsi="Times New Roman" w:cs="Times New Roman"/>
                <w:sz w:val="20"/>
                <w:szCs w:val="20"/>
              </w:rPr>
              <w:t>0</w:t>
            </w:r>
            <w:r w:rsidRPr="00AE6FD3">
              <w:rPr>
                <w:rFonts w:ascii="Times New Roman" w:eastAsia="Times New Roman" w:hAnsi="Times New Roman" w:cs="Times New Roman"/>
                <w:sz w:val="20"/>
                <w:szCs w:val="20"/>
              </w:rPr>
              <w:t>)</w:t>
            </w:r>
            <w:r w:rsidRPr="00AE6FD3">
              <w:rPr>
                <w:rFonts w:ascii="Times New Roman" w:eastAsia="Times New Roman" w:hAnsi="Times New Roman" w:cs="Times New Roman"/>
                <w:sz w:val="20"/>
                <w:szCs w:val="20"/>
                <w:vertAlign w:val="superscript"/>
              </w:rPr>
              <w:t>***</w:t>
            </w:r>
          </w:p>
        </w:tc>
        <w:tc>
          <w:tcPr>
            <w:tcW w:w="1520" w:type="dxa"/>
            <w:tcBorders>
              <w:top w:val="nil"/>
              <w:left w:val="nil"/>
              <w:bottom w:val="nil"/>
              <w:right w:val="nil"/>
            </w:tcBorders>
          </w:tcPr>
          <w:p w14:paraId="5B799302" w14:textId="22D27988" w:rsidR="00CB179F" w:rsidRPr="00AE6FD3" w:rsidRDefault="000C19E2"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0.025</w:t>
            </w:r>
            <w:r w:rsidR="00CB179F" w:rsidRPr="00AE6FD3">
              <w:rPr>
                <w:rFonts w:ascii="Times New Roman" w:eastAsia="Times New Roman" w:hAnsi="Times New Roman" w:cs="Times New Roman"/>
                <w:sz w:val="20"/>
                <w:szCs w:val="20"/>
              </w:rPr>
              <w:t>(.000)</w:t>
            </w:r>
            <w:r w:rsidR="00CB179F" w:rsidRPr="00AE6FD3">
              <w:rPr>
                <w:rFonts w:ascii="Times New Roman" w:eastAsia="Times New Roman" w:hAnsi="Times New Roman" w:cs="Times New Roman"/>
                <w:sz w:val="20"/>
                <w:szCs w:val="20"/>
                <w:vertAlign w:val="superscript"/>
              </w:rPr>
              <w:t>***</w:t>
            </w:r>
          </w:p>
        </w:tc>
        <w:tc>
          <w:tcPr>
            <w:tcW w:w="1475" w:type="dxa"/>
            <w:tcBorders>
              <w:top w:val="nil"/>
              <w:left w:val="nil"/>
              <w:bottom w:val="nil"/>
              <w:right w:val="nil"/>
            </w:tcBorders>
          </w:tcPr>
          <w:p w14:paraId="6209A05F" w14:textId="1701BEF2" w:rsidR="00CB179F" w:rsidRPr="00AE6FD3" w:rsidRDefault="00E35784"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0.016</w:t>
            </w:r>
            <w:r w:rsidR="00CB179F" w:rsidRPr="00AE6FD3">
              <w:rPr>
                <w:rFonts w:ascii="Times New Roman" w:eastAsia="Times New Roman" w:hAnsi="Times New Roman" w:cs="Times New Roman"/>
                <w:sz w:val="20"/>
                <w:szCs w:val="20"/>
              </w:rPr>
              <w:t>(.0</w:t>
            </w:r>
            <w:r w:rsidRPr="00AE6FD3">
              <w:rPr>
                <w:rFonts w:ascii="Times New Roman" w:eastAsia="Times New Roman" w:hAnsi="Times New Roman" w:cs="Times New Roman"/>
                <w:sz w:val="20"/>
                <w:szCs w:val="20"/>
              </w:rPr>
              <w:t>80</w:t>
            </w:r>
            <w:r w:rsidR="00CB179F" w:rsidRPr="00AE6FD3">
              <w:rPr>
                <w:rFonts w:ascii="Times New Roman" w:eastAsia="Times New Roman" w:hAnsi="Times New Roman" w:cs="Times New Roman"/>
                <w:sz w:val="20"/>
                <w:szCs w:val="20"/>
              </w:rPr>
              <w:t>)</w:t>
            </w:r>
            <w:r w:rsidR="00CB179F" w:rsidRPr="00AE6FD3">
              <w:rPr>
                <w:rFonts w:ascii="Times New Roman" w:eastAsia="Times New Roman" w:hAnsi="Times New Roman" w:cs="Times New Roman"/>
                <w:sz w:val="20"/>
                <w:szCs w:val="20"/>
                <w:vertAlign w:val="superscript"/>
              </w:rPr>
              <w:t>*</w:t>
            </w:r>
          </w:p>
        </w:tc>
        <w:tc>
          <w:tcPr>
            <w:tcW w:w="1488" w:type="dxa"/>
            <w:tcBorders>
              <w:top w:val="nil"/>
              <w:left w:val="nil"/>
              <w:bottom w:val="nil"/>
              <w:right w:val="nil"/>
            </w:tcBorders>
          </w:tcPr>
          <w:p w14:paraId="265A44E4" w14:textId="497ED4AB" w:rsidR="00CB179F" w:rsidRPr="00AE6FD3" w:rsidRDefault="00CB179F"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w:t>
            </w:r>
            <w:r w:rsidR="00F75B82" w:rsidRPr="00AE6FD3">
              <w:rPr>
                <w:rFonts w:ascii="Times New Roman" w:eastAsia="Times New Roman" w:hAnsi="Times New Roman" w:cs="Times New Roman"/>
                <w:sz w:val="20"/>
                <w:szCs w:val="20"/>
              </w:rPr>
              <w:t>018</w:t>
            </w:r>
            <w:r w:rsidRPr="00AE6FD3">
              <w:rPr>
                <w:rFonts w:ascii="Times New Roman" w:eastAsia="Times New Roman" w:hAnsi="Times New Roman" w:cs="Times New Roman"/>
                <w:sz w:val="20"/>
                <w:szCs w:val="20"/>
              </w:rPr>
              <w:t>(.000)</w:t>
            </w:r>
            <w:r w:rsidRPr="00AE6FD3">
              <w:rPr>
                <w:rFonts w:ascii="Times New Roman" w:eastAsia="Times New Roman" w:hAnsi="Times New Roman" w:cs="Times New Roman"/>
                <w:sz w:val="20"/>
                <w:szCs w:val="20"/>
                <w:vertAlign w:val="superscript"/>
              </w:rPr>
              <w:t>***</w:t>
            </w:r>
          </w:p>
        </w:tc>
      </w:tr>
      <w:tr w:rsidR="00CB179F" w:rsidRPr="00AE6FD3" w14:paraId="3B5A2215" w14:textId="77777777" w:rsidTr="00356ADA">
        <w:trPr>
          <w:trHeight w:val="87"/>
        </w:trPr>
        <w:tc>
          <w:tcPr>
            <w:tcW w:w="1657" w:type="dxa"/>
            <w:tcBorders>
              <w:top w:val="nil"/>
              <w:left w:val="nil"/>
              <w:bottom w:val="nil"/>
              <w:right w:val="nil"/>
            </w:tcBorders>
          </w:tcPr>
          <w:p w14:paraId="6D4BEA53" w14:textId="57D89168" w:rsidR="00CB179F" w:rsidRPr="00AE6FD3" w:rsidRDefault="00CB179F" w:rsidP="00356ADA">
            <w:pPr>
              <w:spacing w:after="0"/>
              <w:ind w:left="175"/>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HEISZ</w:t>
            </w:r>
            <w:r w:rsidR="007E539E">
              <w:rPr>
                <w:rFonts w:ascii="Times New Roman" w:eastAsia="Times New Roman" w:hAnsi="Times New Roman" w:cs="Times New Roman"/>
                <w:sz w:val="20"/>
                <w:szCs w:val="20"/>
              </w:rPr>
              <w:t>E</w:t>
            </w:r>
          </w:p>
        </w:tc>
        <w:tc>
          <w:tcPr>
            <w:tcW w:w="1520" w:type="dxa"/>
            <w:tcBorders>
              <w:top w:val="nil"/>
              <w:left w:val="nil"/>
              <w:bottom w:val="nil"/>
              <w:right w:val="nil"/>
            </w:tcBorders>
          </w:tcPr>
          <w:p w14:paraId="146962C6" w14:textId="6781868D" w:rsidR="00CB179F" w:rsidRPr="00AE6FD3" w:rsidRDefault="0055624E"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0.007</w:t>
            </w:r>
            <w:r w:rsidR="00CB179F" w:rsidRPr="00AE6FD3">
              <w:rPr>
                <w:rFonts w:ascii="Times New Roman" w:eastAsia="Times New Roman" w:hAnsi="Times New Roman" w:cs="Times New Roman"/>
                <w:sz w:val="20"/>
                <w:szCs w:val="20"/>
              </w:rPr>
              <w:t>(.</w:t>
            </w:r>
            <w:r w:rsidRPr="00AE6FD3">
              <w:rPr>
                <w:rFonts w:ascii="Times New Roman" w:eastAsia="Times New Roman" w:hAnsi="Times New Roman" w:cs="Times New Roman"/>
                <w:sz w:val="20"/>
                <w:szCs w:val="20"/>
              </w:rPr>
              <w:t>000</w:t>
            </w:r>
            <w:r w:rsidR="00CB179F" w:rsidRPr="00AE6FD3">
              <w:rPr>
                <w:rFonts w:ascii="Times New Roman" w:eastAsia="Times New Roman" w:hAnsi="Times New Roman" w:cs="Times New Roman"/>
                <w:sz w:val="20"/>
                <w:szCs w:val="20"/>
              </w:rPr>
              <w:t>)</w:t>
            </w:r>
            <w:r w:rsidRPr="00AE6FD3">
              <w:rPr>
                <w:rFonts w:ascii="Times New Roman" w:eastAsia="Times New Roman" w:hAnsi="Times New Roman" w:cs="Times New Roman"/>
                <w:sz w:val="20"/>
                <w:szCs w:val="20"/>
                <w:vertAlign w:val="superscript"/>
              </w:rPr>
              <w:t>***</w:t>
            </w:r>
          </w:p>
        </w:tc>
        <w:tc>
          <w:tcPr>
            <w:tcW w:w="1412" w:type="dxa"/>
            <w:tcBorders>
              <w:top w:val="nil"/>
              <w:left w:val="nil"/>
              <w:bottom w:val="nil"/>
              <w:right w:val="nil"/>
            </w:tcBorders>
          </w:tcPr>
          <w:p w14:paraId="29FEF9B5" w14:textId="6402AE78" w:rsidR="00CB179F" w:rsidRPr="00AE6FD3" w:rsidRDefault="00CB179F"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0.00</w:t>
            </w:r>
            <w:r w:rsidR="00676321" w:rsidRPr="00AE6FD3">
              <w:rPr>
                <w:rFonts w:ascii="Times New Roman" w:eastAsia="Times New Roman" w:hAnsi="Times New Roman" w:cs="Times New Roman"/>
                <w:sz w:val="20"/>
                <w:szCs w:val="20"/>
              </w:rPr>
              <w:t>7</w:t>
            </w:r>
            <w:r w:rsidRPr="00AE6FD3">
              <w:rPr>
                <w:rFonts w:ascii="Times New Roman" w:eastAsia="Times New Roman" w:hAnsi="Times New Roman" w:cs="Times New Roman"/>
                <w:sz w:val="20"/>
                <w:szCs w:val="20"/>
              </w:rPr>
              <w:t>(.</w:t>
            </w:r>
            <w:r w:rsidR="00676321" w:rsidRPr="00AE6FD3">
              <w:rPr>
                <w:rFonts w:ascii="Times New Roman" w:eastAsia="Times New Roman" w:hAnsi="Times New Roman" w:cs="Times New Roman"/>
                <w:sz w:val="20"/>
                <w:szCs w:val="20"/>
              </w:rPr>
              <w:t>000</w:t>
            </w:r>
            <w:r w:rsidRPr="00AE6FD3">
              <w:rPr>
                <w:rFonts w:ascii="Times New Roman" w:eastAsia="Times New Roman" w:hAnsi="Times New Roman" w:cs="Times New Roman"/>
                <w:sz w:val="20"/>
                <w:szCs w:val="20"/>
              </w:rPr>
              <w:t>)</w:t>
            </w:r>
            <w:r w:rsidR="00676321" w:rsidRPr="00AE6FD3">
              <w:rPr>
                <w:rFonts w:ascii="Times New Roman" w:eastAsia="Times New Roman" w:hAnsi="Times New Roman" w:cs="Times New Roman"/>
                <w:sz w:val="20"/>
                <w:szCs w:val="20"/>
                <w:vertAlign w:val="superscript"/>
              </w:rPr>
              <w:t>***</w:t>
            </w:r>
          </w:p>
        </w:tc>
        <w:tc>
          <w:tcPr>
            <w:tcW w:w="1520" w:type="dxa"/>
            <w:tcBorders>
              <w:top w:val="nil"/>
              <w:left w:val="nil"/>
              <w:bottom w:val="nil"/>
              <w:right w:val="nil"/>
            </w:tcBorders>
          </w:tcPr>
          <w:p w14:paraId="35BE5BF0" w14:textId="163E1E39" w:rsidR="00CB179F" w:rsidRPr="00AE6FD3" w:rsidRDefault="00CB179F"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0.00</w:t>
            </w:r>
            <w:r w:rsidR="000C19E2" w:rsidRPr="00AE6FD3">
              <w:rPr>
                <w:rFonts w:ascii="Times New Roman" w:eastAsia="Times New Roman" w:hAnsi="Times New Roman" w:cs="Times New Roman"/>
                <w:sz w:val="20"/>
                <w:szCs w:val="20"/>
              </w:rPr>
              <w:t>7</w:t>
            </w:r>
            <w:r w:rsidRPr="00AE6FD3">
              <w:rPr>
                <w:rFonts w:ascii="Times New Roman" w:eastAsia="Times New Roman" w:hAnsi="Times New Roman" w:cs="Times New Roman"/>
                <w:sz w:val="20"/>
                <w:szCs w:val="20"/>
              </w:rPr>
              <w:t>(.</w:t>
            </w:r>
            <w:r w:rsidR="000C19E2" w:rsidRPr="00AE6FD3">
              <w:rPr>
                <w:rFonts w:ascii="Times New Roman" w:eastAsia="Times New Roman" w:hAnsi="Times New Roman" w:cs="Times New Roman"/>
                <w:sz w:val="20"/>
                <w:szCs w:val="20"/>
              </w:rPr>
              <w:t>000</w:t>
            </w:r>
            <w:r w:rsidRPr="00AE6FD3">
              <w:rPr>
                <w:rFonts w:ascii="Times New Roman" w:eastAsia="Times New Roman" w:hAnsi="Times New Roman" w:cs="Times New Roman"/>
                <w:sz w:val="20"/>
                <w:szCs w:val="20"/>
              </w:rPr>
              <w:t>)</w:t>
            </w:r>
            <w:r w:rsidR="000C19E2" w:rsidRPr="00AE6FD3">
              <w:rPr>
                <w:rFonts w:ascii="Times New Roman" w:eastAsia="Times New Roman" w:hAnsi="Times New Roman" w:cs="Times New Roman"/>
                <w:sz w:val="20"/>
                <w:szCs w:val="20"/>
                <w:vertAlign w:val="superscript"/>
              </w:rPr>
              <w:t>***</w:t>
            </w:r>
          </w:p>
        </w:tc>
        <w:tc>
          <w:tcPr>
            <w:tcW w:w="1475" w:type="dxa"/>
            <w:tcBorders>
              <w:top w:val="nil"/>
              <w:left w:val="nil"/>
              <w:bottom w:val="nil"/>
              <w:right w:val="nil"/>
            </w:tcBorders>
          </w:tcPr>
          <w:p w14:paraId="62D9CF17" w14:textId="09A0BA00" w:rsidR="00CB179F" w:rsidRPr="00AE6FD3" w:rsidRDefault="00E35784" w:rsidP="00356ADA">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0.002</w:t>
            </w:r>
            <w:r w:rsidR="00CB179F" w:rsidRPr="00AE6FD3">
              <w:rPr>
                <w:rFonts w:ascii="Times New Roman" w:eastAsia="Times New Roman" w:hAnsi="Times New Roman" w:cs="Times New Roman"/>
                <w:sz w:val="20"/>
                <w:szCs w:val="20"/>
              </w:rPr>
              <w:t>(.</w:t>
            </w:r>
            <w:r w:rsidRPr="00AE6FD3">
              <w:rPr>
                <w:rFonts w:ascii="Times New Roman" w:eastAsia="Times New Roman" w:hAnsi="Times New Roman" w:cs="Times New Roman"/>
                <w:sz w:val="20"/>
                <w:szCs w:val="20"/>
              </w:rPr>
              <w:t>422</w:t>
            </w:r>
            <w:r w:rsidR="00CB179F" w:rsidRPr="00AE6FD3">
              <w:rPr>
                <w:rFonts w:ascii="Times New Roman" w:eastAsia="Times New Roman" w:hAnsi="Times New Roman" w:cs="Times New Roman"/>
                <w:sz w:val="20"/>
                <w:szCs w:val="20"/>
              </w:rPr>
              <w:t>)</w:t>
            </w:r>
          </w:p>
        </w:tc>
        <w:tc>
          <w:tcPr>
            <w:tcW w:w="1488" w:type="dxa"/>
            <w:tcBorders>
              <w:top w:val="nil"/>
              <w:left w:val="nil"/>
              <w:bottom w:val="nil"/>
              <w:right w:val="nil"/>
            </w:tcBorders>
          </w:tcPr>
          <w:p w14:paraId="58EA9B71" w14:textId="4431A57F" w:rsidR="00CB179F" w:rsidRPr="00AE6FD3" w:rsidRDefault="00F75B82"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0.006</w:t>
            </w:r>
            <w:r w:rsidR="00CB179F" w:rsidRPr="00AE6FD3">
              <w:rPr>
                <w:rFonts w:ascii="Times New Roman" w:eastAsia="Times New Roman" w:hAnsi="Times New Roman" w:cs="Times New Roman"/>
                <w:sz w:val="20"/>
                <w:szCs w:val="20"/>
              </w:rPr>
              <w:t>(.</w:t>
            </w:r>
            <w:r w:rsidRPr="00AE6FD3">
              <w:rPr>
                <w:rFonts w:ascii="Times New Roman" w:eastAsia="Times New Roman" w:hAnsi="Times New Roman" w:cs="Times New Roman"/>
                <w:sz w:val="20"/>
                <w:szCs w:val="20"/>
              </w:rPr>
              <w:t>008</w:t>
            </w:r>
            <w:r w:rsidR="00CB179F" w:rsidRPr="00AE6FD3">
              <w:rPr>
                <w:rFonts w:ascii="Times New Roman" w:eastAsia="Times New Roman" w:hAnsi="Times New Roman" w:cs="Times New Roman"/>
                <w:sz w:val="20"/>
                <w:szCs w:val="20"/>
              </w:rPr>
              <w:t>)</w:t>
            </w:r>
            <w:r w:rsidRPr="00AE6FD3">
              <w:rPr>
                <w:rFonts w:ascii="Times New Roman" w:eastAsia="Times New Roman" w:hAnsi="Times New Roman" w:cs="Times New Roman"/>
                <w:sz w:val="20"/>
                <w:szCs w:val="20"/>
                <w:vertAlign w:val="superscript"/>
              </w:rPr>
              <w:t>***</w:t>
            </w:r>
          </w:p>
        </w:tc>
      </w:tr>
      <w:tr w:rsidR="00CB179F" w:rsidRPr="00AE6FD3" w14:paraId="5F79D4F2" w14:textId="77777777" w:rsidTr="00356ADA">
        <w:trPr>
          <w:trHeight w:val="87"/>
        </w:trPr>
        <w:tc>
          <w:tcPr>
            <w:tcW w:w="1657" w:type="dxa"/>
            <w:tcBorders>
              <w:top w:val="nil"/>
              <w:left w:val="nil"/>
              <w:bottom w:val="nil"/>
              <w:right w:val="nil"/>
            </w:tcBorders>
          </w:tcPr>
          <w:p w14:paraId="0BDA45EA" w14:textId="3360D7D8" w:rsidR="00CB179F" w:rsidRPr="00AE6FD3" w:rsidRDefault="00CB179F" w:rsidP="00356ADA">
            <w:pPr>
              <w:spacing w:after="0"/>
              <w:ind w:left="175"/>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HEIAG</w:t>
            </w:r>
            <w:r w:rsidR="007E539E">
              <w:rPr>
                <w:rFonts w:ascii="Times New Roman" w:eastAsia="Times New Roman" w:hAnsi="Times New Roman" w:cs="Times New Roman"/>
                <w:sz w:val="20"/>
                <w:szCs w:val="20"/>
              </w:rPr>
              <w:t>E</w:t>
            </w:r>
          </w:p>
        </w:tc>
        <w:tc>
          <w:tcPr>
            <w:tcW w:w="1520" w:type="dxa"/>
            <w:tcBorders>
              <w:top w:val="nil"/>
              <w:left w:val="nil"/>
              <w:bottom w:val="nil"/>
              <w:right w:val="nil"/>
            </w:tcBorders>
          </w:tcPr>
          <w:p w14:paraId="4FB8E405" w14:textId="02B86A24" w:rsidR="00CB179F" w:rsidRPr="00AE6FD3" w:rsidRDefault="0055624E"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0.005</w:t>
            </w:r>
            <w:r w:rsidR="00CB179F" w:rsidRPr="00AE6FD3">
              <w:rPr>
                <w:rFonts w:ascii="Times New Roman" w:eastAsia="Times New Roman" w:hAnsi="Times New Roman" w:cs="Times New Roman"/>
                <w:sz w:val="20"/>
                <w:szCs w:val="20"/>
              </w:rPr>
              <w:t>(.0</w:t>
            </w:r>
            <w:r w:rsidRPr="00AE6FD3">
              <w:rPr>
                <w:rFonts w:ascii="Times New Roman" w:eastAsia="Times New Roman" w:hAnsi="Times New Roman" w:cs="Times New Roman"/>
                <w:sz w:val="20"/>
                <w:szCs w:val="20"/>
              </w:rPr>
              <w:t>25</w:t>
            </w:r>
            <w:r w:rsidR="00CB179F" w:rsidRPr="00AE6FD3">
              <w:rPr>
                <w:rFonts w:ascii="Times New Roman" w:eastAsia="Times New Roman" w:hAnsi="Times New Roman" w:cs="Times New Roman"/>
                <w:sz w:val="20"/>
                <w:szCs w:val="20"/>
              </w:rPr>
              <w:t>)</w:t>
            </w:r>
            <w:r w:rsidR="00CB179F" w:rsidRPr="00AE6FD3">
              <w:rPr>
                <w:rFonts w:ascii="Times New Roman" w:eastAsia="Times New Roman" w:hAnsi="Times New Roman" w:cs="Times New Roman"/>
                <w:sz w:val="20"/>
                <w:szCs w:val="20"/>
                <w:vertAlign w:val="superscript"/>
              </w:rPr>
              <w:t>**</w:t>
            </w:r>
          </w:p>
        </w:tc>
        <w:tc>
          <w:tcPr>
            <w:tcW w:w="1412" w:type="dxa"/>
            <w:tcBorders>
              <w:top w:val="nil"/>
              <w:left w:val="nil"/>
              <w:bottom w:val="nil"/>
              <w:right w:val="nil"/>
            </w:tcBorders>
          </w:tcPr>
          <w:p w14:paraId="03106EA2" w14:textId="6A93BBC5" w:rsidR="00CB179F" w:rsidRPr="00AE6FD3" w:rsidRDefault="00676321"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0.005</w:t>
            </w:r>
            <w:r w:rsidR="00CB179F" w:rsidRPr="00AE6FD3">
              <w:rPr>
                <w:rFonts w:ascii="Times New Roman" w:eastAsia="Times New Roman" w:hAnsi="Times New Roman" w:cs="Times New Roman"/>
                <w:sz w:val="20"/>
                <w:szCs w:val="20"/>
              </w:rPr>
              <w:t>(.0</w:t>
            </w:r>
            <w:r w:rsidRPr="00AE6FD3">
              <w:rPr>
                <w:rFonts w:ascii="Times New Roman" w:eastAsia="Times New Roman" w:hAnsi="Times New Roman" w:cs="Times New Roman"/>
                <w:sz w:val="20"/>
                <w:szCs w:val="20"/>
              </w:rPr>
              <w:t>12</w:t>
            </w:r>
            <w:r w:rsidR="00CB179F" w:rsidRPr="00AE6FD3">
              <w:rPr>
                <w:rFonts w:ascii="Times New Roman" w:eastAsia="Times New Roman" w:hAnsi="Times New Roman" w:cs="Times New Roman"/>
                <w:sz w:val="20"/>
                <w:szCs w:val="20"/>
              </w:rPr>
              <w:t>)</w:t>
            </w:r>
            <w:r w:rsidR="00CB179F" w:rsidRPr="00AE6FD3">
              <w:rPr>
                <w:rFonts w:ascii="Times New Roman" w:eastAsia="Times New Roman" w:hAnsi="Times New Roman" w:cs="Times New Roman"/>
                <w:sz w:val="20"/>
                <w:szCs w:val="20"/>
                <w:vertAlign w:val="superscript"/>
              </w:rPr>
              <w:t>**</w:t>
            </w:r>
          </w:p>
        </w:tc>
        <w:tc>
          <w:tcPr>
            <w:tcW w:w="1520" w:type="dxa"/>
            <w:tcBorders>
              <w:top w:val="nil"/>
              <w:left w:val="nil"/>
              <w:bottom w:val="nil"/>
              <w:right w:val="nil"/>
            </w:tcBorders>
          </w:tcPr>
          <w:p w14:paraId="2870F606" w14:textId="0DDA9F00" w:rsidR="00CB179F" w:rsidRPr="00AE6FD3" w:rsidRDefault="000C19E2"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0.005</w:t>
            </w:r>
            <w:r w:rsidR="00CB179F" w:rsidRPr="00AE6FD3">
              <w:rPr>
                <w:rFonts w:ascii="Times New Roman" w:eastAsia="Times New Roman" w:hAnsi="Times New Roman" w:cs="Times New Roman"/>
                <w:sz w:val="20"/>
                <w:szCs w:val="20"/>
              </w:rPr>
              <w:t>(.0</w:t>
            </w:r>
            <w:r w:rsidRPr="00AE6FD3">
              <w:rPr>
                <w:rFonts w:ascii="Times New Roman" w:eastAsia="Times New Roman" w:hAnsi="Times New Roman" w:cs="Times New Roman"/>
                <w:sz w:val="20"/>
                <w:szCs w:val="20"/>
              </w:rPr>
              <w:t>23</w:t>
            </w:r>
            <w:r w:rsidR="00CB179F" w:rsidRPr="00AE6FD3">
              <w:rPr>
                <w:rFonts w:ascii="Times New Roman" w:eastAsia="Times New Roman" w:hAnsi="Times New Roman" w:cs="Times New Roman"/>
                <w:sz w:val="20"/>
                <w:szCs w:val="20"/>
              </w:rPr>
              <w:t>)</w:t>
            </w:r>
            <w:r w:rsidR="00CB179F" w:rsidRPr="00AE6FD3">
              <w:rPr>
                <w:rFonts w:ascii="Times New Roman" w:eastAsia="Times New Roman" w:hAnsi="Times New Roman" w:cs="Times New Roman"/>
                <w:sz w:val="20"/>
                <w:szCs w:val="20"/>
                <w:vertAlign w:val="superscript"/>
              </w:rPr>
              <w:t>**</w:t>
            </w:r>
          </w:p>
        </w:tc>
        <w:tc>
          <w:tcPr>
            <w:tcW w:w="1475" w:type="dxa"/>
            <w:tcBorders>
              <w:top w:val="nil"/>
              <w:left w:val="nil"/>
              <w:bottom w:val="nil"/>
              <w:right w:val="nil"/>
            </w:tcBorders>
          </w:tcPr>
          <w:p w14:paraId="109B0E5D" w14:textId="623D57E8" w:rsidR="00CB179F" w:rsidRPr="00AE6FD3" w:rsidRDefault="00E35784"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0.006</w:t>
            </w:r>
            <w:r w:rsidR="00CB179F" w:rsidRPr="00AE6FD3">
              <w:rPr>
                <w:rFonts w:ascii="Times New Roman" w:eastAsia="Times New Roman" w:hAnsi="Times New Roman" w:cs="Times New Roman"/>
                <w:sz w:val="20"/>
                <w:szCs w:val="20"/>
              </w:rPr>
              <w:t>(.</w:t>
            </w:r>
            <w:r w:rsidRPr="00AE6FD3">
              <w:rPr>
                <w:rFonts w:ascii="Times New Roman" w:eastAsia="Times New Roman" w:hAnsi="Times New Roman" w:cs="Times New Roman"/>
                <w:sz w:val="20"/>
                <w:szCs w:val="20"/>
              </w:rPr>
              <w:t>151</w:t>
            </w:r>
            <w:r w:rsidR="00CB179F" w:rsidRPr="00AE6FD3">
              <w:rPr>
                <w:rFonts w:ascii="Times New Roman" w:eastAsia="Times New Roman" w:hAnsi="Times New Roman" w:cs="Times New Roman"/>
                <w:sz w:val="20"/>
                <w:szCs w:val="20"/>
              </w:rPr>
              <w:t>)</w:t>
            </w:r>
          </w:p>
        </w:tc>
        <w:tc>
          <w:tcPr>
            <w:tcW w:w="1488" w:type="dxa"/>
            <w:tcBorders>
              <w:top w:val="nil"/>
              <w:left w:val="nil"/>
              <w:bottom w:val="nil"/>
              <w:right w:val="nil"/>
            </w:tcBorders>
          </w:tcPr>
          <w:p w14:paraId="2782C986" w14:textId="6534EBD9" w:rsidR="00CB179F" w:rsidRPr="00AE6FD3" w:rsidRDefault="00F75B82"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0.003</w:t>
            </w:r>
            <w:r w:rsidR="00CB179F" w:rsidRPr="00AE6FD3">
              <w:rPr>
                <w:rFonts w:ascii="Times New Roman" w:eastAsia="Times New Roman" w:hAnsi="Times New Roman" w:cs="Times New Roman"/>
                <w:sz w:val="20"/>
                <w:szCs w:val="20"/>
              </w:rPr>
              <w:t>(.</w:t>
            </w:r>
            <w:r w:rsidRPr="00AE6FD3">
              <w:rPr>
                <w:rFonts w:ascii="Times New Roman" w:eastAsia="Times New Roman" w:hAnsi="Times New Roman" w:cs="Times New Roman"/>
                <w:sz w:val="20"/>
                <w:szCs w:val="20"/>
              </w:rPr>
              <w:t>238</w:t>
            </w:r>
            <w:r w:rsidR="00CB179F" w:rsidRPr="00AE6FD3">
              <w:rPr>
                <w:rFonts w:ascii="Times New Roman" w:eastAsia="Times New Roman" w:hAnsi="Times New Roman" w:cs="Times New Roman"/>
                <w:sz w:val="20"/>
                <w:szCs w:val="20"/>
              </w:rPr>
              <w:t>)</w:t>
            </w:r>
          </w:p>
        </w:tc>
      </w:tr>
      <w:tr w:rsidR="00CB179F" w:rsidRPr="00AE6FD3" w14:paraId="3F9B99B1" w14:textId="77777777" w:rsidTr="00356ADA">
        <w:trPr>
          <w:trHeight w:val="87"/>
        </w:trPr>
        <w:tc>
          <w:tcPr>
            <w:tcW w:w="1657" w:type="dxa"/>
            <w:tcBorders>
              <w:top w:val="nil"/>
              <w:left w:val="nil"/>
              <w:bottom w:val="nil"/>
              <w:right w:val="nil"/>
            </w:tcBorders>
          </w:tcPr>
          <w:p w14:paraId="5FEB3BC0" w14:textId="77777777" w:rsidR="00CB179F" w:rsidRPr="00AE6FD3" w:rsidRDefault="00CB179F" w:rsidP="00356ADA">
            <w:pPr>
              <w:spacing w:after="0"/>
              <w:ind w:left="175"/>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LEVE</w:t>
            </w:r>
          </w:p>
        </w:tc>
        <w:tc>
          <w:tcPr>
            <w:tcW w:w="1520" w:type="dxa"/>
            <w:tcBorders>
              <w:top w:val="nil"/>
              <w:left w:val="nil"/>
              <w:bottom w:val="nil"/>
              <w:right w:val="nil"/>
            </w:tcBorders>
          </w:tcPr>
          <w:p w14:paraId="5E602DE8" w14:textId="2851FD39" w:rsidR="00CB179F" w:rsidRPr="00AE6FD3" w:rsidRDefault="00CB179F" w:rsidP="00356ADA">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0.0</w:t>
            </w:r>
            <w:r w:rsidR="0055624E" w:rsidRPr="00AE6FD3">
              <w:rPr>
                <w:rFonts w:ascii="Times New Roman" w:eastAsia="Times New Roman" w:hAnsi="Times New Roman" w:cs="Times New Roman"/>
                <w:sz w:val="20"/>
                <w:szCs w:val="20"/>
              </w:rPr>
              <w:t>16</w:t>
            </w:r>
            <w:r w:rsidRPr="00AE6FD3">
              <w:rPr>
                <w:rFonts w:ascii="Times New Roman" w:eastAsia="Times New Roman" w:hAnsi="Times New Roman" w:cs="Times New Roman"/>
                <w:sz w:val="20"/>
                <w:szCs w:val="20"/>
              </w:rPr>
              <w:t>(.2</w:t>
            </w:r>
            <w:r w:rsidR="0055624E" w:rsidRPr="00AE6FD3">
              <w:rPr>
                <w:rFonts w:ascii="Times New Roman" w:eastAsia="Times New Roman" w:hAnsi="Times New Roman" w:cs="Times New Roman"/>
                <w:sz w:val="20"/>
                <w:szCs w:val="20"/>
              </w:rPr>
              <w:t>55</w:t>
            </w:r>
            <w:r w:rsidRPr="00AE6FD3">
              <w:rPr>
                <w:rFonts w:ascii="Times New Roman" w:eastAsia="Times New Roman" w:hAnsi="Times New Roman" w:cs="Times New Roman"/>
                <w:sz w:val="20"/>
                <w:szCs w:val="20"/>
              </w:rPr>
              <w:t>)</w:t>
            </w:r>
          </w:p>
        </w:tc>
        <w:tc>
          <w:tcPr>
            <w:tcW w:w="1412" w:type="dxa"/>
            <w:tcBorders>
              <w:top w:val="nil"/>
              <w:left w:val="nil"/>
              <w:bottom w:val="nil"/>
              <w:right w:val="nil"/>
            </w:tcBorders>
          </w:tcPr>
          <w:p w14:paraId="2ACE1279" w14:textId="7F9A8F8B" w:rsidR="00CB179F" w:rsidRPr="00AE6FD3" w:rsidRDefault="00CB179F"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0.0</w:t>
            </w:r>
            <w:r w:rsidR="00676321" w:rsidRPr="00AE6FD3">
              <w:rPr>
                <w:rFonts w:ascii="Times New Roman" w:eastAsia="Times New Roman" w:hAnsi="Times New Roman" w:cs="Times New Roman"/>
                <w:sz w:val="20"/>
                <w:szCs w:val="20"/>
              </w:rPr>
              <w:t>16</w:t>
            </w:r>
            <w:r w:rsidRPr="00AE6FD3">
              <w:rPr>
                <w:rFonts w:ascii="Times New Roman" w:eastAsia="Times New Roman" w:hAnsi="Times New Roman" w:cs="Times New Roman"/>
                <w:sz w:val="20"/>
                <w:szCs w:val="20"/>
              </w:rPr>
              <w:t>(.</w:t>
            </w:r>
            <w:r w:rsidR="00676321" w:rsidRPr="00AE6FD3">
              <w:rPr>
                <w:rFonts w:ascii="Times New Roman" w:eastAsia="Times New Roman" w:hAnsi="Times New Roman" w:cs="Times New Roman"/>
                <w:sz w:val="20"/>
                <w:szCs w:val="20"/>
              </w:rPr>
              <w:t>275</w:t>
            </w:r>
            <w:r w:rsidRPr="00AE6FD3">
              <w:rPr>
                <w:rFonts w:ascii="Times New Roman" w:eastAsia="Times New Roman" w:hAnsi="Times New Roman" w:cs="Times New Roman"/>
                <w:sz w:val="20"/>
                <w:szCs w:val="20"/>
              </w:rPr>
              <w:t>)</w:t>
            </w:r>
          </w:p>
        </w:tc>
        <w:tc>
          <w:tcPr>
            <w:tcW w:w="1520" w:type="dxa"/>
            <w:tcBorders>
              <w:top w:val="nil"/>
              <w:left w:val="nil"/>
              <w:bottom w:val="nil"/>
              <w:right w:val="nil"/>
            </w:tcBorders>
          </w:tcPr>
          <w:p w14:paraId="3EA762BB" w14:textId="00C45A95" w:rsidR="00CB179F" w:rsidRPr="00AE6FD3" w:rsidRDefault="00CB179F"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0.0</w:t>
            </w:r>
            <w:r w:rsidR="000C19E2" w:rsidRPr="00AE6FD3">
              <w:rPr>
                <w:rFonts w:ascii="Times New Roman" w:eastAsia="Times New Roman" w:hAnsi="Times New Roman" w:cs="Times New Roman"/>
                <w:sz w:val="20"/>
                <w:szCs w:val="20"/>
              </w:rPr>
              <w:t>15</w:t>
            </w:r>
            <w:r w:rsidRPr="00AE6FD3">
              <w:rPr>
                <w:rFonts w:ascii="Times New Roman" w:eastAsia="Times New Roman" w:hAnsi="Times New Roman" w:cs="Times New Roman"/>
                <w:sz w:val="20"/>
                <w:szCs w:val="20"/>
              </w:rPr>
              <w:t>(.</w:t>
            </w:r>
            <w:r w:rsidR="000C19E2" w:rsidRPr="00AE6FD3">
              <w:rPr>
                <w:rFonts w:ascii="Times New Roman" w:eastAsia="Times New Roman" w:hAnsi="Times New Roman" w:cs="Times New Roman"/>
                <w:sz w:val="20"/>
                <w:szCs w:val="20"/>
              </w:rPr>
              <w:t>294</w:t>
            </w:r>
            <w:r w:rsidRPr="00AE6FD3">
              <w:rPr>
                <w:rFonts w:ascii="Times New Roman" w:eastAsia="Times New Roman" w:hAnsi="Times New Roman" w:cs="Times New Roman"/>
                <w:sz w:val="20"/>
                <w:szCs w:val="20"/>
              </w:rPr>
              <w:t>)</w:t>
            </w:r>
          </w:p>
        </w:tc>
        <w:tc>
          <w:tcPr>
            <w:tcW w:w="1475" w:type="dxa"/>
            <w:tcBorders>
              <w:top w:val="nil"/>
              <w:left w:val="nil"/>
              <w:bottom w:val="nil"/>
              <w:right w:val="nil"/>
            </w:tcBorders>
          </w:tcPr>
          <w:p w14:paraId="3683714E" w14:textId="0C76C8F0" w:rsidR="00CB179F" w:rsidRPr="00AE6FD3" w:rsidRDefault="00E35784"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0.016</w:t>
            </w:r>
            <w:r w:rsidR="00CB179F" w:rsidRPr="00AE6FD3">
              <w:rPr>
                <w:rFonts w:ascii="Times New Roman" w:eastAsia="Times New Roman" w:hAnsi="Times New Roman" w:cs="Times New Roman"/>
                <w:sz w:val="20"/>
                <w:szCs w:val="20"/>
              </w:rPr>
              <w:t>(.</w:t>
            </w:r>
            <w:r w:rsidRPr="00AE6FD3">
              <w:rPr>
                <w:rFonts w:ascii="Times New Roman" w:eastAsia="Times New Roman" w:hAnsi="Times New Roman" w:cs="Times New Roman"/>
                <w:sz w:val="20"/>
                <w:szCs w:val="20"/>
              </w:rPr>
              <w:t>524</w:t>
            </w:r>
            <w:r w:rsidR="00CB179F" w:rsidRPr="00AE6FD3">
              <w:rPr>
                <w:rFonts w:ascii="Times New Roman" w:eastAsia="Times New Roman" w:hAnsi="Times New Roman" w:cs="Times New Roman"/>
                <w:sz w:val="20"/>
                <w:szCs w:val="20"/>
              </w:rPr>
              <w:t>)</w:t>
            </w:r>
          </w:p>
        </w:tc>
        <w:tc>
          <w:tcPr>
            <w:tcW w:w="1488" w:type="dxa"/>
            <w:tcBorders>
              <w:top w:val="nil"/>
              <w:left w:val="nil"/>
              <w:bottom w:val="nil"/>
              <w:right w:val="nil"/>
            </w:tcBorders>
          </w:tcPr>
          <w:p w14:paraId="6B9EA137" w14:textId="01BA40AF" w:rsidR="00CB179F" w:rsidRPr="00AE6FD3" w:rsidRDefault="00F75B82" w:rsidP="00356ADA">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0.007</w:t>
            </w:r>
            <w:r w:rsidR="00CB179F" w:rsidRPr="00AE6FD3">
              <w:rPr>
                <w:rFonts w:ascii="Times New Roman" w:eastAsia="Times New Roman" w:hAnsi="Times New Roman" w:cs="Times New Roman"/>
                <w:sz w:val="20"/>
                <w:szCs w:val="20"/>
              </w:rPr>
              <w:t>(.</w:t>
            </w:r>
            <w:r w:rsidRPr="00AE6FD3">
              <w:rPr>
                <w:rFonts w:ascii="Times New Roman" w:eastAsia="Times New Roman" w:hAnsi="Times New Roman" w:cs="Times New Roman"/>
                <w:sz w:val="20"/>
                <w:szCs w:val="20"/>
              </w:rPr>
              <w:t>651</w:t>
            </w:r>
            <w:r w:rsidR="00CB179F" w:rsidRPr="00AE6FD3">
              <w:rPr>
                <w:rFonts w:ascii="Times New Roman" w:eastAsia="Times New Roman" w:hAnsi="Times New Roman" w:cs="Times New Roman"/>
                <w:sz w:val="20"/>
                <w:szCs w:val="20"/>
              </w:rPr>
              <w:t>)</w:t>
            </w:r>
          </w:p>
        </w:tc>
      </w:tr>
      <w:tr w:rsidR="00CB179F" w:rsidRPr="00AE6FD3" w14:paraId="2E9B18A3" w14:textId="77777777" w:rsidTr="00356ADA">
        <w:trPr>
          <w:trHeight w:val="87"/>
        </w:trPr>
        <w:tc>
          <w:tcPr>
            <w:tcW w:w="1657" w:type="dxa"/>
            <w:tcBorders>
              <w:top w:val="nil"/>
              <w:left w:val="nil"/>
              <w:bottom w:val="nil"/>
              <w:right w:val="nil"/>
            </w:tcBorders>
          </w:tcPr>
          <w:p w14:paraId="4F63E58E" w14:textId="37FF8D2B" w:rsidR="00CB179F" w:rsidRPr="00AE6FD3" w:rsidRDefault="00CB179F" w:rsidP="00356ADA">
            <w:pPr>
              <w:spacing w:after="0"/>
              <w:ind w:left="175"/>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LIQU</w:t>
            </w:r>
            <w:r w:rsidR="007E539E">
              <w:rPr>
                <w:rFonts w:ascii="Times New Roman" w:eastAsia="Times New Roman" w:hAnsi="Times New Roman" w:cs="Times New Roman"/>
                <w:sz w:val="20"/>
                <w:szCs w:val="20"/>
              </w:rPr>
              <w:t>D</w:t>
            </w:r>
          </w:p>
        </w:tc>
        <w:tc>
          <w:tcPr>
            <w:tcW w:w="1520" w:type="dxa"/>
            <w:tcBorders>
              <w:top w:val="nil"/>
              <w:left w:val="nil"/>
              <w:bottom w:val="nil"/>
              <w:right w:val="nil"/>
            </w:tcBorders>
          </w:tcPr>
          <w:p w14:paraId="466A52A6" w14:textId="0B293C0B" w:rsidR="00CB179F" w:rsidRPr="00AE6FD3" w:rsidRDefault="00CB179F" w:rsidP="00356ADA">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-0.0</w:t>
            </w:r>
            <w:r w:rsidR="0055624E" w:rsidRPr="00AE6FD3">
              <w:rPr>
                <w:rFonts w:ascii="Times New Roman" w:eastAsia="Times New Roman" w:hAnsi="Times New Roman" w:cs="Times New Roman"/>
                <w:sz w:val="20"/>
                <w:szCs w:val="20"/>
              </w:rPr>
              <w:t>38</w:t>
            </w:r>
            <w:r w:rsidRPr="00AE6FD3">
              <w:rPr>
                <w:rFonts w:ascii="Times New Roman" w:eastAsia="Times New Roman" w:hAnsi="Times New Roman" w:cs="Times New Roman"/>
                <w:sz w:val="20"/>
                <w:szCs w:val="20"/>
              </w:rPr>
              <w:t>(.</w:t>
            </w:r>
            <w:r w:rsidR="0055624E" w:rsidRPr="00AE6FD3">
              <w:rPr>
                <w:rFonts w:ascii="Times New Roman" w:eastAsia="Times New Roman" w:hAnsi="Times New Roman" w:cs="Times New Roman"/>
                <w:sz w:val="20"/>
                <w:szCs w:val="20"/>
              </w:rPr>
              <w:t>155</w:t>
            </w:r>
            <w:r w:rsidRPr="00AE6FD3">
              <w:rPr>
                <w:rFonts w:ascii="Times New Roman" w:eastAsia="Times New Roman" w:hAnsi="Times New Roman" w:cs="Times New Roman"/>
                <w:sz w:val="20"/>
                <w:szCs w:val="20"/>
              </w:rPr>
              <w:t>)</w:t>
            </w:r>
          </w:p>
        </w:tc>
        <w:tc>
          <w:tcPr>
            <w:tcW w:w="1412" w:type="dxa"/>
            <w:tcBorders>
              <w:top w:val="nil"/>
              <w:left w:val="nil"/>
              <w:bottom w:val="nil"/>
              <w:right w:val="nil"/>
            </w:tcBorders>
          </w:tcPr>
          <w:p w14:paraId="77F190E1" w14:textId="18E8C146" w:rsidR="00CB179F" w:rsidRPr="00AE6FD3" w:rsidRDefault="00CB179F"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-0.0</w:t>
            </w:r>
            <w:r w:rsidR="00676321" w:rsidRPr="00AE6FD3">
              <w:rPr>
                <w:rFonts w:ascii="Times New Roman" w:eastAsia="Times New Roman" w:hAnsi="Times New Roman" w:cs="Times New Roman"/>
                <w:sz w:val="20"/>
                <w:szCs w:val="20"/>
              </w:rPr>
              <w:t>61</w:t>
            </w:r>
            <w:r w:rsidRPr="00AE6FD3">
              <w:rPr>
                <w:rFonts w:ascii="Times New Roman" w:eastAsia="Times New Roman" w:hAnsi="Times New Roman" w:cs="Times New Roman"/>
                <w:sz w:val="20"/>
                <w:szCs w:val="20"/>
              </w:rPr>
              <w:t>(.</w:t>
            </w:r>
            <w:r w:rsidR="00676321" w:rsidRPr="00AE6FD3">
              <w:rPr>
                <w:rFonts w:ascii="Times New Roman" w:eastAsia="Times New Roman" w:hAnsi="Times New Roman" w:cs="Times New Roman"/>
                <w:sz w:val="20"/>
                <w:szCs w:val="20"/>
              </w:rPr>
              <w:t>027</w:t>
            </w:r>
            <w:r w:rsidRPr="00AE6FD3">
              <w:rPr>
                <w:rFonts w:ascii="Times New Roman" w:eastAsia="Times New Roman" w:hAnsi="Times New Roman" w:cs="Times New Roman"/>
                <w:sz w:val="20"/>
                <w:szCs w:val="20"/>
              </w:rPr>
              <w:t>)</w:t>
            </w:r>
            <w:r w:rsidR="00676321" w:rsidRPr="00AE6FD3">
              <w:rPr>
                <w:rFonts w:ascii="Times New Roman" w:eastAsia="Times New Roman" w:hAnsi="Times New Roman" w:cs="Times New Roman"/>
                <w:sz w:val="20"/>
                <w:szCs w:val="20"/>
                <w:vertAlign w:val="superscript"/>
              </w:rPr>
              <w:t>**</w:t>
            </w:r>
          </w:p>
        </w:tc>
        <w:tc>
          <w:tcPr>
            <w:tcW w:w="1520" w:type="dxa"/>
            <w:tcBorders>
              <w:top w:val="nil"/>
              <w:left w:val="nil"/>
              <w:bottom w:val="nil"/>
              <w:right w:val="nil"/>
            </w:tcBorders>
          </w:tcPr>
          <w:p w14:paraId="094FFB22" w14:textId="3CF9BC17" w:rsidR="00CB179F" w:rsidRPr="00AE6FD3" w:rsidRDefault="00CB179F"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w:t>
            </w:r>
            <w:r w:rsidR="000C19E2" w:rsidRPr="00AE6FD3">
              <w:rPr>
                <w:rFonts w:ascii="Times New Roman" w:eastAsia="Times New Roman" w:hAnsi="Times New Roman" w:cs="Times New Roman"/>
                <w:sz w:val="20"/>
                <w:szCs w:val="20"/>
              </w:rPr>
              <w:t>.057</w:t>
            </w:r>
            <w:r w:rsidRPr="00AE6FD3">
              <w:rPr>
                <w:rFonts w:ascii="Times New Roman" w:eastAsia="Times New Roman" w:hAnsi="Times New Roman" w:cs="Times New Roman"/>
                <w:sz w:val="20"/>
                <w:szCs w:val="20"/>
              </w:rPr>
              <w:t>(</w:t>
            </w:r>
            <w:r w:rsidR="000C19E2" w:rsidRPr="00AE6FD3">
              <w:rPr>
                <w:rFonts w:ascii="Times New Roman" w:eastAsia="Times New Roman" w:hAnsi="Times New Roman" w:cs="Times New Roman"/>
                <w:sz w:val="20"/>
                <w:szCs w:val="20"/>
              </w:rPr>
              <w:t>.039</w:t>
            </w:r>
            <w:r w:rsidRPr="00AE6FD3">
              <w:rPr>
                <w:rFonts w:ascii="Times New Roman" w:eastAsia="Times New Roman" w:hAnsi="Times New Roman" w:cs="Times New Roman"/>
                <w:sz w:val="20"/>
                <w:szCs w:val="20"/>
              </w:rPr>
              <w:t>)</w:t>
            </w:r>
            <w:r w:rsidR="000C19E2" w:rsidRPr="00AE6FD3">
              <w:rPr>
                <w:rFonts w:ascii="Times New Roman" w:eastAsia="Times New Roman" w:hAnsi="Times New Roman" w:cs="Times New Roman"/>
                <w:sz w:val="20"/>
                <w:szCs w:val="20"/>
                <w:vertAlign w:val="superscript"/>
              </w:rPr>
              <w:t>**</w:t>
            </w:r>
          </w:p>
        </w:tc>
        <w:tc>
          <w:tcPr>
            <w:tcW w:w="1475" w:type="dxa"/>
            <w:tcBorders>
              <w:top w:val="nil"/>
              <w:left w:val="nil"/>
              <w:bottom w:val="nil"/>
              <w:right w:val="nil"/>
            </w:tcBorders>
          </w:tcPr>
          <w:p w14:paraId="5C61F056" w14:textId="629FB604" w:rsidR="00CB179F" w:rsidRPr="00AE6FD3" w:rsidRDefault="00E35784"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-0.150</w:t>
            </w:r>
            <w:r w:rsidR="00CB179F" w:rsidRPr="00AE6FD3">
              <w:rPr>
                <w:rFonts w:ascii="Times New Roman" w:eastAsia="Times New Roman" w:hAnsi="Times New Roman" w:cs="Times New Roman"/>
                <w:sz w:val="20"/>
                <w:szCs w:val="20"/>
              </w:rPr>
              <w:t>(.</w:t>
            </w:r>
            <w:r w:rsidRPr="00AE6FD3">
              <w:rPr>
                <w:rFonts w:ascii="Times New Roman" w:eastAsia="Times New Roman" w:hAnsi="Times New Roman" w:cs="Times New Roman"/>
                <w:sz w:val="20"/>
                <w:szCs w:val="20"/>
              </w:rPr>
              <w:t>011</w:t>
            </w:r>
            <w:r w:rsidR="00CB179F" w:rsidRPr="00AE6FD3">
              <w:rPr>
                <w:rFonts w:ascii="Times New Roman" w:eastAsia="Times New Roman" w:hAnsi="Times New Roman" w:cs="Times New Roman"/>
                <w:sz w:val="20"/>
                <w:szCs w:val="20"/>
              </w:rPr>
              <w:t>)</w:t>
            </w:r>
            <w:r w:rsidRPr="00AE6FD3">
              <w:rPr>
                <w:rFonts w:ascii="Times New Roman" w:eastAsia="Times New Roman" w:hAnsi="Times New Roman" w:cs="Times New Roman"/>
                <w:sz w:val="20"/>
                <w:szCs w:val="20"/>
                <w:vertAlign w:val="superscript"/>
              </w:rPr>
              <w:t>**</w:t>
            </w:r>
          </w:p>
        </w:tc>
        <w:tc>
          <w:tcPr>
            <w:tcW w:w="1488" w:type="dxa"/>
            <w:tcBorders>
              <w:top w:val="nil"/>
              <w:left w:val="nil"/>
              <w:bottom w:val="nil"/>
              <w:right w:val="nil"/>
            </w:tcBorders>
          </w:tcPr>
          <w:p w14:paraId="344DFACB" w14:textId="7643FD43" w:rsidR="00CB179F" w:rsidRPr="00AE6FD3" w:rsidRDefault="00F75B82"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-0.075</w:t>
            </w:r>
            <w:r w:rsidR="00CB179F" w:rsidRPr="00AE6FD3">
              <w:rPr>
                <w:rFonts w:ascii="Times New Roman" w:eastAsia="Times New Roman" w:hAnsi="Times New Roman" w:cs="Times New Roman"/>
                <w:sz w:val="20"/>
                <w:szCs w:val="20"/>
              </w:rPr>
              <w:t>(.</w:t>
            </w:r>
            <w:r w:rsidRPr="00AE6FD3">
              <w:rPr>
                <w:rFonts w:ascii="Times New Roman" w:eastAsia="Times New Roman" w:hAnsi="Times New Roman" w:cs="Times New Roman"/>
                <w:sz w:val="20"/>
                <w:szCs w:val="20"/>
              </w:rPr>
              <w:t>016</w:t>
            </w:r>
            <w:r w:rsidR="00CB179F" w:rsidRPr="00AE6FD3">
              <w:rPr>
                <w:rFonts w:ascii="Times New Roman" w:eastAsia="Times New Roman" w:hAnsi="Times New Roman" w:cs="Times New Roman"/>
                <w:sz w:val="20"/>
                <w:szCs w:val="20"/>
              </w:rPr>
              <w:t>)</w:t>
            </w:r>
            <w:r w:rsidRPr="00AE6FD3">
              <w:rPr>
                <w:rFonts w:ascii="Times New Roman" w:eastAsia="Times New Roman" w:hAnsi="Times New Roman" w:cs="Times New Roman"/>
                <w:sz w:val="20"/>
                <w:szCs w:val="20"/>
                <w:vertAlign w:val="superscript"/>
              </w:rPr>
              <w:t>**</w:t>
            </w:r>
          </w:p>
        </w:tc>
      </w:tr>
      <w:tr w:rsidR="00CB179F" w:rsidRPr="00AE6FD3" w14:paraId="7B647C1C" w14:textId="77777777" w:rsidTr="00356ADA">
        <w:trPr>
          <w:trHeight w:val="87"/>
        </w:trPr>
        <w:tc>
          <w:tcPr>
            <w:tcW w:w="1657" w:type="dxa"/>
            <w:tcBorders>
              <w:top w:val="nil"/>
              <w:left w:val="nil"/>
              <w:bottom w:val="nil"/>
              <w:right w:val="nil"/>
            </w:tcBorders>
          </w:tcPr>
          <w:p w14:paraId="0F0CE55B" w14:textId="77777777" w:rsidR="00CB179F" w:rsidRPr="00AE6FD3" w:rsidRDefault="00CB179F" w:rsidP="00356ADA">
            <w:pPr>
              <w:spacing w:after="0"/>
              <w:ind w:left="175"/>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GRTH</w:t>
            </w:r>
          </w:p>
        </w:tc>
        <w:tc>
          <w:tcPr>
            <w:tcW w:w="1520" w:type="dxa"/>
            <w:tcBorders>
              <w:top w:val="nil"/>
              <w:left w:val="nil"/>
              <w:bottom w:val="nil"/>
              <w:right w:val="nil"/>
            </w:tcBorders>
          </w:tcPr>
          <w:p w14:paraId="7CC79A1D" w14:textId="51FF776F" w:rsidR="00CB179F" w:rsidRPr="00AE6FD3" w:rsidRDefault="0055624E" w:rsidP="00356ADA">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0.036</w:t>
            </w:r>
            <w:r w:rsidR="00CB179F" w:rsidRPr="00AE6FD3">
              <w:rPr>
                <w:rFonts w:ascii="Times New Roman" w:eastAsia="Times New Roman" w:hAnsi="Times New Roman" w:cs="Times New Roman"/>
                <w:sz w:val="20"/>
                <w:szCs w:val="20"/>
              </w:rPr>
              <w:t>(.</w:t>
            </w:r>
            <w:r w:rsidRPr="00AE6FD3">
              <w:rPr>
                <w:rFonts w:ascii="Times New Roman" w:eastAsia="Times New Roman" w:hAnsi="Times New Roman" w:cs="Times New Roman"/>
                <w:sz w:val="20"/>
                <w:szCs w:val="20"/>
              </w:rPr>
              <w:t>258</w:t>
            </w:r>
            <w:r w:rsidR="00CB179F" w:rsidRPr="00AE6FD3">
              <w:rPr>
                <w:rFonts w:ascii="Times New Roman" w:eastAsia="Times New Roman" w:hAnsi="Times New Roman" w:cs="Times New Roman"/>
                <w:sz w:val="20"/>
                <w:szCs w:val="20"/>
              </w:rPr>
              <w:t>)</w:t>
            </w:r>
          </w:p>
        </w:tc>
        <w:tc>
          <w:tcPr>
            <w:tcW w:w="1412" w:type="dxa"/>
            <w:tcBorders>
              <w:top w:val="nil"/>
              <w:left w:val="nil"/>
              <w:bottom w:val="nil"/>
              <w:right w:val="nil"/>
            </w:tcBorders>
          </w:tcPr>
          <w:p w14:paraId="1070445F" w14:textId="265627B5" w:rsidR="00CB179F" w:rsidRPr="00AE6FD3" w:rsidRDefault="00676321" w:rsidP="00356ADA">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0.034</w:t>
            </w:r>
            <w:r w:rsidR="00CB179F" w:rsidRPr="00AE6FD3">
              <w:rPr>
                <w:rFonts w:ascii="Times New Roman" w:eastAsia="Times New Roman" w:hAnsi="Times New Roman" w:cs="Times New Roman"/>
                <w:sz w:val="20"/>
                <w:szCs w:val="20"/>
              </w:rPr>
              <w:t>(.</w:t>
            </w:r>
            <w:r w:rsidRPr="00AE6FD3">
              <w:rPr>
                <w:rFonts w:ascii="Times New Roman" w:eastAsia="Times New Roman" w:hAnsi="Times New Roman" w:cs="Times New Roman"/>
                <w:sz w:val="20"/>
                <w:szCs w:val="20"/>
              </w:rPr>
              <w:t>284</w:t>
            </w:r>
            <w:r w:rsidR="00CB179F" w:rsidRPr="00AE6FD3">
              <w:rPr>
                <w:rFonts w:ascii="Times New Roman" w:eastAsia="Times New Roman" w:hAnsi="Times New Roman" w:cs="Times New Roman"/>
                <w:sz w:val="20"/>
                <w:szCs w:val="20"/>
              </w:rPr>
              <w:t>)</w:t>
            </w:r>
          </w:p>
        </w:tc>
        <w:tc>
          <w:tcPr>
            <w:tcW w:w="1520" w:type="dxa"/>
            <w:tcBorders>
              <w:top w:val="nil"/>
              <w:left w:val="nil"/>
              <w:bottom w:val="nil"/>
              <w:right w:val="nil"/>
            </w:tcBorders>
          </w:tcPr>
          <w:p w14:paraId="3DFBB17A" w14:textId="4B3273D3" w:rsidR="00CB179F" w:rsidRPr="00AE6FD3" w:rsidRDefault="000C19E2" w:rsidP="00356ADA">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0.036</w:t>
            </w:r>
            <w:r w:rsidR="00CB179F" w:rsidRPr="00AE6FD3">
              <w:rPr>
                <w:rFonts w:ascii="Times New Roman" w:eastAsia="Times New Roman" w:hAnsi="Times New Roman" w:cs="Times New Roman"/>
                <w:sz w:val="20"/>
                <w:szCs w:val="20"/>
              </w:rPr>
              <w:t>(.</w:t>
            </w:r>
            <w:r w:rsidRPr="00AE6FD3">
              <w:rPr>
                <w:rFonts w:ascii="Times New Roman" w:eastAsia="Times New Roman" w:hAnsi="Times New Roman" w:cs="Times New Roman"/>
                <w:sz w:val="20"/>
                <w:szCs w:val="20"/>
              </w:rPr>
              <w:t>260</w:t>
            </w:r>
            <w:r w:rsidR="00CB179F" w:rsidRPr="00AE6FD3">
              <w:rPr>
                <w:rFonts w:ascii="Times New Roman" w:eastAsia="Times New Roman" w:hAnsi="Times New Roman" w:cs="Times New Roman"/>
                <w:sz w:val="20"/>
                <w:szCs w:val="20"/>
              </w:rPr>
              <w:t>)</w:t>
            </w:r>
          </w:p>
        </w:tc>
        <w:tc>
          <w:tcPr>
            <w:tcW w:w="1475" w:type="dxa"/>
            <w:tcBorders>
              <w:top w:val="nil"/>
              <w:left w:val="nil"/>
              <w:bottom w:val="nil"/>
              <w:right w:val="nil"/>
            </w:tcBorders>
          </w:tcPr>
          <w:p w14:paraId="7BD45B4D" w14:textId="6FA61981" w:rsidR="00CB179F" w:rsidRPr="00AE6FD3" w:rsidRDefault="00E35784" w:rsidP="00356ADA">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0.064</w:t>
            </w:r>
            <w:r w:rsidR="00CB179F" w:rsidRPr="00AE6FD3">
              <w:rPr>
                <w:rFonts w:ascii="Times New Roman" w:eastAsia="Times New Roman" w:hAnsi="Times New Roman" w:cs="Times New Roman"/>
                <w:sz w:val="20"/>
                <w:szCs w:val="20"/>
              </w:rPr>
              <w:t>(.</w:t>
            </w:r>
            <w:r w:rsidRPr="00AE6FD3">
              <w:rPr>
                <w:rFonts w:ascii="Times New Roman" w:eastAsia="Times New Roman" w:hAnsi="Times New Roman" w:cs="Times New Roman"/>
                <w:sz w:val="20"/>
                <w:szCs w:val="20"/>
              </w:rPr>
              <w:t>275</w:t>
            </w:r>
            <w:r w:rsidR="00CB179F" w:rsidRPr="00AE6FD3">
              <w:rPr>
                <w:rFonts w:ascii="Times New Roman" w:eastAsia="Times New Roman" w:hAnsi="Times New Roman" w:cs="Times New Roman"/>
                <w:sz w:val="20"/>
                <w:szCs w:val="20"/>
              </w:rPr>
              <w:t>)</w:t>
            </w:r>
          </w:p>
        </w:tc>
        <w:tc>
          <w:tcPr>
            <w:tcW w:w="1488" w:type="dxa"/>
            <w:tcBorders>
              <w:top w:val="nil"/>
              <w:left w:val="nil"/>
              <w:bottom w:val="nil"/>
              <w:right w:val="nil"/>
            </w:tcBorders>
          </w:tcPr>
          <w:p w14:paraId="1CBF8BD7" w14:textId="1044D6AE" w:rsidR="00CB179F" w:rsidRPr="00AE6FD3" w:rsidRDefault="00F75B82" w:rsidP="00356ADA">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0.054</w:t>
            </w:r>
            <w:r w:rsidR="00CB179F" w:rsidRPr="00AE6FD3">
              <w:rPr>
                <w:rFonts w:ascii="Times New Roman" w:eastAsia="Times New Roman" w:hAnsi="Times New Roman" w:cs="Times New Roman"/>
                <w:sz w:val="20"/>
                <w:szCs w:val="20"/>
              </w:rPr>
              <w:t>(.</w:t>
            </w:r>
            <w:r w:rsidRPr="00AE6FD3">
              <w:rPr>
                <w:rFonts w:ascii="Times New Roman" w:eastAsia="Times New Roman" w:hAnsi="Times New Roman" w:cs="Times New Roman"/>
                <w:sz w:val="20"/>
                <w:szCs w:val="20"/>
              </w:rPr>
              <w:t>150</w:t>
            </w:r>
            <w:r w:rsidR="00CB179F" w:rsidRPr="00AE6FD3">
              <w:rPr>
                <w:rFonts w:ascii="Times New Roman" w:eastAsia="Times New Roman" w:hAnsi="Times New Roman" w:cs="Times New Roman"/>
                <w:sz w:val="20"/>
                <w:szCs w:val="20"/>
              </w:rPr>
              <w:t>)</w:t>
            </w:r>
          </w:p>
        </w:tc>
      </w:tr>
      <w:tr w:rsidR="00CB179F" w:rsidRPr="00AE6FD3" w14:paraId="39E4F6A3" w14:textId="77777777" w:rsidTr="00356ADA">
        <w:trPr>
          <w:trHeight w:val="87"/>
        </w:trPr>
        <w:tc>
          <w:tcPr>
            <w:tcW w:w="1657" w:type="dxa"/>
            <w:tcBorders>
              <w:top w:val="nil"/>
              <w:left w:val="nil"/>
              <w:bottom w:val="nil"/>
              <w:right w:val="nil"/>
            </w:tcBorders>
          </w:tcPr>
          <w:p w14:paraId="58FA498A" w14:textId="15EFC343" w:rsidR="00CB179F" w:rsidRPr="00AE6FD3" w:rsidRDefault="007E539E" w:rsidP="00356ADA">
            <w:pPr>
              <w:spacing w:after="0"/>
              <w:ind w:left="175"/>
              <w:rPr>
                <w:rFonts w:ascii="Times New Roman" w:eastAsia="Times New Roman" w:hAnsi="Times New Roman" w:cs="Times New Roman"/>
                <w:sz w:val="20"/>
                <w:szCs w:val="20"/>
              </w:rPr>
            </w:pPr>
            <w:r>
              <w:rPr>
                <w:rFonts w:ascii="Times New Roman" w:eastAsia="Times New Roman" w:hAnsi="Times New Roman" w:cs="Times New Roman"/>
                <w:sz w:val="20"/>
                <w:szCs w:val="20"/>
              </w:rPr>
              <w:t>IFUNDC</w:t>
            </w:r>
          </w:p>
        </w:tc>
        <w:tc>
          <w:tcPr>
            <w:tcW w:w="1520" w:type="dxa"/>
            <w:tcBorders>
              <w:top w:val="nil"/>
              <w:left w:val="nil"/>
              <w:bottom w:val="nil"/>
              <w:right w:val="nil"/>
            </w:tcBorders>
          </w:tcPr>
          <w:p w14:paraId="14E40748" w14:textId="40110E47" w:rsidR="00CB179F" w:rsidRPr="00AE6FD3" w:rsidRDefault="00CB179F"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-0.0</w:t>
            </w:r>
            <w:r w:rsidR="0055624E" w:rsidRPr="00AE6FD3">
              <w:rPr>
                <w:rFonts w:ascii="Times New Roman" w:eastAsia="Times New Roman" w:hAnsi="Times New Roman" w:cs="Times New Roman"/>
                <w:sz w:val="20"/>
                <w:szCs w:val="20"/>
              </w:rPr>
              <w:t>79</w:t>
            </w:r>
            <w:r w:rsidRPr="00AE6FD3">
              <w:rPr>
                <w:rFonts w:ascii="Times New Roman" w:eastAsia="Times New Roman" w:hAnsi="Times New Roman" w:cs="Times New Roman"/>
                <w:sz w:val="20"/>
                <w:szCs w:val="20"/>
              </w:rPr>
              <w:t>(.0</w:t>
            </w:r>
            <w:r w:rsidR="0055624E" w:rsidRPr="00AE6FD3">
              <w:rPr>
                <w:rFonts w:ascii="Times New Roman" w:eastAsia="Times New Roman" w:hAnsi="Times New Roman" w:cs="Times New Roman"/>
                <w:sz w:val="20"/>
                <w:szCs w:val="20"/>
              </w:rPr>
              <w:t>00</w:t>
            </w:r>
            <w:r w:rsidRPr="00AE6FD3">
              <w:rPr>
                <w:rFonts w:ascii="Times New Roman" w:eastAsia="Times New Roman" w:hAnsi="Times New Roman" w:cs="Times New Roman"/>
                <w:sz w:val="20"/>
                <w:szCs w:val="20"/>
              </w:rPr>
              <w:t>)</w:t>
            </w:r>
            <w:r w:rsidRPr="00AE6FD3">
              <w:rPr>
                <w:rFonts w:ascii="Times New Roman" w:eastAsia="Times New Roman" w:hAnsi="Times New Roman" w:cs="Times New Roman"/>
                <w:sz w:val="20"/>
                <w:szCs w:val="20"/>
                <w:vertAlign w:val="superscript"/>
              </w:rPr>
              <w:t>*</w:t>
            </w:r>
            <w:r w:rsidR="0055624E" w:rsidRPr="00AE6FD3">
              <w:rPr>
                <w:rFonts w:ascii="Times New Roman" w:eastAsia="Times New Roman" w:hAnsi="Times New Roman" w:cs="Times New Roman"/>
                <w:sz w:val="20"/>
                <w:szCs w:val="20"/>
                <w:vertAlign w:val="superscript"/>
              </w:rPr>
              <w:t>**</w:t>
            </w:r>
          </w:p>
        </w:tc>
        <w:tc>
          <w:tcPr>
            <w:tcW w:w="1412" w:type="dxa"/>
            <w:tcBorders>
              <w:top w:val="nil"/>
              <w:left w:val="nil"/>
              <w:bottom w:val="nil"/>
              <w:right w:val="nil"/>
            </w:tcBorders>
          </w:tcPr>
          <w:p w14:paraId="0AF807F6" w14:textId="3C7AA82F" w:rsidR="00CB179F" w:rsidRPr="00AE6FD3" w:rsidRDefault="00CB179F"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-0.0</w:t>
            </w:r>
            <w:r w:rsidR="00676321" w:rsidRPr="00AE6FD3">
              <w:rPr>
                <w:rFonts w:ascii="Times New Roman" w:eastAsia="Times New Roman" w:hAnsi="Times New Roman" w:cs="Times New Roman"/>
                <w:sz w:val="20"/>
                <w:szCs w:val="20"/>
              </w:rPr>
              <w:t>82</w:t>
            </w:r>
            <w:r w:rsidRPr="00AE6FD3">
              <w:rPr>
                <w:rFonts w:ascii="Times New Roman" w:eastAsia="Times New Roman" w:hAnsi="Times New Roman" w:cs="Times New Roman"/>
                <w:sz w:val="20"/>
                <w:szCs w:val="20"/>
              </w:rPr>
              <w:t>(.0</w:t>
            </w:r>
            <w:r w:rsidR="00676321" w:rsidRPr="00AE6FD3">
              <w:rPr>
                <w:rFonts w:ascii="Times New Roman" w:eastAsia="Times New Roman" w:hAnsi="Times New Roman" w:cs="Times New Roman"/>
                <w:sz w:val="20"/>
                <w:szCs w:val="20"/>
              </w:rPr>
              <w:t>00</w:t>
            </w:r>
            <w:r w:rsidRPr="00AE6FD3">
              <w:rPr>
                <w:rFonts w:ascii="Times New Roman" w:eastAsia="Times New Roman" w:hAnsi="Times New Roman" w:cs="Times New Roman"/>
                <w:sz w:val="20"/>
                <w:szCs w:val="20"/>
              </w:rPr>
              <w:t>)</w:t>
            </w:r>
            <w:r w:rsidRPr="00AE6FD3">
              <w:rPr>
                <w:rFonts w:ascii="Times New Roman" w:eastAsia="Times New Roman" w:hAnsi="Times New Roman" w:cs="Times New Roman"/>
                <w:sz w:val="20"/>
                <w:szCs w:val="20"/>
                <w:vertAlign w:val="superscript"/>
              </w:rPr>
              <w:t>**</w:t>
            </w:r>
            <w:r w:rsidR="00676321" w:rsidRPr="00AE6FD3">
              <w:rPr>
                <w:rFonts w:ascii="Times New Roman" w:eastAsia="Times New Roman" w:hAnsi="Times New Roman" w:cs="Times New Roman"/>
                <w:sz w:val="20"/>
                <w:szCs w:val="20"/>
                <w:vertAlign w:val="superscript"/>
              </w:rPr>
              <w:t>*</w:t>
            </w:r>
          </w:p>
        </w:tc>
        <w:tc>
          <w:tcPr>
            <w:tcW w:w="1520" w:type="dxa"/>
            <w:tcBorders>
              <w:top w:val="nil"/>
              <w:left w:val="nil"/>
              <w:bottom w:val="nil"/>
              <w:right w:val="nil"/>
            </w:tcBorders>
          </w:tcPr>
          <w:p w14:paraId="685621AF" w14:textId="3C12520F" w:rsidR="00CB179F" w:rsidRPr="00AE6FD3" w:rsidRDefault="00CB179F"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-0.0</w:t>
            </w:r>
            <w:r w:rsidR="000C19E2" w:rsidRPr="00AE6FD3">
              <w:rPr>
                <w:rFonts w:ascii="Times New Roman" w:eastAsia="Times New Roman" w:hAnsi="Times New Roman" w:cs="Times New Roman"/>
                <w:sz w:val="20"/>
                <w:szCs w:val="20"/>
              </w:rPr>
              <w:t>78</w:t>
            </w:r>
            <w:r w:rsidRPr="00AE6FD3">
              <w:rPr>
                <w:rFonts w:ascii="Times New Roman" w:eastAsia="Times New Roman" w:hAnsi="Times New Roman" w:cs="Times New Roman"/>
                <w:sz w:val="20"/>
                <w:szCs w:val="20"/>
              </w:rPr>
              <w:t>(.0</w:t>
            </w:r>
            <w:r w:rsidR="000C19E2" w:rsidRPr="00AE6FD3">
              <w:rPr>
                <w:rFonts w:ascii="Times New Roman" w:eastAsia="Times New Roman" w:hAnsi="Times New Roman" w:cs="Times New Roman"/>
                <w:sz w:val="20"/>
                <w:szCs w:val="20"/>
              </w:rPr>
              <w:t>00</w:t>
            </w:r>
            <w:r w:rsidRPr="00AE6FD3">
              <w:rPr>
                <w:rFonts w:ascii="Times New Roman" w:eastAsia="Times New Roman" w:hAnsi="Times New Roman" w:cs="Times New Roman"/>
                <w:sz w:val="20"/>
                <w:szCs w:val="20"/>
              </w:rPr>
              <w:t>)</w:t>
            </w:r>
            <w:r w:rsidR="000C19E2" w:rsidRPr="00AE6FD3">
              <w:rPr>
                <w:rFonts w:ascii="Times New Roman" w:eastAsia="Times New Roman" w:hAnsi="Times New Roman" w:cs="Times New Roman"/>
                <w:sz w:val="20"/>
                <w:szCs w:val="20"/>
                <w:vertAlign w:val="superscript"/>
              </w:rPr>
              <w:t>***</w:t>
            </w:r>
          </w:p>
        </w:tc>
        <w:tc>
          <w:tcPr>
            <w:tcW w:w="1475" w:type="dxa"/>
            <w:tcBorders>
              <w:top w:val="nil"/>
              <w:left w:val="nil"/>
              <w:bottom w:val="nil"/>
              <w:right w:val="nil"/>
            </w:tcBorders>
          </w:tcPr>
          <w:p w14:paraId="4B57350E" w14:textId="3C751446" w:rsidR="00CB179F" w:rsidRPr="00AE6FD3" w:rsidRDefault="00CB179F"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w:t>
            </w:r>
            <w:r w:rsidR="00E35784" w:rsidRPr="00AE6FD3">
              <w:rPr>
                <w:rFonts w:ascii="Times New Roman" w:eastAsia="Times New Roman" w:hAnsi="Times New Roman" w:cs="Times New Roman"/>
                <w:sz w:val="20"/>
                <w:szCs w:val="20"/>
              </w:rPr>
              <w:t>093</w:t>
            </w:r>
            <w:r w:rsidRPr="00AE6FD3">
              <w:rPr>
                <w:rFonts w:ascii="Times New Roman" w:eastAsia="Times New Roman" w:hAnsi="Times New Roman" w:cs="Times New Roman"/>
                <w:sz w:val="20"/>
                <w:szCs w:val="20"/>
              </w:rPr>
              <w:t>(.</w:t>
            </w:r>
            <w:r w:rsidR="00E35784" w:rsidRPr="00AE6FD3">
              <w:rPr>
                <w:rFonts w:ascii="Times New Roman" w:eastAsia="Times New Roman" w:hAnsi="Times New Roman" w:cs="Times New Roman"/>
                <w:sz w:val="20"/>
                <w:szCs w:val="20"/>
              </w:rPr>
              <w:t>026</w:t>
            </w:r>
            <w:r w:rsidRPr="00AE6FD3">
              <w:rPr>
                <w:rFonts w:ascii="Times New Roman" w:eastAsia="Times New Roman" w:hAnsi="Times New Roman" w:cs="Times New Roman"/>
                <w:sz w:val="20"/>
                <w:szCs w:val="20"/>
              </w:rPr>
              <w:t>)</w:t>
            </w:r>
            <w:r w:rsidR="00E35784" w:rsidRPr="00AE6FD3">
              <w:rPr>
                <w:rFonts w:ascii="Times New Roman" w:eastAsia="Times New Roman" w:hAnsi="Times New Roman" w:cs="Times New Roman"/>
                <w:sz w:val="20"/>
                <w:szCs w:val="20"/>
                <w:vertAlign w:val="superscript"/>
              </w:rPr>
              <w:t>**</w:t>
            </w:r>
          </w:p>
        </w:tc>
        <w:tc>
          <w:tcPr>
            <w:tcW w:w="1488" w:type="dxa"/>
            <w:tcBorders>
              <w:top w:val="nil"/>
              <w:left w:val="nil"/>
              <w:bottom w:val="nil"/>
              <w:right w:val="nil"/>
            </w:tcBorders>
          </w:tcPr>
          <w:p w14:paraId="6B9B24F0" w14:textId="69362EB1" w:rsidR="00CB179F" w:rsidRPr="00AE6FD3" w:rsidRDefault="00F75B82"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-0.128</w:t>
            </w:r>
            <w:r w:rsidR="00CB179F" w:rsidRPr="00AE6FD3">
              <w:rPr>
                <w:rFonts w:ascii="Times New Roman" w:eastAsia="Times New Roman" w:hAnsi="Times New Roman" w:cs="Times New Roman"/>
                <w:sz w:val="20"/>
                <w:szCs w:val="20"/>
              </w:rPr>
              <w:t>(.00</w:t>
            </w:r>
            <w:r w:rsidRPr="00AE6FD3">
              <w:rPr>
                <w:rFonts w:ascii="Times New Roman" w:eastAsia="Times New Roman" w:hAnsi="Times New Roman" w:cs="Times New Roman"/>
                <w:sz w:val="20"/>
                <w:szCs w:val="20"/>
              </w:rPr>
              <w:t>0</w:t>
            </w:r>
            <w:r w:rsidR="00CB179F" w:rsidRPr="00AE6FD3">
              <w:rPr>
                <w:rFonts w:ascii="Times New Roman" w:eastAsia="Times New Roman" w:hAnsi="Times New Roman" w:cs="Times New Roman"/>
                <w:sz w:val="20"/>
                <w:szCs w:val="20"/>
              </w:rPr>
              <w:t>)</w:t>
            </w:r>
            <w:r w:rsidR="00CB179F" w:rsidRPr="00AE6FD3">
              <w:rPr>
                <w:rFonts w:ascii="Times New Roman" w:eastAsia="Times New Roman" w:hAnsi="Times New Roman" w:cs="Times New Roman"/>
                <w:sz w:val="20"/>
                <w:szCs w:val="20"/>
                <w:vertAlign w:val="superscript"/>
              </w:rPr>
              <w:t>***</w:t>
            </w:r>
          </w:p>
        </w:tc>
      </w:tr>
      <w:tr w:rsidR="00CB179F" w:rsidRPr="00AE6FD3" w14:paraId="3C715D38" w14:textId="77777777" w:rsidTr="00356ADA">
        <w:trPr>
          <w:trHeight w:val="87"/>
        </w:trPr>
        <w:tc>
          <w:tcPr>
            <w:tcW w:w="1657" w:type="dxa"/>
            <w:tcBorders>
              <w:top w:val="nil"/>
              <w:left w:val="nil"/>
              <w:bottom w:val="nil"/>
              <w:right w:val="nil"/>
            </w:tcBorders>
          </w:tcPr>
          <w:p w14:paraId="1FD690FA" w14:textId="1D263FB5" w:rsidR="00CB179F" w:rsidRPr="00AE6FD3" w:rsidRDefault="007E539E" w:rsidP="00356ADA">
            <w:pPr>
              <w:spacing w:after="0"/>
              <w:ind w:left="175"/>
              <w:rPr>
                <w:rFonts w:ascii="Times New Roman" w:eastAsia="Times New Roman" w:hAnsi="Times New Roman" w:cs="Times New Roman"/>
                <w:sz w:val="20"/>
                <w:szCs w:val="20"/>
              </w:rPr>
            </w:pPr>
            <w:r>
              <w:rPr>
                <w:rFonts w:ascii="Times New Roman" w:eastAsia="Times New Roman" w:hAnsi="Times New Roman" w:cs="Times New Roman"/>
                <w:sz w:val="20"/>
                <w:szCs w:val="20"/>
              </w:rPr>
              <w:t>F</w:t>
            </w:r>
            <w:r w:rsidR="00CB179F" w:rsidRPr="00AE6FD3">
              <w:rPr>
                <w:rFonts w:ascii="Times New Roman" w:eastAsia="Times New Roman" w:hAnsi="Times New Roman" w:cs="Times New Roman"/>
                <w:sz w:val="20"/>
                <w:szCs w:val="20"/>
              </w:rPr>
              <w:t>R</w:t>
            </w:r>
            <w:r>
              <w:rPr>
                <w:rFonts w:ascii="Times New Roman" w:eastAsia="Times New Roman" w:hAnsi="Times New Roman" w:cs="Times New Roman"/>
                <w:sz w:val="20"/>
                <w:szCs w:val="20"/>
              </w:rPr>
              <w:t>I</w:t>
            </w:r>
            <w:r w:rsidR="00CB179F" w:rsidRPr="00AE6FD3">
              <w:rPr>
                <w:rFonts w:ascii="Times New Roman" w:eastAsia="Times New Roman" w:hAnsi="Times New Roman" w:cs="Times New Roman"/>
                <w:sz w:val="20"/>
                <w:szCs w:val="20"/>
              </w:rPr>
              <w:t>SK</w:t>
            </w:r>
          </w:p>
        </w:tc>
        <w:tc>
          <w:tcPr>
            <w:tcW w:w="1520" w:type="dxa"/>
            <w:tcBorders>
              <w:top w:val="nil"/>
              <w:left w:val="nil"/>
              <w:bottom w:val="nil"/>
              <w:right w:val="nil"/>
            </w:tcBorders>
          </w:tcPr>
          <w:p w14:paraId="05847E6C" w14:textId="400B00CF" w:rsidR="00CB179F" w:rsidRPr="00AE6FD3" w:rsidRDefault="00CB179F" w:rsidP="00356ADA">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0.0</w:t>
            </w:r>
            <w:r w:rsidR="0055624E" w:rsidRPr="00AE6FD3">
              <w:rPr>
                <w:rFonts w:ascii="Times New Roman" w:eastAsia="Times New Roman" w:hAnsi="Times New Roman" w:cs="Times New Roman"/>
                <w:sz w:val="20"/>
                <w:szCs w:val="20"/>
              </w:rPr>
              <w:t>59</w:t>
            </w:r>
            <w:r w:rsidRPr="00AE6FD3">
              <w:rPr>
                <w:rFonts w:ascii="Times New Roman" w:eastAsia="Times New Roman" w:hAnsi="Times New Roman" w:cs="Times New Roman"/>
                <w:sz w:val="20"/>
                <w:szCs w:val="20"/>
              </w:rPr>
              <w:t>(.</w:t>
            </w:r>
            <w:r w:rsidR="0055624E" w:rsidRPr="00AE6FD3">
              <w:rPr>
                <w:rFonts w:ascii="Times New Roman" w:eastAsia="Times New Roman" w:hAnsi="Times New Roman" w:cs="Times New Roman"/>
                <w:sz w:val="20"/>
                <w:szCs w:val="20"/>
              </w:rPr>
              <w:t>627</w:t>
            </w:r>
            <w:r w:rsidRPr="00AE6FD3">
              <w:rPr>
                <w:rFonts w:ascii="Times New Roman" w:eastAsia="Times New Roman" w:hAnsi="Times New Roman" w:cs="Times New Roman"/>
                <w:sz w:val="20"/>
                <w:szCs w:val="20"/>
              </w:rPr>
              <w:t>)</w:t>
            </w:r>
          </w:p>
        </w:tc>
        <w:tc>
          <w:tcPr>
            <w:tcW w:w="1412" w:type="dxa"/>
            <w:tcBorders>
              <w:top w:val="nil"/>
              <w:left w:val="nil"/>
              <w:bottom w:val="nil"/>
              <w:right w:val="nil"/>
            </w:tcBorders>
          </w:tcPr>
          <w:p w14:paraId="46F2A02B" w14:textId="185ABF7D" w:rsidR="00CB179F" w:rsidRPr="00AE6FD3" w:rsidRDefault="00676321" w:rsidP="00356ADA">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0.033</w:t>
            </w:r>
            <w:r w:rsidR="00CB179F" w:rsidRPr="00AE6FD3">
              <w:rPr>
                <w:rFonts w:ascii="Times New Roman" w:eastAsia="Times New Roman" w:hAnsi="Times New Roman" w:cs="Times New Roman"/>
                <w:sz w:val="20"/>
                <w:szCs w:val="20"/>
              </w:rPr>
              <w:t>(.</w:t>
            </w:r>
            <w:r w:rsidRPr="00AE6FD3">
              <w:rPr>
                <w:rFonts w:ascii="Times New Roman" w:eastAsia="Times New Roman" w:hAnsi="Times New Roman" w:cs="Times New Roman"/>
                <w:sz w:val="20"/>
                <w:szCs w:val="20"/>
              </w:rPr>
              <w:t>791</w:t>
            </w:r>
            <w:r w:rsidR="00CB179F" w:rsidRPr="00AE6FD3">
              <w:rPr>
                <w:rFonts w:ascii="Times New Roman" w:eastAsia="Times New Roman" w:hAnsi="Times New Roman" w:cs="Times New Roman"/>
                <w:sz w:val="20"/>
                <w:szCs w:val="20"/>
              </w:rPr>
              <w:t>)</w:t>
            </w:r>
          </w:p>
        </w:tc>
        <w:tc>
          <w:tcPr>
            <w:tcW w:w="1520" w:type="dxa"/>
            <w:tcBorders>
              <w:top w:val="nil"/>
              <w:left w:val="nil"/>
              <w:bottom w:val="nil"/>
              <w:right w:val="nil"/>
            </w:tcBorders>
          </w:tcPr>
          <w:p w14:paraId="64F76E88" w14:textId="55A51301" w:rsidR="00CB179F" w:rsidRPr="00AE6FD3" w:rsidRDefault="00CB179F" w:rsidP="00356ADA">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0.0</w:t>
            </w:r>
            <w:r w:rsidR="000C19E2" w:rsidRPr="00AE6FD3">
              <w:rPr>
                <w:rFonts w:ascii="Times New Roman" w:eastAsia="Times New Roman" w:hAnsi="Times New Roman" w:cs="Times New Roman"/>
                <w:sz w:val="20"/>
                <w:szCs w:val="20"/>
              </w:rPr>
              <w:t>41</w:t>
            </w:r>
            <w:r w:rsidRPr="00AE6FD3">
              <w:rPr>
                <w:rFonts w:ascii="Times New Roman" w:eastAsia="Times New Roman" w:hAnsi="Times New Roman" w:cs="Times New Roman"/>
                <w:sz w:val="20"/>
                <w:szCs w:val="20"/>
              </w:rPr>
              <w:t>(.</w:t>
            </w:r>
            <w:r w:rsidR="000C19E2" w:rsidRPr="00AE6FD3">
              <w:rPr>
                <w:rFonts w:ascii="Times New Roman" w:eastAsia="Times New Roman" w:hAnsi="Times New Roman" w:cs="Times New Roman"/>
                <w:sz w:val="20"/>
                <w:szCs w:val="20"/>
              </w:rPr>
              <w:t>744</w:t>
            </w:r>
            <w:r w:rsidRPr="00AE6FD3">
              <w:rPr>
                <w:rFonts w:ascii="Times New Roman" w:eastAsia="Times New Roman" w:hAnsi="Times New Roman" w:cs="Times New Roman"/>
                <w:sz w:val="20"/>
                <w:szCs w:val="20"/>
              </w:rPr>
              <w:t>)</w:t>
            </w:r>
          </w:p>
        </w:tc>
        <w:tc>
          <w:tcPr>
            <w:tcW w:w="1475" w:type="dxa"/>
            <w:tcBorders>
              <w:top w:val="nil"/>
              <w:left w:val="nil"/>
              <w:bottom w:val="nil"/>
              <w:right w:val="nil"/>
            </w:tcBorders>
          </w:tcPr>
          <w:p w14:paraId="03583A3E" w14:textId="44A42B10" w:rsidR="00CB179F" w:rsidRPr="00AE6FD3" w:rsidRDefault="00E35784"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-0.096</w:t>
            </w:r>
            <w:r w:rsidR="00CB179F" w:rsidRPr="00AE6FD3">
              <w:rPr>
                <w:rFonts w:ascii="Times New Roman" w:eastAsia="Times New Roman" w:hAnsi="Times New Roman" w:cs="Times New Roman"/>
                <w:sz w:val="20"/>
                <w:szCs w:val="20"/>
              </w:rPr>
              <w:t>(.</w:t>
            </w:r>
            <w:r w:rsidRPr="00AE6FD3">
              <w:rPr>
                <w:rFonts w:ascii="Times New Roman" w:eastAsia="Times New Roman" w:hAnsi="Times New Roman" w:cs="Times New Roman"/>
                <w:sz w:val="20"/>
                <w:szCs w:val="20"/>
              </w:rPr>
              <w:t>658</w:t>
            </w:r>
            <w:r w:rsidR="00CB179F" w:rsidRPr="00AE6FD3">
              <w:rPr>
                <w:rFonts w:ascii="Times New Roman" w:eastAsia="Times New Roman" w:hAnsi="Times New Roman" w:cs="Times New Roman"/>
                <w:sz w:val="20"/>
                <w:szCs w:val="20"/>
              </w:rPr>
              <w:t>)</w:t>
            </w:r>
          </w:p>
        </w:tc>
        <w:tc>
          <w:tcPr>
            <w:tcW w:w="1488" w:type="dxa"/>
            <w:tcBorders>
              <w:top w:val="nil"/>
              <w:left w:val="nil"/>
              <w:bottom w:val="nil"/>
              <w:right w:val="nil"/>
            </w:tcBorders>
          </w:tcPr>
          <w:p w14:paraId="6ABF000A" w14:textId="06E28E80" w:rsidR="00CB179F" w:rsidRPr="00AE6FD3" w:rsidRDefault="00F75B82" w:rsidP="00356ADA">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0.180</w:t>
            </w:r>
            <w:r w:rsidR="00CB179F" w:rsidRPr="00AE6FD3">
              <w:rPr>
                <w:rFonts w:ascii="Times New Roman" w:eastAsia="Times New Roman" w:hAnsi="Times New Roman" w:cs="Times New Roman"/>
                <w:sz w:val="20"/>
                <w:szCs w:val="20"/>
              </w:rPr>
              <w:t>(.</w:t>
            </w:r>
            <w:r w:rsidRPr="00AE6FD3">
              <w:rPr>
                <w:rFonts w:ascii="Times New Roman" w:eastAsia="Times New Roman" w:hAnsi="Times New Roman" w:cs="Times New Roman"/>
                <w:sz w:val="20"/>
                <w:szCs w:val="20"/>
              </w:rPr>
              <w:t>199</w:t>
            </w:r>
            <w:r w:rsidR="00CB179F" w:rsidRPr="00AE6FD3">
              <w:rPr>
                <w:rFonts w:ascii="Times New Roman" w:eastAsia="Times New Roman" w:hAnsi="Times New Roman" w:cs="Times New Roman"/>
                <w:sz w:val="20"/>
                <w:szCs w:val="20"/>
              </w:rPr>
              <w:t>)</w:t>
            </w:r>
          </w:p>
        </w:tc>
      </w:tr>
      <w:tr w:rsidR="00CB179F" w:rsidRPr="00AE6FD3" w14:paraId="1068A17D" w14:textId="77777777" w:rsidTr="00356ADA">
        <w:tc>
          <w:tcPr>
            <w:tcW w:w="1657" w:type="dxa"/>
            <w:tcBorders>
              <w:top w:val="nil"/>
              <w:left w:val="nil"/>
              <w:bottom w:val="nil"/>
              <w:right w:val="nil"/>
            </w:tcBorders>
          </w:tcPr>
          <w:p w14:paraId="64120229" w14:textId="73FEDC5E" w:rsidR="00CB179F" w:rsidRPr="00AE6FD3" w:rsidRDefault="00CB179F" w:rsidP="00356ADA">
            <w:pPr>
              <w:spacing w:after="0"/>
              <w:ind w:left="175"/>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AF</w:t>
            </w:r>
            <w:r w:rsidR="007E539E">
              <w:rPr>
                <w:rFonts w:ascii="Times New Roman" w:eastAsia="Times New Roman" w:hAnsi="Times New Roman" w:cs="Times New Roman"/>
                <w:sz w:val="20"/>
                <w:szCs w:val="20"/>
              </w:rPr>
              <w:t>SZE</w:t>
            </w:r>
          </w:p>
        </w:tc>
        <w:tc>
          <w:tcPr>
            <w:tcW w:w="1520" w:type="dxa"/>
            <w:tcBorders>
              <w:top w:val="nil"/>
              <w:left w:val="nil"/>
              <w:bottom w:val="nil"/>
              <w:right w:val="nil"/>
            </w:tcBorders>
          </w:tcPr>
          <w:p w14:paraId="21E9D06A" w14:textId="2E05E2E4" w:rsidR="00CB179F" w:rsidRPr="00AE6FD3" w:rsidRDefault="00CB179F"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-0.0</w:t>
            </w:r>
            <w:r w:rsidR="0055624E" w:rsidRPr="00AE6FD3">
              <w:rPr>
                <w:rFonts w:ascii="Times New Roman" w:eastAsia="Times New Roman" w:hAnsi="Times New Roman" w:cs="Times New Roman"/>
                <w:sz w:val="20"/>
                <w:szCs w:val="20"/>
              </w:rPr>
              <w:t>27</w:t>
            </w:r>
            <w:r w:rsidRPr="00AE6FD3">
              <w:rPr>
                <w:rFonts w:ascii="Times New Roman" w:eastAsia="Times New Roman" w:hAnsi="Times New Roman" w:cs="Times New Roman"/>
                <w:sz w:val="20"/>
                <w:szCs w:val="20"/>
              </w:rPr>
              <w:t>(.000)</w:t>
            </w:r>
            <w:r w:rsidRPr="00AE6FD3">
              <w:rPr>
                <w:rFonts w:ascii="Times New Roman" w:eastAsia="Times New Roman" w:hAnsi="Times New Roman" w:cs="Times New Roman"/>
                <w:sz w:val="20"/>
                <w:szCs w:val="20"/>
                <w:vertAlign w:val="superscript"/>
              </w:rPr>
              <w:t>***</w:t>
            </w:r>
          </w:p>
        </w:tc>
        <w:tc>
          <w:tcPr>
            <w:tcW w:w="1412" w:type="dxa"/>
            <w:tcBorders>
              <w:top w:val="nil"/>
              <w:left w:val="nil"/>
              <w:bottom w:val="nil"/>
              <w:right w:val="nil"/>
            </w:tcBorders>
          </w:tcPr>
          <w:p w14:paraId="21ED2D1B" w14:textId="253B446D" w:rsidR="00CB179F" w:rsidRPr="00AE6FD3" w:rsidRDefault="00CB179F"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-0.0</w:t>
            </w:r>
            <w:r w:rsidR="00676321" w:rsidRPr="00AE6FD3">
              <w:rPr>
                <w:rFonts w:ascii="Times New Roman" w:eastAsia="Times New Roman" w:hAnsi="Times New Roman" w:cs="Times New Roman"/>
                <w:sz w:val="20"/>
                <w:szCs w:val="20"/>
              </w:rPr>
              <w:t>20</w:t>
            </w:r>
            <w:r w:rsidRPr="00AE6FD3">
              <w:rPr>
                <w:rFonts w:ascii="Times New Roman" w:eastAsia="Times New Roman" w:hAnsi="Times New Roman" w:cs="Times New Roman"/>
                <w:sz w:val="20"/>
                <w:szCs w:val="20"/>
              </w:rPr>
              <w:t>(.000)</w:t>
            </w:r>
            <w:r w:rsidRPr="00AE6FD3">
              <w:rPr>
                <w:rFonts w:ascii="Times New Roman" w:eastAsia="Times New Roman" w:hAnsi="Times New Roman" w:cs="Times New Roman"/>
                <w:sz w:val="20"/>
                <w:szCs w:val="20"/>
                <w:vertAlign w:val="superscript"/>
              </w:rPr>
              <w:t>***</w:t>
            </w:r>
          </w:p>
        </w:tc>
        <w:tc>
          <w:tcPr>
            <w:tcW w:w="1520" w:type="dxa"/>
            <w:tcBorders>
              <w:top w:val="nil"/>
              <w:left w:val="nil"/>
              <w:bottom w:val="nil"/>
              <w:right w:val="nil"/>
            </w:tcBorders>
          </w:tcPr>
          <w:p w14:paraId="22E819EF" w14:textId="28461657" w:rsidR="00CB179F" w:rsidRPr="00AE6FD3" w:rsidRDefault="000C19E2"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-0.022</w:t>
            </w:r>
            <w:r w:rsidR="00CB179F" w:rsidRPr="00AE6FD3">
              <w:rPr>
                <w:rFonts w:ascii="Times New Roman" w:eastAsia="Times New Roman" w:hAnsi="Times New Roman" w:cs="Times New Roman"/>
                <w:sz w:val="20"/>
                <w:szCs w:val="20"/>
              </w:rPr>
              <w:t>(.000)</w:t>
            </w:r>
            <w:r w:rsidR="00CB179F" w:rsidRPr="00AE6FD3">
              <w:rPr>
                <w:rFonts w:ascii="Times New Roman" w:eastAsia="Times New Roman" w:hAnsi="Times New Roman" w:cs="Times New Roman"/>
                <w:sz w:val="20"/>
                <w:szCs w:val="20"/>
                <w:vertAlign w:val="superscript"/>
              </w:rPr>
              <w:t>***</w:t>
            </w:r>
          </w:p>
        </w:tc>
        <w:tc>
          <w:tcPr>
            <w:tcW w:w="1475" w:type="dxa"/>
            <w:tcBorders>
              <w:top w:val="nil"/>
              <w:left w:val="nil"/>
              <w:bottom w:val="nil"/>
              <w:right w:val="nil"/>
            </w:tcBorders>
          </w:tcPr>
          <w:p w14:paraId="3D37B759" w14:textId="320B0213" w:rsidR="00CB179F" w:rsidRPr="00AE6FD3" w:rsidRDefault="00E35784"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-0.022</w:t>
            </w:r>
            <w:r w:rsidR="00CB179F" w:rsidRPr="00AE6FD3">
              <w:rPr>
                <w:rFonts w:ascii="Times New Roman" w:eastAsia="Times New Roman" w:hAnsi="Times New Roman" w:cs="Times New Roman"/>
                <w:sz w:val="20"/>
                <w:szCs w:val="20"/>
              </w:rPr>
              <w:t>(.</w:t>
            </w:r>
            <w:r w:rsidRPr="00AE6FD3">
              <w:rPr>
                <w:rFonts w:ascii="Times New Roman" w:eastAsia="Times New Roman" w:hAnsi="Times New Roman" w:cs="Times New Roman"/>
                <w:sz w:val="20"/>
                <w:szCs w:val="20"/>
              </w:rPr>
              <w:t>032</w:t>
            </w:r>
            <w:r w:rsidR="00CB179F" w:rsidRPr="00AE6FD3">
              <w:rPr>
                <w:rFonts w:ascii="Times New Roman" w:eastAsia="Times New Roman" w:hAnsi="Times New Roman" w:cs="Times New Roman"/>
                <w:sz w:val="20"/>
                <w:szCs w:val="20"/>
              </w:rPr>
              <w:t>)</w:t>
            </w:r>
            <w:r w:rsidRPr="00AE6FD3">
              <w:rPr>
                <w:rFonts w:ascii="Times New Roman" w:eastAsia="Times New Roman" w:hAnsi="Times New Roman" w:cs="Times New Roman"/>
                <w:sz w:val="20"/>
                <w:szCs w:val="20"/>
                <w:vertAlign w:val="superscript"/>
              </w:rPr>
              <w:t>**</w:t>
            </w:r>
          </w:p>
        </w:tc>
        <w:tc>
          <w:tcPr>
            <w:tcW w:w="1488" w:type="dxa"/>
            <w:tcBorders>
              <w:top w:val="nil"/>
              <w:left w:val="nil"/>
              <w:bottom w:val="nil"/>
              <w:right w:val="nil"/>
            </w:tcBorders>
          </w:tcPr>
          <w:p w14:paraId="1D819CCA" w14:textId="570B9759" w:rsidR="00CB179F" w:rsidRPr="00AE6FD3" w:rsidRDefault="00F75B82"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-0.021</w:t>
            </w:r>
            <w:r w:rsidR="00CB179F" w:rsidRPr="00AE6FD3">
              <w:rPr>
                <w:rFonts w:ascii="Times New Roman" w:eastAsia="Times New Roman" w:hAnsi="Times New Roman" w:cs="Times New Roman"/>
                <w:sz w:val="20"/>
                <w:szCs w:val="20"/>
              </w:rPr>
              <w:t>(.000)</w:t>
            </w:r>
            <w:r w:rsidR="00CB179F" w:rsidRPr="00AE6FD3">
              <w:rPr>
                <w:rFonts w:ascii="Times New Roman" w:eastAsia="Times New Roman" w:hAnsi="Times New Roman" w:cs="Times New Roman"/>
                <w:sz w:val="20"/>
                <w:szCs w:val="20"/>
                <w:vertAlign w:val="superscript"/>
              </w:rPr>
              <w:t>***</w:t>
            </w:r>
          </w:p>
        </w:tc>
      </w:tr>
      <w:tr w:rsidR="00CB179F" w:rsidRPr="00AE6FD3" w14:paraId="75A431E9" w14:textId="77777777" w:rsidTr="00356ADA">
        <w:tc>
          <w:tcPr>
            <w:tcW w:w="1657" w:type="dxa"/>
            <w:tcBorders>
              <w:top w:val="nil"/>
              <w:left w:val="nil"/>
              <w:bottom w:val="nil"/>
              <w:right w:val="nil"/>
            </w:tcBorders>
          </w:tcPr>
          <w:p w14:paraId="1908036B" w14:textId="77777777" w:rsidR="00CB179F" w:rsidRPr="00AE6FD3" w:rsidRDefault="00CB179F" w:rsidP="00356ADA">
            <w:pPr>
              <w:spacing w:after="0"/>
              <w:ind w:left="175"/>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CEXP</w:t>
            </w:r>
          </w:p>
        </w:tc>
        <w:tc>
          <w:tcPr>
            <w:tcW w:w="1520" w:type="dxa"/>
            <w:tcBorders>
              <w:top w:val="nil"/>
              <w:left w:val="nil"/>
              <w:bottom w:val="nil"/>
              <w:right w:val="nil"/>
            </w:tcBorders>
          </w:tcPr>
          <w:p w14:paraId="6377CC87" w14:textId="355D344A" w:rsidR="00CB179F" w:rsidRPr="00AE6FD3" w:rsidRDefault="00CB179F"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w:t>
            </w:r>
            <w:r w:rsidR="0055624E" w:rsidRPr="00AE6FD3">
              <w:rPr>
                <w:rFonts w:ascii="Times New Roman" w:eastAsia="Times New Roman" w:hAnsi="Times New Roman" w:cs="Times New Roman"/>
                <w:sz w:val="20"/>
                <w:szCs w:val="20"/>
              </w:rPr>
              <w:t>045</w:t>
            </w:r>
            <w:r w:rsidRPr="00AE6FD3">
              <w:rPr>
                <w:rFonts w:ascii="Times New Roman" w:eastAsia="Times New Roman" w:hAnsi="Times New Roman" w:cs="Times New Roman"/>
                <w:sz w:val="20"/>
                <w:szCs w:val="20"/>
              </w:rPr>
              <w:t>(.000)</w:t>
            </w:r>
            <w:r w:rsidRPr="00AE6FD3">
              <w:rPr>
                <w:rFonts w:ascii="Times New Roman" w:eastAsia="Times New Roman" w:hAnsi="Times New Roman" w:cs="Times New Roman"/>
                <w:sz w:val="20"/>
                <w:szCs w:val="20"/>
                <w:vertAlign w:val="superscript"/>
              </w:rPr>
              <w:t>***</w:t>
            </w:r>
          </w:p>
        </w:tc>
        <w:tc>
          <w:tcPr>
            <w:tcW w:w="1412" w:type="dxa"/>
            <w:tcBorders>
              <w:top w:val="nil"/>
              <w:left w:val="nil"/>
              <w:bottom w:val="nil"/>
              <w:right w:val="nil"/>
            </w:tcBorders>
          </w:tcPr>
          <w:p w14:paraId="05EE3AC7" w14:textId="1F5E2C9F" w:rsidR="00CB179F" w:rsidRPr="00AE6FD3" w:rsidRDefault="00CB179F"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w:t>
            </w:r>
            <w:r w:rsidR="00676321" w:rsidRPr="00AE6FD3">
              <w:rPr>
                <w:rFonts w:ascii="Times New Roman" w:eastAsia="Times New Roman" w:hAnsi="Times New Roman" w:cs="Times New Roman"/>
                <w:sz w:val="20"/>
                <w:szCs w:val="20"/>
              </w:rPr>
              <w:t>043</w:t>
            </w:r>
            <w:r w:rsidRPr="00AE6FD3">
              <w:rPr>
                <w:rFonts w:ascii="Times New Roman" w:eastAsia="Times New Roman" w:hAnsi="Times New Roman" w:cs="Times New Roman"/>
                <w:sz w:val="20"/>
                <w:szCs w:val="20"/>
              </w:rPr>
              <w:t>(.000)</w:t>
            </w:r>
            <w:r w:rsidRPr="00AE6FD3">
              <w:rPr>
                <w:rFonts w:ascii="Times New Roman" w:eastAsia="Times New Roman" w:hAnsi="Times New Roman" w:cs="Times New Roman"/>
                <w:sz w:val="20"/>
                <w:szCs w:val="20"/>
                <w:vertAlign w:val="superscript"/>
              </w:rPr>
              <w:t>***</w:t>
            </w:r>
          </w:p>
        </w:tc>
        <w:tc>
          <w:tcPr>
            <w:tcW w:w="1520" w:type="dxa"/>
            <w:tcBorders>
              <w:top w:val="nil"/>
              <w:left w:val="nil"/>
              <w:bottom w:val="nil"/>
              <w:right w:val="nil"/>
            </w:tcBorders>
          </w:tcPr>
          <w:p w14:paraId="1F518EB4" w14:textId="662EC52C" w:rsidR="00CB179F" w:rsidRPr="00AE6FD3" w:rsidRDefault="00CB179F"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w:t>
            </w:r>
            <w:r w:rsidR="000C19E2" w:rsidRPr="00AE6FD3">
              <w:rPr>
                <w:rFonts w:ascii="Times New Roman" w:eastAsia="Times New Roman" w:hAnsi="Times New Roman" w:cs="Times New Roman"/>
                <w:sz w:val="20"/>
                <w:szCs w:val="20"/>
              </w:rPr>
              <w:t>043</w:t>
            </w:r>
            <w:r w:rsidRPr="00AE6FD3">
              <w:rPr>
                <w:rFonts w:ascii="Times New Roman" w:eastAsia="Times New Roman" w:hAnsi="Times New Roman" w:cs="Times New Roman"/>
                <w:sz w:val="20"/>
                <w:szCs w:val="20"/>
              </w:rPr>
              <w:t>(.000)</w:t>
            </w:r>
            <w:r w:rsidRPr="00AE6FD3">
              <w:rPr>
                <w:rFonts w:ascii="Times New Roman" w:eastAsia="Times New Roman" w:hAnsi="Times New Roman" w:cs="Times New Roman"/>
                <w:sz w:val="20"/>
                <w:szCs w:val="20"/>
                <w:vertAlign w:val="superscript"/>
              </w:rPr>
              <w:t>***</w:t>
            </w:r>
          </w:p>
        </w:tc>
        <w:tc>
          <w:tcPr>
            <w:tcW w:w="1475" w:type="dxa"/>
            <w:tcBorders>
              <w:top w:val="nil"/>
              <w:left w:val="nil"/>
              <w:bottom w:val="nil"/>
              <w:right w:val="nil"/>
            </w:tcBorders>
          </w:tcPr>
          <w:p w14:paraId="16DC61E4" w14:textId="45BE029A" w:rsidR="00CB179F" w:rsidRPr="00AE6FD3" w:rsidRDefault="00DA23F6"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-0.072</w:t>
            </w:r>
            <w:r w:rsidR="00CB179F" w:rsidRPr="00AE6FD3">
              <w:rPr>
                <w:rFonts w:ascii="Times New Roman" w:eastAsia="Times New Roman" w:hAnsi="Times New Roman" w:cs="Times New Roman"/>
                <w:sz w:val="20"/>
                <w:szCs w:val="20"/>
              </w:rPr>
              <w:t>(.</w:t>
            </w:r>
            <w:r w:rsidRPr="00AE6FD3">
              <w:rPr>
                <w:rFonts w:ascii="Times New Roman" w:eastAsia="Times New Roman" w:hAnsi="Times New Roman" w:cs="Times New Roman"/>
                <w:sz w:val="20"/>
                <w:szCs w:val="20"/>
              </w:rPr>
              <w:t>002</w:t>
            </w:r>
            <w:r w:rsidR="00CB179F" w:rsidRPr="00AE6FD3">
              <w:rPr>
                <w:rFonts w:ascii="Times New Roman" w:eastAsia="Times New Roman" w:hAnsi="Times New Roman" w:cs="Times New Roman"/>
                <w:sz w:val="20"/>
                <w:szCs w:val="20"/>
              </w:rPr>
              <w:t>)</w:t>
            </w:r>
            <w:r w:rsidRPr="00AE6FD3">
              <w:rPr>
                <w:rFonts w:ascii="Times New Roman" w:eastAsia="Times New Roman" w:hAnsi="Times New Roman" w:cs="Times New Roman"/>
                <w:sz w:val="20"/>
                <w:szCs w:val="20"/>
                <w:vertAlign w:val="superscript"/>
              </w:rPr>
              <w:t>***</w:t>
            </w:r>
          </w:p>
        </w:tc>
        <w:tc>
          <w:tcPr>
            <w:tcW w:w="1488" w:type="dxa"/>
            <w:tcBorders>
              <w:top w:val="nil"/>
              <w:left w:val="nil"/>
              <w:bottom w:val="nil"/>
              <w:right w:val="nil"/>
            </w:tcBorders>
          </w:tcPr>
          <w:p w14:paraId="1FA41AC8" w14:textId="580BDA54" w:rsidR="00CB179F" w:rsidRPr="00AE6FD3" w:rsidRDefault="00F75B82" w:rsidP="00356ADA">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-0.047(.</w:t>
            </w:r>
            <w:r w:rsidR="00CB179F" w:rsidRPr="00AE6FD3">
              <w:rPr>
                <w:rFonts w:ascii="Times New Roman" w:eastAsia="Times New Roman" w:hAnsi="Times New Roman" w:cs="Times New Roman"/>
                <w:sz w:val="20"/>
                <w:szCs w:val="20"/>
              </w:rPr>
              <w:t>000)</w:t>
            </w:r>
            <w:r w:rsidR="00CB179F" w:rsidRPr="00AE6FD3">
              <w:rPr>
                <w:rFonts w:ascii="Times New Roman" w:eastAsia="Times New Roman" w:hAnsi="Times New Roman" w:cs="Times New Roman"/>
                <w:sz w:val="20"/>
                <w:szCs w:val="20"/>
                <w:vertAlign w:val="superscript"/>
              </w:rPr>
              <w:t>***</w:t>
            </w:r>
          </w:p>
        </w:tc>
      </w:tr>
      <w:tr w:rsidR="0055624E" w:rsidRPr="00AE6FD3" w14:paraId="7F374B31" w14:textId="77777777" w:rsidTr="00356ADA">
        <w:tc>
          <w:tcPr>
            <w:tcW w:w="1657" w:type="dxa"/>
            <w:tcBorders>
              <w:top w:val="nil"/>
              <w:left w:val="nil"/>
              <w:bottom w:val="nil"/>
              <w:right w:val="nil"/>
            </w:tcBorders>
          </w:tcPr>
          <w:p w14:paraId="1173E0B7" w14:textId="414B4045" w:rsidR="0055624E" w:rsidRPr="00AE6FD3" w:rsidRDefault="00236B90" w:rsidP="0055624E">
            <w:pPr>
              <w:spacing w:after="0"/>
              <w:rPr>
                <w:rFonts w:ascii="Times New Roman" w:eastAsia="SimSun" w:hAnsi="Times New Roman" w:cs="Times New Roman"/>
                <w:sz w:val="20"/>
                <w:szCs w:val="20"/>
                <w:lang w:val="en-US"/>
              </w:rPr>
            </w:pPr>
            <w:r>
              <w:rPr>
                <w:rFonts w:ascii="Times New Roman" w:eastAsia="SimSun" w:hAnsi="Times New Roman" w:cs="Times New Roman"/>
                <w:sz w:val="18"/>
                <w:szCs w:val="18"/>
                <w:lang w:val="en-US"/>
              </w:rPr>
              <w:t xml:space="preserve">    YEARD</w:t>
            </w:r>
          </w:p>
        </w:tc>
        <w:tc>
          <w:tcPr>
            <w:tcW w:w="1520" w:type="dxa"/>
            <w:tcBorders>
              <w:top w:val="nil"/>
              <w:left w:val="nil"/>
              <w:bottom w:val="nil"/>
              <w:right w:val="nil"/>
            </w:tcBorders>
          </w:tcPr>
          <w:p w14:paraId="25807FA9" w14:textId="698C22BB" w:rsidR="0055624E" w:rsidRPr="00AE6FD3" w:rsidRDefault="0055624E" w:rsidP="0055624E">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Included</w:t>
            </w:r>
          </w:p>
        </w:tc>
        <w:tc>
          <w:tcPr>
            <w:tcW w:w="1412" w:type="dxa"/>
            <w:tcBorders>
              <w:top w:val="nil"/>
              <w:left w:val="nil"/>
              <w:bottom w:val="nil"/>
              <w:right w:val="nil"/>
            </w:tcBorders>
          </w:tcPr>
          <w:p w14:paraId="4DAE2C31" w14:textId="4675A490" w:rsidR="0055624E" w:rsidRPr="00AE6FD3" w:rsidRDefault="0055624E" w:rsidP="0055624E">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Included</w:t>
            </w:r>
          </w:p>
        </w:tc>
        <w:tc>
          <w:tcPr>
            <w:tcW w:w="1520" w:type="dxa"/>
            <w:tcBorders>
              <w:top w:val="nil"/>
              <w:left w:val="nil"/>
              <w:bottom w:val="nil"/>
              <w:right w:val="nil"/>
            </w:tcBorders>
          </w:tcPr>
          <w:p w14:paraId="2DE23DAD" w14:textId="2A36F138" w:rsidR="0055624E" w:rsidRPr="00AE6FD3" w:rsidRDefault="0055624E" w:rsidP="0055624E">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Included</w:t>
            </w:r>
          </w:p>
        </w:tc>
        <w:tc>
          <w:tcPr>
            <w:tcW w:w="1475" w:type="dxa"/>
            <w:tcBorders>
              <w:top w:val="nil"/>
              <w:left w:val="nil"/>
              <w:bottom w:val="nil"/>
              <w:right w:val="nil"/>
            </w:tcBorders>
          </w:tcPr>
          <w:p w14:paraId="5B64E293" w14:textId="18D0C112" w:rsidR="0055624E" w:rsidRPr="00AE6FD3" w:rsidRDefault="0055624E" w:rsidP="0055624E">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Included</w:t>
            </w:r>
          </w:p>
        </w:tc>
        <w:tc>
          <w:tcPr>
            <w:tcW w:w="1488" w:type="dxa"/>
            <w:tcBorders>
              <w:top w:val="nil"/>
              <w:left w:val="nil"/>
              <w:bottom w:val="nil"/>
              <w:right w:val="nil"/>
            </w:tcBorders>
          </w:tcPr>
          <w:p w14:paraId="4854FB3E" w14:textId="1B8B8D35" w:rsidR="0055624E" w:rsidRPr="00AE6FD3" w:rsidRDefault="0055624E" w:rsidP="0055624E">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Included</w:t>
            </w:r>
          </w:p>
        </w:tc>
      </w:tr>
      <w:tr w:rsidR="00A96ED8" w:rsidRPr="00AE6FD3" w14:paraId="426D5953" w14:textId="77777777" w:rsidTr="00356ADA">
        <w:tc>
          <w:tcPr>
            <w:tcW w:w="1657" w:type="dxa"/>
            <w:tcBorders>
              <w:top w:val="nil"/>
              <w:left w:val="nil"/>
              <w:bottom w:val="nil"/>
              <w:right w:val="nil"/>
            </w:tcBorders>
          </w:tcPr>
          <w:p w14:paraId="074C968F" w14:textId="274EA951" w:rsidR="00A96ED8" w:rsidRPr="00AE6FD3" w:rsidRDefault="00A96ED8" w:rsidP="00A96ED8">
            <w:pPr>
              <w:spacing w:after="0"/>
              <w:rPr>
                <w:rFonts w:ascii="Times New Roman" w:eastAsia="SimSun" w:hAnsi="Times New Roman" w:cs="Times New Roman"/>
                <w:sz w:val="20"/>
                <w:szCs w:val="20"/>
                <w:lang w:val="en-US"/>
              </w:rPr>
            </w:pPr>
            <w:r w:rsidRPr="00AE6FD3">
              <w:rPr>
                <w:rFonts w:ascii="Times New Roman" w:eastAsia="SimSun" w:hAnsi="Times New Roman" w:cs="Times New Roman"/>
                <w:sz w:val="20"/>
                <w:szCs w:val="20"/>
                <w:lang w:val="en-US"/>
              </w:rPr>
              <w:t>Constant</w:t>
            </w:r>
          </w:p>
        </w:tc>
        <w:tc>
          <w:tcPr>
            <w:tcW w:w="1520" w:type="dxa"/>
            <w:tcBorders>
              <w:top w:val="nil"/>
              <w:left w:val="nil"/>
              <w:bottom w:val="nil"/>
              <w:right w:val="nil"/>
            </w:tcBorders>
          </w:tcPr>
          <w:p w14:paraId="203893E3" w14:textId="582D5CC3" w:rsidR="00A96ED8" w:rsidRPr="00AE6FD3" w:rsidRDefault="0055624E" w:rsidP="00A96ED8">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-0.018</w:t>
            </w:r>
          </w:p>
        </w:tc>
        <w:tc>
          <w:tcPr>
            <w:tcW w:w="1412" w:type="dxa"/>
            <w:tcBorders>
              <w:top w:val="nil"/>
              <w:left w:val="nil"/>
              <w:bottom w:val="nil"/>
              <w:right w:val="nil"/>
            </w:tcBorders>
          </w:tcPr>
          <w:p w14:paraId="358E3E30" w14:textId="314D1EAB" w:rsidR="00A96ED8" w:rsidRPr="00AE6FD3" w:rsidRDefault="00676321" w:rsidP="00A96ED8">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0.137</w:t>
            </w:r>
          </w:p>
        </w:tc>
        <w:tc>
          <w:tcPr>
            <w:tcW w:w="1520" w:type="dxa"/>
            <w:tcBorders>
              <w:top w:val="nil"/>
              <w:left w:val="nil"/>
              <w:bottom w:val="nil"/>
              <w:right w:val="nil"/>
            </w:tcBorders>
          </w:tcPr>
          <w:p w14:paraId="2CF47F4C" w14:textId="4F9AD009" w:rsidR="00A96ED8" w:rsidRPr="00AE6FD3" w:rsidRDefault="000C19E2" w:rsidP="00A96ED8">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0.126</w:t>
            </w:r>
          </w:p>
        </w:tc>
        <w:tc>
          <w:tcPr>
            <w:tcW w:w="1475" w:type="dxa"/>
            <w:tcBorders>
              <w:top w:val="nil"/>
              <w:left w:val="nil"/>
              <w:bottom w:val="nil"/>
              <w:right w:val="nil"/>
            </w:tcBorders>
          </w:tcPr>
          <w:p w14:paraId="3AC44181" w14:textId="2430EE4B" w:rsidR="00A96ED8" w:rsidRPr="00AE6FD3" w:rsidRDefault="00DA23F6" w:rsidP="00A96ED8">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0.176</w:t>
            </w:r>
          </w:p>
        </w:tc>
        <w:tc>
          <w:tcPr>
            <w:tcW w:w="1488" w:type="dxa"/>
            <w:tcBorders>
              <w:top w:val="nil"/>
              <w:left w:val="nil"/>
              <w:bottom w:val="nil"/>
              <w:right w:val="nil"/>
            </w:tcBorders>
          </w:tcPr>
          <w:p w14:paraId="1611C2DD" w14:textId="52DBE30F" w:rsidR="00A96ED8" w:rsidRPr="00AE6FD3" w:rsidRDefault="00F75B82" w:rsidP="00A96ED8">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-0.252</w:t>
            </w:r>
            <w:r w:rsidRPr="00AE6FD3">
              <w:rPr>
                <w:rFonts w:ascii="Times New Roman" w:eastAsia="Times New Roman" w:hAnsi="Times New Roman" w:cs="Times New Roman"/>
                <w:sz w:val="20"/>
                <w:szCs w:val="20"/>
                <w:vertAlign w:val="superscript"/>
              </w:rPr>
              <w:t>**</w:t>
            </w:r>
          </w:p>
        </w:tc>
      </w:tr>
      <w:tr w:rsidR="00A96ED8" w:rsidRPr="00AE6FD3" w14:paraId="21A9FDB6" w14:textId="77777777" w:rsidTr="00356ADA">
        <w:tc>
          <w:tcPr>
            <w:tcW w:w="1657" w:type="dxa"/>
            <w:tcBorders>
              <w:top w:val="nil"/>
              <w:left w:val="nil"/>
              <w:bottom w:val="nil"/>
              <w:right w:val="nil"/>
            </w:tcBorders>
          </w:tcPr>
          <w:p w14:paraId="371BADE2" w14:textId="77777777" w:rsidR="00A96ED8" w:rsidRPr="00AE6FD3" w:rsidRDefault="00A96ED8" w:rsidP="00A96ED8">
            <w:pPr>
              <w:spacing w:after="0"/>
              <w:rPr>
                <w:rFonts w:ascii="Times New Roman" w:eastAsia="SimSun" w:hAnsi="Times New Roman" w:cs="Times New Roman"/>
                <w:sz w:val="20"/>
                <w:szCs w:val="20"/>
                <w:lang w:val="en-US"/>
              </w:rPr>
            </w:pPr>
            <w:r w:rsidRPr="00AE6FD3">
              <w:rPr>
                <w:rFonts w:ascii="Times New Roman" w:eastAsia="SimSun" w:hAnsi="Times New Roman" w:cs="Times New Roman"/>
                <w:sz w:val="20"/>
                <w:szCs w:val="20"/>
                <w:lang w:val="en-US"/>
              </w:rPr>
              <w:t>Durbin-W. Stat.</w:t>
            </w:r>
          </w:p>
        </w:tc>
        <w:tc>
          <w:tcPr>
            <w:tcW w:w="1520" w:type="dxa"/>
            <w:tcBorders>
              <w:top w:val="nil"/>
              <w:left w:val="nil"/>
              <w:bottom w:val="nil"/>
              <w:right w:val="nil"/>
            </w:tcBorders>
          </w:tcPr>
          <w:p w14:paraId="3BEA82DB" w14:textId="663FE40C" w:rsidR="00A96ED8" w:rsidRPr="00AE6FD3" w:rsidRDefault="00A96ED8" w:rsidP="00A96ED8">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1.</w:t>
            </w:r>
            <w:r w:rsidR="0055624E" w:rsidRPr="00AE6FD3">
              <w:rPr>
                <w:rFonts w:ascii="Times New Roman" w:eastAsia="Times New Roman" w:hAnsi="Times New Roman" w:cs="Times New Roman"/>
                <w:sz w:val="20"/>
                <w:szCs w:val="20"/>
              </w:rPr>
              <w:t>401</w:t>
            </w:r>
          </w:p>
        </w:tc>
        <w:tc>
          <w:tcPr>
            <w:tcW w:w="1412" w:type="dxa"/>
            <w:tcBorders>
              <w:top w:val="nil"/>
              <w:left w:val="nil"/>
              <w:bottom w:val="nil"/>
              <w:right w:val="nil"/>
            </w:tcBorders>
          </w:tcPr>
          <w:p w14:paraId="2EAAD78A" w14:textId="2FDFD503" w:rsidR="00A96ED8" w:rsidRPr="00AE6FD3" w:rsidRDefault="00A96ED8" w:rsidP="00A96ED8">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1.</w:t>
            </w:r>
            <w:r w:rsidR="00E16D17" w:rsidRPr="00AE6FD3">
              <w:rPr>
                <w:rFonts w:ascii="Times New Roman" w:eastAsia="Times New Roman" w:hAnsi="Times New Roman" w:cs="Times New Roman"/>
                <w:sz w:val="20"/>
                <w:szCs w:val="20"/>
              </w:rPr>
              <w:t>409</w:t>
            </w:r>
          </w:p>
        </w:tc>
        <w:tc>
          <w:tcPr>
            <w:tcW w:w="1520" w:type="dxa"/>
            <w:tcBorders>
              <w:top w:val="nil"/>
              <w:left w:val="nil"/>
              <w:bottom w:val="nil"/>
              <w:right w:val="nil"/>
            </w:tcBorders>
          </w:tcPr>
          <w:p w14:paraId="6B1B83A6" w14:textId="56E4F1ED" w:rsidR="00A96ED8" w:rsidRPr="00AE6FD3" w:rsidRDefault="00A96ED8" w:rsidP="00A96ED8">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1.</w:t>
            </w:r>
            <w:r w:rsidR="000C19E2" w:rsidRPr="00AE6FD3">
              <w:rPr>
                <w:rFonts w:ascii="Times New Roman" w:eastAsia="Times New Roman" w:hAnsi="Times New Roman" w:cs="Times New Roman"/>
                <w:sz w:val="20"/>
                <w:szCs w:val="20"/>
              </w:rPr>
              <w:t>368</w:t>
            </w:r>
          </w:p>
        </w:tc>
        <w:tc>
          <w:tcPr>
            <w:tcW w:w="1475" w:type="dxa"/>
            <w:tcBorders>
              <w:top w:val="nil"/>
              <w:left w:val="nil"/>
              <w:bottom w:val="nil"/>
              <w:right w:val="nil"/>
            </w:tcBorders>
          </w:tcPr>
          <w:p w14:paraId="19967231" w14:textId="525FB1A9" w:rsidR="00A96ED8" w:rsidRPr="00AE6FD3" w:rsidRDefault="00DA23F6" w:rsidP="00A96ED8">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1.593</w:t>
            </w:r>
          </w:p>
        </w:tc>
        <w:tc>
          <w:tcPr>
            <w:tcW w:w="1488" w:type="dxa"/>
            <w:tcBorders>
              <w:top w:val="nil"/>
              <w:left w:val="nil"/>
              <w:bottom w:val="nil"/>
              <w:right w:val="nil"/>
            </w:tcBorders>
          </w:tcPr>
          <w:p w14:paraId="3BA77115" w14:textId="322501E4" w:rsidR="00A96ED8" w:rsidRPr="00AE6FD3" w:rsidRDefault="00A96ED8" w:rsidP="00A96ED8">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1.</w:t>
            </w:r>
            <w:r w:rsidR="00F75B82" w:rsidRPr="00AE6FD3">
              <w:rPr>
                <w:rFonts w:ascii="Times New Roman" w:eastAsia="Times New Roman" w:hAnsi="Times New Roman" w:cs="Times New Roman"/>
                <w:sz w:val="20"/>
                <w:szCs w:val="20"/>
              </w:rPr>
              <w:t>587</w:t>
            </w:r>
          </w:p>
        </w:tc>
      </w:tr>
      <w:tr w:rsidR="00A96ED8" w:rsidRPr="00AE6FD3" w14:paraId="47AF0945" w14:textId="77777777" w:rsidTr="00356ADA">
        <w:tc>
          <w:tcPr>
            <w:tcW w:w="1657" w:type="dxa"/>
            <w:tcBorders>
              <w:top w:val="nil"/>
              <w:left w:val="nil"/>
              <w:bottom w:val="nil"/>
              <w:right w:val="nil"/>
            </w:tcBorders>
          </w:tcPr>
          <w:p w14:paraId="1176E2BF" w14:textId="77777777" w:rsidR="00A96ED8" w:rsidRPr="00AE6FD3" w:rsidRDefault="00A96ED8" w:rsidP="00A96ED8">
            <w:pPr>
              <w:spacing w:after="0"/>
              <w:rPr>
                <w:rFonts w:ascii="Times New Roman" w:eastAsia="SimSun" w:hAnsi="Times New Roman" w:cs="Times New Roman"/>
                <w:i/>
                <w:iCs/>
                <w:sz w:val="20"/>
                <w:szCs w:val="20"/>
                <w:lang w:val="en-US"/>
              </w:rPr>
            </w:pPr>
            <w:r w:rsidRPr="00AE6FD3">
              <w:rPr>
                <w:rFonts w:ascii="Times New Roman" w:eastAsia="SimSun" w:hAnsi="Times New Roman" w:cs="Times New Roman"/>
                <w:i/>
                <w:iCs/>
                <w:sz w:val="20"/>
                <w:szCs w:val="20"/>
                <w:lang w:val="en-US"/>
              </w:rPr>
              <w:t>F</w:t>
            </w:r>
            <w:r w:rsidRPr="00AE6FD3">
              <w:rPr>
                <w:rFonts w:ascii="Times New Roman" w:eastAsia="SimSun" w:hAnsi="Times New Roman" w:cs="Times New Roman"/>
                <w:sz w:val="20"/>
                <w:szCs w:val="20"/>
                <w:lang w:val="en-US"/>
              </w:rPr>
              <w:t>- value</w:t>
            </w:r>
          </w:p>
        </w:tc>
        <w:tc>
          <w:tcPr>
            <w:tcW w:w="1520" w:type="dxa"/>
            <w:tcBorders>
              <w:top w:val="nil"/>
              <w:left w:val="nil"/>
              <w:bottom w:val="nil"/>
              <w:right w:val="nil"/>
            </w:tcBorders>
          </w:tcPr>
          <w:p w14:paraId="18E572A2" w14:textId="6003C8AA" w:rsidR="00A96ED8" w:rsidRPr="00AE6FD3" w:rsidRDefault="0055624E" w:rsidP="00A96ED8">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19.107</w:t>
            </w:r>
            <w:r w:rsidR="00A96ED8" w:rsidRPr="00AE6FD3">
              <w:rPr>
                <w:rFonts w:ascii="Times New Roman" w:eastAsia="Times New Roman" w:hAnsi="Times New Roman" w:cs="Times New Roman"/>
                <w:sz w:val="20"/>
                <w:szCs w:val="20"/>
                <w:vertAlign w:val="superscript"/>
              </w:rPr>
              <w:t>***</w:t>
            </w:r>
          </w:p>
        </w:tc>
        <w:tc>
          <w:tcPr>
            <w:tcW w:w="1412" w:type="dxa"/>
            <w:tcBorders>
              <w:top w:val="nil"/>
              <w:left w:val="nil"/>
              <w:bottom w:val="nil"/>
              <w:right w:val="nil"/>
            </w:tcBorders>
          </w:tcPr>
          <w:p w14:paraId="356B8200" w14:textId="0BFD3598" w:rsidR="00A96ED8" w:rsidRPr="00AE6FD3" w:rsidRDefault="00E16D17" w:rsidP="00A96ED8">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18.267</w:t>
            </w:r>
            <w:r w:rsidR="00A96ED8" w:rsidRPr="00AE6FD3">
              <w:rPr>
                <w:rFonts w:ascii="Times New Roman" w:eastAsia="Times New Roman" w:hAnsi="Times New Roman" w:cs="Times New Roman"/>
                <w:sz w:val="20"/>
                <w:szCs w:val="20"/>
                <w:vertAlign w:val="superscript"/>
              </w:rPr>
              <w:t>***</w:t>
            </w:r>
          </w:p>
        </w:tc>
        <w:tc>
          <w:tcPr>
            <w:tcW w:w="1520" w:type="dxa"/>
            <w:tcBorders>
              <w:top w:val="nil"/>
              <w:left w:val="nil"/>
              <w:bottom w:val="nil"/>
              <w:right w:val="nil"/>
            </w:tcBorders>
          </w:tcPr>
          <w:p w14:paraId="786708F9" w14:textId="3F468F10" w:rsidR="00A96ED8" w:rsidRPr="00AE6FD3" w:rsidRDefault="000C19E2" w:rsidP="00A96ED8">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17.662</w:t>
            </w:r>
            <w:r w:rsidR="00A96ED8" w:rsidRPr="00AE6FD3">
              <w:rPr>
                <w:rFonts w:ascii="Times New Roman" w:eastAsia="Times New Roman" w:hAnsi="Times New Roman" w:cs="Times New Roman"/>
                <w:sz w:val="20"/>
                <w:szCs w:val="20"/>
                <w:vertAlign w:val="superscript"/>
              </w:rPr>
              <w:t>***</w:t>
            </w:r>
          </w:p>
        </w:tc>
        <w:tc>
          <w:tcPr>
            <w:tcW w:w="1475" w:type="dxa"/>
            <w:tcBorders>
              <w:top w:val="nil"/>
              <w:left w:val="nil"/>
              <w:bottom w:val="nil"/>
              <w:right w:val="nil"/>
            </w:tcBorders>
          </w:tcPr>
          <w:p w14:paraId="23D02388" w14:textId="77D8F59E" w:rsidR="00A96ED8" w:rsidRPr="00AE6FD3" w:rsidRDefault="00DA23F6" w:rsidP="00A96ED8">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5.217</w:t>
            </w:r>
            <w:r w:rsidR="00A96ED8" w:rsidRPr="00AE6FD3">
              <w:rPr>
                <w:rFonts w:ascii="Times New Roman" w:eastAsia="Times New Roman" w:hAnsi="Times New Roman" w:cs="Times New Roman"/>
                <w:sz w:val="20"/>
                <w:szCs w:val="20"/>
                <w:vertAlign w:val="superscript"/>
              </w:rPr>
              <w:t>***</w:t>
            </w:r>
          </w:p>
        </w:tc>
        <w:tc>
          <w:tcPr>
            <w:tcW w:w="1488" w:type="dxa"/>
            <w:tcBorders>
              <w:top w:val="nil"/>
              <w:left w:val="nil"/>
              <w:bottom w:val="nil"/>
              <w:right w:val="nil"/>
            </w:tcBorders>
          </w:tcPr>
          <w:p w14:paraId="02EFE19E" w14:textId="1CBDE0D2" w:rsidR="00A96ED8" w:rsidRPr="00AE6FD3" w:rsidRDefault="007127C3" w:rsidP="00A96ED8">
            <w:pPr>
              <w:spacing w:after="0"/>
              <w:rPr>
                <w:rFonts w:ascii="Times New Roman" w:eastAsia="Times New Roman" w:hAnsi="Times New Roman" w:cs="Times New Roman"/>
                <w:sz w:val="20"/>
                <w:szCs w:val="20"/>
                <w:vertAlign w:val="superscript"/>
              </w:rPr>
            </w:pPr>
            <w:r w:rsidRPr="00AE6FD3">
              <w:rPr>
                <w:rFonts w:ascii="Times New Roman" w:eastAsia="Times New Roman" w:hAnsi="Times New Roman" w:cs="Times New Roman"/>
                <w:sz w:val="20"/>
                <w:szCs w:val="20"/>
              </w:rPr>
              <w:t>13.983</w:t>
            </w:r>
            <w:r w:rsidR="00A96ED8" w:rsidRPr="00AE6FD3">
              <w:rPr>
                <w:rFonts w:ascii="Times New Roman" w:eastAsia="Times New Roman" w:hAnsi="Times New Roman" w:cs="Times New Roman"/>
                <w:sz w:val="20"/>
                <w:szCs w:val="20"/>
                <w:vertAlign w:val="superscript"/>
              </w:rPr>
              <w:t>***</w:t>
            </w:r>
          </w:p>
        </w:tc>
      </w:tr>
      <w:tr w:rsidR="00A96ED8" w:rsidRPr="00AE6FD3" w14:paraId="46513B34" w14:textId="77777777" w:rsidTr="00CE48CF">
        <w:trPr>
          <w:trHeight w:val="68"/>
        </w:trPr>
        <w:tc>
          <w:tcPr>
            <w:tcW w:w="1657" w:type="dxa"/>
            <w:tcBorders>
              <w:top w:val="nil"/>
              <w:left w:val="nil"/>
              <w:right w:val="nil"/>
            </w:tcBorders>
          </w:tcPr>
          <w:p w14:paraId="21036F9E" w14:textId="77777777" w:rsidR="00A96ED8" w:rsidRPr="00AE6FD3" w:rsidRDefault="00A96ED8" w:rsidP="00A96ED8">
            <w:pPr>
              <w:spacing w:after="0"/>
              <w:rPr>
                <w:rFonts w:ascii="Times New Roman" w:eastAsia="SimSun" w:hAnsi="Times New Roman" w:cs="Times New Roman"/>
                <w:sz w:val="20"/>
                <w:szCs w:val="20"/>
                <w:lang w:val="en-US"/>
              </w:rPr>
            </w:pPr>
            <w:r w:rsidRPr="00AE6FD3">
              <w:rPr>
                <w:rFonts w:ascii="Times New Roman" w:eastAsia="SimSun" w:hAnsi="Times New Roman" w:cs="Times New Roman"/>
                <w:sz w:val="20"/>
                <w:szCs w:val="20"/>
                <w:lang w:val="en-US"/>
              </w:rPr>
              <w:t xml:space="preserve">Adj. </w:t>
            </w:r>
            <w:r w:rsidRPr="00AE6FD3">
              <w:rPr>
                <w:rFonts w:ascii="Times New Roman" w:eastAsia="SimSun" w:hAnsi="Times New Roman" w:cs="Times New Roman"/>
                <w:i/>
                <w:sz w:val="20"/>
                <w:szCs w:val="20"/>
                <w:lang w:val="en-US"/>
              </w:rPr>
              <w:t>R</w:t>
            </w:r>
            <w:r w:rsidRPr="00AE6FD3">
              <w:rPr>
                <w:rFonts w:ascii="Times New Roman" w:eastAsia="SimSun" w:hAnsi="Times New Roman" w:cs="Times New Roman"/>
                <w:i/>
                <w:sz w:val="20"/>
                <w:szCs w:val="20"/>
                <w:vertAlign w:val="superscript"/>
                <w:lang w:val="en-US"/>
              </w:rPr>
              <w:t>2</w:t>
            </w:r>
          </w:p>
        </w:tc>
        <w:tc>
          <w:tcPr>
            <w:tcW w:w="1520" w:type="dxa"/>
            <w:tcBorders>
              <w:top w:val="nil"/>
              <w:left w:val="nil"/>
              <w:right w:val="nil"/>
            </w:tcBorders>
          </w:tcPr>
          <w:p w14:paraId="1BDDB8D2" w14:textId="50D288A2" w:rsidR="00A96ED8" w:rsidRPr="00AE6FD3" w:rsidRDefault="00A96ED8" w:rsidP="00A96ED8">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0.</w:t>
            </w:r>
            <w:r w:rsidR="0055624E" w:rsidRPr="00AE6FD3">
              <w:rPr>
                <w:rFonts w:ascii="Times New Roman" w:eastAsia="Times New Roman" w:hAnsi="Times New Roman" w:cs="Times New Roman"/>
                <w:sz w:val="20"/>
                <w:szCs w:val="20"/>
              </w:rPr>
              <w:t>436</w:t>
            </w:r>
          </w:p>
        </w:tc>
        <w:tc>
          <w:tcPr>
            <w:tcW w:w="1412" w:type="dxa"/>
            <w:tcBorders>
              <w:top w:val="nil"/>
              <w:left w:val="nil"/>
              <w:right w:val="nil"/>
            </w:tcBorders>
          </w:tcPr>
          <w:p w14:paraId="24082183" w14:textId="5FD30503" w:rsidR="00A96ED8" w:rsidRPr="00AE6FD3" w:rsidRDefault="00E16D17" w:rsidP="00A96ED8">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0.426</w:t>
            </w:r>
          </w:p>
        </w:tc>
        <w:tc>
          <w:tcPr>
            <w:tcW w:w="1520" w:type="dxa"/>
            <w:tcBorders>
              <w:top w:val="nil"/>
              <w:left w:val="nil"/>
              <w:right w:val="nil"/>
            </w:tcBorders>
          </w:tcPr>
          <w:p w14:paraId="66FA7488" w14:textId="61BA9E97" w:rsidR="00A96ED8" w:rsidRPr="00AE6FD3" w:rsidRDefault="00A96ED8" w:rsidP="00A96ED8">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0.</w:t>
            </w:r>
            <w:r w:rsidR="000C19E2" w:rsidRPr="00AE6FD3">
              <w:rPr>
                <w:rFonts w:ascii="Times New Roman" w:eastAsia="Times New Roman" w:hAnsi="Times New Roman" w:cs="Times New Roman"/>
                <w:sz w:val="20"/>
                <w:szCs w:val="20"/>
              </w:rPr>
              <w:t>418</w:t>
            </w:r>
          </w:p>
        </w:tc>
        <w:tc>
          <w:tcPr>
            <w:tcW w:w="1475" w:type="dxa"/>
            <w:tcBorders>
              <w:top w:val="nil"/>
              <w:left w:val="nil"/>
              <w:right w:val="nil"/>
            </w:tcBorders>
          </w:tcPr>
          <w:p w14:paraId="31556C5C" w14:textId="0EB6E752" w:rsidR="00A96ED8" w:rsidRPr="00AE6FD3" w:rsidRDefault="00A96ED8" w:rsidP="00A96ED8">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0.</w:t>
            </w:r>
            <w:r w:rsidR="00DA23F6" w:rsidRPr="00AE6FD3">
              <w:rPr>
                <w:rFonts w:ascii="Times New Roman" w:eastAsia="Times New Roman" w:hAnsi="Times New Roman" w:cs="Times New Roman"/>
                <w:sz w:val="20"/>
                <w:szCs w:val="20"/>
              </w:rPr>
              <w:t>336</w:t>
            </w:r>
          </w:p>
        </w:tc>
        <w:tc>
          <w:tcPr>
            <w:tcW w:w="1488" w:type="dxa"/>
            <w:tcBorders>
              <w:top w:val="nil"/>
              <w:left w:val="nil"/>
              <w:right w:val="nil"/>
            </w:tcBorders>
          </w:tcPr>
          <w:p w14:paraId="352ACEED" w14:textId="725DFA92" w:rsidR="00A96ED8" w:rsidRPr="00AE6FD3" w:rsidRDefault="00A96ED8" w:rsidP="00A96ED8">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0.</w:t>
            </w:r>
            <w:r w:rsidR="007127C3" w:rsidRPr="00AE6FD3">
              <w:rPr>
                <w:rFonts w:ascii="Times New Roman" w:eastAsia="Times New Roman" w:hAnsi="Times New Roman" w:cs="Times New Roman"/>
                <w:sz w:val="20"/>
                <w:szCs w:val="20"/>
              </w:rPr>
              <w:t>431</w:t>
            </w:r>
          </w:p>
        </w:tc>
      </w:tr>
      <w:tr w:rsidR="0055624E" w:rsidRPr="00AE6FD3" w14:paraId="069105A3" w14:textId="77777777" w:rsidTr="00CE48CF">
        <w:tc>
          <w:tcPr>
            <w:tcW w:w="1657" w:type="dxa"/>
            <w:tcBorders>
              <w:top w:val="nil"/>
              <w:left w:val="nil"/>
              <w:bottom w:val="single" w:sz="2" w:space="0" w:color="auto"/>
              <w:right w:val="nil"/>
            </w:tcBorders>
          </w:tcPr>
          <w:p w14:paraId="35592351" w14:textId="4B353FDA" w:rsidR="0055624E" w:rsidRPr="00AE6FD3" w:rsidRDefault="0055624E" w:rsidP="0055624E">
            <w:pPr>
              <w:spacing w:after="0"/>
              <w:rPr>
                <w:rFonts w:ascii="Times New Roman" w:eastAsia="SimSun" w:hAnsi="Times New Roman" w:cs="Times New Roman"/>
                <w:sz w:val="20"/>
                <w:szCs w:val="20"/>
                <w:lang w:val="en-US"/>
              </w:rPr>
            </w:pPr>
            <w:r w:rsidRPr="00AE6FD3">
              <w:rPr>
                <w:rFonts w:ascii="Times New Roman" w:eastAsia="SimSun" w:hAnsi="Times New Roman" w:cs="Times New Roman"/>
                <w:sz w:val="20"/>
                <w:szCs w:val="20"/>
                <w:lang w:val="en-US"/>
              </w:rPr>
              <w:t xml:space="preserve">No. </w:t>
            </w:r>
            <w:r w:rsidR="00C75E31" w:rsidRPr="00C75E31">
              <w:rPr>
                <w:rFonts w:ascii="Times New Roman" w:eastAsia="SimSun" w:hAnsi="Times New Roman" w:cs="Times New Roman"/>
                <w:sz w:val="20"/>
                <w:szCs w:val="20"/>
                <w:lang w:val="en-US"/>
              </w:rPr>
              <w:t>observations</w:t>
            </w:r>
          </w:p>
        </w:tc>
        <w:tc>
          <w:tcPr>
            <w:tcW w:w="1520" w:type="dxa"/>
            <w:tcBorders>
              <w:top w:val="nil"/>
              <w:left w:val="nil"/>
              <w:bottom w:val="single" w:sz="2" w:space="0" w:color="auto"/>
              <w:right w:val="nil"/>
            </w:tcBorders>
          </w:tcPr>
          <w:p w14:paraId="37ACA3B5" w14:textId="4BF84E49" w:rsidR="0055624E" w:rsidRPr="00AE6FD3" w:rsidRDefault="0055624E" w:rsidP="0055624E">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702</w:t>
            </w:r>
          </w:p>
        </w:tc>
        <w:tc>
          <w:tcPr>
            <w:tcW w:w="1412" w:type="dxa"/>
            <w:tcBorders>
              <w:top w:val="nil"/>
              <w:left w:val="nil"/>
              <w:bottom w:val="single" w:sz="2" w:space="0" w:color="auto"/>
              <w:right w:val="nil"/>
            </w:tcBorders>
          </w:tcPr>
          <w:p w14:paraId="751122F4" w14:textId="4B76DB21" w:rsidR="0055624E" w:rsidRPr="00AE6FD3" w:rsidRDefault="0055624E" w:rsidP="0055624E">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702</w:t>
            </w:r>
          </w:p>
        </w:tc>
        <w:tc>
          <w:tcPr>
            <w:tcW w:w="1520" w:type="dxa"/>
            <w:tcBorders>
              <w:top w:val="nil"/>
              <w:left w:val="nil"/>
              <w:bottom w:val="single" w:sz="2" w:space="0" w:color="auto"/>
              <w:right w:val="nil"/>
            </w:tcBorders>
          </w:tcPr>
          <w:p w14:paraId="2D76E06E" w14:textId="78F47220" w:rsidR="0055624E" w:rsidRPr="00AE6FD3" w:rsidRDefault="0055624E" w:rsidP="0055624E">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702</w:t>
            </w:r>
          </w:p>
        </w:tc>
        <w:tc>
          <w:tcPr>
            <w:tcW w:w="1475" w:type="dxa"/>
            <w:tcBorders>
              <w:top w:val="nil"/>
              <w:left w:val="nil"/>
              <w:bottom w:val="single" w:sz="2" w:space="0" w:color="auto"/>
              <w:right w:val="nil"/>
            </w:tcBorders>
          </w:tcPr>
          <w:p w14:paraId="448CA41E" w14:textId="11E2C2F1" w:rsidR="0055624E" w:rsidRPr="00AE6FD3" w:rsidRDefault="0055624E" w:rsidP="0055624E">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702</w:t>
            </w:r>
          </w:p>
        </w:tc>
        <w:tc>
          <w:tcPr>
            <w:tcW w:w="1488" w:type="dxa"/>
            <w:tcBorders>
              <w:top w:val="nil"/>
              <w:left w:val="nil"/>
              <w:bottom w:val="single" w:sz="2" w:space="0" w:color="auto"/>
              <w:right w:val="nil"/>
            </w:tcBorders>
          </w:tcPr>
          <w:p w14:paraId="6280E9AA" w14:textId="6EFFA719" w:rsidR="0055624E" w:rsidRPr="00AE6FD3" w:rsidRDefault="0055624E" w:rsidP="0055624E">
            <w:pPr>
              <w:spacing w:after="0"/>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702</w:t>
            </w:r>
          </w:p>
        </w:tc>
      </w:tr>
      <w:tr w:rsidR="00A96ED8" w:rsidRPr="00AE6FD3" w14:paraId="321C0DD8" w14:textId="77777777" w:rsidTr="00CE48CF">
        <w:trPr>
          <w:trHeight w:val="1718"/>
        </w:trPr>
        <w:tc>
          <w:tcPr>
            <w:tcW w:w="9072" w:type="dxa"/>
            <w:gridSpan w:val="6"/>
            <w:tcBorders>
              <w:top w:val="single" w:sz="2" w:space="0" w:color="auto"/>
              <w:left w:val="nil"/>
              <w:bottom w:val="nil"/>
              <w:right w:val="nil"/>
            </w:tcBorders>
          </w:tcPr>
          <w:p w14:paraId="049200C1" w14:textId="0F7AA845" w:rsidR="00A96ED8" w:rsidRPr="00AE6FD3" w:rsidRDefault="00A96ED8" w:rsidP="00A96ED8">
            <w:pPr>
              <w:spacing w:after="0"/>
              <w:jc w:val="both"/>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 xml:space="preserve">Models 1 presents the findings of the moderating impact of </w:t>
            </w:r>
            <w:r w:rsidR="007E539E">
              <w:rPr>
                <w:rFonts w:ascii="Times New Roman" w:eastAsia="Times New Roman" w:hAnsi="Times New Roman" w:cs="Times New Roman"/>
                <w:i/>
                <w:iCs/>
                <w:sz w:val="20"/>
                <w:szCs w:val="20"/>
              </w:rPr>
              <w:t>SMTSZE</w:t>
            </w:r>
            <w:r w:rsidRPr="00AE6FD3">
              <w:rPr>
                <w:rFonts w:ascii="Times New Roman" w:eastAsia="Times New Roman" w:hAnsi="Times New Roman" w:cs="Times New Roman"/>
                <w:sz w:val="20"/>
                <w:szCs w:val="20"/>
              </w:rPr>
              <w:t xml:space="preserve"> the governance-risk disclosure link. Models 2-5 present the interaction results among </w:t>
            </w:r>
            <w:r w:rsidR="007E539E">
              <w:rPr>
                <w:rFonts w:ascii="Times New Roman" w:eastAsia="Times New Roman" w:hAnsi="Times New Roman" w:cs="Times New Roman"/>
                <w:i/>
                <w:iCs/>
                <w:sz w:val="20"/>
                <w:szCs w:val="20"/>
              </w:rPr>
              <w:t>SMTGED</w:t>
            </w:r>
            <w:r w:rsidRPr="00AE6FD3">
              <w:rPr>
                <w:rFonts w:ascii="Times New Roman" w:eastAsia="Times New Roman" w:hAnsi="Times New Roman" w:cs="Times New Roman"/>
                <w:sz w:val="20"/>
                <w:szCs w:val="20"/>
              </w:rPr>
              <w:t xml:space="preserve">, </w:t>
            </w:r>
            <w:r w:rsidR="007E539E">
              <w:rPr>
                <w:rFonts w:ascii="Times New Roman" w:eastAsia="Times New Roman" w:hAnsi="Times New Roman" w:cs="Times New Roman"/>
                <w:i/>
                <w:iCs/>
                <w:sz w:val="20"/>
                <w:szCs w:val="20"/>
              </w:rPr>
              <w:t>SMTGD</w:t>
            </w:r>
            <w:r w:rsidRPr="00AE6FD3">
              <w:rPr>
                <w:rFonts w:ascii="Times New Roman" w:eastAsia="Times New Roman" w:hAnsi="Times New Roman" w:cs="Times New Roman"/>
                <w:sz w:val="20"/>
                <w:szCs w:val="20"/>
              </w:rPr>
              <w:t xml:space="preserve">, </w:t>
            </w:r>
            <w:r w:rsidR="007E539E">
              <w:rPr>
                <w:rFonts w:ascii="Times New Roman" w:eastAsia="Times New Roman" w:hAnsi="Times New Roman" w:cs="Times New Roman"/>
                <w:i/>
                <w:iCs/>
                <w:sz w:val="20"/>
                <w:szCs w:val="20"/>
              </w:rPr>
              <w:t>SMTED</w:t>
            </w:r>
            <w:r w:rsidRPr="00AE6FD3">
              <w:rPr>
                <w:rFonts w:ascii="Times New Roman" w:eastAsia="Times New Roman" w:hAnsi="Times New Roman" w:cs="Times New Roman"/>
                <w:sz w:val="20"/>
                <w:szCs w:val="20"/>
              </w:rPr>
              <w:t xml:space="preserve">, </w:t>
            </w:r>
            <w:r w:rsidR="007E539E">
              <w:rPr>
                <w:rFonts w:ascii="Times New Roman" w:eastAsia="Times New Roman" w:hAnsi="Times New Roman" w:cs="Times New Roman"/>
                <w:i/>
                <w:iCs/>
                <w:sz w:val="20"/>
                <w:szCs w:val="20"/>
              </w:rPr>
              <w:t>SMTM</w:t>
            </w:r>
            <w:r w:rsidRPr="00AE6FD3">
              <w:rPr>
                <w:rFonts w:ascii="Times New Roman" w:eastAsia="Times New Roman" w:hAnsi="Times New Roman" w:cs="Times New Roman"/>
                <w:sz w:val="20"/>
                <w:szCs w:val="20"/>
              </w:rPr>
              <w:t xml:space="preserve"> and </w:t>
            </w:r>
            <w:r w:rsidR="007E539E">
              <w:rPr>
                <w:rFonts w:ascii="Times New Roman" w:eastAsia="Times New Roman" w:hAnsi="Times New Roman" w:cs="Times New Roman"/>
                <w:i/>
                <w:iCs/>
                <w:sz w:val="20"/>
                <w:szCs w:val="20"/>
              </w:rPr>
              <w:t>HE</w:t>
            </w:r>
            <w:r w:rsidRPr="00AE6FD3">
              <w:rPr>
                <w:rFonts w:ascii="Times New Roman" w:eastAsia="Times New Roman" w:hAnsi="Times New Roman" w:cs="Times New Roman"/>
                <w:i/>
                <w:iCs/>
                <w:sz w:val="20"/>
                <w:szCs w:val="20"/>
              </w:rPr>
              <w:t>GQI</w:t>
            </w:r>
            <w:r w:rsidRPr="00AE6FD3">
              <w:rPr>
                <w:rFonts w:ascii="Times New Roman" w:eastAsia="Times New Roman" w:hAnsi="Times New Roman" w:cs="Times New Roman"/>
                <w:sz w:val="20"/>
                <w:szCs w:val="20"/>
              </w:rPr>
              <w:t xml:space="preserve">, respectively. </w:t>
            </w:r>
          </w:p>
          <w:p w14:paraId="7033AAFA" w14:textId="77777777" w:rsidR="00A96ED8" w:rsidRPr="00AE6FD3" w:rsidRDefault="00A96ED8" w:rsidP="00A96ED8">
            <w:pPr>
              <w:spacing w:after="0"/>
              <w:jc w:val="both"/>
              <w:rPr>
                <w:rFonts w:ascii="Times New Roman" w:eastAsia="Times New Roman" w:hAnsi="Times New Roman" w:cs="Times New Roman"/>
                <w:sz w:val="20"/>
                <w:szCs w:val="20"/>
                <w:lang w:val="en-US" w:eastAsia="en-GB"/>
              </w:rPr>
            </w:pPr>
            <w:r w:rsidRPr="00AE6FD3">
              <w:rPr>
                <w:rFonts w:ascii="Times New Roman" w:hAnsi="Times New Roman" w:cs="Times New Roman"/>
                <w:sz w:val="20"/>
                <w:szCs w:val="20"/>
                <w:lang w:val="en-US"/>
              </w:rPr>
              <w:t>Please see Table 2</w:t>
            </w:r>
            <w:r w:rsidRPr="00AE6FD3">
              <w:rPr>
                <w:rFonts w:ascii="Times New Roman" w:eastAsia="Times New Roman" w:hAnsi="Times New Roman" w:cs="Times New Roman"/>
                <w:sz w:val="20"/>
                <w:szCs w:val="20"/>
                <w:lang w:val="en-US" w:eastAsia="en-GB"/>
              </w:rPr>
              <w:t xml:space="preserve"> for variable definitions.</w:t>
            </w:r>
          </w:p>
          <w:p w14:paraId="093321E0" w14:textId="77777777" w:rsidR="00A96ED8" w:rsidRPr="00AE6FD3" w:rsidRDefault="00A96ED8" w:rsidP="00A96ED8">
            <w:pPr>
              <w:spacing w:after="0" w:line="276" w:lineRule="auto"/>
              <w:jc w:val="both"/>
              <w:rPr>
                <w:rFonts w:ascii="Times New Roman" w:hAnsi="Times New Roman" w:cs="Times New Roman"/>
                <w:sz w:val="20"/>
                <w:szCs w:val="20"/>
                <w:lang w:val="en-US"/>
              </w:rPr>
            </w:pPr>
            <w:r w:rsidRPr="00AE6FD3">
              <w:rPr>
                <w:rFonts w:ascii="Times New Roman" w:hAnsi="Times New Roman" w:cs="Times New Roman"/>
                <w:sz w:val="20"/>
                <w:szCs w:val="20"/>
                <w:lang w:val="en-US"/>
              </w:rPr>
              <w:t>*** Significance at the 1% level (p&lt;0.01).</w:t>
            </w:r>
          </w:p>
          <w:p w14:paraId="09A734F7" w14:textId="77777777" w:rsidR="00A96ED8" w:rsidRPr="00AE6FD3" w:rsidRDefault="00A96ED8" w:rsidP="00A96ED8">
            <w:pPr>
              <w:spacing w:after="0" w:line="276" w:lineRule="auto"/>
              <w:jc w:val="both"/>
              <w:rPr>
                <w:rFonts w:ascii="Times New Roman" w:hAnsi="Times New Roman" w:cs="Times New Roman"/>
                <w:sz w:val="20"/>
                <w:szCs w:val="20"/>
                <w:lang w:val="en-US"/>
              </w:rPr>
            </w:pPr>
            <w:r w:rsidRPr="00AE6FD3">
              <w:rPr>
                <w:rFonts w:ascii="Times New Roman" w:hAnsi="Times New Roman" w:cs="Times New Roman"/>
                <w:sz w:val="20"/>
                <w:szCs w:val="20"/>
                <w:lang w:val="en-US"/>
              </w:rPr>
              <w:t>** Significance at the 5% level (p&lt;0.05).</w:t>
            </w:r>
          </w:p>
          <w:p w14:paraId="6EA7B01C" w14:textId="77777777" w:rsidR="00A96ED8" w:rsidRPr="00AE6FD3" w:rsidRDefault="00A96ED8" w:rsidP="00A96ED8">
            <w:pPr>
              <w:spacing w:after="0"/>
              <w:jc w:val="both"/>
              <w:rPr>
                <w:rFonts w:ascii="Times New Roman" w:eastAsia="Times New Roman" w:hAnsi="Times New Roman" w:cs="Times New Roman"/>
                <w:sz w:val="20"/>
                <w:szCs w:val="20"/>
              </w:rPr>
            </w:pPr>
            <w:r w:rsidRPr="00AE6FD3">
              <w:rPr>
                <w:rFonts w:ascii="Times New Roman" w:hAnsi="Times New Roman" w:cs="Times New Roman"/>
                <w:sz w:val="20"/>
                <w:szCs w:val="20"/>
                <w:lang w:val="en-US"/>
              </w:rPr>
              <w:t>* Significance at the 10% level (p&lt;0.10).</w:t>
            </w:r>
          </w:p>
        </w:tc>
      </w:tr>
    </w:tbl>
    <w:p w14:paraId="636058B1" w14:textId="23F54C78" w:rsidR="002B7B64" w:rsidRPr="00233EC8" w:rsidRDefault="002B7B64" w:rsidP="00CB2B95">
      <w:pPr>
        <w:sectPr w:rsidR="002B7B64" w:rsidRPr="00233EC8">
          <w:footerReference w:type="default" r:id="rId15"/>
          <w:pgSz w:w="11906" w:h="16838"/>
          <w:pgMar w:top="1440" w:right="1440" w:bottom="1440" w:left="1440" w:header="708" w:footer="708" w:gutter="0"/>
          <w:cols w:space="708"/>
          <w:docGrid w:linePitch="360"/>
        </w:sectPr>
      </w:pPr>
    </w:p>
    <w:tbl>
      <w:tblPr>
        <w:tblW w:w="7944" w:type="dxa"/>
        <w:tblInd w:w="851" w:type="dxa"/>
        <w:tblLook w:val="04A0" w:firstRow="1" w:lastRow="0" w:firstColumn="1" w:lastColumn="0" w:noHBand="0" w:noVBand="1"/>
      </w:tblPr>
      <w:tblGrid>
        <w:gridCol w:w="2835"/>
        <w:gridCol w:w="1707"/>
        <w:gridCol w:w="1701"/>
        <w:gridCol w:w="1701"/>
      </w:tblGrid>
      <w:tr w:rsidR="00F97E8A" w:rsidRPr="00233EC8" w14:paraId="09755B6D" w14:textId="77777777" w:rsidTr="00B572FE">
        <w:tc>
          <w:tcPr>
            <w:tcW w:w="7944" w:type="dxa"/>
            <w:gridSpan w:val="4"/>
            <w:tcBorders>
              <w:left w:val="nil"/>
              <w:bottom w:val="single" w:sz="12" w:space="0" w:color="auto"/>
              <w:right w:val="nil"/>
            </w:tcBorders>
          </w:tcPr>
          <w:p w14:paraId="78A267CF" w14:textId="039E3220" w:rsidR="00F97E8A" w:rsidRDefault="00F97E8A" w:rsidP="00356ADA">
            <w:pPr>
              <w:spacing w:after="0"/>
              <w:rPr>
                <w:rFonts w:ascii="Times New Roman" w:eastAsia="Times New Roman" w:hAnsi="Times New Roman" w:cs="Times New Roman"/>
                <w:sz w:val="20"/>
                <w:szCs w:val="20"/>
                <w:lang w:val="en-US" w:eastAsia="zh-CN"/>
              </w:rPr>
            </w:pPr>
            <w:bookmarkStart w:id="16" w:name="_Hlk74822883"/>
            <w:r w:rsidRPr="002A622F">
              <w:rPr>
                <w:rFonts w:ascii="Times New Roman" w:eastAsia="Times New Roman" w:hAnsi="Times New Roman" w:cs="Times New Roman"/>
                <w:b/>
                <w:bCs/>
                <w:sz w:val="20"/>
                <w:szCs w:val="20"/>
                <w:lang w:val="en-US" w:eastAsia="zh-CN"/>
              </w:rPr>
              <w:lastRenderedPageBreak/>
              <w:t xml:space="preserve">Table </w:t>
            </w:r>
            <w:r w:rsidR="00BE5CE8">
              <w:rPr>
                <w:rFonts w:ascii="Times New Roman" w:eastAsia="Times New Roman" w:hAnsi="Times New Roman" w:cs="Times New Roman"/>
                <w:b/>
                <w:bCs/>
                <w:sz w:val="20"/>
                <w:szCs w:val="20"/>
                <w:lang w:val="en-US" w:eastAsia="zh-CN"/>
              </w:rPr>
              <w:t>6</w:t>
            </w:r>
            <w:r>
              <w:rPr>
                <w:rFonts w:ascii="Times New Roman" w:eastAsia="Times New Roman" w:hAnsi="Times New Roman" w:cs="Times New Roman"/>
                <w:b/>
                <w:bCs/>
                <w:sz w:val="20"/>
                <w:szCs w:val="20"/>
                <w:lang w:val="en-US" w:eastAsia="zh-CN"/>
              </w:rPr>
              <w:t xml:space="preserve">. </w:t>
            </w:r>
            <w:r w:rsidRPr="00233EC8">
              <w:rPr>
                <w:rFonts w:ascii="Times New Roman" w:eastAsia="SimSun" w:hAnsi="Times New Roman" w:cs="Times New Roman"/>
                <w:sz w:val="20"/>
                <w:szCs w:val="20"/>
                <w:lang w:val="en-US" w:eastAsia="zh-CN"/>
              </w:rPr>
              <w:t xml:space="preserve">Additional </w:t>
            </w:r>
            <w:r w:rsidR="00E30A6C">
              <w:rPr>
                <w:rFonts w:ascii="Times New Roman" w:eastAsia="SimSun" w:hAnsi="Times New Roman" w:cs="Times New Roman"/>
                <w:sz w:val="20"/>
                <w:szCs w:val="20"/>
                <w:lang w:val="en-US" w:eastAsia="zh-CN"/>
              </w:rPr>
              <w:t>a</w:t>
            </w:r>
            <w:r w:rsidRPr="00233EC8">
              <w:rPr>
                <w:rFonts w:ascii="Times New Roman" w:eastAsia="SimSun" w:hAnsi="Times New Roman" w:cs="Times New Roman"/>
                <w:sz w:val="20"/>
                <w:szCs w:val="20"/>
                <w:lang w:val="en-US" w:eastAsia="zh-CN"/>
              </w:rPr>
              <w:t>nalyses.</w:t>
            </w:r>
          </w:p>
        </w:tc>
      </w:tr>
      <w:tr w:rsidR="00F97E8A" w:rsidRPr="00233EC8" w14:paraId="688F10D8" w14:textId="77777777" w:rsidTr="00B572FE">
        <w:tc>
          <w:tcPr>
            <w:tcW w:w="2835" w:type="dxa"/>
            <w:tcBorders>
              <w:top w:val="single" w:sz="12" w:space="0" w:color="auto"/>
              <w:left w:val="nil"/>
              <w:bottom w:val="single" w:sz="2" w:space="0" w:color="auto"/>
              <w:right w:val="nil"/>
            </w:tcBorders>
          </w:tcPr>
          <w:p w14:paraId="7641155F" w14:textId="77777777" w:rsidR="00F97E8A" w:rsidRPr="00233EC8" w:rsidRDefault="00F97E8A" w:rsidP="00356ADA">
            <w:pPr>
              <w:spacing w:after="0"/>
              <w:rPr>
                <w:rFonts w:ascii="Times New Roman" w:eastAsia="Times New Roman" w:hAnsi="Times New Roman" w:cs="Times New Roman"/>
                <w:sz w:val="20"/>
                <w:szCs w:val="20"/>
              </w:rPr>
            </w:pPr>
            <w:r w:rsidRPr="00233EC8">
              <w:rPr>
                <w:rFonts w:ascii="Times New Roman" w:eastAsia="Times New Roman" w:hAnsi="Times New Roman" w:cs="Times New Roman"/>
                <w:sz w:val="20"/>
                <w:szCs w:val="20"/>
              </w:rPr>
              <w:t>Dep. Variable</w:t>
            </w:r>
          </w:p>
          <w:p w14:paraId="7B5C055D" w14:textId="77777777" w:rsidR="00F97E8A" w:rsidRDefault="00F97E8A" w:rsidP="00356ADA">
            <w:pPr>
              <w:spacing w:after="0"/>
              <w:rPr>
                <w:rFonts w:ascii="Times New Roman" w:eastAsia="Times New Roman" w:hAnsi="Times New Roman" w:cs="Times New Roman"/>
                <w:sz w:val="20"/>
                <w:szCs w:val="20"/>
              </w:rPr>
            </w:pPr>
          </w:p>
          <w:p w14:paraId="39DDE73B" w14:textId="3BFD3160" w:rsidR="00F97E8A" w:rsidRPr="00233EC8" w:rsidRDefault="00F97E8A" w:rsidP="00356ADA">
            <w:pPr>
              <w:spacing w:after="0"/>
              <w:rPr>
                <w:rFonts w:ascii="Times New Roman" w:eastAsia="Times New Roman" w:hAnsi="Times New Roman" w:cs="Times New Roman"/>
                <w:sz w:val="20"/>
                <w:szCs w:val="20"/>
              </w:rPr>
            </w:pPr>
            <w:r w:rsidRPr="00233EC8">
              <w:rPr>
                <w:rFonts w:ascii="Times New Roman" w:eastAsia="Times New Roman" w:hAnsi="Times New Roman" w:cs="Times New Roman"/>
                <w:sz w:val="20"/>
                <w:szCs w:val="20"/>
              </w:rPr>
              <w:t>(</w:t>
            </w:r>
            <w:r w:rsidRPr="00233EC8">
              <w:rPr>
                <w:rFonts w:ascii="Times New Roman" w:eastAsia="Times New Roman" w:hAnsi="Times New Roman" w:cs="Times New Roman"/>
                <w:i/>
                <w:iCs/>
                <w:sz w:val="20"/>
                <w:szCs w:val="20"/>
              </w:rPr>
              <w:t>Model</w:t>
            </w:r>
            <w:r w:rsidRPr="00233EC8">
              <w:rPr>
                <w:rFonts w:ascii="Times New Roman" w:eastAsia="Times New Roman" w:hAnsi="Times New Roman" w:cs="Times New Roman"/>
                <w:sz w:val="20"/>
                <w:szCs w:val="20"/>
              </w:rPr>
              <w:t>)</w:t>
            </w:r>
          </w:p>
        </w:tc>
        <w:tc>
          <w:tcPr>
            <w:tcW w:w="1707" w:type="dxa"/>
            <w:tcBorders>
              <w:top w:val="single" w:sz="12" w:space="0" w:color="auto"/>
              <w:left w:val="nil"/>
              <w:bottom w:val="single" w:sz="2" w:space="0" w:color="auto"/>
              <w:right w:val="nil"/>
            </w:tcBorders>
          </w:tcPr>
          <w:p w14:paraId="10FC96E2" w14:textId="37685B08" w:rsidR="00F97E8A" w:rsidRPr="00233EC8" w:rsidRDefault="00273AF1" w:rsidP="00356ADA">
            <w:pPr>
              <w:spacing w:after="0"/>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lang w:val="en-US" w:eastAsia="zh-CN"/>
              </w:rPr>
              <w:t>Fixed</w:t>
            </w:r>
            <w:r w:rsidR="00F97E8A">
              <w:rPr>
                <w:rFonts w:ascii="Times New Roman" w:eastAsia="Times New Roman" w:hAnsi="Times New Roman" w:cs="Times New Roman"/>
                <w:sz w:val="20"/>
                <w:szCs w:val="20"/>
                <w:lang w:val="en-US" w:eastAsia="zh-CN"/>
              </w:rPr>
              <w:t>-</w:t>
            </w:r>
            <w:r w:rsidR="00E30A6C">
              <w:rPr>
                <w:rFonts w:ascii="Times New Roman" w:eastAsia="Times New Roman" w:hAnsi="Times New Roman" w:cs="Times New Roman"/>
                <w:sz w:val="20"/>
                <w:szCs w:val="20"/>
                <w:lang w:val="en-US" w:eastAsia="zh-CN"/>
              </w:rPr>
              <w:t>e</w:t>
            </w:r>
            <w:r w:rsidR="00F97E8A">
              <w:rPr>
                <w:rFonts w:ascii="Times New Roman" w:eastAsia="Times New Roman" w:hAnsi="Times New Roman" w:cs="Times New Roman"/>
                <w:sz w:val="20"/>
                <w:szCs w:val="20"/>
                <w:lang w:val="en-US" w:eastAsia="zh-CN"/>
              </w:rPr>
              <w:t>ffects</w:t>
            </w:r>
          </w:p>
          <w:p w14:paraId="4535046A" w14:textId="7F7A593E" w:rsidR="00F97E8A" w:rsidRPr="00233EC8" w:rsidRDefault="007E539E" w:rsidP="00356ADA">
            <w:pPr>
              <w:spacing w:after="0"/>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lang w:val="en-US" w:eastAsia="zh-CN"/>
              </w:rPr>
              <w:t>HE</w:t>
            </w:r>
            <w:r w:rsidR="00F97E8A" w:rsidRPr="00233EC8">
              <w:rPr>
                <w:rFonts w:ascii="Times New Roman" w:eastAsia="Times New Roman" w:hAnsi="Times New Roman" w:cs="Times New Roman"/>
                <w:sz w:val="20"/>
                <w:szCs w:val="20"/>
                <w:lang w:val="en-US" w:eastAsia="zh-CN"/>
              </w:rPr>
              <w:t>RDI</w:t>
            </w:r>
          </w:p>
          <w:p w14:paraId="1DF725B6" w14:textId="77777777" w:rsidR="00F97E8A" w:rsidRPr="00233EC8" w:rsidRDefault="00F97E8A" w:rsidP="00356ADA">
            <w:pPr>
              <w:spacing w:after="0"/>
              <w:rPr>
                <w:rFonts w:ascii="Times New Roman" w:eastAsia="Times New Roman" w:hAnsi="Times New Roman" w:cs="Times New Roman"/>
                <w:sz w:val="20"/>
                <w:szCs w:val="20"/>
              </w:rPr>
            </w:pPr>
            <w:r w:rsidRPr="00233EC8">
              <w:rPr>
                <w:rFonts w:ascii="Times New Roman" w:eastAsia="Times New Roman" w:hAnsi="Times New Roman" w:cs="Times New Roman"/>
                <w:sz w:val="20"/>
                <w:szCs w:val="20"/>
                <w:lang w:val="en-US" w:eastAsia="zh-CN"/>
              </w:rPr>
              <w:t>(1)</w:t>
            </w:r>
          </w:p>
        </w:tc>
        <w:tc>
          <w:tcPr>
            <w:tcW w:w="1701" w:type="dxa"/>
            <w:tcBorders>
              <w:top w:val="single" w:sz="12" w:space="0" w:color="auto"/>
              <w:left w:val="nil"/>
              <w:bottom w:val="single" w:sz="2" w:space="0" w:color="auto"/>
              <w:right w:val="nil"/>
            </w:tcBorders>
          </w:tcPr>
          <w:p w14:paraId="2D6E6A5F" w14:textId="64BE8E7C" w:rsidR="00F97E8A" w:rsidRPr="00233EC8" w:rsidRDefault="00F97E8A" w:rsidP="00356ADA">
            <w:pPr>
              <w:spacing w:after="0"/>
              <w:rPr>
                <w:rFonts w:ascii="Times New Roman" w:eastAsia="Times New Roman" w:hAnsi="Times New Roman" w:cs="Times New Roman"/>
                <w:sz w:val="20"/>
                <w:szCs w:val="20"/>
                <w:lang w:val="en-US" w:eastAsia="zh-CN"/>
              </w:rPr>
            </w:pPr>
            <w:r w:rsidRPr="00233EC8">
              <w:rPr>
                <w:rFonts w:ascii="Times New Roman" w:eastAsia="Times New Roman" w:hAnsi="Times New Roman" w:cs="Times New Roman"/>
                <w:sz w:val="20"/>
                <w:szCs w:val="20"/>
                <w:lang w:val="en-US" w:eastAsia="zh-CN"/>
              </w:rPr>
              <w:t>Lagged-</w:t>
            </w:r>
            <w:r w:rsidR="00E30A6C">
              <w:rPr>
                <w:rFonts w:ascii="Times New Roman" w:eastAsia="Times New Roman" w:hAnsi="Times New Roman" w:cs="Times New Roman"/>
                <w:sz w:val="20"/>
                <w:szCs w:val="20"/>
                <w:lang w:val="en-US" w:eastAsia="zh-CN"/>
              </w:rPr>
              <w:t>e</w:t>
            </w:r>
            <w:r w:rsidRPr="00233EC8">
              <w:rPr>
                <w:rFonts w:ascii="Times New Roman" w:eastAsia="Times New Roman" w:hAnsi="Times New Roman" w:cs="Times New Roman"/>
                <w:sz w:val="20"/>
                <w:szCs w:val="20"/>
                <w:lang w:val="en-US" w:eastAsia="zh-CN"/>
              </w:rPr>
              <w:t>ffects</w:t>
            </w:r>
          </w:p>
          <w:p w14:paraId="7FF37B46" w14:textId="38150342" w:rsidR="00F97E8A" w:rsidRPr="00233EC8" w:rsidRDefault="007E539E" w:rsidP="00356ADA">
            <w:pPr>
              <w:spacing w:after="0"/>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lang w:val="en-US" w:eastAsia="zh-CN"/>
              </w:rPr>
              <w:t>HE</w:t>
            </w:r>
            <w:r w:rsidR="00F97E8A" w:rsidRPr="00233EC8">
              <w:rPr>
                <w:rFonts w:ascii="Times New Roman" w:eastAsia="Times New Roman" w:hAnsi="Times New Roman" w:cs="Times New Roman"/>
                <w:sz w:val="20"/>
                <w:szCs w:val="20"/>
                <w:lang w:val="en-US" w:eastAsia="zh-CN"/>
              </w:rPr>
              <w:t>RDI</w:t>
            </w:r>
          </w:p>
          <w:p w14:paraId="3ACD388C" w14:textId="77777777" w:rsidR="00F97E8A" w:rsidRPr="00233EC8" w:rsidRDefault="00F97E8A" w:rsidP="00356ADA">
            <w:pPr>
              <w:spacing w:after="0"/>
              <w:rPr>
                <w:rFonts w:ascii="Times New Roman" w:eastAsia="Times New Roman" w:hAnsi="Times New Roman" w:cs="Times New Roman"/>
                <w:sz w:val="20"/>
                <w:szCs w:val="20"/>
              </w:rPr>
            </w:pPr>
            <w:r w:rsidRPr="00233EC8">
              <w:rPr>
                <w:rFonts w:ascii="Times New Roman" w:eastAsia="Times New Roman" w:hAnsi="Times New Roman" w:cs="Times New Roman"/>
                <w:sz w:val="20"/>
                <w:szCs w:val="20"/>
                <w:lang w:val="en-US" w:eastAsia="zh-CN"/>
              </w:rPr>
              <w:t>(2)</w:t>
            </w:r>
          </w:p>
        </w:tc>
        <w:tc>
          <w:tcPr>
            <w:tcW w:w="1701" w:type="dxa"/>
            <w:tcBorders>
              <w:top w:val="single" w:sz="12" w:space="0" w:color="auto"/>
              <w:left w:val="nil"/>
              <w:bottom w:val="single" w:sz="2" w:space="0" w:color="auto"/>
              <w:right w:val="nil"/>
            </w:tcBorders>
          </w:tcPr>
          <w:p w14:paraId="6DFF201C" w14:textId="77777777" w:rsidR="00F97E8A" w:rsidRPr="00233EC8" w:rsidRDefault="00F97E8A" w:rsidP="00356ADA">
            <w:pPr>
              <w:spacing w:after="0"/>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lang w:val="en-US" w:eastAsia="zh-CN"/>
              </w:rPr>
              <w:t>System-GMM</w:t>
            </w:r>
          </w:p>
          <w:p w14:paraId="6F7FB66C" w14:textId="548436EE" w:rsidR="00F97E8A" w:rsidRPr="00233EC8" w:rsidRDefault="007E539E" w:rsidP="00356ADA">
            <w:pPr>
              <w:spacing w:after="0"/>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lang w:val="en-US" w:eastAsia="zh-CN"/>
              </w:rPr>
              <w:t>HE</w:t>
            </w:r>
            <w:r w:rsidR="00F97E8A" w:rsidRPr="00233EC8">
              <w:rPr>
                <w:rFonts w:ascii="Times New Roman" w:eastAsia="Times New Roman" w:hAnsi="Times New Roman" w:cs="Times New Roman"/>
                <w:sz w:val="20"/>
                <w:szCs w:val="20"/>
                <w:lang w:val="en-US" w:eastAsia="zh-CN"/>
              </w:rPr>
              <w:t>RDI</w:t>
            </w:r>
          </w:p>
          <w:p w14:paraId="11864EF0" w14:textId="77777777" w:rsidR="00F97E8A" w:rsidRPr="00233EC8" w:rsidRDefault="00F97E8A" w:rsidP="00356ADA">
            <w:pPr>
              <w:spacing w:after="0"/>
              <w:rPr>
                <w:rFonts w:ascii="Times New Roman" w:eastAsia="Times New Roman" w:hAnsi="Times New Roman" w:cs="Times New Roman"/>
                <w:sz w:val="20"/>
                <w:szCs w:val="20"/>
              </w:rPr>
            </w:pPr>
            <w:r w:rsidRPr="00233EC8">
              <w:rPr>
                <w:rFonts w:ascii="Times New Roman" w:eastAsia="Times New Roman" w:hAnsi="Times New Roman" w:cs="Times New Roman"/>
                <w:sz w:val="20"/>
                <w:szCs w:val="20"/>
                <w:lang w:val="en-US" w:eastAsia="zh-CN"/>
              </w:rPr>
              <w:t>(3)</w:t>
            </w:r>
          </w:p>
        </w:tc>
      </w:tr>
      <w:tr w:rsidR="00F97E8A" w:rsidRPr="00233EC8" w14:paraId="65FEBAB7" w14:textId="77777777" w:rsidTr="00B572FE">
        <w:trPr>
          <w:trHeight w:val="144"/>
        </w:trPr>
        <w:tc>
          <w:tcPr>
            <w:tcW w:w="7944" w:type="dxa"/>
            <w:gridSpan w:val="4"/>
            <w:tcBorders>
              <w:top w:val="single" w:sz="2" w:space="0" w:color="auto"/>
              <w:left w:val="nil"/>
              <w:bottom w:val="nil"/>
              <w:right w:val="nil"/>
            </w:tcBorders>
          </w:tcPr>
          <w:p w14:paraId="53862F7F" w14:textId="77777777" w:rsidR="00F97E8A" w:rsidRDefault="00F97E8A" w:rsidP="00356ADA">
            <w:pPr>
              <w:spacing w:after="0"/>
              <w:rPr>
                <w:rFonts w:ascii="Times New Roman" w:eastAsia="Times New Roman" w:hAnsi="Times New Roman" w:cs="Times New Roman"/>
                <w:i/>
                <w:iCs/>
                <w:sz w:val="20"/>
                <w:szCs w:val="20"/>
              </w:rPr>
            </w:pPr>
          </w:p>
          <w:p w14:paraId="5DD8ECBB" w14:textId="10E7BC81" w:rsidR="00F97E8A" w:rsidRPr="00233EC8" w:rsidRDefault="00F97E8A" w:rsidP="00356ADA">
            <w:pPr>
              <w:spacing w:after="0"/>
              <w:rPr>
                <w:rFonts w:ascii="Times New Roman" w:eastAsia="Times New Roman" w:hAnsi="Times New Roman" w:cs="Times New Roman"/>
                <w:sz w:val="20"/>
                <w:szCs w:val="20"/>
              </w:rPr>
            </w:pPr>
            <w:r w:rsidRPr="00233EC8">
              <w:rPr>
                <w:rFonts w:ascii="Times New Roman" w:eastAsia="Times New Roman" w:hAnsi="Times New Roman" w:cs="Times New Roman"/>
                <w:i/>
                <w:iCs/>
                <w:sz w:val="20"/>
                <w:szCs w:val="20"/>
              </w:rPr>
              <w:t xml:space="preserve">HEI governance </w:t>
            </w:r>
            <w:r w:rsidR="000D5284">
              <w:rPr>
                <w:rFonts w:ascii="Times New Roman" w:eastAsia="Times New Roman" w:hAnsi="Times New Roman" w:cs="Times New Roman"/>
                <w:i/>
                <w:iCs/>
                <w:sz w:val="20"/>
                <w:szCs w:val="20"/>
              </w:rPr>
              <w:t>quality</w:t>
            </w:r>
            <w:r w:rsidR="007E539E">
              <w:rPr>
                <w:rFonts w:ascii="Times New Roman" w:eastAsia="Times New Roman" w:hAnsi="Times New Roman" w:cs="Times New Roman"/>
                <w:i/>
                <w:iCs/>
                <w:sz w:val="20"/>
                <w:szCs w:val="20"/>
              </w:rPr>
              <w:t xml:space="preserve"> index</w:t>
            </w:r>
            <w:r w:rsidRPr="00233EC8">
              <w:rPr>
                <w:rFonts w:ascii="Times New Roman" w:eastAsia="Times New Roman" w:hAnsi="Times New Roman" w:cs="Times New Roman"/>
                <w:i/>
                <w:iCs/>
                <w:sz w:val="20"/>
                <w:szCs w:val="20"/>
              </w:rPr>
              <w:t>:</w:t>
            </w:r>
          </w:p>
        </w:tc>
      </w:tr>
      <w:tr w:rsidR="00F97E8A" w:rsidRPr="00233EC8" w14:paraId="14925774" w14:textId="77777777" w:rsidTr="00B572FE">
        <w:trPr>
          <w:trHeight w:val="144"/>
        </w:trPr>
        <w:tc>
          <w:tcPr>
            <w:tcW w:w="2835" w:type="dxa"/>
            <w:tcBorders>
              <w:top w:val="nil"/>
              <w:left w:val="nil"/>
              <w:bottom w:val="nil"/>
              <w:right w:val="nil"/>
            </w:tcBorders>
          </w:tcPr>
          <w:p w14:paraId="784DF730" w14:textId="0F35505A" w:rsidR="00F97E8A" w:rsidRPr="00233EC8" w:rsidRDefault="007E539E" w:rsidP="00356ADA">
            <w:pPr>
              <w:spacing w:after="0"/>
              <w:ind w:left="175"/>
              <w:rPr>
                <w:rFonts w:ascii="Times New Roman" w:eastAsia="Times New Roman" w:hAnsi="Times New Roman" w:cs="Times New Roman"/>
                <w:i/>
                <w:iCs/>
                <w:sz w:val="18"/>
                <w:szCs w:val="18"/>
              </w:rPr>
            </w:pPr>
            <w:r>
              <w:rPr>
                <w:rFonts w:ascii="Times New Roman" w:eastAsia="Times New Roman" w:hAnsi="Times New Roman" w:cs="Times New Roman"/>
                <w:sz w:val="18"/>
                <w:szCs w:val="18"/>
              </w:rPr>
              <w:t>HE</w:t>
            </w:r>
            <w:r w:rsidR="00F97E8A" w:rsidRPr="00233EC8">
              <w:rPr>
                <w:rFonts w:ascii="Times New Roman" w:eastAsia="Times New Roman" w:hAnsi="Times New Roman" w:cs="Times New Roman"/>
                <w:sz w:val="18"/>
                <w:szCs w:val="18"/>
              </w:rPr>
              <w:t>GQI</w:t>
            </w:r>
          </w:p>
        </w:tc>
        <w:tc>
          <w:tcPr>
            <w:tcW w:w="1707" w:type="dxa"/>
            <w:tcBorders>
              <w:top w:val="nil"/>
              <w:left w:val="nil"/>
              <w:bottom w:val="nil"/>
              <w:right w:val="nil"/>
            </w:tcBorders>
          </w:tcPr>
          <w:p w14:paraId="6210DE2D" w14:textId="4EB89B00" w:rsidR="00F97E8A" w:rsidRPr="006A1735" w:rsidRDefault="00F97E8A" w:rsidP="00356ADA">
            <w:pPr>
              <w:spacing w:after="0"/>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0.1</w:t>
            </w:r>
            <w:r w:rsidR="00273AF1">
              <w:rPr>
                <w:rFonts w:ascii="Times New Roman" w:eastAsia="Times New Roman" w:hAnsi="Times New Roman" w:cs="Times New Roman"/>
                <w:sz w:val="20"/>
                <w:szCs w:val="20"/>
              </w:rPr>
              <w:t>11</w:t>
            </w:r>
            <w:r>
              <w:rPr>
                <w:rFonts w:ascii="Times New Roman" w:eastAsia="Times New Roman" w:hAnsi="Times New Roman" w:cs="Times New Roman"/>
                <w:sz w:val="20"/>
                <w:szCs w:val="20"/>
              </w:rPr>
              <w:t>(.000)</w:t>
            </w:r>
            <w:r>
              <w:rPr>
                <w:rFonts w:ascii="Times New Roman" w:eastAsia="Times New Roman" w:hAnsi="Times New Roman" w:cs="Times New Roman"/>
                <w:sz w:val="20"/>
                <w:szCs w:val="20"/>
                <w:vertAlign w:val="superscript"/>
              </w:rPr>
              <w:t>***</w:t>
            </w:r>
          </w:p>
        </w:tc>
        <w:tc>
          <w:tcPr>
            <w:tcW w:w="1701" w:type="dxa"/>
            <w:tcBorders>
              <w:top w:val="nil"/>
              <w:left w:val="nil"/>
              <w:bottom w:val="nil"/>
              <w:right w:val="nil"/>
            </w:tcBorders>
          </w:tcPr>
          <w:p w14:paraId="3C285A5C" w14:textId="61EB81F7" w:rsidR="00F97E8A" w:rsidRPr="00CE4D30" w:rsidRDefault="00F97E8A" w:rsidP="00356ADA">
            <w:pPr>
              <w:spacing w:after="0"/>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0.</w:t>
            </w:r>
            <w:r w:rsidR="00582E1C">
              <w:rPr>
                <w:rFonts w:ascii="Times New Roman" w:eastAsia="Times New Roman" w:hAnsi="Times New Roman" w:cs="Times New Roman"/>
                <w:sz w:val="20"/>
                <w:szCs w:val="20"/>
              </w:rPr>
              <w:t>227</w:t>
            </w:r>
            <w:r>
              <w:rPr>
                <w:rFonts w:ascii="Times New Roman" w:eastAsia="Times New Roman" w:hAnsi="Times New Roman" w:cs="Times New Roman"/>
                <w:sz w:val="20"/>
                <w:szCs w:val="20"/>
              </w:rPr>
              <w:t>(.000)</w:t>
            </w:r>
            <w:r>
              <w:rPr>
                <w:rFonts w:ascii="Times New Roman" w:eastAsia="Times New Roman" w:hAnsi="Times New Roman" w:cs="Times New Roman"/>
                <w:sz w:val="20"/>
                <w:szCs w:val="20"/>
                <w:vertAlign w:val="superscript"/>
              </w:rPr>
              <w:t>***</w:t>
            </w:r>
          </w:p>
        </w:tc>
        <w:tc>
          <w:tcPr>
            <w:tcW w:w="1701" w:type="dxa"/>
            <w:tcBorders>
              <w:top w:val="nil"/>
              <w:left w:val="nil"/>
              <w:bottom w:val="nil"/>
              <w:right w:val="nil"/>
            </w:tcBorders>
          </w:tcPr>
          <w:p w14:paraId="731F587B" w14:textId="27C96F7F" w:rsidR="00F97E8A" w:rsidRPr="00CE4D30" w:rsidRDefault="0002562B" w:rsidP="00356ADA">
            <w:pPr>
              <w:spacing w:after="0"/>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0.</w:t>
            </w:r>
            <w:r w:rsidR="00FD7370">
              <w:rPr>
                <w:rFonts w:ascii="Times New Roman" w:eastAsia="Times New Roman" w:hAnsi="Times New Roman" w:cs="Times New Roman"/>
                <w:sz w:val="20"/>
                <w:szCs w:val="20"/>
              </w:rPr>
              <w:t>01</w:t>
            </w:r>
            <w:r>
              <w:rPr>
                <w:rFonts w:ascii="Times New Roman" w:eastAsia="Times New Roman" w:hAnsi="Times New Roman" w:cs="Times New Roman"/>
                <w:sz w:val="20"/>
                <w:szCs w:val="20"/>
              </w:rPr>
              <w:t>9</w:t>
            </w:r>
            <w:r w:rsidR="00F97E8A">
              <w:rPr>
                <w:rFonts w:ascii="Times New Roman" w:eastAsia="Times New Roman" w:hAnsi="Times New Roman" w:cs="Times New Roman"/>
                <w:sz w:val="20"/>
                <w:szCs w:val="20"/>
              </w:rPr>
              <w:t>(.0</w:t>
            </w:r>
            <w:r>
              <w:rPr>
                <w:rFonts w:ascii="Times New Roman" w:eastAsia="Times New Roman" w:hAnsi="Times New Roman" w:cs="Times New Roman"/>
                <w:sz w:val="20"/>
                <w:szCs w:val="20"/>
              </w:rPr>
              <w:t>01</w:t>
            </w:r>
            <w:r w:rsidR="00F97E8A">
              <w:rPr>
                <w:rFonts w:ascii="Times New Roman" w:eastAsia="Times New Roman" w:hAnsi="Times New Roman" w:cs="Times New Roman"/>
                <w:sz w:val="20"/>
                <w:szCs w:val="20"/>
              </w:rPr>
              <w:t>)</w:t>
            </w:r>
            <w:r w:rsidR="00F97E8A">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vertAlign w:val="superscript"/>
              </w:rPr>
              <w:t>*</w:t>
            </w:r>
          </w:p>
        </w:tc>
      </w:tr>
      <w:tr w:rsidR="00F97E8A" w:rsidRPr="00233EC8" w14:paraId="55617627" w14:textId="77777777" w:rsidTr="00B572FE">
        <w:trPr>
          <w:trHeight w:val="127"/>
        </w:trPr>
        <w:tc>
          <w:tcPr>
            <w:tcW w:w="7944" w:type="dxa"/>
            <w:gridSpan w:val="4"/>
            <w:tcBorders>
              <w:top w:val="nil"/>
              <w:left w:val="nil"/>
              <w:bottom w:val="nil"/>
              <w:right w:val="nil"/>
            </w:tcBorders>
          </w:tcPr>
          <w:p w14:paraId="4D31BEDA" w14:textId="77777777" w:rsidR="00F97E8A" w:rsidRDefault="00F97E8A" w:rsidP="00356ADA">
            <w:pPr>
              <w:spacing w:after="0"/>
              <w:rPr>
                <w:rFonts w:ascii="Times New Roman" w:eastAsia="Times New Roman" w:hAnsi="Times New Roman" w:cs="Times New Roman"/>
                <w:i/>
                <w:iCs/>
                <w:sz w:val="20"/>
                <w:szCs w:val="20"/>
              </w:rPr>
            </w:pPr>
          </w:p>
          <w:p w14:paraId="08739681" w14:textId="6C7A8E07" w:rsidR="00F97E8A" w:rsidRPr="00233EC8" w:rsidRDefault="00F97E8A" w:rsidP="00356ADA">
            <w:pPr>
              <w:spacing w:after="0"/>
              <w:rPr>
                <w:rFonts w:ascii="Times New Roman" w:eastAsia="Times New Roman" w:hAnsi="Times New Roman" w:cs="Times New Roman"/>
                <w:sz w:val="20"/>
                <w:szCs w:val="20"/>
              </w:rPr>
            </w:pPr>
            <w:r w:rsidRPr="00A278E5">
              <w:rPr>
                <w:rFonts w:ascii="Times New Roman" w:eastAsia="Times New Roman" w:hAnsi="Times New Roman" w:cs="Times New Roman"/>
                <w:i/>
                <w:iCs/>
                <w:sz w:val="20"/>
                <w:szCs w:val="20"/>
              </w:rPr>
              <w:t>Controls (</w:t>
            </w:r>
            <w:r w:rsidR="006F1C64" w:rsidRPr="006F1C64">
              <w:rPr>
                <w:rFonts w:ascii="Times New Roman" w:eastAsia="Times New Roman" w:hAnsi="Times New Roman" w:cs="Times New Roman"/>
                <w:i/>
                <w:iCs/>
                <w:sz w:val="20"/>
                <w:szCs w:val="20"/>
              </w:rPr>
              <w:t>Vice-chancellor (VC) characteristics</w:t>
            </w:r>
            <w:r w:rsidRPr="00A278E5">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w:t>
            </w:r>
          </w:p>
        </w:tc>
      </w:tr>
      <w:tr w:rsidR="00AE6FD3" w:rsidRPr="00233EC8" w14:paraId="5726C3C1" w14:textId="77777777" w:rsidTr="00B572FE">
        <w:trPr>
          <w:trHeight w:val="127"/>
        </w:trPr>
        <w:tc>
          <w:tcPr>
            <w:tcW w:w="2835" w:type="dxa"/>
            <w:tcBorders>
              <w:top w:val="nil"/>
              <w:left w:val="nil"/>
              <w:bottom w:val="nil"/>
              <w:right w:val="nil"/>
            </w:tcBorders>
          </w:tcPr>
          <w:p w14:paraId="16FEA537" w14:textId="2A3700C6" w:rsidR="00AE6FD3" w:rsidRPr="00233EC8" w:rsidRDefault="00AE6FD3" w:rsidP="00AE6FD3">
            <w:pPr>
              <w:spacing w:after="0"/>
              <w:ind w:left="175"/>
              <w:rPr>
                <w:rFonts w:ascii="Times New Roman" w:eastAsia="Times New Roman" w:hAnsi="Times New Roman" w:cs="Times New Roman"/>
                <w:sz w:val="20"/>
                <w:szCs w:val="20"/>
              </w:rPr>
            </w:pPr>
            <w:r w:rsidRPr="00482A24">
              <w:rPr>
                <w:rFonts w:ascii="Times New Roman" w:eastAsia="Times New Roman" w:hAnsi="Times New Roman" w:cs="Times New Roman"/>
                <w:sz w:val="20"/>
                <w:szCs w:val="20"/>
              </w:rPr>
              <w:t>VCAG</w:t>
            </w:r>
            <w:r w:rsidR="0058519D">
              <w:rPr>
                <w:rFonts w:ascii="Times New Roman" w:eastAsia="Times New Roman" w:hAnsi="Times New Roman" w:cs="Times New Roman"/>
                <w:sz w:val="20"/>
                <w:szCs w:val="20"/>
              </w:rPr>
              <w:t>E</w:t>
            </w:r>
          </w:p>
        </w:tc>
        <w:tc>
          <w:tcPr>
            <w:tcW w:w="1707" w:type="dxa"/>
            <w:tcBorders>
              <w:top w:val="nil"/>
              <w:left w:val="nil"/>
              <w:bottom w:val="nil"/>
              <w:right w:val="nil"/>
            </w:tcBorders>
          </w:tcPr>
          <w:p w14:paraId="4214E9CD" w14:textId="2786F78D" w:rsidR="00AE6FD3" w:rsidRPr="006A1735" w:rsidRDefault="00C75E31" w:rsidP="00AE6FD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-0.031</w:t>
            </w:r>
            <w:r w:rsidR="00AE6FD3">
              <w:rPr>
                <w:rFonts w:ascii="Times New Roman" w:eastAsia="Times New Roman" w:hAnsi="Times New Roman" w:cs="Times New Roman"/>
                <w:sz w:val="20"/>
                <w:szCs w:val="20"/>
              </w:rPr>
              <w:t>(.</w:t>
            </w:r>
            <w:r>
              <w:rPr>
                <w:rFonts w:ascii="Times New Roman" w:eastAsia="Times New Roman" w:hAnsi="Times New Roman" w:cs="Times New Roman"/>
                <w:sz w:val="20"/>
                <w:szCs w:val="20"/>
              </w:rPr>
              <w:t>118</w:t>
            </w:r>
            <w:r w:rsidR="00AE6FD3">
              <w:rPr>
                <w:rFonts w:ascii="Times New Roman" w:eastAsia="Times New Roman" w:hAnsi="Times New Roman" w:cs="Times New Roman"/>
                <w:sz w:val="20"/>
                <w:szCs w:val="20"/>
              </w:rPr>
              <w:t>)</w:t>
            </w:r>
          </w:p>
        </w:tc>
        <w:tc>
          <w:tcPr>
            <w:tcW w:w="1701" w:type="dxa"/>
            <w:tcBorders>
              <w:top w:val="nil"/>
              <w:left w:val="nil"/>
              <w:bottom w:val="nil"/>
              <w:right w:val="nil"/>
            </w:tcBorders>
          </w:tcPr>
          <w:p w14:paraId="375A2781" w14:textId="249EF2A0" w:rsidR="00AE6FD3" w:rsidRPr="006A1735" w:rsidRDefault="00582E1C" w:rsidP="00AE6FD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-0.022</w:t>
            </w:r>
            <w:r w:rsidR="00AE6FD3">
              <w:rPr>
                <w:rFonts w:ascii="Times New Roman" w:eastAsia="Times New Roman" w:hAnsi="Times New Roman" w:cs="Times New Roman"/>
                <w:sz w:val="20"/>
                <w:szCs w:val="20"/>
              </w:rPr>
              <w:t>(.</w:t>
            </w:r>
            <w:r>
              <w:rPr>
                <w:rFonts w:ascii="Times New Roman" w:eastAsia="Times New Roman" w:hAnsi="Times New Roman" w:cs="Times New Roman"/>
                <w:sz w:val="20"/>
                <w:szCs w:val="20"/>
              </w:rPr>
              <w:t>364</w:t>
            </w:r>
            <w:r w:rsidR="00AE6FD3">
              <w:rPr>
                <w:rFonts w:ascii="Times New Roman" w:eastAsia="Times New Roman" w:hAnsi="Times New Roman" w:cs="Times New Roman"/>
                <w:sz w:val="20"/>
                <w:szCs w:val="20"/>
              </w:rPr>
              <w:t>)</w:t>
            </w:r>
          </w:p>
        </w:tc>
        <w:tc>
          <w:tcPr>
            <w:tcW w:w="1701" w:type="dxa"/>
            <w:tcBorders>
              <w:top w:val="nil"/>
              <w:left w:val="nil"/>
              <w:bottom w:val="nil"/>
              <w:right w:val="nil"/>
            </w:tcBorders>
          </w:tcPr>
          <w:p w14:paraId="18AA4506" w14:textId="41B9E199" w:rsidR="00AE6FD3" w:rsidRPr="006A1735" w:rsidRDefault="005B2F8E" w:rsidP="00AE6FD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-0.002</w:t>
            </w:r>
            <w:r w:rsidR="00AE6FD3">
              <w:rPr>
                <w:rFonts w:ascii="Times New Roman" w:eastAsia="Times New Roman" w:hAnsi="Times New Roman" w:cs="Times New Roman"/>
                <w:sz w:val="20"/>
                <w:szCs w:val="20"/>
              </w:rPr>
              <w:t>(.</w:t>
            </w:r>
            <w:r>
              <w:rPr>
                <w:rFonts w:ascii="Times New Roman" w:eastAsia="Times New Roman" w:hAnsi="Times New Roman" w:cs="Times New Roman"/>
                <w:sz w:val="20"/>
                <w:szCs w:val="20"/>
              </w:rPr>
              <w:t>746</w:t>
            </w:r>
            <w:r w:rsidR="00AE6FD3">
              <w:rPr>
                <w:rFonts w:ascii="Times New Roman" w:eastAsia="Times New Roman" w:hAnsi="Times New Roman" w:cs="Times New Roman"/>
                <w:sz w:val="20"/>
                <w:szCs w:val="20"/>
              </w:rPr>
              <w:t>)</w:t>
            </w:r>
          </w:p>
        </w:tc>
      </w:tr>
      <w:tr w:rsidR="00AE6FD3" w:rsidRPr="00233EC8" w14:paraId="557CE031" w14:textId="77777777" w:rsidTr="00B572FE">
        <w:trPr>
          <w:trHeight w:val="173"/>
        </w:trPr>
        <w:tc>
          <w:tcPr>
            <w:tcW w:w="2835" w:type="dxa"/>
            <w:tcBorders>
              <w:top w:val="nil"/>
              <w:left w:val="nil"/>
              <w:bottom w:val="nil"/>
              <w:right w:val="nil"/>
            </w:tcBorders>
          </w:tcPr>
          <w:p w14:paraId="0530B562" w14:textId="663222B1" w:rsidR="00AE6FD3" w:rsidRPr="00233EC8" w:rsidRDefault="00AE6FD3" w:rsidP="00AE6FD3">
            <w:pPr>
              <w:spacing w:after="0"/>
              <w:ind w:left="175"/>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VCG</w:t>
            </w:r>
            <w:r w:rsidR="0058519D">
              <w:rPr>
                <w:rFonts w:ascii="Times New Roman" w:eastAsia="Times New Roman" w:hAnsi="Times New Roman" w:cs="Times New Roman"/>
                <w:sz w:val="20"/>
                <w:szCs w:val="20"/>
              </w:rPr>
              <w:t>EN</w:t>
            </w:r>
          </w:p>
        </w:tc>
        <w:tc>
          <w:tcPr>
            <w:tcW w:w="1707" w:type="dxa"/>
            <w:tcBorders>
              <w:top w:val="nil"/>
              <w:left w:val="nil"/>
              <w:bottom w:val="nil"/>
              <w:right w:val="nil"/>
            </w:tcBorders>
          </w:tcPr>
          <w:p w14:paraId="38AB2427" w14:textId="35FE727E" w:rsidR="00AE6FD3" w:rsidRPr="006A1735" w:rsidRDefault="00875F49" w:rsidP="00AE6FD3">
            <w:pPr>
              <w:spacing w:after="0"/>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w:t>
            </w:r>
            <w:r w:rsidR="00AE6FD3">
              <w:rPr>
                <w:rFonts w:ascii="Times New Roman" w:eastAsia="Times New Roman" w:hAnsi="Times New Roman" w:cs="Times New Roman"/>
                <w:sz w:val="20"/>
                <w:szCs w:val="20"/>
              </w:rPr>
              <w:t>0.00</w:t>
            </w:r>
            <w:r w:rsidR="00C75E31">
              <w:rPr>
                <w:rFonts w:ascii="Times New Roman" w:eastAsia="Times New Roman" w:hAnsi="Times New Roman" w:cs="Times New Roman"/>
                <w:sz w:val="20"/>
                <w:szCs w:val="20"/>
              </w:rPr>
              <w:t>3</w:t>
            </w:r>
            <w:r w:rsidR="00AE6FD3">
              <w:rPr>
                <w:rFonts w:ascii="Times New Roman" w:eastAsia="Times New Roman" w:hAnsi="Times New Roman" w:cs="Times New Roman"/>
                <w:sz w:val="20"/>
                <w:szCs w:val="20"/>
              </w:rPr>
              <w:t>(.</w:t>
            </w:r>
            <w:r w:rsidR="00C75E31">
              <w:rPr>
                <w:rFonts w:ascii="Times New Roman" w:eastAsia="Times New Roman" w:hAnsi="Times New Roman" w:cs="Times New Roman"/>
                <w:sz w:val="20"/>
                <w:szCs w:val="20"/>
              </w:rPr>
              <w:t>532</w:t>
            </w:r>
            <w:r w:rsidR="00AE6FD3">
              <w:rPr>
                <w:rFonts w:ascii="Times New Roman" w:eastAsia="Times New Roman" w:hAnsi="Times New Roman" w:cs="Times New Roman"/>
                <w:sz w:val="20"/>
                <w:szCs w:val="20"/>
              </w:rPr>
              <w:t>)</w:t>
            </w:r>
          </w:p>
        </w:tc>
        <w:tc>
          <w:tcPr>
            <w:tcW w:w="1701" w:type="dxa"/>
            <w:tcBorders>
              <w:top w:val="nil"/>
              <w:left w:val="nil"/>
              <w:bottom w:val="nil"/>
              <w:right w:val="nil"/>
            </w:tcBorders>
          </w:tcPr>
          <w:p w14:paraId="1896C4D0" w14:textId="13A76EE7" w:rsidR="00AE6FD3" w:rsidRPr="00CE4D30" w:rsidRDefault="00582E1C" w:rsidP="00AE6FD3">
            <w:pPr>
              <w:spacing w:after="0"/>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-0.002</w:t>
            </w:r>
            <w:r w:rsidR="00AE6FD3">
              <w:rPr>
                <w:rFonts w:ascii="Times New Roman" w:eastAsia="Times New Roman" w:hAnsi="Times New Roman" w:cs="Times New Roman"/>
                <w:sz w:val="20"/>
                <w:szCs w:val="20"/>
              </w:rPr>
              <w:t>(.</w:t>
            </w:r>
            <w:r>
              <w:rPr>
                <w:rFonts w:ascii="Times New Roman" w:eastAsia="Times New Roman" w:hAnsi="Times New Roman" w:cs="Times New Roman"/>
                <w:sz w:val="20"/>
                <w:szCs w:val="20"/>
              </w:rPr>
              <w:t>667</w:t>
            </w:r>
            <w:r w:rsidR="00AE6FD3">
              <w:rPr>
                <w:rFonts w:ascii="Times New Roman" w:eastAsia="Times New Roman" w:hAnsi="Times New Roman" w:cs="Times New Roman"/>
                <w:sz w:val="20"/>
                <w:szCs w:val="20"/>
              </w:rPr>
              <w:t>)</w:t>
            </w:r>
          </w:p>
        </w:tc>
        <w:tc>
          <w:tcPr>
            <w:tcW w:w="1701" w:type="dxa"/>
            <w:tcBorders>
              <w:top w:val="nil"/>
              <w:left w:val="nil"/>
              <w:bottom w:val="nil"/>
              <w:right w:val="nil"/>
            </w:tcBorders>
          </w:tcPr>
          <w:p w14:paraId="6B090E77" w14:textId="04D51AEC" w:rsidR="00AE6FD3" w:rsidRPr="005B2F8E" w:rsidRDefault="005B2F8E" w:rsidP="00AE6FD3">
            <w:pPr>
              <w:spacing w:after="0"/>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0.078</w:t>
            </w:r>
            <w:r w:rsidR="00AE6FD3">
              <w:rPr>
                <w:rFonts w:ascii="Times New Roman" w:eastAsia="Times New Roman" w:hAnsi="Times New Roman" w:cs="Times New Roman"/>
                <w:sz w:val="20"/>
                <w:szCs w:val="20"/>
              </w:rPr>
              <w:t>(.</w:t>
            </w:r>
            <w:r>
              <w:rPr>
                <w:rFonts w:ascii="Times New Roman" w:eastAsia="Times New Roman" w:hAnsi="Times New Roman" w:cs="Times New Roman"/>
                <w:sz w:val="20"/>
                <w:szCs w:val="20"/>
              </w:rPr>
              <w:t>000</w:t>
            </w:r>
            <w:r w:rsidR="00AE6FD3">
              <w:rPr>
                <w:rFonts w:ascii="Times New Roman" w:eastAsia="Times New Roman" w:hAnsi="Times New Roman" w:cs="Times New Roman"/>
                <w:sz w:val="20"/>
                <w:szCs w:val="20"/>
              </w:rPr>
              <w:t>)</w:t>
            </w:r>
            <w:r>
              <w:rPr>
                <w:rFonts w:ascii="Times New Roman" w:eastAsia="Times New Roman" w:hAnsi="Times New Roman" w:cs="Times New Roman"/>
                <w:sz w:val="20"/>
                <w:szCs w:val="20"/>
                <w:vertAlign w:val="superscript"/>
              </w:rPr>
              <w:t>***</w:t>
            </w:r>
          </w:p>
        </w:tc>
      </w:tr>
      <w:tr w:rsidR="00AE6FD3" w:rsidRPr="00233EC8" w14:paraId="0E0F122C" w14:textId="77777777" w:rsidTr="00B572FE">
        <w:trPr>
          <w:trHeight w:val="173"/>
        </w:trPr>
        <w:tc>
          <w:tcPr>
            <w:tcW w:w="2835" w:type="dxa"/>
            <w:tcBorders>
              <w:top w:val="nil"/>
              <w:left w:val="nil"/>
              <w:bottom w:val="nil"/>
              <w:right w:val="nil"/>
            </w:tcBorders>
          </w:tcPr>
          <w:p w14:paraId="32B1A679" w14:textId="492F95B7" w:rsidR="00AE6FD3" w:rsidRPr="00233EC8" w:rsidRDefault="00AE6FD3" w:rsidP="00AE6FD3">
            <w:pPr>
              <w:spacing w:after="0"/>
              <w:ind w:left="175"/>
              <w:rPr>
                <w:rFonts w:ascii="Times New Roman" w:eastAsia="Times New Roman" w:hAnsi="Times New Roman" w:cs="Times New Roman"/>
                <w:sz w:val="20"/>
                <w:szCs w:val="20"/>
                <w:vertAlign w:val="superscript"/>
              </w:rPr>
            </w:pPr>
            <w:r w:rsidRPr="00AE6FD3">
              <w:rPr>
                <w:rFonts w:ascii="Times New Roman" w:hAnsi="Times New Roman" w:cs="Times New Roman"/>
                <w:sz w:val="20"/>
                <w:szCs w:val="20"/>
              </w:rPr>
              <w:t>VCA</w:t>
            </w:r>
            <w:r w:rsidR="0058519D">
              <w:rPr>
                <w:rFonts w:ascii="Times New Roman" w:hAnsi="Times New Roman" w:cs="Times New Roman"/>
                <w:sz w:val="20"/>
                <w:szCs w:val="20"/>
              </w:rPr>
              <w:t>C</w:t>
            </w:r>
            <w:r w:rsidRPr="00AE6FD3">
              <w:rPr>
                <w:rFonts w:ascii="Times New Roman" w:hAnsi="Times New Roman" w:cs="Times New Roman"/>
                <w:sz w:val="20"/>
                <w:szCs w:val="20"/>
              </w:rPr>
              <w:t>D</w:t>
            </w:r>
          </w:p>
        </w:tc>
        <w:tc>
          <w:tcPr>
            <w:tcW w:w="1707" w:type="dxa"/>
            <w:tcBorders>
              <w:top w:val="nil"/>
              <w:left w:val="nil"/>
              <w:bottom w:val="nil"/>
              <w:right w:val="nil"/>
            </w:tcBorders>
          </w:tcPr>
          <w:p w14:paraId="644C2E4C" w14:textId="78254C4A" w:rsidR="00AE6FD3" w:rsidRPr="006A1735" w:rsidRDefault="00875F49" w:rsidP="00AE6FD3">
            <w:pPr>
              <w:spacing w:after="0"/>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w:t>
            </w:r>
            <w:r w:rsidR="00AE6FD3">
              <w:rPr>
                <w:rFonts w:ascii="Times New Roman" w:eastAsia="Times New Roman" w:hAnsi="Times New Roman" w:cs="Times New Roman"/>
                <w:sz w:val="20"/>
                <w:szCs w:val="20"/>
              </w:rPr>
              <w:t>0.0</w:t>
            </w:r>
            <w:r w:rsidR="00C75E31">
              <w:rPr>
                <w:rFonts w:ascii="Times New Roman" w:eastAsia="Times New Roman" w:hAnsi="Times New Roman" w:cs="Times New Roman"/>
                <w:sz w:val="20"/>
                <w:szCs w:val="20"/>
              </w:rPr>
              <w:t>00</w:t>
            </w:r>
            <w:r w:rsidR="00AE6FD3">
              <w:rPr>
                <w:rFonts w:ascii="Times New Roman" w:eastAsia="Times New Roman" w:hAnsi="Times New Roman" w:cs="Times New Roman"/>
                <w:sz w:val="20"/>
                <w:szCs w:val="20"/>
              </w:rPr>
              <w:t>(.</w:t>
            </w:r>
            <w:r w:rsidR="00C75E31">
              <w:rPr>
                <w:rFonts w:ascii="Times New Roman" w:eastAsia="Times New Roman" w:hAnsi="Times New Roman" w:cs="Times New Roman"/>
                <w:sz w:val="20"/>
                <w:szCs w:val="20"/>
              </w:rPr>
              <w:t>506</w:t>
            </w:r>
            <w:r w:rsidR="00AE6FD3">
              <w:rPr>
                <w:rFonts w:ascii="Times New Roman" w:eastAsia="Times New Roman" w:hAnsi="Times New Roman" w:cs="Times New Roman"/>
                <w:sz w:val="20"/>
                <w:szCs w:val="20"/>
              </w:rPr>
              <w:t>)</w:t>
            </w:r>
          </w:p>
        </w:tc>
        <w:tc>
          <w:tcPr>
            <w:tcW w:w="1701" w:type="dxa"/>
            <w:tcBorders>
              <w:top w:val="nil"/>
              <w:left w:val="nil"/>
              <w:bottom w:val="nil"/>
              <w:right w:val="nil"/>
            </w:tcBorders>
          </w:tcPr>
          <w:p w14:paraId="5998F83E" w14:textId="417192D1" w:rsidR="00AE6FD3" w:rsidRPr="00CE4D30" w:rsidRDefault="00582E1C" w:rsidP="00AE6FD3">
            <w:pPr>
              <w:spacing w:after="0"/>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-0.001</w:t>
            </w:r>
            <w:r w:rsidR="00AE6FD3">
              <w:rPr>
                <w:rFonts w:ascii="Times New Roman" w:eastAsia="Times New Roman" w:hAnsi="Times New Roman" w:cs="Times New Roman"/>
                <w:sz w:val="20"/>
                <w:szCs w:val="20"/>
              </w:rPr>
              <w:t>(.</w:t>
            </w:r>
            <w:r>
              <w:rPr>
                <w:rFonts w:ascii="Times New Roman" w:eastAsia="Times New Roman" w:hAnsi="Times New Roman" w:cs="Times New Roman"/>
                <w:sz w:val="20"/>
                <w:szCs w:val="20"/>
              </w:rPr>
              <w:t>461</w:t>
            </w:r>
            <w:r w:rsidR="00AE6FD3">
              <w:rPr>
                <w:rFonts w:ascii="Times New Roman" w:eastAsia="Times New Roman" w:hAnsi="Times New Roman" w:cs="Times New Roman"/>
                <w:sz w:val="20"/>
                <w:szCs w:val="20"/>
              </w:rPr>
              <w:t>)</w:t>
            </w:r>
          </w:p>
        </w:tc>
        <w:tc>
          <w:tcPr>
            <w:tcW w:w="1701" w:type="dxa"/>
            <w:tcBorders>
              <w:top w:val="nil"/>
              <w:left w:val="nil"/>
              <w:bottom w:val="nil"/>
              <w:right w:val="nil"/>
            </w:tcBorders>
          </w:tcPr>
          <w:p w14:paraId="5C784C2C" w14:textId="4AFDA42B" w:rsidR="00AE6FD3" w:rsidRPr="005B2F8E" w:rsidRDefault="005B2F8E" w:rsidP="00AE6FD3">
            <w:pPr>
              <w:spacing w:after="0"/>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0.001</w:t>
            </w:r>
            <w:r w:rsidR="00AE6FD3">
              <w:rPr>
                <w:rFonts w:ascii="Times New Roman" w:eastAsia="Times New Roman" w:hAnsi="Times New Roman" w:cs="Times New Roman"/>
                <w:sz w:val="20"/>
                <w:szCs w:val="20"/>
              </w:rPr>
              <w:t>(.</w:t>
            </w:r>
            <w:r>
              <w:rPr>
                <w:rFonts w:ascii="Times New Roman" w:eastAsia="Times New Roman" w:hAnsi="Times New Roman" w:cs="Times New Roman"/>
                <w:sz w:val="20"/>
                <w:szCs w:val="20"/>
              </w:rPr>
              <w:t>001</w:t>
            </w:r>
            <w:r w:rsidR="00AE6FD3">
              <w:rPr>
                <w:rFonts w:ascii="Times New Roman" w:eastAsia="Times New Roman" w:hAnsi="Times New Roman" w:cs="Times New Roman"/>
                <w:sz w:val="20"/>
                <w:szCs w:val="20"/>
              </w:rPr>
              <w:t>)</w:t>
            </w:r>
            <w:r>
              <w:rPr>
                <w:rFonts w:ascii="Times New Roman" w:eastAsia="Times New Roman" w:hAnsi="Times New Roman" w:cs="Times New Roman"/>
                <w:sz w:val="20"/>
                <w:szCs w:val="20"/>
                <w:vertAlign w:val="superscript"/>
              </w:rPr>
              <w:t>***</w:t>
            </w:r>
          </w:p>
        </w:tc>
      </w:tr>
      <w:tr w:rsidR="00AE6FD3" w:rsidRPr="00233EC8" w14:paraId="3D4E47CF" w14:textId="77777777" w:rsidTr="00B572FE">
        <w:trPr>
          <w:trHeight w:val="173"/>
        </w:trPr>
        <w:tc>
          <w:tcPr>
            <w:tcW w:w="2835" w:type="dxa"/>
            <w:tcBorders>
              <w:top w:val="nil"/>
              <w:left w:val="nil"/>
              <w:bottom w:val="nil"/>
              <w:right w:val="nil"/>
            </w:tcBorders>
          </w:tcPr>
          <w:p w14:paraId="7338E1D2" w14:textId="70549273" w:rsidR="00AE6FD3" w:rsidRPr="00233EC8" w:rsidRDefault="00AE6FD3" w:rsidP="00AE6FD3">
            <w:pPr>
              <w:spacing w:after="0"/>
              <w:ind w:left="175"/>
              <w:rPr>
                <w:rFonts w:ascii="Times New Roman" w:eastAsia="Times New Roman" w:hAnsi="Times New Roman" w:cs="Times New Roman"/>
                <w:sz w:val="20"/>
                <w:szCs w:val="20"/>
              </w:rPr>
            </w:pPr>
            <w:r w:rsidRPr="00AE6FD3">
              <w:rPr>
                <w:rFonts w:ascii="Times New Roman" w:eastAsia="Times New Roman" w:hAnsi="Times New Roman" w:cs="Times New Roman"/>
                <w:sz w:val="20"/>
                <w:szCs w:val="20"/>
              </w:rPr>
              <w:t>VCT</w:t>
            </w:r>
            <w:r w:rsidR="0058519D">
              <w:rPr>
                <w:rFonts w:ascii="Times New Roman" w:eastAsia="Times New Roman" w:hAnsi="Times New Roman" w:cs="Times New Roman"/>
                <w:sz w:val="20"/>
                <w:szCs w:val="20"/>
              </w:rPr>
              <w:t>E</w:t>
            </w:r>
            <w:r w:rsidRPr="00AE6FD3">
              <w:rPr>
                <w:rFonts w:ascii="Times New Roman" w:eastAsia="Times New Roman" w:hAnsi="Times New Roman" w:cs="Times New Roman"/>
                <w:sz w:val="20"/>
                <w:szCs w:val="20"/>
              </w:rPr>
              <w:t>N</w:t>
            </w:r>
          </w:p>
        </w:tc>
        <w:tc>
          <w:tcPr>
            <w:tcW w:w="1707" w:type="dxa"/>
            <w:tcBorders>
              <w:top w:val="nil"/>
              <w:left w:val="nil"/>
              <w:bottom w:val="nil"/>
              <w:right w:val="nil"/>
            </w:tcBorders>
          </w:tcPr>
          <w:p w14:paraId="683C2C33" w14:textId="6FFB0CBC" w:rsidR="00AE6FD3" w:rsidRPr="00C75E31" w:rsidRDefault="00AE6FD3" w:rsidP="00AE6FD3">
            <w:pPr>
              <w:spacing w:after="0"/>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0.00</w:t>
            </w:r>
            <w:r w:rsidR="00C75E31">
              <w:rPr>
                <w:rFonts w:ascii="Times New Roman" w:eastAsia="Times New Roman" w:hAnsi="Times New Roman" w:cs="Times New Roman"/>
                <w:sz w:val="20"/>
                <w:szCs w:val="20"/>
              </w:rPr>
              <w:t>5</w:t>
            </w:r>
            <w:r>
              <w:rPr>
                <w:rFonts w:ascii="Times New Roman" w:eastAsia="Times New Roman" w:hAnsi="Times New Roman" w:cs="Times New Roman"/>
                <w:sz w:val="20"/>
                <w:szCs w:val="20"/>
              </w:rPr>
              <w:t>(.</w:t>
            </w:r>
            <w:r w:rsidR="00C75E31">
              <w:rPr>
                <w:rFonts w:ascii="Times New Roman" w:eastAsia="Times New Roman" w:hAnsi="Times New Roman" w:cs="Times New Roman"/>
                <w:sz w:val="20"/>
                <w:szCs w:val="20"/>
              </w:rPr>
              <w:t>011</w:t>
            </w:r>
            <w:r>
              <w:rPr>
                <w:rFonts w:ascii="Times New Roman" w:eastAsia="Times New Roman" w:hAnsi="Times New Roman" w:cs="Times New Roman"/>
                <w:sz w:val="20"/>
                <w:szCs w:val="20"/>
              </w:rPr>
              <w:t>)</w:t>
            </w:r>
            <w:r w:rsidR="00C75E31">
              <w:rPr>
                <w:rFonts w:ascii="Times New Roman" w:eastAsia="Times New Roman" w:hAnsi="Times New Roman" w:cs="Times New Roman"/>
                <w:sz w:val="20"/>
                <w:szCs w:val="20"/>
                <w:vertAlign w:val="superscript"/>
              </w:rPr>
              <w:t>**</w:t>
            </w:r>
          </w:p>
        </w:tc>
        <w:tc>
          <w:tcPr>
            <w:tcW w:w="1701" w:type="dxa"/>
            <w:tcBorders>
              <w:top w:val="nil"/>
              <w:left w:val="nil"/>
              <w:bottom w:val="nil"/>
              <w:right w:val="nil"/>
            </w:tcBorders>
          </w:tcPr>
          <w:p w14:paraId="6778848E" w14:textId="622832A1" w:rsidR="00AE6FD3" w:rsidRPr="006A1735" w:rsidRDefault="00AE6FD3" w:rsidP="00AE6FD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r w:rsidR="00582E1C">
              <w:rPr>
                <w:rFonts w:ascii="Times New Roman" w:eastAsia="Times New Roman" w:hAnsi="Times New Roman" w:cs="Times New Roman"/>
                <w:sz w:val="20"/>
                <w:szCs w:val="20"/>
              </w:rPr>
              <w:t>0</w:t>
            </w:r>
            <w:r>
              <w:rPr>
                <w:rFonts w:ascii="Times New Roman" w:eastAsia="Times New Roman" w:hAnsi="Times New Roman" w:cs="Times New Roman"/>
                <w:sz w:val="20"/>
                <w:szCs w:val="20"/>
              </w:rPr>
              <w:t>(.</w:t>
            </w:r>
            <w:r w:rsidR="00582E1C">
              <w:rPr>
                <w:rFonts w:ascii="Times New Roman" w:eastAsia="Times New Roman" w:hAnsi="Times New Roman" w:cs="Times New Roman"/>
                <w:sz w:val="20"/>
                <w:szCs w:val="20"/>
              </w:rPr>
              <w:t>969</w:t>
            </w:r>
            <w:r>
              <w:rPr>
                <w:rFonts w:ascii="Times New Roman" w:eastAsia="Times New Roman" w:hAnsi="Times New Roman" w:cs="Times New Roman"/>
                <w:sz w:val="20"/>
                <w:szCs w:val="20"/>
              </w:rPr>
              <w:t>)</w:t>
            </w:r>
          </w:p>
        </w:tc>
        <w:tc>
          <w:tcPr>
            <w:tcW w:w="1701" w:type="dxa"/>
            <w:tcBorders>
              <w:top w:val="nil"/>
              <w:left w:val="nil"/>
              <w:bottom w:val="nil"/>
              <w:right w:val="nil"/>
            </w:tcBorders>
          </w:tcPr>
          <w:p w14:paraId="1582283C" w14:textId="082D103D" w:rsidR="00AE6FD3" w:rsidRPr="005B2F8E" w:rsidRDefault="005B2F8E" w:rsidP="00AE6FD3">
            <w:pPr>
              <w:spacing w:after="0"/>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-0.001</w:t>
            </w:r>
            <w:r w:rsidR="00AE6FD3">
              <w:rPr>
                <w:rFonts w:ascii="Times New Roman" w:eastAsia="Times New Roman" w:hAnsi="Times New Roman" w:cs="Times New Roman"/>
                <w:sz w:val="20"/>
                <w:szCs w:val="20"/>
              </w:rPr>
              <w:t>(.</w:t>
            </w:r>
            <w:r>
              <w:rPr>
                <w:rFonts w:ascii="Times New Roman" w:eastAsia="Times New Roman" w:hAnsi="Times New Roman" w:cs="Times New Roman"/>
                <w:sz w:val="20"/>
                <w:szCs w:val="20"/>
              </w:rPr>
              <w:t>001</w:t>
            </w:r>
            <w:r w:rsidR="00AE6FD3">
              <w:rPr>
                <w:rFonts w:ascii="Times New Roman" w:eastAsia="Times New Roman" w:hAnsi="Times New Roman" w:cs="Times New Roman"/>
                <w:sz w:val="20"/>
                <w:szCs w:val="20"/>
              </w:rPr>
              <w:t>)</w:t>
            </w:r>
            <w:r>
              <w:rPr>
                <w:rFonts w:ascii="Times New Roman" w:eastAsia="Times New Roman" w:hAnsi="Times New Roman" w:cs="Times New Roman"/>
                <w:sz w:val="20"/>
                <w:szCs w:val="20"/>
                <w:vertAlign w:val="superscript"/>
              </w:rPr>
              <w:t>***</w:t>
            </w:r>
          </w:p>
        </w:tc>
      </w:tr>
      <w:tr w:rsidR="00F97E8A" w:rsidRPr="00233EC8" w14:paraId="1952B034" w14:textId="77777777" w:rsidTr="00B572FE">
        <w:trPr>
          <w:trHeight w:val="87"/>
        </w:trPr>
        <w:tc>
          <w:tcPr>
            <w:tcW w:w="7944" w:type="dxa"/>
            <w:gridSpan w:val="4"/>
            <w:tcBorders>
              <w:top w:val="nil"/>
              <w:left w:val="nil"/>
              <w:bottom w:val="nil"/>
              <w:right w:val="nil"/>
            </w:tcBorders>
          </w:tcPr>
          <w:p w14:paraId="41FF6D87" w14:textId="77777777" w:rsidR="00F97E8A" w:rsidRDefault="00F97E8A" w:rsidP="00356ADA">
            <w:pPr>
              <w:spacing w:after="0"/>
              <w:rPr>
                <w:rFonts w:ascii="Times New Roman" w:eastAsia="Times New Roman" w:hAnsi="Times New Roman" w:cs="Times New Roman"/>
                <w:i/>
                <w:iCs/>
                <w:sz w:val="20"/>
                <w:szCs w:val="20"/>
              </w:rPr>
            </w:pPr>
          </w:p>
          <w:p w14:paraId="7F19BC1D" w14:textId="75630C39" w:rsidR="00F97E8A" w:rsidRPr="00233EC8" w:rsidRDefault="00F97E8A" w:rsidP="00356ADA">
            <w:pPr>
              <w:spacing w:after="0"/>
              <w:rPr>
                <w:rFonts w:ascii="Times New Roman" w:eastAsia="Times New Roman" w:hAnsi="Times New Roman" w:cs="Times New Roman"/>
                <w:sz w:val="20"/>
                <w:szCs w:val="20"/>
              </w:rPr>
            </w:pPr>
            <w:r w:rsidRPr="004C57C8">
              <w:rPr>
                <w:rFonts w:ascii="Times New Roman" w:eastAsia="Times New Roman" w:hAnsi="Times New Roman" w:cs="Times New Roman"/>
                <w:i/>
                <w:iCs/>
                <w:sz w:val="20"/>
                <w:szCs w:val="20"/>
              </w:rPr>
              <w:t xml:space="preserve">Controls (general HEI </w:t>
            </w:r>
            <w:r w:rsidR="006F1C64">
              <w:rPr>
                <w:rFonts w:ascii="Times New Roman" w:eastAsia="Times New Roman" w:hAnsi="Times New Roman" w:cs="Times New Roman"/>
                <w:i/>
                <w:iCs/>
                <w:sz w:val="20"/>
                <w:szCs w:val="20"/>
              </w:rPr>
              <w:t>c</w:t>
            </w:r>
            <w:r w:rsidRPr="004C57C8">
              <w:rPr>
                <w:rFonts w:ascii="Times New Roman" w:eastAsia="Times New Roman" w:hAnsi="Times New Roman" w:cs="Times New Roman"/>
                <w:i/>
                <w:iCs/>
                <w:sz w:val="20"/>
                <w:szCs w:val="20"/>
              </w:rPr>
              <w:t>haracteristics)</w:t>
            </w:r>
            <w:r>
              <w:rPr>
                <w:rFonts w:ascii="Times New Roman" w:eastAsia="Times New Roman" w:hAnsi="Times New Roman" w:cs="Times New Roman"/>
                <w:i/>
                <w:iCs/>
                <w:sz w:val="20"/>
                <w:szCs w:val="20"/>
              </w:rPr>
              <w:t>:</w:t>
            </w:r>
          </w:p>
        </w:tc>
      </w:tr>
      <w:tr w:rsidR="00F97E8A" w:rsidRPr="00233EC8" w14:paraId="3A6D40AA" w14:textId="77777777" w:rsidTr="00B572FE">
        <w:trPr>
          <w:trHeight w:val="87"/>
        </w:trPr>
        <w:tc>
          <w:tcPr>
            <w:tcW w:w="2835" w:type="dxa"/>
            <w:tcBorders>
              <w:top w:val="nil"/>
              <w:left w:val="nil"/>
              <w:bottom w:val="nil"/>
              <w:right w:val="nil"/>
            </w:tcBorders>
          </w:tcPr>
          <w:p w14:paraId="143E848C" w14:textId="77777777" w:rsidR="00F97E8A" w:rsidRPr="00233EC8" w:rsidRDefault="00F97E8A" w:rsidP="00356ADA">
            <w:pPr>
              <w:spacing w:after="0"/>
              <w:ind w:left="175"/>
              <w:rPr>
                <w:rFonts w:ascii="Times New Roman" w:eastAsia="Times New Roman" w:hAnsi="Times New Roman" w:cs="Times New Roman"/>
                <w:sz w:val="20"/>
                <w:szCs w:val="20"/>
              </w:rPr>
            </w:pPr>
            <w:r w:rsidRPr="004C57C8">
              <w:rPr>
                <w:rFonts w:ascii="Times New Roman" w:eastAsia="Times New Roman" w:hAnsi="Times New Roman" w:cs="Times New Roman"/>
                <w:sz w:val="20"/>
                <w:szCs w:val="20"/>
              </w:rPr>
              <w:t>POST-92</w:t>
            </w:r>
          </w:p>
        </w:tc>
        <w:tc>
          <w:tcPr>
            <w:tcW w:w="1707" w:type="dxa"/>
            <w:tcBorders>
              <w:top w:val="nil"/>
              <w:left w:val="nil"/>
              <w:bottom w:val="nil"/>
              <w:right w:val="nil"/>
            </w:tcBorders>
          </w:tcPr>
          <w:p w14:paraId="3D6FB78A" w14:textId="79CA71A1" w:rsidR="00F97E8A" w:rsidRPr="006A1735" w:rsidRDefault="00F97E8A" w:rsidP="00356ADA">
            <w:pPr>
              <w:spacing w:after="0"/>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-0.</w:t>
            </w:r>
            <w:r w:rsidR="00A10A29">
              <w:rPr>
                <w:rFonts w:ascii="Times New Roman" w:eastAsia="Times New Roman" w:hAnsi="Times New Roman" w:cs="Times New Roman"/>
                <w:sz w:val="20"/>
                <w:szCs w:val="20"/>
              </w:rPr>
              <w:t>003</w:t>
            </w:r>
            <w:r>
              <w:rPr>
                <w:rFonts w:ascii="Times New Roman" w:eastAsia="Times New Roman" w:hAnsi="Times New Roman" w:cs="Times New Roman"/>
                <w:sz w:val="20"/>
                <w:szCs w:val="20"/>
              </w:rPr>
              <w:t>(.</w:t>
            </w:r>
            <w:r w:rsidR="00A10A29">
              <w:rPr>
                <w:rFonts w:ascii="Times New Roman" w:eastAsia="Times New Roman" w:hAnsi="Times New Roman" w:cs="Times New Roman"/>
                <w:sz w:val="20"/>
                <w:szCs w:val="20"/>
              </w:rPr>
              <w:t>794</w:t>
            </w:r>
            <w:r>
              <w:rPr>
                <w:rFonts w:ascii="Times New Roman" w:eastAsia="Times New Roman" w:hAnsi="Times New Roman" w:cs="Times New Roman"/>
                <w:sz w:val="20"/>
                <w:szCs w:val="20"/>
              </w:rPr>
              <w:t>)</w:t>
            </w:r>
          </w:p>
        </w:tc>
        <w:tc>
          <w:tcPr>
            <w:tcW w:w="1701" w:type="dxa"/>
            <w:tcBorders>
              <w:top w:val="nil"/>
              <w:left w:val="nil"/>
              <w:bottom w:val="nil"/>
              <w:right w:val="nil"/>
            </w:tcBorders>
          </w:tcPr>
          <w:p w14:paraId="01E10A52" w14:textId="335AC84F" w:rsidR="00F97E8A" w:rsidRPr="00CE4D30" w:rsidRDefault="00582E1C" w:rsidP="00356ADA">
            <w:pPr>
              <w:spacing w:after="0"/>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-0.005</w:t>
            </w:r>
            <w:r w:rsidR="00F97E8A">
              <w:rPr>
                <w:rFonts w:ascii="Times New Roman" w:eastAsia="Times New Roman" w:hAnsi="Times New Roman" w:cs="Times New Roman"/>
                <w:sz w:val="20"/>
                <w:szCs w:val="20"/>
              </w:rPr>
              <w:t>(.</w:t>
            </w:r>
            <w:r>
              <w:rPr>
                <w:rFonts w:ascii="Times New Roman" w:eastAsia="Times New Roman" w:hAnsi="Times New Roman" w:cs="Times New Roman"/>
                <w:sz w:val="20"/>
                <w:szCs w:val="20"/>
              </w:rPr>
              <w:t>320</w:t>
            </w:r>
            <w:r w:rsidR="00F97E8A">
              <w:rPr>
                <w:rFonts w:ascii="Times New Roman" w:eastAsia="Times New Roman" w:hAnsi="Times New Roman" w:cs="Times New Roman"/>
                <w:sz w:val="20"/>
                <w:szCs w:val="20"/>
              </w:rPr>
              <w:t>)</w:t>
            </w:r>
          </w:p>
        </w:tc>
        <w:tc>
          <w:tcPr>
            <w:tcW w:w="1701" w:type="dxa"/>
            <w:tcBorders>
              <w:top w:val="nil"/>
              <w:left w:val="nil"/>
              <w:bottom w:val="nil"/>
              <w:right w:val="nil"/>
            </w:tcBorders>
          </w:tcPr>
          <w:p w14:paraId="31558F75" w14:textId="38F6B37F" w:rsidR="00F97E8A" w:rsidRPr="006A1735" w:rsidRDefault="005B2F8E" w:rsidP="00356AD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-0.002</w:t>
            </w:r>
            <w:r w:rsidR="00F97E8A">
              <w:rPr>
                <w:rFonts w:ascii="Times New Roman" w:eastAsia="Times New Roman" w:hAnsi="Times New Roman" w:cs="Times New Roman"/>
                <w:sz w:val="20"/>
                <w:szCs w:val="20"/>
              </w:rPr>
              <w:t>(.</w:t>
            </w:r>
            <w:r w:rsidR="00FF736F">
              <w:rPr>
                <w:rFonts w:ascii="Times New Roman" w:eastAsia="Times New Roman" w:hAnsi="Times New Roman" w:cs="Times New Roman"/>
                <w:sz w:val="20"/>
                <w:szCs w:val="20"/>
              </w:rPr>
              <w:t>717</w:t>
            </w:r>
            <w:r w:rsidR="00F97E8A">
              <w:rPr>
                <w:rFonts w:ascii="Times New Roman" w:eastAsia="Times New Roman" w:hAnsi="Times New Roman" w:cs="Times New Roman"/>
                <w:sz w:val="20"/>
                <w:szCs w:val="20"/>
              </w:rPr>
              <w:t>)</w:t>
            </w:r>
          </w:p>
        </w:tc>
      </w:tr>
      <w:tr w:rsidR="00F97E8A" w:rsidRPr="00233EC8" w14:paraId="7DB59B72" w14:textId="77777777" w:rsidTr="00B572FE">
        <w:trPr>
          <w:trHeight w:val="87"/>
        </w:trPr>
        <w:tc>
          <w:tcPr>
            <w:tcW w:w="2835" w:type="dxa"/>
            <w:tcBorders>
              <w:top w:val="nil"/>
              <w:left w:val="nil"/>
              <w:bottom w:val="nil"/>
              <w:right w:val="nil"/>
            </w:tcBorders>
          </w:tcPr>
          <w:p w14:paraId="0C569D57" w14:textId="77777777" w:rsidR="00F97E8A" w:rsidRPr="00233EC8" w:rsidRDefault="00F97E8A" w:rsidP="00356ADA">
            <w:pPr>
              <w:spacing w:after="0"/>
              <w:ind w:left="175"/>
              <w:rPr>
                <w:rFonts w:ascii="Times New Roman" w:eastAsia="Times New Roman" w:hAnsi="Times New Roman" w:cs="Times New Roman"/>
                <w:sz w:val="20"/>
                <w:szCs w:val="20"/>
              </w:rPr>
            </w:pPr>
            <w:r w:rsidRPr="004C57C8">
              <w:rPr>
                <w:rFonts w:ascii="Times New Roman" w:eastAsia="Times New Roman" w:hAnsi="Times New Roman" w:cs="Times New Roman"/>
                <w:sz w:val="20"/>
                <w:szCs w:val="20"/>
              </w:rPr>
              <w:t>RUSSG</w:t>
            </w:r>
          </w:p>
        </w:tc>
        <w:tc>
          <w:tcPr>
            <w:tcW w:w="1707" w:type="dxa"/>
            <w:tcBorders>
              <w:top w:val="nil"/>
              <w:left w:val="nil"/>
              <w:bottom w:val="nil"/>
              <w:right w:val="nil"/>
            </w:tcBorders>
          </w:tcPr>
          <w:p w14:paraId="71DED570" w14:textId="595B14C4" w:rsidR="00F97E8A" w:rsidRPr="006A1735" w:rsidRDefault="00F97E8A" w:rsidP="00356ADA">
            <w:pPr>
              <w:spacing w:after="0"/>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0.03</w:t>
            </w:r>
            <w:r w:rsidR="00357AFA">
              <w:rPr>
                <w:rFonts w:ascii="Times New Roman" w:eastAsia="Times New Roman" w:hAnsi="Times New Roman" w:cs="Times New Roman"/>
                <w:sz w:val="20"/>
                <w:szCs w:val="20"/>
              </w:rPr>
              <w:t>1</w:t>
            </w:r>
            <w:r>
              <w:rPr>
                <w:rFonts w:ascii="Times New Roman" w:eastAsia="Times New Roman" w:hAnsi="Times New Roman" w:cs="Times New Roman"/>
                <w:sz w:val="20"/>
                <w:szCs w:val="20"/>
              </w:rPr>
              <w:t>(.00</w:t>
            </w:r>
            <w:r w:rsidR="00357AFA">
              <w:rPr>
                <w:rFonts w:ascii="Times New Roman" w:eastAsia="Times New Roman" w:hAnsi="Times New Roman" w:cs="Times New Roman"/>
                <w:sz w:val="20"/>
                <w:szCs w:val="20"/>
              </w:rPr>
              <w:t>2</w:t>
            </w:r>
            <w:r>
              <w:rPr>
                <w:rFonts w:ascii="Times New Roman" w:eastAsia="Times New Roman" w:hAnsi="Times New Roman" w:cs="Times New Roman"/>
                <w:sz w:val="20"/>
                <w:szCs w:val="20"/>
              </w:rPr>
              <w:t>)</w:t>
            </w:r>
            <w:r>
              <w:rPr>
                <w:rFonts w:ascii="Times New Roman" w:eastAsia="Times New Roman" w:hAnsi="Times New Roman" w:cs="Times New Roman"/>
                <w:sz w:val="20"/>
                <w:szCs w:val="20"/>
                <w:vertAlign w:val="superscript"/>
              </w:rPr>
              <w:t>***</w:t>
            </w:r>
          </w:p>
        </w:tc>
        <w:tc>
          <w:tcPr>
            <w:tcW w:w="1701" w:type="dxa"/>
            <w:tcBorders>
              <w:top w:val="nil"/>
              <w:left w:val="nil"/>
              <w:bottom w:val="nil"/>
              <w:right w:val="nil"/>
            </w:tcBorders>
          </w:tcPr>
          <w:p w14:paraId="0CAF2ACB" w14:textId="5634193A" w:rsidR="00F97E8A" w:rsidRPr="00CE4D30" w:rsidRDefault="00F97E8A" w:rsidP="00356ADA">
            <w:pPr>
              <w:spacing w:after="0"/>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0.0</w:t>
            </w:r>
            <w:r w:rsidR="00582E1C">
              <w:rPr>
                <w:rFonts w:ascii="Times New Roman" w:eastAsia="Times New Roman" w:hAnsi="Times New Roman" w:cs="Times New Roman"/>
                <w:sz w:val="20"/>
                <w:szCs w:val="20"/>
              </w:rPr>
              <w:t>28</w:t>
            </w:r>
            <w:r>
              <w:rPr>
                <w:rFonts w:ascii="Times New Roman" w:eastAsia="Times New Roman" w:hAnsi="Times New Roman" w:cs="Times New Roman"/>
                <w:sz w:val="20"/>
                <w:szCs w:val="20"/>
              </w:rPr>
              <w:t>(.000)</w:t>
            </w:r>
            <w:r>
              <w:rPr>
                <w:rFonts w:ascii="Times New Roman" w:eastAsia="Times New Roman" w:hAnsi="Times New Roman" w:cs="Times New Roman"/>
                <w:sz w:val="20"/>
                <w:szCs w:val="20"/>
                <w:vertAlign w:val="superscript"/>
              </w:rPr>
              <w:t>***</w:t>
            </w:r>
          </w:p>
        </w:tc>
        <w:tc>
          <w:tcPr>
            <w:tcW w:w="1701" w:type="dxa"/>
            <w:tcBorders>
              <w:top w:val="nil"/>
              <w:left w:val="nil"/>
              <w:bottom w:val="nil"/>
              <w:right w:val="nil"/>
            </w:tcBorders>
          </w:tcPr>
          <w:p w14:paraId="37096006" w14:textId="79ECFCF9" w:rsidR="00F97E8A" w:rsidRPr="00CE4D30" w:rsidRDefault="00FF736F" w:rsidP="00356ADA">
            <w:pPr>
              <w:spacing w:after="0"/>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0.005</w:t>
            </w:r>
            <w:r w:rsidR="00F97E8A">
              <w:rPr>
                <w:rFonts w:ascii="Times New Roman" w:eastAsia="Times New Roman" w:hAnsi="Times New Roman" w:cs="Times New Roman"/>
                <w:sz w:val="20"/>
                <w:szCs w:val="20"/>
              </w:rPr>
              <w:t>(.0</w:t>
            </w:r>
            <w:r>
              <w:rPr>
                <w:rFonts w:ascii="Times New Roman" w:eastAsia="Times New Roman" w:hAnsi="Times New Roman" w:cs="Times New Roman"/>
                <w:sz w:val="20"/>
                <w:szCs w:val="20"/>
              </w:rPr>
              <w:t>00</w:t>
            </w:r>
            <w:r w:rsidR="00F97E8A">
              <w:rPr>
                <w:rFonts w:ascii="Times New Roman" w:eastAsia="Times New Roman" w:hAnsi="Times New Roman" w:cs="Times New Roman"/>
                <w:sz w:val="20"/>
                <w:szCs w:val="20"/>
              </w:rPr>
              <w:t>)</w:t>
            </w:r>
            <w:r w:rsidR="00F97E8A">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vertAlign w:val="superscript"/>
              </w:rPr>
              <w:t>**</w:t>
            </w:r>
          </w:p>
        </w:tc>
      </w:tr>
      <w:tr w:rsidR="00F97E8A" w:rsidRPr="00233EC8" w14:paraId="6B59248B" w14:textId="77777777" w:rsidTr="00B572FE">
        <w:trPr>
          <w:trHeight w:val="87"/>
        </w:trPr>
        <w:tc>
          <w:tcPr>
            <w:tcW w:w="2835" w:type="dxa"/>
            <w:tcBorders>
              <w:top w:val="nil"/>
              <w:left w:val="nil"/>
              <w:bottom w:val="nil"/>
              <w:right w:val="nil"/>
            </w:tcBorders>
          </w:tcPr>
          <w:p w14:paraId="3B195961" w14:textId="76DDF118" w:rsidR="00F97E8A" w:rsidRPr="00233EC8" w:rsidRDefault="00F97E8A" w:rsidP="00356ADA">
            <w:pPr>
              <w:spacing w:after="0"/>
              <w:ind w:left="175"/>
              <w:rPr>
                <w:rFonts w:ascii="Times New Roman" w:eastAsia="Times New Roman" w:hAnsi="Times New Roman" w:cs="Times New Roman"/>
                <w:sz w:val="20"/>
                <w:szCs w:val="20"/>
              </w:rPr>
            </w:pPr>
            <w:r w:rsidRPr="004C57C8">
              <w:rPr>
                <w:rFonts w:ascii="Times New Roman" w:eastAsia="Times New Roman" w:hAnsi="Times New Roman" w:cs="Times New Roman"/>
                <w:sz w:val="20"/>
                <w:szCs w:val="20"/>
              </w:rPr>
              <w:t>HEISZ</w:t>
            </w:r>
            <w:r w:rsidR="0058519D">
              <w:rPr>
                <w:rFonts w:ascii="Times New Roman" w:eastAsia="Times New Roman" w:hAnsi="Times New Roman" w:cs="Times New Roman"/>
                <w:sz w:val="20"/>
                <w:szCs w:val="20"/>
              </w:rPr>
              <w:t>E</w:t>
            </w:r>
          </w:p>
        </w:tc>
        <w:tc>
          <w:tcPr>
            <w:tcW w:w="1707" w:type="dxa"/>
            <w:tcBorders>
              <w:top w:val="nil"/>
              <w:left w:val="nil"/>
              <w:bottom w:val="nil"/>
              <w:right w:val="nil"/>
            </w:tcBorders>
          </w:tcPr>
          <w:p w14:paraId="5686A68B" w14:textId="33B28789" w:rsidR="00F97E8A" w:rsidRPr="00357AFA" w:rsidRDefault="00F97E8A" w:rsidP="00356ADA">
            <w:pPr>
              <w:spacing w:after="0"/>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0.00</w:t>
            </w:r>
            <w:r w:rsidR="00357AFA">
              <w:rPr>
                <w:rFonts w:ascii="Times New Roman" w:eastAsia="Times New Roman" w:hAnsi="Times New Roman" w:cs="Times New Roman"/>
                <w:sz w:val="20"/>
                <w:szCs w:val="20"/>
              </w:rPr>
              <w:t>9</w:t>
            </w:r>
            <w:r>
              <w:rPr>
                <w:rFonts w:ascii="Times New Roman" w:eastAsia="Times New Roman" w:hAnsi="Times New Roman" w:cs="Times New Roman"/>
                <w:sz w:val="20"/>
                <w:szCs w:val="20"/>
              </w:rPr>
              <w:t>(.</w:t>
            </w:r>
            <w:r w:rsidR="00357AFA">
              <w:rPr>
                <w:rFonts w:ascii="Times New Roman" w:eastAsia="Times New Roman" w:hAnsi="Times New Roman" w:cs="Times New Roman"/>
                <w:sz w:val="20"/>
                <w:szCs w:val="20"/>
              </w:rPr>
              <w:t>028</w:t>
            </w:r>
            <w:r>
              <w:rPr>
                <w:rFonts w:ascii="Times New Roman" w:eastAsia="Times New Roman" w:hAnsi="Times New Roman" w:cs="Times New Roman"/>
                <w:sz w:val="20"/>
                <w:szCs w:val="20"/>
              </w:rPr>
              <w:t>)</w:t>
            </w:r>
            <w:r w:rsidR="00357AFA">
              <w:rPr>
                <w:rFonts w:ascii="Times New Roman" w:eastAsia="Times New Roman" w:hAnsi="Times New Roman" w:cs="Times New Roman"/>
                <w:sz w:val="20"/>
                <w:szCs w:val="20"/>
                <w:vertAlign w:val="superscript"/>
              </w:rPr>
              <w:t>**</w:t>
            </w:r>
          </w:p>
        </w:tc>
        <w:tc>
          <w:tcPr>
            <w:tcW w:w="1701" w:type="dxa"/>
            <w:tcBorders>
              <w:top w:val="nil"/>
              <w:left w:val="nil"/>
              <w:bottom w:val="nil"/>
              <w:right w:val="nil"/>
            </w:tcBorders>
          </w:tcPr>
          <w:p w14:paraId="06B00734" w14:textId="20CBD997" w:rsidR="00F97E8A" w:rsidRPr="00582E1C" w:rsidRDefault="00582E1C" w:rsidP="00356ADA">
            <w:pPr>
              <w:spacing w:after="0"/>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0.007</w:t>
            </w:r>
            <w:r w:rsidR="00F97E8A">
              <w:rPr>
                <w:rFonts w:ascii="Times New Roman" w:eastAsia="Times New Roman" w:hAnsi="Times New Roman" w:cs="Times New Roman"/>
                <w:sz w:val="20"/>
                <w:szCs w:val="20"/>
              </w:rPr>
              <w:t>(.</w:t>
            </w:r>
            <w:r>
              <w:rPr>
                <w:rFonts w:ascii="Times New Roman" w:eastAsia="Times New Roman" w:hAnsi="Times New Roman" w:cs="Times New Roman"/>
                <w:sz w:val="20"/>
                <w:szCs w:val="20"/>
              </w:rPr>
              <w:t>004</w:t>
            </w:r>
            <w:r w:rsidR="00F97E8A">
              <w:rPr>
                <w:rFonts w:ascii="Times New Roman" w:eastAsia="Times New Roman" w:hAnsi="Times New Roman" w:cs="Times New Roman"/>
                <w:sz w:val="20"/>
                <w:szCs w:val="20"/>
              </w:rPr>
              <w:t>)</w:t>
            </w:r>
            <w:r>
              <w:rPr>
                <w:rFonts w:ascii="Times New Roman" w:eastAsia="Times New Roman" w:hAnsi="Times New Roman" w:cs="Times New Roman"/>
                <w:sz w:val="20"/>
                <w:szCs w:val="20"/>
                <w:vertAlign w:val="superscript"/>
              </w:rPr>
              <w:t>***</w:t>
            </w:r>
          </w:p>
        </w:tc>
        <w:tc>
          <w:tcPr>
            <w:tcW w:w="1701" w:type="dxa"/>
            <w:tcBorders>
              <w:top w:val="nil"/>
              <w:left w:val="nil"/>
              <w:bottom w:val="nil"/>
              <w:right w:val="nil"/>
            </w:tcBorders>
          </w:tcPr>
          <w:p w14:paraId="2A110E2A" w14:textId="2475C6F9" w:rsidR="00F97E8A" w:rsidRPr="00FF736F" w:rsidRDefault="00FF736F" w:rsidP="00356ADA">
            <w:pPr>
              <w:spacing w:after="0"/>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0.002</w:t>
            </w:r>
            <w:r w:rsidR="00F97E8A">
              <w:rPr>
                <w:rFonts w:ascii="Times New Roman" w:eastAsia="Times New Roman" w:hAnsi="Times New Roman" w:cs="Times New Roman"/>
                <w:sz w:val="20"/>
                <w:szCs w:val="20"/>
              </w:rPr>
              <w:t>(.</w:t>
            </w:r>
            <w:r>
              <w:rPr>
                <w:rFonts w:ascii="Times New Roman" w:eastAsia="Times New Roman" w:hAnsi="Times New Roman" w:cs="Times New Roman"/>
                <w:sz w:val="20"/>
                <w:szCs w:val="20"/>
              </w:rPr>
              <w:t>006</w:t>
            </w:r>
            <w:r w:rsidR="00F97E8A">
              <w:rPr>
                <w:rFonts w:ascii="Times New Roman" w:eastAsia="Times New Roman" w:hAnsi="Times New Roman" w:cs="Times New Roman"/>
                <w:sz w:val="20"/>
                <w:szCs w:val="20"/>
              </w:rPr>
              <w:t>)</w:t>
            </w:r>
            <w:r>
              <w:rPr>
                <w:rFonts w:ascii="Times New Roman" w:eastAsia="Times New Roman" w:hAnsi="Times New Roman" w:cs="Times New Roman"/>
                <w:sz w:val="20"/>
                <w:szCs w:val="20"/>
                <w:vertAlign w:val="superscript"/>
              </w:rPr>
              <w:t>***</w:t>
            </w:r>
          </w:p>
        </w:tc>
      </w:tr>
      <w:tr w:rsidR="00F97E8A" w:rsidRPr="00233EC8" w14:paraId="2D6BAC84" w14:textId="77777777" w:rsidTr="00B572FE">
        <w:trPr>
          <w:trHeight w:val="87"/>
        </w:trPr>
        <w:tc>
          <w:tcPr>
            <w:tcW w:w="2835" w:type="dxa"/>
            <w:tcBorders>
              <w:top w:val="nil"/>
              <w:left w:val="nil"/>
              <w:bottom w:val="nil"/>
              <w:right w:val="nil"/>
            </w:tcBorders>
          </w:tcPr>
          <w:p w14:paraId="55DBC6AE" w14:textId="79B49F84" w:rsidR="00F97E8A" w:rsidRPr="00233EC8" w:rsidRDefault="00F97E8A" w:rsidP="00356ADA">
            <w:pPr>
              <w:spacing w:after="0"/>
              <w:ind w:left="175"/>
              <w:rPr>
                <w:rFonts w:ascii="Times New Roman" w:eastAsia="Times New Roman" w:hAnsi="Times New Roman" w:cs="Times New Roman"/>
                <w:sz w:val="20"/>
                <w:szCs w:val="20"/>
              </w:rPr>
            </w:pPr>
            <w:r w:rsidRPr="004C57C8">
              <w:rPr>
                <w:rFonts w:ascii="Times New Roman" w:eastAsia="Times New Roman" w:hAnsi="Times New Roman" w:cs="Times New Roman"/>
                <w:sz w:val="20"/>
                <w:szCs w:val="20"/>
              </w:rPr>
              <w:t>HEIAG</w:t>
            </w:r>
            <w:r w:rsidR="0058519D">
              <w:rPr>
                <w:rFonts w:ascii="Times New Roman" w:eastAsia="Times New Roman" w:hAnsi="Times New Roman" w:cs="Times New Roman"/>
                <w:sz w:val="20"/>
                <w:szCs w:val="20"/>
              </w:rPr>
              <w:t>E</w:t>
            </w:r>
          </w:p>
        </w:tc>
        <w:tc>
          <w:tcPr>
            <w:tcW w:w="1707" w:type="dxa"/>
            <w:tcBorders>
              <w:top w:val="nil"/>
              <w:left w:val="nil"/>
              <w:bottom w:val="nil"/>
              <w:right w:val="nil"/>
            </w:tcBorders>
          </w:tcPr>
          <w:p w14:paraId="6B61E77C" w14:textId="45170A98" w:rsidR="00F97E8A" w:rsidRPr="00CE4D30" w:rsidRDefault="00F97E8A" w:rsidP="00356ADA">
            <w:pPr>
              <w:spacing w:after="0"/>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-0.0</w:t>
            </w:r>
            <w:r w:rsidR="00357AFA">
              <w:rPr>
                <w:rFonts w:ascii="Times New Roman" w:eastAsia="Times New Roman" w:hAnsi="Times New Roman" w:cs="Times New Roman"/>
                <w:sz w:val="20"/>
                <w:szCs w:val="20"/>
              </w:rPr>
              <w:t>05</w:t>
            </w:r>
            <w:r>
              <w:rPr>
                <w:rFonts w:ascii="Times New Roman" w:eastAsia="Times New Roman" w:hAnsi="Times New Roman" w:cs="Times New Roman"/>
                <w:sz w:val="20"/>
                <w:szCs w:val="20"/>
              </w:rPr>
              <w:t>(.</w:t>
            </w:r>
            <w:r w:rsidR="00357AFA">
              <w:rPr>
                <w:rFonts w:ascii="Times New Roman" w:eastAsia="Times New Roman" w:hAnsi="Times New Roman" w:cs="Times New Roman"/>
                <w:sz w:val="20"/>
                <w:szCs w:val="20"/>
              </w:rPr>
              <w:t>277</w:t>
            </w:r>
            <w:r>
              <w:rPr>
                <w:rFonts w:ascii="Times New Roman" w:eastAsia="Times New Roman" w:hAnsi="Times New Roman" w:cs="Times New Roman"/>
                <w:sz w:val="20"/>
                <w:szCs w:val="20"/>
              </w:rPr>
              <w:t>)</w:t>
            </w:r>
          </w:p>
        </w:tc>
        <w:tc>
          <w:tcPr>
            <w:tcW w:w="1701" w:type="dxa"/>
            <w:tcBorders>
              <w:top w:val="nil"/>
              <w:left w:val="nil"/>
              <w:bottom w:val="nil"/>
              <w:right w:val="nil"/>
            </w:tcBorders>
          </w:tcPr>
          <w:p w14:paraId="25FA7DEE" w14:textId="087FC0AB" w:rsidR="00F97E8A" w:rsidRPr="00CE4D30" w:rsidRDefault="00582E1C" w:rsidP="00356ADA">
            <w:pPr>
              <w:spacing w:after="0"/>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0.052</w:t>
            </w:r>
            <w:r w:rsidR="00F97E8A">
              <w:rPr>
                <w:rFonts w:ascii="Times New Roman" w:eastAsia="Times New Roman" w:hAnsi="Times New Roman" w:cs="Times New Roman"/>
                <w:sz w:val="20"/>
                <w:szCs w:val="20"/>
              </w:rPr>
              <w:t>(.0</w:t>
            </w:r>
            <w:r>
              <w:rPr>
                <w:rFonts w:ascii="Times New Roman" w:eastAsia="Times New Roman" w:hAnsi="Times New Roman" w:cs="Times New Roman"/>
                <w:sz w:val="20"/>
                <w:szCs w:val="20"/>
              </w:rPr>
              <w:t>23</w:t>
            </w:r>
            <w:r w:rsidR="00F97E8A">
              <w:rPr>
                <w:rFonts w:ascii="Times New Roman" w:eastAsia="Times New Roman" w:hAnsi="Times New Roman" w:cs="Times New Roman"/>
                <w:sz w:val="20"/>
                <w:szCs w:val="20"/>
              </w:rPr>
              <w:t>)</w:t>
            </w:r>
            <w:r w:rsidR="00F97E8A">
              <w:rPr>
                <w:rFonts w:ascii="Times New Roman" w:eastAsia="Times New Roman" w:hAnsi="Times New Roman" w:cs="Times New Roman"/>
                <w:sz w:val="20"/>
                <w:szCs w:val="20"/>
                <w:vertAlign w:val="superscript"/>
              </w:rPr>
              <w:t>**</w:t>
            </w:r>
          </w:p>
        </w:tc>
        <w:tc>
          <w:tcPr>
            <w:tcW w:w="1701" w:type="dxa"/>
            <w:tcBorders>
              <w:top w:val="nil"/>
              <w:left w:val="nil"/>
              <w:bottom w:val="nil"/>
              <w:right w:val="nil"/>
            </w:tcBorders>
          </w:tcPr>
          <w:p w14:paraId="15BDCCEF" w14:textId="07F2A60D" w:rsidR="00F97E8A" w:rsidRPr="006A1735" w:rsidRDefault="00FF736F" w:rsidP="00356AD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-0.001</w:t>
            </w:r>
            <w:r w:rsidR="00F97E8A">
              <w:rPr>
                <w:rFonts w:ascii="Times New Roman" w:eastAsia="Times New Roman" w:hAnsi="Times New Roman" w:cs="Times New Roman"/>
                <w:sz w:val="20"/>
                <w:szCs w:val="20"/>
              </w:rPr>
              <w:t>(.</w:t>
            </w:r>
            <w:r>
              <w:rPr>
                <w:rFonts w:ascii="Times New Roman" w:eastAsia="Times New Roman" w:hAnsi="Times New Roman" w:cs="Times New Roman"/>
                <w:sz w:val="20"/>
                <w:szCs w:val="20"/>
              </w:rPr>
              <w:t>182</w:t>
            </w:r>
            <w:r w:rsidR="00F97E8A">
              <w:rPr>
                <w:rFonts w:ascii="Times New Roman" w:eastAsia="Times New Roman" w:hAnsi="Times New Roman" w:cs="Times New Roman"/>
                <w:sz w:val="20"/>
                <w:szCs w:val="20"/>
              </w:rPr>
              <w:t>)</w:t>
            </w:r>
          </w:p>
        </w:tc>
      </w:tr>
      <w:tr w:rsidR="00F97E8A" w:rsidRPr="00233EC8" w14:paraId="0E2A820B" w14:textId="77777777" w:rsidTr="00B572FE">
        <w:trPr>
          <w:trHeight w:val="87"/>
        </w:trPr>
        <w:tc>
          <w:tcPr>
            <w:tcW w:w="2835" w:type="dxa"/>
            <w:tcBorders>
              <w:top w:val="nil"/>
              <w:left w:val="nil"/>
              <w:bottom w:val="nil"/>
              <w:right w:val="nil"/>
            </w:tcBorders>
          </w:tcPr>
          <w:p w14:paraId="16C60691" w14:textId="77777777" w:rsidR="00F97E8A" w:rsidRPr="00233EC8" w:rsidRDefault="00F97E8A" w:rsidP="00356ADA">
            <w:pPr>
              <w:spacing w:after="0"/>
              <w:ind w:left="175"/>
              <w:rPr>
                <w:rFonts w:ascii="Times New Roman" w:eastAsia="Times New Roman" w:hAnsi="Times New Roman" w:cs="Times New Roman"/>
                <w:sz w:val="20"/>
                <w:szCs w:val="20"/>
              </w:rPr>
            </w:pPr>
            <w:r w:rsidRPr="004C57C8">
              <w:rPr>
                <w:rFonts w:ascii="Times New Roman" w:eastAsia="Times New Roman" w:hAnsi="Times New Roman" w:cs="Times New Roman"/>
                <w:sz w:val="20"/>
                <w:szCs w:val="20"/>
              </w:rPr>
              <w:t>LEVE</w:t>
            </w:r>
          </w:p>
        </w:tc>
        <w:tc>
          <w:tcPr>
            <w:tcW w:w="1707" w:type="dxa"/>
            <w:tcBorders>
              <w:top w:val="nil"/>
              <w:left w:val="nil"/>
              <w:bottom w:val="nil"/>
              <w:right w:val="nil"/>
            </w:tcBorders>
          </w:tcPr>
          <w:p w14:paraId="45F6AE82" w14:textId="79778DE7" w:rsidR="00F97E8A" w:rsidRPr="00CE4D30" w:rsidRDefault="00F97E8A" w:rsidP="00356ADA">
            <w:pPr>
              <w:spacing w:after="0"/>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0.0</w:t>
            </w:r>
            <w:r w:rsidR="00357AFA">
              <w:rPr>
                <w:rFonts w:ascii="Times New Roman" w:eastAsia="Times New Roman" w:hAnsi="Times New Roman" w:cs="Times New Roman"/>
                <w:sz w:val="20"/>
                <w:szCs w:val="20"/>
              </w:rPr>
              <w:t>05</w:t>
            </w:r>
            <w:r>
              <w:rPr>
                <w:rFonts w:ascii="Times New Roman" w:eastAsia="Times New Roman" w:hAnsi="Times New Roman" w:cs="Times New Roman"/>
                <w:sz w:val="20"/>
                <w:szCs w:val="20"/>
              </w:rPr>
              <w:t>(.</w:t>
            </w:r>
            <w:r w:rsidR="00357AFA">
              <w:rPr>
                <w:rFonts w:ascii="Times New Roman" w:eastAsia="Times New Roman" w:hAnsi="Times New Roman" w:cs="Times New Roman"/>
                <w:sz w:val="20"/>
                <w:szCs w:val="20"/>
              </w:rPr>
              <w:t>516</w:t>
            </w:r>
            <w:r>
              <w:rPr>
                <w:rFonts w:ascii="Times New Roman" w:eastAsia="Times New Roman" w:hAnsi="Times New Roman" w:cs="Times New Roman"/>
                <w:sz w:val="20"/>
                <w:szCs w:val="20"/>
              </w:rPr>
              <w:t>)</w:t>
            </w:r>
          </w:p>
        </w:tc>
        <w:tc>
          <w:tcPr>
            <w:tcW w:w="1701" w:type="dxa"/>
            <w:tcBorders>
              <w:top w:val="nil"/>
              <w:left w:val="nil"/>
              <w:bottom w:val="nil"/>
              <w:right w:val="nil"/>
            </w:tcBorders>
          </w:tcPr>
          <w:p w14:paraId="23919628" w14:textId="0509D8AB" w:rsidR="00F97E8A" w:rsidRPr="00CE4D30" w:rsidRDefault="00582E1C" w:rsidP="00356ADA">
            <w:pPr>
              <w:spacing w:after="0"/>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-0.031</w:t>
            </w:r>
            <w:r w:rsidR="00F97E8A">
              <w:rPr>
                <w:rFonts w:ascii="Times New Roman" w:eastAsia="Times New Roman" w:hAnsi="Times New Roman" w:cs="Times New Roman"/>
                <w:sz w:val="20"/>
                <w:szCs w:val="20"/>
              </w:rPr>
              <w:t>(.0</w:t>
            </w:r>
            <w:r>
              <w:rPr>
                <w:rFonts w:ascii="Times New Roman" w:eastAsia="Times New Roman" w:hAnsi="Times New Roman" w:cs="Times New Roman"/>
                <w:sz w:val="20"/>
                <w:szCs w:val="20"/>
              </w:rPr>
              <w:t>53</w:t>
            </w:r>
            <w:r w:rsidR="00F97E8A">
              <w:rPr>
                <w:rFonts w:ascii="Times New Roman" w:eastAsia="Times New Roman" w:hAnsi="Times New Roman" w:cs="Times New Roman"/>
                <w:sz w:val="20"/>
                <w:szCs w:val="20"/>
              </w:rPr>
              <w:t>)</w:t>
            </w:r>
            <w:r w:rsidR="00F97E8A">
              <w:rPr>
                <w:rFonts w:ascii="Times New Roman" w:eastAsia="Times New Roman" w:hAnsi="Times New Roman" w:cs="Times New Roman"/>
                <w:sz w:val="20"/>
                <w:szCs w:val="20"/>
                <w:vertAlign w:val="superscript"/>
              </w:rPr>
              <w:t>*</w:t>
            </w:r>
          </w:p>
        </w:tc>
        <w:tc>
          <w:tcPr>
            <w:tcW w:w="1701" w:type="dxa"/>
            <w:tcBorders>
              <w:top w:val="nil"/>
              <w:left w:val="nil"/>
              <w:bottom w:val="nil"/>
              <w:right w:val="nil"/>
            </w:tcBorders>
          </w:tcPr>
          <w:p w14:paraId="233A49B6" w14:textId="1532B963" w:rsidR="00F97E8A" w:rsidRPr="006A1735" w:rsidRDefault="00FF736F" w:rsidP="00356AD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-0.002</w:t>
            </w:r>
            <w:r w:rsidR="00F97E8A">
              <w:rPr>
                <w:rFonts w:ascii="Times New Roman" w:eastAsia="Times New Roman" w:hAnsi="Times New Roman" w:cs="Times New Roman"/>
                <w:sz w:val="20"/>
                <w:szCs w:val="20"/>
              </w:rPr>
              <w:t>(.</w:t>
            </w:r>
            <w:r>
              <w:rPr>
                <w:rFonts w:ascii="Times New Roman" w:eastAsia="Times New Roman" w:hAnsi="Times New Roman" w:cs="Times New Roman"/>
                <w:sz w:val="20"/>
                <w:szCs w:val="20"/>
              </w:rPr>
              <w:t>500</w:t>
            </w:r>
            <w:r w:rsidR="00F97E8A">
              <w:rPr>
                <w:rFonts w:ascii="Times New Roman" w:eastAsia="Times New Roman" w:hAnsi="Times New Roman" w:cs="Times New Roman"/>
                <w:sz w:val="20"/>
                <w:szCs w:val="20"/>
              </w:rPr>
              <w:t>)</w:t>
            </w:r>
          </w:p>
        </w:tc>
      </w:tr>
      <w:tr w:rsidR="00F97E8A" w:rsidRPr="00233EC8" w14:paraId="555ACD6B" w14:textId="77777777" w:rsidTr="00B572FE">
        <w:trPr>
          <w:trHeight w:val="87"/>
        </w:trPr>
        <w:tc>
          <w:tcPr>
            <w:tcW w:w="2835" w:type="dxa"/>
            <w:tcBorders>
              <w:top w:val="nil"/>
              <w:left w:val="nil"/>
              <w:bottom w:val="nil"/>
              <w:right w:val="nil"/>
            </w:tcBorders>
          </w:tcPr>
          <w:p w14:paraId="0FCB98F2" w14:textId="6B5ED8FC" w:rsidR="00F97E8A" w:rsidRPr="00233EC8" w:rsidRDefault="00F97E8A" w:rsidP="00356ADA">
            <w:pPr>
              <w:spacing w:after="0"/>
              <w:ind w:left="175"/>
              <w:rPr>
                <w:rFonts w:ascii="Times New Roman" w:eastAsia="Times New Roman" w:hAnsi="Times New Roman" w:cs="Times New Roman"/>
                <w:sz w:val="20"/>
                <w:szCs w:val="20"/>
              </w:rPr>
            </w:pPr>
            <w:r w:rsidRPr="004C57C8">
              <w:rPr>
                <w:rFonts w:ascii="Times New Roman" w:eastAsia="Times New Roman" w:hAnsi="Times New Roman" w:cs="Times New Roman"/>
                <w:sz w:val="20"/>
                <w:szCs w:val="20"/>
              </w:rPr>
              <w:t>LIQU</w:t>
            </w:r>
            <w:r w:rsidR="0058519D">
              <w:rPr>
                <w:rFonts w:ascii="Times New Roman" w:eastAsia="Times New Roman" w:hAnsi="Times New Roman" w:cs="Times New Roman"/>
                <w:sz w:val="20"/>
                <w:szCs w:val="20"/>
              </w:rPr>
              <w:t>D</w:t>
            </w:r>
          </w:p>
        </w:tc>
        <w:tc>
          <w:tcPr>
            <w:tcW w:w="1707" w:type="dxa"/>
            <w:tcBorders>
              <w:top w:val="nil"/>
              <w:left w:val="nil"/>
              <w:bottom w:val="nil"/>
              <w:right w:val="nil"/>
            </w:tcBorders>
          </w:tcPr>
          <w:p w14:paraId="10B73131" w14:textId="6E48D08F" w:rsidR="00F97E8A" w:rsidRPr="00357AFA" w:rsidRDefault="00357AFA" w:rsidP="00356ADA">
            <w:pPr>
              <w:spacing w:after="0"/>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0.016</w:t>
            </w:r>
            <w:r w:rsidR="00F97E8A">
              <w:rPr>
                <w:rFonts w:ascii="Times New Roman" w:eastAsia="Times New Roman" w:hAnsi="Times New Roman" w:cs="Times New Roman"/>
                <w:sz w:val="20"/>
                <w:szCs w:val="20"/>
              </w:rPr>
              <w:t>(.</w:t>
            </w:r>
            <w:r>
              <w:rPr>
                <w:rFonts w:ascii="Times New Roman" w:eastAsia="Times New Roman" w:hAnsi="Times New Roman" w:cs="Times New Roman"/>
                <w:sz w:val="20"/>
                <w:szCs w:val="20"/>
              </w:rPr>
              <w:t>035</w:t>
            </w:r>
            <w:r w:rsidR="00F97E8A">
              <w:rPr>
                <w:rFonts w:ascii="Times New Roman" w:eastAsia="Times New Roman" w:hAnsi="Times New Roman" w:cs="Times New Roman"/>
                <w:sz w:val="20"/>
                <w:szCs w:val="20"/>
              </w:rPr>
              <w:t>)</w:t>
            </w:r>
            <w:r>
              <w:rPr>
                <w:rFonts w:ascii="Times New Roman" w:eastAsia="Times New Roman" w:hAnsi="Times New Roman" w:cs="Times New Roman"/>
                <w:sz w:val="20"/>
                <w:szCs w:val="20"/>
                <w:vertAlign w:val="superscript"/>
              </w:rPr>
              <w:t>**</w:t>
            </w:r>
          </w:p>
        </w:tc>
        <w:tc>
          <w:tcPr>
            <w:tcW w:w="1701" w:type="dxa"/>
            <w:tcBorders>
              <w:top w:val="nil"/>
              <w:left w:val="nil"/>
              <w:bottom w:val="nil"/>
              <w:right w:val="nil"/>
            </w:tcBorders>
          </w:tcPr>
          <w:p w14:paraId="5EE6DDE5" w14:textId="4CD31883" w:rsidR="00F97E8A" w:rsidRPr="006A1735" w:rsidRDefault="00F97E8A" w:rsidP="00356AD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-0.0</w:t>
            </w:r>
            <w:r w:rsidR="00582E1C">
              <w:rPr>
                <w:rFonts w:ascii="Times New Roman" w:eastAsia="Times New Roman" w:hAnsi="Times New Roman" w:cs="Times New Roman"/>
                <w:sz w:val="20"/>
                <w:szCs w:val="20"/>
              </w:rPr>
              <w:t>35</w:t>
            </w:r>
            <w:r>
              <w:rPr>
                <w:rFonts w:ascii="Times New Roman" w:eastAsia="Times New Roman" w:hAnsi="Times New Roman" w:cs="Times New Roman"/>
                <w:sz w:val="20"/>
                <w:szCs w:val="20"/>
              </w:rPr>
              <w:t>(.</w:t>
            </w:r>
            <w:r w:rsidR="00582E1C">
              <w:rPr>
                <w:rFonts w:ascii="Times New Roman" w:eastAsia="Times New Roman" w:hAnsi="Times New Roman" w:cs="Times New Roman"/>
                <w:sz w:val="20"/>
                <w:szCs w:val="20"/>
              </w:rPr>
              <w:t>255</w:t>
            </w:r>
            <w:r>
              <w:rPr>
                <w:rFonts w:ascii="Times New Roman" w:eastAsia="Times New Roman" w:hAnsi="Times New Roman" w:cs="Times New Roman"/>
                <w:sz w:val="20"/>
                <w:szCs w:val="20"/>
              </w:rPr>
              <w:t>)</w:t>
            </w:r>
          </w:p>
        </w:tc>
        <w:tc>
          <w:tcPr>
            <w:tcW w:w="1701" w:type="dxa"/>
            <w:tcBorders>
              <w:top w:val="nil"/>
              <w:left w:val="nil"/>
              <w:bottom w:val="nil"/>
              <w:right w:val="nil"/>
            </w:tcBorders>
          </w:tcPr>
          <w:p w14:paraId="59DB83C4" w14:textId="234E3AFC" w:rsidR="00F97E8A" w:rsidRPr="00FF736F" w:rsidRDefault="00FF736F" w:rsidP="00356ADA">
            <w:pPr>
              <w:spacing w:after="0"/>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0.037</w:t>
            </w:r>
            <w:r w:rsidR="00F97E8A">
              <w:rPr>
                <w:rFonts w:ascii="Times New Roman" w:eastAsia="Times New Roman" w:hAnsi="Times New Roman" w:cs="Times New Roman"/>
                <w:sz w:val="20"/>
                <w:szCs w:val="20"/>
              </w:rPr>
              <w:t>(.</w:t>
            </w:r>
            <w:r>
              <w:rPr>
                <w:rFonts w:ascii="Times New Roman" w:eastAsia="Times New Roman" w:hAnsi="Times New Roman" w:cs="Times New Roman"/>
                <w:sz w:val="20"/>
                <w:szCs w:val="20"/>
              </w:rPr>
              <w:t>000</w:t>
            </w:r>
            <w:r w:rsidR="00F97E8A">
              <w:rPr>
                <w:rFonts w:ascii="Times New Roman" w:eastAsia="Times New Roman" w:hAnsi="Times New Roman" w:cs="Times New Roman"/>
                <w:sz w:val="20"/>
                <w:szCs w:val="20"/>
              </w:rPr>
              <w:t>)</w:t>
            </w:r>
            <w:r>
              <w:rPr>
                <w:rFonts w:ascii="Times New Roman" w:eastAsia="Times New Roman" w:hAnsi="Times New Roman" w:cs="Times New Roman"/>
                <w:sz w:val="20"/>
                <w:szCs w:val="20"/>
                <w:vertAlign w:val="superscript"/>
              </w:rPr>
              <w:t>***</w:t>
            </w:r>
          </w:p>
        </w:tc>
      </w:tr>
      <w:tr w:rsidR="00F97E8A" w:rsidRPr="00233EC8" w14:paraId="5FB57D76" w14:textId="77777777" w:rsidTr="00B572FE">
        <w:trPr>
          <w:trHeight w:val="87"/>
        </w:trPr>
        <w:tc>
          <w:tcPr>
            <w:tcW w:w="2835" w:type="dxa"/>
            <w:tcBorders>
              <w:top w:val="nil"/>
              <w:left w:val="nil"/>
              <w:bottom w:val="nil"/>
              <w:right w:val="nil"/>
            </w:tcBorders>
          </w:tcPr>
          <w:p w14:paraId="17876C32" w14:textId="77777777" w:rsidR="00F97E8A" w:rsidRPr="00233EC8" w:rsidRDefault="00F97E8A" w:rsidP="00356ADA">
            <w:pPr>
              <w:spacing w:after="0"/>
              <w:ind w:left="175"/>
              <w:rPr>
                <w:rFonts w:ascii="Times New Roman" w:eastAsia="Times New Roman" w:hAnsi="Times New Roman" w:cs="Times New Roman"/>
                <w:sz w:val="20"/>
                <w:szCs w:val="20"/>
              </w:rPr>
            </w:pPr>
            <w:r w:rsidRPr="004C57C8">
              <w:rPr>
                <w:rFonts w:ascii="Times New Roman" w:eastAsia="Times New Roman" w:hAnsi="Times New Roman" w:cs="Times New Roman"/>
                <w:sz w:val="20"/>
                <w:szCs w:val="20"/>
              </w:rPr>
              <w:t>GRTH</w:t>
            </w:r>
          </w:p>
        </w:tc>
        <w:tc>
          <w:tcPr>
            <w:tcW w:w="1707" w:type="dxa"/>
            <w:tcBorders>
              <w:top w:val="nil"/>
              <w:left w:val="nil"/>
              <w:bottom w:val="nil"/>
              <w:right w:val="nil"/>
            </w:tcBorders>
          </w:tcPr>
          <w:p w14:paraId="414E8A56" w14:textId="2ED3C4A1" w:rsidR="00F97E8A" w:rsidRPr="006A1735" w:rsidRDefault="00F97E8A" w:rsidP="00356AD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-0.0</w:t>
            </w:r>
            <w:r w:rsidR="00357AFA">
              <w:rPr>
                <w:rFonts w:ascii="Times New Roman" w:eastAsia="Times New Roman" w:hAnsi="Times New Roman" w:cs="Times New Roman"/>
                <w:sz w:val="20"/>
                <w:szCs w:val="20"/>
              </w:rPr>
              <w:t>05</w:t>
            </w:r>
            <w:r>
              <w:rPr>
                <w:rFonts w:ascii="Times New Roman" w:eastAsia="Times New Roman" w:hAnsi="Times New Roman" w:cs="Times New Roman"/>
                <w:sz w:val="20"/>
                <w:szCs w:val="20"/>
              </w:rPr>
              <w:t>(.</w:t>
            </w:r>
            <w:r w:rsidR="00357AFA">
              <w:rPr>
                <w:rFonts w:ascii="Times New Roman" w:eastAsia="Times New Roman" w:hAnsi="Times New Roman" w:cs="Times New Roman"/>
                <w:sz w:val="20"/>
                <w:szCs w:val="20"/>
              </w:rPr>
              <w:t>550</w:t>
            </w:r>
            <w:r>
              <w:rPr>
                <w:rFonts w:ascii="Times New Roman" w:eastAsia="Times New Roman" w:hAnsi="Times New Roman" w:cs="Times New Roman"/>
                <w:sz w:val="20"/>
                <w:szCs w:val="20"/>
              </w:rPr>
              <w:t>)</w:t>
            </w:r>
          </w:p>
        </w:tc>
        <w:tc>
          <w:tcPr>
            <w:tcW w:w="1701" w:type="dxa"/>
            <w:tcBorders>
              <w:top w:val="nil"/>
              <w:left w:val="nil"/>
              <w:bottom w:val="nil"/>
              <w:right w:val="nil"/>
            </w:tcBorders>
          </w:tcPr>
          <w:p w14:paraId="7D1DECB7" w14:textId="229FF529" w:rsidR="00F97E8A" w:rsidRPr="006A1735" w:rsidRDefault="00582E1C" w:rsidP="00356AD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0.023</w:t>
            </w:r>
            <w:r w:rsidR="00F97E8A">
              <w:rPr>
                <w:rFonts w:ascii="Times New Roman" w:eastAsia="Times New Roman" w:hAnsi="Times New Roman" w:cs="Times New Roman"/>
                <w:sz w:val="20"/>
                <w:szCs w:val="20"/>
              </w:rPr>
              <w:t>(.</w:t>
            </w:r>
            <w:r>
              <w:rPr>
                <w:rFonts w:ascii="Times New Roman" w:eastAsia="Times New Roman" w:hAnsi="Times New Roman" w:cs="Times New Roman"/>
                <w:sz w:val="20"/>
                <w:szCs w:val="20"/>
              </w:rPr>
              <w:t>500</w:t>
            </w:r>
            <w:r w:rsidR="00F97E8A">
              <w:rPr>
                <w:rFonts w:ascii="Times New Roman" w:eastAsia="Times New Roman" w:hAnsi="Times New Roman" w:cs="Times New Roman"/>
                <w:sz w:val="20"/>
                <w:szCs w:val="20"/>
              </w:rPr>
              <w:t>)</w:t>
            </w:r>
          </w:p>
        </w:tc>
        <w:tc>
          <w:tcPr>
            <w:tcW w:w="1701" w:type="dxa"/>
            <w:tcBorders>
              <w:top w:val="nil"/>
              <w:left w:val="nil"/>
              <w:bottom w:val="nil"/>
              <w:right w:val="nil"/>
            </w:tcBorders>
          </w:tcPr>
          <w:p w14:paraId="000F22C5" w14:textId="18997DAE" w:rsidR="00F97E8A" w:rsidRPr="00FF736F" w:rsidRDefault="00FF736F" w:rsidP="00356ADA">
            <w:pPr>
              <w:spacing w:after="0"/>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0.017</w:t>
            </w:r>
            <w:r w:rsidR="00F97E8A">
              <w:rPr>
                <w:rFonts w:ascii="Times New Roman" w:eastAsia="Times New Roman" w:hAnsi="Times New Roman" w:cs="Times New Roman"/>
                <w:sz w:val="20"/>
                <w:szCs w:val="20"/>
              </w:rPr>
              <w:t>(.</w:t>
            </w:r>
            <w:r>
              <w:rPr>
                <w:rFonts w:ascii="Times New Roman" w:eastAsia="Times New Roman" w:hAnsi="Times New Roman" w:cs="Times New Roman"/>
                <w:sz w:val="20"/>
                <w:szCs w:val="20"/>
              </w:rPr>
              <w:t>000</w:t>
            </w:r>
            <w:r w:rsidR="00F97E8A">
              <w:rPr>
                <w:rFonts w:ascii="Times New Roman" w:eastAsia="Times New Roman" w:hAnsi="Times New Roman" w:cs="Times New Roman"/>
                <w:sz w:val="20"/>
                <w:szCs w:val="20"/>
              </w:rPr>
              <w:t>)</w:t>
            </w:r>
            <w:r>
              <w:rPr>
                <w:rFonts w:ascii="Times New Roman" w:eastAsia="Times New Roman" w:hAnsi="Times New Roman" w:cs="Times New Roman"/>
                <w:sz w:val="20"/>
                <w:szCs w:val="20"/>
                <w:vertAlign w:val="superscript"/>
              </w:rPr>
              <w:t>***</w:t>
            </w:r>
          </w:p>
        </w:tc>
      </w:tr>
      <w:tr w:rsidR="00F97E8A" w:rsidRPr="00233EC8" w14:paraId="7220EA09" w14:textId="77777777" w:rsidTr="00B572FE">
        <w:trPr>
          <w:trHeight w:val="87"/>
        </w:trPr>
        <w:tc>
          <w:tcPr>
            <w:tcW w:w="2835" w:type="dxa"/>
            <w:tcBorders>
              <w:top w:val="nil"/>
              <w:left w:val="nil"/>
              <w:bottom w:val="nil"/>
              <w:right w:val="nil"/>
            </w:tcBorders>
          </w:tcPr>
          <w:p w14:paraId="509B03EA" w14:textId="25374A6A" w:rsidR="00F97E8A" w:rsidRPr="00233EC8" w:rsidRDefault="0058519D" w:rsidP="00356ADA">
            <w:pPr>
              <w:spacing w:after="0"/>
              <w:ind w:left="175"/>
              <w:rPr>
                <w:rFonts w:ascii="Times New Roman" w:eastAsia="Times New Roman" w:hAnsi="Times New Roman" w:cs="Times New Roman"/>
                <w:sz w:val="20"/>
                <w:szCs w:val="20"/>
              </w:rPr>
            </w:pPr>
            <w:r>
              <w:rPr>
                <w:rFonts w:ascii="Times New Roman" w:eastAsia="Times New Roman" w:hAnsi="Times New Roman" w:cs="Times New Roman"/>
                <w:sz w:val="20"/>
                <w:szCs w:val="20"/>
              </w:rPr>
              <w:t>IFUNDC</w:t>
            </w:r>
          </w:p>
        </w:tc>
        <w:tc>
          <w:tcPr>
            <w:tcW w:w="1707" w:type="dxa"/>
            <w:tcBorders>
              <w:top w:val="nil"/>
              <w:left w:val="nil"/>
              <w:bottom w:val="nil"/>
              <w:right w:val="nil"/>
            </w:tcBorders>
          </w:tcPr>
          <w:p w14:paraId="65F20CA2" w14:textId="21EBAD02" w:rsidR="00F97E8A" w:rsidRPr="00CE4D30" w:rsidRDefault="00357AFA" w:rsidP="00356ADA">
            <w:pPr>
              <w:spacing w:after="0"/>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0.0</w:t>
            </w:r>
            <w:r w:rsidR="00772EAF">
              <w:rPr>
                <w:rFonts w:ascii="Times New Roman" w:eastAsia="Times New Roman" w:hAnsi="Times New Roman" w:cs="Times New Roman"/>
                <w:sz w:val="20"/>
                <w:szCs w:val="20"/>
              </w:rPr>
              <w:t>08</w:t>
            </w:r>
            <w:r w:rsidR="00F97E8A">
              <w:rPr>
                <w:rFonts w:ascii="Times New Roman" w:eastAsia="Times New Roman" w:hAnsi="Times New Roman" w:cs="Times New Roman"/>
                <w:sz w:val="20"/>
                <w:szCs w:val="20"/>
              </w:rPr>
              <w:t>(.</w:t>
            </w:r>
            <w:r>
              <w:rPr>
                <w:rFonts w:ascii="Times New Roman" w:eastAsia="Times New Roman" w:hAnsi="Times New Roman" w:cs="Times New Roman"/>
                <w:sz w:val="20"/>
                <w:szCs w:val="20"/>
              </w:rPr>
              <w:t>4</w:t>
            </w:r>
            <w:r w:rsidR="00772EAF">
              <w:rPr>
                <w:rFonts w:ascii="Times New Roman" w:eastAsia="Times New Roman" w:hAnsi="Times New Roman" w:cs="Times New Roman"/>
                <w:sz w:val="20"/>
                <w:szCs w:val="20"/>
              </w:rPr>
              <w:t>28</w:t>
            </w:r>
            <w:r w:rsidR="00F97E8A">
              <w:rPr>
                <w:rFonts w:ascii="Times New Roman" w:eastAsia="Times New Roman" w:hAnsi="Times New Roman" w:cs="Times New Roman"/>
                <w:sz w:val="20"/>
                <w:szCs w:val="20"/>
              </w:rPr>
              <w:t>)</w:t>
            </w:r>
          </w:p>
        </w:tc>
        <w:tc>
          <w:tcPr>
            <w:tcW w:w="1701" w:type="dxa"/>
            <w:tcBorders>
              <w:top w:val="nil"/>
              <w:left w:val="nil"/>
              <w:bottom w:val="nil"/>
              <w:right w:val="nil"/>
            </w:tcBorders>
          </w:tcPr>
          <w:p w14:paraId="11DBA0E2" w14:textId="1138C431" w:rsidR="00F97E8A" w:rsidRPr="00582E1C" w:rsidRDefault="00582E1C" w:rsidP="00356ADA">
            <w:pPr>
              <w:spacing w:after="0"/>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-0.087</w:t>
            </w:r>
            <w:r w:rsidR="00F97E8A">
              <w:rPr>
                <w:rFonts w:ascii="Times New Roman" w:eastAsia="Times New Roman" w:hAnsi="Times New Roman" w:cs="Times New Roman"/>
                <w:sz w:val="20"/>
                <w:szCs w:val="20"/>
              </w:rPr>
              <w:t>(.</w:t>
            </w:r>
            <w:r>
              <w:rPr>
                <w:rFonts w:ascii="Times New Roman" w:eastAsia="Times New Roman" w:hAnsi="Times New Roman" w:cs="Times New Roman"/>
                <w:sz w:val="20"/>
                <w:szCs w:val="20"/>
              </w:rPr>
              <w:t>000</w:t>
            </w:r>
            <w:r w:rsidR="00F97E8A">
              <w:rPr>
                <w:rFonts w:ascii="Times New Roman" w:eastAsia="Times New Roman" w:hAnsi="Times New Roman" w:cs="Times New Roman"/>
                <w:sz w:val="20"/>
                <w:szCs w:val="20"/>
              </w:rPr>
              <w:t>)</w:t>
            </w:r>
            <w:r>
              <w:rPr>
                <w:rFonts w:ascii="Times New Roman" w:eastAsia="Times New Roman" w:hAnsi="Times New Roman" w:cs="Times New Roman"/>
                <w:sz w:val="20"/>
                <w:szCs w:val="20"/>
                <w:vertAlign w:val="superscript"/>
              </w:rPr>
              <w:t>***</w:t>
            </w:r>
          </w:p>
        </w:tc>
        <w:tc>
          <w:tcPr>
            <w:tcW w:w="1701" w:type="dxa"/>
            <w:tcBorders>
              <w:top w:val="nil"/>
              <w:left w:val="nil"/>
              <w:bottom w:val="nil"/>
              <w:right w:val="nil"/>
            </w:tcBorders>
          </w:tcPr>
          <w:p w14:paraId="31B7C582" w14:textId="358631D2" w:rsidR="00F97E8A" w:rsidRPr="00FF736F" w:rsidRDefault="00FF736F" w:rsidP="00356ADA">
            <w:pPr>
              <w:spacing w:after="0"/>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0.009</w:t>
            </w:r>
            <w:r w:rsidR="00F97E8A">
              <w:rPr>
                <w:rFonts w:ascii="Times New Roman" w:eastAsia="Times New Roman" w:hAnsi="Times New Roman" w:cs="Times New Roman"/>
                <w:sz w:val="20"/>
                <w:szCs w:val="20"/>
              </w:rPr>
              <w:t>(.</w:t>
            </w:r>
            <w:r>
              <w:rPr>
                <w:rFonts w:ascii="Times New Roman" w:eastAsia="Times New Roman" w:hAnsi="Times New Roman" w:cs="Times New Roman"/>
                <w:sz w:val="20"/>
                <w:szCs w:val="20"/>
              </w:rPr>
              <w:t>003)</w:t>
            </w:r>
            <w:r>
              <w:rPr>
                <w:rFonts w:ascii="Times New Roman" w:eastAsia="Times New Roman" w:hAnsi="Times New Roman" w:cs="Times New Roman"/>
                <w:sz w:val="20"/>
                <w:szCs w:val="20"/>
                <w:vertAlign w:val="superscript"/>
              </w:rPr>
              <w:t>***</w:t>
            </w:r>
          </w:p>
        </w:tc>
      </w:tr>
      <w:tr w:rsidR="00F97E8A" w:rsidRPr="00233EC8" w14:paraId="4E1202E1" w14:textId="77777777" w:rsidTr="00B572FE">
        <w:trPr>
          <w:trHeight w:val="87"/>
        </w:trPr>
        <w:tc>
          <w:tcPr>
            <w:tcW w:w="2835" w:type="dxa"/>
            <w:tcBorders>
              <w:top w:val="nil"/>
              <w:left w:val="nil"/>
              <w:bottom w:val="nil"/>
              <w:right w:val="nil"/>
            </w:tcBorders>
          </w:tcPr>
          <w:p w14:paraId="73BF44FE" w14:textId="776C55D3" w:rsidR="00F97E8A" w:rsidRPr="00233EC8" w:rsidRDefault="0058519D" w:rsidP="00356ADA">
            <w:pPr>
              <w:spacing w:after="0"/>
              <w:ind w:left="175"/>
              <w:rPr>
                <w:rFonts w:ascii="Times New Roman" w:eastAsia="Times New Roman" w:hAnsi="Times New Roman" w:cs="Times New Roman"/>
                <w:sz w:val="20"/>
                <w:szCs w:val="20"/>
              </w:rPr>
            </w:pPr>
            <w:r>
              <w:rPr>
                <w:rFonts w:ascii="Times New Roman" w:eastAsia="Times New Roman" w:hAnsi="Times New Roman" w:cs="Times New Roman"/>
                <w:sz w:val="20"/>
                <w:szCs w:val="20"/>
              </w:rPr>
              <w:t>F</w:t>
            </w:r>
            <w:r w:rsidR="00F97E8A" w:rsidRPr="004C57C8">
              <w:rPr>
                <w:rFonts w:ascii="Times New Roman" w:eastAsia="Times New Roman" w:hAnsi="Times New Roman" w:cs="Times New Roman"/>
                <w:sz w:val="20"/>
                <w:szCs w:val="20"/>
              </w:rPr>
              <w:t>R</w:t>
            </w:r>
            <w:r>
              <w:rPr>
                <w:rFonts w:ascii="Times New Roman" w:eastAsia="Times New Roman" w:hAnsi="Times New Roman" w:cs="Times New Roman"/>
                <w:sz w:val="20"/>
                <w:szCs w:val="20"/>
              </w:rPr>
              <w:t>I</w:t>
            </w:r>
            <w:r w:rsidR="00F97E8A" w:rsidRPr="004C57C8">
              <w:rPr>
                <w:rFonts w:ascii="Times New Roman" w:eastAsia="Times New Roman" w:hAnsi="Times New Roman" w:cs="Times New Roman"/>
                <w:sz w:val="20"/>
                <w:szCs w:val="20"/>
              </w:rPr>
              <w:t>SK</w:t>
            </w:r>
          </w:p>
        </w:tc>
        <w:tc>
          <w:tcPr>
            <w:tcW w:w="1707" w:type="dxa"/>
            <w:tcBorders>
              <w:top w:val="nil"/>
              <w:left w:val="nil"/>
              <w:bottom w:val="nil"/>
              <w:right w:val="nil"/>
            </w:tcBorders>
          </w:tcPr>
          <w:p w14:paraId="0BC6A981" w14:textId="59C2071B" w:rsidR="00F97E8A" w:rsidRPr="006A1735" w:rsidRDefault="00F97E8A" w:rsidP="00356AD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0.0</w:t>
            </w:r>
            <w:r w:rsidR="00772EAF">
              <w:rPr>
                <w:rFonts w:ascii="Times New Roman" w:eastAsia="Times New Roman" w:hAnsi="Times New Roman" w:cs="Times New Roman"/>
                <w:sz w:val="20"/>
                <w:szCs w:val="20"/>
              </w:rPr>
              <w:t>27</w:t>
            </w:r>
            <w:r>
              <w:rPr>
                <w:rFonts w:ascii="Times New Roman" w:eastAsia="Times New Roman" w:hAnsi="Times New Roman" w:cs="Times New Roman"/>
                <w:sz w:val="20"/>
                <w:szCs w:val="20"/>
              </w:rPr>
              <w:t>(.</w:t>
            </w:r>
            <w:r w:rsidR="00772EAF">
              <w:rPr>
                <w:rFonts w:ascii="Times New Roman" w:eastAsia="Times New Roman" w:hAnsi="Times New Roman" w:cs="Times New Roman"/>
                <w:sz w:val="20"/>
                <w:szCs w:val="20"/>
              </w:rPr>
              <w:t>415</w:t>
            </w:r>
            <w:r>
              <w:rPr>
                <w:rFonts w:ascii="Times New Roman" w:eastAsia="Times New Roman" w:hAnsi="Times New Roman" w:cs="Times New Roman"/>
                <w:sz w:val="20"/>
                <w:szCs w:val="20"/>
              </w:rPr>
              <w:t>)</w:t>
            </w:r>
          </w:p>
        </w:tc>
        <w:tc>
          <w:tcPr>
            <w:tcW w:w="1701" w:type="dxa"/>
            <w:tcBorders>
              <w:top w:val="nil"/>
              <w:left w:val="nil"/>
              <w:bottom w:val="nil"/>
              <w:right w:val="nil"/>
            </w:tcBorders>
          </w:tcPr>
          <w:p w14:paraId="5F617C9F" w14:textId="32135E64" w:rsidR="00F97E8A" w:rsidRPr="0002562B" w:rsidRDefault="0002562B" w:rsidP="00356ADA">
            <w:pPr>
              <w:spacing w:after="0"/>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-0.265</w:t>
            </w:r>
            <w:r w:rsidR="00582E1C">
              <w:rPr>
                <w:rFonts w:ascii="Times New Roman" w:eastAsia="Times New Roman" w:hAnsi="Times New Roman" w:cs="Times New Roman"/>
                <w:sz w:val="20"/>
                <w:szCs w:val="20"/>
              </w:rPr>
              <w:t>(</w:t>
            </w:r>
            <w:r w:rsidR="00F97E8A">
              <w:rPr>
                <w:rFonts w:ascii="Times New Roman" w:eastAsia="Times New Roman" w:hAnsi="Times New Roman" w:cs="Times New Roman"/>
                <w:sz w:val="20"/>
                <w:szCs w:val="20"/>
              </w:rPr>
              <w:t>.</w:t>
            </w:r>
            <w:r>
              <w:rPr>
                <w:rFonts w:ascii="Times New Roman" w:eastAsia="Times New Roman" w:hAnsi="Times New Roman" w:cs="Times New Roman"/>
                <w:sz w:val="20"/>
                <w:szCs w:val="20"/>
              </w:rPr>
              <w:t>066</w:t>
            </w:r>
            <w:r w:rsidR="00F97E8A">
              <w:rPr>
                <w:rFonts w:ascii="Times New Roman" w:eastAsia="Times New Roman" w:hAnsi="Times New Roman" w:cs="Times New Roman"/>
                <w:sz w:val="20"/>
                <w:szCs w:val="20"/>
              </w:rPr>
              <w:t>)</w:t>
            </w:r>
            <w:r>
              <w:rPr>
                <w:rFonts w:ascii="Times New Roman" w:eastAsia="Times New Roman" w:hAnsi="Times New Roman" w:cs="Times New Roman"/>
                <w:sz w:val="20"/>
                <w:szCs w:val="20"/>
                <w:vertAlign w:val="superscript"/>
              </w:rPr>
              <w:t>*</w:t>
            </w:r>
          </w:p>
        </w:tc>
        <w:tc>
          <w:tcPr>
            <w:tcW w:w="1701" w:type="dxa"/>
            <w:tcBorders>
              <w:top w:val="nil"/>
              <w:left w:val="nil"/>
              <w:bottom w:val="nil"/>
              <w:right w:val="nil"/>
            </w:tcBorders>
          </w:tcPr>
          <w:p w14:paraId="39F6D9E5" w14:textId="3FEC5D88" w:rsidR="00F97E8A" w:rsidRPr="00FF736F" w:rsidRDefault="00FF736F" w:rsidP="00356ADA">
            <w:pPr>
              <w:spacing w:after="0"/>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-0.064</w:t>
            </w:r>
            <w:r w:rsidR="00F97E8A">
              <w:rPr>
                <w:rFonts w:ascii="Times New Roman" w:eastAsia="Times New Roman" w:hAnsi="Times New Roman" w:cs="Times New Roman"/>
                <w:sz w:val="20"/>
                <w:szCs w:val="20"/>
              </w:rPr>
              <w:t>(.</w:t>
            </w:r>
            <w:r>
              <w:rPr>
                <w:rFonts w:ascii="Times New Roman" w:eastAsia="Times New Roman" w:hAnsi="Times New Roman" w:cs="Times New Roman"/>
                <w:sz w:val="20"/>
                <w:szCs w:val="20"/>
              </w:rPr>
              <w:t>000</w:t>
            </w:r>
            <w:r w:rsidR="00F97E8A">
              <w:rPr>
                <w:rFonts w:ascii="Times New Roman" w:eastAsia="Times New Roman" w:hAnsi="Times New Roman" w:cs="Times New Roman"/>
                <w:sz w:val="20"/>
                <w:szCs w:val="20"/>
              </w:rPr>
              <w:t>)</w:t>
            </w:r>
            <w:r>
              <w:rPr>
                <w:rFonts w:ascii="Times New Roman" w:eastAsia="Times New Roman" w:hAnsi="Times New Roman" w:cs="Times New Roman"/>
                <w:sz w:val="20"/>
                <w:szCs w:val="20"/>
                <w:vertAlign w:val="superscript"/>
              </w:rPr>
              <w:t>***</w:t>
            </w:r>
          </w:p>
        </w:tc>
      </w:tr>
      <w:tr w:rsidR="00F97E8A" w:rsidRPr="00233EC8" w14:paraId="28AF8A99" w14:textId="77777777" w:rsidTr="00B572FE">
        <w:trPr>
          <w:trHeight w:val="87"/>
        </w:trPr>
        <w:tc>
          <w:tcPr>
            <w:tcW w:w="2835" w:type="dxa"/>
            <w:tcBorders>
              <w:top w:val="nil"/>
              <w:left w:val="nil"/>
              <w:bottom w:val="nil"/>
              <w:right w:val="nil"/>
            </w:tcBorders>
          </w:tcPr>
          <w:p w14:paraId="24053FAA" w14:textId="28485E5A" w:rsidR="00F97E8A" w:rsidRPr="00233EC8" w:rsidRDefault="00F97E8A" w:rsidP="00356ADA">
            <w:pPr>
              <w:spacing w:after="0"/>
              <w:ind w:left="175"/>
              <w:rPr>
                <w:rFonts w:ascii="Times New Roman" w:eastAsia="Times New Roman" w:hAnsi="Times New Roman" w:cs="Times New Roman"/>
                <w:sz w:val="20"/>
                <w:szCs w:val="20"/>
              </w:rPr>
            </w:pPr>
            <w:r w:rsidRPr="004C57C8">
              <w:rPr>
                <w:rFonts w:ascii="Times New Roman" w:eastAsia="Times New Roman" w:hAnsi="Times New Roman" w:cs="Times New Roman"/>
                <w:sz w:val="20"/>
                <w:szCs w:val="20"/>
              </w:rPr>
              <w:t>AF</w:t>
            </w:r>
            <w:r w:rsidR="0058519D">
              <w:rPr>
                <w:rFonts w:ascii="Times New Roman" w:eastAsia="Times New Roman" w:hAnsi="Times New Roman" w:cs="Times New Roman"/>
                <w:sz w:val="20"/>
                <w:szCs w:val="20"/>
              </w:rPr>
              <w:t>SZE</w:t>
            </w:r>
          </w:p>
        </w:tc>
        <w:tc>
          <w:tcPr>
            <w:tcW w:w="1707" w:type="dxa"/>
            <w:tcBorders>
              <w:top w:val="nil"/>
              <w:left w:val="nil"/>
              <w:bottom w:val="nil"/>
              <w:right w:val="nil"/>
            </w:tcBorders>
          </w:tcPr>
          <w:p w14:paraId="786832FF" w14:textId="0F46D8FB" w:rsidR="00F97E8A" w:rsidRPr="00CE4D30" w:rsidRDefault="00F97E8A" w:rsidP="00356ADA">
            <w:pPr>
              <w:spacing w:after="0"/>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-0.0</w:t>
            </w:r>
            <w:r w:rsidR="00772EAF">
              <w:rPr>
                <w:rFonts w:ascii="Times New Roman" w:eastAsia="Times New Roman" w:hAnsi="Times New Roman" w:cs="Times New Roman"/>
                <w:sz w:val="20"/>
                <w:szCs w:val="20"/>
              </w:rPr>
              <w:t>11</w:t>
            </w:r>
            <w:r>
              <w:rPr>
                <w:rFonts w:ascii="Times New Roman" w:eastAsia="Times New Roman" w:hAnsi="Times New Roman" w:cs="Times New Roman"/>
                <w:sz w:val="20"/>
                <w:szCs w:val="20"/>
              </w:rPr>
              <w:t>(.00</w:t>
            </w:r>
            <w:r w:rsidR="00772EAF">
              <w:rPr>
                <w:rFonts w:ascii="Times New Roman" w:eastAsia="Times New Roman" w:hAnsi="Times New Roman" w:cs="Times New Roman"/>
                <w:sz w:val="20"/>
                <w:szCs w:val="20"/>
              </w:rPr>
              <w:t>2</w:t>
            </w:r>
            <w:r>
              <w:rPr>
                <w:rFonts w:ascii="Times New Roman" w:eastAsia="Times New Roman" w:hAnsi="Times New Roman" w:cs="Times New Roman"/>
                <w:sz w:val="20"/>
                <w:szCs w:val="20"/>
              </w:rPr>
              <w:t>)</w:t>
            </w:r>
            <w:r>
              <w:rPr>
                <w:rFonts w:ascii="Times New Roman" w:eastAsia="Times New Roman" w:hAnsi="Times New Roman" w:cs="Times New Roman"/>
                <w:sz w:val="20"/>
                <w:szCs w:val="20"/>
                <w:vertAlign w:val="superscript"/>
              </w:rPr>
              <w:t>***</w:t>
            </w:r>
          </w:p>
        </w:tc>
        <w:tc>
          <w:tcPr>
            <w:tcW w:w="1701" w:type="dxa"/>
            <w:tcBorders>
              <w:top w:val="nil"/>
              <w:left w:val="nil"/>
              <w:bottom w:val="nil"/>
              <w:right w:val="nil"/>
            </w:tcBorders>
          </w:tcPr>
          <w:p w14:paraId="50796376" w14:textId="7B912FAE" w:rsidR="00F97E8A" w:rsidRPr="00CE4D30" w:rsidRDefault="00F97E8A" w:rsidP="00356ADA">
            <w:pPr>
              <w:spacing w:after="0"/>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-0.</w:t>
            </w:r>
            <w:r w:rsidR="0002562B">
              <w:rPr>
                <w:rFonts w:ascii="Times New Roman" w:eastAsia="Times New Roman" w:hAnsi="Times New Roman" w:cs="Times New Roman"/>
                <w:sz w:val="20"/>
                <w:szCs w:val="20"/>
              </w:rPr>
              <w:t>021</w:t>
            </w:r>
            <w:r>
              <w:rPr>
                <w:rFonts w:ascii="Times New Roman" w:eastAsia="Times New Roman" w:hAnsi="Times New Roman" w:cs="Times New Roman"/>
                <w:sz w:val="20"/>
                <w:szCs w:val="20"/>
              </w:rPr>
              <w:t>(.000)</w:t>
            </w:r>
            <w:r>
              <w:rPr>
                <w:rFonts w:ascii="Times New Roman" w:eastAsia="Times New Roman" w:hAnsi="Times New Roman" w:cs="Times New Roman"/>
                <w:sz w:val="20"/>
                <w:szCs w:val="20"/>
                <w:vertAlign w:val="superscript"/>
              </w:rPr>
              <w:t>***</w:t>
            </w:r>
          </w:p>
        </w:tc>
        <w:tc>
          <w:tcPr>
            <w:tcW w:w="1701" w:type="dxa"/>
            <w:tcBorders>
              <w:top w:val="nil"/>
              <w:left w:val="nil"/>
              <w:bottom w:val="nil"/>
              <w:right w:val="nil"/>
            </w:tcBorders>
          </w:tcPr>
          <w:p w14:paraId="5BE98566" w14:textId="074BE68D" w:rsidR="00F97E8A" w:rsidRPr="00CE4D30" w:rsidRDefault="00FF736F" w:rsidP="00356ADA">
            <w:pPr>
              <w:spacing w:after="0"/>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-0.005</w:t>
            </w:r>
            <w:r w:rsidR="00F97E8A">
              <w:rPr>
                <w:rFonts w:ascii="Times New Roman" w:eastAsia="Times New Roman" w:hAnsi="Times New Roman" w:cs="Times New Roman"/>
                <w:sz w:val="20"/>
                <w:szCs w:val="20"/>
              </w:rPr>
              <w:t>(.0</w:t>
            </w:r>
            <w:r>
              <w:rPr>
                <w:rFonts w:ascii="Times New Roman" w:eastAsia="Times New Roman" w:hAnsi="Times New Roman" w:cs="Times New Roman"/>
                <w:sz w:val="20"/>
                <w:szCs w:val="20"/>
              </w:rPr>
              <w:t>00</w:t>
            </w:r>
            <w:r w:rsidR="00F97E8A">
              <w:rPr>
                <w:rFonts w:ascii="Times New Roman" w:eastAsia="Times New Roman" w:hAnsi="Times New Roman" w:cs="Times New Roman"/>
                <w:sz w:val="20"/>
                <w:szCs w:val="20"/>
              </w:rPr>
              <w:t>)</w:t>
            </w:r>
            <w:r w:rsidR="00F97E8A">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vertAlign w:val="superscript"/>
              </w:rPr>
              <w:t>*</w:t>
            </w:r>
          </w:p>
        </w:tc>
      </w:tr>
      <w:tr w:rsidR="00F97E8A" w:rsidRPr="00233EC8" w14:paraId="7C959CA8" w14:textId="77777777" w:rsidTr="00B572FE">
        <w:trPr>
          <w:trHeight w:val="87"/>
        </w:trPr>
        <w:tc>
          <w:tcPr>
            <w:tcW w:w="2835" w:type="dxa"/>
            <w:tcBorders>
              <w:top w:val="nil"/>
              <w:left w:val="nil"/>
              <w:bottom w:val="nil"/>
              <w:right w:val="nil"/>
            </w:tcBorders>
          </w:tcPr>
          <w:p w14:paraId="7164E2AD" w14:textId="77777777" w:rsidR="00F97E8A" w:rsidRPr="00233EC8" w:rsidRDefault="00F97E8A" w:rsidP="00356ADA">
            <w:pPr>
              <w:spacing w:after="0"/>
              <w:ind w:left="175"/>
              <w:rPr>
                <w:rFonts w:ascii="Times New Roman" w:eastAsia="Times New Roman" w:hAnsi="Times New Roman" w:cs="Times New Roman"/>
                <w:sz w:val="20"/>
                <w:szCs w:val="20"/>
              </w:rPr>
            </w:pPr>
            <w:r w:rsidRPr="004C57C8">
              <w:rPr>
                <w:rFonts w:ascii="Times New Roman" w:eastAsia="Times New Roman" w:hAnsi="Times New Roman" w:cs="Times New Roman"/>
                <w:sz w:val="20"/>
                <w:szCs w:val="20"/>
              </w:rPr>
              <w:t>CEXP</w:t>
            </w:r>
          </w:p>
        </w:tc>
        <w:tc>
          <w:tcPr>
            <w:tcW w:w="1707" w:type="dxa"/>
            <w:tcBorders>
              <w:top w:val="nil"/>
              <w:left w:val="nil"/>
              <w:bottom w:val="nil"/>
              <w:right w:val="nil"/>
            </w:tcBorders>
          </w:tcPr>
          <w:p w14:paraId="4658F18C" w14:textId="69860BA8" w:rsidR="00F97E8A" w:rsidRPr="00CE4D30" w:rsidRDefault="00772EAF" w:rsidP="00356ADA">
            <w:pPr>
              <w:spacing w:after="0"/>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-0.008</w:t>
            </w:r>
            <w:r w:rsidR="00F97E8A">
              <w:rPr>
                <w:rFonts w:ascii="Times New Roman" w:eastAsia="Times New Roman" w:hAnsi="Times New Roman" w:cs="Times New Roman"/>
                <w:sz w:val="20"/>
                <w:szCs w:val="20"/>
              </w:rPr>
              <w:t>(.</w:t>
            </w:r>
            <w:r>
              <w:rPr>
                <w:rFonts w:ascii="Times New Roman" w:eastAsia="Times New Roman" w:hAnsi="Times New Roman" w:cs="Times New Roman"/>
                <w:sz w:val="20"/>
                <w:szCs w:val="20"/>
              </w:rPr>
              <w:t>179</w:t>
            </w:r>
            <w:r w:rsidR="00F97E8A">
              <w:rPr>
                <w:rFonts w:ascii="Times New Roman" w:eastAsia="Times New Roman" w:hAnsi="Times New Roman" w:cs="Times New Roman"/>
                <w:sz w:val="20"/>
                <w:szCs w:val="20"/>
              </w:rPr>
              <w:t>)</w:t>
            </w:r>
          </w:p>
        </w:tc>
        <w:tc>
          <w:tcPr>
            <w:tcW w:w="1701" w:type="dxa"/>
            <w:tcBorders>
              <w:top w:val="nil"/>
              <w:left w:val="nil"/>
              <w:bottom w:val="nil"/>
              <w:right w:val="nil"/>
            </w:tcBorders>
          </w:tcPr>
          <w:p w14:paraId="5D375482" w14:textId="28875BD1" w:rsidR="00F97E8A" w:rsidRPr="00CE4D30" w:rsidRDefault="0002562B" w:rsidP="00356ADA">
            <w:pPr>
              <w:spacing w:after="0"/>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-0.048</w:t>
            </w:r>
            <w:r w:rsidR="00F97E8A">
              <w:rPr>
                <w:rFonts w:ascii="Times New Roman" w:eastAsia="Times New Roman" w:hAnsi="Times New Roman" w:cs="Times New Roman"/>
                <w:sz w:val="20"/>
                <w:szCs w:val="20"/>
              </w:rPr>
              <w:t>(.000)</w:t>
            </w:r>
            <w:r w:rsidR="00F97E8A">
              <w:rPr>
                <w:rFonts w:ascii="Times New Roman" w:eastAsia="Times New Roman" w:hAnsi="Times New Roman" w:cs="Times New Roman"/>
                <w:sz w:val="20"/>
                <w:szCs w:val="20"/>
                <w:vertAlign w:val="superscript"/>
              </w:rPr>
              <w:t>***</w:t>
            </w:r>
          </w:p>
        </w:tc>
        <w:tc>
          <w:tcPr>
            <w:tcW w:w="1701" w:type="dxa"/>
            <w:tcBorders>
              <w:top w:val="nil"/>
              <w:left w:val="nil"/>
              <w:bottom w:val="nil"/>
              <w:right w:val="nil"/>
            </w:tcBorders>
          </w:tcPr>
          <w:p w14:paraId="2EB1F876" w14:textId="126B56AA" w:rsidR="00F97E8A" w:rsidRPr="00FF736F" w:rsidRDefault="00FF736F" w:rsidP="00356ADA">
            <w:pPr>
              <w:spacing w:after="0"/>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-0.008</w:t>
            </w:r>
            <w:r w:rsidR="00F97E8A">
              <w:rPr>
                <w:rFonts w:ascii="Times New Roman" w:eastAsia="Times New Roman" w:hAnsi="Times New Roman" w:cs="Times New Roman"/>
                <w:sz w:val="20"/>
                <w:szCs w:val="20"/>
              </w:rPr>
              <w:t>(.</w:t>
            </w:r>
            <w:r>
              <w:rPr>
                <w:rFonts w:ascii="Times New Roman" w:eastAsia="Times New Roman" w:hAnsi="Times New Roman" w:cs="Times New Roman"/>
                <w:sz w:val="20"/>
                <w:szCs w:val="20"/>
              </w:rPr>
              <w:t>001)</w:t>
            </w:r>
            <w:r>
              <w:rPr>
                <w:rFonts w:ascii="Times New Roman" w:eastAsia="Times New Roman" w:hAnsi="Times New Roman" w:cs="Times New Roman"/>
                <w:sz w:val="20"/>
                <w:szCs w:val="20"/>
                <w:vertAlign w:val="superscript"/>
              </w:rPr>
              <w:t>***</w:t>
            </w:r>
          </w:p>
        </w:tc>
      </w:tr>
      <w:tr w:rsidR="00AE6FD3" w:rsidRPr="00233EC8" w14:paraId="54CAF3D8" w14:textId="77777777" w:rsidTr="00B572FE">
        <w:tc>
          <w:tcPr>
            <w:tcW w:w="2835" w:type="dxa"/>
            <w:tcBorders>
              <w:top w:val="nil"/>
              <w:left w:val="nil"/>
              <w:bottom w:val="nil"/>
              <w:right w:val="nil"/>
            </w:tcBorders>
          </w:tcPr>
          <w:p w14:paraId="5A1798E6" w14:textId="7D66A316" w:rsidR="00AE6FD3" w:rsidRDefault="00236B90" w:rsidP="00AE6FD3">
            <w:pPr>
              <w:spacing w:after="0"/>
              <w:rPr>
                <w:rFonts w:ascii="Times New Roman" w:eastAsia="SimSun" w:hAnsi="Times New Roman" w:cs="Times New Roman"/>
                <w:iCs/>
                <w:sz w:val="20"/>
                <w:szCs w:val="20"/>
                <w:lang w:val="en-US"/>
              </w:rPr>
            </w:pPr>
            <w:r>
              <w:rPr>
                <w:rFonts w:ascii="Times New Roman" w:eastAsia="SimSun" w:hAnsi="Times New Roman" w:cs="Times New Roman"/>
                <w:sz w:val="18"/>
                <w:szCs w:val="18"/>
                <w:lang w:val="en-US"/>
              </w:rPr>
              <w:t xml:space="preserve">    YEARD</w:t>
            </w:r>
          </w:p>
        </w:tc>
        <w:tc>
          <w:tcPr>
            <w:tcW w:w="1707" w:type="dxa"/>
            <w:tcBorders>
              <w:top w:val="nil"/>
              <w:left w:val="nil"/>
              <w:right w:val="nil"/>
            </w:tcBorders>
          </w:tcPr>
          <w:p w14:paraId="56519B9A" w14:textId="55CD8E2F" w:rsidR="00AE6FD3" w:rsidRDefault="00772EAF" w:rsidP="00AE6FD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Included </w:t>
            </w:r>
          </w:p>
        </w:tc>
        <w:tc>
          <w:tcPr>
            <w:tcW w:w="1701" w:type="dxa"/>
            <w:tcBorders>
              <w:top w:val="nil"/>
              <w:left w:val="nil"/>
              <w:right w:val="nil"/>
            </w:tcBorders>
          </w:tcPr>
          <w:p w14:paraId="13CB39F1" w14:textId="3EA074B7" w:rsidR="00AE6FD3" w:rsidRDefault="0002562B" w:rsidP="00AE6FD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Included </w:t>
            </w:r>
          </w:p>
        </w:tc>
        <w:tc>
          <w:tcPr>
            <w:tcW w:w="1701" w:type="dxa"/>
            <w:tcBorders>
              <w:top w:val="nil"/>
              <w:left w:val="nil"/>
              <w:right w:val="nil"/>
            </w:tcBorders>
          </w:tcPr>
          <w:p w14:paraId="767A819A" w14:textId="5FC57901" w:rsidR="00AE6FD3" w:rsidRDefault="0002562B" w:rsidP="00AE6FD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Included </w:t>
            </w:r>
          </w:p>
        </w:tc>
      </w:tr>
      <w:tr w:rsidR="00273AF1" w:rsidRPr="00233EC8" w14:paraId="65BCA24A" w14:textId="77777777" w:rsidTr="00B572FE">
        <w:tc>
          <w:tcPr>
            <w:tcW w:w="2835" w:type="dxa"/>
            <w:tcBorders>
              <w:top w:val="nil"/>
              <w:left w:val="nil"/>
              <w:bottom w:val="nil"/>
              <w:right w:val="nil"/>
            </w:tcBorders>
          </w:tcPr>
          <w:p w14:paraId="21618D10" w14:textId="0354EE5E" w:rsidR="00273AF1" w:rsidRPr="00AE6FD3" w:rsidRDefault="00273AF1" w:rsidP="00AE6FD3">
            <w:pPr>
              <w:spacing w:after="0"/>
              <w:rPr>
                <w:rFonts w:ascii="Times New Roman" w:eastAsia="SimSun" w:hAnsi="Times New Roman" w:cs="Times New Roman"/>
                <w:sz w:val="20"/>
                <w:szCs w:val="20"/>
                <w:lang w:val="en-US"/>
              </w:rPr>
            </w:pPr>
            <w:r>
              <w:rPr>
                <w:rFonts w:ascii="Times New Roman" w:eastAsia="SimSun" w:hAnsi="Times New Roman" w:cs="Times New Roman"/>
                <w:iCs/>
                <w:sz w:val="20"/>
                <w:szCs w:val="20"/>
                <w:lang w:val="en-US"/>
              </w:rPr>
              <w:t>Lagged-</w:t>
            </w:r>
            <w:r w:rsidR="00514B36">
              <w:rPr>
                <w:rFonts w:ascii="Times New Roman" w:eastAsia="SimSun" w:hAnsi="Times New Roman" w:cs="Times New Roman"/>
                <w:iCs/>
                <w:sz w:val="20"/>
                <w:szCs w:val="20"/>
                <w:lang w:val="en-US"/>
              </w:rPr>
              <w:t>HE</w:t>
            </w:r>
            <w:r>
              <w:rPr>
                <w:rFonts w:ascii="Times New Roman" w:eastAsia="SimSun" w:hAnsi="Times New Roman" w:cs="Times New Roman"/>
                <w:iCs/>
                <w:sz w:val="20"/>
                <w:szCs w:val="20"/>
                <w:lang w:val="en-US"/>
              </w:rPr>
              <w:t>GQI</w:t>
            </w:r>
          </w:p>
        </w:tc>
        <w:tc>
          <w:tcPr>
            <w:tcW w:w="1707" w:type="dxa"/>
            <w:tcBorders>
              <w:top w:val="nil"/>
              <w:left w:val="nil"/>
              <w:right w:val="nil"/>
            </w:tcBorders>
          </w:tcPr>
          <w:p w14:paraId="366D7402" w14:textId="62ECE457" w:rsidR="00273AF1" w:rsidRDefault="00772EAF" w:rsidP="00AE6FD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701" w:type="dxa"/>
            <w:tcBorders>
              <w:top w:val="nil"/>
              <w:left w:val="nil"/>
              <w:right w:val="nil"/>
            </w:tcBorders>
          </w:tcPr>
          <w:p w14:paraId="2008385C" w14:textId="29548B9D" w:rsidR="00273AF1" w:rsidRDefault="0002562B" w:rsidP="00AE6FD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701" w:type="dxa"/>
            <w:tcBorders>
              <w:top w:val="nil"/>
              <w:left w:val="nil"/>
              <w:right w:val="nil"/>
            </w:tcBorders>
          </w:tcPr>
          <w:p w14:paraId="7666EDC5" w14:textId="38D412F9" w:rsidR="00273AF1" w:rsidRPr="00FF736F" w:rsidRDefault="00FF736F" w:rsidP="00AE6FD3">
            <w:pPr>
              <w:spacing w:after="0"/>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0.999</w:t>
            </w:r>
            <w:r>
              <w:rPr>
                <w:rFonts w:ascii="Times New Roman" w:eastAsia="Times New Roman" w:hAnsi="Times New Roman" w:cs="Times New Roman"/>
                <w:sz w:val="20"/>
                <w:szCs w:val="20"/>
                <w:vertAlign w:val="superscript"/>
              </w:rPr>
              <w:t>***</w:t>
            </w:r>
          </w:p>
        </w:tc>
      </w:tr>
      <w:tr w:rsidR="00AE6FD3" w:rsidRPr="00233EC8" w14:paraId="292B5D30" w14:textId="77777777" w:rsidTr="00B572FE">
        <w:tc>
          <w:tcPr>
            <w:tcW w:w="2835" w:type="dxa"/>
            <w:tcBorders>
              <w:top w:val="nil"/>
              <w:left w:val="nil"/>
              <w:bottom w:val="nil"/>
              <w:right w:val="nil"/>
            </w:tcBorders>
          </w:tcPr>
          <w:p w14:paraId="08F98BE6" w14:textId="4C29F323" w:rsidR="00AE6FD3" w:rsidRDefault="00AE6FD3" w:rsidP="00AE6FD3">
            <w:pPr>
              <w:spacing w:after="0"/>
              <w:rPr>
                <w:rFonts w:ascii="Times New Roman" w:eastAsia="SimSun" w:hAnsi="Times New Roman" w:cs="Times New Roman"/>
                <w:iCs/>
                <w:sz w:val="20"/>
                <w:szCs w:val="20"/>
                <w:lang w:val="en-US"/>
              </w:rPr>
            </w:pPr>
            <w:r w:rsidRPr="00AE6FD3">
              <w:rPr>
                <w:rFonts w:ascii="Times New Roman" w:eastAsia="SimSun" w:hAnsi="Times New Roman" w:cs="Times New Roman"/>
                <w:sz w:val="20"/>
                <w:szCs w:val="20"/>
                <w:lang w:val="en-US"/>
              </w:rPr>
              <w:t>Constant</w:t>
            </w:r>
          </w:p>
        </w:tc>
        <w:tc>
          <w:tcPr>
            <w:tcW w:w="1707" w:type="dxa"/>
            <w:tcBorders>
              <w:top w:val="nil"/>
              <w:left w:val="nil"/>
              <w:right w:val="nil"/>
            </w:tcBorders>
          </w:tcPr>
          <w:p w14:paraId="6878B5A4" w14:textId="19B877FA" w:rsidR="00AE6FD3" w:rsidRPr="00772EAF" w:rsidRDefault="00772EAF" w:rsidP="00AE6FD3">
            <w:pPr>
              <w:spacing w:after="0"/>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0.159</w:t>
            </w:r>
            <w:r>
              <w:rPr>
                <w:rFonts w:ascii="Times New Roman" w:eastAsia="Times New Roman" w:hAnsi="Times New Roman" w:cs="Times New Roman"/>
                <w:sz w:val="20"/>
                <w:szCs w:val="20"/>
                <w:vertAlign w:val="superscript"/>
              </w:rPr>
              <w:t>*</w:t>
            </w:r>
          </w:p>
        </w:tc>
        <w:tc>
          <w:tcPr>
            <w:tcW w:w="1701" w:type="dxa"/>
            <w:tcBorders>
              <w:top w:val="nil"/>
              <w:left w:val="nil"/>
              <w:right w:val="nil"/>
            </w:tcBorders>
          </w:tcPr>
          <w:p w14:paraId="79DD5288" w14:textId="5E23226D" w:rsidR="00AE6FD3" w:rsidRDefault="0002562B" w:rsidP="00AE6FD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0.120</w:t>
            </w:r>
          </w:p>
        </w:tc>
        <w:tc>
          <w:tcPr>
            <w:tcW w:w="1701" w:type="dxa"/>
            <w:tcBorders>
              <w:top w:val="nil"/>
              <w:left w:val="nil"/>
              <w:right w:val="nil"/>
            </w:tcBorders>
          </w:tcPr>
          <w:p w14:paraId="3AB41235" w14:textId="3527EFC9" w:rsidR="00AE6FD3" w:rsidRPr="00FF736F" w:rsidRDefault="00FF736F" w:rsidP="00AE6FD3">
            <w:pPr>
              <w:spacing w:after="0"/>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-0.045</w:t>
            </w:r>
            <w:r>
              <w:rPr>
                <w:rFonts w:ascii="Times New Roman" w:eastAsia="Times New Roman" w:hAnsi="Times New Roman" w:cs="Times New Roman"/>
                <w:sz w:val="20"/>
                <w:szCs w:val="20"/>
                <w:vertAlign w:val="superscript"/>
              </w:rPr>
              <w:t>*</w:t>
            </w:r>
          </w:p>
        </w:tc>
      </w:tr>
      <w:tr w:rsidR="00C75E31" w:rsidRPr="00233EC8" w14:paraId="3D597939" w14:textId="77777777" w:rsidTr="00B572FE">
        <w:tc>
          <w:tcPr>
            <w:tcW w:w="2835" w:type="dxa"/>
            <w:tcBorders>
              <w:top w:val="nil"/>
              <w:left w:val="nil"/>
              <w:right w:val="nil"/>
            </w:tcBorders>
          </w:tcPr>
          <w:p w14:paraId="727B3F75" w14:textId="13725CC8" w:rsidR="00C75E31" w:rsidRPr="00AE6FD3" w:rsidRDefault="00C75E31" w:rsidP="00AE6FD3">
            <w:pPr>
              <w:spacing w:after="0"/>
              <w:rPr>
                <w:rFonts w:ascii="Times New Roman" w:eastAsia="SimSun" w:hAnsi="Times New Roman" w:cs="Times New Roman"/>
                <w:i/>
                <w:iCs/>
                <w:sz w:val="20"/>
                <w:szCs w:val="20"/>
                <w:lang w:val="en-US"/>
              </w:rPr>
            </w:pPr>
            <w:r w:rsidRPr="00AE6FD3">
              <w:rPr>
                <w:rFonts w:ascii="Times New Roman" w:eastAsia="SimSun" w:hAnsi="Times New Roman" w:cs="Times New Roman"/>
                <w:sz w:val="20"/>
                <w:szCs w:val="20"/>
                <w:lang w:val="en-US"/>
              </w:rPr>
              <w:t xml:space="preserve">Adj. </w:t>
            </w:r>
            <w:r w:rsidRPr="00AE6FD3">
              <w:rPr>
                <w:rFonts w:ascii="Times New Roman" w:eastAsia="SimSun" w:hAnsi="Times New Roman" w:cs="Times New Roman"/>
                <w:i/>
                <w:sz w:val="20"/>
                <w:szCs w:val="20"/>
                <w:lang w:val="en-US"/>
              </w:rPr>
              <w:t>R</w:t>
            </w:r>
            <w:r w:rsidRPr="00AE6FD3">
              <w:rPr>
                <w:rFonts w:ascii="Times New Roman" w:eastAsia="SimSun" w:hAnsi="Times New Roman" w:cs="Times New Roman"/>
                <w:i/>
                <w:sz w:val="20"/>
                <w:szCs w:val="20"/>
                <w:vertAlign w:val="superscript"/>
                <w:lang w:val="en-US"/>
              </w:rPr>
              <w:t>2</w:t>
            </w:r>
          </w:p>
        </w:tc>
        <w:tc>
          <w:tcPr>
            <w:tcW w:w="1707" w:type="dxa"/>
            <w:tcBorders>
              <w:top w:val="nil"/>
              <w:left w:val="nil"/>
              <w:right w:val="nil"/>
            </w:tcBorders>
          </w:tcPr>
          <w:p w14:paraId="7D3E4EA1" w14:textId="5524C9DB" w:rsidR="00C75E31" w:rsidRDefault="00772EAF" w:rsidP="00AE6FD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0.481</w:t>
            </w:r>
          </w:p>
        </w:tc>
        <w:tc>
          <w:tcPr>
            <w:tcW w:w="1701" w:type="dxa"/>
            <w:tcBorders>
              <w:top w:val="nil"/>
              <w:left w:val="nil"/>
              <w:right w:val="nil"/>
            </w:tcBorders>
          </w:tcPr>
          <w:p w14:paraId="5A5B82AE" w14:textId="635C87B7" w:rsidR="00C75E31" w:rsidRDefault="0002562B" w:rsidP="00AE6FD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0.417</w:t>
            </w:r>
          </w:p>
        </w:tc>
        <w:tc>
          <w:tcPr>
            <w:tcW w:w="1701" w:type="dxa"/>
            <w:tcBorders>
              <w:top w:val="nil"/>
              <w:left w:val="nil"/>
              <w:right w:val="nil"/>
            </w:tcBorders>
          </w:tcPr>
          <w:p w14:paraId="03B1215C" w14:textId="13EA0771" w:rsidR="00C75E31" w:rsidRDefault="00FF736F" w:rsidP="00AE6FD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AE6FD3" w:rsidRPr="00233EC8" w14:paraId="005A8BA1" w14:textId="77777777" w:rsidTr="00B572FE">
        <w:tc>
          <w:tcPr>
            <w:tcW w:w="2835" w:type="dxa"/>
            <w:tcBorders>
              <w:top w:val="nil"/>
              <w:left w:val="nil"/>
              <w:right w:val="nil"/>
            </w:tcBorders>
          </w:tcPr>
          <w:p w14:paraId="12A7D86A" w14:textId="77E7BF0F" w:rsidR="00AE6FD3" w:rsidRPr="006A1735" w:rsidRDefault="00273AF1" w:rsidP="00AE6FD3">
            <w:pPr>
              <w:spacing w:after="0"/>
              <w:rPr>
                <w:rFonts w:ascii="Times New Roman" w:eastAsia="SimSun" w:hAnsi="Times New Roman" w:cs="Times New Roman"/>
                <w:iCs/>
                <w:sz w:val="20"/>
                <w:szCs w:val="20"/>
                <w:lang w:val="en-US"/>
              </w:rPr>
            </w:pPr>
            <w:r w:rsidRPr="00AE6FD3">
              <w:rPr>
                <w:rFonts w:ascii="Times New Roman" w:eastAsia="SimSun" w:hAnsi="Times New Roman" w:cs="Times New Roman"/>
                <w:i/>
                <w:iCs/>
                <w:sz w:val="20"/>
                <w:szCs w:val="20"/>
                <w:lang w:val="en-US"/>
              </w:rPr>
              <w:t>F</w:t>
            </w:r>
            <w:r w:rsidRPr="00AE6FD3">
              <w:rPr>
                <w:rFonts w:ascii="Times New Roman" w:eastAsia="SimSun" w:hAnsi="Times New Roman" w:cs="Times New Roman"/>
                <w:sz w:val="20"/>
                <w:szCs w:val="20"/>
                <w:lang w:val="en-US"/>
              </w:rPr>
              <w:t>- value</w:t>
            </w:r>
          </w:p>
        </w:tc>
        <w:tc>
          <w:tcPr>
            <w:tcW w:w="1707" w:type="dxa"/>
            <w:tcBorders>
              <w:top w:val="nil"/>
              <w:left w:val="nil"/>
              <w:right w:val="nil"/>
            </w:tcBorders>
          </w:tcPr>
          <w:p w14:paraId="4C2605E4" w14:textId="51ADDB9F" w:rsidR="00AE6FD3" w:rsidRPr="00772EAF" w:rsidRDefault="00772EAF" w:rsidP="00AE6FD3">
            <w:pPr>
              <w:spacing w:after="0"/>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19.320</w:t>
            </w:r>
            <w:r>
              <w:rPr>
                <w:rFonts w:ascii="Times New Roman" w:eastAsia="Times New Roman" w:hAnsi="Times New Roman" w:cs="Times New Roman"/>
                <w:sz w:val="20"/>
                <w:szCs w:val="20"/>
                <w:vertAlign w:val="superscript"/>
              </w:rPr>
              <w:t>***</w:t>
            </w:r>
          </w:p>
        </w:tc>
        <w:tc>
          <w:tcPr>
            <w:tcW w:w="1701" w:type="dxa"/>
            <w:tcBorders>
              <w:top w:val="nil"/>
              <w:left w:val="nil"/>
              <w:right w:val="nil"/>
            </w:tcBorders>
          </w:tcPr>
          <w:p w14:paraId="69BCDC2F" w14:textId="4F3FF081" w:rsidR="00AE6FD3" w:rsidRPr="0002562B" w:rsidRDefault="0002562B" w:rsidP="00AE6FD3">
            <w:pPr>
              <w:spacing w:after="0"/>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20.437</w:t>
            </w:r>
            <w:r>
              <w:rPr>
                <w:rFonts w:ascii="Times New Roman" w:eastAsia="Times New Roman" w:hAnsi="Times New Roman" w:cs="Times New Roman"/>
                <w:sz w:val="20"/>
                <w:szCs w:val="20"/>
                <w:vertAlign w:val="superscript"/>
              </w:rPr>
              <w:t>***</w:t>
            </w:r>
          </w:p>
        </w:tc>
        <w:tc>
          <w:tcPr>
            <w:tcW w:w="1701" w:type="dxa"/>
            <w:tcBorders>
              <w:top w:val="nil"/>
              <w:left w:val="nil"/>
              <w:right w:val="nil"/>
            </w:tcBorders>
          </w:tcPr>
          <w:p w14:paraId="0D57E78C" w14:textId="45F39ABB" w:rsidR="00AE6FD3" w:rsidRPr="00AC6C89" w:rsidRDefault="00AC6C89" w:rsidP="00AE6FD3">
            <w:pPr>
              <w:spacing w:after="0"/>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22.111</w:t>
            </w:r>
            <w:r>
              <w:rPr>
                <w:rFonts w:ascii="Times New Roman" w:eastAsia="Times New Roman" w:hAnsi="Times New Roman" w:cs="Times New Roman"/>
                <w:sz w:val="20"/>
                <w:szCs w:val="20"/>
                <w:vertAlign w:val="superscript"/>
              </w:rPr>
              <w:t>***</w:t>
            </w:r>
          </w:p>
        </w:tc>
      </w:tr>
      <w:tr w:rsidR="00AE6FD3" w:rsidRPr="00233EC8" w14:paraId="3C00A8C0" w14:textId="77777777" w:rsidTr="00B572FE">
        <w:tc>
          <w:tcPr>
            <w:tcW w:w="2835" w:type="dxa"/>
            <w:tcBorders>
              <w:top w:val="nil"/>
              <w:left w:val="nil"/>
              <w:right w:val="nil"/>
            </w:tcBorders>
          </w:tcPr>
          <w:p w14:paraId="2CAB4195" w14:textId="12A54F83" w:rsidR="00AE6FD3" w:rsidRPr="006A1735" w:rsidRDefault="00AE6FD3" w:rsidP="00AE6FD3">
            <w:pPr>
              <w:spacing w:after="0"/>
              <w:rPr>
                <w:rFonts w:ascii="Times New Roman" w:eastAsia="SimSun" w:hAnsi="Times New Roman" w:cs="Times New Roman"/>
                <w:sz w:val="20"/>
                <w:szCs w:val="20"/>
                <w:lang w:val="en-US"/>
              </w:rPr>
            </w:pPr>
            <w:r w:rsidRPr="006A1735">
              <w:rPr>
                <w:rFonts w:ascii="Times New Roman" w:eastAsia="SimSun" w:hAnsi="Times New Roman" w:cs="Times New Roman"/>
                <w:color w:val="000000"/>
                <w:sz w:val="20"/>
                <w:szCs w:val="20"/>
                <w:lang w:val="en-US"/>
              </w:rPr>
              <w:t xml:space="preserve">AR1 </w:t>
            </w:r>
            <w:r w:rsidR="0013431D">
              <w:rPr>
                <w:rFonts w:ascii="Times New Roman" w:eastAsia="SimSun" w:hAnsi="Times New Roman" w:cs="Times New Roman"/>
                <w:color w:val="000000"/>
                <w:sz w:val="20"/>
                <w:szCs w:val="20"/>
                <w:lang w:val="en-US"/>
              </w:rPr>
              <w:t>(</w:t>
            </w:r>
            <w:r w:rsidR="00FA012F" w:rsidRPr="00FA012F">
              <w:rPr>
                <w:rFonts w:ascii="Times New Roman" w:eastAsia="SimSun" w:hAnsi="Times New Roman" w:cs="Times New Roman"/>
                <w:i/>
                <w:iCs/>
                <w:color w:val="000000"/>
                <w:sz w:val="20"/>
                <w:szCs w:val="20"/>
                <w:lang w:val="en-US"/>
              </w:rPr>
              <w:t>p</w:t>
            </w:r>
            <w:r w:rsidR="0013431D" w:rsidRPr="00FA012F">
              <w:rPr>
                <w:rFonts w:ascii="Times New Roman" w:eastAsia="SimSun" w:hAnsi="Times New Roman" w:cs="Times New Roman"/>
                <w:i/>
                <w:iCs/>
                <w:color w:val="000000"/>
                <w:sz w:val="20"/>
                <w:szCs w:val="20"/>
                <w:lang w:val="en-US"/>
              </w:rPr>
              <w:t>-value</w:t>
            </w:r>
            <w:r w:rsidR="0013431D">
              <w:rPr>
                <w:rFonts w:ascii="Times New Roman" w:eastAsia="SimSun" w:hAnsi="Times New Roman" w:cs="Times New Roman"/>
                <w:color w:val="000000"/>
                <w:sz w:val="20"/>
                <w:szCs w:val="20"/>
                <w:lang w:val="en-US"/>
              </w:rPr>
              <w:t>)</w:t>
            </w:r>
          </w:p>
        </w:tc>
        <w:tc>
          <w:tcPr>
            <w:tcW w:w="1707" w:type="dxa"/>
            <w:tcBorders>
              <w:top w:val="nil"/>
              <w:left w:val="nil"/>
              <w:right w:val="nil"/>
            </w:tcBorders>
          </w:tcPr>
          <w:p w14:paraId="40FFBD68" w14:textId="77777777" w:rsidR="00AE6FD3" w:rsidRPr="00233EC8" w:rsidRDefault="00AE6FD3" w:rsidP="00AE6FD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701" w:type="dxa"/>
            <w:tcBorders>
              <w:top w:val="nil"/>
              <w:left w:val="nil"/>
              <w:right w:val="nil"/>
            </w:tcBorders>
          </w:tcPr>
          <w:p w14:paraId="2E122390" w14:textId="77777777" w:rsidR="00AE6FD3" w:rsidRPr="00233EC8" w:rsidRDefault="00AE6FD3" w:rsidP="00AE6FD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701" w:type="dxa"/>
            <w:tcBorders>
              <w:top w:val="nil"/>
              <w:left w:val="nil"/>
              <w:right w:val="nil"/>
            </w:tcBorders>
          </w:tcPr>
          <w:p w14:paraId="08EB0A8E" w14:textId="0009C978" w:rsidR="00AE6FD3" w:rsidRPr="00233EC8" w:rsidRDefault="00AC6C89" w:rsidP="00AE6FD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0.003</w:t>
            </w:r>
          </w:p>
        </w:tc>
      </w:tr>
      <w:tr w:rsidR="00AE6FD3" w:rsidRPr="00233EC8" w14:paraId="4E9D1171" w14:textId="77777777" w:rsidTr="00B572FE">
        <w:tc>
          <w:tcPr>
            <w:tcW w:w="2835" w:type="dxa"/>
            <w:tcBorders>
              <w:top w:val="nil"/>
              <w:left w:val="nil"/>
              <w:right w:val="nil"/>
            </w:tcBorders>
          </w:tcPr>
          <w:p w14:paraId="0056AC50" w14:textId="361F10DA" w:rsidR="00AE6FD3" w:rsidRPr="006A1735" w:rsidRDefault="00AE6FD3" w:rsidP="00AE6FD3">
            <w:pPr>
              <w:spacing w:after="0"/>
              <w:rPr>
                <w:rFonts w:ascii="Times New Roman" w:eastAsia="SimSun" w:hAnsi="Times New Roman" w:cs="Times New Roman"/>
                <w:sz w:val="20"/>
                <w:szCs w:val="20"/>
                <w:lang w:val="en-US"/>
              </w:rPr>
            </w:pPr>
            <w:r w:rsidRPr="006A1735">
              <w:rPr>
                <w:rFonts w:ascii="Times New Roman" w:eastAsia="SimSun" w:hAnsi="Times New Roman" w:cs="Times New Roman"/>
                <w:color w:val="000000"/>
                <w:sz w:val="20"/>
                <w:szCs w:val="20"/>
                <w:lang w:val="en-US"/>
              </w:rPr>
              <w:t xml:space="preserve">AR2 </w:t>
            </w:r>
            <w:r w:rsidR="0013431D">
              <w:rPr>
                <w:rFonts w:ascii="Times New Roman" w:eastAsia="SimSun" w:hAnsi="Times New Roman" w:cs="Times New Roman"/>
                <w:color w:val="000000"/>
                <w:sz w:val="20"/>
                <w:szCs w:val="20"/>
                <w:lang w:val="en-US"/>
              </w:rPr>
              <w:t>(</w:t>
            </w:r>
            <w:r w:rsidR="00FA012F" w:rsidRPr="00FA012F">
              <w:rPr>
                <w:rFonts w:ascii="Times New Roman" w:eastAsia="SimSun" w:hAnsi="Times New Roman" w:cs="Times New Roman"/>
                <w:i/>
                <w:iCs/>
                <w:color w:val="000000"/>
                <w:sz w:val="20"/>
                <w:szCs w:val="20"/>
                <w:lang w:val="en-US"/>
              </w:rPr>
              <w:t>p</w:t>
            </w:r>
            <w:r w:rsidR="0013431D" w:rsidRPr="00FA012F">
              <w:rPr>
                <w:rFonts w:ascii="Times New Roman" w:eastAsia="SimSun" w:hAnsi="Times New Roman" w:cs="Times New Roman"/>
                <w:i/>
                <w:iCs/>
                <w:color w:val="000000"/>
                <w:sz w:val="20"/>
                <w:szCs w:val="20"/>
                <w:lang w:val="en-US"/>
              </w:rPr>
              <w:t>-value</w:t>
            </w:r>
            <w:r w:rsidR="0013431D">
              <w:rPr>
                <w:rFonts w:ascii="Times New Roman" w:eastAsia="SimSun" w:hAnsi="Times New Roman" w:cs="Times New Roman"/>
                <w:color w:val="000000"/>
                <w:sz w:val="20"/>
                <w:szCs w:val="20"/>
                <w:lang w:val="en-US"/>
              </w:rPr>
              <w:t>)</w:t>
            </w:r>
          </w:p>
        </w:tc>
        <w:tc>
          <w:tcPr>
            <w:tcW w:w="1707" w:type="dxa"/>
            <w:tcBorders>
              <w:top w:val="nil"/>
              <w:left w:val="nil"/>
              <w:bottom w:val="nil"/>
              <w:right w:val="nil"/>
            </w:tcBorders>
          </w:tcPr>
          <w:p w14:paraId="181D3562" w14:textId="77777777" w:rsidR="00AE6FD3" w:rsidRPr="00233EC8" w:rsidRDefault="00AE6FD3" w:rsidP="00AE6FD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701" w:type="dxa"/>
            <w:tcBorders>
              <w:top w:val="nil"/>
              <w:left w:val="nil"/>
              <w:bottom w:val="nil"/>
              <w:right w:val="nil"/>
            </w:tcBorders>
          </w:tcPr>
          <w:p w14:paraId="3395AC8C" w14:textId="77777777" w:rsidR="00AE6FD3" w:rsidRPr="00233EC8" w:rsidRDefault="00AE6FD3" w:rsidP="00AE6FD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701" w:type="dxa"/>
            <w:tcBorders>
              <w:top w:val="nil"/>
              <w:left w:val="nil"/>
              <w:bottom w:val="nil"/>
              <w:right w:val="nil"/>
            </w:tcBorders>
          </w:tcPr>
          <w:p w14:paraId="100944B2" w14:textId="35F6D4C1" w:rsidR="00AE6FD3" w:rsidRPr="00233EC8" w:rsidRDefault="00AC6C89" w:rsidP="00AE6FD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0.242</w:t>
            </w:r>
          </w:p>
        </w:tc>
      </w:tr>
      <w:tr w:rsidR="00AE6FD3" w:rsidRPr="00233EC8" w14:paraId="13EF0B98" w14:textId="77777777" w:rsidTr="00B572FE">
        <w:tc>
          <w:tcPr>
            <w:tcW w:w="2835" w:type="dxa"/>
            <w:tcBorders>
              <w:top w:val="nil"/>
              <w:left w:val="nil"/>
              <w:right w:val="nil"/>
            </w:tcBorders>
          </w:tcPr>
          <w:p w14:paraId="7AB2FF67" w14:textId="6F75050C" w:rsidR="00AE6FD3" w:rsidRPr="006A1735" w:rsidRDefault="00AE6FD3" w:rsidP="00AE6FD3">
            <w:pPr>
              <w:spacing w:after="0"/>
              <w:rPr>
                <w:rFonts w:ascii="Times New Roman" w:eastAsia="SimSun" w:hAnsi="Times New Roman" w:cs="Times New Roman"/>
                <w:sz w:val="20"/>
                <w:szCs w:val="20"/>
                <w:lang w:val="en-US"/>
              </w:rPr>
            </w:pPr>
            <w:r w:rsidRPr="006A1735">
              <w:rPr>
                <w:rFonts w:ascii="Times New Roman" w:eastAsia="SimSun" w:hAnsi="Times New Roman" w:cs="Times New Roman"/>
                <w:color w:val="000000"/>
                <w:sz w:val="20"/>
                <w:szCs w:val="20"/>
                <w:lang w:val="en-US"/>
              </w:rPr>
              <w:t xml:space="preserve">Hansen </w:t>
            </w:r>
            <w:r w:rsidR="001D18DE">
              <w:rPr>
                <w:rFonts w:ascii="Times New Roman" w:eastAsia="SimSun" w:hAnsi="Times New Roman" w:cs="Times New Roman"/>
                <w:color w:val="000000"/>
                <w:sz w:val="20"/>
                <w:szCs w:val="20"/>
                <w:lang w:val="en-US"/>
              </w:rPr>
              <w:t xml:space="preserve">test </w:t>
            </w:r>
            <w:r w:rsidR="0013431D">
              <w:rPr>
                <w:rFonts w:ascii="Times New Roman" w:eastAsia="SimSun" w:hAnsi="Times New Roman" w:cs="Times New Roman"/>
                <w:color w:val="000000"/>
                <w:sz w:val="20"/>
                <w:szCs w:val="20"/>
                <w:lang w:val="en-US"/>
              </w:rPr>
              <w:t>(</w:t>
            </w:r>
            <w:r w:rsidR="00FA012F" w:rsidRPr="00FA012F">
              <w:rPr>
                <w:rFonts w:ascii="Times New Roman" w:eastAsia="SimSun" w:hAnsi="Times New Roman" w:cs="Times New Roman"/>
                <w:i/>
                <w:iCs/>
                <w:color w:val="000000"/>
                <w:sz w:val="20"/>
                <w:szCs w:val="20"/>
                <w:lang w:val="en-US"/>
              </w:rPr>
              <w:t>p</w:t>
            </w:r>
            <w:r w:rsidRPr="00FA012F">
              <w:rPr>
                <w:rFonts w:ascii="Times New Roman" w:eastAsia="SimSun" w:hAnsi="Times New Roman" w:cs="Times New Roman"/>
                <w:i/>
                <w:iCs/>
                <w:color w:val="000000"/>
                <w:sz w:val="20"/>
                <w:szCs w:val="20"/>
                <w:lang w:val="en-US"/>
              </w:rPr>
              <w:t>-value</w:t>
            </w:r>
            <w:r w:rsidR="0013431D">
              <w:rPr>
                <w:rFonts w:ascii="Times New Roman" w:eastAsia="SimSun" w:hAnsi="Times New Roman" w:cs="Times New Roman"/>
                <w:color w:val="000000"/>
                <w:sz w:val="20"/>
                <w:szCs w:val="20"/>
                <w:lang w:val="en-US"/>
              </w:rPr>
              <w:t>)</w:t>
            </w:r>
          </w:p>
        </w:tc>
        <w:tc>
          <w:tcPr>
            <w:tcW w:w="1707" w:type="dxa"/>
            <w:tcBorders>
              <w:top w:val="nil"/>
              <w:left w:val="nil"/>
              <w:right w:val="nil"/>
            </w:tcBorders>
          </w:tcPr>
          <w:p w14:paraId="3FFD0D13" w14:textId="77777777" w:rsidR="00AE6FD3" w:rsidRPr="00233EC8" w:rsidRDefault="00AE6FD3" w:rsidP="00AE6FD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701" w:type="dxa"/>
            <w:tcBorders>
              <w:top w:val="nil"/>
              <w:left w:val="nil"/>
              <w:right w:val="nil"/>
            </w:tcBorders>
          </w:tcPr>
          <w:p w14:paraId="69EB7914" w14:textId="77777777" w:rsidR="00AE6FD3" w:rsidRPr="00233EC8" w:rsidRDefault="00AE6FD3" w:rsidP="00AE6FD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701" w:type="dxa"/>
            <w:tcBorders>
              <w:top w:val="nil"/>
              <w:left w:val="nil"/>
              <w:right w:val="nil"/>
            </w:tcBorders>
          </w:tcPr>
          <w:p w14:paraId="0990D2AE" w14:textId="3F10B3E9" w:rsidR="00AE6FD3" w:rsidRPr="00233EC8" w:rsidRDefault="00AC6C89" w:rsidP="00AE6FD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0.578</w:t>
            </w:r>
          </w:p>
        </w:tc>
      </w:tr>
      <w:tr w:rsidR="001D18DE" w:rsidRPr="00233EC8" w14:paraId="62DA980D" w14:textId="77777777" w:rsidTr="00B572FE">
        <w:tc>
          <w:tcPr>
            <w:tcW w:w="2835" w:type="dxa"/>
            <w:tcBorders>
              <w:top w:val="nil"/>
              <w:left w:val="nil"/>
              <w:bottom w:val="single" w:sz="2" w:space="0" w:color="auto"/>
              <w:right w:val="nil"/>
            </w:tcBorders>
          </w:tcPr>
          <w:p w14:paraId="6E9A3B8E" w14:textId="3489D8C5" w:rsidR="001D18DE" w:rsidRDefault="001D18DE" w:rsidP="00AE6FD3">
            <w:pPr>
              <w:spacing w:after="0"/>
              <w:rPr>
                <w:rFonts w:ascii="Times New Roman" w:eastAsia="SimSun" w:hAnsi="Times New Roman" w:cs="Times New Roman"/>
                <w:sz w:val="20"/>
                <w:szCs w:val="20"/>
                <w:lang w:val="en-US"/>
              </w:rPr>
            </w:pPr>
            <w:r>
              <w:rPr>
                <w:rFonts w:ascii="Times New Roman" w:eastAsia="SimSun" w:hAnsi="Times New Roman" w:cs="Times New Roman"/>
                <w:sz w:val="20"/>
                <w:szCs w:val="20"/>
                <w:lang w:val="en-US"/>
              </w:rPr>
              <w:t xml:space="preserve">Difference in Hansen </w:t>
            </w:r>
            <w:r w:rsidR="0013431D">
              <w:rPr>
                <w:rFonts w:ascii="Times New Roman" w:eastAsia="SimSun" w:hAnsi="Times New Roman" w:cs="Times New Roman"/>
                <w:color w:val="000000"/>
                <w:sz w:val="20"/>
                <w:szCs w:val="20"/>
                <w:lang w:val="en-US"/>
              </w:rPr>
              <w:t>(</w:t>
            </w:r>
            <w:r w:rsidR="00FA012F" w:rsidRPr="00FA012F">
              <w:rPr>
                <w:rFonts w:ascii="Times New Roman" w:eastAsia="SimSun" w:hAnsi="Times New Roman" w:cs="Times New Roman"/>
                <w:i/>
                <w:iCs/>
                <w:color w:val="000000"/>
                <w:sz w:val="20"/>
                <w:szCs w:val="20"/>
                <w:lang w:val="en-US"/>
              </w:rPr>
              <w:t>p</w:t>
            </w:r>
            <w:r w:rsidR="0013431D" w:rsidRPr="00FA012F">
              <w:rPr>
                <w:rFonts w:ascii="Times New Roman" w:eastAsia="SimSun" w:hAnsi="Times New Roman" w:cs="Times New Roman"/>
                <w:i/>
                <w:iCs/>
                <w:color w:val="000000"/>
                <w:sz w:val="20"/>
                <w:szCs w:val="20"/>
                <w:lang w:val="en-US"/>
              </w:rPr>
              <w:t>-value</w:t>
            </w:r>
            <w:r w:rsidR="0013431D">
              <w:rPr>
                <w:rFonts w:ascii="Times New Roman" w:eastAsia="SimSun" w:hAnsi="Times New Roman" w:cs="Times New Roman"/>
                <w:color w:val="000000"/>
                <w:sz w:val="20"/>
                <w:szCs w:val="20"/>
                <w:lang w:val="en-US"/>
              </w:rPr>
              <w:t>)</w:t>
            </w:r>
          </w:p>
        </w:tc>
        <w:tc>
          <w:tcPr>
            <w:tcW w:w="1707" w:type="dxa"/>
            <w:tcBorders>
              <w:top w:val="nil"/>
              <w:left w:val="nil"/>
              <w:bottom w:val="single" w:sz="2" w:space="0" w:color="auto"/>
              <w:right w:val="nil"/>
            </w:tcBorders>
          </w:tcPr>
          <w:p w14:paraId="2DEBA0B0" w14:textId="3D7969D6" w:rsidR="001D18DE" w:rsidRDefault="00B572FE" w:rsidP="00AE6FD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701" w:type="dxa"/>
            <w:tcBorders>
              <w:top w:val="nil"/>
              <w:left w:val="nil"/>
              <w:bottom w:val="single" w:sz="2" w:space="0" w:color="auto"/>
              <w:right w:val="nil"/>
            </w:tcBorders>
          </w:tcPr>
          <w:p w14:paraId="43805249" w14:textId="0E485691" w:rsidR="001D18DE" w:rsidRDefault="00B572FE" w:rsidP="00AE6FD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701" w:type="dxa"/>
            <w:tcBorders>
              <w:top w:val="nil"/>
              <w:left w:val="nil"/>
              <w:bottom w:val="single" w:sz="2" w:space="0" w:color="auto"/>
              <w:right w:val="nil"/>
            </w:tcBorders>
          </w:tcPr>
          <w:p w14:paraId="2CE185E6" w14:textId="6C615D44" w:rsidR="001D18DE" w:rsidRDefault="00B572FE" w:rsidP="00AE6FD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0.960</w:t>
            </w:r>
          </w:p>
        </w:tc>
      </w:tr>
      <w:tr w:rsidR="00AE6FD3" w:rsidRPr="00233EC8" w14:paraId="45648E9B" w14:textId="77777777" w:rsidTr="00B572FE">
        <w:tc>
          <w:tcPr>
            <w:tcW w:w="2835" w:type="dxa"/>
            <w:tcBorders>
              <w:top w:val="nil"/>
              <w:left w:val="nil"/>
              <w:bottom w:val="single" w:sz="2" w:space="0" w:color="auto"/>
              <w:right w:val="nil"/>
            </w:tcBorders>
          </w:tcPr>
          <w:p w14:paraId="15A79EEF" w14:textId="0037D79F" w:rsidR="00AE6FD3" w:rsidRPr="00233EC8" w:rsidRDefault="00AE6FD3" w:rsidP="00AE6FD3">
            <w:pPr>
              <w:spacing w:after="0"/>
              <w:rPr>
                <w:rFonts w:ascii="Times New Roman" w:eastAsia="SimSun" w:hAnsi="Times New Roman" w:cs="Times New Roman"/>
                <w:sz w:val="20"/>
                <w:szCs w:val="20"/>
                <w:lang w:val="en-US"/>
              </w:rPr>
            </w:pPr>
            <w:r>
              <w:rPr>
                <w:rFonts w:ascii="Times New Roman" w:eastAsia="SimSun" w:hAnsi="Times New Roman" w:cs="Times New Roman"/>
                <w:sz w:val="20"/>
                <w:szCs w:val="20"/>
                <w:lang w:val="en-US"/>
              </w:rPr>
              <w:t>No.</w:t>
            </w:r>
            <w:r w:rsidR="00C75E31">
              <w:rPr>
                <w:rFonts w:ascii="Times New Roman" w:eastAsia="SimSun" w:hAnsi="Times New Roman" w:cs="Times New Roman"/>
                <w:sz w:val="20"/>
                <w:szCs w:val="20"/>
                <w:lang w:val="en-US"/>
              </w:rPr>
              <w:t xml:space="preserve"> </w:t>
            </w:r>
            <w:r w:rsidR="00C75E31" w:rsidRPr="00C75E31">
              <w:rPr>
                <w:rFonts w:ascii="Times New Roman" w:eastAsia="SimSun" w:hAnsi="Times New Roman" w:cs="Times New Roman"/>
                <w:sz w:val="20"/>
                <w:szCs w:val="20"/>
                <w:lang w:val="en-US"/>
              </w:rPr>
              <w:t>observations</w:t>
            </w:r>
          </w:p>
        </w:tc>
        <w:tc>
          <w:tcPr>
            <w:tcW w:w="1707" w:type="dxa"/>
            <w:tcBorders>
              <w:top w:val="nil"/>
              <w:left w:val="nil"/>
              <w:bottom w:val="single" w:sz="2" w:space="0" w:color="auto"/>
              <w:right w:val="nil"/>
            </w:tcBorders>
          </w:tcPr>
          <w:p w14:paraId="5A88ED12" w14:textId="752620F6" w:rsidR="00AE6FD3" w:rsidRPr="00233EC8" w:rsidRDefault="00C75E31" w:rsidP="00AE6FD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702</w:t>
            </w:r>
          </w:p>
        </w:tc>
        <w:tc>
          <w:tcPr>
            <w:tcW w:w="1701" w:type="dxa"/>
            <w:tcBorders>
              <w:top w:val="nil"/>
              <w:left w:val="nil"/>
              <w:bottom w:val="single" w:sz="2" w:space="0" w:color="auto"/>
              <w:right w:val="nil"/>
            </w:tcBorders>
          </w:tcPr>
          <w:p w14:paraId="51FBB8DC" w14:textId="4681C151" w:rsidR="00AE6FD3" w:rsidRPr="00233EC8" w:rsidRDefault="00C75E31" w:rsidP="00AE6FD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585</w:t>
            </w:r>
          </w:p>
        </w:tc>
        <w:tc>
          <w:tcPr>
            <w:tcW w:w="1701" w:type="dxa"/>
            <w:tcBorders>
              <w:top w:val="nil"/>
              <w:left w:val="nil"/>
              <w:bottom w:val="single" w:sz="2" w:space="0" w:color="auto"/>
              <w:right w:val="nil"/>
            </w:tcBorders>
          </w:tcPr>
          <w:p w14:paraId="40EFAA49" w14:textId="72811036" w:rsidR="00AE6FD3" w:rsidRPr="00233EC8" w:rsidRDefault="00C75E31" w:rsidP="00AE6FD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702</w:t>
            </w:r>
          </w:p>
        </w:tc>
      </w:tr>
      <w:tr w:rsidR="00AE6FD3" w:rsidRPr="00233EC8" w14:paraId="310F0D1D" w14:textId="77777777" w:rsidTr="00B572FE">
        <w:tc>
          <w:tcPr>
            <w:tcW w:w="7944" w:type="dxa"/>
            <w:gridSpan w:val="4"/>
            <w:tcBorders>
              <w:top w:val="single" w:sz="2" w:space="0" w:color="auto"/>
              <w:left w:val="nil"/>
              <w:right w:val="nil"/>
            </w:tcBorders>
          </w:tcPr>
          <w:p w14:paraId="3DBFB337" w14:textId="77777777" w:rsidR="00AE6FD3" w:rsidRPr="00233EC8" w:rsidRDefault="00AE6FD3" w:rsidP="00AE6FD3">
            <w:pPr>
              <w:spacing w:after="0"/>
              <w:jc w:val="both"/>
              <w:rPr>
                <w:rFonts w:ascii="Times New Roman" w:eastAsia="Times New Roman" w:hAnsi="Times New Roman" w:cs="Times New Roman"/>
                <w:sz w:val="20"/>
                <w:szCs w:val="20"/>
                <w:lang w:val="en-US" w:eastAsia="en-GB"/>
              </w:rPr>
            </w:pPr>
            <w:r w:rsidRPr="00233EC8">
              <w:rPr>
                <w:rFonts w:ascii="Times New Roman" w:hAnsi="Times New Roman" w:cs="Times New Roman"/>
                <w:sz w:val="20"/>
                <w:szCs w:val="20"/>
                <w:lang w:val="en-US"/>
              </w:rPr>
              <w:t>Please see Table 2</w:t>
            </w:r>
            <w:r w:rsidRPr="00233EC8">
              <w:rPr>
                <w:rFonts w:ascii="Times New Roman" w:eastAsia="Times New Roman" w:hAnsi="Times New Roman" w:cs="Times New Roman"/>
                <w:sz w:val="20"/>
                <w:szCs w:val="20"/>
                <w:lang w:val="en-US" w:eastAsia="en-GB"/>
              </w:rPr>
              <w:t xml:space="preserve"> for variable definitions.</w:t>
            </w:r>
          </w:p>
          <w:p w14:paraId="7E4B15D3" w14:textId="77777777" w:rsidR="00AE6FD3" w:rsidRPr="00233EC8" w:rsidRDefault="00AE6FD3" w:rsidP="00AE6FD3">
            <w:pPr>
              <w:spacing w:after="0" w:line="276" w:lineRule="auto"/>
              <w:jc w:val="both"/>
              <w:rPr>
                <w:rFonts w:ascii="Times New Roman" w:hAnsi="Times New Roman" w:cs="Times New Roman"/>
                <w:sz w:val="20"/>
                <w:szCs w:val="20"/>
                <w:lang w:val="en-US"/>
              </w:rPr>
            </w:pPr>
            <w:r w:rsidRPr="00233EC8">
              <w:rPr>
                <w:rFonts w:ascii="Times New Roman" w:hAnsi="Times New Roman" w:cs="Times New Roman"/>
                <w:sz w:val="20"/>
                <w:szCs w:val="20"/>
                <w:lang w:val="en-US"/>
              </w:rPr>
              <w:t>*** Significance at the 1% level (p&lt;0.01).</w:t>
            </w:r>
          </w:p>
          <w:p w14:paraId="21913F7B" w14:textId="77777777" w:rsidR="00AE6FD3" w:rsidRPr="00233EC8" w:rsidRDefault="00AE6FD3" w:rsidP="00AE6FD3">
            <w:pPr>
              <w:spacing w:after="0" w:line="276" w:lineRule="auto"/>
              <w:jc w:val="both"/>
              <w:rPr>
                <w:rFonts w:ascii="Times New Roman" w:hAnsi="Times New Roman" w:cs="Times New Roman"/>
                <w:sz w:val="20"/>
                <w:szCs w:val="20"/>
                <w:lang w:val="en-US"/>
              </w:rPr>
            </w:pPr>
            <w:r w:rsidRPr="00233EC8">
              <w:rPr>
                <w:rFonts w:ascii="Times New Roman" w:hAnsi="Times New Roman" w:cs="Times New Roman"/>
                <w:sz w:val="20"/>
                <w:szCs w:val="20"/>
                <w:lang w:val="en-US"/>
              </w:rPr>
              <w:t>** Significance at the 5% level (p&lt;0.05).</w:t>
            </w:r>
          </w:p>
          <w:p w14:paraId="5C3D2707" w14:textId="77777777" w:rsidR="00AE6FD3" w:rsidRPr="00233EC8" w:rsidRDefault="00AE6FD3" w:rsidP="00AE6FD3">
            <w:pPr>
              <w:spacing w:after="0"/>
              <w:rPr>
                <w:rFonts w:ascii="Times New Roman" w:eastAsia="Times New Roman" w:hAnsi="Times New Roman" w:cs="Times New Roman"/>
                <w:sz w:val="20"/>
                <w:szCs w:val="20"/>
              </w:rPr>
            </w:pPr>
            <w:r w:rsidRPr="00233EC8">
              <w:rPr>
                <w:rFonts w:ascii="Times New Roman" w:hAnsi="Times New Roman" w:cs="Times New Roman"/>
                <w:sz w:val="20"/>
                <w:szCs w:val="20"/>
                <w:lang w:val="en-US"/>
              </w:rPr>
              <w:t>* Significance at the 10% level (p&lt;0.10).</w:t>
            </w:r>
          </w:p>
        </w:tc>
      </w:tr>
      <w:bookmarkEnd w:id="16"/>
    </w:tbl>
    <w:p w14:paraId="65B86F1B" w14:textId="6765085B" w:rsidR="007B6387" w:rsidRPr="00233EC8" w:rsidRDefault="007B6387" w:rsidP="00CB2B95"/>
    <w:p w14:paraId="29FE77DB" w14:textId="48750AF5" w:rsidR="007B6387" w:rsidRPr="00233EC8" w:rsidRDefault="007B6387" w:rsidP="00CB2B95"/>
    <w:p w14:paraId="4D32268E" w14:textId="0C9AF87D" w:rsidR="007B6387" w:rsidRPr="00233EC8" w:rsidRDefault="007B6387" w:rsidP="00CB2B95"/>
    <w:p w14:paraId="303B9CFE" w14:textId="577D5213" w:rsidR="007B6387" w:rsidRDefault="007B6387" w:rsidP="00CB2B95"/>
    <w:p w14:paraId="7DC27F10" w14:textId="4BE996BD" w:rsidR="00E92573" w:rsidRDefault="00E92573" w:rsidP="00CB2B95"/>
    <w:p w14:paraId="5B48B177" w14:textId="1E05B2F6" w:rsidR="00E92573" w:rsidRDefault="00E92573" w:rsidP="00CB2B95"/>
    <w:p w14:paraId="5BAF3E97" w14:textId="4B81CC08" w:rsidR="00E92573" w:rsidRDefault="00E92573" w:rsidP="00CB2B95"/>
    <w:p w14:paraId="4D7D315D" w14:textId="1A0BCDF5" w:rsidR="00E92573" w:rsidRDefault="00E92573" w:rsidP="00CB2B95"/>
    <w:p w14:paraId="51E8EDBE" w14:textId="05BBF72C" w:rsidR="00837DA7" w:rsidRDefault="00837DA7" w:rsidP="00CB2B95"/>
    <w:p w14:paraId="24AADA79" w14:textId="77777777" w:rsidR="00837DA7" w:rsidRPr="00356ADA" w:rsidRDefault="00837DA7" w:rsidP="00837DA7">
      <w:pPr>
        <w:jc w:val="center"/>
        <w:rPr>
          <w:rFonts w:ascii="Times New Roman" w:hAnsi="Times New Roman" w:cs="Times New Roman"/>
          <w:sz w:val="24"/>
          <w:szCs w:val="24"/>
        </w:rPr>
      </w:pPr>
      <w:r>
        <w:rPr>
          <w:rFonts w:ascii="Times New Roman" w:hAnsi="Times New Roman" w:cs="Times New Roman"/>
          <w:b/>
          <w:sz w:val="24"/>
          <w:szCs w:val="24"/>
        </w:rPr>
        <w:lastRenderedPageBreak/>
        <w:t xml:space="preserve">Non-financial reporting in non-profit organisations: The case of risk and governance disclosures in UK higher education institutions </w:t>
      </w:r>
    </w:p>
    <w:p w14:paraId="498C2567" w14:textId="77777777" w:rsidR="00837DA7" w:rsidRDefault="00837DA7" w:rsidP="00837DA7">
      <w:pPr>
        <w:jc w:val="center"/>
        <w:rPr>
          <w:rFonts w:asciiTheme="majorBidi" w:hAnsiTheme="majorBidi" w:cstheme="majorBidi"/>
          <w:bCs/>
          <w:sz w:val="24"/>
          <w:szCs w:val="24"/>
        </w:rPr>
      </w:pPr>
    </w:p>
    <w:p w14:paraId="2083CB45" w14:textId="77777777" w:rsidR="00837DA7" w:rsidRDefault="00837DA7" w:rsidP="00837DA7">
      <w:pPr>
        <w:jc w:val="center"/>
        <w:rPr>
          <w:rFonts w:asciiTheme="majorBidi" w:hAnsiTheme="majorBidi" w:cstheme="majorBidi"/>
          <w:bCs/>
          <w:sz w:val="24"/>
          <w:szCs w:val="24"/>
        </w:rPr>
      </w:pPr>
    </w:p>
    <w:p w14:paraId="7B19CA4A" w14:textId="77777777" w:rsidR="00837DA7" w:rsidRDefault="00837DA7" w:rsidP="00837DA7">
      <w:pPr>
        <w:jc w:val="center"/>
        <w:rPr>
          <w:rFonts w:asciiTheme="majorBidi" w:hAnsiTheme="majorBidi" w:cstheme="majorBidi"/>
          <w:bCs/>
          <w:sz w:val="24"/>
          <w:szCs w:val="24"/>
        </w:rPr>
      </w:pPr>
    </w:p>
    <w:p w14:paraId="277269E0" w14:textId="77777777" w:rsidR="00837DA7" w:rsidRDefault="00837DA7" w:rsidP="00837DA7">
      <w:pPr>
        <w:jc w:val="center"/>
        <w:rPr>
          <w:rFonts w:asciiTheme="majorBidi" w:hAnsiTheme="majorBidi" w:cstheme="majorBidi"/>
          <w:bCs/>
          <w:sz w:val="24"/>
          <w:szCs w:val="24"/>
        </w:rPr>
      </w:pPr>
    </w:p>
    <w:p w14:paraId="6B548CEA" w14:textId="77777777" w:rsidR="00837DA7" w:rsidRDefault="00837DA7" w:rsidP="00837DA7">
      <w:pPr>
        <w:jc w:val="center"/>
        <w:rPr>
          <w:rFonts w:asciiTheme="majorBidi" w:hAnsiTheme="majorBidi" w:cstheme="majorBidi"/>
          <w:bCs/>
          <w:sz w:val="24"/>
          <w:szCs w:val="24"/>
        </w:rPr>
      </w:pPr>
    </w:p>
    <w:p w14:paraId="25AEE558" w14:textId="77777777" w:rsidR="00837DA7" w:rsidRDefault="00837DA7" w:rsidP="00837DA7">
      <w:pPr>
        <w:jc w:val="center"/>
        <w:rPr>
          <w:rFonts w:asciiTheme="majorBidi" w:hAnsiTheme="majorBidi" w:cstheme="majorBidi"/>
          <w:bCs/>
          <w:sz w:val="24"/>
          <w:szCs w:val="24"/>
          <w:vertAlign w:val="superscript"/>
        </w:rPr>
      </w:pPr>
      <w:r>
        <w:rPr>
          <w:rFonts w:asciiTheme="majorBidi" w:hAnsiTheme="majorBidi" w:cstheme="majorBidi"/>
          <w:bCs/>
          <w:sz w:val="24"/>
          <w:szCs w:val="24"/>
        </w:rPr>
        <w:t>Mohamed H. Elmagrhi</w:t>
      </w:r>
      <w:r>
        <w:rPr>
          <w:rFonts w:asciiTheme="majorBidi" w:hAnsiTheme="majorBidi" w:cstheme="majorBidi"/>
          <w:bCs/>
          <w:sz w:val="24"/>
          <w:szCs w:val="24"/>
          <w:vertAlign w:val="superscript"/>
        </w:rPr>
        <w:t>*</w:t>
      </w:r>
      <w:r>
        <w:rPr>
          <w:rFonts w:asciiTheme="majorBidi" w:hAnsiTheme="majorBidi" w:cstheme="majorBidi"/>
          <w:bCs/>
          <w:sz w:val="24"/>
          <w:szCs w:val="24"/>
        </w:rPr>
        <w:t xml:space="preserve"> and Collins G. Ntim</w:t>
      </w:r>
      <w:r>
        <w:rPr>
          <w:rFonts w:asciiTheme="majorBidi" w:hAnsiTheme="majorBidi" w:cstheme="majorBidi"/>
          <w:bCs/>
          <w:sz w:val="24"/>
          <w:szCs w:val="24"/>
          <w:vertAlign w:val="superscript"/>
        </w:rPr>
        <w:t>**</w:t>
      </w:r>
    </w:p>
    <w:p w14:paraId="41A13005" w14:textId="77777777" w:rsidR="00837DA7" w:rsidRDefault="00837DA7" w:rsidP="00837DA7">
      <w:pPr>
        <w:jc w:val="center"/>
        <w:rPr>
          <w:rFonts w:asciiTheme="majorBidi" w:hAnsiTheme="majorBidi" w:cstheme="majorBidi"/>
          <w:bCs/>
          <w:sz w:val="24"/>
          <w:szCs w:val="24"/>
        </w:rPr>
      </w:pPr>
    </w:p>
    <w:p w14:paraId="5FBBFB7E" w14:textId="77777777" w:rsidR="00837DA7" w:rsidRDefault="00837DA7" w:rsidP="00837DA7">
      <w:pPr>
        <w:jc w:val="center"/>
        <w:rPr>
          <w:rFonts w:asciiTheme="majorBidi" w:hAnsiTheme="majorBidi" w:cstheme="majorBidi"/>
          <w:bCs/>
          <w:sz w:val="24"/>
          <w:szCs w:val="24"/>
        </w:rPr>
      </w:pPr>
    </w:p>
    <w:p w14:paraId="49ABFC25" w14:textId="77777777" w:rsidR="00837DA7" w:rsidRDefault="00837DA7" w:rsidP="00837DA7">
      <w:pPr>
        <w:spacing w:after="0"/>
        <w:rPr>
          <w:rFonts w:asciiTheme="majorBidi" w:hAnsiTheme="majorBidi" w:cstheme="majorBidi"/>
          <w:bCs/>
          <w:sz w:val="24"/>
          <w:szCs w:val="24"/>
        </w:rPr>
      </w:pPr>
    </w:p>
    <w:p w14:paraId="65F4FC71" w14:textId="77777777" w:rsidR="00837DA7" w:rsidRDefault="00837DA7" w:rsidP="00837DA7">
      <w:pPr>
        <w:spacing w:after="0"/>
        <w:jc w:val="center"/>
        <w:rPr>
          <w:rFonts w:asciiTheme="majorBidi" w:hAnsiTheme="majorBidi" w:cstheme="majorBidi"/>
          <w:bCs/>
          <w:sz w:val="24"/>
          <w:szCs w:val="24"/>
        </w:rPr>
      </w:pPr>
      <w:r>
        <w:rPr>
          <w:rFonts w:asciiTheme="majorBidi" w:hAnsiTheme="majorBidi" w:cstheme="majorBidi"/>
          <w:bCs/>
          <w:sz w:val="24"/>
          <w:szCs w:val="24"/>
        </w:rPr>
        <w:t>Mohamed H. Elmagrhi (</w:t>
      </w:r>
      <w:r>
        <w:rPr>
          <w:rFonts w:asciiTheme="majorBidi" w:hAnsiTheme="majorBidi" w:cstheme="majorBidi"/>
          <w:bCs/>
          <w:i/>
          <w:iCs/>
          <w:sz w:val="24"/>
          <w:szCs w:val="24"/>
        </w:rPr>
        <w:t>Corresponding Author</w:t>
      </w:r>
      <w:r>
        <w:rPr>
          <w:rFonts w:asciiTheme="majorBidi" w:hAnsiTheme="majorBidi" w:cstheme="majorBidi"/>
          <w:bCs/>
          <w:sz w:val="24"/>
          <w:szCs w:val="24"/>
        </w:rPr>
        <w:t>)</w:t>
      </w:r>
    </w:p>
    <w:p w14:paraId="02857590" w14:textId="77777777" w:rsidR="00837DA7" w:rsidRDefault="00837DA7" w:rsidP="00837DA7">
      <w:pPr>
        <w:spacing w:after="0"/>
        <w:jc w:val="center"/>
        <w:rPr>
          <w:rFonts w:asciiTheme="majorBidi" w:hAnsiTheme="majorBidi" w:cstheme="majorBidi"/>
          <w:bCs/>
          <w:sz w:val="24"/>
          <w:szCs w:val="24"/>
          <w:vertAlign w:val="superscript"/>
        </w:rPr>
      </w:pPr>
      <w:r>
        <w:rPr>
          <w:rFonts w:asciiTheme="majorBidi" w:hAnsiTheme="majorBidi" w:cstheme="majorBidi"/>
          <w:bCs/>
          <w:sz w:val="24"/>
          <w:szCs w:val="24"/>
        </w:rPr>
        <w:t>Sustainable Finance Research Group</w:t>
      </w:r>
      <w:r>
        <w:rPr>
          <w:rFonts w:asciiTheme="majorBidi" w:hAnsiTheme="majorBidi" w:cstheme="majorBidi"/>
          <w:bCs/>
          <w:sz w:val="24"/>
          <w:szCs w:val="24"/>
          <w:vertAlign w:val="superscript"/>
        </w:rPr>
        <w:t>*</w:t>
      </w:r>
    </w:p>
    <w:p w14:paraId="54FBC81D" w14:textId="77777777" w:rsidR="00837DA7" w:rsidRDefault="00837DA7" w:rsidP="00837DA7">
      <w:pPr>
        <w:spacing w:after="0"/>
        <w:jc w:val="center"/>
        <w:rPr>
          <w:rFonts w:asciiTheme="majorBidi" w:hAnsiTheme="majorBidi" w:cstheme="majorBidi"/>
          <w:bCs/>
          <w:sz w:val="24"/>
          <w:szCs w:val="24"/>
          <w:vertAlign w:val="superscript"/>
        </w:rPr>
      </w:pPr>
      <w:r>
        <w:rPr>
          <w:rFonts w:asciiTheme="majorBidi" w:hAnsiTheme="majorBidi" w:cstheme="majorBidi"/>
          <w:bCs/>
          <w:sz w:val="24"/>
          <w:szCs w:val="24"/>
        </w:rPr>
        <w:t>Department of Accounting and Finance</w:t>
      </w:r>
    </w:p>
    <w:p w14:paraId="5A38E038" w14:textId="77777777" w:rsidR="00837DA7" w:rsidRDefault="00837DA7" w:rsidP="00837DA7">
      <w:pPr>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School of Management</w:t>
      </w:r>
    </w:p>
    <w:p w14:paraId="52FEB376" w14:textId="77777777" w:rsidR="00837DA7" w:rsidRDefault="00837DA7" w:rsidP="00837DA7">
      <w:pPr>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Swansea University</w:t>
      </w:r>
    </w:p>
    <w:p w14:paraId="10379E05" w14:textId="77777777" w:rsidR="00837DA7" w:rsidRDefault="00837DA7" w:rsidP="00837DA7">
      <w:pPr>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Swansea, UK</w:t>
      </w:r>
    </w:p>
    <w:p w14:paraId="40B5EBBA" w14:textId="77777777" w:rsidR="00837DA7" w:rsidRDefault="00837DA7" w:rsidP="00837DA7">
      <w:pPr>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 xml:space="preserve">E-mail: </w:t>
      </w:r>
      <w:hyperlink r:id="rId16" w:history="1">
        <w:r>
          <w:rPr>
            <w:rStyle w:val="Hyperlink"/>
            <w:rFonts w:asciiTheme="majorBidi" w:hAnsiTheme="majorBidi"/>
            <w:bCs/>
            <w:sz w:val="24"/>
            <w:szCs w:val="24"/>
          </w:rPr>
          <w:t>m.h.a.elmagrhi@Swansea.ac.uk</w:t>
        </w:r>
      </w:hyperlink>
    </w:p>
    <w:p w14:paraId="1E21041B" w14:textId="77777777" w:rsidR="00837DA7" w:rsidRDefault="00837DA7" w:rsidP="00837DA7">
      <w:pPr>
        <w:spacing w:after="0" w:line="240" w:lineRule="auto"/>
        <w:jc w:val="center"/>
        <w:rPr>
          <w:rFonts w:asciiTheme="majorBidi" w:hAnsiTheme="majorBidi" w:cstheme="majorBidi"/>
          <w:bCs/>
          <w:sz w:val="24"/>
          <w:szCs w:val="24"/>
        </w:rPr>
      </w:pPr>
    </w:p>
    <w:p w14:paraId="73A748DC" w14:textId="77777777" w:rsidR="00837DA7" w:rsidRDefault="00837DA7" w:rsidP="00837DA7">
      <w:pPr>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and</w:t>
      </w:r>
    </w:p>
    <w:p w14:paraId="73A323F1" w14:textId="77777777" w:rsidR="00837DA7" w:rsidRDefault="00837DA7" w:rsidP="00837DA7">
      <w:pPr>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Department of Accounting and Finance</w:t>
      </w:r>
      <w:r>
        <w:rPr>
          <w:rFonts w:asciiTheme="majorBidi" w:hAnsiTheme="majorBidi" w:cstheme="majorBidi"/>
          <w:bCs/>
          <w:sz w:val="24"/>
          <w:szCs w:val="24"/>
          <w:vertAlign w:val="superscript"/>
        </w:rPr>
        <w:t>*</w:t>
      </w:r>
    </w:p>
    <w:p w14:paraId="54A6D6DA" w14:textId="77777777" w:rsidR="00837DA7" w:rsidRDefault="00837DA7" w:rsidP="00837DA7">
      <w:pPr>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Faculty of Economics and Commerce</w:t>
      </w:r>
    </w:p>
    <w:p w14:paraId="1F8D3E3E" w14:textId="77777777" w:rsidR="00837DA7" w:rsidRDefault="00837DA7" w:rsidP="00837DA7">
      <w:pPr>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Al-Asmarya University for Islamic Sciences</w:t>
      </w:r>
    </w:p>
    <w:p w14:paraId="08998A39" w14:textId="77777777" w:rsidR="00837DA7" w:rsidRDefault="00837DA7" w:rsidP="00837DA7">
      <w:pPr>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Zliten, Libya</w:t>
      </w:r>
    </w:p>
    <w:p w14:paraId="05585AF1" w14:textId="77777777" w:rsidR="00837DA7" w:rsidRDefault="00837DA7" w:rsidP="00837DA7">
      <w:pPr>
        <w:spacing w:after="0" w:line="240" w:lineRule="auto"/>
        <w:jc w:val="center"/>
        <w:rPr>
          <w:rFonts w:asciiTheme="majorBidi" w:hAnsiTheme="majorBidi" w:cstheme="majorBidi"/>
          <w:bCs/>
          <w:sz w:val="24"/>
          <w:szCs w:val="24"/>
        </w:rPr>
      </w:pPr>
    </w:p>
    <w:p w14:paraId="29A585CD" w14:textId="77777777" w:rsidR="00837DA7" w:rsidRDefault="00837DA7" w:rsidP="00837DA7">
      <w:pPr>
        <w:spacing w:after="0" w:line="240" w:lineRule="auto"/>
        <w:jc w:val="center"/>
        <w:rPr>
          <w:rFonts w:asciiTheme="majorBidi" w:hAnsiTheme="majorBidi" w:cstheme="majorBidi"/>
          <w:bCs/>
          <w:sz w:val="24"/>
          <w:szCs w:val="24"/>
        </w:rPr>
      </w:pPr>
    </w:p>
    <w:p w14:paraId="4E0AD06E" w14:textId="77777777" w:rsidR="00837DA7" w:rsidRDefault="00837DA7" w:rsidP="00837DA7">
      <w:pPr>
        <w:spacing w:after="0" w:line="240" w:lineRule="auto"/>
        <w:jc w:val="center"/>
        <w:rPr>
          <w:rFonts w:asciiTheme="majorBidi" w:hAnsiTheme="majorBidi" w:cstheme="majorBidi"/>
          <w:bCs/>
          <w:sz w:val="24"/>
          <w:szCs w:val="24"/>
        </w:rPr>
      </w:pPr>
    </w:p>
    <w:p w14:paraId="0FEAE654" w14:textId="77777777" w:rsidR="00837DA7" w:rsidRDefault="00837DA7" w:rsidP="00837DA7">
      <w:pPr>
        <w:spacing w:after="0" w:line="240" w:lineRule="auto"/>
        <w:jc w:val="center"/>
        <w:rPr>
          <w:rFonts w:asciiTheme="majorBidi" w:hAnsiTheme="majorBidi" w:cstheme="majorBidi"/>
          <w:bCs/>
          <w:sz w:val="24"/>
          <w:szCs w:val="24"/>
        </w:rPr>
      </w:pPr>
    </w:p>
    <w:p w14:paraId="4192DA3D" w14:textId="77777777" w:rsidR="00837DA7" w:rsidRDefault="00837DA7" w:rsidP="00837DA7">
      <w:pPr>
        <w:spacing w:after="0" w:line="240" w:lineRule="auto"/>
        <w:jc w:val="center"/>
        <w:rPr>
          <w:rFonts w:asciiTheme="majorBidi" w:hAnsiTheme="majorBidi" w:cstheme="majorBidi"/>
          <w:bCs/>
          <w:sz w:val="24"/>
          <w:szCs w:val="24"/>
        </w:rPr>
      </w:pPr>
    </w:p>
    <w:p w14:paraId="39CB3911" w14:textId="77777777" w:rsidR="00837DA7" w:rsidRDefault="00837DA7" w:rsidP="00837DA7">
      <w:pPr>
        <w:spacing w:after="0" w:line="240" w:lineRule="auto"/>
        <w:jc w:val="center"/>
        <w:rPr>
          <w:rFonts w:asciiTheme="majorBidi" w:hAnsiTheme="majorBidi" w:cstheme="majorBidi"/>
          <w:bCs/>
          <w:sz w:val="24"/>
          <w:szCs w:val="24"/>
        </w:rPr>
      </w:pPr>
    </w:p>
    <w:p w14:paraId="44591206" w14:textId="77777777" w:rsidR="00837DA7" w:rsidRDefault="00837DA7" w:rsidP="00837DA7">
      <w:pPr>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 xml:space="preserve">Collins G. Ntim </w:t>
      </w:r>
    </w:p>
    <w:p w14:paraId="281549A5" w14:textId="77777777" w:rsidR="00837DA7" w:rsidRDefault="00837DA7" w:rsidP="00837DA7">
      <w:pPr>
        <w:spacing w:after="0" w:line="240" w:lineRule="auto"/>
        <w:jc w:val="center"/>
        <w:rPr>
          <w:rFonts w:asciiTheme="majorBidi" w:hAnsiTheme="majorBidi" w:cstheme="majorBidi"/>
          <w:bCs/>
          <w:sz w:val="24"/>
          <w:szCs w:val="24"/>
          <w:vertAlign w:val="superscript"/>
        </w:rPr>
      </w:pPr>
      <w:r>
        <w:rPr>
          <w:rFonts w:asciiTheme="majorBidi" w:hAnsiTheme="majorBidi" w:cstheme="majorBidi"/>
          <w:bCs/>
          <w:sz w:val="24"/>
          <w:szCs w:val="24"/>
        </w:rPr>
        <w:t>Centre for Research in Accounting, Accountability and Governance (CRAAG)</w:t>
      </w:r>
      <w:r>
        <w:rPr>
          <w:rFonts w:asciiTheme="majorBidi" w:hAnsiTheme="majorBidi" w:cstheme="majorBidi"/>
          <w:bCs/>
          <w:sz w:val="24"/>
          <w:szCs w:val="24"/>
          <w:vertAlign w:val="superscript"/>
        </w:rPr>
        <w:t>**</w:t>
      </w:r>
    </w:p>
    <w:p w14:paraId="53B71422" w14:textId="77777777" w:rsidR="00837DA7" w:rsidRDefault="00837DA7" w:rsidP="00837DA7">
      <w:pPr>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Department of Accounting</w:t>
      </w:r>
    </w:p>
    <w:p w14:paraId="318C4A59" w14:textId="77777777" w:rsidR="00837DA7" w:rsidRDefault="00837DA7" w:rsidP="00837DA7">
      <w:pPr>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Southampton Business School</w:t>
      </w:r>
    </w:p>
    <w:p w14:paraId="6E0D04AE" w14:textId="77777777" w:rsidR="00837DA7" w:rsidRDefault="00837DA7" w:rsidP="00837DA7">
      <w:pPr>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University of Southampton</w:t>
      </w:r>
    </w:p>
    <w:p w14:paraId="04798AF0" w14:textId="77777777" w:rsidR="00837DA7" w:rsidRDefault="00837DA7" w:rsidP="00837DA7">
      <w:pPr>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 xml:space="preserve">Southampton, UK </w:t>
      </w:r>
    </w:p>
    <w:p w14:paraId="45D3D940" w14:textId="77777777" w:rsidR="00837DA7" w:rsidRDefault="00837DA7" w:rsidP="00837DA7">
      <w:pPr>
        <w:jc w:val="center"/>
        <w:rPr>
          <w:rFonts w:asciiTheme="majorBidi" w:hAnsiTheme="majorBidi" w:cstheme="majorBidi"/>
          <w:bCs/>
          <w:sz w:val="24"/>
          <w:szCs w:val="24"/>
        </w:rPr>
      </w:pPr>
      <w:r>
        <w:rPr>
          <w:rFonts w:asciiTheme="majorBidi" w:hAnsiTheme="majorBidi" w:cstheme="majorBidi"/>
          <w:bCs/>
          <w:sz w:val="24"/>
          <w:szCs w:val="24"/>
        </w:rPr>
        <w:t xml:space="preserve">E-mail: </w:t>
      </w:r>
      <w:hyperlink r:id="rId17" w:history="1">
        <w:r>
          <w:rPr>
            <w:rStyle w:val="Hyperlink"/>
            <w:rFonts w:asciiTheme="majorBidi" w:hAnsiTheme="majorBidi"/>
            <w:bCs/>
            <w:sz w:val="24"/>
            <w:szCs w:val="24"/>
          </w:rPr>
          <w:t>c.g.ntim@soton.ac.uk</w:t>
        </w:r>
      </w:hyperlink>
    </w:p>
    <w:p w14:paraId="6B4251B3" w14:textId="77777777" w:rsidR="00837DA7" w:rsidRDefault="00837DA7" w:rsidP="00837DA7"/>
    <w:tbl>
      <w:tblPr>
        <w:tblStyle w:val="TableGrid11"/>
        <w:tblpPr w:leftFromText="180" w:rightFromText="180" w:vertAnchor="page" w:horzAnchor="margin" w:tblpY="1465"/>
        <w:tblW w:w="9781" w:type="dxa"/>
        <w:tblLook w:val="04A0" w:firstRow="1" w:lastRow="0" w:firstColumn="1" w:lastColumn="0" w:noHBand="0" w:noVBand="1"/>
      </w:tblPr>
      <w:tblGrid>
        <w:gridCol w:w="1737"/>
        <w:gridCol w:w="850"/>
        <w:gridCol w:w="850"/>
        <w:gridCol w:w="850"/>
        <w:gridCol w:w="850"/>
        <w:gridCol w:w="851"/>
        <w:gridCol w:w="850"/>
        <w:gridCol w:w="850"/>
        <w:gridCol w:w="925"/>
        <w:gridCol w:w="1168"/>
      </w:tblGrid>
      <w:tr w:rsidR="00837DA7" w:rsidRPr="00233EC8" w14:paraId="0D67015A" w14:textId="77777777" w:rsidTr="00353A9A">
        <w:trPr>
          <w:trHeight w:val="460"/>
        </w:trPr>
        <w:tc>
          <w:tcPr>
            <w:tcW w:w="9781" w:type="dxa"/>
            <w:gridSpan w:val="10"/>
            <w:tcBorders>
              <w:top w:val="nil"/>
              <w:left w:val="nil"/>
              <w:bottom w:val="single" w:sz="12" w:space="0" w:color="auto"/>
              <w:right w:val="nil"/>
            </w:tcBorders>
          </w:tcPr>
          <w:p w14:paraId="6A453DFB" w14:textId="77777777" w:rsidR="00837DA7" w:rsidRPr="00233EC8" w:rsidRDefault="00837DA7" w:rsidP="00353A9A">
            <w:pPr>
              <w:contextualSpacing/>
              <w:rPr>
                <w:rFonts w:asciiTheme="majorBidi" w:hAnsiTheme="majorBidi" w:cstheme="majorBidi"/>
                <w:b/>
                <w:sz w:val="20"/>
                <w:szCs w:val="20"/>
              </w:rPr>
            </w:pPr>
            <w:bookmarkStart w:id="17" w:name="_Hlk117696100"/>
          </w:p>
          <w:p w14:paraId="7D67AD0F" w14:textId="77777777" w:rsidR="00837DA7" w:rsidRPr="00233EC8" w:rsidRDefault="00837DA7" w:rsidP="00353A9A">
            <w:pPr>
              <w:contextualSpacing/>
              <w:rPr>
                <w:rFonts w:asciiTheme="majorBidi" w:hAnsiTheme="majorBidi" w:cstheme="majorBidi"/>
                <w:bCs/>
                <w:sz w:val="20"/>
                <w:szCs w:val="20"/>
              </w:rPr>
            </w:pPr>
            <w:r>
              <w:rPr>
                <w:rFonts w:asciiTheme="majorBidi" w:hAnsiTheme="majorBidi" w:cstheme="majorBidi"/>
                <w:b/>
                <w:sz w:val="20"/>
                <w:szCs w:val="20"/>
              </w:rPr>
              <w:t xml:space="preserve">Online Appendix 1. </w:t>
            </w:r>
            <w:r w:rsidRPr="00233EC8">
              <w:rPr>
                <w:rFonts w:asciiTheme="majorBidi" w:hAnsiTheme="majorBidi" w:cstheme="majorBidi"/>
                <w:bCs/>
                <w:sz w:val="20"/>
                <w:szCs w:val="20"/>
              </w:rPr>
              <w:t xml:space="preserve">Descriptive analyses of the </w:t>
            </w:r>
            <w:r>
              <w:rPr>
                <w:rFonts w:asciiTheme="majorBidi" w:hAnsiTheme="majorBidi" w:cstheme="majorBidi"/>
                <w:bCs/>
                <w:sz w:val="20"/>
                <w:szCs w:val="20"/>
              </w:rPr>
              <w:t>risk disclosure index</w:t>
            </w:r>
            <w:r w:rsidRPr="00233EC8">
              <w:rPr>
                <w:rFonts w:asciiTheme="majorBidi" w:hAnsiTheme="majorBidi" w:cstheme="majorBidi"/>
                <w:bCs/>
                <w:sz w:val="20"/>
                <w:szCs w:val="20"/>
              </w:rPr>
              <w:t xml:space="preserve"> for all </w:t>
            </w:r>
            <w:r>
              <w:rPr>
                <w:rFonts w:asciiTheme="majorBidi" w:hAnsiTheme="majorBidi" w:cstheme="majorBidi"/>
                <w:bCs/>
                <w:sz w:val="20"/>
                <w:szCs w:val="20"/>
              </w:rPr>
              <w:t>higher education institutions</w:t>
            </w:r>
            <w:r w:rsidRPr="00233EC8">
              <w:rPr>
                <w:rFonts w:asciiTheme="majorBidi" w:hAnsiTheme="majorBidi" w:cstheme="majorBidi"/>
                <w:bCs/>
                <w:sz w:val="20"/>
                <w:szCs w:val="20"/>
              </w:rPr>
              <w:t xml:space="preserve">.                   </w:t>
            </w:r>
          </w:p>
        </w:tc>
      </w:tr>
      <w:tr w:rsidR="00837DA7" w:rsidRPr="00233EC8" w14:paraId="1DF0E347" w14:textId="77777777" w:rsidTr="00353A9A">
        <w:trPr>
          <w:trHeight w:val="50"/>
        </w:trPr>
        <w:tc>
          <w:tcPr>
            <w:tcW w:w="1737" w:type="dxa"/>
            <w:vMerge w:val="restart"/>
            <w:tcBorders>
              <w:top w:val="single" w:sz="12" w:space="0" w:color="auto"/>
              <w:left w:val="nil"/>
              <w:right w:val="nil"/>
            </w:tcBorders>
          </w:tcPr>
          <w:p w14:paraId="43AB988F" w14:textId="77777777" w:rsidR="00837DA7" w:rsidRPr="00233EC8" w:rsidRDefault="00837DA7" w:rsidP="00353A9A">
            <w:pPr>
              <w:rPr>
                <w:rFonts w:asciiTheme="majorBidi" w:hAnsiTheme="majorBidi" w:cstheme="majorBidi"/>
                <w:sz w:val="20"/>
                <w:szCs w:val="20"/>
              </w:rPr>
            </w:pPr>
          </w:p>
        </w:tc>
        <w:tc>
          <w:tcPr>
            <w:tcW w:w="850" w:type="dxa"/>
            <w:vMerge w:val="restart"/>
            <w:tcBorders>
              <w:top w:val="single" w:sz="12" w:space="0" w:color="auto"/>
              <w:left w:val="nil"/>
              <w:right w:val="nil"/>
            </w:tcBorders>
          </w:tcPr>
          <w:p w14:paraId="29088F00" w14:textId="77777777" w:rsidR="00837DA7" w:rsidRPr="00233EC8" w:rsidRDefault="00837DA7" w:rsidP="00353A9A">
            <w:pPr>
              <w:rPr>
                <w:rFonts w:asciiTheme="majorBidi" w:hAnsiTheme="majorBidi" w:cstheme="majorBidi"/>
                <w:sz w:val="20"/>
                <w:szCs w:val="20"/>
              </w:rPr>
            </w:pPr>
          </w:p>
          <w:p w14:paraId="4862BFC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 xml:space="preserve">All </w:t>
            </w:r>
          </w:p>
        </w:tc>
        <w:tc>
          <w:tcPr>
            <w:tcW w:w="850" w:type="dxa"/>
            <w:vMerge w:val="restart"/>
            <w:tcBorders>
              <w:top w:val="single" w:sz="12" w:space="0" w:color="auto"/>
              <w:left w:val="nil"/>
              <w:right w:val="nil"/>
            </w:tcBorders>
          </w:tcPr>
          <w:p w14:paraId="0F64FC49" w14:textId="77777777" w:rsidR="00837DA7" w:rsidRPr="00233EC8" w:rsidRDefault="00837DA7" w:rsidP="00353A9A">
            <w:pPr>
              <w:rPr>
                <w:rFonts w:asciiTheme="majorBidi" w:hAnsiTheme="majorBidi" w:cstheme="majorBidi"/>
                <w:sz w:val="20"/>
                <w:szCs w:val="20"/>
              </w:rPr>
            </w:pPr>
          </w:p>
          <w:p w14:paraId="302F23B5"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2009</w:t>
            </w:r>
          </w:p>
        </w:tc>
        <w:tc>
          <w:tcPr>
            <w:tcW w:w="850" w:type="dxa"/>
            <w:vMerge w:val="restart"/>
            <w:tcBorders>
              <w:top w:val="single" w:sz="12" w:space="0" w:color="auto"/>
              <w:left w:val="nil"/>
              <w:right w:val="nil"/>
            </w:tcBorders>
          </w:tcPr>
          <w:p w14:paraId="1B79B085" w14:textId="77777777" w:rsidR="00837DA7" w:rsidRPr="00233EC8" w:rsidRDefault="00837DA7" w:rsidP="00353A9A">
            <w:pPr>
              <w:rPr>
                <w:rFonts w:asciiTheme="majorBidi" w:hAnsiTheme="majorBidi" w:cstheme="majorBidi"/>
                <w:sz w:val="20"/>
                <w:szCs w:val="20"/>
              </w:rPr>
            </w:pPr>
          </w:p>
          <w:p w14:paraId="2675A906"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2010</w:t>
            </w:r>
          </w:p>
        </w:tc>
        <w:tc>
          <w:tcPr>
            <w:tcW w:w="850" w:type="dxa"/>
            <w:vMerge w:val="restart"/>
            <w:tcBorders>
              <w:top w:val="single" w:sz="12" w:space="0" w:color="auto"/>
              <w:left w:val="nil"/>
              <w:right w:val="nil"/>
            </w:tcBorders>
          </w:tcPr>
          <w:p w14:paraId="0AE20255" w14:textId="77777777" w:rsidR="00837DA7" w:rsidRPr="00233EC8" w:rsidRDefault="00837DA7" w:rsidP="00353A9A">
            <w:pPr>
              <w:rPr>
                <w:rFonts w:asciiTheme="majorBidi" w:hAnsiTheme="majorBidi" w:cstheme="majorBidi"/>
                <w:sz w:val="20"/>
                <w:szCs w:val="20"/>
              </w:rPr>
            </w:pPr>
          </w:p>
          <w:p w14:paraId="1B801E5E"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2011</w:t>
            </w:r>
          </w:p>
        </w:tc>
        <w:tc>
          <w:tcPr>
            <w:tcW w:w="851" w:type="dxa"/>
            <w:vMerge w:val="restart"/>
            <w:tcBorders>
              <w:top w:val="single" w:sz="12" w:space="0" w:color="auto"/>
              <w:left w:val="nil"/>
              <w:right w:val="nil"/>
            </w:tcBorders>
          </w:tcPr>
          <w:p w14:paraId="1D19CB6D" w14:textId="77777777" w:rsidR="00837DA7" w:rsidRPr="00233EC8" w:rsidRDefault="00837DA7" w:rsidP="00353A9A">
            <w:pPr>
              <w:rPr>
                <w:rFonts w:asciiTheme="majorBidi" w:hAnsiTheme="majorBidi" w:cstheme="majorBidi"/>
                <w:sz w:val="20"/>
                <w:szCs w:val="20"/>
              </w:rPr>
            </w:pPr>
          </w:p>
          <w:p w14:paraId="019DCED2"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2012</w:t>
            </w:r>
          </w:p>
        </w:tc>
        <w:tc>
          <w:tcPr>
            <w:tcW w:w="850" w:type="dxa"/>
            <w:vMerge w:val="restart"/>
            <w:tcBorders>
              <w:top w:val="single" w:sz="12" w:space="0" w:color="auto"/>
              <w:left w:val="nil"/>
              <w:right w:val="nil"/>
            </w:tcBorders>
          </w:tcPr>
          <w:p w14:paraId="1E1406F0" w14:textId="77777777" w:rsidR="00837DA7" w:rsidRPr="00233EC8" w:rsidRDefault="00837DA7" w:rsidP="00353A9A">
            <w:pPr>
              <w:rPr>
                <w:rFonts w:asciiTheme="majorBidi" w:hAnsiTheme="majorBidi" w:cstheme="majorBidi"/>
                <w:sz w:val="20"/>
                <w:szCs w:val="20"/>
              </w:rPr>
            </w:pPr>
          </w:p>
          <w:p w14:paraId="015AE4F5"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2013</w:t>
            </w:r>
          </w:p>
        </w:tc>
        <w:tc>
          <w:tcPr>
            <w:tcW w:w="850" w:type="dxa"/>
            <w:vMerge w:val="restart"/>
            <w:tcBorders>
              <w:top w:val="single" w:sz="12" w:space="0" w:color="auto"/>
              <w:left w:val="nil"/>
              <w:right w:val="nil"/>
            </w:tcBorders>
          </w:tcPr>
          <w:p w14:paraId="170E39B9" w14:textId="77777777" w:rsidR="00837DA7" w:rsidRPr="00233EC8" w:rsidRDefault="00837DA7" w:rsidP="00353A9A">
            <w:pPr>
              <w:rPr>
                <w:rFonts w:asciiTheme="majorBidi" w:hAnsiTheme="majorBidi" w:cstheme="majorBidi"/>
                <w:sz w:val="20"/>
                <w:szCs w:val="20"/>
              </w:rPr>
            </w:pPr>
          </w:p>
          <w:p w14:paraId="17C93E92"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2014</w:t>
            </w:r>
          </w:p>
        </w:tc>
        <w:tc>
          <w:tcPr>
            <w:tcW w:w="2093" w:type="dxa"/>
            <w:gridSpan w:val="2"/>
            <w:tcBorders>
              <w:top w:val="single" w:sz="12" w:space="0" w:color="auto"/>
              <w:left w:val="nil"/>
              <w:bottom w:val="nil"/>
              <w:right w:val="nil"/>
            </w:tcBorders>
          </w:tcPr>
          <w:p w14:paraId="1E7231E5" w14:textId="77777777" w:rsidR="00837DA7" w:rsidRPr="00233EC8" w:rsidRDefault="00837DA7" w:rsidP="00353A9A">
            <w:pPr>
              <w:rPr>
                <w:rFonts w:asciiTheme="majorBidi" w:hAnsiTheme="majorBidi" w:cstheme="majorBidi"/>
                <w:bCs/>
                <w:sz w:val="20"/>
                <w:szCs w:val="20"/>
              </w:rPr>
            </w:pPr>
            <w:r w:rsidRPr="00233EC8">
              <w:rPr>
                <w:rFonts w:asciiTheme="majorBidi" w:hAnsiTheme="majorBidi" w:cstheme="majorBidi"/>
                <w:bCs/>
                <w:sz w:val="20"/>
                <w:szCs w:val="20"/>
              </w:rPr>
              <w:t>Pre-1992 – Post-1992</w:t>
            </w:r>
          </w:p>
        </w:tc>
      </w:tr>
      <w:tr w:rsidR="00837DA7" w:rsidRPr="00233EC8" w14:paraId="5354D7D3" w14:textId="77777777" w:rsidTr="00353A9A">
        <w:tc>
          <w:tcPr>
            <w:tcW w:w="1737" w:type="dxa"/>
            <w:vMerge/>
            <w:tcBorders>
              <w:left w:val="nil"/>
              <w:bottom w:val="single" w:sz="2" w:space="0" w:color="auto"/>
              <w:right w:val="nil"/>
            </w:tcBorders>
          </w:tcPr>
          <w:p w14:paraId="3D4BE067" w14:textId="77777777" w:rsidR="00837DA7" w:rsidRPr="00233EC8" w:rsidRDefault="00837DA7" w:rsidP="00353A9A">
            <w:pPr>
              <w:rPr>
                <w:rFonts w:asciiTheme="majorBidi" w:hAnsiTheme="majorBidi" w:cstheme="majorBidi"/>
                <w:sz w:val="20"/>
                <w:szCs w:val="20"/>
              </w:rPr>
            </w:pPr>
          </w:p>
        </w:tc>
        <w:tc>
          <w:tcPr>
            <w:tcW w:w="850" w:type="dxa"/>
            <w:vMerge/>
            <w:tcBorders>
              <w:left w:val="nil"/>
              <w:bottom w:val="single" w:sz="2" w:space="0" w:color="auto"/>
              <w:right w:val="nil"/>
            </w:tcBorders>
          </w:tcPr>
          <w:p w14:paraId="22EC9F72" w14:textId="77777777" w:rsidR="00837DA7" w:rsidRPr="00233EC8" w:rsidRDefault="00837DA7" w:rsidP="00353A9A">
            <w:pPr>
              <w:rPr>
                <w:rFonts w:asciiTheme="majorBidi" w:hAnsiTheme="majorBidi" w:cstheme="majorBidi"/>
                <w:sz w:val="20"/>
                <w:szCs w:val="20"/>
              </w:rPr>
            </w:pPr>
          </w:p>
        </w:tc>
        <w:tc>
          <w:tcPr>
            <w:tcW w:w="850" w:type="dxa"/>
            <w:vMerge/>
            <w:tcBorders>
              <w:left w:val="nil"/>
              <w:bottom w:val="single" w:sz="2" w:space="0" w:color="auto"/>
              <w:right w:val="nil"/>
            </w:tcBorders>
          </w:tcPr>
          <w:p w14:paraId="6AAD8B96" w14:textId="77777777" w:rsidR="00837DA7" w:rsidRPr="00233EC8" w:rsidRDefault="00837DA7" w:rsidP="00353A9A">
            <w:pPr>
              <w:rPr>
                <w:rFonts w:asciiTheme="majorBidi" w:hAnsiTheme="majorBidi" w:cstheme="majorBidi"/>
                <w:sz w:val="20"/>
                <w:szCs w:val="20"/>
              </w:rPr>
            </w:pPr>
          </w:p>
        </w:tc>
        <w:tc>
          <w:tcPr>
            <w:tcW w:w="850" w:type="dxa"/>
            <w:vMerge/>
            <w:tcBorders>
              <w:left w:val="nil"/>
              <w:bottom w:val="single" w:sz="2" w:space="0" w:color="auto"/>
              <w:right w:val="nil"/>
            </w:tcBorders>
          </w:tcPr>
          <w:p w14:paraId="1ED0FC05" w14:textId="77777777" w:rsidR="00837DA7" w:rsidRPr="00233EC8" w:rsidRDefault="00837DA7" w:rsidP="00353A9A">
            <w:pPr>
              <w:rPr>
                <w:rFonts w:asciiTheme="majorBidi" w:hAnsiTheme="majorBidi" w:cstheme="majorBidi"/>
                <w:sz w:val="20"/>
                <w:szCs w:val="20"/>
              </w:rPr>
            </w:pPr>
          </w:p>
        </w:tc>
        <w:tc>
          <w:tcPr>
            <w:tcW w:w="850" w:type="dxa"/>
            <w:vMerge/>
            <w:tcBorders>
              <w:left w:val="nil"/>
              <w:bottom w:val="single" w:sz="2" w:space="0" w:color="auto"/>
              <w:right w:val="nil"/>
            </w:tcBorders>
          </w:tcPr>
          <w:p w14:paraId="52610F53" w14:textId="77777777" w:rsidR="00837DA7" w:rsidRPr="00233EC8" w:rsidRDefault="00837DA7" w:rsidP="00353A9A">
            <w:pPr>
              <w:rPr>
                <w:rFonts w:asciiTheme="majorBidi" w:hAnsiTheme="majorBidi" w:cstheme="majorBidi"/>
                <w:sz w:val="20"/>
                <w:szCs w:val="20"/>
              </w:rPr>
            </w:pPr>
          </w:p>
        </w:tc>
        <w:tc>
          <w:tcPr>
            <w:tcW w:w="851" w:type="dxa"/>
            <w:vMerge/>
            <w:tcBorders>
              <w:left w:val="nil"/>
              <w:bottom w:val="single" w:sz="2" w:space="0" w:color="auto"/>
              <w:right w:val="nil"/>
            </w:tcBorders>
          </w:tcPr>
          <w:p w14:paraId="7095D63D" w14:textId="77777777" w:rsidR="00837DA7" w:rsidRPr="00233EC8" w:rsidRDefault="00837DA7" w:rsidP="00353A9A">
            <w:pPr>
              <w:rPr>
                <w:rFonts w:asciiTheme="majorBidi" w:hAnsiTheme="majorBidi" w:cstheme="majorBidi"/>
                <w:sz w:val="20"/>
                <w:szCs w:val="20"/>
              </w:rPr>
            </w:pPr>
          </w:p>
        </w:tc>
        <w:tc>
          <w:tcPr>
            <w:tcW w:w="850" w:type="dxa"/>
            <w:vMerge/>
            <w:tcBorders>
              <w:left w:val="nil"/>
              <w:bottom w:val="single" w:sz="2" w:space="0" w:color="auto"/>
              <w:right w:val="nil"/>
            </w:tcBorders>
          </w:tcPr>
          <w:p w14:paraId="3F48E25D" w14:textId="77777777" w:rsidR="00837DA7" w:rsidRPr="00233EC8" w:rsidRDefault="00837DA7" w:rsidP="00353A9A">
            <w:pPr>
              <w:rPr>
                <w:rFonts w:asciiTheme="majorBidi" w:hAnsiTheme="majorBidi" w:cstheme="majorBidi"/>
                <w:sz w:val="20"/>
                <w:szCs w:val="20"/>
              </w:rPr>
            </w:pPr>
          </w:p>
        </w:tc>
        <w:tc>
          <w:tcPr>
            <w:tcW w:w="850" w:type="dxa"/>
            <w:vMerge/>
            <w:tcBorders>
              <w:left w:val="nil"/>
              <w:bottom w:val="single" w:sz="2" w:space="0" w:color="auto"/>
              <w:right w:val="nil"/>
            </w:tcBorders>
          </w:tcPr>
          <w:p w14:paraId="6A20DB88" w14:textId="77777777" w:rsidR="00837DA7" w:rsidRPr="00233EC8" w:rsidRDefault="00837DA7" w:rsidP="00353A9A">
            <w:pPr>
              <w:rPr>
                <w:rFonts w:asciiTheme="majorBidi" w:hAnsiTheme="majorBidi" w:cstheme="majorBidi"/>
                <w:sz w:val="20"/>
                <w:szCs w:val="20"/>
              </w:rPr>
            </w:pPr>
          </w:p>
        </w:tc>
        <w:tc>
          <w:tcPr>
            <w:tcW w:w="925" w:type="dxa"/>
            <w:tcBorders>
              <w:top w:val="nil"/>
              <w:left w:val="nil"/>
              <w:bottom w:val="single" w:sz="2" w:space="0" w:color="auto"/>
              <w:right w:val="nil"/>
            </w:tcBorders>
          </w:tcPr>
          <w:p w14:paraId="0992D0C5"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Mean Diff.</w:t>
            </w:r>
          </w:p>
        </w:tc>
        <w:tc>
          <w:tcPr>
            <w:tcW w:w="1168" w:type="dxa"/>
            <w:tcBorders>
              <w:top w:val="nil"/>
              <w:left w:val="nil"/>
              <w:bottom w:val="single" w:sz="2" w:space="0" w:color="auto"/>
              <w:right w:val="nil"/>
            </w:tcBorders>
          </w:tcPr>
          <w:p w14:paraId="605FB94E"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Median Diff.</w:t>
            </w:r>
          </w:p>
        </w:tc>
      </w:tr>
      <w:tr w:rsidR="00837DA7" w:rsidRPr="00233EC8" w14:paraId="1093F63D" w14:textId="77777777" w:rsidTr="00353A9A">
        <w:tc>
          <w:tcPr>
            <w:tcW w:w="9781" w:type="dxa"/>
            <w:gridSpan w:val="10"/>
            <w:tcBorders>
              <w:top w:val="single" w:sz="2" w:space="0" w:color="auto"/>
              <w:left w:val="nil"/>
              <w:bottom w:val="nil"/>
              <w:right w:val="nil"/>
            </w:tcBorders>
          </w:tcPr>
          <w:p w14:paraId="78E8A878"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b/>
                <w:bCs/>
                <w:i/>
                <w:iCs/>
                <w:sz w:val="20"/>
                <w:szCs w:val="20"/>
              </w:rPr>
              <w:t>Panel 1:  Overall HEI risk disclosure (%)</w:t>
            </w:r>
          </w:p>
        </w:tc>
      </w:tr>
      <w:tr w:rsidR="00837DA7" w:rsidRPr="00233EC8" w14:paraId="7D916457" w14:textId="77777777" w:rsidTr="00353A9A">
        <w:tc>
          <w:tcPr>
            <w:tcW w:w="1737" w:type="dxa"/>
            <w:tcBorders>
              <w:top w:val="nil"/>
              <w:left w:val="nil"/>
              <w:bottom w:val="nil"/>
              <w:right w:val="nil"/>
            </w:tcBorders>
          </w:tcPr>
          <w:p w14:paraId="175A3258"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Mean</w:t>
            </w:r>
          </w:p>
        </w:tc>
        <w:tc>
          <w:tcPr>
            <w:tcW w:w="850" w:type="dxa"/>
            <w:tcBorders>
              <w:top w:val="nil"/>
              <w:left w:val="nil"/>
              <w:bottom w:val="nil"/>
              <w:right w:val="nil"/>
            </w:tcBorders>
          </w:tcPr>
          <w:p w14:paraId="7A4A0593"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17.31</w:t>
            </w:r>
          </w:p>
        </w:tc>
        <w:tc>
          <w:tcPr>
            <w:tcW w:w="850" w:type="dxa"/>
            <w:tcBorders>
              <w:top w:val="nil"/>
              <w:left w:val="nil"/>
              <w:bottom w:val="nil"/>
              <w:right w:val="nil"/>
            </w:tcBorders>
          </w:tcPr>
          <w:p w14:paraId="04C4CDAB"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16.31</w:t>
            </w:r>
          </w:p>
        </w:tc>
        <w:tc>
          <w:tcPr>
            <w:tcW w:w="850" w:type="dxa"/>
            <w:tcBorders>
              <w:top w:val="nil"/>
              <w:left w:val="nil"/>
              <w:bottom w:val="nil"/>
              <w:right w:val="nil"/>
            </w:tcBorders>
          </w:tcPr>
          <w:p w14:paraId="0D12D6F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16.63</w:t>
            </w:r>
          </w:p>
        </w:tc>
        <w:tc>
          <w:tcPr>
            <w:tcW w:w="850" w:type="dxa"/>
            <w:tcBorders>
              <w:top w:val="nil"/>
              <w:left w:val="nil"/>
              <w:bottom w:val="nil"/>
              <w:right w:val="nil"/>
            </w:tcBorders>
          </w:tcPr>
          <w:p w14:paraId="26CC8969"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17.07</w:t>
            </w:r>
          </w:p>
        </w:tc>
        <w:tc>
          <w:tcPr>
            <w:tcW w:w="851" w:type="dxa"/>
            <w:tcBorders>
              <w:top w:val="nil"/>
              <w:left w:val="nil"/>
              <w:bottom w:val="nil"/>
              <w:right w:val="nil"/>
            </w:tcBorders>
          </w:tcPr>
          <w:p w14:paraId="0FC03AEB"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17.47</w:t>
            </w:r>
          </w:p>
        </w:tc>
        <w:tc>
          <w:tcPr>
            <w:tcW w:w="850" w:type="dxa"/>
            <w:tcBorders>
              <w:top w:val="nil"/>
              <w:left w:val="nil"/>
              <w:bottom w:val="nil"/>
              <w:right w:val="nil"/>
            </w:tcBorders>
          </w:tcPr>
          <w:p w14:paraId="5CA0FE92"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17.97</w:t>
            </w:r>
          </w:p>
        </w:tc>
        <w:tc>
          <w:tcPr>
            <w:tcW w:w="850" w:type="dxa"/>
            <w:tcBorders>
              <w:top w:val="nil"/>
              <w:left w:val="nil"/>
              <w:bottom w:val="nil"/>
              <w:right w:val="nil"/>
            </w:tcBorders>
          </w:tcPr>
          <w:p w14:paraId="2752FF88"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18.41</w:t>
            </w:r>
          </w:p>
        </w:tc>
        <w:tc>
          <w:tcPr>
            <w:tcW w:w="925" w:type="dxa"/>
            <w:tcBorders>
              <w:top w:val="nil"/>
              <w:left w:val="nil"/>
              <w:bottom w:val="nil"/>
              <w:right w:val="nil"/>
            </w:tcBorders>
          </w:tcPr>
          <w:p w14:paraId="3621CBBD" w14:textId="77777777" w:rsidR="00837DA7" w:rsidRPr="00233EC8" w:rsidRDefault="00837DA7" w:rsidP="00353A9A">
            <w:pPr>
              <w:rPr>
                <w:rFonts w:asciiTheme="majorBidi" w:hAnsiTheme="majorBidi" w:cstheme="majorBidi"/>
                <w:sz w:val="20"/>
                <w:szCs w:val="20"/>
                <w:vertAlign w:val="superscript"/>
              </w:rPr>
            </w:pPr>
            <w:r w:rsidRPr="00233EC8">
              <w:rPr>
                <w:rFonts w:asciiTheme="majorBidi" w:hAnsiTheme="majorBidi" w:cstheme="majorBidi"/>
                <w:sz w:val="20"/>
                <w:szCs w:val="20"/>
              </w:rPr>
              <w:t>1.80</w:t>
            </w:r>
            <w:r w:rsidRPr="00233EC8">
              <w:rPr>
                <w:rFonts w:asciiTheme="majorBidi" w:hAnsiTheme="majorBidi" w:cstheme="majorBidi"/>
                <w:sz w:val="20"/>
                <w:szCs w:val="20"/>
                <w:vertAlign w:val="superscript"/>
              </w:rPr>
              <w:t>***</w:t>
            </w:r>
          </w:p>
        </w:tc>
        <w:tc>
          <w:tcPr>
            <w:tcW w:w="1168" w:type="dxa"/>
            <w:tcBorders>
              <w:top w:val="nil"/>
              <w:left w:val="nil"/>
              <w:bottom w:val="nil"/>
              <w:right w:val="nil"/>
            </w:tcBorders>
          </w:tcPr>
          <w:p w14:paraId="4991E880"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tr w:rsidR="00837DA7" w:rsidRPr="00233EC8" w14:paraId="5EDCD11C" w14:textId="77777777" w:rsidTr="00353A9A">
        <w:tc>
          <w:tcPr>
            <w:tcW w:w="1737" w:type="dxa"/>
            <w:tcBorders>
              <w:top w:val="nil"/>
              <w:left w:val="nil"/>
              <w:bottom w:val="nil"/>
              <w:right w:val="nil"/>
            </w:tcBorders>
          </w:tcPr>
          <w:p w14:paraId="4DC368BF"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 xml:space="preserve">Median </w:t>
            </w:r>
          </w:p>
        </w:tc>
        <w:tc>
          <w:tcPr>
            <w:tcW w:w="850" w:type="dxa"/>
            <w:tcBorders>
              <w:top w:val="nil"/>
              <w:left w:val="nil"/>
              <w:bottom w:val="nil"/>
              <w:right w:val="nil"/>
            </w:tcBorders>
          </w:tcPr>
          <w:p w14:paraId="5C964D10"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16.80</w:t>
            </w:r>
          </w:p>
        </w:tc>
        <w:tc>
          <w:tcPr>
            <w:tcW w:w="850" w:type="dxa"/>
            <w:tcBorders>
              <w:top w:val="nil"/>
              <w:left w:val="nil"/>
              <w:bottom w:val="nil"/>
              <w:right w:val="nil"/>
            </w:tcBorders>
          </w:tcPr>
          <w:p w14:paraId="0D174B50"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16.01</w:t>
            </w:r>
          </w:p>
        </w:tc>
        <w:tc>
          <w:tcPr>
            <w:tcW w:w="850" w:type="dxa"/>
            <w:tcBorders>
              <w:top w:val="nil"/>
              <w:left w:val="nil"/>
              <w:bottom w:val="nil"/>
              <w:right w:val="nil"/>
            </w:tcBorders>
          </w:tcPr>
          <w:p w14:paraId="51B0F023"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16.54</w:t>
            </w:r>
          </w:p>
        </w:tc>
        <w:tc>
          <w:tcPr>
            <w:tcW w:w="850" w:type="dxa"/>
            <w:tcBorders>
              <w:top w:val="nil"/>
              <w:left w:val="nil"/>
              <w:bottom w:val="nil"/>
              <w:right w:val="nil"/>
            </w:tcBorders>
          </w:tcPr>
          <w:p w14:paraId="0BF951C6"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16.67</w:t>
            </w:r>
          </w:p>
        </w:tc>
        <w:tc>
          <w:tcPr>
            <w:tcW w:w="851" w:type="dxa"/>
            <w:tcBorders>
              <w:top w:val="nil"/>
              <w:left w:val="nil"/>
              <w:bottom w:val="nil"/>
              <w:right w:val="nil"/>
            </w:tcBorders>
          </w:tcPr>
          <w:p w14:paraId="76C2D159"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17.06</w:t>
            </w:r>
          </w:p>
        </w:tc>
        <w:tc>
          <w:tcPr>
            <w:tcW w:w="850" w:type="dxa"/>
            <w:tcBorders>
              <w:top w:val="nil"/>
              <w:left w:val="nil"/>
              <w:bottom w:val="nil"/>
              <w:right w:val="nil"/>
            </w:tcBorders>
          </w:tcPr>
          <w:p w14:paraId="2AE63AEB"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17.19</w:t>
            </w:r>
          </w:p>
        </w:tc>
        <w:tc>
          <w:tcPr>
            <w:tcW w:w="850" w:type="dxa"/>
            <w:tcBorders>
              <w:top w:val="nil"/>
              <w:left w:val="nil"/>
              <w:bottom w:val="nil"/>
              <w:right w:val="nil"/>
            </w:tcBorders>
          </w:tcPr>
          <w:p w14:paraId="5D6F1F50"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17.98</w:t>
            </w:r>
          </w:p>
        </w:tc>
        <w:tc>
          <w:tcPr>
            <w:tcW w:w="925" w:type="dxa"/>
            <w:tcBorders>
              <w:top w:val="nil"/>
              <w:left w:val="nil"/>
              <w:bottom w:val="nil"/>
              <w:right w:val="nil"/>
            </w:tcBorders>
          </w:tcPr>
          <w:p w14:paraId="0B112704"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68" w:type="dxa"/>
            <w:tcBorders>
              <w:top w:val="nil"/>
              <w:left w:val="nil"/>
              <w:bottom w:val="nil"/>
              <w:right w:val="nil"/>
            </w:tcBorders>
          </w:tcPr>
          <w:p w14:paraId="2C128DF6" w14:textId="77777777" w:rsidR="00837DA7" w:rsidRPr="00233EC8" w:rsidRDefault="00837DA7" w:rsidP="00353A9A">
            <w:pPr>
              <w:rPr>
                <w:rFonts w:asciiTheme="majorBidi" w:hAnsiTheme="majorBidi" w:cstheme="majorBidi"/>
                <w:sz w:val="20"/>
                <w:szCs w:val="20"/>
                <w:vertAlign w:val="superscript"/>
              </w:rPr>
            </w:pPr>
            <w:r w:rsidRPr="00233EC8">
              <w:rPr>
                <w:rFonts w:asciiTheme="majorBidi" w:hAnsiTheme="majorBidi" w:cstheme="majorBidi"/>
                <w:sz w:val="20"/>
                <w:szCs w:val="20"/>
              </w:rPr>
              <w:t>1.71</w:t>
            </w:r>
            <w:r w:rsidRPr="00233EC8">
              <w:rPr>
                <w:rFonts w:asciiTheme="majorBidi" w:hAnsiTheme="majorBidi" w:cstheme="majorBidi"/>
                <w:sz w:val="20"/>
                <w:szCs w:val="20"/>
                <w:vertAlign w:val="superscript"/>
              </w:rPr>
              <w:t>***</w:t>
            </w:r>
          </w:p>
        </w:tc>
      </w:tr>
      <w:tr w:rsidR="00837DA7" w:rsidRPr="00233EC8" w14:paraId="2A0CE44B" w14:textId="77777777" w:rsidTr="00353A9A">
        <w:tc>
          <w:tcPr>
            <w:tcW w:w="1737" w:type="dxa"/>
            <w:tcBorders>
              <w:top w:val="nil"/>
              <w:left w:val="nil"/>
              <w:bottom w:val="nil"/>
              <w:right w:val="nil"/>
            </w:tcBorders>
          </w:tcPr>
          <w:p w14:paraId="584F0898"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STD</w:t>
            </w:r>
          </w:p>
        </w:tc>
        <w:tc>
          <w:tcPr>
            <w:tcW w:w="850" w:type="dxa"/>
            <w:tcBorders>
              <w:top w:val="nil"/>
              <w:left w:val="nil"/>
              <w:bottom w:val="nil"/>
              <w:right w:val="nil"/>
            </w:tcBorders>
          </w:tcPr>
          <w:p w14:paraId="6B099EDC"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4.89</w:t>
            </w:r>
          </w:p>
        </w:tc>
        <w:tc>
          <w:tcPr>
            <w:tcW w:w="850" w:type="dxa"/>
            <w:tcBorders>
              <w:top w:val="nil"/>
              <w:left w:val="nil"/>
              <w:bottom w:val="nil"/>
              <w:right w:val="nil"/>
            </w:tcBorders>
          </w:tcPr>
          <w:p w14:paraId="6B20507C"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4.62</w:t>
            </w:r>
          </w:p>
        </w:tc>
        <w:tc>
          <w:tcPr>
            <w:tcW w:w="850" w:type="dxa"/>
            <w:tcBorders>
              <w:top w:val="nil"/>
              <w:left w:val="nil"/>
              <w:bottom w:val="nil"/>
              <w:right w:val="nil"/>
            </w:tcBorders>
          </w:tcPr>
          <w:p w14:paraId="51BC9AE9"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4.73</w:t>
            </w:r>
          </w:p>
        </w:tc>
        <w:tc>
          <w:tcPr>
            <w:tcW w:w="850" w:type="dxa"/>
            <w:tcBorders>
              <w:top w:val="nil"/>
              <w:left w:val="nil"/>
              <w:bottom w:val="nil"/>
              <w:right w:val="nil"/>
            </w:tcBorders>
          </w:tcPr>
          <w:p w14:paraId="4B8FABD8"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4.73</w:t>
            </w:r>
          </w:p>
        </w:tc>
        <w:tc>
          <w:tcPr>
            <w:tcW w:w="851" w:type="dxa"/>
            <w:tcBorders>
              <w:top w:val="nil"/>
              <w:left w:val="nil"/>
              <w:bottom w:val="nil"/>
              <w:right w:val="nil"/>
            </w:tcBorders>
          </w:tcPr>
          <w:p w14:paraId="61C05715"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4.87</w:t>
            </w:r>
          </w:p>
        </w:tc>
        <w:tc>
          <w:tcPr>
            <w:tcW w:w="850" w:type="dxa"/>
            <w:tcBorders>
              <w:top w:val="nil"/>
              <w:left w:val="nil"/>
              <w:bottom w:val="nil"/>
              <w:right w:val="nil"/>
            </w:tcBorders>
          </w:tcPr>
          <w:p w14:paraId="2AD9A3C3"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5.11</w:t>
            </w:r>
          </w:p>
        </w:tc>
        <w:tc>
          <w:tcPr>
            <w:tcW w:w="850" w:type="dxa"/>
            <w:tcBorders>
              <w:top w:val="nil"/>
              <w:left w:val="nil"/>
              <w:bottom w:val="nil"/>
              <w:right w:val="nil"/>
            </w:tcBorders>
          </w:tcPr>
          <w:p w14:paraId="7A6C2F3A"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5.06</w:t>
            </w:r>
          </w:p>
        </w:tc>
        <w:tc>
          <w:tcPr>
            <w:tcW w:w="925" w:type="dxa"/>
            <w:tcBorders>
              <w:top w:val="nil"/>
              <w:left w:val="nil"/>
              <w:bottom w:val="nil"/>
              <w:right w:val="nil"/>
            </w:tcBorders>
          </w:tcPr>
          <w:p w14:paraId="235CB789"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68" w:type="dxa"/>
            <w:tcBorders>
              <w:top w:val="nil"/>
              <w:left w:val="nil"/>
              <w:bottom w:val="nil"/>
              <w:right w:val="nil"/>
            </w:tcBorders>
          </w:tcPr>
          <w:p w14:paraId="36F9D92A"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tr w:rsidR="00837DA7" w:rsidRPr="00233EC8" w14:paraId="05CF14A5" w14:textId="77777777" w:rsidTr="00353A9A">
        <w:tc>
          <w:tcPr>
            <w:tcW w:w="1737" w:type="dxa"/>
            <w:tcBorders>
              <w:top w:val="nil"/>
              <w:left w:val="nil"/>
              <w:bottom w:val="nil"/>
              <w:right w:val="nil"/>
            </w:tcBorders>
          </w:tcPr>
          <w:p w14:paraId="4B9EE863"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Minimum</w:t>
            </w:r>
          </w:p>
        </w:tc>
        <w:tc>
          <w:tcPr>
            <w:tcW w:w="850" w:type="dxa"/>
            <w:tcBorders>
              <w:top w:val="nil"/>
              <w:left w:val="nil"/>
              <w:bottom w:val="nil"/>
              <w:right w:val="nil"/>
            </w:tcBorders>
          </w:tcPr>
          <w:p w14:paraId="2A460152"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6.96</w:t>
            </w:r>
          </w:p>
        </w:tc>
        <w:tc>
          <w:tcPr>
            <w:tcW w:w="850" w:type="dxa"/>
            <w:tcBorders>
              <w:top w:val="nil"/>
              <w:left w:val="nil"/>
              <w:bottom w:val="nil"/>
              <w:right w:val="nil"/>
            </w:tcBorders>
          </w:tcPr>
          <w:p w14:paraId="5AAD7B15"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7.22</w:t>
            </w:r>
          </w:p>
        </w:tc>
        <w:tc>
          <w:tcPr>
            <w:tcW w:w="850" w:type="dxa"/>
            <w:tcBorders>
              <w:top w:val="nil"/>
              <w:left w:val="nil"/>
              <w:bottom w:val="nil"/>
              <w:right w:val="nil"/>
            </w:tcBorders>
          </w:tcPr>
          <w:p w14:paraId="4C57BBBB"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6.96</w:t>
            </w:r>
          </w:p>
        </w:tc>
        <w:tc>
          <w:tcPr>
            <w:tcW w:w="850" w:type="dxa"/>
            <w:tcBorders>
              <w:top w:val="nil"/>
              <w:left w:val="nil"/>
              <w:bottom w:val="nil"/>
              <w:right w:val="nil"/>
            </w:tcBorders>
          </w:tcPr>
          <w:p w14:paraId="5CC9CC60"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7.87</w:t>
            </w:r>
          </w:p>
        </w:tc>
        <w:tc>
          <w:tcPr>
            <w:tcW w:w="851" w:type="dxa"/>
            <w:tcBorders>
              <w:top w:val="nil"/>
              <w:left w:val="nil"/>
              <w:bottom w:val="nil"/>
              <w:right w:val="nil"/>
            </w:tcBorders>
          </w:tcPr>
          <w:p w14:paraId="44B257B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8.53</w:t>
            </w:r>
          </w:p>
        </w:tc>
        <w:tc>
          <w:tcPr>
            <w:tcW w:w="850" w:type="dxa"/>
            <w:tcBorders>
              <w:top w:val="nil"/>
              <w:left w:val="nil"/>
              <w:bottom w:val="nil"/>
              <w:right w:val="nil"/>
            </w:tcBorders>
          </w:tcPr>
          <w:p w14:paraId="08DCD7D6"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8.79</w:t>
            </w:r>
          </w:p>
        </w:tc>
        <w:tc>
          <w:tcPr>
            <w:tcW w:w="850" w:type="dxa"/>
            <w:tcBorders>
              <w:top w:val="nil"/>
              <w:left w:val="nil"/>
              <w:bottom w:val="nil"/>
              <w:right w:val="nil"/>
            </w:tcBorders>
          </w:tcPr>
          <w:p w14:paraId="1B50EEFB"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8.53</w:t>
            </w:r>
          </w:p>
        </w:tc>
        <w:tc>
          <w:tcPr>
            <w:tcW w:w="925" w:type="dxa"/>
            <w:tcBorders>
              <w:top w:val="nil"/>
              <w:left w:val="nil"/>
              <w:bottom w:val="nil"/>
              <w:right w:val="nil"/>
            </w:tcBorders>
          </w:tcPr>
          <w:p w14:paraId="0AECDC8B"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68" w:type="dxa"/>
            <w:tcBorders>
              <w:top w:val="nil"/>
              <w:left w:val="nil"/>
              <w:bottom w:val="nil"/>
              <w:right w:val="nil"/>
            </w:tcBorders>
          </w:tcPr>
          <w:p w14:paraId="3BD56D4E"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tr w:rsidR="00837DA7" w:rsidRPr="00233EC8" w14:paraId="5F93361A" w14:textId="77777777" w:rsidTr="00353A9A">
        <w:tc>
          <w:tcPr>
            <w:tcW w:w="1737" w:type="dxa"/>
            <w:tcBorders>
              <w:top w:val="nil"/>
              <w:left w:val="nil"/>
              <w:bottom w:val="nil"/>
              <w:right w:val="nil"/>
            </w:tcBorders>
          </w:tcPr>
          <w:p w14:paraId="7457A01B"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Maximum</w:t>
            </w:r>
          </w:p>
        </w:tc>
        <w:tc>
          <w:tcPr>
            <w:tcW w:w="850" w:type="dxa"/>
            <w:tcBorders>
              <w:top w:val="nil"/>
              <w:left w:val="nil"/>
              <w:bottom w:val="nil"/>
              <w:right w:val="nil"/>
            </w:tcBorders>
          </w:tcPr>
          <w:p w14:paraId="60A6256A"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31.76</w:t>
            </w:r>
          </w:p>
        </w:tc>
        <w:tc>
          <w:tcPr>
            <w:tcW w:w="850" w:type="dxa"/>
            <w:tcBorders>
              <w:top w:val="nil"/>
              <w:left w:val="nil"/>
              <w:bottom w:val="nil"/>
              <w:right w:val="nil"/>
            </w:tcBorders>
          </w:tcPr>
          <w:p w14:paraId="60F64C37"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27.03</w:t>
            </w:r>
          </w:p>
        </w:tc>
        <w:tc>
          <w:tcPr>
            <w:tcW w:w="850" w:type="dxa"/>
            <w:tcBorders>
              <w:top w:val="nil"/>
              <w:left w:val="nil"/>
              <w:bottom w:val="nil"/>
              <w:right w:val="nil"/>
            </w:tcBorders>
          </w:tcPr>
          <w:p w14:paraId="63D6CBB8"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28.22</w:t>
            </w:r>
          </w:p>
        </w:tc>
        <w:tc>
          <w:tcPr>
            <w:tcW w:w="850" w:type="dxa"/>
            <w:tcBorders>
              <w:top w:val="nil"/>
              <w:left w:val="nil"/>
              <w:bottom w:val="nil"/>
              <w:right w:val="nil"/>
            </w:tcBorders>
          </w:tcPr>
          <w:p w14:paraId="425247B5"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28.08</w:t>
            </w:r>
          </w:p>
        </w:tc>
        <w:tc>
          <w:tcPr>
            <w:tcW w:w="851" w:type="dxa"/>
            <w:tcBorders>
              <w:top w:val="nil"/>
              <w:left w:val="nil"/>
              <w:bottom w:val="nil"/>
              <w:right w:val="nil"/>
            </w:tcBorders>
          </w:tcPr>
          <w:p w14:paraId="6995B9E0"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27.95</w:t>
            </w:r>
          </w:p>
        </w:tc>
        <w:tc>
          <w:tcPr>
            <w:tcW w:w="850" w:type="dxa"/>
            <w:tcBorders>
              <w:top w:val="nil"/>
              <w:left w:val="nil"/>
              <w:bottom w:val="nil"/>
              <w:right w:val="nil"/>
            </w:tcBorders>
          </w:tcPr>
          <w:p w14:paraId="3008BF63"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31.63</w:t>
            </w:r>
          </w:p>
        </w:tc>
        <w:tc>
          <w:tcPr>
            <w:tcW w:w="850" w:type="dxa"/>
            <w:tcBorders>
              <w:top w:val="nil"/>
              <w:left w:val="nil"/>
              <w:bottom w:val="nil"/>
              <w:right w:val="nil"/>
            </w:tcBorders>
          </w:tcPr>
          <w:p w14:paraId="5AA2F9DA"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31.76</w:t>
            </w:r>
          </w:p>
        </w:tc>
        <w:tc>
          <w:tcPr>
            <w:tcW w:w="925" w:type="dxa"/>
            <w:tcBorders>
              <w:top w:val="nil"/>
              <w:left w:val="nil"/>
              <w:bottom w:val="nil"/>
              <w:right w:val="nil"/>
            </w:tcBorders>
          </w:tcPr>
          <w:p w14:paraId="39580593"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68" w:type="dxa"/>
            <w:tcBorders>
              <w:top w:val="nil"/>
              <w:left w:val="nil"/>
              <w:bottom w:val="nil"/>
              <w:right w:val="nil"/>
            </w:tcBorders>
          </w:tcPr>
          <w:p w14:paraId="00DAA908"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tr w:rsidR="00837DA7" w:rsidRPr="00233EC8" w14:paraId="7122A955" w14:textId="77777777" w:rsidTr="00353A9A">
        <w:tc>
          <w:tcPr>
            <w:tcW w:w="9781" w:type="dxa"/>
            <w:gridSpan w:val="10"/>
            <w:tcBorders>
              <w:top w:val="nil"/>
              <w:left w:val="nil"/>
              <w:bottom w:val="nil"/>
              <w:right w:val="nil"/>
            </w:tcBorders>
          </w:tcPr>
          <w:p w14:paraId="2D8F650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b/>
                <w:bCs/>
                <w:i/>
                <w:iCs/>
                <w:sz w:val="20"/>
                <w:szCs w:val="20"/>
              </w:rPr>
              <w:t>Panel 2: Financial risk sub-index (%)</w:t>
            </w:r>
          </w:p>
        </w:tc>
      </w:tr>
      <w:tr w:rsidR="00837DA7" w:rsidRPr="00233EC8" w14:paraId="3CB53E07" w14:textId="77777777" w:rsidTr="00353A9A">
        <w:tc>
          <w:tcPr>
            <w:tcW w:w="1737" w:type="dxa"/>
            <w:tcBorders>
              <w:top w:val="nil"/>
              <w:left w:val="nil"/>
              <w:bottom w:val="nil"/>
              <w:right w:val="nil"/>
            </w:tcBorders>
          </w:tcPr>
          <w:p w14:paraId="59C71724"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Mean</w:t>
            </w:r>
          </w:p>
        </w:tc>
        <w:tc>
          <w:tcPr>
            <w:tcW w:w="850" w:type="dxa"/>
            <w:tcBorders>
              <w:top w:val="nil"/>
              <w:left w:val="nil"/>
              <w:bottom w:val="nil"/>
              <w:right w:val="nil"/>
            </w:tcBorders>
          </w:tcPr>
          <w:p w14:paraId="45CFA442"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30.83</w:t>
            </w:r>
          </w:p>
        </w:tc>
        <w:tc>
          <w:tcPr>
            <w:tcW w:w="850" w:type="dxa"/>
            <w:tcBorders>
              <w:top w:val="nil"/>
              <w:left w:val="nil"/>
              <w:bottom w:val="nil"/>
              <w:right w:val="nil"/>
            </w:tcBorders>
          </w:tcPr>
          <w:p w14:paraId="49DD4C32"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29.81</w:t>
            </w:r>
          </w:p>
        </w:tc>
        <w:tc>
          <w:tcPr>
            <w:tcW w:w="850" w:type="dxa"/>
            <w:tcBorders>
              <w:top w:val="nil"/>
              <w:left w:val="nil"/>
              <w:bottom w:val="nil"/>
              <w:right w:val="nil"/>
            </w:tcBorders>
          </w:tcPr>
          <w:p w14:paraId="49C0FA4C"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30.28</w:t>
            </w:r>
          </w:p>
        </w:tc>
        <w:tc>
          <w:tcPr>
            <w:tcW w:w="850" w:type="dxa"/>
            <w:tcBorders>
              <w:top w:val="nil"/>
              <w:left w:val="nil"/>
              <w:bottom w:val="nil"/>
              <w:right w:val="nil"/>
            </w:tcBorders>
          </w:tcPr>
          <w:p w14:paraId="0B4F112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30.69</w:t>
            </w:r>
          </w:p>
        </w:tc>
        <w:tc>
          <w:tcPr>
            <w:tcW w:w="851" w:type="dxa"/>
            <w:tcBorders>
              <w:top w:val="nil"/>
              <w:left w:val="nil"/>
              <w:bottom w:val="nil"/>
              <w:right w:val="nil"/>
            </w:tcBorders>
          </w:tcPr>
          <w:p w14:paraId="73529D79"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31.02</w:t>
            </w:r>
          </w:p>
        </w:tc>
        <w:tc>
          <w:tcPr>
            <w:tcW w:w="850" w:type="dxa"/>
            <w:tcBorders>
              <w:top w:val="nil"/>
              <w:left w:val="nil"/>
              <w:bottom w:val="nil"/>
              <w:right w:val="nil"/>
            </w:tcBorders>
          </w:tcPr>
          <w:p w14:paraId="437018A7"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31.50</w:t>
            </w:r>
          </w:p>
        </w:tc>
        <w:tc>
          <w:tcPr>
            <w:tcW w:w="850" w:type="dxa"/>
            <w:tcBorders>
              <w:top w:val="nil"/>
              <w:left w:val="nil"/>
              <w:bottom w:val="nil"/>
              <w:right w:val="nil"/>
            </w:tcBorders>
          </w:tcPr>
          <w:p w14:paraId="3E6E9583"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31.69</w:t>
            </w:r>
          </w:p>
        </w:tc>
        <w:tc>
          <w:tcPr>
            <w:tcW w:w="925" w:type="dxa"/>
            <w:tcBorders>
              <w:top w:val="nil"/>
              <w:left w:val="nil"/>
              <w:bottom w:val="nil"/>
              <w:right w:val="nil"/>
            </w:tcBorders>
          </w:tcPr>
          <w:p w14:paraId="336A8A13" w14:textId="77777777" w:rsidR="00837DA7" w:rsidRPr="00233EC8" w:rsidRDefault="00837DA7" w:rsidP="00353A9A">
            <w:pPr>
              <w:rPr>
                <w:rFonts w:asciiTheme="majorBidi" w:hAnsiTheme="majorBidi" w:cstheme="majorBidi"/>
                <w:sz w:val="20"/>
                <w:szCs w:val="20"/>
                <w:vertAlign w:val="superscript"/>
              </w:rPr>
            </w:pPr>
            <w:r w:rsidRPr="00233EC8">
              <w:rPr>
                <w:rFonts w:asciiTheme="majorBidi" w:hAnsiTheme="majorBidi" w:cstheme="majorBidi"/>
                <w:sz w:val="20"/>
                <w:szCs w:val="20"/>
              </w:rPr>
              <w:t>3.60</w:t>
            </w:r>
            <w:r w:rsidRPr="00233EC8">
              <w:rPr>
                <w:rFonts w:asciiTheme="majorBidi" w:hAnsiTheme="majorBidi" w:cstheme="majorBidi"/>
                <w:sz w:val="20"/>
                <w:szCs w:val="20"/>
                <w:vertAlign w:val="superscript"/>
              </w:rPr>
              <w:t>***</w:t>
            </w:r>
          </w:p>
        </w:tc>
        <w:tc>
          <w:tcPr>
            <w:tcW w:w="1168" w:type="dxa"/>
            <w:tcBorders>
              <w:top w:val="nil"/>
              <w:left w:val="nil"/>
              <w:bottom w:val="nil"/>
              <w:right w:val="nil"/>
            </w:tcBorders>
          </w:tcPr>
          <w:p w14:paraId="193FB952"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tr w:rsidR="00837DA7" w:rsidRPr="00233EC8" w14:paraId="33731C44" w14:textId="77777777" w:rsidTr="00353A9A">
        <w:tc>
          <w:tcPr>
            <w:tcW w:w="1737" w:type="dxa"/>
            <w:tcBorders>
              <w:top w:val="nil"/>
              <w:left w:val="nil"/>
              <w:bottom w:val="nil"/>
              <w:right w:val="nil"/>
            </w:tcBorders>
          </w:tcPr>
          <w:p w14:paraId="10197813"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 xml:space="preserve">Median </w:t>
            </w:r>
          </w:p>
        </w:tc>
        <w:tc>
          <w:tcPr>
            <w:tcW w:w="850" w:type="dxa"/>
            <w:tcBorders>
              <w:top w:val="nil"/>
              <w:left w:val="nil"/>
              <w:bottom w:val="nil"/>
              <w:right w:val="nil"/>
            </w:tcBorders>
          </w:tcPr>
          <w:p w14:paraId="3C202919"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31.61</w:t>
            </w:r>
          </w:p>
        </w:tc>
        <w:tc>
          <w:tcPr>
            <w:tcW w:w="850" w:type="dxa"/>
            <w:tcBorders>
              <w:top w:val="nil"/>
              <w:left w:val="nil"/>
              <w:bottom w:val="nil"/>
              <w:right w:val="nil"/>
            </w:tcBorders>
          </w:tcPr>
          <w:p w14:paraId="38D586C3"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30.46</w:t>
            </w:r>
          </w:p>
        </w:tc>
        <w:tc>
          <w:tcPr>
            <w:tcW w:w="850" w:type="dxa"/>
            <w:tcBorders>
              <w:top w:val="nil"/>
              <w:left w:val="nil"/>
              <w:bottom w:val="nil"/>
              <w:right w:val="nil"/>
            </w:tcBorders>
          </w:tcPr>
          <w:p w14:paraId="729FC925"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31.03</w:t>
            </w:r>
          </w:p>
        </w:tc>
        <w:tc>
          <w:tcPr>
            <w:tcW w:w="850" w:type="dxa"/>
            <w:tcBorders>
              <w:top w:val="nil"/>
              <w:left w:val="nil"/>
              <w:bottom w:val="nil"/>
              <w:right w:val="nil"/>
            </w:tcBorders>
          </w:tcPr>
          <w:p w14:paraId="76F47644"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31.61</w:t>
            </w:r>
          </w:p>
        </w:tc>
        <w:tc>
          <w:tcPr>
            <w:tcW w:w="851" w:type="dxa"/>
            <w:tcBorders>
              <w:top w:val="nil"/>
              <w:left w:val="nil"/>
              <w:bottom w:val="nil"/>
              <w:right w:val="nil"/>
            </w:tcBorders>
          </w:tcPr>
          <w:p w14:paraId="1B6A0937"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31.61</w:t>
            </w:r>
          </w:p>
        </w:tc>
        <w:tc>
          <w:tcPr>
            <w:tcW w:w="850" w:type="dxa"/>
            <w:tcBorders>
              <w:top w:val="nil"/>
              <w:left w:val="nil"/>
              <w:bottom w:val="nil"/>
              <w:right w:val="nil"/>
            </w:tcBorders>
          </w:tcPr>
          <w:p w14:paraId="4DF035DB"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32.18</w:t>
            </w:r>
          </w:p>
        </w:tc>
        <w:tc>
          <w:tcPr>
            <w:tcW w:w="850" w:type="dxa"/>
            <w:tcBorders>
              <w:top w:val="nil"/>
              <w:left w:val="nil"/>
              <w:bottom w:val="nil"/>
              <w:right w:val="nil"/>
            </w:tcBorders>
          </w:tcPr>
          <w:p w14:paraId="134EF937"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32.76</w:t>
            </w:r>
          </w:p>
        </w:tc>
        <w:tc>
          <w:tcPr>
            <w:tcW w:w="925" w:type="dxa"/>
            <w:tcBorders>
              <w:top w:val="nil"/>
              <w:left w:val="nil"/>
              <w:bottom w:val="nil"/>
              <w:right w:val="nil"/>
            </w:tcBorders>
          </w:tcPr>
          <w:p w14:paraId="57BB609C"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68" w:type="dxa"/>
            <w:tcBorders>
              <w:top w:val="nil"/>
              <w:left w:val="nil"/>
              <w:bottom w:val="nil"/>
              <w:right w:val="nil"/>
            </w:tcBorders>
          </w:tcPr>
          <w:p w14:paraId="4A763243" w14:textId="77777777" w:rsidR="00837DA7" w:rsidRPr="00233EC8" w:rsidRDefault="00837DA7" w:rsidP="00353A9A">
            <w:pPr>
              <w:rPr>
                <w:rFonts w:asciiTheme="majorBidi" w:hAnsiTheme="majorBidi" w:cstheme="majorBidi"/>
                <w:sz w:val="20"/>
                <w:szCs w:val="20"/>
                <w:vertAlign w:val="superscript"/>
              </w:rPr>
            </w:pPr>
            <w:r w:rsidRPr="00233EC8">
              <w:rPr>
                <w:rFonts w:asciiTheme="majorBidi" w:hAnsiTheme="majorBidi" w:cstheme="majorBidi"/>
                <w:sz w:val="20"/>
                <w:szCs w:val="20"/>
              </w:rPr>
              <w:t>4.02</w:t>
            </w:r>
            <w:r w:rsidRPr="00233EC8">
              <w:rPr>
                <w:rFonts w:asciiTheme="majorBidi" w:hAnsiTheme="majorBidi" w:cstheme="majorBidi"/>
                <w:sz w:val="20"/>
                <w:szCs w:val="20"/>
                <w:vertAlign w:val="superscript"/>
              </w:rPr>
              <w:t>***</w:t>
            </w:r>
          </w:p>
        </w:tc>
      </w:tr>
      <w:tr w:rsidR="00837DA7" w:rsidRPr="00233EC8" w14:paraId="7514FC13" w14:textId="77777777" w:rsidTr="00353A9A">
        <w:tc>
          <w:tcPr>
            <w:tcW w:w="1737" w:type="dxa"/>
            <w:tcBorders>
              <w:top w:val="nil"/>
              <w:left w:val="nil"/>
              <w:bottom w:val="nil"/>
              <w:right w:val="nil"/>
            </w:tcBorders>
          </w:tcPr>
          <w:p w14:paraId="6210341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STD</w:t>
            </w:r>
          </w:p>
        </w:tc>
        <w:tc>
          <w:tcPr>
            <w:tcW w:w="850" w:type="dxa"/>
            <w:tcBorders>
              <w:top w:val="nil"/>
              <w:left w:val="nil"/>
              <w:bottom w:val="nil"/>
              <w:right w:val="nil"/>
            </w:tcBorders>
          </w:tcPr>
          <w:p w14:paraId="22AA6870"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6.35</w:t>
            </w:r>
          </w:p>
        </w:tc>
        <w:tc>
          <w:tcPr>
            <w:tcW w:w="850" w:type="dxa"/>
            <w:tcBorders>
              <w:top w:val="nil"/>
              <w:left w:val="nil"/>
              <w:bottom w:val="nil"/>
              <w:right w:val="nil"/>
            </w:tcBorders>
          </w:tcPr>
          <w:p w14:paraId="7E75589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6.24</w:t>
            </w:r>
          </w:p>
        </w:tc>
        <w:tc>
          <w:tcPr>
            <w:tcW w:w="850" w:type="dxa"/>
            <w:tcBorders>
              <w:top w:val="nil"/>
              <w:left w:val="nil"/>
              <w:bottom w:val="nil"/>
              <w:right w:val="nil"/>
            </w:tcBorders>
          </w:tcPr>
          <w:p w14:paraId="76D58D9F"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6.32</w:t>
            </w:r>
          </w:p>
        </w:tc>
        <w:tc>
          <w:tcPr>
            <w:tcW w:w="850" w:type="dxa"/>
            <w:tcBorders>
              <w:top w:val="nil"/>
              <w:left w:val="nil"/>
              <w:bottom w:val="nil"/>
              <w:right w:val="nil"/>
            </w:tcBorders>
          </w:tcPr>
          <w:p w14:paraId="79A70013"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6.21</w:t>
            </w:r>
          </w:p>
        </w:tc>
        <w:tc>
          <w:tcPr>
            <w:tcW w:w="851" w:type="dxa"/>
            <w:tcBorders>
              <w:top w:val="nil"/>
              <w:left w:val="nil"/>
              <w:bottom w:val="nil"/>
              <w:right w:val="nil"/>
            </w:tcBorders>
          </w:tcPr>
          <w:p w14:paraId="16BAC7B9"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6.29</w:t>
            </w:r>
          </w:p>
        </w:tc>
        <w:tc>
          <w:tcPr>
            <w:tcW w:w="850" w:type="dxa"/>
            <w:tcBorders>
              <w:top w:val="nil"/>
              <w:left w:val="nil"/>
              <w:bottom w:val="nil"/>
              <w:right w:val="nil"/>
            </w:tcBorders>
          </w:tcPr>
          <w:p w14:paraId="168CD090"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6.48</w:t>
            </w:r>
          </w:p>
        </w:tc>
        <w:tc>
          <w:tcPr>
            <w:tcW w:w="850" w:type="dxa"/>
            <w:tcBorders>
              <w:top w:val="nil"/>
              <w:left w:val="nil"/>
              <w:bottom w:val="nil"/>
              <w:right w:val="nil"/>
            </w:tcBorders>
          </w:tcPr>
          <w:p w14:paraId="3329DB50"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6.50</w:t>
            </w:r>
          </w:p>
        </w:tc>
        <w:tc>
          <w:tcPr>
            <w:tcW w:w="925" w:type="dxa"/>
            <w:tcBorders>
              <w:top w:val="nil"/>
              <w:left w:val="nil"/>
              <w:bottom w:val="nil"/>
              <w:right w:val="nil"/>
            </w:tcBorders>
          </w:tcPr>
          <w:p w14:paraId="67CF4BF9"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68" w:type="dxa"/>
            <w:tcBorders>
              <w:top w:val="nil"/>
              <w:left w:val="nil"/>
              <w:bottom w:val="nil"/>
              <w:right w:val="nil"/>
            </w:tcBorders>
          </w:tcPr>
          <w:p w14:paraId="16A28D57"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tr w:rsidR="00837DA7" w:rsidRPr="00233EC8" w14:paraId="6FF3A5B7" w14:textId="77777777" w:rsidTr="00353A9A">
        <w:tc>
          <w:tcPr>
            <w:tcW w:w="1737" w:type="dxa"/>
            <w:tcBorders>
              <w:top w:val="nil"/>
              <w:left w:val="nil"/>
              <w:bottom w:val="nil"/>
              <w:right w:val="nil"/>
            </w:tcBorders>
          </w:tcPr>
          <w:p w14:paraId="41174AF4"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Minimum</w:t>
            </w:r>
          </w:p>
        </w:tc>
        <w:tc>
          <w:tcPr>
            <w:tcW w:w="850" w:type="dxa"/>
            <w:tcBorders>
              <w:top w:val="nil"/>
              <w:left w:val="nil"/>
              <w:bottom w:val="nil"/>
              <w:right w:val="nil"/>
            </w:tcBorders>
          </w:tcPr>
          <w:p w14:paraId="35A35BC4"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13.22</w:t>
            </w:r>
          </w:p>
        </w:tc>
        <w:tc>
          <w:tcPr>
            <w:tcW w:w="850" w:type="dxa"/>
            <w:tcBorders>
              <w:top w:val="nil"/>
              <w:left w:val="nil"/>
              <w:bottom w:val="nil"/>
              <w:right w:val="nil"/>
            </w:tcBorders>
          </w:tcPr>
          <w:p w14:paraId="570441F9"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14.37</w:t>
            </w:r>
          </w:p>
        </w:tc>
        <w:tc>
          <w:tcPr>
            <w:tcW w:w="850" w:type="dxa"/>
            <w:tcBorders>
              <w:top w:val="nil"/>
              <w:left w:val="nil"/>
              <w:bottom w:val="nil"/>
              <w:right w:val="nil"/>
            </w:tcBorders>
          </w:tcPr>
          <w:p w14:paraId="5963CA24"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13.22</w:t>
            </w:r>
          </w:p>
        </w:tc>
        <w:tc>
          <w:tcPr>
            <w:tcW w:w="850" w:type="dxa"/>
            <w:tcBorders>
              <w:top w:val="nil"/>
              <w:left w:val="nil"/>
              <w:bottom w:val="nil"/>
              <w:right w:val="nil"/>
            </w:tcBorders>
          </w:tcPr>
          <w:p w14:paraId="644EBB5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13.22</w:t>
            </w:r>
          </w:p>
        </w:tc>
        <w:tc>
          <w:tcPr>
            <w:tcW w:w="851" w:type="dxa"/>
            <w:tcBorders>
              <w:top w:val="nil"/>
              <w:left w:val="nil"/>
              <w:bottom w:val="nil"/>
              <w:right w:val="nil"/>
            </w:tcBorders>
          </w:tcPr>
          <w:p w14:paraId="3B76DB64"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13.79</w:t>
            </w:r>
          </w:p>
        </w:tc>
        <w:tc>
          <w:tcPr>
            <w:tcW w:w="850" w:type="dxa"/>
            <w:tcBorders>
              <w:top w:val="nil"/>
              <w:left w:val="nil"/>
              <w:bottom w:val="nil"/>
              <w:right w:val="nil"/>
            </w:tcBorders>
          </w:tcPr>
          <w:p w14:paraId="59CB67CA"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13.79</w:t>
            </w:r>
          </w:p>
        </w:tc>
        <w:tc>
          <w:tcPr>
            <w:tcW w:w="850" w:type="dxa"/>
            <w:tcBorders>
              <w:top w:val="nil"/>
              <w:left w:val="nil"/>
              <w:bottom w:val="nil"/>
              <w:right w:val="nil"/>
            </w:tcBorders>
          </w:tcPr>
          <w:p w14:paraId="6B598FC4"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13.79</w:t>
            </w:r>
          </w:p>
        </w:tc>
        <w:tc>
          <w:tcPr>
            <w:tcW w:w="925" w:type="dxa"/>
            <w:tcBorders>
              <w:top w:val="nil"/>
              <w:left w:val="nil"/>
              <w:bottom w:val="nil"/>
              <w:right w:val="nil"/>
            </w:tcBorders>
          </w:tcPr>
          <w:p w14:paraId="65ED34CF"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68" w:type="dxa"/>
            <w:tcBorders>
              <w:top w:val="nil"/>
              <w:left w:val="nil"/>
              <w:bottom w:val="nil"/>
              <w:right w:val="nil"/>
            </w:tcBorders>
          </w:tcPr>
          <w:p w14:paraId="580FC489"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tr w:rsidR="00837DA7" w:rsidRPr="00233EC8" w14:paraId="01C9C312" w14:textId="77777777" w:rsidTr="00353A9A">
        <w:tc>
          <w:tcPr>
            <w:tcW w:w="1737" w:type="dxa"/>
            <w:tcBorders>
              <w:top w:val="nil"/>
              <w:left w:val="nil"/>
              <w:bottom w:val="nil"/>
              <w:right w:val="nil"/>
            </w:tcBorders>
          </w:tcPr>
          <w:p w14:paraId="71295789"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Maximum</w:t>
            </w:r>
          </w:p>
        </w:tc>
        <w:tc>
          <w:tcPr>
            <w:tcW w:w="850" w:type="dxa"/>
            <w:tcBorders>
              <w:top w:val="nil"/>
              <w:left w:val="nil"/>
              <w:bottom w:val="nil"/>
              <w:right w:val="nil"/>
            </w:tcBorders>
          </w:tcPr>
          <w:p w14:paraId="5A101EE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50.00</w:t>
            </w:r>
          </w:p>
        </w:tc>
        <w:tc>
          <w:tcPr>
            <w:tcW w:w="850" w:type="dxa"/>
            <w:tcBorders>
              <w:top w:val="nil"/>
              <w:left w:val="nil"/>
              <w:bottom w:val="nil"/>
              <w:right w:val="nil"/>
            </w:tcBorders>
          </w:tcPr>
          <w:p w14:paraId="377F4330"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47.13</w:t>
            </w:r>
          </w:p>
        </w:tc>
        <w:tc>
          <w:tcPr>
            <w:tcW w:w="850" w:type="dxa"/>
            <w:tcBorders>
              <w:top w:val="nil"/>
              <w:left w:val="nil"/>
              <w:bottom w:val="nil"/>
              <w:right w:val="nil"/>
            </w:tcBorders>
          </w:tcPr>
          <w:p w14:paraId="28416128"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47.13</w:t>
            </w:r>
          </w:p>
        </w:tc>
        <w:tc>
          <w:tcPr>
            <w:tcW w:w="850" w:type="dxa"/>
            <w:tcBorders>
              <w:top w:val="nil"/>
              <w:left w:val="nil"/>
              <w:bottom w:val="nil"/>
              <w:right w:val="nil"/>
            </w:tcBorders>
          </w:tcPr>
          <w:p w14:paraId="6F38F167"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47.13</w:t>
            </w:r>
          </w:p>
        </w:tc>
        <w:tc>
          <w:tcPr>
            <w:tcW w:w="851" w:type="dxa"/>
            <w:tcBorders>
              <w:top w:val="nil"/>
              <w:left w:val="nil"/>
              <w:bottom w:val="nil"/>
              <w:right w:val="nil"/>
            </w:tcBorders>
          </w:tcPr>
          <w:p w14:paraId="7691ED42"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47.13</w:t>
            </w:r>
          </w:p>
        </w:tc>
        <w:tc>
          <w:tcPr>
            <w:tcW w:w="850" w:type="dxa"/>
            <w:tcBorders>
              <w:top w:val="nil"/>
              <w:left w:val="nil"/>
              <w:bottom w:val="nil"/>
              <w:right w:val="nil"/>
            </w:tcBorders>
          </w:tcPr>
          <w:p w14:paraId="5747EC18"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47.70</w:t>
            </w:r>
          </w:p>
        </w:tc>
        <w:tc>
          <w:tcPr>
            <w:tcW w:w="850" w:type="dxa"/>
            <w:tcBorders>
              <w:top w:val="nil"/>
              <w:left w:val="nil"/>
              <w:bottom w:val="nil"/>
              <w:right w:val="nil"/>
            </w:tcBorders>
          </w:tcPr>
          <w:p w14:paraId="7D393CF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50.00</w:t>
            </w:r>
          </w:p>
        </w:tc>
        <w:tc>
          <w:tcPr>
            <w:tcW w:w="925" w:type="dxa"/>
            <w:tcBorders>
              <w:top w:val="nil"/>
              <w:left w:val="nil"/>
              <w:bottom w:val="nil"/>
              <w:right w:val="nil"/>
            </w:tcBorders>
          </w:tcPr>
          <w:p w14:paraId="17E3DCCB"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68" w:type="dxa"/>
            <w:tcBorders>
              <w:top w:val="nil"/>
              <w:left w:val="nil"/>
              <w:bottom w:val="nil"/>
              <w:right w:val="nil"/>
            </w:tcBorders>
          </w:tcPr>
          <w:p w14:paraId="1B9A1950"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tr w:rsidR="00837DA7" w:rsidRPr="00233EC8" w14:paraId="10F9E1D7" w14:textId="77777777" w:rsidTr="00353A9A">
        <w:tc>
          <w:tcPr>
            <w:tcW w:w="9781" w:type="dxa"/>
            <w:gridSpan w:val="10"/>
            <w:tcBorders>
              <w:top w:val="nil"/>
              <w:left w:val="nil"/>
              <w:bottom w:val="nil"/>
              <w:right w:val="nil"/>
            </w:tcBorders>
          </w:tcPr>
          <w:p w14:paraId="344D3513"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b/>
                <w:bCs/>
                <w:i/>
                <w:iCs/>
                <w:sz w:val="20"/>
                <w:szCs w:val="20"/>
              </w:rPr>
              <w:t xml:space="preserve">Panel 3: Operational risk sub-index (%) </w:t>
            </w:r>
          </w:p>
        </w:tc>
      </w:tr>
      <w:tr w:rsidR="00837DA7" w:rsidRPr="00233EC8" w14:paraId="7017DFAE" w14:textId="77777777" w:rsidTr="00353A9A">
        <w:tc>
          <w:tcPr>
            <w:tcW w:w="1737" w:type="dxa"/>
            <w:tcBorders>
              <w:top w:val="nil"/>
              <w:left w:val="nil"/>
              <w:bottom w:val="nil"/>
              <w:right w:val="nil"/>
            </w:tcBorders>
          </w:tcPr>
          <w:p w14:paraId="5D59A79B"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Mean</w:t>
            </w:r>
          </w:p>
        </w:tc>
        <w:tc>
          <w:tcPr>
            <w:tcW w:w="850" w:type="dxa"/>
            <w:tcBorders>
              <w:top w:val="nil"/>
              <w:left w:val="nil"/>
              <w:bottom w:val="nil"/>
              <w:right w:val="nil"/>
            </w:tcBorders>
          </w:tcPr>
          <w:p w14:paraId="537FCF7B"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12.66</w:t>
            </w:r>
          </w:p>
        </w:tc>
        <w:tc>
          <w:tcPr>
            <w:tcW w:w="850" w:type="dxa"/>
            <w:tcBorders>
              <w:top w:val="nil"/>
              <w:left w:val="nil"/>
              <w:bottom w:val="nil"/>
              <w:right w:val="nil"/>
            </w:tcBorders>
          </w:tcPr>
          <w:p w14:paraId="69478A48"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11.63</w:t>
            </w:r>
          </w:p>
        </w:tc>
        <w:tc>
          <w:tcPr>
            <w:tcW w:w="850" w:type="dxa"/>
            <w:tcBorders>
              <w:top w:val="nil"/>
              <w:left w:val="nil"/>
              <w:bottom w:val="nil"/>
              <w:right w:val="nil"/>
            </w:tcBorders>
          </w:tcPr>
          <w:p w14:paraId="7890DBDF"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11.93</w:t>
            </w:r>
          </w:p>
        </w:tc>
        <w:tc>
          <w:tcPr>
            <w:tcW w:w="850" w:type="dxa"/>
            <w:tcBorders>
              <w:top w:val="nil"/>
              <w:left w:val="nil"/>
              <w:bottom w:val="nil"/>
              <w:right w:val="nil"/>
            </w:tcBorders>
          </w:tcPr>
          <w:p w14:paraId="684FF38B"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12.38</w:t>
            </w:r>
          </w:p>
        </w:tc>
        <w:tc>
          <w:tcPr>
            <w:tcW w:w="851" w:type="dxa"/>
            <w:tcBorders>
              <w:top w:val="nil"/>
              <w:left w:val="nil"/>
              <w:bottom w:val="nil"/>
              <w:right w:val="nil"/>
            </w:tcBorders>
          </w:tcPr>
          <w:p w14:paraId="5E3F0D50"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12.80</w:t>
            </w:r>
          </w:p>
        </w:tc>
        <w:tc>
          <w:tcPr>
            <w:tcW w:w="850" w:type="dxa"/>
            <w:tcBorders>
              <w:top w:val="nil"/>
              <w:left w:val="nil"/>
              <w:bottom w:val="nil"/>
              <w:right w:val="nil"/>
            </w:tcBorders>
          </w:tcPr>
          <w:p w14:paraId="33EE8C88"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13.33</w:t>
            </w:r>
          </w:p>
        </w:tc>
        <w:tc>
          <w:tcPr>
            <w:tcW w:w="850" w:type="dxa"/>
            <w:tcBorders>
              <w:top w:val="nil"/>
              <w:left w:val="nil"/>
              <w:bottom w:val="nil"/>
              <w:right w:val="nil"/>
            </w:tcBorders>
          </w:tcPr>
          <w:p w14:paraId="61920868"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13.87</w:t>
            </w:r>
          </w:p>
        </w:tc>
        <w:tc>
          <w:tcPr>
            <w:tcW w:w="925" w:type="dxa"/>
            <w:tcBorders>
              <w:top w:val="nil"/>
              <w:left w:val="nil"/>
              <w:bottom w:val="nil"/>
              <w:right w:val="nil"/>
            </w:tcBorders>
          </w:tcPr>
          <w:p w14:paraId="3A59772A" w14:textId="77777777" w:rsidR="00837DA7" w:rsidRPr="00233EC8" w:rsidRDefault="00837DA7" w:rsidP="00353A9A">
            <w:pPr>
              <w:rPr>
                <w:rFonts w:asciiTheme="majorBidi" w:hAnsiTheme="majorBidi" w:cstheme="majorBidi"/>
                <w:sz w:val="20"/>
                <w:szCs w:val="20"/>
                <w:vertAlign w:val="superscript"/>
              </w:rPr>
            </w:pPr>
            <w:r w:rsidRPr="00233EC8">
              <w:rPr>
                <w:rFonts w:asciiTheme="majorBidi" w:hAnsiTheme="majorBidi" w:cstheme="majorBidi"/>
                <w:sz w:val="20"/>
                <w:szCs w:val="20"/>
              </w:rPr>
              <w:t>1.11</w:t>
            </w:r>
            <w:r w:rsidRPr="00233EC8">
              <w:rPr>
                <w:rFonts w:asciiTheme="majorBidi" w:hAnsiTheme="majorBidi" w:cstheme="majorBidi"/>
                <w:sz w:val="20"/>
                <w:szCs w:val="20"/>
                <w:vertAlign w:val="superscript"/>
              </w:rPr>
              <w:t>***</w:t>
            </w:r>
          </w:p>
        </w:tc>
        <w:tc>
          <w:tcPr>
            <w:tcW w:w="1168" w:type="dxa"/>
            <w:tcBorders>
              <w:top w:val="nil"/>
              <w:left w:val="nil"/>
              <w:bottom w:val="nil"/>
              <w:right w:val="nil"/>
            </w:tcBorders>
          </w:tcPr>
          <w:p w14:paraId="153D69FE"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tr w:rsidR="00837DA7" w:rsidRPr="00233EC8" w14:paraId="17A24315" w14:textId="77777777" w:rsidTr="00353A9A">
        <w:tc>
          <w:tcPr>
            <w:tcW w:w="1737" w:type="dxa"/>
            <w:tcBorders>
              <w:top w:val="nil"/>
              <w:left w:val="nil"/>
              <w:bottom w:val="nil"/>
              <w:right w:val="nil"/>
            </w:tcBorders>
          </w:tcPr>
          <w:p w14:paraId="5EED0F12"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 xml:space="preserve">Median </w:t>
            </w:r>
          </w:p>
        </w:tc>
        <w:tc>
          <w:tcPr>
            <w:tcW w:w="850" w:type="dxa"/>
            <w:tcBorders>
              <w:top w:val="nil"/>
              <w:left w:val="nil"/>
              <w:bottom w:val="nil"/>
              <w:right w:val="nil"/>
            </w:tcBorders>
          </w:tcPr>
          <w:p w14:paraId="4767FEEE"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12.25</w:t>
            </w:r>
          </w:p>
        </w:tc>
        <w:tc>
          <w:tcPr>
            <w:tcW w:w="850" w:type="dxa"/>
            <w:tcBorders>
              <w:top w:val="nil"/>
              <w:left w:val="nil"/>
              <w:bottom w:val="nil"/>
              <w:right w:val="nil"/>
            </w:tcBorders>
          </w:tcPr>
          <w:p w14:paraId="7BABBEAF"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11.24</w:t>
            </w:r>
          </w:p>
        </w:tc>
        <w:tc>
          <w:tcPr>
            <w:tcW w:w="850" w:type="dxa"/>
            <w:tcBorders>
              <w:top w:val="nil"/>
              <w:left w:val="nil"/>
              <w:bottom w:val="nil"/>
              <w:right w:val="nil"/>
            </w:tcBorders>
          </w:tcPr>
          <w:p w14:paraId="06BF31B2"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11.45</w:t>
            </w:r>
          </w:p>
        </w:tc>
        <w:tc>
          <w:tcPr>
            <w:tcW w:w="850" w:type="dxa"/>
            <w:tcBorders>
              <w:top w:val="nil"/>
              <w:left w:val="nil"/>
              <w:bottom w:val="nil"/>
              <w:right w:val="nil"/>
            </w:tcBorders>
          </w:tcPr>
          <w:p w14:paraId="6FE21F5A"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12.25</w:t>
            </w:r>
          </w:p>
        </w:tc>
        <w:tc>
          <w:tcPr>
            <w:tcW w:w="851" w:type="dxa"/>
            <w:tcBorders>
              <w:top w:val="nil"/>
              <w:left w:val="nil"/>
              <w:bottom w:val="nil"/>
              <w:right w:val="nil"/>
            </w:tcBorders>
          </w:tcPr>
          <w:p w14:paraId="50D9A78C"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12.45</w:t>
            </w:r>
          </w:p>
        </w:tc>
        <w:tc>
          <w:tcPr>
            <w:tcW w:w="850" w:type="dxa"/>
            <w:tcBorders>
              <w:top w:val="nil"/>
              <w:left w:val="nil"/>
              <w:bottom w:val="nil"/>
              <w:right w:val="nil"/>
            </w:tcBorders>
          </w:tcPr>
          <w:p w14:paraId="48FD7668"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13.05</w:t>
            </w:r>
          </w:p>
        </w:tc>
        <w:tc>
          <w:tcPr>
            <w:tcW w:w="850" w:type="dxa"/>
            <w:tcBorders>
              <w:top w:val="nil"/>
              <w:left w:val="nil"/>
              <w:bottom w:val="nil"/>
              <w:right w:val="nil"/>
            </w:tcBorders>
          </w:tcPr>
          <w:p w14:paraId="3EB457BC"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13.05</w:t>
            </w:r>
          </w:p>
        </w:tc>
        <w:tc>
          <w:tcPr>
            <w:tcW w:w="925" w:type="dxa"/>
            <w:tcBorders>
              <w:top w:val="nil"/>
              <w:left w:val="nil"/>
              <w:bottom w:val="nil"/>
              <w:right w:val="nil"/>
            </w:tcBorders>
          </w:tcPr>
          <w:p w14:paraId="2796ACFA"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68" w:type="dxa"/>
            <w:tcBorders>
              <w:top w:val="nil"/>
              <w:left w:val="nil"/>
              <w:bottom w:val="nil"/>
              <w:right w:val="nil"/>
            </w:tcBorders>
          </w:tcPr>
          <w:p w14:paraId="5A76B8F4" w14:textId="77777777" w:rsidR="00837DA7" w:rsidRPr="00233EC8" w:rsidRDefault="00837DA7" w:rsidP="00353A9A">
            <w:pPr>
              <w:rPr>
                <w:rFonts w:asciiTheme="majorBidi" w:hAnsiTheme="majorBidi" w:cstheme="majorBidi"/>
                <w:sz w:val="20"/>
                <w:szCs w:val="20"/>
                <w:vertAlign w:val="superscript"/>
              </w:rPr>
            </w:pPr>
            <w:r w:rsidRPr="00233EC8">
              <w:rPr>
                <w:rFonts w:asciiTheme="majorBidi" w:hAnsiTheme="majorBidi" w:cstheme="majorBidi"/>
                <w:sz w:val="20"/>
                <w:szCs w:val="20"/>
              </w:rPr>
              <w:t>1.40</w:t>
            </w:r>
            <w:r w:rsidRPr="00233EC8">
              <w:rPr>
                <w:rFonts w:asciiTheme="majorBidi" w:hAnsiTheme="majorBidi" w:cstheme="majorBidi"/>
                <w:sz w:val="20"/>
                <w:szCs w:val="20"/>
                <w:vertAlign w:val="superscript"/>
              </w:rPr>
              <w:t>***</w:t>
            </w:r>
          </w:p>
        </w:tc>
      </w:tr>
      <w:tr w:rsidR="00837DA7" w:rsidRPr="00233EC8" w14:paraId="03F4F07C" w14:textId="77777777" w:rsidTr="00353A9A">
        <w:tc>
          <w:tcPr>
            <w:tcW w:w="1737" w:type="dxa"/>
            <w:tcBorders>
              <w:top w:val="nil"/>
              <w:left w:val="nil"/>
              <w:bottom w:val="nil"/>
              <w:right w:val="nil"/>
            </w:tcBorders>
          </w:tcPr>
          <w:p w14:paraId="46F43952"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STD</w:t>
            </w:r>
          </w:p>
        </w:tc>
        <w:tc>
          <w:tcPr>
            <w:tcW w:w="850" w:type="dxa"/>
            <w:tcBorders>
              <w:top w:val="nil"/>
              <w:left w:val="nil"/>
              <w:bottom w:val="nil"/>
              <w:right w:val="nil"/>
            </w:tcBorders>
          </w:tcPr>
          <w:p w14:paraId="2247DD93"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4.72</w:t>
            </w:r>
          </w:p>
        </w:tc>
        <w:tc>
          <w:tcPr>
            <w:tcW w:w="850" w:type="dxa"/>
            <w:tcBorders>
              <w:top w:val="nil"/>
              <w:left w:val="nil"/>
              <w:bottom w:val="nil"/>
              <w:right w:val="nil"/>
            </w:tcBorders>
          </w:tcPr>
          <w:p w14:paraId="3A0C21A0"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4.37</w:t>
            </w:r>
          </w:p>
        </w:tc>
        <w:tc>
          <w:tcPr>
            <w:tcW w:w="850" w:type="dxa"/>
            <w:tcBorders>
              <w:top w:val="nil"/>
              <w:left w:val="nil"/>
              <w:bottom w:val="nil"/>
              <w:right w:val="nil"/>
            </w:tcBorders>
          </w:tcPr>
          <w:p w14:paraId="7E72CD10"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4.51</w:t>
            </w:r>
          </w:p>
        </w:tc>
        <w:tc>
          <w:tcPr>
            <w:tcW w:w="850" w:type="dxa"/>
            <w:tcBorders>
              <w:top w:val="nil"/>
              <w:left w:val="nil"/>
              <w:bottom w:val="nil"/>
              <w:right w:val="nil"/>
            </w:tcBorders>
          </w:tcPr>
          <w:p w14:paraId="1531EC2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4.53</w:t>
            </w:r>
          </w:p>
        </w:tc>
        <w:tc>
          <w:tcPr>
            <w:tcW w:w="851" w:type="dxa"/>
            <w:tcBorders>
              <w:top w:val="nil"/>
              <w:left w:val="nil"/>
              <w:bottom w:val="nil"/>
              <w:right w:val="nil"/>
            </w:tcBorders>
          </w:tcPr>
          <w:p w14:paraId="373C77A5"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4.68</w:t>
            </w:r>
          </w:p>
        </w:tc>
        <w:tc>
          <w:tcPr>
            <w:tcW w:w="850" w:type="dxa"/>
            <w:tcBorders>
              <w:top w:val="nil"/>
              <w:left w:val="nil"/>
              <w:bottom w:val="nil"/>
              <w:right w:val="nil"/>
            </w:tcBorders>
          </w:tcPr>
          <w:p w14:paraId="25C6BDA0"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4.97</w:t>
            </w:r>
          </w:p>
        </w:tc>
        <w:tc>
          <w:tcPr>
            <w:tcW w:w="850" w:type="dxa"/>
            <w:tcBorders>
              <w:top w:val="nil"/>
              <w:left w:val="nil"/>
              <w:bottom w:val="nil"/>
              <w:right w:val="nil"/>
            </w:tcBorders>
          </w:tcPr>
          <w:p w14:paraId="54655DF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4.94</w:t>
            </w:r>
          </w:p>
        </w:tc>
        <w:tc>
          <w:tcPr>
            <w:tcW w:w="925" w:type="dxa"/>
            <w:tcBorders>
              <w:top w:val="nil"/>
              <w:left w:val="nil"/>
              <w:bottom w:val="nil"/>
              <w:right w:val="nil"/>
            </w:tcBorders>
          </w:tcPr>
          <w:p w14:paraId="4FD1D6F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68" w:type="dxa"/>
            <w:tcBorders>
              <w:top w:val="nil"/>
              <w:left w:val="nil"/>
              <w:bottom w:val="nil"/>
              <w:right w:val="nil"/>
            </w:tcBorders>
          </w:tcPr>
          <w:p w14:paraId="402FC713"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tr w:rsidR="00837DA7" w:rsidRPr="00233EC8" w14:paraId="5DC757A8" w14:textId="77777777" w:rsidTr="00353A9A">
        <w:tc>
          <w:tcPr>
            <w:tcW w:w="1737" w:type="dxa"/>
            <w:tcBorders>
              <w:top w:val="nil"/>
              <w:left w:val="nil"/>
              <w:bottom w:val="nil"/>
              <w:right w:val="nil"/>
            </w:tcBorders>
          </w:tcPr>
          <w:p w14:paraId="66BA6A95"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Minimum</w:t>
            </w:r>
          </w:p>
        </w:tc>
        <w:tc>
          <w:tcPr>
            <w:tcW w:w="850" w:type="dxa"/>
            <w:tcBorders>
              <w:top w:val="nil"/>
              <w:left w:val="nil"/>
              <w:bottom w:val="nil"/>
              <w:right w:val="nil"/>
            </w:tcBorders>
          </w:tcPr>
          <w:p w14:paraId="1897D669"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3.21</w:t>
            </w:r>
          </w:p>
        </w:tc>
        <w:tc>
          <w:tcPr>
            <w:tcW w:w="850" w:type="dxa"/>
            <w:tcBorders>
              <w:top w:val="nil"/>
              <w:left w:val="nil"/>
              <w:bottom w:val="nil"/>
              <w:right w:val="nil"/>
            </w:tcBorders>
          </w:tcPr>
          <w:p w14:paraId="14092C6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3.82</w:t>
            </w:r>
          </w:p>
        </w:tc>
        <w:tc>
          <w:tcPr>
            <w:tcW w:w="850" w:type="dxa"/>
            <w:tcBorders>
              <w:top w:val="nil"/>
              <w:left w:val="nil"/>
              <w:bottom w:val="nil"/>
              <w:right w:val="nil"/>
            </w:tcBorders>
          </w:tcPr>
          <w:p w14:paraId="3EFA008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3.21</w:t>
            </w:r>
          </w:p>
        </w:tc>
        <w:tc>
          <w:tcPr>
            <w:tcW w:w="850" w:type="dxa"/>
            <w:tcBorders>
              <w:top w:val="nil"/>
              <w:left w:val="nil"/>
              <w:bottom w:val="nil"/>
              <w:right w:val="nil"/>
            </w:tcBorders>
          </w:tcPr>
          <w:p w14:paraId="17F22377"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4.22</w:t>
            </w:r>
          </w:p>
        </w:tc>
        <w:tc>
          <w:tcPr>
            <w:tcW w:w="851" w:type="dxa"/>
            <w:tcBorders>
              <w:top w:val="nil"/>
              <w:left w:val="nil"/>
              <w:bottom w:val="nil"/>
              <w:right w:val="nil"/>
            </w:tcBorders>
          </w:tcPr>
          <w:p w14:paraId="3F475476"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4.82</w:t>
            </w:r>
          </w:p>
        </w:tc>
        <w:tc>
          <w:tcPr>
            <w:tcW w:w="850" w:type="dxa"/>
            <w:tcBorders>
              <w:top w:val="nil"/>
              <w:left w:val="nil"/>
              <w:bottom w:val="nil"/>
              <w:right w:val="nil"/>
            </w:tcBorders>
          </w:tcPr>
          <w:p w14:paraId="2E80109B"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4.62</w:t>
            </w:r>
          </w:p>
        </w:tc>
        <w:tc>
          <w:tcPr>
            <w:tcW w:w="850" w:type="dxa"/>
            <w:tcBorders>
              <w:top w:val="nil"/>
              <w:left w:val="nil"/>
              <w:bottom w:val="nil"/>
              <w:right w:val="nil"/>
            </w:tcBorders>
          </w:tcPr>
          <w:p w14:paraId="0209C6B4"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4.62</w:t>
            </w:r>
          </w:p>
        </w:tc>
        <w:tc>
          <w:tcPr>
            <w:tcW w:w="925" w:type="dxa"/>
            <w:tcBorders>
              <w:top w:val="nil"/>
              <w:left w:val="nil"/>
              <w:bottom w:val="nil"/>
              <w:right w:val="nil"/>
            </w:tcBorders>
          </w:tcPr>
          <w:p w14:paraId="4C18AA4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68" w:type="dxa"/>
            <w:tcBorders>
              <w:top w:val="nil"/>
              <w:left w:val="nil"/>
              <w:bottom w:val="nil"/>
              <w:right w:val="nil"/>
            </w:tcBorders>
          </w:tcPr>
          <w:p w14:paraId="694A2DAE"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tr w:rsidR="00837DA7" w:rsidRPr="00233EC8" w14:paraId="4DEEC2B2" w14:textId="77777777" w:rsidTr="00353A9A">
        <w:tc>
          <w:tcPr>
            <w:tcW w:w="1737" w:type="dxa"/>
            <w:tcBorders>
              <w:top w:val="nil"/>
              <w:left w:val="nil"/>
              <w:bottom w:val="nil"/>
              <w:right w:val="nil"/>
            </w:tcBorders>
          </w:tcPr>
          <w:p w14:paraId="437AB40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Maximum</w:t>
            </w:r>
          </w:p>
        </w:tc>
        <w:tc>
          <w:tcPr>
            <w:tcW w:w="850" w:type="dxa"/>
            <w:tcBorders>
              <w:top w:val="nil"/>
              <w:left w:val="nil"/>
              <w:bottom w:val="nil"/>
              <w:right w:val="nil"/>
            </w:tcBorders>
          </w:tcPr>
          <w:p w14:paraId="55585A63"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29.92</w:t>
            </w:r>
          </w:p>
        </w:tc>
        <w:tc>
          <w:tcPr>
            <w:tcW w:w="850" w:type="dxa"/>
            <w:tcBorders>
              <w:top w:val="nil"/>
              <w:left w:val="nil"/>
              <w:bottom w:val="nil"/>
              <w:right w:val="nil"/>
            </w:tcBorders>
          </w:tcPr>
          <w:p w14:paraId="3990618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22.29</w:t>
            </w:r>
          </w:p>
        </w:tc>
        <w:tc>
          <w:tcPr>
            <w:tcW w:w="850" w:type="dxa"/>
            <w:tcBorders>
              <w:top w:val="nil"/>
              <w:left w:val="nil"/>
              <w:bottom w:val="nil"/>
              <w:right w:val="nil"/>
            </w:tcBorders>
          </w:tcPr>
          <w:p w14:paraId="72F96E06"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22.09</w:t>
            </w:r>
          </w:p>
        </w:tc>
        <w:tc>
          <w:tcPr>
            <w:tcW w:w="850" w:type="dxa"/>
            <w:tcBorders>
              <w:top w:val="nil"/>
              <w:left w:val="nil"/>
              <w:bottom w:val="nil"/>
              <w:right w:val="nil"/>
            </w:tcBorders>
          </w:tcPr>
          <w:p w14:paraId="65FEC60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22.89</w:t>
            </w:r>
          </w:p>
        </w:tc>
        <w:tc>
          <w:tcPr>
            <w:tcW w:w="851" w:type="dxa"/>
            <w:tcBorders>
              <w:top w:val="nil"/>
              <w:left w:val="nil"/>
              <w:bottom w:val="nil"/>
              <w:right w:val="nil"/>
            </w:tcBorders>
          </w:tcPr>
          <w:p w14:paraId="7A00D3E2"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22.49</w:t>
            </w:r>
          </w:p>
        </w:tc>
        <w:tc>
          <w:tcPr>
            <w:tcW w:w="850" w:type="dxa"/>
            <w:tcBorders>
              <w:top w:val="nil"/>
              <w:left w:val="nil"/>
              <w:bottom w:val="nil"/>
              <w:right w:val="nil"/>
            </w:tcBorders>
          </w:tcPr>
          <w:p w14:paraId="0CCD8C47"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29.92</w:t>
            </w:r>
          </w:p>
        </w:tc>
        <w:tc>
          <w:tcPr>
            <w:tcW w:w="850" w:type="dxa"/>
            <w:tcBorders>
              <w:top w:val="nil"/>
              <w:left w:val="nil"/>
              <w:bottom w:val="nil"/>
              <w:right w:val="nil"/>
            </w:tcBorders>
          </w:tcPr>
          <w:p w14:paraId="448B26FB"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29.72</w:t>
            </w:r>
          </w:p>
        </w:tc>
        <w:tc>
          <w:tcPr>
            <w:tcW w:w="925" w:type="dxa"/>
            <w:tcBorders>
              <w:top w:val="nil"/>
              <w:left w:val="nil"/>
              <w:bottom w:val="nil"/>
              <w:right w:val="nil"/>
            </w:tcBorders>
          </w:tcPr>
          <w:p w14:paraId="296344F3"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68" w:type="dxa"/>
            <w:tcBorders>
              <w:top w:val="nil"/>
              <w:left w:val="nil"/>
              <w:bottom w:val="nil"/>
              <w:right w:val="nil"/>
            </w:tcBorders>
          </w:tcPr>
          <w:p w14:paraId="6058E8FB"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tr w:rsidR="00837DA7" w:rsidRPr="00233EC8" w14:paraId="08443B3B" w14:textId="77777777" w:rsidTr="00353A9A">
        <w:tc>
          <w:tcPr>
            <w:tcW w:w="9781" w:type="dxa"/>
            <w:gridSpan w:val="10"/>
            <w:tcBorders>
              <w:top w:val="nil"/>
              <w:left w:val="nil"/>
              <w:bottom w:val="nil"/>
              <w:right w:val="nil"/>
            </w:tcBorders>
          </w:tcPr>
          <w:p w14:paraId="5BAFF483"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i/>
                <w:iCs/>
                <w:sz w:val="20"/>
                <w:szCs w:val="20"/>
              </w:rPr>
              <w:t>Panel 3.1: Business environment and processes (%)</w:t>
            </w:r>
          </w:p>
        </w:tc>
      </w:tr>
      <w:tr w:rsidR="00837DA7" w:rsidRPr="00233EC8" w14:paraId="414740F5" w14:textId="77777777" w:rsidTr="00353A9A">
        <w:tc>
          <w:tcPr>
            <w:tcW w:w="1737" w:type="dxa"/>
            <w:tcBorders>
              <w:top w:val="nil"/>
              <w:left w:val="nil"/>
              <w:bottom w:val="nil"/>
              <w:right w:val="nil"/>
            </w:tcBorders>
          </w:tcPr>
          <w:p w14:paraId="3CA100A7"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Mean</w:t>
            </w:r>
          </w:p>
        </w:tc>
        <w:tc>
          <w:tcPr>
            <w:tcW w:w="850" w:type="dxa"/>
            <w:tcBorders>
              <w:top w:val="nil"/>
              <w:left w:val="nil"/>
              <w:bottom w:val="nil"/>
              <w:right w:val="nil"/>
            </w:tcBorders>
          </w:tcPr>
          <w:p w14:paraId="07A2E5AE"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20.75</w:t>
            </w:r>
          </w:p>
        </w:tc>
        <w:tc>
          <w:tcPr>
            <w:tcW w:w="850" w:type="dxa"/>
            <w:tcBorders>
              <w:top w:val="nil"/>
              <w:left w:val="nil"/>
              <w:bottom w:val="nil"/>
              <w:right w:val="nil"/>
            </w:tcBorders>
          </w:tcPr>
          <w:p w14:paraId="0F5203FA"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18.95</w:t>
            </w:r>
          </w:p>
        </w:tc>
        <w:tc>
          <w:tcPr>
            <w:tcW w:w="850" w:type="dxa"/>
            <w:tcBorders>
              <w:top w:val="nil"/>
              <w:left w:val="nil"/>
              <w:bottom w:val="nil"/>
              <w:right w:val="nil"/>
            </w:tcBorders>
          </w:tcPr>
          <w:p w14:paraId="586F5766"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19.48</w:t>
            </w:r>
          </w:p>
        </w:tc>
        <w:tc>
          <w:tcPr>
            <w:tcW w:w="850" w:type="dxa"/>
            <w:tcBorders>
              <w:top w:val="nil"/>
              <w:left w:val="nil"/>
              <w:bottom w:val="nil"/>
              <w:right w:val="nil"/>
            </w:tcBorders>
          </w:tcPr>
          <w:p w14:paraId="4278CC2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20.45</w:t>
            </w:r>
          </w:p>
        </w:tc>
        <w:tc>
          <w:tcPr>
            <w:tcW w:w="851" w:type="dxa"/>
            <w:tcBorders>
              <w:top w:val="nil"/>
              <w:left w:val="nil"/>
              <w:bottom w:val="nil"/>
              <w:right w:val="nil"/>
            </w:tcBorders>
          </w:tcPr>
          <w:p w14:paraId="2F3BF34B"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21.25</w:t>
            </w:r>
          </w:p>
        </w:tc>
        <w:tc>
          <w:tcPr>
            <w:tcW w:w="850" w:type="dxa"/>
            <w:tcBorders>
              <w:top w:val="nil"/>
              <w:left w:val="nil"/>
              <w:bottom w:val="nil"/>
              <w:right w:val="nil"/>
            </w:tcBorders>
          </w:tcPr>
          <w:p w14:paraId="29F14DE7"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21.89</w:t>
            </w:r>
          </w:p>
        </w:tc>
        <w:tc>
          <w:tcPr>
            <w:tcW w:w="850" w:type="dxa"/>
            <w:tcBorders>
              <w:top w:val="nil"/>
              <w:left w:val="nil"/>
              <w:bottom w:val="nil"/>
              <w:right w:val="nil"/>
            </w:tcBorders>
          </w:tcPr>
          <w:p w14:paraId="29465F9A"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22.44</w:t>
            </w:r>
          </w:p>
        </w:tc>
        <w:tc>
          <w:tcPr>
            <w:tcW w:w="925" w:type="dxa"/>
            <w:tcBorders>
              <w:top w:val="nil"/>
              <w:left w:val="nil"/>
              <w:bottom w:val="nil"/>
              <w:right w:val="nil"/>
            </w:tcBorders>
          </w:tcPr>
          <w:p w14:paraId="0BCE51C4" w14:textId="77777777" w:rsidR="00837DA7" w:rsidRPr="00233EC8" w:rsidRDefault="00837DA7" w:rsidP="00353A9A">
            <w:pPr>
              <w:rPr>
                <w:rFonts w:asciiTheme="majorBidi" w:hAnsiTheme="majorBidi" w:cstheme="majorBidi"/>
                <w:sz w:val="20"/>
                <w:szCs w:val="20"/>
                <w:vertAlign w:val="superscript"/>
              </w:rPr>
            </w:pPr>
            <w:r w:rsidRPr="00233EC8">
              <w:rPr>
                <w:rFonts w:asciiTheme="majorBidi" w:hAnsiTheme="majorBidi" w:cstheme="majorBidi"/>
                <w:sz w:val="20"/>
                <w:szCs w:val="20"/>
              </w:rPr>
              <w:t>2.08</w:t>
            </w:r>
            <w:r w:rsidRPr="00233EC8">
              <w:rPr>
                <w:rFonts w:asciiTheme="majorBidi" w:hAnsiTheme="majorBidi" w:cstheme="majorBidi"/>
                <w:sz w:val="20"/>
                <w:szCs w:val="20"/>
                <w:vertAlign w:val="superscript"/>
              </w:rPr>
              <w:t>***</w:t>
            </w:r>
          </w:p>
        </w:tc>
        <w:tc>
          <w:tcPr>
            <w:tcW w:w="1168" w:type="dxa"/>
            <w:tcBorders>
              <w:top w:val="nil"/>
              <w:left w:val="nil"/>
              <w:bottom w:val="nil"/>
              <w:right w:val="nil"/>
            </w:tcBorders>
          </w:tcPr>
          <w:p w14:paraId="0523963C"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tr w:rsidR="00837DA7" w:rsidRPr="00233EC8" w14:paraId="75E2AD9E" w14:textId="77777777" w:rsidTr="00353A9A">
        <w:tc>
          <w:tcPr>
            <w:tcW w:w="1737" w:type="dxa"/>
            <w:tcBorders>
              <w:top w:val="nil"/>
              <w:left w:val="nil"/>
              <w:bottom w:val="nil"/>
              <w:right w:val="nil"/>
            </w:tcBorders>
          </w:tcPr>
          <w:p w14:paraId="6593C394"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 xml:space="preserve">Median </w:t>
            </w:r>
          </w:p>
        </w:tc>
        <w:tc>
          <w:tcPr>
            <w:tcW w:w="850" w:type="dxa"/>
            <w:tcBorders>
              <w:top w:val="nil"/>
              <w:left w:val="nil"/>
              <w:bottom w:val="nil"/>
              <w:right w:val="nil"/>
            </w:tcBorders>
          </w:tcPr>
          <w:p w14:paraId="70C2F707"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20.37</w:t>
            </w:r>
          </w:p>
        </w:tc>
        <w:tc>
          <w:tcPr>
            <w:tcW w:w="850" w:type="dxa"/>
            <w:tcBorders>
              <w:top w:val="nil"/>
              <w:left w:val="nil"/>
              <w:bottom w:val="nil"/>
              <w:right w:val="nil"/>
            </w:tcBorders>
          </w:tcPr>
          <w:p w14:paraId="028BC7D3"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18.52</w:t>
            </w:r>
          </w:p>
        </w:tc>
        <w:tc>
          <w:tcPr>
            <w:tcW w:w="850" w:type="dxa"/>
            <w:tcBorders>
              <w:top w:val="nil"/>
              <w:left w:val="nil"/>
              <w:bottom w:val="nil"/>
              <w:right w:val="nil"/>
            </w:tcBorders>
          </w:tcPr>
          <w:p w14:paraId="477D9BEE"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19.44</w:t>
            </w:r>
          </w:p>
        </w:tc>
        <w:tc>
          <w:tcPr>
            <w:tcW w:w="850" w:type="dxa"/>
            <w:tcBorders>
              <w:top w:val="nil"/>
              <w:left w:val="nil"/>
              <w:bottom w:val="nil"/>
              <w:right w:val="nil"/>
            </w:tcBorders>
          </w:tcPr>
          <w:p w14:paraId="38D3CEBC"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20.37</w:t>
            </w:r>
          </w:p>
        </w:tc>
        <w:tc>
          <w:tcPr>
            <w:tcW w:w="851" w:type="dxa"/>
            <w:tcBorders>
              <w:top w:val="nil"/>
              <w:left w:val="nil"/>
              <w:bottom w:val="nil"/>
              <w:right w:val="nil"/>
            </w:tcBorders>
          </w:tcPr>
          <w:p w14:paraId="30AEC18A"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22.22</w:t>
            </w:r>
          </w:p>
        </w:tc>
        <w:tc>
          <w:tcPr>
            <w:tcW w:w="850" w:type="dxa"/>
            <w:tcBorders>
              <w:top w:val="nil"/>
              <w:left w:val="nil"/>
              <w:bottom w:val="nil"/>
              <w:right w:val="nil"/>
            </w:tcBorders>
          </w:tcPr>
          <w:p w14:paraId="3B438A4C"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22.22</w:t>
            </w:r>
          </w:p>
        </w:tc>
        <w:tc>
          <w:tcPr>
            <w:tcW w:w="850" w:type="dxa"/>
            <w:tcBorders>
              <w:top w:val="nil"/>
              <w:left w:val="nil"/>
              <w:bottom w:val="nil"/>
              <w:right w:val="nil"/>
            </w:tcBorders>
          </w:tcPr>
          <w:p w14:paraId="291D642C"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22.22</w:t>
            </w:r>
          </w:p>
        </w:tc>
        <w:tc>
          <w:tcPr>
            <w:tcW w:w="925" w:type="dxa"/>
            <w:tcBorders>
              <w:top w:val="nil"/>
              <w:left w:val="nil"/>
              <w:bottom w:val="nil"/>
              <w:right w:val="nil"/>
            </w:tcBorders>
          </w:tcPr>
          <w:p w14:paraId="6798A84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68" w:type="dxa"/>
            <w:tcBorders>
              <w:top w:val="nil"/>
              <w:left w:val="nil"/>
              <w:bottom w:val="nil"/>
              <w:right w:val="nil"/>
            </w:tcBorders>
          </w:tcPr>
          <w:p w14:paraId="667D7447" w14:textId="77777777" w:rsidR="00837DA7" w:rsidRPr="00233EC8" w:rsidRDefault="00837DA7" w:rsidP="00353A9A">
            <w:pPr>
              <w:rPr>
                <w:rFonts w:asciiTheme="majorBidi" w:hAnsiTheme="majorBidi" w:cstheme="majorBidi"/>
                <w:sz w:val="20"/>
                <w:szCs w:val="20"/>
                <w:vertAlign w:val="superscript"/>
              </w:rPr>
            </w:pPr>
            <w:r w:rsidRPr="00233EC8">
              <w:rPr>
                <w:rFonts w:asciiTheme="majorBidi" w:hAnsiTheme="majorBidi" w:cstheme="majorBidi"/>
                <w:sz w:val="20"/>
                <w:szCs w:val="20"/>
              </w:rPr>
              <w:t>2.78</w:t>
            </w:r>
            <w:r w:rsidRPr="00233EC8">
              <w:rPr>
                <w:rFonts w:asciiTheme="majorBidi" w:hAnsiTheme="majorBidi" w:cstheme="majorBidi"/>
                <w:sz w:val="20"/>
                <w:szCs w:val="20"/>
                <w:vertAlign w:val="superscript"/>
              </w:rPr>
              <w:t>***</w:t>
            </w:r>
          </w:p>
        </w:tc>
      </w:tr>
      <w:tr w:rsidR="00837DA7" w:rsidRPr="00233EC8" w14:paraId="71F7817A" w14:textId="77777777" w:rsidTr="00353A9A">
        <w:tc>
          <w:tcPr>
            <w:tcW w:w="1737" w:type="dxa"/>
            <w:tcBorders>
              <w:top w:val="nil"/>
              <w:left w:val="nil"/>
              <w:bottom w:val="nil"/>
              <w:right w:val="nil"/>
            </w:tcBorders>
          </w:tcPr>
          <w:p w14:paraId="142B80D6"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STD</w:t>
            </w:r>
          </w:p>
        </w:tc>
        <w:tc>
          <w:tcPr>
            <w:tcW w:w="850" w:type="dxa"/>
            <w:tcBorders>
              <w:top w:val="nil"/>
              <w:left w:val="nil"/>
              <w:bottom w:val="nil"/>
              <w:right w:val="nil"/>
            </w:tcBorders>
          </w:tcPr>
          <w:p w14:paraId="63FA3DB9"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5.79</w:t>
            </w:r>
          </w:p>
        </w:tc>
        <w:tc>
          <w:tcPr>
            <w:tcW w:w="850" w:type="dxa"/>
            <w:tcBorders>
              <w:top w:val="nil"/>
              <w:left w:val="nil"/>
              <w:bottom w:val="nil"/>
              <w:right w:val="nil"/>
            </w:tcBorders>
          </w:tcPr>
          <w:p w14:paraId="121ED3F4"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5.38</w:t>
            </w:r>
          </w:p>
        </w:tc>
        <w:tc>
          <w:tcPr>
            <w:tcW w:w="850" w:type="dxa"/>
            <w:tcBorders>
              <w:top w:val="nil"/>
              <w:left w:val="nil"/>
              <w:bottom w:val="nil"/>
              <w:right w:val="nil"/>
            </w:tcBorders>
          </w:tcPr>
          <w:p w14:paraId="43B5E0C7"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5.39</w:t>
            </w:r>
          </w:p>
        </w:tc>
        <w:tc>
          <w:tcPr>
            <w:tcW w:w="850" w:type="dxa"/>
            <w:tcBorders>
              <w:top w:val="nil"/>
              <w:left w:val="nil"/>
              <w:bottom w:val="nil"/>
              <w:right w:val="nil"/>
            </w:tcBorders>
          </w:tcPr>
          <w:p w14:paraId="337D016B"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5.28</w:t>
            </w:r>
          </w:p>
        </w:tc>
        <w:tc>
          <w:tcPr>
            <w:tcW w:w="851" w:type="dxa"/>
            <w:tcBorders>
              <w:top w:val="nil"/>
              <w:left w:val="nil"/>
              <w:bottom w:val="nil"/>
              <w:right w:val="nil"/>
            </w:tcBorders>
          </w:tcPr>
          <w:p w14:paraId="5DAC3884"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5.65</w:t>
            </w:r>
          </w:p>
        </w:tc>
        <w:tc>
          <w:tcPr>
            <w:tcW w:w="850" w:type="dxa"/>
            <w:tcBorders>
              <w:top w:val="nil"/>
              <w:left w:val="nil"/>
              <w:bottom w:val="nil"/>
              <w:right w:val="nil"/>
            </w:tcBorders>
          </w:tcPr>
          <w:p w14:paraId="33010735"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6.11</w:t>
            </w:r>
          </w:p>
        </w:tc>
        <w:tc>
          <w:tcPr>
            <w:tcW w:w="850" w:type="dxa"/>
            <w:tcBorders>
              <w:top w:val="nil"/>
              <w:left w:val="nil"/>
              <w:bottom w:val="nil"/>
              <w:right w:val="nil"/>
            </w:tcBorders>
          </w:tcPr>
          <w:p w14:paraId="497E3B45"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6.18</w:t>
            </w:r>
          </w:p>
        </w:tc>
        <w:tc>
          <w:tcPr>
            <w:tcW w:w="925" w:type="dxa"/>
            <w:tcBorders>
              <w:top w:val="nil"/>
              <w:left w:val="nil"/>
              <w:bottom w:val="nil"/>
              <w:right w:val="nil"/>
            </w:tcBorders>
          </w:tcPr>
          <w:p w14:paraId="0AB496B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68" w:type="dxa"/>
            <w:tcBorders>
              <w:top w:val="nil"/>
              <w:left w:val="nil"/>
              <w:bottom w:val="nil"/>
              <w:right w:val="nil"/>
            </w:tcBorders>
          </w:tcPr>
          <w:p w14:paraId="4D05C8DC"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tr w:rsidR="00837DA7" w:rsidRPr="00233EC8" w14:paraId="3B43F9C4" w14:textId="77777777" w:rsidTr="00353A9A">
        <w:tc>
          <w:tcPr>
            <w:tcW w:w="1737" w:type="dxa"/>
            <w:tcBorders>
              <w:top w:val="nil"/>
              <w:left w:val="nil"/>
              <w:bottom w:val="nil"/>
              <w:right w:val="nil"/>
            </w:tcBorders>
          </w:tcPr>
          <w:p w14:paraId="3F2F123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Minimum</w:t>
            </w:r>
          </w:p>
        </w:tc>
        <w:tc>
          <w:tcPr>
            <w:tcW w:w="850" w:type="dxa"/>
            <w:tcBorders>
              <w:top w:val="nil"/>
              <w:left w:val="nil"/>
              <w:bottom w:val="nil"/>
              <w:right w:val="nil"/>
            </w:tcBorders>
          </w:tcPr>
          <w:p w14:paraId="0BD9B8CC"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7.41</w:t>
            </w:r>
          </w:p>
        </w:tc>
        <w:tc>
          <w:tcPr>
            <w:tcW w:w="850" w:type="dxa"/>
            <w:tcBorders>
              <w:top w:val="nil"/>
              <w:left w:val="nil"/>
              <w:bottom w:val="nil"/>
              <w:right w:val="nil"/>
            </w:tcBorders>
          </w:tcPr>
          <w:p w14:paraId="3A93192A"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7.41</w:t>
            </w:r>
          </w:p>
        </w:tc>
        <w:tc>
          <w:tcPr>
            <w:tcW w:w="850" w:type="dxa"/>
            <w:tcBorders>
              <w:top w:val="nil"/>
              <w:left w:val="nil"/>
              <w:bottom w:val="nil"/>
              <w:right w:val="nil"/>
            </w:tcBorders>
          </w:tcPr>
          <w:p w14:paraId="38393CCC"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7.41</w:t>
            </w:r>
          </w:p>
        </w:tc>
        <w:tc>
          <w:tcPr>
            <w:tcW w:w="850" w:type="dxa"/>
            <w:tcBorders>
              <w:top w:val="nil"/>
              <w:left w:val="nil"/>
              <w:bottom w:val="nil"/>
              <w:right w:val="nil"/>
            </w:tcBorders>
          </w:tcPr>
          <w:p w14:paraId="06DE1E1A"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10.19</w:t>
            </w:r>
          </w:p>
        </w:tc>
        <w:tc>
          <w:tcPr>
            <w:tcW w:w="851" w:type="dxa"/>
            <w:tcBorders>
              <w:top w:val="nil"/>
              <w:left w:val="nil"/>
              <w:bottom w:val="nil"/>
              <w:right w:val="nil"/>
            </w:tcBorders>
          </w:tcPr>
          <w:p w14:paraId="12358392"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10.19</w:t>
            </w:r>
          </w:p>
        </w:tc>
        <w:tc>
          <w:tcPr>
            <w:tcW w:w="850" w:type="dxa"/>
            <w:tcBorders>
              <w:top w:val="nil"/>
              <w:left w:val="nil"/>
              <w:bottom w:val="nil"/>
              <w:right w:val="nil"/>
            </w:tcBorders>
          </w:tcPr>
          <w:p w14:paraId="2A052D64"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10.19</w:t>
            </w:r>
          </w:p>
        </w:tc>
        <w:tc>
          <w:tcPr>
            <w:tcW w:w="850" w:type="dxa"/>
            <w:tcBorders>
              <w:top w:val="nil"/>
              <w:left w:val="nil"/>
              <w:bottom w:val="nil"/>
              <w:right w:val="nil"/>
            </w:tcBorders>
          </w:tcPr>
          <w:p w14:paraId="23AB1565"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10.19</w:t>
            </w:r>
          </w:p>
        </w:tc>
        <w:tc>
          <w:tcPr>
            <w:tcW w:w="925" w:type="dxa"/>
            <w:tcBorders>
              <w:top w:val="nil"/>
              <w:left w:val="nil"/>
              <w:bottom w:val="nil"/>
              <w:right w:val="nil"/>
            </w:tcBorders>
          </w:tcPr>
          <w:p w14:paraId="756082C7"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68" w:type="dxa"/>
            <w:tcBorders>
              <w:top w:val="nil"/>
              <w:left w:val="nil"/>
              <w:bottom w:val="nil"/>
              <w:right w:val="nil"/>
            </w:tcBorders>
          </w:tcPr>
          <w:p w14:paraId="12860A40"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tr w:rsidR="00837DA7" w:rsidRPr="00233EC8" w14:paraId="7510D13D" w14:textId="77777777" w:rsidTr="00353A9A">
        <w:tc>
          <w:tcPr>
            <w:tcW w:w="1737" w:type="dxa"/>
            <w:tcBorders>
              <w:top w:val="nil"/>
              <w:left w:val="nil"/>
              <w:bottom w:val="nil"/>
              <w:right w:val="nil"/>
            </w:tcBorders>
          </w:tcPr>
          <w:p w14:paraId="39D196B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Maximum</w:t>
            </w:r>
          </w:p>
        </w:tc>
        <w:tc>
          <w:tcPr>
            <w:tcW w:w="850" w:type="dxa"/>
            <w:tcBorders>
              <w:top w:val="nil"/>
              <w:left w:val="nil"/>
              <w:bottom w:val="nil"/>
              <w:right w:val="nil"/>
            </w:tcBorders>
          </w:tcPr>
          <w:p w14:paraId="3890B5E4"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41.67</w:t>
            </w:r>
          </w:p>
        </w:tc>
        <w:tc>
          <w:tcPr>
            <w:tcW w:w="850" w:type="dxa"/>
            <w:tcBorders>
              <w:top w:val="nil"/>
              <w:left w:val="nil"/>
              <w:bottom w:val="nil"/>
              <w:right w:val="nil"/>
            </w:tcBorders>
          </w:tcPr>
          <w:p w14:paraId="229EAE84"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33.33</w:t>
            </w:r>
          </w:p>
        </w:tc>
        <w:tc>
          <w:tcPr>
            <w:tcW w:w="850" w:type="dxa"/>
            <w:tcBorders>
              <w:top w:val="nil"/>
              <w:left w:val="nil"/>
              <w:bottom w:val="nil"/>
              <w:right w:val="nil"/>
            </w:tcBorders>
          </w:tcPr>
          <w:p w14:paraId="3C99CAC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33.33</w:t>
            </w:r>
          </w:p>
        </w:tc>
        <w:tc>
          <w:tcPr>
            <w:tcW w:w="850" w:type="dxa"/>
            <w:tcBorders>
              <w:top w:val="nil"/>
              <w:left w:val="nil"/>
              <w:bottom w:val="nil"/>
              <w:right w:val="nil"/>
            </w:tcBorders>
          </w:tcPr>
          <w:p w14:paraId="73042EEB"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34.26</w:t>
            </w:r>
          </w:p>
        </w:tc>
        <w:tc>
          <w:tcPr>
            <w:tcW w:w="851" w:type="dxa"/>
            <w:tcBorders>
              <w:top w:val="nil"/>
              <w:left w:val="nil"/>
              <w:bottom w:val="nil"/>
              <w:right w:val="nil"/>
            </w:tcBorders>
          </w:tcPr>
          <w:p w14:paraId="0288E14A"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34.26</w:t>
            </w:r>
          </w:p>
        </w:tc>
        <w:tc>
          <w:tcPr>
            <w:tcW w:w="850" w:type="dxa"/>
            <w:tcBorders>
              <w:top w:val="nil"/>
              <w:left w:val="nil"/>
              <w:bottom w:val="nil"/>
              <w:right w:val="nil"/>
            </w:tcBorders>
          </w:tcPr>
          <w:p w14:paraId="5837875B"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41.67</w:t>
            </w:r>
          </w:p>
        </w:tc>
        <w:tc>
          <w:tcPr>
            <w:tcW w:w="850" w:type="dxa"/>
            <w:tcBorders>
              <w:top w:val="nil"/>
              <w:left w:val="nil"/>
              <w:bottom w:val="nil"/>
              <w:right w:val="nil"/>
            </w:tcBorders>
          </w:tcPr>
          <w:p w14:paraId="6550A618"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40.74</w:t>
            </w:r>
          </w:p>
        </w:tc>
        <w:tc>
          <w:tcPr>
            <w:tcW w:w="925" w:type="dxa"/>
            <w:tcBorders>
              <w:top w:val="nil"/>
              <w:left w:val="nil"/>
              <w:bottom w:val="nil"/>
              <w:right w:val="nil"/>
            </w:tcBorders>
          </w:tcPr>
          <w:p w14:paraId="6200D71C"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68" w:type="dxa"/>
            <w:tcBorders>
              <w:top w:val="nil"/>
              <w:left w:val="nil"/>
              <w:bottom w:val="nil"/>
              <w:right w:val="nil"/>
            </w:tcBorders>
          </w:tcPr>
          <w:p w14:paraId="554938B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tr w:rsidR="00837DA7" w:rsidRPr="00233EC8" w14:paraId="7CE84695" w14:textId="77777777" w:rsidTr="00353A9A">
        <w:tc>
          <w:tcPr>
            <w:tcW w:w="9781" w:type="dxa"/>
            <w:gridSpan w:val="10"/>
            <w:tcBorders>
              <w:top w:val="nil"/>
              <w:left w:val="nil"/>
              <w:bottom w:val="nil"/>
              <w:right w:val="nil"/>
            </w:tcBorders>
          </w:tcPr>
          <w:p w14:paraId="2138036E"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i/>
                <w:iCs/>
                <w:sz w:val="20"/>
                <w:szCs w:val="20"/>
              </w:rPr>
              <w:t>Panel 3.2: Risk governance (%)</w:t>
            </w:r>
          </w:p>
        </w:tc>
      </w:tr>
      <w:tr w:rsidR="00837DA7" w:rsidRPr="00233EC8" w14:paraId="7CE806F7" w14:textId="77777777" w:rsidTr="00353A9A">
        <w:tc>
          <w:tcPr>
            <w:tcW w:w="1737" w:type="dxa"/>
            <w:tcBorders>
              <w:top w:val="nil"/>
              <w:left w:val="nil"/>
              <w:bottom w:val="nil"/>
              <w:right w:val="nil"/>
            </w:tcBorders>
          </w:tcPr>
          <w:p w14:paraId="75E8C819"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Mean</w:t>
            </w:r>
          </w:p>
        </w:tc>
        <w:tc>
          <w:tcPr>
            <w:tcW w:w="850" w:type="dxa"/>
            <w:tcBorders>
              <w:top w:val="nil"/>
              <w:left w:val="nil"/>
              <w:bottom w:val="nil"/>
              <w:right w:val="nil"/>
            </w:tcBorders>
          </w:tcPr>
          <w:p w14:paraId="7E515E97"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8.66</w:t>
            </w:r>
          </w:p>
        </w:tc>
        <w:tc>
          <w:tcPr>
            <w:tcW w:w="850" w:type="dxa"/>
            <w:tcBorders>
              <w:top w:val="nil"/>
              <w:left w:val="nil"/>
              <w:bottom w:val="nil"/>
              <w:right w:val="nil"/>
            </w:tcBorders>
          </w:tcPr>
          <w:p w14:paraId="12A6BC45"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8.10</w:t>
            </w:r>
          </w:p>
        </w:tc>
        <w:tc>
          <w:tcPr>
            <w:tcW w:w="850" w:type="dxa"/>
            <w:tcBorders>
              <w:top w:val="nil"/>
              <w:left w:val="nil"/>
              <w:bottom w:val="nil"/>
              <w:right w:val="nil"/>
            </w:tcBorders>
          </w:tcPr>
          <w:p w14:paraId="21916ED2"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8.30</w:t>
            </w:r>
          </w:p>
        </w:tc>
        <w:tc>
          <w:tcPr>
            <w:tcW w:w="850" w:type="dxa"/>
            <w:tcBorders>
              <w:top w:val="nil"/>
              <w:left w:val="nil"/>
              <w:bottom w:val="nil"/>
              <w:right w:val="nil"/>
            </w:tcBorders>
          </w:tcPr>
          <w:p w14:paraId="63553A44"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8.55</w:t>
            </w:r>
          </w:p>
        </w:tc>
        <w:tc>
          <w:tcPr>
            <w:tcW w:w="851" w:type="dxa"/>
            <w:tcBorders>
              <w:top w:val="nil"/>
              <w:left w:val="nil"/>
              <w:bottom w:val="nil"/>
              <w:right w:val="nil"/>
            </w:tcBorders>
          </w:tcPr>
          <w:p w14:paraId="57A92396"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8.76</w:t>
            </w:r>
          </w:p>
        </w:tc>
        <w:tc>
          <w:tcPr>
            <w:tcW w:w="850" w:type="dxa"/>
            <w:tcBorders>
              <w:top w:val="nil"/>
              <w:left w:val="nil"/>
              <w:bottom w:val="nil"/>
              <w:right w:val="nil"/>
            </w:tcBorders>
          </w:tcPr>
          <w:p w14:paraId="0EC70604"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9.15</w:t>
            </w:r>
          </w:p>
        </w:tc>
        <w:tc>
          <w:tcPr>
            <w:tcW w:w="850" w:type="dxa"/>
            <w:tcBorders>
              <w:top w:val="nil"/>
              <w:left w:val="nil"/>
              <w:bottom w:val="nil"/>
              <w:right w:val="nil"/>
            </w:tcBorders>
          </w:tcPr>
          <w:p w14:paraId="043E76B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9.12</w:t>
            </w:r>
          </w:p>
        </w:tc>
        <w:tc>
          <w:tcPr>
            <w:tcW w:w="925" w:type="dxa"/>
            <w:tcBorders>
              <w:top w:val="nil"/>
              <w:left w:val="nil"/>
              <w:bottom w:val="nil"/>
              <w:right w:val="nil"/>
            </w:tcBorders>
          </w:tcPr>
          <w:p w14:paraId="6B5DD55F" w14:textId="77777777" w:rsidR="00837DA7" w:rsidRPr="00233EC8" w:rsidRDefault="00837DA7" w:rsidP="00353A9A">
            <w:pPr>
              <w:rPr>
                <w:rFonts w:asciiTheme="majorBidi" w:hAnsiTheme="majorBidi" w:cstheme="majorBidi"/>
                <w:sz w:val="20"/>
                <w:szCs w:val="20"/>
                <w:vertAlign w:val="superscript"/>
              </w:rPr>
            </w:pPr>
            <w:r w:rsidRPr="00233EC8">
              <w:rPr>
                <w:rFonts w:asciiTheme="majorBidi" w:hAnsiTheme="majorBidi" w:cstheme="majorBidi"/>
                <w:sz w:val="20"/>
                <w:szCs w:val="20"/>
              </w:rPr>
              <w:t>0.58</w:t>
            </w:r>
            <w:r w:rsidRPr="00233EC8">
              <w:rPr>
                <w:rFonts w:asciiTheme="majorBidi" w:hAnsiTheme="majorBidi" w:cstheme="majorBidi"/>
                <w:sz w:val="20"/>
                <w:szCs w:val="20"/>
                <w:vertAlign w:val="superscript"/>
              </w:rPr>
              <w:t>*</w:t>
            </w:r>
          </w:p>
        </w:tc>
        <w:tc>
          <w:tcPr>
            <w:tcW w:w="1168" w:type="dxa"/>
            <w:tcBorders>
              <w:top w:val="nil"/>
              <w:left w:val="nil"/>
              <w:bottom w:val="nil"/>
              <w:right w:val="nil"/>
            </w:tcBorders>
          </w:tcPr>
          <w:p w14:paraId="09CF9DDE"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tr w:rsidR="00837DA7" w:rsidRPr="00233EC8" w14:paraId="2A9B5A09" w14:textId="77777777" w:rsidTr="00353A9A">
        <w:tc>
          <w:tcPr>
            <w:tcW w:w="1737" w:type="dxa"/>
            <w:tcBorders>
              <w:top w:val="nil"/>
              <w:left w:val="nil"/>
              <w:bottom w:val="nil"/>
              <w:right w:val="nil"/>
            </w:tcBorders>
          </w:tcPr>
          <w:p w14:paraId="6C603035"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 xml:space="preserve">Median </w:t>
            </w:r>
          </w:p>
        </w:tc>
        <w:tc>
          <w:tcPr>
            <w:tcW w:w="850" w:type="dxa"/>
            <w:tcBorders>
              <w:top w:val="nil"/>
              <w:left w:val="nil"/>
              <w:bottom w:val="nil"/>
              <w:right w:val="nil"/>
            </w:tcBorders>
          </w:tcPr>
          <w:p w14:paraId="41265279"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8.33</w:t>
            </w:r>
          </w:p>
        </w:tc>
        <w:tc>
          <w:tcPr>
            <w:tcW w:w="850" w:type="dxa"/>
            <w:tcBorders>
              <w:top w:val="nil"/>
              <w:left w:val="nil"/>
              <w:bottom w:val="nil"/>
              <w:right w:val="nil"/>
            </w:tcBorders>
          </w:tcPr>
          <w:p w14:paraId="7636B11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8.33</w:t>
            </w:r>
          </w:p>
        </w:tc>
        <w:tc>
          <w:tcPr>
            <w:tcW w:w="850" w:type="dxa"/>
            <w:tcBorders>
              <w:top w:val="nil"/>
              <w:left w:val="nil"/>
              <w:bottom w:val="nil"/>
              <w:right w:val="nil"/>
            </w:tcBorders>
          </w:tcPr>
          <w:p w14:paraId="2B35987A"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8.33</w:t>
            </w:r>
          </w:p>
        </w:tc>
        <w:tc>
          <w:tcPr>
            <w:tcW w:w="850" w:type="dxa"/>
            <w:tcBorders>
              <w:top w:val="nil"/>
              <w:left w:val="nil"/>
              <w:bottom w:val="nil"/>
              <w:right w:val="nil"/>
            </w:tcBorders>
          </w:tcPr>
          <w:p w14:paraId="42274C5F"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8.33</w:t>
            </w:r>
          </w:p>
        </w:tc>
        <w:tc>
          <w:tcPr>
            <w:tcW w:w="851" w:type="dxa"/>
            <w:tcBorders>
              <w:top w:val="nil"/>
              <w:left w:val="nil"/>
              <w:bottom w:val="nil"/>
              <w:right w:val="nil"/>
            </w:tcBorders>
          </w:tcPr>
          <w:p w14:paraId="78A9C05C"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8.33</w:t>
            </w:r>
          </w:p>
        </w:tc>
        <w:tc>
          <w:tcPr>
            <w:tcW w:w="850" w:type="dxa"/>
            <w:tcBorders>
              <w:top w:val="nil"/>
              <w:left w:val="nil"/>
              <w:bottom w:val="nil"/>
              <w:right w:val="nil"/>
            </w:tcBorders>
          </w:tcPr>
          <w:p w14:paraId="2345802F"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8.33</w:t>
            </w:r>
          </w:p>
        </w:tc>
        <w:tc>
          <w:tcPr>
            <w:tcW w:w="850" w:type="dxa"/>
            <w:tcBorders>
              <w:top w:val="nil"/>
              <w:left w:val="nil"/>
              <w:bottom w:val="nil"/>
              <w:right w:val="nil"/>
            </w:tcBorders>
          </w:tcPr>
          <w:p w14:paraId="3C53612B"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8.33</w:t>
            </w:r>
          </w:p>
        </w:tc>
        <w:tc>
          <w:tcPr>
            <w:tcW w:w="925" w:type="dxa"/>
            <w:tcBorders>
              <w:top w:val="nil"/>
              <w:left w:val="nil"/>
              <w:bottom w:val="nil"/>
              <w:right w:val="nil"/>
            </w:tcBorders>
          </w:tcPr>
          <w:p w14:paraId="65C37D25"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68" w:type="dxa"/>
            <w:tcBorders>
              <w:top w:val="nil"/>
              <w:left w:val="nil"/>
              <w:bottom w:val="nil"/>
              <w:right w:val="nil"/>
            </w:tcBorders>
          </w:tcPr>
          <w:p w14:paraId="17A4DC12" w14:textId="77777777" w:rsidR="00837DA7" w:rsidRPr="00233EC8" w:rsidRDefault="00837DA7" w:rsidP="00353A9A">
            <w:pPr>
              <w:rPr>
                <w:rFonts w:asciiTheme="majorBidi" w:hAnsiTheme="majorBidi" w:cstheme="majorBidi"/>
                <w:sz w:val="20"/>
                <w:szCs w:val="20"/>
                <w:vertAlign w:val="superscript"/>
              </w:rPr>
            </w:pPr>
            <w:r w:rsidRPr="00233EC8">
              <w:rPr>
                <w:rFonts w:asciiTheme="majorBidi" w:hAnsiTheme="majorBidi" w:cstheme="majorBidi"/>
                <w:sz w:val="20"/>
                <w:szCs w:val="20"/>
              </w:rPr>
              <w:t>0.00</w:t>
            </w:r>
            <w:r w:rsidRPr="00233EC8">
              <w:rPr>
                <w:rFonts w:asciiTheme="majorBidi" w:hAnsiTheme="majorBidi" w:cstheme="majorBidi"/>
                <w:sz w:val="20"/>
                <w:szCs w:val="20"/>
                <w:vertAlign w:val="superscript"/>
              </w:rPr>
              <w:t>***</w:t>
            </w:r>
          </w:p>
        </w:tc>
      </w:tr>
      <w:tr w:rsidR="00837DA7" w:rsidRPr="00233EC8" w14:paraId="694A56BF" w14:textId="77777777" w:rsidTr="00353A9A">
        <w:tc>
          <w:tcPr>
            <w:tcW w:w="1737" w:type="dxa"/>
            <w:tcBorders>
              <w:top w:val="nil"/>
              <w:left w:val="nil"/>
              <w:bottom w:val="nil"/>
              <w:right w:val="nil"/>
            </w:tcBorders>
          </w:tcPr>
          <w:p w14:paraId="24D9C74A"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STD</w:t>
            </w:r>
          </w:p>
        </w:tc>
        <w:tc>
          <w:tcPr>
            <w:tcW w:w="850" w:type="dxa"/>
            <w:tcBorders>
              <w:top w:val="nil"/>
              <w:left w:val="nil"/>
              <w:bottom w:val="nil"/>
              <w:right w:val="nil"/>
            </w:tcBorders>
          </w:tcPr>
          <w:p w14:paraId="51BF285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4.05</w:t>
            </w:r>
          </w:p>
        </w:tc>
        <w:tc>
          <w:tcPr>
            <w:tcW w:w="850" w:type="dxa"/>
            <w:tcBorders>
              <w:top w:val="nil"/>
              <w:left w:val="nil"/>
              <w:bottom w:val="nil"/>
              <w:right w:val="nil"/>
            </w:tcBorders>
          </w:tcPr>
          <w:p w14:paraId="2D7A7B60"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3.83</w:t>
            </w:r>
          </w:p>
        </w:tc>
        <w:tc>
          <w:tcPr>
            <w:tcW w:w="850" w:type="dxa"/>
            <w:tcBorders>
              <w:top w:val="nil"/>
              <w:left w:val="nil"/>
              <w:bottom w:val="nil"/>
              <w:right w:val="nil"/>
            </w:tcBorders>
          </w:tcPr>
          <w:p w14:paraId="4EDBE472"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3.79</w:t>
            </w:r>
          </w:p>
        </w:tc>
        <w:tc>
          <w:tcPr>
            <w:tcW w:w="850" w:type="dxa"/>
            <w:tcBorders>
              <w:top w:val="nil"/>
              <w:left w:val="nil"/>
              <w:bottom w:val="nil"/>
              <w:right w:val="nil"/>
            </w:tcBorders>
          </w:tcPr>
          <w:p w14:paraId="64D7C9B2"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4.08</w:t>
            </w:r>
          </w:p>
        </w:tc>
        <w:tc>
          <w:tcPr>
            <w:tcW w:w="851" w:type="dxa"/>
            <w:tcBorders>
              <w:top w:val="nil"/>
              <w:left w:val="nil"/>
              <w:bottom w:val="nil"/>
              <w:right w:val="nil"/>
            </w:tcBorders>
          </w:tcPr>
          <w:p w14:paraId="45619B2A"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4.10</w:t>
            </w:r>
          </w:p>
        </w:tc>
        <w:tc>
          <w:tcPr>
            <w:tcW w:w="850" w:type="dxa"/>
            <w:tcBorders>
              <w:top w:val="nil"/>
              <w:left w:val="nil"/>
              <w:bottom w:val="nil"/>
              <w:right w:val="nil"/>
            </w:tcBorders>
          </w:tcPr>
          <w:p w14:paraId="4C8A6A8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4.25</w:t>
            </w:r>
          </w:p>
        </w:tc>
        <w:tc>
          <w:tcPr>
            <w:tcW w:w="850" w:type="dxa"/>
            <w:tcBorders>
              <w:top w:val="nil"/>
              <w:left w:val="nil"/>
              <w:bottom w:val="nil"/>
              <w:right w:val="nil"/>
            </w:tcBorders>
          </w:tcPr>
          <w:p w14:paraId="7524C54E"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4.22</w:t>
            </w:r>
          </w:p>
        </w:tc>
        <w:tc>
          <w:tcPr>
            <w:tcW w:w="925" w:type="dxa"/>
            <w:tcBorders>
              <w:top w:val="nil"/>
              <w:left w:val="nil"/>
              <w:bottom w:val="nil"/>
              <w:right w:val="nil"/>
            </w:tcBorders>
          </w:tcPr>
          <w:p w14:paraId="1EB23780"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68" w:type="dxa"/>
            <w:tcBorders>
              <w:top w:val="nil"/>
              <w:left w:val="nil"/>
              <w:bottom w:val="nil"/>
              <w:right w:val="nil"/>
            </w:tcBorders>
          </w:tcPr>
          <w:p w14:paraId="3607EE36"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tr w:rsidR="00837DA7" w:rsidRPr="00233EC8" w14:paraId="4C0C3F3F" w14:textId="77777777" w:rsidTr="00353A9A">
        <w:tc>
          <w:tcPr>
            <w:tcW w:w="1737" w:type="dxa"/>
            <w:tcBorders>
              <w:top w:val="nil"/>
              <w:left w:val="nil"/>
              <w:bottom w:val="nil"/>
              <w:right w:val="nil"/>
            </w:tcBorders>
          </w:tcPr>
          <w:p w14:paraId="63EEC203"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Minimum</w:t>
            </w:r>
          </w:p>
        </w:tc>
        <w:tc>
          <w:tcPr>
            <w:tcW w:w="850" w:type="dxa"/>
            <w:tcBorders>
              <w:top w:val="nil"/>
              <w:left w:val="nil"/>
              <w:bottom w:val="nil"/>
              <w:right w:val="nil"/>
            </w:tcBorders>
          </w:tcPr>
          <w:p w14:paraId="5995EB1E"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0" w:type="dxa"/>
            <w:tcBorders>
              <w:top w:val="nil"/>
              <w:left w:val="nil"/>
              <w:bottom w:val="nil"/>
              <w:right w:val="nil"/>
            </w:tcBorders>
          </w:tcPr>
          <w:p w14:paraId="6769CBAB"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0" w:type="dxa"/>
            <w:tcBorders>
              <w:top w:val="nil"/>
              <w:left w:val="nil"/>
              <w:bottom w:val="nil"/>
              <w:right w:val="nil"/>
            </w:tcBorders>
          </w:tcPr>
          <w:p w14:paraId="60B73CEE"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0" w:type="dxa"/>
            <w:tcBorders>
              <w:top w:val="nil"/>
              <w:left w:val="nil"/>
              <w:bottom w:val="nil"/>
              <w:right w:val="nil"/>
            </w:tcBorders>
          </w:tcPr>
          <w:p w14:paraId="70A9602F"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1" w:type="dxa"/>
            <w:tcBorders>
              <w:top w:val="nil"/>
              <w:left w:val="nil"/>
              <w:bottom w:val="nil"/>
              <w:right w:val="nil"/>
            </w:tcBorders>
          </w:tcPr>
          <w:p w14:paraId="2CDBD03B"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0" w:type="dxa"/>
            <w:tcBorders>
              <w:top w:val="nil"/>
              <w:left w:val="nil"/>
              <w:bottom w:val="nil"/>
              <w:right w:val="nil"/>
            </w:tcBorders>
          </w:tcPr>
          <w:p w14:paraId="07D0234E"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0" w:type="dxa"/>
            <w:tcBorders>
              <w:top w:val="nil"/>
              <w:left w:val="nil"/>
              <w:bottom w:val="nil"/>
              <w:right w:val="nil"/>
            </w:tcBorders>
          </w:tcPr>
          <w:p w14:paraId="56E71FD5"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925" w:type="dxa"/>
            <w:tcBorders>
              <w:top w:val="nil"/>
              <w:left w:val="nil"/>
              <w:bottom w:val="nil"/>
              <w:right w:val="nil"/>
            </w:tcBorders>
          </w:tcPr>
          <w:p w14:paraId="7BBD069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68" w:type="dxa"/>
            <w:tcBorders>
              <w:top w:val="nil"/>
              <w:left w:val="nil"/>
              <w:bottom w:val="nil"/>
              <w:right w:val="nil"/>
            </w:tcBorders>
          </w:tcPr>
          <w:p w14:paraId="1DB1E0D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tr w:rsidR="00837DA7" w:rsidRPr="00233EC8" w14:paraId="3FD45203" w14:textId="77777777" w:rsidTr="00353A9A">
        <w:tc>
          <w:tcPr>
            <w:tcW w:w="1737" w:type="dxa"/>
            <w:tcBorders>
              <w:top w:val="nil"/>
              <w:left w:val="nil"/>
              <w:bottom w:val="nil"/>
              <w:right w:val="nil"/>
            </w:tcBorders>
          </w:tcPr>
          <w:p w14:paraId="0CE3403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Maximum</w:t>
            </w:r>
          </w:p>
        </w:tc>
        <w:tc>
          <w:tcPr>
            <w:tcW w:w="850" w:type="dxa"/>
            <w:tcBorders>
              <w:top w:val="nil"/>
              <w:left w:val="nil"/>
              <w:bottom w:val="nil"/>
              <w:right w:val="nil"/>
            </w:tcBorders>
          </w:tcPr>
          <w:p w14:paraId="05240A4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29.17</w:t>
            </w:r>
          </w:p>
        </w:tc>
        <w:tc>
          <w:tcPr>
            <w:tcW w:w="850" w:type="dxa"/>
            <w:tcBorders>
              <w:top w:val="nil"/>
              <w:left w:val="nil"/>
              <w:bottom w:val="nil"/>
              <w:right w:val="nil"/>
            </w:tcBorders>
          </w:tcPr>
          <w:p w14:paraId="52ABF0E8"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25.00</w:t>
            </w:r>
          </w:p>
        </w:tc>
        <w:tc>
          <w:tcPr>
            <w:tcW w:w="850" w:type="dxa"/>
            <w:tcBorders>
              <w:top w:val="nil"/>
              <w:left w:val="nil"/>
              <w:bottom w:val="nil"/>
              <w:right w:val="nil"/>
            </w:tcBorders>
          </w:tcPr>
          <w:p w14:paraId="2945D25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25.00</w:t>
            </w:r>
          </w:p>
        </w:tc>
        <w:tc>
          <w:tcPr>
            <w:tcW w:w="850" w:type="dxa"/>
            <w:tcBorders>
              <w:top w:val="nil"/>
              <w:left w:val="nil"/>
              <w:bottom w:val="nil"/>
              <w:right w:val="nil"/>
            </w:tcBorders>
          </w:tcPr>
          <w:p w14:paraId="76A245B0"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25.00</w:t>
            </w:r>
          </w:p>
        </w:tc>
        <w:tc>
          <w:tcPr>
            <w:tcW w:w="851" w:type="dxa"/>
            <w:tcBorders>
              <w:top w:val="nil"/>
              <w:left w:val="nil"/>
              <w:bottom w:val="nil"/>
              <w:right w:val="nil"/>
            </w:tcBorders>
          </w:tcPr>
          <w:p w14:paraId="4A587017"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25.00</w:t>
            </w:r>
          </w:p>
        </w:tc>
        <w:tc>
          <w:tcPr>
            <w:tcW w:w="850" w:type="dxa"/>
            <w:tcBorders>
              <w:top w:val="nil"/>
              <w:left w:val="nil"/>
              <w:bottom w:val="nil"/>
              <w:right w:val="nil"/>
            </w:tcBorders>
          </w:tcPr>
          <w:p w14:paraId="3DD105A3"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25.00</w:t>
            </w:r>
          </w:p>
        </w:tc>
        <w:tc>
          <w:tcPr>
            <w:tcW w:w="850" w:type="dxa"/>
            <w:tcBorders>
              <w:top w:val="nil"/>
              <w:left w:val="nil"/>
              <w:bottom w:val="nil"/>
              <w:right w:val="nil"/>
            </w:tcBorders>
          </w:tcPr>
          <w:p w14:paraId="16D20B8B"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29.17</w:t>
            </w:r>
          </w:p>
        </w:tc>
        <w:tc>
          <w:tcPr>
            <w:tcW w:w="925" w:type="dxa"/>
            <w:tcBorders>
              <w:top w:val="nil"/>
              <w:left w:val="nil"/>
              <w:bottom w:val="nil"/>
              <w:right w:val="nil"/>
            </w:tcBorders>
          </w:tcPr>
          <w:p w14:paraId="1311985C"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68" w:type="dxa"/>
            <w:tcBorders>
              <w:top w:val="nil"/>
              <w:left w:val="nil"/>
              <w:bottom w:val="nil"/>
              <w:right w:val="nil"/>
            </w:tcBorders>
          </w:tcPr>
          <w:p w14:paraId="250EB22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tr w:rsidR="00837DA7" w:rsidRPr="00233EC8" w14:paraId="7454DC96" w14:textId="77777777" w:rsidTr="00353A9A">
        <w:tc>
          <w:tcPr>
            <w:tcW w:w="9781" w:type="dxa"/>
            <w:gridSpan w:val="10"/>
            <w:tcBorders>
              <w:top w:val="nil"/>
              <w:left w:val="nil"/>
              <w:bottom w:val="nil"/>
              <w:right w:val="nil"/>
            </w:tcBorders>
          </w:tcPr>
          <w:p w14:paraId="4F5B158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i/>
                <w:iCs/>
                <w:sz w:val="20"/>
                <w:szCs w:val="20"/>
              </w:rPr>
              <w:t xml:space="preserve">Panel 3.3: Student experience (%) </w:t>
            </w:r>
          </w:p>
        </w:tc>
      </w:tr>
      <w:tr w:rsidR="00837DA7" w:rsidRPr="00233EC8" w14:paraId="364615B0" w14:textId="77777777" w:rsidTr="00353A9A">
        <w:tc>
          <w:tcPr>
            <w:tcW w:w="1737" w:type="dxa"/>
            <w:tcBorders>
              <w:top w:val="nil"/>
              <w:left w:val="nil"/>
              <w:bottom w:val="nil"/>
              <w:right w:val="nil"/>
            </w:tcBorders>
          </w:tcPr>
          <w:p w14:paraId="769F67D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Mean</w:t>
            </w:r>
          </w:p>
        </w:tc>
        <w:tc>
          <w:tcPr>
            <w:tcW w:w="850" w:type="dxa"/>
            <w:tcBorders>
              <w:top w:val="nil"/>
              <w:left w:val="nil"/>
              <w:bottom w:val="nil"/>
              <w:right w:val="nil"/>
            </w:tcBorders>
          </w:tcPr>
          <w:p w14:paraId="5C5EAA8B"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18.14</w:t>
            </w:r>
          </w:p>
        </w:tc>
        <w:tc>
          <w:tcPr>
            <w:tcW w:w="850" w:type="dxa"/>
            <w:tcBorders>
              <w:top w:val="nil"/>
              <w:left w:val="nil"/>
              <w:bottom w:val="nil"/>
              <w:right w:val="nil"/>
            </w:tcBorders>
          </w:tcPr>
          <w:p w14:paraId="36C18CCF"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16.38</w:t>
            </w:r>
          </w:p>
        </w:tc>
        <w:tc>
          <w:tcPr>
            <w:tcW w:w="850" w:type="dxa"/>
            <w:tcBorders>
              <w:top w:val="nil"/>
              <w:left w:val="nil"/>
              <w:bottom w:val="nil"/>
              <w:right w:val="nil"/>
            </w:tcBorders>
          </w:tcPr>
          <w:p w14:paraId="3A43B3C5"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17.05</w:t>
            </w:r>
          </w:p>
        </w:tc>
        <w:tc>
          <w:tcPr>
            <w:tcW w:w="850" w:type="dxa"/>
            <w:tcBorders>
              <w:top w:val="nil"/>
              <w:left w:val="nil"/>
              <w:bottom w:val="nil"/>
              <w:right w:val="nil"/>
            </w:tcBorders>
          </w:tcPr>
          <w:p w14:paraId="52546CD9"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17.45</w:t>
            </w:r>
          </w:p>
        </w:tc>
        <w:tc>
          <w:tcPr>
            <w:tcW w:w="851" w:type="dxa"/>
            <w:tcBorders>
              <w:top w:val="nil"/>
              <w:left w:val="nil"/>
              <w:bottom w:val="nil"/>
              <w:right w:val="nil"/>
            </w:tcBorders>
          </w:tcPr>
          <w:p w14:paraId="0BE0AA56"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18.16</w:t>
            </w:r>
          </w:p>
        </w:tc>
        <w:tc>
          <w:tcPr>
            <w:tcW w:w="850" w:type="dxa"/>
            <w:tcBorders>
              <w:top w:val="nil"/>
              <w:left w:val="nil"/>
              <w:bottom w:val="nil"/>
              <w:right w:val="nil"/>
            </w:tcBorders>
          </w:tcPr>
          <w:p w14:paraId="44F34F2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19.47</w:t>
            </w:r>
          </w:p>
        </w:tc>
        <w:tc>
          <w:tcPr>
            <w:tcW w:w="850" w:type="dxa"/>
            <w:tcBorders>
              <w:top w:val="nil"/>
              <w:left w:val="nil"/>
              <w:bottom w:val="nil"/>
              <w:right w:val="nil"/>
            </w:tcBorders>
          </w:tcPr>
          <w:p w14:paraId="452F6D12"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20.35</w:t>
            </w:r>
          </w:p>
        </w:tc>
        <w:tc>
          <w:tcPr>
            <w:tcW w:w="925" w:type="dxa"/>
            <w:tcBorders>
              <w:top w:val="nil"/>
              <w:left w:val="nil"/>
              <w:bottom w:val="nil"/>
              <w:right w:val="nil"/>
            </w:tcBorders>
          </w:tcPr>
          <w:p w14:paraId="47781B56"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0.82</w:t>
            </w:r>
          </w:p>
        </w:tc>
        <w:tc>
          <w:tcPr>
            <w:tcW w:w="1168" w:type="dxa"/>
            <w:tcBorders>
              <w:top w:val="nil"/>
              <w:left w:val="nil"/>
              <w:bottom w:val="nil"/>
              <w:right w:val="nil"/>
            </w:tcBorders>
          </w:tcPr>
          <w:p w14:paraId="65BD9D3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tr w:rsidR="00837DA7" w:rsidRPr="00233EC8" w14:paraId="2152188A" w14:textId="77777777" w:rsidTr="00353A9A">
        <w:tc>
          <w:tcPr>
            <w:tcW w:w="1737" w:type="dxa"/>
            <w:tcBorders>
              <w:top w:val="nil"/>
              <w:left w:val="nil"/>
              <w:bottom w:val="nil"/>
              <w:right w:val="nil"/>
            </w:tcBorders>
          </w:tcPr>
          <w:p w14:paraId="39BAC353"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 xml:space="preserve">Median </w:t>
            </w:r>
          </w:p>
        </w:tc>
        <w:tc>
          <w:tcPr>
            <w:tcW w:w="850" w:type="dxa"/>
            <w:tcBorders>
              <w:top w:val="nil"/>
              <w:left w:val="nil"/>
              <w:bottom w:val="nil"/>
              <w:right w:val="nil"/>
            </w:tcBorders>
          </w:tcPr>
          <w:p w14:paraId="4CE41E7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16.67</w:t>
            </w:r>
          </w:p>
        </w:tc>
        <w:tc>
          <w:tcPr>
            <w:tcW w:w="850" w:type="dxa"/>
            <w:tcBorders>
              <w:top w:val="nil"/>
              <w:left w:val="nil"/>
              <w:bottom w:val="nil"/>
              <w:right w:val="nil"/>
            </w:tcBorders>
          </w:tcPr>
          <w:p w14:paraId="6670C657"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16.67</w:t>
            </w:r>
          </w:p>
        </w:tc>
        <w:tc>
          <w:tcPr>
            <w:tcW w:w="850" w:type="dxa"/>
            <w:tcBorders>
              <w:top w:val="nil"/>
              <w:left w:val="nil"/>
              <w:bottom w:val="nil"/>
              <w:right w:val="nil"/>
            </w:tcBorders>
          </w:tcPr>
          <w:p w14:paraId="0F75EA06"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16.67</w:t>
            </w:r>
          </w:p>
        </w:tc>
        <w:tc>
          <w:tcPr>
            <w:tcW w:w="850" w:type="dxa"/>
            <w:tcBorders>
              <w:top w:val="nil"/>
              <w:left w:val="nil"/>
              <w:bottom w:val="nil"/>
              <w:right w:val="nil"/>
            </w:tcBorders>
          </w:tcPr>
          <w:p w14:paraId="399FA9AB"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16.67</w:t>
            </w:r>
          </w:p>
        </w:tc>
        <w:tc>
          <w:tcPr>
            <w:tcW w:w="851" w:type="dxa"/>
            <w:tcBorders>
              <w:top w:val="nil"/>
              <w:left w:val="nil"/>
              <w:bottom w:val="nil"/>
              <w:right w:val="nil"/>
            </w:tcBorders>
          </w:tcPr>
          <w:p w14:paraId="3D3CD585"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16.67</w:t>
            </w:r>
          </w:p>
        </w:tc>
        <w:tc>
          <w:tcPr>
            <w:tcW w:w="850" w:type="dxa"/>
            <w:tcBorders>
              <w:top w:val="nil"/>
              <w:left w:val="nil"/>
              <w:bottom w:val="nil"/>
              <w:right w:val="nil"/>
            </w:tcBorders>
          </w:tcPr>
          <w:p w14:paraId="61D82555"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16.67</w:t>
            </w:r>
          </w:p>
        </w:tc>
        <w:tc>
          <w:tcPr>
            <w:tcW w:w="850" w:type="dxa"/>
            <w:tcBorders>
              <w:top w:val="nil"/>
              <w:left w:val="nil"/>
              <w:bottom w:val="nil"/>
              <w:right w:val="nil"/>
            </w:tcBorders>
          </w:tcPr>
          <w:p w14:paraId="3C1D1BC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19.44</w:t>
            </w:r>
          </w:p>
        </w:tc>
        <w:tc>
          <w:tcPr>
            <w:tcW w:w="925" w:type="dxa"/>
            <w:tcBorders>
              <w:top w:val="nil"/>
              <w:left w:val="nil"/>
              <w:bottom w:val="nil"/>
              <w:right w:val="nil"/>
            </w:tcBorders>
          </w:tcPr>
          <w:p w14:paraId="43C04CDB"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68" w:type="dxa"/>
            <w:tcBorders>
              <w:top w:val="nil"/>
              <w:left w:val="nil"/>
              <w:bottom w:val="nil"/>
              <w:right w:val="nil"/>
            </w:tcBorders>
          </w:tcPr>
          <w:p w14:paraId="43514F0A" w14:textId="77777777" w:rsidR="00837DA7" w:rsidRPr="00233EC8" w:rsidRDefault="00837DA7" w:rsidP="00353A9A">
            <w:pPr>
              <w:rPr>
                <w:rFonts w:asciiTheme="majorBidi" w:hAnsiTheme="majorBidi" w:cstheme="majorBidi"/>
                <w:sz w:val="20"/>
                <w:szCs w:val="20"/>
                <w:vertAlign w:val="superscript"/>
              </w:rPr>
            </w:pPr>
            <w:r w:rsidRPr="00233EC8">
              <w:rPr>
                <w:rFonts w:asciiTheme="majorBidi" w:hAnsiTheme="majorBidi" w:cstheme="majorBidi"/>
                <w:sz w:val="20"/>
                <w:szCs w:val="20"/>
              </w:rPr>
              <w:t>2.77</w:t>
            </w:r>
            <w:r w:rsidRPr="00233EC8">
              <w:rPr>
                <w:rFonts w:asciiTheme="majorBidi" w:hAnsiTheme="majorBidi" w:cstheme="majorBidi"/>
                <w:sz w:val="20"/>
                <w:szCs w:val="20"/>
                <w:vertAlign w:val="superscript"/>
              </w:rPr>
              <w:t>**</w:t>
            </w:r>
          </w:p>
        </w:tc>
      </w:tr>
      <w:tr w:rsidR="00837DA7" w:rsidRPr="00233EC8" w14:paraId="0FF94FCB" w14:textId="77777777" w:rsidTr="00353A9A">
        <w:tc>
          <w:tcPr>
            <w:tcW w:w="1737" w:type="dxa"/>
            <w:tcBorders>
              <w:top w:val="nil"/>
              <w:left w:val="nil"/>
              <w:bottom w:val="nil"/>
              <w:right w:val="nil"/>
            </w:tcBorders>
          </w:tcPr>
          <w:p w14:paraId="65841ACE"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STD</w:t>
            </w:r>
          </w:p>
        </w:tc>
        <w:tc>
          <w:tcPr>
            <w:tcW w:w="850" w:type="dxa"/>
            <w:tcBorders>
              <w:top w:val="nil"/>
              <w:left w:val="nil"/>
              <w:bottom w:val="nil"/>
              <w:right w:val="nil"/>
            </w:tcBorders>
          </w:tcPr>
          <w:p w14:paraId="18054547"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11.43</w:t>
            </w:r>
          </w:p>
        </w:tc>
        <w:tc>
          <w:tcPr>
            <w:tcW w:w="850" w:type="dxa"/>
            <w:tcBorders>
              <w:top w:val="nil"/>
              <w:left w:val="nil"/>
              <w:bottom w:val="nil"/>
              <w:right w:val="nil"/>
            </w:tcBorders>
          </w:tcPr>
          <w:p w14:paraId="1D3F729C"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10.80</w:t>
            </w:r>
          </w:p>
        </w:tc>
        <w:tc>
          <w:tcPr>
            <w:tcW w:w="850" w:type="dxa"/>
            <w:tcBorders>
              <w:top w:val="nil"/>
              <w:left w:val="nil"/>
              <w:bottom w:val="nil"/>
              <w:right w:val="nil"/>
            </w:tcBorders>
          </w:tcPr>
          <w:p w14:paraId="261C9EE5"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10.80</w:t>
            </w:r>
          </w:p>
        </w:tc>
        <w:tc>
          <w:tcPr>
            <w:tcW w:w="850" w:type="dxa"/>
            <w:tcBorders>
              <w:top w:val="nil"/>
              <w:left w:val="nil"/>
              <w:bottom w:val="nil"/>
              <w:right w:val="nil"/>
            </w:tcBorders>
          </w:tcPr>
          <w:p w14:paraId="330870F6"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4.67</w:t>
            </w:r>
          </w:p>
        </w:tc>
        <w:tc>
          <w:tcPr>
            <w:tcW w:w="851" w:type="dxa"/>
            <w:tcBorders>
              <w:top w:val="nil"/>
              <w:left w:val="nil"/>
              <w:bottom w:val="nil"/>
              <w:right w:val="nil"/>
            </w:tcBorders>
          </w:tcPr>
          <w:p w14:paraId="65E268E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11.34</w:t>
            </w:r>
          </w:p>
        </w:tc>
        <w:tc>
          <w:tcPr>
            <w:tcW w:w="850" w:type="dxa"/>
            <w:tcBorders>
              <w:top w:val="nil"/>
              <w:left w:val="nil"/>
              <w:bottom w:val="nil"/>
              <w:right w:val="nil"/>
            </w:tcBorders>
          </w:tcPr>
          <w:p w14:paraId="39E04AF4"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11.97</w:t>
            </w:r>
          </w:p>
        </w:tc>
        <w:tc>
          <w:tcPr>
            <w:tcW w:w="850" w:type="dxa"/>
            <w:tcBorders>
              <w:top w:val="nil"/>
              <w:left w:val="nil"/>
              <w:bottom w:val="nil"/>
              <w:right w:val="nil"/>
            </w:tcBorders>
          </w:tcPr>
          <w:p w14:paraId="6CA839F8"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12.28</w:t>
            </w:r>
          </w:p>
        </w:tc>
        <w:tc>
          <w:tcPr>
            <w:tcW w:w="925" w:type="dxa"/>
            <w:tcBorders>
              <w:top w:val="nil"/>
              <w:left w:val="nil"/>
              <w:bottom w:val="nil"/>
              <w:right w:val="nil"/>
            </w:tcBorders>
          </w:tcPr>
          <w:p w14:paraId="0CC4DC4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68" w:type="dxa"/>
            <w:tcBorders>
              <w:top w:val="nil"/>
              <w:left w:val="nil"/>
              <w:bottom w:val="nil"/>
              <w:right w:val="nil"/>
            </w:tcBorders>
          </w:tcPr>
          <w:p w14:paraId="77443D87"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tr w:rsidR="00837DA7" w:rsidRPr="00233EC8" w14:paraId="19AF8BC8" w14:textId="77777777" w:rsidTr="00353A9A">
        <w:tc>
          <w:tcPr>
            <w:tcW w:w="1737" w:type="dxa"/>
            <w:tcBorders>
              <w:top w:val="nil"/>
              <w:left w:val="nil"/>
              <w:bottom w:val="nil"/>
              <w:right w:val="nil"/>
            </w:tcBorders>
          </w:tcPr>
          <w:p w14:paraId="6A76DA03"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Minimum</w:t>
            </w:r>
          </w:p>
        </w:tc>
        <w:tc>
          <w:tcPr>
            <w:tcW w:w="850" w:type="dxa"/>
            <w:tcBorders>
              <w:top w:val="nil"/>
              <w:left w:val="nil"/>
              <w:bottom w:val="nil"/>
              <w:right w:val="nil"/>
            </w:tcBorders>
          </w:tcPr>
          <w:p w14:paraId="6C9698E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0" w:type="dxa"/>
            <w:tcBorders>
              <w:top w:val="nil"/>
              <w:left w:val="nil"/>
              <w:bottom w:val="nil"/>
              <w:right w:val="nil"/>
            </w:tcBorders>
          </w:tcPr>
          <w:p w14:paraId="6875B54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0" w:type="dxa"/>
            <w:tcBorders>
              <w:top w:val="nil"/>
              <w:left w:val="nil"/>
              <w:bottom w:val="nil"/>
              <w:right w:val="nil"/>
            </w:tcBorders>
          </w:tcPr>
          <w:p w14:paraId="06B773E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0" w:type="dxa"/>
            <w:tcBorders>
              <w:top w:val="nil"/>
              <w:left w:val="nil"/>
              <w:bottom w:val="nil"/>
              <w:right w:val="nil"/>
            </w:tcBorders>
          </w:tcPr>
          <w:p w14:paraId="46E53C7B"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1" w:type="dxa"/>
            <w:tcBorders>
              <w:top w:val="nil"/>
              <w:left w:val="nil"/>
              <w:bottom w:val="nil"/>
              <w:right w:val="nil"/>
            </w:tcBorders>
          </w:tcPr>
          <w:p w14:paraId="634E07EF"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0" w:type="dxa"/>
            <w:tcBorders>
              <w:top w:val="nil"/>
              <w:left w:val="nil"/>
              <w:bottom w:val="nil"/>
              <w:right w:val="nil"/>
            </w:tcBorders>
          </w:tcPr>
          <w:p w14:paraId="43934014"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0" w:type="dxa"/>
            <w:tcBorders>
              <w:top w:val="nil"/>
              <w:left w:val="nil"/>
              <w:bottom w:val="nil"/>
              <w:right w:val="nil"/>
            </w:tcBorders>
          </w:tcPr>
          <w:p w14:paraId="030E1A75"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925" w:type="dxa"/>
            <w:tcBorders>
              <w:top w:val="nil"/>
              <w:left w:val="nil"/>
              <w:bottom w:val="nil"/>
              <w:right w:val="nil"/>
            </w:tcBorders>
          </w:tcPr>
          <w:p w14:paraId="4F19B027"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68" w:type="dxa"/>
            <w:tcBorders>
              <w:top w:val="nil"/>
              <w:left w:val="nil"/>
              <w:bottom w:val="nil"/>
              <w:right w:val="nil"/>
            </w:tcBorders>
          </w:tcPr>
          <w:p w14:paraId="2787A41C"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tr w:rsidR="00837DA7" w:rsidRPr="00233EC8" w14:paraId="61A88616" w14:textId="77777777" w:rsidTr="00353A9A">
        <w:tc>
          <w:tcPr>
            <w:tcW w:w="1737" w:type="dxa"/>
            <w:tcBorders>
              <w:top w:val="nil"/>
              <w:left w:val="nil"/>
              <w:bottom w:val="nil"/>
              <w:right w:val="nil"/>
            </w:tcBorders>
          </w:tcPr>
          <w:p w14:paraId="7E9247A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Maximum</w:t>
            </w:r>
          </w:p>
        </w:tc>
        <w:tc>
          <w:tcPr>
            <w:tcW w:w="850" w:type="dxa"/>
            <w:tcBorders>
              <w:top w:val="nil"/>
              <w:left w:val="nil"/>
              <w:bottom w:val="nil"/>
              <w:right w:val="nil"/>
            </w:tcBorders>
          </w:tcPr>
          <w:p w14:paraId="4CD4B7C0"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52.78</w:t>
            </w:r>
          </w:p>
        </w:tc>
        <w:tc>
          <w:tcPr>
            <w:tcW w:w="850" w:type="dxa"/>
            <w:tcBorders>
              <w:top w:val="nil"/>
              <w:left w:val="nil"/>
              <w:bottom w:val="nil"/>
              <w:right w:val="nil"/>
            </w:tcBorders>
          </w:tcPr>
          <w:p w14:paraId="179A1CF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44.44</w:t>
            </w:r>
          </w:p>
        </w:tc>
        <w:tc>
          <w:tcPr>
            <w:tcW w:w="850" w:type="dxa"/>
            <w:tcBorders>
              <w:top w:val="nil"/>
              <w:left w:val="nil"/>
              <w:bottom w:val="nil"/>
              <w:right w:val="nil"/>
            </w:tcBorders>
          </w:tcPr>
          <w:p w14:paraId="0E56E064"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44.44</w:t>
            </w:r>
          </w:p>
        </w:tc>
        <w:tc>
          <w:tcPr>
            <w:tcW w:w="850" w:type="dxa"/>
            <w:tcBorders>
              <w:top w:val="nil"/>
              <w:left w:val="nil"/>
              <w:bottom w:val="nil"/>
              <w:right w:val="nil"/>
            </w:tcBorders>
          </w:tcPr>
          <w:p w14:paraId="35EB24EF"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30.00</w:t>
            </w:r>
          </w:p>
        </w:tc>
        <w:tc>
          <w:tcPr>
            <w:tcW w:w="851" w:type="dxa"/>
            <w:tcBorders>
              <w:top w:val="nil"/>
              <w:left w:val="nil"/>
              <w:bottom w:val="nil"/>
              <w:right w:val="nil"/>
            </w:tcBorders>
          </w:tcPr>
          <w:p w14:paraId="18F4BF0A"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50.00</w:t>
            </w:r>
          </w:p>
        </w:tc>
        <w:tc>
          <w:tcPr>
            <w:tcW w:w="850" w:type="dxa"/>
            <w:tcBorders>
              <w:top w:val="nil"/>
              <w:left w:val="nil"/>
              <w:bottom w:val="nil"/>
              <w:right w:val="nil"/>
            </w:tcBorders>
          </w:tcPr>
          <w:p w14:paraId="0051B0CA"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50.00</w:t>
            </w:r>
          </w:p>
        </w:tc>
        <w:tc>
          <w:tcPr>
            <w:tcW w:w="850" w:type="dxa"/>
            <w:tcBorders>
              <w:top w:val="nil"/>
              <w:left w:val="nil"/>
              <w:bottom w:val="nil"/>
              <w:right w:val="nil"/>
            </w:tcBorders>
          </w:tcPr>
          <w:p w14:paraId="58F7D3C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52.78</w:t>
            </w:r>
          </w:p>
        </w:tc>
        <w:tc>
          <w:tcPr>
            <w:tcW w:w="925" w:type="dxa"/>
            <w:tcBorders>
              <w:top w:val="nil"/>
              <w:left w:val="nil"/>
              <w:bottom w:val="nil"/>
              <w:right w:val="nil"/>
            </w:tcBorders>
          </w:tcPr>
          <w:p w14:paraId="368555F0"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68" w:type="dxa"/>
            <w:tcBorders>
              <w:top w:val="nil"/>
              <w:left w:val="nil"/>
              <w:bottom w:val="nil"/>
              <w:right w:val="nil"/>
            </w:tcBorders>
          </w:tcPr>
          <w:p w14:paraId="343EA0B8"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tr w:rsidR="00837DA7" w:rsidRPr="00233EC8" w14:paraId="6C64CEE5" w14:textId="77777777" w:rsidTr="00353A9A">
        <w:tc>
          <w:tcPr>
            <w:tcW w:w="9781" w:type="dxa"/>
            <w:gridSpan w:val="10"/>
            <w:tcBorders>
              <w:top w:val="nil"/>
              <w:left w:val="nil"/>
              <w:bottom w:val="nil"/>
              <w:right w:val="nil"/>
            </w:tcBorders>
          </w:tcPr>
          <w:p w14:paraId="192CF2A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i/>
                <w:iCs/>
                <w:sz w:val="20"/>
                <w:szCs w:val="20"/>
              </w:rPr>
              <w:t>Panel 3.4: Information technology (%)</w:t>
            </w:r>
          </w:p>
        </w:tc>
      </w:tr>
      <w:tr w:rsidR="00837DA7" w:rsidRPr="00233EC8" w14:paraId="6BF95C8C" w14:textId="77777777" w:rsidTr="00353A9A">
        <w:tc>
          <w:tcPr>
            <w:tcW w:w="1737" w:type="dxa"/>
            <w:tcBorders>
              <w:top w:val="nil"/>
              <w:left w:val="nil"/>
              <w:bottom w:val="nil"/>
              <w:right w:val="nil"/>
            </w:tcBorders>
          </w:tcPr>
          <w:p w14:paraId="7262212C"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Mean</w:t>
            </w:r>
          </w:p>
        </w:tc>
        <w:tc>
          <w:tcPr>
            <w:tcW w:w="850" w:type="dxa"/>
            <w:tcBorders>
              <w:top w:val="nil"/>
              <w:left w:val="nil"/>
              <w:bottom w:val="nil"/>
              <w:right w:val="nil"/>
            </w:tcBorders>
          </w:tcPr>
          <w:p w14:paraId="399F8A19"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2.65</w:t>
            </w:r>
          </w:p>
        </w:tc>
        <w:tc>
          <w:tcPr>
            <w:tcW w:w="850" w:type="dxa"/>
            <w:tcBorders>
              <w:top w:val="nil"/>
              <w:left w:val="nil"/>
              <w:bottom w:val="nil"/>
              <w:right w:val="nil"/>
            </w:tcBorders>
          </w:tcPr>
          <w:p w14:paraId="3881B753"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1.91</w:t>
            </w:r>
          </w:p>
        </w:tc>
        <w:tc>
          <w:tcPr>
            <w:tcW w:w="850" w:type="dxa"/>
            <w:tcBorders>
              <w:top w:val="nil"/>
              <w:left w:val="nil"/>
              <w:bottom w:val="nil"/>
              <w:right w:val="nil"/>
            </w:tcBorders>
          </w:tcPr>
          <w:p w14:paraId="6362C79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2.36</w:t>
            </w:r>
          </w:p>
        </w:tc>
        <w:tc>
          <w:tcPr>
            <w:tcW w:w="850" w:type="dxa"/>
            <w:tcBorders>
              <w:top w:val="nil"/>
              <w:left w:val="nil"/>
              <w:bottom w:val="nil"/>
              <w:right w:val="nil"/>
            </w:tcBorders>
          </w:tcPr>
          <w:p w14:paraId="5F90B16B"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2.51</w:t>
            </w:r>
          </w:p>
        </w:tc>
        <w:tc>
          <w:tcPr>
            <w:tcW w:w="851" w:type="dxa"/>
            <w:tcBorders>
              <w:top w:val="nil"/>
              <w:left w:val="nil"/>
              <w:bottom w:val="nil"/>
              <w:right w:val="nil"/>
            </w:tcBorders>
          </w:tcPr>
          <w:p w14:paraId="4CF3387A"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2.56</w:t>
            </w:r>
          </w:p>
        </w:tc>
        <w:tc>
          <w:tcPr>
            <w:tcW w:w="850" w:type="dxa"/>
            <w:tcBorders>
              <w:top w:val="nil"/>
              <w:left w:val="nil"/>
              <w:bottom w:val="nil"/>
              <w:right w:val="nil"/>
            </w:tcBorders>
          </w:tcPr>
          <w:p w14:paraId="29CA7BA9"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2.74</w:t>
            </w:r>
          </w:p>
        </w:tc>
        <w:tc>
          <w:tcPr>
            <w:tcW w:w="850" w:type="dxa"/>
            <w:tcBorders>
              <w:top w:val="nil"/>
              <w:left w:val="nil"/>
              <w:bottom w:val="nil"/>
              <w:right w:val="nil"/>
            </w:tcBorders>
          </w:tcPr>
          <w:p w14:paraId="57F6C5FB"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3.82</w:t>
            </w:r>
          </w:p>
        </w:tc>
        <w:tc>
          <w:tcPr>
            <w:tcW w:w="925" w:type="dxa"/>
            <w:tcBorders>
              <w:top w:val="nil"/>
              <w:left w:val="nil"/>
              <w:bottom w:val="nil"/>
              <w:right w:val="nil"/>
            </w:tcBorders>
          </w:tcPr>
          <w:p w14:paraId="311601E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0.54</w:t>
            </w:r>
          </w:p>
        </w:tc>
        <w:tc>
          <w:tcPr>
            <w:tcW w:w="1168" w:type="dxa"/>
            <w:tcBorders>
              <w:top w:val="nil"/>
              <w:left w:val="nil"/>
              <w:bottom w:val="nil"/>
              <w:right w:val="nil"/>
            </w:tcBorders>
          </w:tcPr>
          <w:p w14:paraId="3452EA75"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tr w:rsidR="00837DA7" w:rsidRPr="00233EC8" w14:paraId="6D0A6452" w14:textId="77777777" w:rsidTr="00353A9A">
        <w:tc>
          <w:tcPr>
            <w:tcW w:w="1737" w:type="dxa"/>
            <w:tcBorders>
              <w:top w:val="nil"/>
              <w:left w:val="nil"/>
              <w:bottom w:val="nil"/>
              <w:right w:val="nil"/>
            </w:tcBorders>
          </w:tcPr>
          <w:p w14:paraId="58606317"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 xml:space="preserve">Median </w:t>
            </w:r>
          </w:p>
        </w:tc>
        <w:tc>
          <w:tcPr>
            <w:tcW w:w="850" w:type="dxa"/>
            <w:tcBorders>
              <w:top w:val="nil"/>
              <w:left w:val="nil"/>
              <w:bottom w:val="nil"/>
              <w:right w:val="nil"/>
            </w:tcBorders>
          </w:tcPr>
          <w:p w14:paraId="04C6497E"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0" w:type="dxa"/>
            <w:tcBorders>
              <w:top w:val="nil"/>
              <w:left w:val="nil"/>
              <w:bottom w:val="nil"/>
              <w:right w:val="nil"/>
            </w:tcBorders>
          </w:tcPr>
          <w:p w14:paraId="45FE1BF9"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0" w:type="dxa"/>
            <w:tcBorders>
              <w:top w:val="nil"/>
              <w:left w:val="nil"/>
              <w:bottom w:val="nil"/>
              <w:right w:val="nil"/>
            </w:tcBorders>
          </w:tcPr>
          <w:p w14:paraId="4083F7F3"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0" w:type="dxa"/>
            <w:tcBorders>
              <w:top w:val="nil"/>
              <w:left w:val="nil"/>
              <w:bottom w:val="nil"/>
              <w:right w:val="nil"/>
            </w:tcBorders>
          </w:tcPr>
          <w:p w14:paraId="21CBEC9C"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1" w:type="dxa"/>
            <w:tcBorders>
              <w:top w:val="nil"/>
              <w:left w:val="nil"/>
              <w:bottom w:val="nil"/>
              <w:right w:val="nil"/>
            </w:tcBorders>
          </w:tcPr>
          <w:p w14:paraId="2740F384"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0" w:type="dxa"/>
            <w:tcBorders>
              <w:top w:val="nil"/>
              <w:left w:val="nil"/>
              <w:bottom w:val="nil"/>
              <w:right w:val="nil"/>
            </w:tcBorders>
          </w:tcPr>
          <w:p w14:paraId="01CAD670"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0" w:type="dxa"/>
            <w:tcBorders>
              <w:top w:val="nil"/>
              <w:left w:val="nil"/>
              <w:bottom w:val="nil"/>
              <w:right w:val="nil"/>
            </w:tcBorders>
          </w:tcPr>
          <w:p w14:paraId="5D91451A"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3.33</w:t>
            </w:r>
          </w:p>
        </w:tc>
        <w:tc>
          <w:tcPr>
            <w:tcW w:w="925" w:type="dxa"/>
            <w:tcBorders>
              <w:top w:val="nil"/>
              <w:left w:val="nil"/>
              <w:bottom w:val="nil"/>
              <w:right w:val="nil"/>
            </w:tcBorders>
          </w:tcPr>
          <w:p w14:paraId="2914DC0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68" w:type="dxa"/>
            <w:tcBorders>
              <w:top w:val="nil"/>
              <w:left w:val="nil"/>
              <w:bottom w:val="nil"/>
              <w:right w:val="nil"/>
            </w:tcBorders>
          </w:tcPr>
          <w:p w14:paraId="204AB4E4"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r>
      <w:tr w:rsidR="00837DA7" w:rsidRPr="00233EC8" w14:paraId="3FE908AA" w14:textId="77777777" w:rsidTr="00353A9A">
        <w:tc>
          <w:tcPr>
            <w:tcW w:w="1737" w:type="dxa"/>
            <w:tcBorders>
              <w:top w:val="nil"/>
              <w:left w:val="nil"/>
              <w:bottom w:val="nil"/>
              <w:right w:val="nil"/>
            </w:tcBorders>
          </w:tcPr>
          <w:p w14:paraId="42B7814B"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STD</w:t>
            </w:r>
          </w:p>
        </w:tc>
        <w:tc>
          <w:tcPr>
            <w:tcW w:w="850" w:type="dxa"/>
            <w:tcBorders>
              <w:top w:val="nil"/>
              <w:left w:val="nil"/>
              <w:bottom w:val="nil"/>
              <w:right w:val="nil"/>
            </w:tcBorders>
          </w:tcPr>
          <w:p w14:paraId="14E7FC7B"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4.67</w:t>
            </w:r>
          </w:p>
        </w:tc>
        <w:tc>
          <w:tcPr>
            <w:tcW w:w="850" w:type="dxa"/>
            <w:tcBorders>
              <w:top w:val="nil"/>
              <w:left w:val="nil"/>
              <w:bottom w:val="nil"/>
              <w:right w:val="nil"/>
            </w:tcBorders>
          </w:tcPr>
          <w:p w14:paraId="22CDB32E"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4.14</w:t>
            </w:r>
          </w:p>
        </w:tc>
        <w:tc>
          <w:tcPr>
            <w:tcW w:w="850" w:type="dxa"/>
            <w:tcBorders>
              <w:top w:val="nil"/>
              <w:left w:val="nil"/>
              <w:bottom w:val="nil"/>
              <w:right w:val="nil"/>
            </w:tcBorders>
          </w:tcPr>
          <w:p w14:paraId="485FC3E7"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4.82</w:t>
            </w:r>
          </w:p>
        </w:tc>
        <w:tc>
          <w:tcPr>
            <w:tcW w:w="850" w:type="dxa"/>
            <w:tcBorders>
              <w:top w:val="nil"/>
              <w:left w:val="nil"/>
              <w:bottom w:val="nil"/>
              <w:right w:val="nil"/>
            </w:tcBorders>
          </w:tcPr>
          <w:p w14:paraId="1CEB46BE"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4.67</w:t>
            </w:r>
          </w:p>
        </w:tc>
        <w:tc>
          <w:tcPr>
            <w:tcW w:w="851" w:type="dxa"/>
            <w:tcBorders>
              <w:top w:val="nil"/>
              <w:left w:val="nil"/>
              <w:bottom w:val="nil"/>
              <w:right w:val="nil"/>
            </w:tcBorders>
          </w:tcPr>
          <w:p w14:paraId="0905A7F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4.83</w:t>
            </w:r>
          </w:p>
        </w:tc>
        <w:tc>
          <w:tcPr>
            <w:tcW w:w="850" w:type="dxa"/>
            <w:tcBorders>
              <w:top w:val="nil"/>
              <w:left w:val="nil"/>
              <w:bottom w:val="nil"/>
              <w:right w:val="nil"/>
            </w:tcBorders>
          </w:tcPr>
          <w:p w14:paraId="390A5AE5"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4.56</w:t>
            </w:r>
          </w:p>
        </w:tc>
        <w:tc>
          <w:tcPr>
            <w:tcW w:w="850" w:type="dxa"/>
            <w:tcBorders>
              <w:top w:val="nil"/>
              <w:left w:val="nil"/>
              <w:bottom w:val="nil"/>
              <w:right w:val="nil"/>
            </w:tcBorders>
          </w:tcPr>
          <w:p w14:paraId="5D4DCFB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5.22</w:t>
            </w:r>
          </w:p>
        </w:tc>
        <w:tc>
          <w:tcPr>
            <w:tcW w:w="925" w:type="dxa"/>
            <w:tcBorders>
              <w:top w:val="nil"/>
              <w:left w:val="nil"/>
              <w:bottom w:val="nil"/>
              <w:right w:val="nil"/>
            </w:tcBorders>
          </w:tcPr>
          <w:p w14:paraId="0D25A49A"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68" w:type="dxa"/>
            <w:tcBorders>
              <w:top w:val="nil"/>
              <w:left w:val="nil"/>
              <w:bottom w:val="nil"/>
              <w:right w:val="nil"/>
            </w:tcBorders>
          </w:tcPr>
          <w:p w14:paraId="78285F9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tr w:rsidR="00837DA7" w:rsidRPr="00233EC8" w14:paraId="13EBCB85" w14:textId="77777777" w:rsidTr="00353A9A">
        <w:tc>
          <w:tcPr>
            <w:tcW w:w="1737" w:type="dxa"/>
            <w:tcBorders>
              <w:top w:val="nil"/>
              <w:left w:val="nil"/>
              <w:bottom w:val="nil"/>
              <w:right w:val="nil"/>
            </w:tcBorders>
          </w:tcPr>
          <w:p w14:paraId="69FE3AB2"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Minimum</w:t>
            </w:r>
          </w:p>
        </w:tc>
        <w:tc>
          <w:tcPr>
            <w:tcW w:w="850" w:type="dxa"/>
            <w:tcBorders>
              <w:top w:val="nil"/>
              <w:left w:val="nil"/>
              <w:bottom w:val="nil"/>
              <w:right w:val="nil"/>
            </w:tcBorders>
          </w:tcPr>
          <w:p w14:paraId="591EAFCE"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0" w:type="dxa"/>
            <w:tcBorders>
              <w:top w:val="nil"/>
              <w:left w:val="nil"/>
              <w:bottom w:val="nil"/>
              <w:right w:val="nil"/>
            </w:tcBorders>
          </w:tcPr>
          <w:p w14:paraId="094B5652"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0" w:type="dxa"/>
            <w:tcBorders>
              <w:top w:val="nil"/>
              <w:left w:val="nil"/>
              <w:bottom w:val="nil"/>
              <w:right w:val="nil"/>
            </w:tcBorders>
          </w:tcPr>
          <w:p w14:paraId="2A3B2B28"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0" w:type="dxa"/>
            <w:tcBorders>
              <w:top w:val="nil"/>
              <w:left w:val="nil"/>
              <w:bottom w:val="nil"/>
              <w:right w:val="nil"/>
            </w:tcBorders>
          </w:tcPr>
          <w:p w14:paraId="3AF36D2E"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1" w:type="dxa"/>
            <w:tcBorders>
              <w:top w:val="nil"/>
              <w:left w:val="nil"/>
              <w:bottom w:val="nil"/>
              <w:right w:val="nil"/>
            </w:tcBorders>
          </w:tcPr>
          <w:p w14:paraId="27B05AC6"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0" w:type="dxa"/>
            <w:tcBorders>
              <w:top w:val="nil"/>
              <w:left w:val="nil"/>
              <w:bottom w:val="nil"/>
              <w:right w:val="nil"/>
            </w:tcBorders>
          </w:tcPr>
          <w:p w14:paraId="33972856"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0" w:type="dxa"/>
            <w:tcBorders>
              <w:top w:val="nil"/>
              <w:left w:val="nil"/>
              <w:bottom w:val="nil"/>
              <w:right w:val="nil"/>
            </w:tcBorders>
          </w:tcPr>
          <w:p w14:paraId="48F32CE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925" w:type="dxa"/>
            <w:tcBorders>
              <w:top w:val="nil"/>
              <w:left w:val="nil"/>
              <w:bottom w:val="nil"/>
              <w:right w:val="nil"/>
            </w:tcBorders>
          </w:tcPr>
          <w:p w14:paraId="340D9213"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68" w:type="dxa"/>
            <w:tcBorders>
              <w:top w:val="nil"/>
              <w:left w:val="nil"/>
              <w:bottom w:val="nil"/>
              <w:right w:val="nil"/>
            </w:tcBorders>
          </w:tcPr>
          <w:p w14:paraId="07A9B0AF"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tr w:rsidR="00837DA7" w:rsidRPr="00233EC8" w14:paraId="38CB72E9" w14:textId="77777777" w:rsidTr="00353A9A">
        <w:tc>
          <w:tcPr>
            <w:tcW w:w="1737" w:type="dxa"/>
            <w:tcBorders>
              <w:top w:val="nil"/>
              <w:left w:val="nil"/>
              <w:bottom w:val="nil"/>
              <w:right w:val="nil"/>
            </w:tcBorders>
          </w:tcPr>
          <w:p w14:paraId="57EB6BA8"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Maximum</w:t>
            </w:r>
          </w:p>
        </w:tc>
        <w:tc>
          <w:tcPr>
            <w:tcW w:w="850" w:type="dxa"/>
            <w:tcBorders>
              <w:top w:val="nil"/>
              <w:left w:val="nil"/>
              <w:bottom w:val="nil"/>
              <w:right w:val="nil"/>
            </w:tcBorders>
          </w:tcPr>
          <w:p w14:paraId="7D8DEAAA"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33.33</w:t>
            </w:r>
          </w:p>
        </w:tc>
        <w:tc>
          <w:tcPr>
            <w:tcW w:w="850" w:type="dxa"/>
            <w:tcBorders>
              <w:top w:val="nil"/>
              <w:left w:val="nil"/>
              <w:bottom w:val="nil"/>
              <w:right w:val="nil"/>
            </w:tcBorders>
          </w:tcPr>
          <w:p w14:paraId="48706568"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30.00</w:t>
            </w:r>
          </w:p>
        </w:tc>
        <w:tc>
          <w:tcPr>
            <w:tcW w:w="850" w:type="dxa"/>
            <w:tcBorders>
              <w:top w:val="nil"/>
              <w:left w:val="nil"/>
              <w:bottom w:val="nil"/>
              <w:right w:val="nil"/>
            </w:tcBorders>
          </w:tcPr>
          <w:p w14:paraId="1AEF251E"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33.33</w:t>
            </w:r>
          </w:p>
        </w:tc>
        <w:tc>
          <w:tcPr>
            <w:tcW w:w="850" w:type="dxa"/>
            <w:tcBorders>
              <w:top w:val="nil"/>
              <w:left w:val="nil"/>
              <w:bottom w:val="nil"/>
              <w:right w:val="nil"/>
            </w:tcBorders>
          </w:tcPr>
          <w:p w14:paraId="636FBDAC"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30.00</w:t>
            </w:r>
          </w:p>
        </w:tc>
        <w:tc>
          <w:tcPr>
            <w:tcW w:w="851" w:type="dxa"/>
            <w:tcBorders>
              <w:top w:val="nil"/>
              <w:left w:val="nil"/>
              <w:bottom w:val="nil"/>
              <w:right w:val="nil"/>
            </w:tcBorders>
          </w:tcPr>
          <w:p w14:paraId="50CC5E27"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26.67</w:t>
            </w:r>
          </w:p>
        </w:tc>
        <w:tc>
          <w:tcPr>
            <w:tcW w:w="850" w:type="dxa"/>
            <w:tcBorders>
              <w:top w:val="nil"/>
              <w:left w:val="nil"/>
              <w:bottom w:val="nil"/>
              <w:right w:val="nil"/>
            </w:tcBorders>
          </w:tcPr>
          <w:p w14:paraId="4B44E2DF"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26.67</w:t>
            </w:r>
          </w:p>
        </w:tc>
        <w:tc>
          <w:tcPr>
            <w:tcW w:w="850" w:type="dxa"/>
            <w:tcBorders>
              <w:top w:val="nil"/>
              <w:left w:val="nil"/>
              <w:bottom w:val="nil"/>
              <w:right w:val="nil"/>
            </w:tcBorders>
          </w:tcPr>
          <w:p w14:paraId="2CC063A6"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23.33</w:t>
            </w:r>
          </w:p>
        </w:tc>
        <w:tc>
          <w:tcPr>
            <w:tcW w:w="925" w:type="dxa"/>
            <w:tcBorders>
              <w:top w:val="nil"/>
              <w:left w:val="nil"/>
              <w:bottom w:val="nil"/>
              <w:right w:val="nil"/>
            </w:tcBorders>
          </w:tcPr>
          <w:p w14:paraId="6BBB9A97"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68" w:type="dxa"/>
            <w:tcBorders>
              <w:top w:val="nil"/>
              <w:left w:val="nil"/>
              <w:bottom w:val="nil"/>
              <w:right w:val="nil"/>
            </w:tcBorders>
          </w:tcPr>
          <w:p w14:paraId="1726710B"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tr w:rsidR="00837DA7" w:rsidRPr="00233EC8" w14:paraId="6B1F00BA" w14:textId="77777777" w:rsidTr="00353A9A">
        <w:tc>
          <w:tcPr>
            <w:tcW w:w="9781" w:type="dxa"/>
            <w:gridSpan w:val="10"/>
            <w:tcBorders>
              <w:top w:val="nil"/>
              <w:left w:val="nil"/>
              <w:bottom w:val="nil"/>
              <w:right w:val="nil"/>
            </w:tcBorders>
          </w:tcPr>
          <w:p w14:paraId="70042C28"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i/>
                <w:iCs/>
                <w:sz w:val="20"/>
                <w:szCs w:val="20"/>
              </w:rPr>
              <w:t>Panel 3.5: Estates and facilities (%)</w:t>
            </w:r>
          </w:p>
        </w:tc>
      </w:tr>
      <w:tr w:rsidR="00837DA7" w:rsidRPr="00233EC8" w14:paraId="66E9D362" w14:textId="77777777" w:rsidTr="00353A9A">
        <w:tc>
          <w:tcPr>
            <w:tcW w:w="1737" w:type="dxa"/>
            <w:tcBorders>
              <w:top w:val="nil"/>
              <w:left w:val="nil"/>
              <w:bottom w:val="nil"/>
              <w:right w:val="nil"/>
            </w:tcBorders>
          </w:tcPr>
          <w:p w14:paraId="1F6BC5B3"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Mean</w:t>
            </w:r>
          </w:p>
        </w:tc>
        <w:tc>
          <w:tcPr>
            <w:tcW w:w="850" w:type="dxa"/>
            <w:tcBorders>
              <w:top w:val="nil"/>
              <w:left w:val="nil"/>
              <w:bottom w:val="nil"/>
              <w:right w:val="nil"/>
            </w:tcBorders>
          </w:tcPr>
          <w:p w14:paraId="048C2DB0"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14.62</w:t>
            </w:r>
          </w:p>
        </w:tc>
        <w:tc>
          <w:tcPr>
            <w:tcW w:w="850" w:type="dxa"/>
            <w:tcBorders>
              <w:top w:val="nil"/>
              <w:left w:val="nil"/>
              <w:bottom w:val="nil"/>
              <w:right w:val="nil"/>
            </w:tcBorders>
          </w:tcPr>
          <w:p w14:paraId="10C15B42"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13.60</w:t>
            </w:r>
          </w:p>
        </w:tc>
        <w:tc>
          <w:tcPr>
            <w:tcW w:w="850" w:type="dxa"/>
            <w:tcBorders>
              <w:top w:val="nil"/>
              <w:left w:val="nil"/>
              <w:bottom w:val="nil"/>
              <w:right w:val="nil"/>
            </w:tcBorders>
          </w:tcPr>
          <w:p w14:paraId="64D6ADCB"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13.91</w:t>
            </w:r>
          </w:p>
        </w:tc>
        <w:tc>
          <w:tcPr>
            <w:tcW w:w="850" w:type="dxa"/>
            <w:tcBorders>
              <w:top w:val="nil"/>
              <w:left w:val="nil"/>
              <w:bottom w:val="nil"/>
              <w:right w:val="nil"/>
            </w:tcBorders>
          </w:tcPr>
          <w:p w14:paraId="1AD63524"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14.25</w:t>
            </w:r>
          </w:p>
        </w:tc>
        <w:tc>
          <w:tcPr>
            <w:tcW w:w="851" w:type="dxa"/>
            <w:tcBorders>
              <w:top w:val="nil"/>
              <w:left w:val="nil"/>
              <w:bottom w:val="nil"/>
              <w:right w:val="nil"/>
            </w:tcBorders>
          </w:tcPr>
          <w:p w14:paraId="26C16B3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14.98</w:t>
            </w:r>
          </w:p>
        </w:tc>
        <w:tc>
          <w:tcPr>
            <w:tcW w:w="850" w:type="dxa"/>
            <w:tcBorders>
              <w:top w:val="nil"/>
              <w:left w:val="nil"/>
              <w:bottom w:val="nil"/>
              <w:right w:val="nil"/>
            </w:tcBorders>
          </w:tcPr>
          <w:p w14:paraId="653BCFBC"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15.29</w:t>
            </w:r>
          </w:p>
        </w:tc>
        <w:tc>
          <w:tcPr>
            <w:tcW w:w="850" w:type="dxa"/>
            <w:tcBorders>
              <w:top w:val="nil"/>
              <w:left w:val="nil"/>
              <w:bottom w:val="nil"/>
              <w:right w:val="nil"/>
            </w:tcBorders>
          </w:tcPr>
          <w:p w14:paraId="429D5190"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15.69</w:t>
            </w:r>
          </w:p>
        </w:tc>
        <w:tc>
          <w:tcPr>
            <w:tcW w:w="925" w:type="dxa"/>
            <w:tcBorders>
              <w:top w:val="nil"/>
              <w:left w:val="nil"/>
              <w:bottom w:val="nil"/>
              <w:right w:val="nil"/>
            </w:tcBorders>
          </w:tcPr>
          <w:p w14:paraId="284EDB3A" w14:textId="77777777" w:rsidR="00837DA7" w:rsidRPr="00233EC8" w:rsidRDefault="00837DA7" w:rsidP="00353A9A">
            <w:pPr>
              <w:rPr>
                <w:rFonts w:asciiTheme="majorBidi" w:hAnsiTheme="majorBidi" w:cstheme="majorBidi"/>
                <w:sz w:val="20"/>
                <w:szCs w:val="20"/>
                <w:vertAlign w:val="superscript"/>
              </w:rPr>
            </w:pPr>
            <w:r w:rsidRPr="00233EC8">
              <w:rPr>
                <w:rFonts w:asciiTheme="majorBidi" w:hAnsiTheme="majorBidi" w:cstheme="majorBidi"/>
                <w:sz w:val="20"/>
                <w:szCs w:val="20"/>
              </w:rPr>
              <w:t>2.46</w:t>
            </w:r>
            <w:r w:rsidRPr="00233EC8">
              <w:rPr>
                <w:rFonts w:asciiTheme="majorBidi" w:hAnsiTheme="majorBidi" w:cstheme="majorBidi"/>
                <w:sz w:val="20"/>
                <w:szCs w:val="20"/>
                <w:vertAlign w:val="superscript"/>
              </w:rPr>
              <w:t>***</w:t>
            </w:r>
          </w:p>
        </w:tc>
        <w:tc>
          <w:tcPr>
            <w:tcW w:w="1168" w:type="dxa"/>
            <w:tcBorders>
              <w:top w:val="nil"/>
              <w:left w:val="nil"/>
              <w:bottom w:val="nil"/>
              <w:right w:val="nil"/>
            </w:tcBorders>
          </w:tcPr>
          <w:p w14:paraId="743D18B5"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tr w:rsidR="00837DA7" w:rsidRPr="00233EC8" w14:paraId="10C6DA4B" w14:textId="77777777" w:rsidTr="00353A9A">
        <w:tc>
          <w:tcPr>
            <w:tcW w:w="1737" w:type="dxa"/>
            <w:tcBorders>
              <w:top w:val="nil"/>
              <w:left w:val="nil"/>
              <w:bottom w:val="nil"/>
              <w:right w:val="nil"/>
            </w:tcBorders>
          </w:tcPr>
          <w:p w14:paraId="335F4BB7"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 xml:space="preserve">Median </w:t>
            </w:r>
          </w:p>
        </w:tc>
        <w:tc>
          <w:tcPr>
            <w:tcW w:w="850" w:type="dxa"/>
            <w:tcBorders>
              <w:top w:val="nil"/>
              <w:left w:val="nil"/>
              <w:bottom w:val="nil"/>
              <w:right w:val="nil"/>
            </w:tcBorders>
          </w:tcPr>
          <w:p w14:paraId="69E881A5"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15.28</w:t>
            </w:r>
          </w:p>
        </w:tc>
        <w:tc>
          <w:tcPr>
            <w:tcW w:w="850" w:type="dxa"/>
            <w:tcBorders>
              <w:top w:val="nil"/>
              <w:left w:val="nil"/>
              <w:bottom w:val="nil"/>
              <w:right w:val="nil"/>
            </w:tcBorders>
          </w:tcPr>
          <w:p w14:paraId="17C292C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13.89</w:t>
            </w:r>
          </w:p>
        </w:tc>
        <w:tc>
          <w:tcPr>
            <w:tcW w:w="850" w:type="dxa"/>
            <w:tcBorders>
              <w:top w:val="nil"/>
              <w:left w:val="nil"/>
              <w:bottom w:val="nil"/>
              <w:right w:val="nil"/>
            </w:tcBorders>
          </w:tcPr>
          <w:p w14:paraId="1E867F9E"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13.89</w:t>
            </w:r>
          </w:p>
        </w:tc>
        <w:tc>
          <w:tcPr>
            <w:tcW w:w="850" w:type="dxa"/>
            <w:tcBorders>
              <w:top w:val="nil"/>
              <w:left w:val="nil"/>
              <w:bottom w:val="nil"/>
              <w:right w:val="nil"/>
            </w:tcBorders>
          </w:tcPr>
          <w:p w14:paraId="28DA8C45"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13.89</w:t>
            </w:r>
          </w:p>
        </w:tc>
        <w:tc>
          <w:tcPr>
            <w:tcW w:w="851" w:type="dxa"/>
            <w:tcBorders>
              <w:top w:val="nil"/>
              <w:left w:val="nil"/>
              <w:bottom w:val="nil"/>
              <w:right w:val="nil"/>
            </w:tcBorders>
          </w:tcPr>
          <w:p w14:paraId="6343EB8F"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16.67</w:t>
            </w:r>
          </w:p>
        </w:tc>
        <w:tc>
          <w:tcPr>
            <w:tcW w:w="850" w:type="dxa"/>
            <w:tcBorders>
              <w:top w:val="nil"/>
              <w:left w:val="nil"/>
              <w:bottom w:val="nil"/>
              <w:right w:val="nil"/>
            </w:tcBorders>
          </w:tcPr>
          <w:p w14:paraId="3FB0CB8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16.67</w:t>
            </w:r>
          </w:p>
        </w:tc>
        <w:tc>
          <w:tcPr>
            <w:tcW w:w="850" w:type="dxa"/>
            <w:tcBorders>
              <w:top w:val="nil"/>
              <w:left w:val="nil"/>
              <w:bottom w:val="nil"/>
              <w:right w:val="nil"/>
            </w:tcBorders>
          </w:tcPr>
          <w:p w14:paraId="7C7BE5AE"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16.67</w:t>
            </w:r>
          </w:p>
        </w:tc>
        <w:tc>
          <w:tcPr>
            <w:tcW w:w="925" w:type="dxa"/>
            <w:tcBorders>
              <w:top w:val="nil"/>
              <w:left w:val="nil"/>
              <w:bottom w:val="nil"/>
              <w:right w:val="nil"/>
            </w:tcBorders>
          </w:tcPr>
          <w:p w14:paraId="382751E7"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68" w:type="dxa"/>
            <w:tcBorders>
              <w:top w:val="nil"/>
              <w:left w:val="nil"/>
              <w:bottom w:val="nil"/>
              <w:right w:val="nil"/>
            </w:tcBorders>
          </w:tcPr>
          <w:p w14:paraId="577DD0FA" w14:textId="77777777" w:rsidR="00837DA7" w:rsidRPr="00233EC8" w:rsidRDefault="00837DA7" w:rsidP="00353A9A">
            <w:pPr>
              <w:rPr>
                <w:rFonts w:asciiTheme="majorBidi" w:hAnsiTheme="majorBidi" w:cstheme="majorBidi"/>
                <w:sz w:val="20"/>
                <w:szCs w:val="20"/>
                <w:vertAlign w:val="superscript"/>
              </w:rPr>
            </w:pPr>
            <w:r w:rsidRPr="00233EC8">
              <w:rPr>
                <w:rFonts w:asciiTheme="majorBidi" w:hAnsiTheme="majorBidi" w:cstheme="majorBidi"/>
                <w:sz w:val="20"/>
                <w:szCs w:val="20"/>
              </w:rPr>
              <w:t>2.78</w:t>
            </w:r>
            <w:r w:rsidRPr="00233EC8">
              <w:rPr>
                <w:rFonts w:asciiTheme="majorBidi" w:hAnsiTheme="majorBidi" w:cstheme="majorBidi"/>
                <w:sz w:val="20"/>
                <w:szCs w:val="20"/>
                <w:vertAlign w:val="superscript"/>
              </w:rPr>
              <w:t>**</w:t>
            </w:r>
          </w:p>
        </w:tc>
      </w:tr>
      <w:tr w:rsidR="00837DA7" w:rsidRPr="00233EC8" w14:paraId="7A185702" w14:textId="77777777" w:rsidTr="00353A9A">
        <w:tc>
          <w:tcPr>
            <w:tcW w:w="1737" w:type="dxa"/>
            <w:tcBorders>
              <w:top w:val="nil"/>
              <w:left w:val="nil"/>
              <w:bottom w:val="nil"/>
              <w:right w:val="nil"/>
            </w:tcBorders>
          </w:tcPr>
          <w:p w14:paraId="37B1300F"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STD</w:t>
            </w:r>
          </w:p>
        </w:tc>
        <w:tc>
          <w:tcPr>
            <w:tcW w:w="850" w:type="dxa"/>
            <w:tcBorders>
              <w:top w:val="nil"/>
              <w:left w:val="nil"/>
              <w:bottom w:val="nil"/>
              <w:right w:val="nil"/>
            </w:tcBorders>
          </w:tcPr>
          <w:p w14:paraId="238D8DDC"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9.97</w:t>
            </w:r>
          </w:p>
        </w:tc>
        <w:tc>
          <w:tcPr>
            <w:tcW w:w="850" w:type="dxa"/>
            <w:tcBorders>
              <w:top w:val="nil"/>
              <w:left w:val="nil"/>
              <w:bottom w:val="nil"/>
              <w:right w:val="nil"/>
            </w:tcBorders>
          </w:tcPr>
          <w:p w14:paraId="088805AB"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9.37</w:t>
            </w:r>
          </w:p>
        </w:tc>
        <w:tc>
          <w:tcPr>
            <w:tcW w:w="850" w:type="dxa"/>
            <w:tcBorders>
              <w:top w:val="nil"/>
              <w:left w:val="nil"/>
              <w:bottom w:val="nil"/>
              <w:right w:val="nil"/>
            </w:tcBorders>
          </w:tcPr>
          <w:p w14:paraId="654E354E"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9.69</w:t>
            </w:r>
          </w:p>
        </w:tc>
        <w:tc>
          <w:tcPr>
            <w:tcW w:w="850" w:type="dxa"/>
            <w:tcBorders>
              <w:top w:val="nil"/>
              <w:left w:val="nil"/>
              <w:bottom w:val="nil"/>
              <w:right w:val="nil"/>
            </w:tcBorders>
          </w:tcPr>
          <w:p w14:paraId="045FD66B"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9.78</w:t>
            </w:r>
          </w:p>
        </w:tc>
        <w:tc>
          <w:tcPr>
            <w:tcW w:w="851" w:type="dxa"/>
            <w:tcBorders>
              <w:top w:val="nil"/>
              <w:left w:val="nil"/>
              <w:bottom w:val="nil"/>
              <w:right w:val="nil"/>
            </w:tcBorders>
          </w:tcPr>
          <w:p w14:paraId="6BB17B9E"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10.15</w:t>
            </w:r>
          </w:p>
        </w:tc>
        <w:tc>
          <w:tcPr>
            <w:tcW w:w="850" w:type="dxa"/>
            <w:tcBorders>
              <w:top w:val="nil"/>
              <w:left w:val="nil"/>
              <w:bottom w:val="nil"/>
              <w:right w:val="nil"/>
            </w:tcBorders>
          </w:tcPr>
          <w:p w14:paraId="12E057CF"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10.49</w:t>
            </w:r>
          </w:p>
        </w:tc>
        <w:tc>
          <w:tcPr>
            <w:tcW w:w="850" w:type="dxa"/>
            <w:tcBorders>
              <w:top w:val="nil"/>
              <w:left w:val="nil"/>
              <w:bottom w:val="nil"/>
              <w:right w:val="nil"/>
            </w:tcBorders>
          </w:tcPr>
          <w:p w14:paraId="439559F8"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10.34</w:t>
            </w:r>
          </w:p>
        </w:tc>
        <w:tc>
          <w:tcPr>
            <w:tcW w:w="925" w:type="dxa"/>
            <w:tcBorders>
              <w:top w:val="nil"/>
              <w:left w:val="nil"/>
              <w:bottom w:val="nil"/>
              <w:right w:val="nil"/>
            </w:tcBorders>
          </w:tcPr>
          <w:p w14:paraId="53A95AA8"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68" w:type="dxa"/>
            <w:tcBorders>
              <w:top w:val="nil"/>
              <w:left w:val="nil"/>
              <w:bottom w:val="nil"/>
              <w:right w:val="nil"/>
            </w:tcBorders>
          </w:tcPr>
          <w:p w14:paraId="2307B786"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tr w:rsidR="00837DA7" w:rsidRPr="00233EC8" w14:paraId="43835A53" w14:textId="77777777" w:rsidTr="00353A9A">
        <w:tc>
          <w:tcPr>
            <w:tcW w:w="1737" w:type="dxa"/>
            <w:tcBorders>
              <w:top w:val="nil"/>
              <w:left w:val="nil"/>
              <w:bottom w:val="nil"/>
              <w:right w:val="nil"/>
            </w:tcBorders>
          </w:tcPr>
          <w:p w14:paraId="12CEE4EF"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Minimum</w:t>
            </w:r>
          </w:p>
        </w:tc>
        <w:tc>
          <w:tcPr>
            <w:tcW w:w="850" w:type="dxa"/>
            <w:tcBorders>
              <w:top w:val="nil"/>
              <w:left w:val="nil"/>
              <w:bottom w:val="nil"/>
              <w:right w:val="nil"/>
            </w:tcBorders>
          </w:tcPr>
          <w:p w14:paraId="26316C62"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0" w:type="dxa"/>
            <w:tcBorders>
              <w:top w:val="nil"/>
              <w:left w:val="nil"/>
              <w:bottom w:val="nil"/>
              <w:right w:val="nil"/>
            </w:tcBorders>
          </w:tcPr>
          <w:p w14:paraId="5117B0FC"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0" w:type="dxa"/>
            <w:tcBorders>
              <w:top w:val="nil"/>
              <w:left w:val="nil"/>
              <w:bottom w:val="nil"/>
              <w:right w:val="nil"/>
            </w:tcBorders>
          </w:tcPr>
          <w:p w14:paraId="14ED9508"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0" w:type="dxa"/>
            <w:tcBorders>
              <w:top w:val="nil"/>
              <w:left w:val="nil"/>
              <w:bottom w:val="nil"/>
              <w:right w:val="nil"/>
            </w:tcBorders>
          </w:tcPr>
          <w:p w14:paraId="797B137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1" w:type="dxa"/>
            <w:tcBorders>
              <w:top w:val="nil"/>
              <w:left w:val="nil"/>
              <w:bottom w:val="nil"/>
              <w:right w:val="nil"/>
            </w:tcBorders>
          </w:tcPr>
          <w:p w14:paraId="01A5D775"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0" w:type="dxa"/>
            <w:tcBorders>
              <w:top w:val="nil"/>
              <w:left w:val="nil"/>
              <w:bottom w:val="nil"/>
              <w:right w:val="nil"/>
            </w:tcBorders>
          </w:tcPr>
          <w:p w14:paraId="52474B4A"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0" w:type="dxa"/>
            <w:tcBorders>
              <w:top w:val="nil"/>
              <w:left w:val="nil"/>
              <w:bottom w:val="nil"/>
              <w:right w:val="nil"/>
            </w:tcBorders>
          </w:tcPr>
          <w:p w14:paraId="14204109"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925" w:type="dxa"/>
            <w:tcBorders>
              <w:top w:val="nil"/>
              <w:left w:val="nil"/>
              <w:bottom w:val="nil"/>
              <w:right w:val="nil"/>
            </w:tcBorders>
          </w:tcPr>
          <w:p w14:paraId="346BAB78"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68" w:type="dxa"/>
            <w:tcBorders>
              <w:top w:val="nil"/>
              <w:left w:val="nil"/>
              <w:bottom w:val="nil"/>
              <w:right w:val="nil"/>
            </w:tcBorders>
          </w:tcPr>
          <w:p w14:paraId="219DF316"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tr w:rsidR="00837DA7" w:rsidRPr="00233EC8" w14:paraId="3C12D7C5" w14:textId="77777777" w:rsidTr="00353A9A">
        <w:tc>
          <w:tcPr>
            <w:tcW w:w="1737" w:type="dxa"/>
            <w:tcBorders>
              <w:top w:val="nil"/>
              <w:left w:val="nil"/>
              <w:bottom w:val="nil"/>
              <w:right w:val="nil"/>
            </w:tcBorders>
          </w:tcPr>
          <w:p w14:paraId="212CF8FF"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Maximum</w:t>
            </w:r>
          </w:p>
        </w:tc>
        <w:tc>
          <w:tcPr>
            <w:tcW w:w="850" w:type="dxa"/>
            <w:tcBorders>
              <w:top w:val="nil"/>
              <w:left w:val="nil"/>
              <w:bottom w:val="nil"/>
              <w:right w:val="nil"/>
            </w:tcBorders>
          </w:tcPr>
          <w:p w14:paraId="5559161E"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44.44</w:t>
            </w:r>
          </w:p>
        </w:tc>
        <w:tc>
          <w:tcPr>
            <w:tcW w:w="850" w:type="dxa"/>
            <w:tcBorders>
              <w:top w:val="nil"/>
              <w:left w:val="nil"/>
              <w:bottom w:val="nil"/>
              <w:right w:val="nil"/>
            </w:tcBorders>
          </w:tcPr>
          <w:p w14:paraId="55B261A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36.11</w:t>
            </w:r>
          </w:p>
        </w:tc>
        <w:tc>
          <w:tcPr>
            <w:tcW w:w="850" w:type="dxa"/>
            <w:tcBorders>
              <w:top w:val="nil"/>
              <w:left w:val="nil"/>
              <w:bottom w:val="nil"/>
              <w:right w:val="nil"/>
            </w:tcBorders>
          </w:tcPr>
          <w:p w14:paraId="375A0F74"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36.11</w:t>
            </w:r>
          </w:p>
        </w:tc>
        <w:tc>
          <w:tcPr>
            <w:tcW w:w="850" w:type="dxa"/>
            <w:tcBorders>
              <w:top w:val="nil"/>
              <w:left w:val="nil"/>
              <w:bottom w:val="nil"/>
              <w:right w:val="nil"/>
            </w:tcBorders>
          </w:tcPr>
          <w:p w14:paraId="150F944F"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36.11</w:t>
            </w:r>
          </w:p>
        </w:tc>
        <w:tc>
          <w:tcPr>
            <w:tcW w:w="851" w:type="dxa"/>
            <w:tcBorders>
              <w:top w:val="nil"/>
              <w:left w:val="nil"/>
              <w:bottom w:val="nil"/>
              <w:right w:val="nil"/>
            </w:tcBorders>
          </w:tcPr>
          <w:p w14:paraId="11B952E6"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41.67</w:t>
            </w:r>
          </w:p>
        </w:tc>
        <w:tc>
          <w:tcPr>
            <w:tcW w:w="850" w:type="dxa"/>
            <w:tcBorders>
              <w:top w:val="nil"/>
              <w:left w:val="nil"/>
              <w:bottom w:val="nil"/>
              <w:right w:val="nil"/>
            </w:tcBorders>
          </w:tcPr>
          <w:p w14:paraId="0DADFDE0"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41.67</w:t>
            </w:r>
          </w:p>
        </w:tc>
        <w:tc>
          <w:tcPr>
            <w:tcW w:w="850" w:type="dxa"/>
            <w:tcBorders>
              <w:top w:val="nil"/>
              <w:left w:val="nil"/>
              <w:bottom w:val="nil"/>
              <w:right w:val="nil"/>
            </w:tcBorders>
          </w:tcPr>
          <w:p w14:paraId="66F1365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44.44</w:t>
            </w:r>
          </w:p>
        </w:tc>
        <w:tc>
          <w:tcPr>
            <w:tcW w:w="925" w:type="dxa"/>
            <w:tcBorders>
              <w:top w:val="nil"/>
              <w:left w:val="nil"/>
              <w:bottom w:val="nil"/>
              <w:right w:val="nil"/>
            </w:tcBorders>
          </w:tcPr>
          <w:p w14:paraId="4EBDA74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68" w:type="dxa"/>
            <w:tcBorders>
              <w:top w:val="nil"/>
              <w:left w:val="nil"/>
              <w:bottom w:val="nil"/>
              <w:right w:val="nil"/>
            </w:tcBorders>
          </w:tcPr>
          <w:p w14:paraId="5CC63CAE"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tr w:rsidR="00837DA7" w:rsidRPr="00233EC8" w14:paraId="419F0841" w14:textId="77777777" w:rsidTr="00353A9A">
        <w:tc>
          <w:tcPr>
            <w:tcW w:w="9781" w:type="dxa"/>
            <w:gridSpan w:val="10"/>
            <w:tcBorders>
              <w:top w:val="nil"/>
              <w:left w:val="nil"/>
              <w:bottom w:val="nil"/>
              <w:right w:val="nil"/>
            </w:tcBorders>
          </w:tcPr>
          <w:p w14:paraId="39EC845F"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i/>
                <w:iCs/>
                <w:sz w:val="20"/>
                <w:szCs w:val="20"/>
              </w:rPr>
              <w:t>Panel 3.6: Human resources (%)</w:t>
            </w:r>
          </w:p>
        </w:tc>
      </w:tr>
      <w:tr w:rsidR="00837DA7" w:rsidRPr="00233EC8" w14:paraId="3EEE7B8D" w14:textId="77777777" w:rsidTr="00353A9A">
        <w:tc>
          <w:tcPr>
            <w:tcW w:w="1737" w:type="dxa"/>
            <w:tcBorders>
              <w:top w:val="nil"/>
              <w:left w:val="nil"/>
              <w:bottom w:val="nil"/>
              <w:right w:val="nil"/>
            </w:tcBorders>
          </w:tcPr>
          <w:p w14:paraId="0D0C73FE"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Mean</w:t>
            </w:r>
          </w:p>
        </w:tc>
        <w:tc>
          <w:tcPr>
            <w:tcW w:w="850" w:type="dxa"/>
            <w:tcBorders>
              <w:top w:val="nil"/>
              <w:left w:val="nil"/>
              <w:bottom w:val="nil"/>
              <w:right w:val="nil"/>
            </w:tcBorders>
          </w:tcPr>
          <w:p w14:paraId="31CA8A9A"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4.95</w:t>
            </w:r>
          </w:p>
        </w:tc>
        <w:tc>
          <w:tcPr>
            <w:tcW w:w="850" w:type="dxa"/>
            <w:tcBorders>
              <w:top w:val="nil"/>
              <w:left w:val="nil"/>
              <w:bottom w:val="nil"/>
              <w:right w:val="nil"/>
            </w:tcBorders>
          </w:tcPr>
          <w:p w14:paraId="4233F9AE"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4.49</w:t>
            </w:r>
          </w:p>
        </w:tc>
        <w:tc>
          <w:tcPr>
            <w:tcW w:w="850" w:type="dxa"/>
            <w:tcBorders>
              <w:top w:val="nil"/>
              <w:left w:val="nil"/>
              <w:bottom w:val="nil"/>
              <w:right w:val="nil"/>
            </w:tcBorders>
          </w:tcPr>
          <w:p w14:paraId="5EFE69D7"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4.68</w:t>
            </w:r>
          </w:p>
        </w:tc>
        <w:tc>
          <w:tcPr>
            <w:tcW w:w="850" w:type="dxa"/>
            <w:tcBorders>
              <w:top w:val="nil"/>
              <w:left w:val="nil"/>
              <w:bottom w:val="nil"/>
              <w:right w:val="nil"/>
            </w:tcBorders>
          </w:tcPr>
          <w:p w14:paraId="612F50F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4.74</w:t>
            </w:r>
          </w:p>
        </w:tc>
        <w:tc>
          <w:tcPr>
            <w:tcW w:w="851" w:type="dxa"/>
            <w:tcBorders>
              <w:top w:val="nil"/>
              <w:left w:val="nil"/>
              <w:bottom w:val="nil"/>
              <w:right w:val="nil"/>
            </w:tcBorders>
          </w:tcPr>
          <w:p w14:paraId="6F4126B5"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4.90</w:t>
            </w:r>
          </w:p>
        </w:tc>
        <w:tc>
          <w:tcPr>
            <w:tcW w:w="850" w:type="dxa"/>
            <w:tcBorders>
              <w:top w:val="nil"/>
              <w:left w:val="nil"/>
              <w:bottom w:val="nil"/>
              <w:right w:val="nil"/>
            </w:tcBorders>
          </w:tcPr>
          <w:p w14:paraId="3176E2F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5.29</w:t>
            </w:r>
          </w:p>
        </w:tc>
        <w:tc>
          <w:tcPr>
            <w:tcW w:w="850" w:type="dxa"/>
            <w:tcBorders>
              <w:top w:val="nil"/>
              <w:left w:val="nil"/>
              <w:bottom w:val="nil"/>
              <w:right w:val="nil"/>
            </w:tcBorders>
          </w:tcPr>
          <w:p w14:paraId="38ED14B0"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5.63</w:t>
            </w:r>
          </w:p>
        </w:tc>
        <w:tc>
          <w:tcPr>
            <w:tcW w:w="925" w:type="dxa"/>
            <w:tcBorders>
              <w:top w:val="nil"/>
              <w:left w:val="nil"/>
              <w:bottom w:val="nil"/>
              <w:right w:val="nil"/>
            </w:tcBorders>
          </w:tcPr>
          <w:p w14:paraId="7A3F754E"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-1.07</w:t>
            </w:r>
            <w:r w:rsidRPr="00233EC8">
              <w:rPr>
                <w:rFonts w:asciiTheme="majorBidi" w:hAnsiTheme="majorBidi" w:cstheme="majorBidi"/>
                <w:sz w:val="20"/>
                <w:szCs w:val="20"/>
                <w:vertAlign w:val="superscript"/>
              </w:rPr>
              <w:t>***</w:t>
            </w:r>
          </w:p>
        </w:tc>
        <w:tc>
          <w:tcPr>
            <w:tcW w:w="1168" w:type="dxa"/>
            <w:tcBorders>
              <w:top w:val="nil"/>
              <w:left w:val="nil"/>
              <w:bottom w:val="nil"/>
              <w:right w:val="nil"/>
            </w:tcBorders>
          </w:tcPr>
          <w:p w14:paraId="6F843B93"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tr w:rsidR="00837DA7" w:rsidRPr="00233EC8" w14:paraId="356E98B3" w14:textId="77777777" w:rsidTr="00353A9A">
        <w:tc>
          <w:tcPr>
            <w:tcW w:w="1737" w:type="dxa"/>
            <w:tcBorders>
              <w:top w:val="nil"/>
              <w:left w:val="nil"/>
              <w:bottom w:val="nil"/>
              <w:right w:val="nil"/>
            </w:tcBorders>
          </w:tcPr>
          <w:p w14:paraId="5E06A185"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 xml:space="preserve">Median </w:t>
            </w:r>
          </w:p>
        </w:tc>
        <w:tc>
          <w:tcPr>
            <w:tcW w:w="850" w:type="dxa"/>
            <w:tcBorders>
              <w:top w:val="nil"/>
              <w:left w:val="nil"/>
              <w:bottom w:val="nil"/>
              <w:right w:val="nil"/>
            </w:tcBorders>
          </w:tcPr>
          <w:p w14:paraId="3F6F483A"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4.17</w:t>
            </w:r>
          </w:p>
        </w:tc>
        <w:tc>
          <w:tcPr>
            <w:tcW w:w="850" w:type="dxa"/>
            <w:tcBorders>
              <w:top w:val="nil"/>
              <w:left w:val="nil"/>
              <w:bottom w:val="nil"/>
              <w:right w:val="nil"/>
            </w:tcBorders>
          </w:tcPr>
          <w:p w14:paraId="2B32BBE7"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4.17</w:t>
            </w:r>
          </w:p>
        </w:tc>
        <w:tc>
          <w:tcPr>
            <w:tcW w:w="850" w:type="dxa"/>
            <w:tcBorders>
              <w:top w:val="nil"/>
              <w:left w:val="nil"/>
              <w:bottom w:val="nil"/>
              <w:right w:val="nil"/>
            </w:tcBorders>
          </w:tcPr>
          <w:p w14:paraId="545F56CC"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4.17</w:t>
            </w:r>
          </w:p>
        </w:tc>
        <w:tc>
          <w:tcPr>
            <w:tcW w:w="850" w:type="dxa"/>
            <w:tcBorders>
              <w:top w:val="nil"/>
              <w:left w:val="nil"/>
              <w:bottom w:val="nil"/>
              <w:right w:val="nil"/>
            </w:tcBorders>
          </w:tcPr>
          <w:p w14:paraId="6891ADB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4.17</w:t>
            </w:r>
          </w:p>
        </w:tc>
        <w:tc>
          <w:tcPr>
            <w:tcW w:w="851" w:type="dxa"/>
            <w:tcBorders>
              <w:top w:val="nil"/>
              <w:left w:val="nil"/>
              <w:bottom w:val="nil"/>
              <w:right w:val="nil"/>
            </w:tcBorders>
          </w:tcPr>
          <w:p w14:paraId="37C15A7C"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4.17</w:t>
            </w:r>
          </w:p>
        </w:tc>
        <w:tc>
          <w:tcPr>
            <w:tcW w:w="850" w:type="dxa"/>
            <w:tcBorders>
              <w:top w:val="nil"/>
              <w:left w:val="nil"/>
              <w:bottom w:val="nil"/>
              <w:right w:val="nil"/>
            </w:tcBorders>
          </w:tcPr>
          <w:p w14:paraId="0FB91234"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4.17</w:t>
            </w:r>
          </w:p>
        </w:tc>
        <w:tc>
          <w:tcPr>
            <w:tcW w:w="850" w:type="dxa"/>
            <w:tcBorders>
              <w:top w:val="nil"/>
              <w:left w:val="nil"/>
              <w:bottom w:val="nil"/>
              <w:right w:val="nil"/>
            </w:tcBorders>
          </w:tcPr>
          <w:p w14:paraId="49FC0F7C"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6.25</w:t>
            </w:r>
          </w:p>
        </w:tc>
        <w:tc>
          <w:tcPr>
            <w:tcW w:w="925" w:type="dxa"/>
            <w:tcBorders>
              <w:top w:val="nil"/>
              <w:left w:val="nil"/>
              <w:bottom w:val="nil"/>
              <w:right w:val="nil"/>
            </w:tcBorders>
          </w:tcPr>
          <w:p w14:paraId="65EAE388"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68" w:type="dxa"/>
            <w:tcBorders>
              <w:top w:val="nil"/>
              <w:left w:val="nil"/>
              <w:bottom w:val="nil"/>
              <w:right w:val="nil"/>
            </w:tcBorders>
          </w:tcPr>
          <w:p w14:paraId="7F27D04A" w14:textId="77777777" w:rsidR="00837DA7" w:rsidRPr="00233EC8" w:rsidRDefault="00837DA7" w:rsidP="00353A9A">
            <w:pPr>
              <w:rPr>
                <w:rFonts w:asciiTheme="majorBidi" w:hAnsiTheme="majorBidi" w:cstheme="majorBidi"/>
                <w:sz w:val="20"/>
                <w:szCs w:val="20"/>
                <w:vertAlign w:val="superscript"/>
              </w:rPr>
            </w:pPr>
            <w:r w:rsidRPr="00233EC8">
              <w:rPr>
                <w:rFonts w:asciiTheme="majorBidi" w:hAnsiTheme="majorBidi" w:cstheme="majorBidi"/>
                <w:sz w:val="20"/>
                <w:szCs w:val="20"/>
              </w:rPr>
              <w:t>0.00</w:t>
            </w:r>
            <w:r w:rsidRPr="00233EC8">
              <w:rPr>
                <w:rFonts w:asciiTheme="majorBidi" w:hAnsiTheme="majorBidi" w:cstheme="majorBidi"/>
                <w:sz w:val="20"/>
                <w:szCs w:val="20"/>
                <w:vertAlign w:val="superscript"/>
              </w:rPr>
              <w:t>***</w:t>
            </w:r>
          </w:p>
        </w:tc>
      </w:tr>
      <w:tr w:rsidR="00837DA7" w:rsidRPr="00233EC8" w14:paraId="277A6338" w14:textId="77777777" w:rsidTr="00353A9A">
        <w:tc>
          <w:tcPr>
            <w:tcW w:w="1737" w:type="dxa"/>
            <w:tcBorders>
              <w:top w:val="nil"/>
              <w:left w:val="nil"/>
              <w:bottom w:val="nil"/>
              <w:right w:val="nil"/>
            </w:tcBorders>
          </w:tcPr>
          <w:p w14:paraId="6EE4E19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STD</w:t>
            </w:r>
          </w:p>
        </w:tc>
        <w:tc>
          <w:tcPr>
            <w:tcW w:w="850" w:type="dxa"/>
            <w:tcBorders>
              <w:top w:val="nil"/>
              <w:left w:val="nil"/>
              <w:bottom w:val="nil"/>
              <w:right w:val="nil"/>
            </w:tcBorders>
          </w:tcPr>
          <w:p w14:paraId="5DAE7002"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4.18</w:t>
            </w:r>
          </w:p>
        </w:tc>
        <w:tc>
          <w:tcPr>
            <w:tcW w:w="850" w:type="dxa"/>
            <w:tcBorders>
              <w:top w:val="nil"/>
              <w:left w:val="nil"/>
              <w:bottom w:val="nil"/>
              <w:right w:val="nil"/>
            </w:tcBorders>
          </w:tcPr>
          <w:p w14:paraId="080BF225"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3.87</w:t>
            </w:r>
          </w:p>
        </w:tc>
        <w:tc>
          <w:tcPr>
            <w:tcW w:w="850" w:type="dxa"/>
            <w:tcBorders>
              <w:top w:val="nil"/>
              <w:left w:val="nil"/>
              <w:bottom w:val="nil"/>
              <w:right w:val="nil"/>
            </w:tcBorders>
          </w:tcPr>
          <w:p w14:paraId="4D551AC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4.15</w:t>
            </w:r>
          </w:p>
        </w:tc>
        <w:tc>
          <w:tcPr>
            <w:tcW w:w="850" w:type="dxa"/>
            <w:tcBorders>
              <w:top w:val="nil"/>
              <w:left w:val="nil"/>
              <w:bottom w:val="nil"/>
              <w:right w:val="nil"/>
            </w:tcBorders>
          </w:tcPr>
          <w:p w14:paraId="54F0497C"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4.08</w:t>
            </w:r>
          </w:p>
        </w:tc>
        <w:tc>
          <w:tcPr>
            <w:tcW w:w="851" w:type="dxa"/>
            <w:tcBorders>
              <w:top w:val="nil"/>
              <w:left w:val="nil"/>
              <w:bottom w:val="nil"/>
              <w:right w:val="nil"/>
            </w:tcBorders>
          </w:tcPr>
          <w:p w14:paraId="213FFF0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4.08</w:t>
            </w:r>
          </w:p>
        </w:tc>
        <w:tc>
          <w:tcPr>
            <w:tcW w:w="850" w:type="dxa"/>
            <w:tcBorders>
              <w:top w:val="nil"/>
              <w:left w:val="nil"/>
              <w:bottom w:val="nil"/>
              <w:right w:val="nil"/>
            </w:tcBorders>
          </w:tcPr>
          <w:p w14:paraId="2F2869DE"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4.44</w:t>
            </w:r>
          </w:p>
        </w:tc>
        <w:tc>
          <w:tcPr>
            <w:tcW w:w="850" w:type="dxa"/>
            <w:tcBorders>
              <w:top w:val="nil"/>
              <w:left w:val="nil"/>
              <w:bottom w:val="nil"/>
              <w:right w:val="nil"/>
            </w:tcBorders>
          </w:tcPr>
          <w:p w14:paraId="3C7242D0"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4.42</w:t>
            </w:r>
          </w:p>
        </w:tc>
        <w:tc>
          <w:tcPr>
            <w:tcW w:w="925" w:type="dxa"/>
            <w:tcBorders>
              <w:top w:val="nil"/>
              <w:left w:val="nil"/>
              <w:bottom w:val="nil"/>
              <w:right w:val="nil"/>
            </w:tcBorders>
          </w:tcPr>
          <w:p w14:paraId="067A0540"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68" w:type="dxa"/>
            <w:tcBorders>
              <w:top w:val="nil"/>
              <w:left w:val="nil"/>
              <w:bottom w:val="nil"/>
              <w:right w:val="nil"/>
            </w:tcBorders>
          </w:tcPr>
          <w:p w14:paraId="12281A0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tr w:rsidR="00837DA7" w:rsidRPr="00233EC8" w14:paraId="3692696A" w14:textId="77777777" w:rsidTr="00353A9A">
        <w:tc>
          <w:tcPr>
            <w:tcW w:w="1737" w:type="dxa"/>
            <w:tcBorders>
              <w:top w:val="nil"/>
              <w:left w:val="nil"/>
              <w:bottom w:val="nil"/>
              <w:right w:val="nil"/>
            </w:tcBorders>
          </w:tcPr>
          <w:p w14:paraId="1D3D206E"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Minimum</w:t>
            </w:r>
          </w:p>
        </w:tc>
        <w:tc>
          <w:tcPr>
            <w:tcW w:w="850" w:type="dxa"/>
            <w:tcBorders>
              <w:top w:val="nil"/>
              <w:left w:val="nil"/>
              <w:bottom w:val="nil"/>
              <w:right w:val="nil"/>
            </w:tcBorders>
          </w:tcPr>
          <w:p w14:paraId="4D11E192"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0" w:type="dxa"/>
            <w:tcBorders>
              <w:top w:val="nil"/>
              <w:left w:val="nil"/>
              <w:bottom w:val="nil"/>
              <w:right w:val="nil"/>
            </w:tcBorders>
          </w:tcPr>
          <w:p w14:paraId="42076E10"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0" w:type="dxa"/>
            <w:tcBorders>
              <w:top w:val="nil"/>
              <w:left w:val="nil"/>
              <w:bottom w:val="nil"/>
              <w:right w:val="nil"/>
            </w:tcBorders>
          </w:tcPr>
          <w:p w14:paraId="3216355A"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0" w:type="dxa"/>
            <w:tcBorders>
              <w:top w:val="nil"/>
              <w:left w:val="nil"/>
              <w:bottom w:val="nil"/>
              <w:right w:val="nil"/>
            </w:tcBorders>
          </w:tcPr>
          <w:p w14:paraId="190999DC"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1" w:type="dxa"/>
            <w:tcBorders>
              <w:top w:val="nil"/>
              <w:left w:val="nil"/>
              <w:bottom w:val="nil"/>
              <w:right w:val="nil"/>
            </w:tcBorders>
          </w:tcPr>
          <w:p w14:paraId="2060506F"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0" w:type="dxa"/>
            <w:tcBorders>
              <w:top w:val="nil"/>
              <w:left w:val="nil"/>
              <w:bottom w:val="nil"/>
              <w:right w:val="nil"/>
            </w:tcBorders>
          </w:tcPr>
          <w:p w14:paraId="29FA7F0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0" w:type="dxa"/>
            <w:tcBorders>
              <w:top w:val="nil"/>
              <w:left w:val="nil"/>
              <w:bottom w:val="nil"/>
              <w:right w:val="nil"/>
            </w:tcBorders>
          </w:tcPr>
          <w:p w14:paraId="09E8EF9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925" w:type="dxa"/>
            <w:tcBorders>
              <w:top w:val="nil"/>
              <w:left w:val="nil"/>
              <w:bottom w:val="nil"/>
              <w:right w:val="nil"/>
            </w:tcBorders>
          </w:tcPr>
          <w:p w14:paraId="483B38FC"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68" w:type="dxa"/>
            <w:tcBorders>
              <w:top w:val="nil"/>
              <w:left w:val="nil"/>
              <w:bottom w:val="nil"/>
              <w:right w:val="nil"/>
            </w:tcBorders>
          </w:tcPr>
          <w:p w14:paraId="2305F4F0"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tr w:rsidR="00837DA7" w:rsidRPr="00233EC8" w14:paraId="5A6C5A7A" w14:textId="77777777" w:rsidTr="00353A9A">
        <w:tc>
          <w:tcPr>
            <w:tcW w:w="1737" w:type="dxa"/>
            <w:tcBorders>
              <w:top w:val="nil"/>
              <w:left w:val="nil"/>
              <w:bottom w:val="single" w:sz="2" w:space="0" w:color="auto"/>
              <w:right w:val="nil"/>
            </w:tcBorders>
          </w:tcPr>
          <w:p w14:paraId="29E2D343"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Maximum</w:t>
            </w:r>
          </w:p>
        </w:tc>
        <w:tc>
          <w:tcPr>
            <w:tcW w:w="850" w:type="dxa"/>
            <w:tcBorders>
              <w:top w:val="nil"/>
              <w:left w:val="nil"/>
              <w:bottom w:val="single" w:sz="2" w:space="0" w:color="auto"/>
              <w:right w:val="nil"/>
            </w:tcBorders>
          </w:tcPr>
          <w:p w14:paraId="7DCF7D50"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22.92</w:t>
            </w:r>
          </w:p>
        </w:tc>
        <w:tc>
          <w:tcPr>
            <w:tcW w:w="850" w:type="dxa"/>
            <w:tcBorders>
              <w:top w:val="nil"/>
              <w:left w:val="nil"/>
              <w:bottom w:val="single" w:sz="2" w:space="0" w:color="auto"/>
              <w:right w:val="nil"/>
            </w:tcBorders>
          </w:tcPr>
          <w:p w14:paraId="1C076D50"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16.67</w:t>
            </w:r>
          </w:p>
        </w:tc>
        <w:tc>
          <w:tcPr>
            <w:tcW w:w="850" w:type="dxa"/>
            <w:tcBorders>
              <w:top w:val="nil"/>
              <w:left w:val="nil"/>
              <w:bottom w:val="single" w:sz="2" w:space="0" w:color="auto"/>
              <w:right w:val="nil"/>
            </w:tcBorders>
          </w:tcPr>
          <w:p w14:paraId="63F9444B"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18.75</w:t>
            </w:r>
          </w:p>
        </w:tc>
        <w:tc>
          <w:tcPr>
            <w:tcW w:w="850" w:type="dxa"/>
            <w:tcBorders>
              <w:top w:val="nil"/>
              <w:left w:val="nil"/>
              <w:bottom w:val="single" w:sz="2" w:space="0" w:color="auto"/>
              <w:right w:val="nil"/>
            </w:tcBorders>
          </w:tcPr>
          <w:p w14:paraId="6CBDCDDB"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18.75</w:t>
            </w:r>
          </w:p>
        </w:tc>
        <w:tc>
          <w:tcPr>
            <w:tcW w:w="851" w:type="dxa"/>
            <w:tcBorders>
              <w:top w:val="nil"/>
              <w:left w:val="nil"/>
              <w:bottom w:val="single" w:sz="2" w:space="0" w:color="auto"/>
              <w:right w:val="nil"/>
            </w:tcBorders>
          </w:tcPr>
          <w:p w14:paraId="488F37E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18.75</w:t>
            </w:r>
          </w:p>
        </w:tc>
        <w:tc>
          <w:tcPr>
            <w:tcW w:w="850" w:type="dxa"/>
            <w:tcBorders>
              <w:top w:val="nil"/>
              <w:left w:val="nil"/>
              <w:bottom w:val="single" w:sz="2" w:space="0" w:color="auto"/>
              <w:right w:val="nil"/>
            </w:tcBorders>
          </w:tcPr>
          <w:p w14:paraId="395F8D2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22.92</w:t>
            </w:r>
          </w:p>
        </w:tc>
        <w:tc>
          <w:tcPr>
            <w:tcW w:w="850" w:type="dxa"/>
            <w:tcBorders>
              <w:top w:val="nil"/>
              <w:left w:val="nil"/>
              <w:bottom w:val="single" w:sz="2" w:space="0" w:color="auto"/>
              <w:right w:val="nil"/>
            </w:tcBorders>
          </w:tcPr>
          <w:p w14:paraId="21B7DA68"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22.92</w:t>
            </w:r>
          </w:p>
        </w:tc>
        <w:tc>
          <w:tcPr>
            <w:tcW w:w="925" w:type="dxa"/>
            <w:tcBorders>
              <w:top w:val="nil"/>
              <w:left w:val="nil"/>
              <w:bottom w:val="single" w:sz="2" w:space="0" w:color="auto"/>
              <w:right w:val="nil"/>
            </w:tcBorders>
          </w:tcPr>
          <w:p w14:paraId="25428034"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68" w:type="dxa"/>
            <w:tcBorders>
              <w:top w:val="nil"/>
              <w:left w:val="nil"/>
              <w:bottom w:val="single" w:sz="2" w:space="0" w:color="auto"/>
              <w:right w:val="nil"/>
            </w:tcBorders>
          </w:tcPr>
          <w:p w14:paraId="033D1C1E"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bookmarkEnd w:id="17"/>
    </w:tbl>
    <w:p w14:paraId="09D7E147" w14:textId="77777777" w:rsidR="00837DA7" w:rsidRDefault="00837DA7" w:rsidP="00837DA7">
      <w:pPr>
        <w:sectPr w:rsidR="00837DA7">
          <w:pgSz w:w="11906" w:h="16838"/>
          <w:pgMar w:top="1440" w:right="1440" w:bottom="1440" w:left="1440" w:header="708" w:footer="708" w:gutter="0"/>
          <w:cols w:space="708"/>
          <w:docGrid w:linePitch="360"/>
        </w:sectPr>
      </w:pPr>
    </w:p>
    <w:p w14:paraId="39EA1AF0" w14:textId="77777777" w:rsidR="00837DA7" w:rsidRPr="00233EC8" w:rsidRDefault="00837DA7" w:rsidP="00837DA7">
      <w:pPr>
        <w:spacing w:after="0" w:line="240" w:lineRule="auto"/>
        <w:contextualSpacing/>
        <w:rPr>
          <w:rFonts w:ascii="Times New Roman" w:eastAsia="Calibri" w:hAnsi="Times New Roman" w:cs="Times New Roman"/>
          <w:b/>
          <w:sz w:val="24"/>
          <w:szCs w:val="24"/>
        </w:rPr>
      </w:pPr>
    </w:p>
    <w:tbl>
      <w:tblPr>
        <w:tblStyle w:val="TableGrid11"/>
        <w:tblpPr w:leftFromText="180" w:rightFromText="180" w:vertAnchor="page" w:horzAnchor="margin" w:tblpY="1396"/>
        <w:tblW w:w="9781" w:type="dxa"/>
        <w:tblLook w:val="04A0" w:firstRow="1" w:lastRow="0" w:firstColumn="1" w:lastColumn="0" w:noHBand="0" w:noVBand="1"/>
      </w:tblPr>
      <w:tblGrid>
        <w:gridCol w:w="1737"/>
        <w:gridCol w:w="850"/>
        <w:gridCol w:w="850"/>
        <w:gridCol w:w="850"/>
        <w:gridCol w:w="850"/>
        <w:gridCol w:w="851"/>
        <w:gridCol w:w="850"/>
        <w:gridCol w:w="850"/>
        <w:gridCol w:w="959"/>
        <w:gridCol w:w="1134"/>
      </w:tblGrid>
      <w:tr w:rsidR="00837DA7" w:rsidRPr="00233EC8" w14:paraId="6DFC6AFE" w14:textId="77777777" w:rsidTr="00353A9A">
        <w:trPr>
          <w:trHeight w:val="490"/>
        </w:trPr>
        <w:tc>
          <w:tcPr>
            <w:tcW w:w="9781" w:type="dxa"/>
            <w:gridSpan w:val="10"/>
            <w:tcBorders>
              <w:top w:val="nil"/>
              <w:left w:val="nil"/>
              <w:bottom w:val="single" w:sz="12" w:space="0" w:color="auto"/>
              <w:right w:val="nil"/>
            </w:tcBorders>
          </w:tcPr>
          <w:p w14:paraId="6518413A" w14:textId="77777777" w:rsidR="00837DA7" w:rsidRPr="00233EC8" w:rsidRDefault="00837DA7" w:rsidP="00353A9A">
            <w:pPr>
              <w:rPr>
                <w:rFonts w:asciiTheme="majorBidi" w:hAnsiTheme="majorBidi" w:cstheme="majorBidi"/>
                <w:b/>
                <w:sz w:val="20"/>
                <w:szCs w:val="20"/>
              </w:rPr>
            </w:pPr>
            <w:bookmarkStart w:id="18" w:name="_Hlk117695968"/>
          </w:p>
          <w:p w14:paraId="6E8B3851" w14:textId="77777777" w:rsidR="00837DA7" w:rsidRPr="00233EC8" w:rsidRDefault="00837DA7" w:rsidP="00353A9A">
            <w:pPr>
              <w:rPr>
                <w:rFonts w:asciiTheme="majorBidi" w:hAnsiTheme="majorBidi" w:cstheme="majorBidi"/>
                <w:bCs/>
                <w:sz w:val="20"/>
                <w:szCs w:val="20"/>
              </w:rPr>
            </w:pPr>
            <w:r>
              <w:rPr>
                <w:rFonts w:asciiTheme="majorBidi" w:hAnsiTheme="majorBidi" w:cstheme="majorBidi"/>
                <w:b/>
                <w:sz w:val="20"/>
                <w:szCs w:val="20"/>
              </w:rPr>
              <w:t>Online Appendix 1</w:t>
            </w:r>
            <w:r w:rsidRPr="00233EC8">
              <w:rPr>
                <w:rFonts w:asciiTheme="majorBidi" w:hAnsiTheme="majorBidi" w:cstheme="majorBidi"/>
                <w:b/>
                <w:sz w:val="20"/>
                <w:szCs w:val="20"/>
              </w:rPr>
              <w:t xml:space="preserve"> (Continued)</w:t>
            </w:r>
            <w:r>
              <w:rPr>
                <w:rFonts w:asciiTheme="majorBidi" w:hAnsiTheme="majorBidi" w:cstheme="majorBidi"/>
                <w:b/>
                <w:sz w:val="20"/>
                <w:szCs w:val="20"/>
              </w:rPr>
              <w:t xml:space="preserve">. </w:t>
            </w:r>
            <w:r w:rsidRPr="00233EC8">
              <w:rPr>
                <w:rFonts w:asciiTheme="majorBidi" w:hAnsiTheme="majorBidi" w:cstheme="majorBidi"/>
                <w:bCs/>
                <w:sz w:val="20"/>
                <w:szCs w:val="20"/>
              </w:rPr>
              <w:t>Descriptive statistics of th</w:t>
            </w:r>
            <w:r>
              <w:rPr>
                <w:rFonts w:asciiTheme="majorBidi" w:hAnsiTheme="majorBidi" w:cstheme="majorBidi"/>
                <w:bCs/>
                <w:sz w:val="20"/>
                <w:szCs w:val="20"/>
              </w:rPr>
              <w:t>e risk disclosure index</w:t>
            </w:r>
            <w:r w:rsidRPr="00233EC8">
              <w:rPr>
                <w:rFonts w:asciiTheme="majorBidi" w:hAnsiTheme="majorBidi" w:cstheme="majorBidi"/>
                <w:bCs/>
                <w:sz w:val="20"/>
                <w:szCs w:val="20"/>
              </w:rPr>
              <w:t xml:space="preserve"> for all HEI</w:t>
            </w:r>
            <w:r>
              <w:rPr>
                <w:rFonts w:asciiTheme="majorBidi" w:hAnsiTheme="majorBidi" w:cstheme="majorBidi"/>
                <w:bCs/>
                <w:sz w:val="20"/>
                <w:szCs w:val="20"/>
              </w:rPr>
              <w:t>s</w:t>
            </w:r>
            <w:r w:rsidRPr="00233EC8">
              <w:rPr>
                <w:rFonts w:asciiTheme="majorBidi" w:hAnsiTheme="majorBidi" w:cstheme="majorBidi"/>
                <w:bCs/>
                <w:sz w:val="20"/>
                <w:szCs w:val="20"/>
              </w:rPr>
              <w:t xml:space="preserve">.           </w:t>
            </w:r>
          </w:p>
        </w:tc>
      </w:tr>
      <w:tr w:rsidR="00837DA7" w:rsidRPr="00233EC8" w14:paraId="372D4449" w14:textId="77777777" w:rsidTr="00353A9A">
        <w:tc>
          <w:tcPr>
            <w:tcW w:w="1737" w:type="dxa"/>
            <w:vMerge w:val="restart"/>
            <w:tcBorders>
              <w:top w:val="single" w:sz="12" w:space="0" w:color="auto"/>
              <w:left w:val="nil"/>
              <w:right w:val="nil"/>
            </w:tcBorders>
          </w:tcPr>
          <w:p w14:paraId="07A17DF3" w14:textId="77777777" w:rsidR="00837DA7" w:rsidRPr="00233EC8" w:rsidRDefault="00837DA7" w:rsidP="00353A9A">
            <w:pPr>
              <w:rPr>
                <w:rFonts w:asciiTheme="majorBidi" w:hAnsiTheme="majorBidi" w:cstheme="majorBidi"/>
                <w:sz w:val="20"/>
                <w:szCs w:val="20"/>
              </w:rPr>
            </w:pPr>
          </w:p>
        </w:tc>
        <w:tc>
          <w:tcPr>
            <w:tcW w:w="850" w:type="dxa"/>
            <w:vMerge w:val="restart"/>
            <w:tcBorders>
              <w:top w:val="single" w:sz="12" w:space="0" w:color="auto"/>
              <w:left w:val="nil"/>
              <w:right w:val="nil"/>
            </w:tcBorders>
          </w:tcPr>
          <w:p w14:paraId="59698780" w14:textId="77777777" w:rsidR="00837DA7" w:rsidRPr="00233EC8" w:rsidRDefault="00837DA7" w:rsidP="00353A9A">
            <w:pPr>
              <w:rPr>
                <w:rFonts w:asciiTheme="majorBidi" w:hAnsiTheme="majorBidi" w:cstheme="majorBidi"/>
                <w:sz w:val="20"/>
                <w:szCs w:val="20"/>
              </w:rPr>
            </w:pPr>
          </w:p>
          <w:p w14:paraId="40802A7E"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 xml:space="preserve">All </w:t>
            </w:r>
          </w:p>
        </w:tc>
        <w:tc>
          <w:tcPr>
            <w:tcW w:w="850" w:type="dxa"/>
            <w:vMerge w:val="restart"/>
            <w:tcBorders>
              <w:top w:val="single" w:sz="12" w:space="0" w:color="auto"/>
              <w:left w:val="nil"/>
              <w:right w:val="nil"/>
            </w:tcBorders>
          </w:tcPr>
          <w:p w14:paraId="0FEAFA52" w14:textId="77777777" w:rsidR="00837DA7" w:rsidRPr="00233EC8" w:rsidRDefault="00837DA7" w:rsidP="00353A9A">
            <w:pPr>
              <w:rPr>
                <w:rFonts w:asciiTheme="majorBidi" w:hAnsiTheme="majorBidi" w:cstheme="majorBidi"/>
                <w:sz w:val="20"/>
                <w:szCs w:val="20"/>
              </w:rPr>
            </w:pPr>
          </w:p>
          <w:p w14:paraId="4491C766"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2009</w:t>
            </w:r>
          </w:p>
        </w:tc>
        <w:tc>
          <w:tcPr>
            <w:tcW w:w="850" w:type="dxa"/>
            <w:vMerge w:val="restart"/>
            <w:tcBorders>
              <w:top w:val="single" w:sz="12" w:space="0" w:color="auto"/>
              <w:left w:val="nil"/>
              <w:right w:val="nil"/>
            </w:tcBorders>
          </w:tcPr>
          <w:p w14:paraId="279B62F5" w14:textId="77777777" w:rsidR="00837DA7" w:rsidRPr="00233EC8" w:rsidRDefault="00837DA7" w:rsidP="00353A9A">
            <w:pPr>
              <w:rPr>
                <w:rFonts w:asciiTheme="majorBidi" w:hAnsiTheme="majorBidi" w:cstheme="majorBidi"/>
                <w:sz w:val="20"/>
                <w:szCs w:val="20"/>
              </w:rPr>
            </w:pPr>
          </w:p>
          <w:p w14:paraId="0F300EC0"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2010</w:t>
            </w:r>
          </w:p>
        </w:tc>
        <w:tc>
          <w:tcPr>
            <w:tcW w:w="850" w:type="dxa"/>
            <w:vMerge w:val="restart"/>
            <w:tcBorders>
              <w:top w:val="single" w:sz="12" w:space="0" w:color="auto"/>
              <w:left w:val="nil"/>
              <w:right w:val="nil"/>
            </w:tcBorders>
          </w:tcPr>
          <w:p w14:paraId="41B282A3" w14:textId="77777777" w:rsidR="00837DA7" w:rsidRPr="00233EC8" w:rsidRDefault="00837DA7" w:rsidP="00353A9A">
            <w:pPr>
              <w:rPr>
                <w:rFonts w:asciiTheme="majorBidi" w:hAnsiTheme="majorBidi" w:cstheme="majorBidi"/>
                <w:sz w:val="20"/>
                <w:szCs w:val="20"/>
              </w:rPr>
            </w:pPr>
          </w:p>
          <w:p w14:paraId="784A8B77"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2011</w:t>
            </w:r>
          </w:p>
        </w:tc>
        <w:tc>
          <w:tcPr>
            <w:tcW w:w="851" w:type="dxa"/>
            <w:vMerge w:val="restart"/>
            <w:tcBorders>
              <w:top w:val="single" w:sz="12" w:space="0" w:color="auto"/>
              <w:left w:val="nil"/>
              <w:right w:val="nil"/>
            </w:tcBorders>
          </w:tcPr>
          <w:p w14:paraId="5ED555C8" w14:textId="77777777" w:rsidR="00837DA7" w:rsidRPr="00233EC8" w:rsidRDefault="00837DA7" w:rsidP="00353A9A">
            <w:pPr>
              <w:rPr>
                <w:rFonts w:asciiTheme="majorBidi" w:hAnsiTheme="majorBidi" w:cstheme="majorBidi"/>
                <w:sz w:val="20"/>
                <w:szCs w:val="20"/>
              </w:rPr>
            </w:pPr>
          </w:p>
          <w:p w14:paraId="3948B5BE"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2012</w:t>
            </w:r>
          </w:p>
        </w:tc>
        <w:tc>
          <w:tcPr>
            <w:tcW w:w="850" w:type="dxa"/>
            <w:vMerge w:val="restart"/>
            <w:tcBorders>
              <w:top w:val="single" w:sz="12" w:space="0" w:color="auto"/>
              <w:left w:val="nil"/>
              <w:right w:val="nil"/>
            </w:tcBorders>
          </w:tcPr>
          <w:p w14:paraId="35711CEE" w14:textId="77777777" w:rsidR="00837DA7" w:rsidRPr="00233EC8" w:rsidRDefault="00837DA7" w:rsidP="00353A9A">
            <w:pPr>
              <w:rPr>
                <w:rFonts w:asciiTheme="majorBidi" w:hAnsiTheme="majorBidi" w:cstheme="majorBidi"/>
                <w:sz w:val="20"/>
                <w:szCs w:val="20"/>
              </w:rPr>
            </w:pPr>
          </w:p>
          <w:p w14:paraId="4F6FA74F"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2013</w:t>
            </w:r>
          </w:p>
        </w:tc>
        <w:tc>
          <w:tcPr>
            <w:tcW w:w="850" w:type="dxa"/>
            <w:vMerge w:val="restart"/>
            <w:tcBorders>
              <w:top w:val="single" w:sz="12" w:space="0" w:color="auto"/>
              <w:left w:val="nil"/>
              <w:right w:val="nil"/>
            </w:tcBorders>
          </w:tcPr>
          <w:p w14:paraId="09725B2B" w14:textId="77777777" w:rsidR="00837DA7" w:rsidRPr="00233EC8" w:rsidRDefault="00837DA7" w:rsidP="00353A9A">
            <w:pPr>
              <w:rPr>
                <w:rFonts w:asciiTheme="majorBidi" w:hAnsiTheme="majorBidi" w:cstheme="majorBidi"/>
                <w:sz w:val="20"/>
                <w:szCs w:val="20"/>
              </w:rPr>
            </w:pPr>
          </w:p>
          <w:p w14:paraId="03202F75"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2014</w:t>
            </w:r>
          </w:p>
        </w:tc>
        <w:tc>
          <w:tcPr>
            <w:tcW w:w="2093" w:type="dxa"/>
            <w:gridSpan w:val="2"/>
            <w:tcBorders>
              <w:top w:val="single" w:sz="12" w:space="0" w:color="auto"/>
              <w:left w:val="nil"/>
              <w:bottom w:val="nil"/>
              <w:right w:val="nil"/>
            </w:tcBorders>
          </w:tcPr>
          <w:p w14:paraId="04C93CC7"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bCs/>
                <w:sz w:val="20"/>
                <w:szCs w:val="20"/>
              </w:rPr>
              <w:t>Pre-1992 – Post-1992</w:t>
            </w:r>
          </w:p>
        </w:tc>
      </w:tr>
      <w:tr w:rsidR="00837DA7" w:rsidRPr="00233EC8" w14:paraId="597758CB" w14:textId="77777777" w:rsidTr="00353A9A">
        <w:tc>
          <w:tcPr>
            <w:tcW w:w="1737" w:type="dxa"/>
            <w:vMerge/>
            <w:tcBorders>
              <w:left w:val="nil"/>
              <w:bottom w:val="single" w:sz="2" w:space="0" w:color="auto"/>
              <w:right w:val="nil"/>
            </w:tcBorders>
          </w:tcPr>
          <w:p w14:paraId="5EA17282" w14:textId="77777777" w:rsidR="00837DA7" w:rsidRPr="00233EC8" w:rsidRDefault="00837DA7" w:rsidP="00353A9A">
            <w:pPr>
              <w:rPr>
                <w:rFonts w:asciiTheme="majorBidi" w:hAnsiTheme="majorBidi" w:cstheme="majorBidi"/>
                <w:sz w:val="20"/>
                <w:szCs w:val="20"/>
              </w:rPr>
            </w:pPr>
          </w:p>
        </w:tc>
        <w:tc>
          <w:tcPr>
            <w:tcW w:w="850" w:type="dxa"/>
            <w:vMerge/>
            <w:tcBorders>
              <w:left w:val="nil"/>
              <w:bottom w:val="single" w:sz="2" w:space="0" w:color="auto"/>
              <w:right w:val="nil"/>
            </w:tcBorders>
          </w:tcPr>
          <w:p w14:paraId="72B2D983" w14:textId="77777777" w:rsidR="00837DA7" w:rsidRPr="00233EC8" w:rsidRDefault="00837DA7" w:rsidP="00353A9A">
            <w:pPr>
              <w:rPr>
                <w:rFonts w:asciiTheme="majorBidi" w:hAnsiTheme="majorBidi" w:cstheme="majorBidi"/>
                <w:sz w:val="20"/>
                <w:szCs w:val="20"/>
              </w:rPr>
            </w:pPr>
          </w:p>
        </w:tc>
        <w:tc>
          <w:tcPr>
            <w:tcW w:w="850" w:type="dxa"/>
            <w:vMerge/>
            <w:tcBorders>
              <w:left w:val="nil"/>
              <w:bottom w:val="single" w:sz="2" w:space="0" w:color="auto"/>
              <w:right w:val="nil"/>
            </w:tcBorders>
          </w:tcPr>
          <w:p w14:paraId="524F7332" w14:textId="77777777" w:rsidR="00837DA7" w:rsidRPr="00233EC8" w:rsidRDefault="00837DA7" w:rsidP="00353A9A">
            <w:pPr>
              <w:rPr>
                <w:rFonts w:asciiTheme="majorBidi" w:hAnsiTheme="majorBidi" w:cstheme="majorBidi"/>
                <w:sz w:val="20"/>
                <w:szCs w:val="20"/>
              </w:rPr>
            </w:pPr>
          </w:p>
        </w:tc>
        <w:tc>
          <w:tcPr>
            <w:tcW w:w="850" w:type="dxa"/>
            <w:vMerge/>
            <w:tcBorders>
              <w:left w:val="nil"/>
              <w:bottom w:val="single" w:sz="2" w:space="0" w:color="auto"/>
              <w:right w:val="nil"/>
            </w:tcBorders>
          </w:tcPr>
          <w:p w14:paraId="4D0321B3" w14:textId="77777777" w:rsidR="00837DA7" w:rsidRPr="00233EC8" w:rsidRDefault="00837DA7" w:rsidP="00353A9A">
            <w:pPr>
              <w:rPr>
                <w:rFonts w:asciiTheme="majorBidi" w:hAnsiTheme="majorBidi" w:cstheme="majorBidi"/>
                <w:sz w:val="20"/>
                <w:szCs w:val="20"/>
              </w:rPr>
            </w:pPr>
          </w:p>
        </w:tc>
        <w:tc>
          <w:tcPr>
            <w:tcW w:w="850" w:type="dxa"/>
            <w:vMerge/>
            <w:tcBorders>
              <w:left w:val="nil"/>
              <w:bottom w:val="single" w:sz="2" w:space="0" w:color="auto"/>
              <w:right w:val="nil"/>
            </w:tcBorders>
          </w:tcPr>
          <w:p w14:paraId="0C30B662" w14:textId="77777777" w:rsidR="00837DA7" w:rsidRPr="00233EC8" w:rsidRDefault="00837DA7" w:rsidP="00353A9A">
            <w:pPr>
              <w:rPr>
                <w:rFonts w:asciiTheme="majorBidi" w:hAnsiTheme="majorBidi" w:cstheme="majorBidi"/>
                <w:sz w:val="20"/>
                <w:szCs w:val="20"/>
              </w:rPr>
            </w:pPr>
          </w:p>
        </w:tc>
        <w:tc>
          <w:tcPr>
            <w:tcW w:w="851" w:type="dxa"/>
            <w:vMerge/>
            <w:tcBorders>
              <w:left w:val="nil"/>
              <w:bottom w:val="single" w:sz="2" w:space="0" w:color="auto"/>
              <w:right w:val="nil"/>
            </w:tcBorders>
          </w:tcPr>
          <w:p w14:paraId="43D185B9" w14:textId="77777777" w:rsidR="00837DA7" w:rsidRPr="00233EC8" w:rsidRDefault="00837DA7" w:rsidP="00353A9A">
            <w:pPr>
              <w:rPr>
                <w:rFonts w:asciiTheme="majorBidi" w:hAnsiTheme="majorBidi" w:cstheme="majorBidi"/>
                <w:sz w:val="20"/>
                <w:szCs w:val="20"/>
              </w:rPr>
            </w:pPr>
          </w:p>
        </w:tc>
        <w:tc>
          <w:tcPr>
            <w:tcW w:w="850" w:type="dxa"/>
            <w:vMerge/>
            <w:tcBorders>
              <w:left w:val="nil"/>
              <w:bottom w:val="single" w:sz="2" w:space="0" w:color="auto"/>
              <w:right w:val="nil"/>
            </w:tcBorders>
          </w:tcPr>
          <w:p w14:paraId="5803E5EB" w14:textId="77777777" w:rsidR="00837DA7" w:rsidRPr="00233EC8" w:rsidRDefault="00837DA7" w:rsidP="00353A9A">
            <w:pPr>
              <w:rPr>
                <w:rFonts w:asciiTheme="majorBidi" w:hAnsiTheme="majorBidi" w:cstheme="majorBidi"/>
                <w:sz w:val="20"/>
                <w:szCs w:val="20"/>
              </w:rPr>
            </w:pPr>
          </w:p>
        </w:tc>
        <w:tc>
          <w:tcPr>
            <w:tcW w:w="850" w:type="dxa"/>
            <w:vMerge/>
            <w:tcBorders>
              <w:left w:val="nil"/>
              <w:bottom w:val="single" w:sz="2" w:space="0" w:color="auto"/>
              <w:right w:val="nil"/>
            </w:tcBorders>
          </w:tcPr>
          <w:p w14:paraId="28984ECD" w14:textId="77777777" w:rsidR="00837DA7" w:rsidRPr="00233EC8" w:rsidRDefault="00837DA7" w:rsidP="00353A9A">
            <w:pPr>
              <w:rPr>
                <w:rFonts w:asciiTheme="majorBidi" w:hAnsiTheme="majorBidi" w:cstheme="majorBidi"/>
                <w:sz w:val="20"/>
                <w:szCs w:val="20"/>
              </w:rPr>
            </w:pPr>
          </w:p>
        </w:tc>
        <w:tc>
          <w:tcPr>
            <w:tcW w:w="959" w:type="dxa"/>
            <w:tcBorders>
              <w:top w:val="nil"/>
              <w:left w:val="nil"/>
              <w:bottom w:val="single" w:sz="2" w:space="0" w:color="auto"/>
              <w:right w:val="nil"/>
            </w:tcBorders>
          </w:tcPr>
          <w:p w14:paraId="7613CD8F"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Mean Diff.</w:t>
            </w:r>
          </w:p>
        </w:tc>
        <w:tc>
          <w:tcPr>
            <w:tcW w:w="1134" w:type="dxa"/>
            <w:tcBorders>
              <w:top w:val="nil"/>
              <w:left w:val="nil"/>
              <w:bottom w:val="single" w:sz="2" w:space="0" w:color="auto"/>
              <w:right w:val="nil"/>
            </w:tcBorders>
          </w:tcPr>
          <w:p w14:paraId="70C1E4E7"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Median Diff.</w:t>
            </w:r>
          </w:p>
        </w:tc>
      </w:tr>
      <w:tr w:rsidR="00837DA7" w:rsidRPr="00233EC8" w14:paraId="6B0A1B0A" w14:textId="77777777" w:rsidTr="00353A9A">
        <w:tc>
          <w:tcPr>
            <w:tcW w:w="9781" w:type="dxa"/>
            <w:gridSpan w:val="10"/>
            <w:tcBorders>
              <w:top w:val="single" w:sz="2" w:space="0" w:color="auto"/>
              <w:left w:val="nil"/>
              <w:bottom w:val="nil"/>
              <w:right w:val="nil"/>
            </w:tcBorders>
          </w:tcPr>
          <w:p w14:paraId="52964CB8"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i/>
                <w:iCs/>
                <w:sz w:val="20"/>
                <w:szCs w:val="20"/>
              </w:rPr>
              <w:t>Panel 3.7:  Major project risks (%)</w:t>
            </w:r>
          </w:p>
        </w:tc>
      </w:tr>
      <w:tr w:rsidR="00837DA7" w:rsidRPr="00233EC8" w14:paraId="75FAF21C" w14:textId="77777777" w:rsidTr="00353A9A">
        <w:tc>
          <w:tcPr>
            <w:tcW w:w="1737" w:type="dxa"/>
            <w:tcBorders>
              <w:top w:val="nil"/>
              <w:left w:val="nil"/>
              <w:bottom w:val="nil"/>
              <w:right w:val="nil"/>
            </w:tcBorders>
          </w:tcPr>
          <w:p w14:paraId="7DBC338F"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Mean</w:t>
            </w:r>
          </w:p>
        </w:tc>
        <w:tc>
          <w:tcPr>
            <w:tcW w:w="850" w:type="dxa"/>
            <w:tcBorders>
              <w:top w:val="nil"/>
              <w:left w:val="nil"/>
              <w:bottom w:val="nil"/>
              <w:right w:val="nil"/>
            </w:tcBorders>
          </w:tcPr>
          <w:p w14:paraId="3812E890"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6.10</w:t>
            </w:r>
          </w:p>
        </w:tc>
        <w:tc>
          <w:tcPr>
            <w:tcW w:w="850" w:type="dxa"/>
            <w:tcBorders>
              <w:top w:val="nil"/>
              <w:left w:val="nil"/>
              <w:bottom w:val="nil"/>
              <w:right w:val="nil"/>
            </w:tcBorders>
          </w:tcPr>
          <w:p w14:paraId="4870C0A4"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5.51</w:t>
            </w:r>
          </w:p>
        </w:tc>
        <w:tc>
          <w:tcPr>
            <w:tcW w:w="850" w:type="dxa"/>
            <w:tcBorders>
              <w:top w:val="nil"/>
              <w:left w:val="nil"/>
              <w:bottom w:val="nil"/>
              <w:right w:val="nil"/>
            </w:tcBorders>
          </w:tcPr>
          <w:p w14:paraId="289B35BC"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5.60</w:t>
            </w:r>
          </w:p>
        </w:tc>
        <w:tc>
          <w:tcPr>
            <w:tcW w:w="850" w:type="dxa"/>
            <w:tcBorders>
              <w:top w:val="nil"/>
              <w:left w:val="nil"/>
              <w:bottom w:val="nil"/>
              <w:right w:val="nil"/>
            </w:tcBorders>
          </w:tcPr>
          <w:p w14:paraId="65694530"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5.91</w:t>
            </w:r>
          </w:p>
        </w:tc>
        <w:tc>
          <w:tcPr>
            <w:tcW w:w="851" w:type="dxa"/>
            <w:tcBorders>
              <w:top w:val="nil"/>
              <w:left w:val="nil"/>
              <w:bottom w:val="nil"/>
              <w:right w:val="nil"/>
            </w:tcBorders>
          </w:tcPr>
          <w:p w14:paraId="12901EC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6.15</w:t>
            </w:r>
          </w:p>
        </w:tc>
        <w:tc>
          <w:tcPr>
            <w:tcW w:w="850" w:type="dxa"/>
            <w:tcBorders>
              <w:top w:val="nil"/>
              <w:left w:val="nil"/>
              <w:bottom w:val="nil"/>
              <w:right w:val="nil"/>
            </w:tcBorders>
          </w:tcPr>
          <w:p w14:paraId="3DF87D33"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6.65</w:t>
            </w:r>
          </w:p>
        </w:tc>
        <w:tc>
          <w:tcPr>
            <w:tcW w:w="850" w:type="dxa"/>
            <w:tcBorders>
              <w:top w:val="nil"/>
              <w:left w:val="nil"/>
              <w:bottom w:val="nil"/>
              <w:right w:val="nil"/>
            </w:tcBorders>
          </w:tcPr>
          <w:p w14:paraId="00E7D204"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6.79</w:t>
            </w:r>
          </w:p>
        </w:tc>
        <w:tc>
          <w:tcPr>
            <w:tcW w:w="959" w:type="dxa"/>
            <w:tcBorders>
              <w:top w:val="nil"/>
              <w:left w:val="nil"/>
              <w:bottom w:val="nil"/>
              <w:right w:val="nil"/>
            </w:tcBorders>
          </w:tcPr>
          <w:p w14:paraId="587097AD" w14:textId="77777777" w:rsidR="00837DA7" w:rsidRPr="00233EC8" w:rsidRDefault="00837DA7" w:rsidP="00353A9A">
            <w:pPr>
              <w:rPr>
                <w:rFonts w:asciiTheme="majorBidi" w:hAnsiTheme="majorBidi" w:cstheme="majorBidi"/>
                <w:sz w:val="20"/>
                <w:szCs w:val="20"/>
                <w:vertAlign w:val="superscript"/>
              </w:rPr>
            </w:pPr>
            <w:r w:rsidRPr="00233EC8">
              <w:rPr>
                <w:rFonts w:asciiTheme="majorBidi" w:hAnsiTheme="majorBidi" w:cstheme="majorBidi"/>
                <w:sz w:val="20"/>
                <w:szCs w:val="20"/>
              </w:rPr>
              <w:t>1.04</w:t>
            </w:r>
            <w:r w:rsidRPr="00233EC8">
              <w:rPr>
                <w:rFonts w:asciiTheme="majorBidi" w:hAnsiTheme="majorBidi" w:cstheme="majorBidi"/>
                <w:sz w:val="20"/>
                <w:szCs w:val="20"/>
                <w:vertAlign w:val="superscript"/>
              </w:rPr>
              <w:t>**</w:t>
            </w:r>
          </w:p>
        </w:tc>
        <w:tc>
          <w:tcPr>
            <w:tcW w:w="1134" w:type="dxa"/>
            <w:tcBorders>
              <w:top w:val="nil"/>
              <w:left w:val="nil"/>
              <w:bottom w:val="nil"/>
              <w:right w:val="nil"/>
            </w:tcBorders>
          </w:tcPr>
          <w:p w14:paraId="7277B8D7"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tr w:rsidR="00837DA7" w:rsidRPr="00233EC8" w14:paraId="4658E91F" w14:textId="77777777" w:rsidTr="00353A9A">
        <w:tc>
          <w:tcPr>
            <w:tcW w:w="1737" w:type="dxa"/>
            <w:tcBorders>
              <w:top w:val="nil"/>
              <w:left w:val="nil"/>
              <w:bottom w:val="nil"/>
              <w:right w:val="nil"/>
            </w:tcBorders>
          </w:tcPr>
          <w:p w14:paraId="37270C7E"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 xml:space="preserve">Median </w:t>
            </w:r>
          </w:p>
        </w:tc>
        <w:tc>
          <w:tcPr>
            <w:tcW w:w="850" w:type="dxa"/>
            <w:tcBorders>
              <w:top w:val="nil"/>
              <w:left w:val="nil"/>
              <w:bottom w:val="nil"/>
              <w:right w:val="nil"/>
            </w:tcBorders>
          </w:tcPr>
          <w:p w14:paraId="7016FC09"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5.56</w:t>
            </w:r>
          </w:p>
        </w:tc>
        <w:tc>
          <w:tcPr>
            <w:tcW w:w="850" w:type="dxa"/>
            <w:tcBorders>
              <w:top w:val="nil"/>
              <w:left w:val="nil"/>
              <w:bottom w:val="nil"/>
              <w:right w:val="nil"/>
            </w:tcBorders>
          </w:tcPr>
          <w:p w14:paraId="3CCFE34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5.56</w:t>
            </w:r>
          </w:p>
        </w:tc>
        <w:tc>
          <w:tcPr>
            <w:tcW w:w="850" w:type="dxa"/>
            <w:tcBorders>
              <w:top w:val="nil"/>
              <w:left w:val="nil"/>
              <w:bottom w:val="nil"/>
              <w:right w:val="nil"/>
            </w:tcBorders>
          </w:tcPr>
          <w:p w14:paraId="0E4FC888"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5.56</w:t>
            </w:r>
          </w:p>
        </w:tc>
        <w:tc>
          <w:tcPr>
            <w:tcW w:w="850" w:type="dxa"/>
            <w:tcBorders>
              <w:top w:val="nil"/>
              <w:left w:val="nil"/>
              <w:bottom w:val="nil"/>
              <w:right w:val="nil"/>
            </w:tcBorders>
          </w:tcPr>
          <w:p w14:paraId="25CCCECB"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5.56</w:t>
            </w:r>
          </w:p>
        </w:tc>
        <w:tc>
          <w:tcPr>
            <w:tcW w:w="851" w:type="dxa"/>
            <w:tcBorders>
              <w:top w:val="nil"/>
              <w:left w:val="nil"/>
              <w:bottom w:val="nil"/>
              <w:right w:val="nil"/>
            </w:tcBorders>
          </w:tcPr>
          <w:p w14:paraId="3D25FCD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5.56</w:t>
            </w:r>
          </w:p>
        </w:tc>
        <w:tc>
          <w:tcPr>
            <w:tcW w:w="850" w:type="dxa"/>
            <w:tcBorders>
              <w:top w:val="nil"/>
              <w:left w:val="nil"/>
              <w:bottom w:val="nil"/>
              <w:right w:val="nil"/>
            </w:tcBorders>
          </w:tcPr>
          <w:p w14:paraId="7562902F"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5.56</w:t>
            </w:r>
          </w:p>
        </w:tc>
        <w:tc>
          <w:tcPr>
            <w:tcW w:w="850" w:type="dxa"/>
            <w:tcBorders>
              <w:top w:val="nil"/>
              <w:left w:val="nil"/>
              <w:bottom w:val="nil"/>
              <w:right w:val="nil"/>
            </w:tcBorders>
          </w:tcPr>
          <w:p w14:paraId="61425C79"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5.56</w:t>
            </w:r>
          </w:p>
        </w:tc>
        <w:tc>
          <w:tcPr>
            <w:tcW w:w="959" w:type="dxa"/>
            <w:tcBorders>
              <w:top w:val="nil"/>
              <w:left w:val="nil"/>
              <w:bottom w:val="nil"/>
              <w:right w:val="nil"/>
            </w:tcBorders>
          </w:tcPr>
          <w:p w14:paraId="49E28278"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34" w:type="dxa"/>
            <w:tcBorders>
              <w:top w:val="nil"/>
              <w:left w:val="nil"/>
              <w:bottom w:val="nil"/>
              <w:right w:val="nil"/>
            </w:tcBorders>
          </w:tcPr>
          <w:p w14:paraId="11B420BF"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r>
      <w:tr w:rsidR="00837DA7" w:rsidRPr="00233EC8" w14:paraId="7854B91E" w14:textId="77777777" w:rsidTr="00353A9A">
        <w:tc>
          <w:tcPr>
            <w:tcW w:w="1737" w:type="dxa"/>
            <w:tcBorders>
              <w:top w:val="nil"/>
              <w:left w:val="nil"/>
              <w:bottom w:val="nil"/>
              <w:right w:val="nil"/>
            </w:tcBorders>
          </w:tcPr>
          <w:p w14:paraId="5BF42AC5"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STD</w:t>
            </w:r>
          </w:p>
        </w:tc>
        <w:tc>
          <w:tcPr>
            <w:tcW w:w="850" w:type="dxa"/>
            <w:tcBorders>
              <w:top w:val="nil"/>
              <w:left w:val="nil"/>
              <w:bottom w:val="nil"/>
              <w:right w:val="nil"/>
            </w:tcBorders>
          </w:tcPr>
          <w:p w14:paraId="41199F9B"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5.39</w:t>
            </w:r>
          </w:p>
        </w:tc>
        <w:tc>
          <w:tcPr>
            <w:tcW w:w="850" w:type="dxa"/>
            <w:tcBorders>
              <w:top w:val="nil"/>
              <w:left w:val="nil"/>
              <w:bottom w:val="nil"/>
              <w:right w:val="nil"/>
            </w:tcBorders>
          </w:tcPr>
          <w:p w14:paraId="0F0CE78F"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5.03</w:t>
            </w:r>
          </w:p>
        </w:tc>
        <w:tc>
          <w:tcPr>
            <w:tcW w:w="850" w:type="dxa"/>
            <w:tcBorders>
              <w:top w:val="nil"/>
              <w:left w:val="nil"/>
              <w:bottom w:val="nil"/>
              <w:right w:val="nil"/>
            </w:tcBorders>
          </w:tcPr>
          <w:p w14:paraId="7D1C2227"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5.03</w:t>
            </w:r>
          </w:p>
        </w:tc>
        <w:tc>
          <w:tcPr>
            <w:tcW w:w="850" w:type="dxa"/>
            <w:tcBorders>
              <w:top w:val="nil"/>
              <w:left w:val="nil"/>
              <w:bottom w:val="nil"/>
              <w:right w:val="nil"/>
            </w:tcBorders>
          </w:tcPr>
          <w:p w14:paraId="3B571DC4"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5.18</w:t>
            </w:r>
          </w:p>
        </w:tc>
        <w:tc>
          <w:tcPr>
            <w:tcW w:w="851" w:type="dxa"/>
            <w:tcBorders>
              <w:top w:val="nil"/>
              <w:left w:val="nil"/>
              <w:bottom w:val="nil"/>
              <w:right w:val="nil"/>
            </w:tcBorders>
          </w:tcPr>
          <w:p w14:paraId="181DBBC0"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5.32</w:t>
            </w:r>
          </w:p>
        </w:tc>
        <w:tc>
          <w:tcPr>
            <w:tcW w:w="850" w:type="dxa"/>
            <w:tcBorders>
              <w:top w:val="nil"/>
              <w:left w:val="nil"/>
              <w:bottom w:val="nil"/>
              <w:right w:val="nil"/>
            </w:tcBorders>
          </w:tcPr>
          <w:p w14:paraId="47B87C88"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5.81</w:t>
            </w:r>
          </w:p>
        </w:tc>
        <w:tc>
          <w:tcPr>
            <w:tcW w:w="850" w:type="dxa"/>
            <w:tcBorders>
              <w:top w:val="nil"/>
              <w:left w:val="nil"/>
              <w:bottom w:val="nil"/>
              <w:right w:val="nil"/>
            </w:tcBorders>
          </w:tcPr>
          <w:p w14:paraId="0B8E47B3"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5.90</w:t>
            </w:r>
          </w:p>
        </w:tc>
        <w:tc>
          <w:tcPr>
            <w:tcW w:w="959" w:type="dxa"/>
            <w:tcBorders>
              <w:top w:val="nil"/>
              <w:left w:val="nil"/>
              <w:bottom w:val="nil"/>
              <w:right w:val="nil"/>
            </w:tcBorders>
          </w:tcPr>
          <w:p w14:paraId="6C614CC8"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34" w:type="dxa"/>
            <w:tcBorders>
              <w:top w:val="nil"/>
              <w:left w:val="nil"/>
              <w:bottom w:val="nil"/>
              <w:right w:val="nil"/>
            </w:tcBorders>
          </w:tcPr>
          <w:p w14:paraId="6BCB7BAE"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tr w:rsidR="00837DA7" w:rsidRPr="00233EC8" w14:paraId="19D3FD2C" w14:textId="77777777" w:rsidTr="00353A9A">
        <w:tc>
          <w:tcPr>
            <w:tcW w:w="1737" w:type="dxa"/>
            <w:tcBorders>
              <w:top w:val="nil"/>
              <w:left w:val="nil"/>
              <w:bottom w:val="nil"/>
              <w:right w:val="nil"/>
            </w:tcBorders>
          </w:tcPr>
          <w:p w14:paraId="654EBE4A"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Minimum</w:t>
            </w:r>
          </w:p>
        </w:tc>
        <w:tc>
          <w:tcPr>
            <w:tcW w:w="850" w:type="dxa"/>
            <w:tcBorders>
              <w:top w:val="nil"/>
              <w:left w:val="nil"/>
              <w:bottom w:val="nil"/>
              <w:right w:val="nil"/>
            </w:tcBorders>
          </w:tcPr>
          <w:p w14:paraId="18E7099B"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0" w:type="dxa"/>
            <w:tcBorders>
              <w:top w:val="nil"/>
              <w:left w:val="nil"/>
              <w:bottom w:val="nil"/>
              <w:right w:val="nil"/>
            </w:tcBorders>
          </w:tcPr>
          <w:p w14:paraId="72684849"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0" w:type="dxa"/>
            <w:tcBorders>
              <w:top w:val="nil"/>
              <w:left w:val="nil"/>
              <w:bottom w:val="nil"/>
              <w:right w:val="nil"/>
            </w:tcBorders>
          </w:tcPr>
          <w:p w14:paraId="25AA1594"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0" w:type="dxa"/>
            <w:tcBorders>
              <w:top w:val="nil"/>
              <w:left w:val="nil"/>
              <w:bottom w:val="nil"/>
              <w:right w:val="nil"/>
            </w:tcBorders>
          </w:tcPr>
          <w:p w14:paraId="090A8864"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1" w:type="dxa"/>
            <w:tcBorders>
              <w:top w:val="nil"/>
              <w:left w:val="nil"/>
              <w:bottom w:val="nil"/>
              <w:right w:val="nil"/>
            </w:tcBorders>
          </w:tcPr>
          <w:p w14:paraId="741F0B96"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0" w:type="dxa"/>
            <w:tcBorders>
              <w:top w:val="nil"/>
              <w:left w:val="nil"/>
              <w:bottom w:val="nil"/>
              <w:right w:val="nil"/>
            </w:tcBorders>
          </w:tcPr>
          <w:p w14:paraId="660C8096"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0" w:type="dxa"/>
            <w:tcBorders>
              <w:top w:val="nil"/>
              <w:left w:val="nil"/>
              <w:bottom w:val="nil"/>
              <w:right w:val="nil"/>
            </w:tcBorders>
          </w:tcPr>
          <w:p w14:paraId="08ADE784"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959" w:type="dxa"/>
            <w:tcBorders>
              <w:top w:val="nil"/>
              <w:left w:val="nil"/>
              <w:bottom w:val="nil"/>
              <w:right w:val="nil"/>
            </w:tcBorders>
          </w:tcPr>
          <w:p w14:paraId="12977172"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34" w:type="dxa"/>
            <w:tcBorders>
              <w:top w:val="nil"/>
              <w:left w:val="nil"/>
              <w:bottom w:val="nil"/>
              <w:right w:val="nil"/>
            </w:tcBorders>
          </w:tcPr>
          <w:p w14:paraId="56E7E89F"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tr w:rsidR="00837DA7" w:rsidRPr="00233EC8" w14:paraId="2FA8B98C" w14:textId="77777777" w:rsidTr="00353A9A">
        <w:tc>
          <w:tcPr>
            <w:tcW w:w="1737" w:type="dxa"/>
            <w:tcBorders>
              <w:top w:val="nil"/>
              <w:left w:val="nil"/>
              <w:bottom w:val="nil"/>
              <w:right w:val="nil"/>
            </w:tcBorders>
          </w:tcPr>
          <w:p w14:paraId="74A4398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Maximum</w:t>
            </w:r>
          </w:p>
        </w:tc>
        <w:tc>
          <w:tcPr>
            <w:tcW w:w="850" w:type="dxa"/>
            <w:tcBorders>
              <w:top w:val="nil"/>
              <w:left w:val="nil"/>
              <w:bottom w:val="nil"/>
              <w:right w:val="nil"/>
            </w:tcBorders>
          </w:tcPr>
          <w:p w14:paraId="5B40DBBE"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25.00</w:t>
            </w:r>
          </w:p>
        </w:tc>
        <w:tc>
          <w:tcPr>
            <w:tcW w:w="850" w:type="dxa"/>
            <w:tcBorders>
              <w:top w:val="nil"/>
              <w:left w:val="nil"/>
              <w:bottom w:val="nil"/>
              <w:right w:val="nil"/>
            </w:tcBorders>
          </w:tcPr>
          <w:p w14:paraId="623AFC3C"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25.00</w:t>
            </w:r>
          </w:p>
        </w:tc>
        <w:tc>
          <w:tcPr>
            <w:tcW w:w="850" w:type="dxa"/>
            <w:tcBorders>
              <w:top w:val="nil"/>
              <w:left w:val="nil"/>
              <w:bottom w:val="nil"/>
              <w:right w:val="nil"/>
            </w:tcBorders>
          </w:tcPr>
          <w:p w14:paraId="0BEB7F70"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22.22</w:t>
            </w:r>
          </w:p>
        </w:tc>
        <w:tc>
          <w:tcPr>
            <w:tcW w:w="850" w:type="dxa"/>
            <w:tcBorders>
              <w:top w:val="nil"/>
              <w:left w:val="nil"/>
              <w:bottom w:val="nil"/>
              <w:right w:val="nil"/>
            </w:tcBorders>
          </w:tcPr>
          <w:p w14:paraId="6484A5E8"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25.00</w:t>
            </w:r>
          </w:p>
        </w:tc>
        <w:tc>
          <w:tcPr>
            <w:tcW w:w="851" w:type="dxa"/>
            <w:tcBorders>
              <w:top w:val="nil"/>
              <w:left w:val="nil"/>
              <w:bottom w:val="nil"/>
              <w:right w:val="nil"/>
            </w:tcBorders>
          </w:tcPr>
          <w:p w14:paraId="4FDD944A"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25.00</w:t>
            </w:r>
          </w:p>
        </w:tc>
        <w:tc>
          <w:tcPr>
            <w:tcW w:w="850" w:type="dxa"/>
            <w:tcBorders>
              <w:top w:val="nil"/>
              <w:left w:val="nil"/>
              <w:bottom w:val="nil"/>
              <w:right w:val="nil"/>
            </w:tcBorders>
          </w:tcPr>
          <w:p w14:paraId="028EC104"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25.00</w:t>
            </w:r>
          </w:p>
        </w:tc>
        <w:tc>
          <w:tcPr>
            <w:tcW w:w="850" w:type="dxa"/>
            <w:tcBorders>
              <w:top w:val="nil"/>
              <w:left w:val="nil"/>
              <w:bottom w:val="nil"/>
              <w:right w:val="nil"/>
            </w:tcBorders>
          </w:tcPr>
          <w:p w14:paraId="398F59AC"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25.00</w:t>
            </w:r>
          </w:p>
        </w:tc>
        <w:tc>
          <w:tcPr>
            <w:tcW w:w="959" w:type="dxa"/>
            <w:tcBorders>
              <w:top w:val="nil"/>
              <w:left w:val="nil"/>
              <w:bottom w:val="nil"/>
              <w:right w:val="nil"/>
            </w:tcBorders>
          </w:tcPr>
          <w:p w14:paraId="4B6FDD33"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34" w:type="dxa"/>
            <w:tcBorders>
              <w:top w:val="nil"/>
              <w:left w:val="nil"/>
              <w:bottom w:val="nil"/>
              <w:right w:val="nil"/>
            </w:tcBorders>
          </w:tcPr>
          <w:p w14:paraId="1D85C379"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tr w:rsidR="00837DA7" w:rsidRPr="00233EC8" w14:paraId="7C8545E4" w14:textId="77777777" w:rsidTr="00353A9A">
        <w:tc>
          <w:tcPr>
            <w:tcW w:w="9781" w:type="dxa"/>
            <w:gridSpan w:val="10"/>
            <w:tcBorders>
              <w:top w:val="nil"/>
              <w:left w:val="nil"/>
              <w:bottom w:val="nil"/>
              <w:right w:val="nil"/>
            </w:tcBorders>
          </w:tcPr>
          <w:p w14:paraId="76E2F95C"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i/>
                <w:iCs/>
                <w:sz w:val="20"/>
                <w:szCs w:val="20"/>
              </w:rPr>
              <w:t>Panel 3.8: Legal risks (%)</w:t>
            </w:r>
          </w:p>
        </w:tc>
      </w:tr>
      <w:tr w:rsidR="00837DA7" w:rsidRPr="00233EC8" w14:paraId="2D889CBA" w14:textId="77777777" w:rsidTr="00353A9A">
        <w:tc>
          <w:tcPr>
            <w:tcW w:w="1737" w:type="dxa"/>
            <w:tcBorders>
              <w:top w:val="nil"/>
              <w:left w:val="nil"/>
              <w:bottom w:val="nil"/>
              <w:right w:val="nil"/>
            </w:tcBorders>
          </w:tcPr>
          <w:p w14:paraId="1FD7254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Mean</w:t>
            </w:r>
          </w:p>
        </w:tc>
        <w:tc>
          <w:tcPr>
            <w:tcW w:w="850" w:type="dxa"/>
            <w:tcBorders>
              <w:top w:val="nil"/>
              <w:left w:val="nil"/>
              <w:bottom w:val="nil"/>
              <w:right w:val="nil"/>
            </w:tcBorders>
          </w:tcPr>
          <w:p w14:paraId="1BBCF7F8"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13.88</w:t>
            </w:r>
          </w:p>
        </w:tc>
        <w:tc>
          <w:tcPr>
            <w:tcW w:w="850" w:type="dxa"/>
            <w:tcBorders>
              <w:top w:val="nil"/>
              <w:left w:val="nil"/>
              <w:bottom w:val="nil"/>
              <w:right w:val="nil"/>
            </w:tcBorders>
          </w:tcPr>
          <w:p w14:paraId="3B81B844"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13.16</w:t>
            </w:r>
          </w:p>
        </w:tc>
        <w:tc>
          <w:tcPr>
            <w:tcW w:w="850" w:type="dxa"/>
            <w:tcBorders>
              <w:top w:val="nil"/>
              <w:left w:val="nil"/>
              <w:bottom w:val="nil"/>
              <w:right w:val="nil"/>
            </w:tcBorders>
          </w:tcPr>
          <w:p w14:paraId="7A86D40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13.33</w:t>
            </w:r>
          </w:p>
        </w:tc>
        <w:tc>
          <w:tcPr>
            <w:tcW w:w="850" w:type="dxa"/>
            <w:tcBorders>
              <w:top w:val="nil"/>
              <w:left w:val="nil"/>
              <w:bottom w:val="nil"/>
              <w:right w:val="nil"/>
            </w:tcBorders>
          </w:tcPr>
          <w:p w14:paraId="21801942"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13.79</w:t>
            </w:r>
          </w:p>
        </w:tc>
        <w:tc>
          <w:tcPr>
            <w:tcW w:w="851" w:type="dxa"/>
            <w:tcBorders>
              <w:top w:val="nil"/>
              <w:left w:val="nil"/>
              <w:bottom w:val="nil"/>
              <w:right w:val="nil"/>
            </w:tcBorders>
          </w:tcPr>
          <w:p w14:paraId="4A55CC39"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14.19</w:t>
            </w:r>
          </w:p>
        </w:tc>
        <w:tc>
          <w:tcPr>
            <w:tcW w:w="850" w:type="dxa"/>
            <w:tcBorders>
              <w:top w:val="nil"/>
              <w:left w:val="nil"/>
              <w:bottom w:val="nil"/>
              <w:right w:val="nil"/>
            </w:tcBorders>
          </w:tcPr>
          <w:p w14:paraId="588878FA"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14.39</w:t>
            </w:r>
          </w:p>
        </w:tc>
        <w:tc>
          <w:tcPr>
            <w:tcW w:w="850" w:type="dxa"/>
            <w:tcBorders>
              <w:top w:val="nil"/>
              <w:left w:val="nil"/>
              <w:bottom w:val="nil"/>
              <w:right w:val="nil"/>
            </w:tcBorders>
          </w:tcPr>
          <w:p w14:paraId="0695F999"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14.42</w:t>
            </w:r>
          </w:p>
        </w:tc>
        <w:tc>
          <w:tcPr>
            <w:tcW w:w="959" w:type="dxa"/>
            <w:tcBorders>
              <w:top w:val="nil"/>
              <w:left w:val="nil"/>
              <w:bottom w:val="nil"/>
              <w:right w:val="nil"/>
            </w:tcBorders>
          </w:tcPr>
          <w:p w14:paraId="42950FD7" w14:textId="77777777" w:rsidR="00837DA7" w:rsidRPr="00233EC8" w:rsidRDefault="00837DA7" w:rsidP="00353A9A">
            <w:pPr>
              <w:rPr>
                <w:rFonts w:asciiTheme="majorBidi" w:hAnsiTheme="majorBidi" w:cstheme="majorBidi"/>
                <w:sz w:val="20"/>
                <w:szCs w:val="20"/>
                <w:vertAlign w:val="superscript"/>
              </w:rPr>
            </w:pPr>
            <w:r w:rsidRPr="00233EC8">
              <w:rPr>
                <w:rFonts w:asciiTheme="majorBidi" w:hAnsiTheme="majorBidi" w:cstheme="majorBidi"/>
                <w:sz w:val="20"/>
                <w:szCs w:val="20"/>
              </w:rPr>
              <w:t>1.78</w:t>
            </w:r>
            <w:r w:rsidRPr="00233EC8">
              <w:rPr>
                <w:rFonts w:asciiTheme="majorBidi" w:hAnsiTheme="majorBidi" w:cstheme="majorBidi"/>
                <w:sz w:val="20"/>
                <w:szCs w:val="20"/>
                <w:vertAlign w:val="superscript"/>
              </w:rPr>
              <w:t>***</w:t>
            </w:r>
          </w:p>
        </w:tc>
        <w:tc>
          <w:tcPr>
            <w:tcW w:w="1134" w:type="dxa"/>
            <w:tcBorders>
              <w:top w:val="nil"/>
              <w:left w:val="nil"/>
              <w:bottom w:val="nil"/>
              <w:right w:val="nil"/>
            </w:tcBorders>
          </w:tcPr>
          <w:p w14:paraId="6B8D79DA"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tr w:rsidR="00837DA7" w:rsidRPr="00233EC8" w14:paraId="2BA15093" w14:textId="77777777" w:rsidTr="00353A9A">
        <w:tc>
          <w:tcPr>
            <w:tcW w:w="1737" w:type="dxa"/>
            <w:tcBorders>
              <w:top w:val="nil"/>
              <w:left w:val="nil"/>
              <w:bottom w:val="nil"/>
              <w:right w:val="nil"/>
            </w:tcBorders>
          </w:tcPr>
          <w:p w14:paraId="6CF16136"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 xml:space="preserve">Median </w:t>
            </w:r>
          </w:p>
        </w:tc>
        <w:tc>
          <w:tcPr>
            <w:tcW w:w="850" w:type="dxa"/>
            <w:tcBorders>
              <w:top w:val="nil"/>
              <w:left w:val="nil"/>
              <w:bottom w:val="nil"/>
              <w:right w:val="nil"/>
            </w:tcBorders>
          </w:tcPr>
          <w:p w14:paraId="032B4610"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13.33</w:t>
            </w:r>
          </w:p>
        </w:tc>
        <w:tc>
          <w:tcPr>
            <w:tcW w:w="850" w:type="dxa"/>
            <w:tcBorders>
              <w:top w:val="nil"/>
              <w:left w:val="nil"/>
              <w:bottom w:val="nil"/>
              <w:right w:val="nil"/>
            </w:tcBorders>
          </w:tcPr>
          <w:p w14:paraId="2E2B8797"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13.33</w:t>
            </w:r>
          </w:p>
        </w:tc>
        <w:tc>
          <w:tcPr>
            <w:tcW w:w="850" w:type="dxa"/>
            <w:tcBorders>
              <w:top w:val="nil"/>
              <w:left w:val="nil"/>
              <w:bottom w:val="nil"/>
              <w:right w:val="nil"/>
            </w:tcBorders>
          </w:tcPr>
          <w:p w14:paraId="56FD730A"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13.33</w:t>
            </w:r>
          </w:p>
        </w:tc>
        <w:tc>
          <w:tcPr>
            <w:tcW w:w="850" w:type="dxa"/>
            <w:tcBorders>
              <w:top w:val="nil"/>
              <w:left w:val="nil"/>
              <w:bottom w:val="nil"/>
              <w:right w:val="nil"/>
            </w:tcBorders>
          </w:tcPr>
          <w:p w14:paraId="5433268A"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13.33</w:t>
            </w:r>
          </w:p>
        </w:tc>
        <w:tc>
          <w:tcPr>
            <w:tcW w:w="851" w:type="dxa"/>
            <w:tcBorders>
              <w:top w:val="nil"/>
              <w:left w:val="nil"/>
              <w:bottom w:val="nil"/>
              <w:right w:val="nil"/>
            </w:tcBorders>
          </w:tcPr>
          <w:p w14:paraId="495A6927"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13.33</w:t>
            </w:r>
          </w:p>
        </w:tc>
        <w:tc>
          <w:tcPr>
            <w:tcW w:w="850" w:type="dxa"/>
            <w:tcBorders>
              <w:top w:val="nil"/>
              <w:left w:val="nil"/>
              <w:bottom w:val="nil"/>
              <w:right w:val="nil"/>
            </w:tcBorders>
          </w:tcPr>
          <w:p w14:paraId="2C80E206"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13.33</w:t>
            </w:r>
          </w:p>
        </w:tc>
        <w:tc>
          <w:tcPr>
            <w:tcW w:w="850" w:type="dxa"/>
            <w:tcBorders>
              <w:top w:val="nil"/>
              <w:left w:val="nil"/>
              <w:bottom w:val="nil"/>
              <w:right w:val="nil"/>
            </w:tcBorders>
          </w:tcPr>
          <w:p w14:paraId="676BC663"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13.33</w:t>
            </w:r>
          </w:p>
        </w:tc>
        <w:tc>
          <w:tcPr>
            <w:tcW w:w="959" w:type="dxa"/>
            <w:tcBorders>
              <w:top w:val="nil"/>
              <w:left w:val="nil"/>
              <w:bottom w:val="nil"/>
              <w:right w:val="nil"/>
            </w:tcBorders>
          </w:tcPr>
          <w:p w14:paraId="2CA6A560"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34" w:type="dxa"/>
            <w:tcBorders>
              <w:top w:val="nil"/>
              <w:left w:val="nil"/>
              <w:bottom w:val="nil"/>
              <w:right w:val="nil"/>
            </w:tcBorders>
          </w:tcPr>
          <w:p w14:paraId="10230C73"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r>
      <w:tr w:rsidR="00837DA7" w:rsidRPr="00233EC8" w14:paraId="6AC2C0B4" w14:textId="77777777" w:rsidTr="00353A9A">
        <w:tc>
          <w:tcPr>
            <w:tcW w:w="1737" w:type="dxa"/>
            <w:tcBorders>
              <w:top w:val="nil"/>
              <w:left w:val="nil"/>
              <w:bottom w:val="nil"/>
              <w:right w:val="nil"/>
            </w:tcBorders>
          </w:tcPr>
          <w:p w14:paraId="669CE51A"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STD</w:t>
            </w:r>
          </w:p>
        </w:tc>
        <w:tc>
          <w:tcPr>
            <w:tcW w:w="850" w:type="dxa"/>
            <w:tcBorders>
              <w:top w:val="nil"/>
              <w:left w:val="nil"/>
              <w:bottom w:val="nil"/>
              <w:right w:val="nil"/>
            </w:tcBorders>
          </w:tcPr>
          <w:p w14:paraId="2C0DFE26"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8.84</w:t>
            </w:r>
          </w:p>
        </w:tc>
        <w:tc>
          <w:tcPr>
            <w:tcW w:w="850" w:type="dxa"/>
            <w:tcBorders>
              <w:top w:val="nil"/>
              <w:left w:val="nil"/>
              <w:bottom w:val="nil"/>
              <w:right w:val="nil"/>
            </w:tcBorders>
          </w:tcPr>
          <w:p w14:paraId="2FDBBA44"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8.29</w:t>
            </w:r>
          </w:p>
        </w:tc>
        <w:tc>
          <w:tcPr>
            <w:tcW w:w="850" w:type="dxa"/>
            <w:tcBorders>
              <w:top w:val="nil"/>
              <w:left w:val="nil"/>
              <w:bottom w:val="nil"/>
              <w:right w:val="nil"/>
            </w:tcBorders>
          </w:tcPr>
          <w:p w14:paraId="1B85A0F7"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8.91</w:t>
            </w:r>
          </w:p>
        </w:tc>
        <w:tc>
          <w:tcPr>
            <w:tcW w:w="850" w:type="dxa"/>
            <w:tcBorders>
              <w:top w:val="nil"/>
              <w:left w:val="nil"/>
              <w:bottom w:val="nil"/>
              <w:right w:val="nil"/>
            </w:tcBorders>
          </w:tcPr>
          <w:p w14:paraId="707CEA89"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9.14</w:t>
            </w:r>
          </w:p>
        </w:tc>
        <w:tc>
          <w:tcPr>
            <w:tcW w:w="851" w:type="dxa"/>
            <w:tcBorders>
              <w:top w:val="nil"/>
              <w:left w:val="nil"/>
              <w:bottom w:val="nil"/>
              <w:right w:val="nil"/>
            </w:tcBorders>
          </w:tcPr>
          <w:p w14:paraId="033E7C90"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9.30</w:t>
            </w:r>
          </w:p>
        </w:tc>
        <w:tc>
          <w:tcPr>
            <w:tcW w:w="850" w:type="dxa"/>
            <w:tcBorders>
              <w:top w:val="nil"/>
              <w:left w:val="nil"/>
              <w:bottom w:val="nil"/>
              <w:right w:val="nil"/>
            </w:tcBorders>
          </w:tcPr>
          <w:p w14:paraId="0F3D5E48"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8.88</w:t>
            </w:r>
          </w:p>
        </w:tc>
        <w:tc>
          <w:tcPr>
            <w:tcW w:w="850" w:type="dxa"/>
            <w:tcBorders>
              <w:top w:val="nil"/>
              <w:left w:val="nil"/>
              <w:bottom w:val="nil"/>
              <w:right w:val="nil"/>
            </w:tcBorders>
          </w:tcPr>
          <w:p w14:paraId="4056ABF4"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8.60</w:t>
            </w:r>
          </w:p>
        </w:tc>
        <w:tc>
          <w:tcPr>
            <w:tcW w:w="959" w:type="dxa"/>
            <w:tcBorders>
              <w:top w:val="nil"/>
              <w:left w:val="nil"/>
              <w:bottom w:val="nil"/>
              <w:right w:val="nil"/>
            </w:tcBorders>
          </w:tcPr>
          <w:p w14:paraId="580F782C"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34" w:type="dxa"/>
            <w:tcBorders>
              <w:top w:val="nil"/>
              <w:left w:val="nil"/>
              <w:bottom w:val="nil"/>
              <w:right w:val="nil"/>
            </w:tcBorders>
          </w:tcPr>
          <w:p w14:paraId="6482033A"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tr w:rsidR="00837DA7" w:rsidRPr="00233EC8" w14:paraId="13C91635" w14:textId="77777777" w:rsidTr="00353A9A">
        <w:tc>
          <w:tcPr>
            <w:tcW w:w="1737" w:type="dxa"/>
            <w:tcBorders>
              <w:top w:val="nil"/>
              <w:left w:val="nil"/>
              <w:bottom w:val="nil"/>
              <w:right w:val="nil"/>
            </w:tcBorders>
          </w:tcPr>
          <w:p w14:paraId="4C67A42A"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Minimum</w:t>
            </w:r>
          </w:p>
        </w:tc>
        <w:tc>
          <w:tcPr>
            <w:tcW w:w="850" w:type="dxa"/>
            <w:tcBorders>
              <w:top w:val="nil"/>
              <w:left w:val="nil"/>
              <w:bottom w:val="nil"/>
              <w:right w:val="nil"/>
            </w:tcBorders>
          </w:tcPr>
          <w:p w14:paraId="3F11B2E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0" w:type="dxa"/>
            <w:tcBorders>
              <w:top w:val="nil"/>
              <w:left w:val="nil"/>
              <w:bottom w:val="nil"/>
              <w:right w:val="nil"/>
            </w:tcBorders>
          </w:tcPr>
          <w:p w14:paraId="2508307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0" w:type="dxa"/>
            <w:tcBorders>
              <w:top w:val="nil"/>
              <w:left w:val="nil"/>
              <w:bottom w:val="nil"/>
              <w:right w:val="nil"/>
            </w:tcBorders>
          </w:tcPr>
          <w:p w14:paraId="46390194"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0" w:type="dxa"/>
            <w:tcBorders>
              <w:top w:val="nil"/>
              <w:left w:val="nil"/>
              <w:bottom w:val="nil"/>
              <w:right w:val="nil"/>
            </w:tcBorders>
          </w:tcPr>
          <w:p w14:paraId="13FE6043"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1" w:type="dxa"/>
            <w:tcBorders>
              <w:top w:val="nil"/>
              <w:left w:val="nil"/>
              <w:bottom w:val="nil"/>
              <w:right w:val="nil"/>
            </w:tcBorders>
          </w:tcPr>
          <w:p w14:paraId="20BFA77C"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0" w:type="dxa"/>
            <w:tcBorders>
              <w:top w:val="nil"/>
              <w:left w:val="nil"/>
              <w:bottom w:val="nil"/>
              <w:right w:val="nil"/>
            </w:tcBorders>
          </w:tcPr>
          <w:p w14:paraId="7388FBE9"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0" w:type="dxa"/>
            <w:tcBorders>
              <w:top w:val="nil"/>
              <w:left w:val="nil"/>
              <w:bottom w:val="nil"/>
              <w:right w:val="nil"/>
            </w:tcBorders>
          </w:tcPr>
          <w:p w14:paraId="69351ED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959" w:type="dxa"/>
            <w:tcBorders>
              <w:top w:val="nil"/>
              <w:left w:val="nil"/>
              <w:bottom w:val="nil"/>
              <w:right w:val="nil"/>
            </w:tcBorders>
          </w:tcPr>
          <w:p w14:paraId="35EE02F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34" w:type="dxa"/>
            <w:tcBorders>
              <w:top w:val="nil"/>
              <w:left w:val="nil"/>
              <w:bottom w:val="nil"/>
              <w:right w:val="nil"/>
            </w:tcBorders>
          </w:tcPr>
          <w:p w14:paraId="06F583AC"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tr w:rsidR="00837DA7" w:rsidRPr="00233EC8" w14:paraId="6EC788B8" w14:textId="77777777" w:rsidTr="00353A9A">
        <w:tc>
          <w:tcPr>
            <w:tcW w:w="1737" w:type="dxa"/>
            <w:tcBorders>
              <w:top w:val="nil"/>
              <w:left w:val="nil"/>
              <w:bottom w:val="nil"/>
              <w:right w:val="nil"/>
            </w:tcBorders>
          </w:tcPr>
          <w:p w14:paraId="2465B5F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Maximum</w:t>
            </w:r>
          </w:p>
        </w:tc>
        <w:tc>
          <w:tcPr>
            <w:tcW w:w="850" w:type="dxa"/>
            <w:tcBorders>
              <w:top w:val="nil"/>
              <w:left w:val="nil"/>
              <w:bottom w:val="nil"/>
              <w:right w:val="nil"/>
            </w:tcBorders>
          </w:tcPr>
          <w:p w14:paraId="6D03705E"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46.67</w:t>
            </w:r>
          </w:p>
        </w:tc>
        <w:tc>
          <w:tcPr>
            <w:tcW w:w="850" w:type="dxa"/>
            <w:tcBorders>
              <w:top w:val="nil"/>
              <w:left w:val="nil"/>
              <w:bottom w:val="nil"/>
              <w:right w:val="nil"/>
            </w:tcBorders>
          </w:tcPr>
          <w:p w14:paraId="37FAAE99"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43.33</w:t>
            </w:r>
          </w:p>
        </w:tc>
        <w:tc>
          <w:tcPr>
            <w:tcW w:w="850" w:type="dxa"/>
            <w:tcBorders>
              <w:top w:val="nil"/>
              <w:left w:val="nil"/>
              <w:bottom w:val="nil"/>
              <w:right w:val="nil"/>
            </w:tcBorders>
          </w:tcPr>
          <w:p w14:paraId="27090584"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46.67</w:t>
            </w:r>
          </w:p>
        </w:tc>
        <w:tc>
          <w:tcPr>
            <w:tcW w:w="850" w:type="dxa"/>
            <w:tcBorders>
              <w:top w:val="nil"/>
              <w:left w:val="nil"/>
              <w:bottom w:val="nil"/>
              <w:right w:val="nil"/>
            </w:tcBorders>
          </w:tcPr>
          <w:p w14:paraId="20255BF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43.33</w:t>
            </w:r>
          </w:p>
        </w:tc>
        <w:tc>
          <w:tcPr>
            <w:tcW w:w="851" w:type="dxa"/>
            <w:tcBorders>
              <w:top w:val="nil"/>
              <w:left w:val="nil"/>
              <w:bottom w:val="nil"/>
              <w:right w:val="nil"/>
            </w:tcBorders>
          </w:tcPr>
          <w:p w14:paraId="5444EED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43.33</w:t>
            </w:r>
          </w:p>
        </w:tc>
        <w:tc>
          <w:tcPr>
            <w:tcW w:w="850" w:type="dxa"/>
            <w:tcBorders>
              <w:top w:val="nil"/>
              <w:left w:val="nil"/>
              <w:bottom w:val="nil"/>
              <w:right w:val="nil"/>
            </w:tcBorders>
          </w:tcPr>
          <w:p w14:paraId="738C649B"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40.00</w:t>
            </w:r>
          </w:p>
        </w:tc>
        <w:tc>
          <w:tcPr>
            <w:tcW w:w="850" w:type="dxa"/>
            <w:tcBorders>
              <w:top w:val="nil"/>
              <w:left w:val="nil"/>
              <w:bottom w:val="nil"/>
              <w:right w:val="nil"/>
            </w:tcBorders>
          </w:tcPr>
          <w:p w14:paraId="6BFC83B8"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33.33</w:t>
            </w:r>
          </w:p>
        </w:tc>
        <w:tc>
          <w:tcPr>
            <w:tcW w:w="959" w:type="dxa"/>
            <w:tcBorders>
              <w:top w:val="nil"/>
              <w:left w:val="nil"/>
              <w:bottom w:val="nil"/>
              <w:right w:val="nil"/>
            </w:tcBorders>
          </w:tcPr>
          <w:p w14:paraId="51561BF5"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34" w:type="dxa"/>
            <w:tcBorders>
              <w:top w:val="nil"/>
              <w:left w:val="nil"/>
              <w:bottom w:val="nil"/>
              <w:right w:val="nil"/>
            </w:tcBorders>
          </w:tcPr>
          <w:p w14:paraId="6F7B786B"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tr w:rsidR="00837DA7" w:rsidRPr="00233EC8" w14:paraId="3F4B5D25" w14:textId="77777777" w:rsidTr="00353A9A">
        <w:tc>
          <w:tcPr>
            <w:tcW w:w="9781" w:type="dxa"/>
            <w:gridSpan w:val="10"/>
            <w:tcBorders>
              <w:top w:val="nil"/>
              <w:left w:val="nil"/>
              <w:bottom w:val="nil"/>
              <w:right w:val="nil"/>
            </w:tcBorders>
          </w:tcPr>
          <w:p w14:paraId="77D4F1C0"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i/>
                <w:iCs/>
                <w:sz w:val="20"/>
                <w:szCs w:val="20"/>
              </w:rPr>
              <w:t>Panel 3.9: Reputational risks (%)</w:t>
            </w:r>
          </w:p>
        </w:tc>
      </w:tr>
      <w:tr w:rsidR="00837DA7" w:rsidRPr="00233EC8" w14:paraId="69E738C5" w14:textId="77777777" w:rsidTr="00353A9A">
        <w:tc>
          <w:tcPr>
            <w:tcW w:w="1737" w:type="dxa"/>
            <w:tcBorders>
              <w:top w:val="nil"/>
              <w:left w:val="nil"/>
              <w:bottom w:val="nil"/>
              <w:right w:val="nil"/>
            </w:tcBorders>
          </w:tcPr>
          <w:p w14:paraId="49411AC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Mean</w:t>
            </w:r>
          </w:p>
        </w:tc>
        <w:tc>
          <w:tcPr>
            <w:tcW w:w="850" w:type="dxa"/>
            <w:tcBorders>
              <w:top w:val="nil"/>
              <w:left w:val="nil"/>
              <w:bottom w:val="nil"/>
              <w:right w:val="nil"/>
            </w:tcBorders>
          </w:tcPr>
          <w:p w14:paraId="61ADF373"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14.43</w:t>
            </w:r>
          </w:p>
        </w:tc>
        <w:tc>
          <w:tcPr>
            <w:tcW w:w="850" w:type="dxa"/>
            <w:tcBorders>
              <w:top w:val="nil"/>
              <w:left w:val="nil"/>
              <w:bottom w:val="nil"/>
              <w:right w:val="nil"/>
            </w:tcBorders>
          </w:tcPr>
          <w:p w14:paraId="69617FD5"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13.51</w:t>
            </w:r>
          </w:p>
        </w:tc>
        <w:tc>
          <w:tcPr>
            <w:tcW w:w="850" w:type="dxa"/>
            <w:tcBorders>
              <w:top w:val="nil"/>
              <w:left w:val="nil"/>
              <w:bottom w:val="nil"/>
              <w:right w:val="nil"/>
            </w:tcBorders>
          </w:tcPr>
          <w:p w14:paraId="5C71EE49"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13.55</w:t>
            </w:r>
          </w:p>
        </w:tc>
        <w:tc>
          <w:tcPr>
            <w:tcW w:w="850" w:type="dxa"/>
            <w:tcBorders>
              <w:top w:val="nil"/>
              <w:left w:val="nil"/>
              <w:bottom w:val="nil"/>
              <w:right w:val="nil"/>
            </w:tcBorders>
          </w:tcPr>
          <w:p w14:paraId="19CF538B"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13.99</w:t>
            </w:r>
          </w:p>
        </w:tc>
        <w:tc>
          <w:tcPr>
            <w:tcW w:w="851" w:type="dxa"/>
            <w:tcBorders>
              <w:top w:val="nil"/>
              <w:left w:val="nil"/>
              <w:bottom w:val="nil"/>
              <w:right w:val="nil"/>
            </w:tcBorders>
          </w:tcPr>
          <w:p w14:paraId="41C4B9F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14.32</w:t>
            </w:r>
          </w:p>
        </w:tc>
        <w:tc>
          <w:tcPr>
            <w:tcW w:w="850" w:type="dxa"/>
            <w:tcBorders>
              <w:top w:val="nil"/>
              <w:left w:val="nil"/>
              <w:bottom w:val="nil"/>
              <w:right w:val="nil"/>
            </w:tcBorders>
          </w:tcPr>
          <w:p w14:paraId="331FE51E"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15.10</w:t>
            </w:r>
          </w:p>
        </w:tc>
        <w:tc>
          <w:tcPr>
            <w:tcW w:w="850" w:type="dxa"/>
            <w:tcBorders>
              <w:top w:val="nil"/>
              <w:left w:val="nil"/>
              <w:bottom w:val="nil"/>
              <w:right w:val="nil"/>
            </w:tcBorders>
          </w:tcPr>
          <w:p w14:paraId="69A5914E"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16.12</w:t>
            </w:r>
          </w:p>
        </w:tc>
        <w:tc>
          <w:tcPr>
            <w:tcW w:w="959" w:type="dxa"/>
            <w:tcBorders>
              <w:top w:val="nil"/>
              <w:left w:val="nil"/>
              <w:bottom w:val="nil"/>
              <w:right w:val="nil"/>
            </w:tcBorders>
          </w:tcPr>
          <w:p w14:paraId="0FC43C46" w14:textId="77777777" w:rsidR="00837DA7" w:rsidRPr="00233EC8" w:rsidRDefault="00837DA7" w:rsidP="00353A9A">
            <w:pPr>
              <w:rPr>
                <w:rFonts w:asciiTheme="majorBidi" w:hAnsiTheme="majorBidi" w:cstheme="majorBidi"/>
                <w:sz w:val="20"/>
                <w:szCs w:val="20"/>
                <w:vertAlign w:val="superscript"/>
              </w:rPr>
            </w:pPr>
            <w:r w:rsidRPr="00233EC8">
              <w:rPr>
                <w:rFonts w:asciiTheme="majorBidi" w:hAnsiTheme="majorBidi" w:cstheme="majorBidi"/>
                <w:sz w:val="20"/>
                <w:szCs w:val="20"/>
              </w:rPr>
              <w:t>1.11</w:t>
            </w:r>
            <w:r w:rsidRPr="00233EC8">
              <w:rPr>
                <w:rFonts w:asciiTheme="majorBidi" w:hAnsiTheme="majorBidi" w:cstheme="majorBidi"/>
                <w:sz w:val="20"/>
                <w:szCs w:val="20"/>
                <w:vertAlign w:val="superscript"/>
              </w:rPr>
              <w:t>**</w:t>
            </w:r>
          </w:p>
        </w:tc>
        <w:tc>
          <w:tcPr>
            <w:tcW w:w="1134" w:type="dxa"/>
            <w:tcBorders>
              <w:top w:val="nil"/>
              <w:left w:val="nil"/>
              <w:bottom w:val="nil"/>
              <w:right w:val="nil"/>
            </w:tcBorders>
          </w:tcPr>
          <w:p w14:paraId="76490239"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tr w:rsidR="00837DA7" w:rsidRPr="00233EC8" w14:paraId="26B5E7A3" w14:textId="77777777" w:rsidTr="00353A9A">
        <w:tc>
          <w:tcPr>
            <w:tcW w:w="1737" w:type="dxa"/>
            <w:tcBorders>
              <w:top w:val="nil"/>
              <w:left w:val="nil"/>
              <w:bottom w:val="nil"/>
              <w:right w:val="nil"/>
            </w:tcBorders>
          </w:tcPr>
          <w:p w14:paraId="6679C557"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 xml:space="preserve">Median </w:t>
            </w:r>
          </w:p>
        </w:tc>
        <w:tc>
          <w:tcPr>
            <w:tcW w:w="850" w:type="dxa"/>
            <w:tcBorders>
              <w:top w:val="nil"/>
              <w:left w:val="nil"/>
              <w:bottom w:val="nil"/>
              <w:right w:val="nil"/>
            </w:tcBorders>
          </w:tcPr>
          <w:p w14:paraId="68948A65"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14.58</w:t>
            </w:r>
          </w:p>
        </w:tc>
        <w:tc>
          <w:tcPr>
            <w:tcW w:w="850" w:type="dxa"/>
            <w:tcBorders>
              <w:top w:val="nil"/>
              <w:left w:val="nil"/>
              <w:bottom w:val="nil"/>
              <w:right w:val="nil"/>
            </w:tcBorders>
          </w:tcPr>
          <w:p w14:paraId="258E4532"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12.50</w:t>
            </w:r>
          </w:p>
        </w:tc>
        <w:tc>
          <w:tcPr>
            <w:tcW w:w="850" w:type="dxa"/>
            <w:tcBorders>
              <w:top w:val="nil"/>
              <w:left w:val="nil"/>
              <w:bottom w:val="nil"/>
              <w:right w:val="nil"/>
            </w:tcBorders>
          </w:tcPr>
          <w:p w14:paraId="5E015658"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12.50</w:t>
            </w:r>
          </w:p>
        </w:tc>
        <w:tc>
          <w:tcPr>
            <w:tcW w:w="850" w:type="dxa"/>
            <w:tcBorders>
              <w:top w:val="nil"/>
              <w:left w:val="nil"/>
              <w:bottom w:val="nil"/>
              <w:right w:val="nil"/>
            </w:tcBorders>
          </w:tcPr>
          <w:p w14:paraId="745A5D3C"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13.54</w:t>
            </w:r>
          </w:p>
        </w:tc>
        <w:tc>
          <w:tcPr>
            <w:tcW w:w="851" w:type="dxa"/>
            <w:tcBorders>
              <w:top w:val="nil"/>
              <w:left w:val="nil"/>
              <w:bottom w:val="nil"/>
              <w:right w:val="nil"/>
            </w:tcBorders>
          </w:tcPr>
          <w:p w14:paraId="49B7BCE2"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14.58</w:t>
            </w:r>
          </w:p>
        </w:tc>
        <w:tc>
          <w:tcPr>
            <w:tcW w:w="850" w:type="dxa"/>
            <w:tcBorders>
              <w:top w:val="nil"/>
              <w:left w:val="nil"/>
              <w:bottom w:val="nil"/>
              <w:right w:val="nil"/>
            </w:tcBorders>
          </w:tcPr>
          <w:p w14:paraId="28D60E22"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15.63</w:t>
            </w:r>
          </w:p>
        </w:tc>
        <w:tc>
          <w:tcPr>
            <w:tcW w:w="850" w:type="dxa"/>
            <w:tcBorders>
              <w:top w:val="nil"/>
              <w:left w:val="nil"/>
              <w:bottom w:val="nil"/>
              <w:right w:val="nil"/>
            </w:tcBorders>
          </w:tcPr>
          <w:p w14:paraId="36E8F4A3"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16.67</w:t>
            </w:r>
          </w:p>
        </w:tc>
        <w:tc>
          <w:tcPr>
            <w:tcW w:w="959" w:type="dxa"/>
            <w:tcBorders>
              <w:top w:val="nil"/>
              <w:left w:val="nil"/>
              <w:bottom w:val="nil"/>
              <w:right w:val="nil"/>
            </w:tcBorders>
          </w:tcPr>
          <w:p w14:paraId="21FDD33B"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34" w:type="dxa"/>
            <w:tcBorders>
              <w:top w:val="nil"/>
              <w:left w:val="nil"/>
              <w:bottom w:val="nil"/>
              <w:right w:val="nil"/>
            </w:tcBorders>
          </w:tcPr>
          <w:p w14:paraId="219D32E3" w14:textId="77777777" w:rsidR="00837DA7" w:rsidRPr="00233EC8" w:rsidRDefault="00837DA7" w:rsidP="00353A9A">
            <w:pPr>
              <w:rPr>
                <w:rFonts w:asciiTheme="majorBidi" w:hAnsiTheme="majorBidi" w:cstheme="majorBidi"/>
                <w:sz w:val="20"/>
                <w:szCs w:val="20"/>
                <w:vertAlign w:val="superscript"/>
              </w:rPr>
            </w:pPr>
            <w:r w:rsidRPr="00233EC8">
              <w:rPr>
                <w:rFonts w:asciiTheme="majorBidi" w:hAnsiTheme="majorBidi" w:cstheme="majorBidi"/>
                <w:sz w:val="20"/>
                <w:szCs w:val="20"/>
              </w:rPr>
              <w:t>2.09</w:t>
            </w:r>
            <w:r w:rsidRPr="00233EC8">
              <w:rPr>
                <w:rFonts w:asciiTheme="majorBidi" w:hAnsiTheme="majorBidi" w:cstheme="majorBidi"/>
                <w:sz w:val="20"/>
                <w:szCs w:val="20"/>
                <w:vertAlign w:val="superscript"/>
              </w:rPr>
              <w:t>***</w:t>
            </w:r>
          </w:p>
        </w:tc>
      </w:tr>
      <w:tr w:rsidR="00837DA7" w:rsidRPr="00233EC8" w14:paraId="6E35EA97" w14:textId="77777777" w:rsidTr="00353A9A">
        <w:tc>
          <w:tcPr>
            <w:tcW w:w="1737" w:type="dxa"/>
            <w:tcBorders>
              <w:top w:val="nil"/>
              <w:left w:val="nil"/>
              <w:bottom w:val="nil"/>
              <w:right w:val="nil"/>
            </w:tcBorders>
          </w:tcPr>
          <w:p w14:paraId="2B842265"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STD</w:t>
            </w:r>
          </w:p>
        </w:tc>
        <w:tc>
          <w:tcPr>
            <w:tcW w:w="850" w:type="dxa"/>
            <w:tcBorders>
              <w:top w:val="nil"/>
              <w:left w:val="nil"/>
              <w:bottom w:val="nil"/>
              <w:right w:val="nil"/>
            </w:tcBorders>
          </w:tcPr>
          <w:p w14:paraId="07284FCA"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7.14</w:t>
            </w:r>
          </w:p>
        </w:tc>
        <w:tc>
          <w:tcPr>
            <w:tcW w:w="850" w:type="dxa"/>
            <w:tcBorders>
              <w:top w:val="nil"/>
              <w:left w:val="nil"/>
              <w:bottom w:val="nil"/>
              <w:right w:val="nil"/>
            </w:tcBorders>
          </w:tcPr>
          <w:p w14:paraId="3089BCB8"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7.21</w:t>
            </w:r>
          </w:p>
        </w:tc>
        <w:tc>
          <w:tcPr>
            <w:tcW w:w="850" w:type="dxa"/>
            <w:tcBorders>
              <w:top w:val="nil"/>
              <w:left w:val="nil"/>
              <w:bottom w:val="nil"/>
              <w:right w:val="nil"/>
            </w:tcBorders>
          </w:tcPr>
          <w:p w14:paraId="2F19AB7F"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7.18</w:t>
            </w:r>
          </w:p>
        </w:tc>
        <w:tc>
          <w:tcPr>
            <w:tcW w:w="850" w:type="dxa"/>
            <w:tcBorders>
              <w:top w:val="nil"/>
              <w:left w:val="nil"/>
              <w:bottom w:val="nil"/>
              <w:right w:val="nil"/>
            </w:tcBorders>
          </w:tcPr>
          <w:p w14:paraId="06D4FA03"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7.13</w:t>
            </w:r>
          </w:p>
        </w:tc>
        <w:tc>
          <w:tcPr>
            <w:tcW w:w="851" w:type="dxa"/>
            <w:tcBorders>
              <w:top w:val="nil"/>
              <w:left w:val="nil"/>
              <w:bottom w:val="nil"/>
              <w:right w:val="nil"/>
            </w:tcBorders>
          </w:tcPr>
          <w:p w14:paraId="3387F485"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7.18</w:t>
            </w:r>
          </w:p>
        </w:tc>
        <w:tc>
          <w:tcPr>
            <w:tcW w:w="850" w:type="dxa"/>
            <w:tcBorders>
              <w:top w:val="nil"/>
              <w:left w:val="nil"/>
              <w:bottom w:val="nil"/>
              <w:right w:val="nil"/>
            </w:tcBorders>
          </w:tcPr>
          <w:p w14:paraId="01BC6B56"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7.01</w:t>
            </w:r>
          </w:p>
        </w:tc>
        <w:tc>
          <w:tcPr>
            <w:tcW w:w="850" w:type="dxa"/>
            <w:tcBorders>
              <w:top w:val="nil"/>
              <w:left w:val="nil"/>
              <w:bottom w:val="nil"/>
              <w:right w:val="nil"/>
            </w:tcBorders>
          </w:tcPr>
          <w:p w14:paraId="346E6DA0"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6.91</w:t>
            </w:r>
          </w:p>
        </w:tc>
        <w:tc>
          <w:tcPr>
            <w:tcW w:w="959" w:type="dxa"/>
            <w:tcBorders>
              <w:top w:val="nil"/>
              <w:left w:val="nil"/>
              <w:bottom w:val="nil"/>
              <w:right w:val="nil"/>
            </w:tcBorders>
          </w:tcPr>
          <w:p w14:paraId="0B70737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34" w:type="dxa"/>
            <w:tcBorders>
              <w:top w:val="nil"/>
              <w:left w:val="nil"/>
              <w:bottom w:val="nil"/>
              <w:right w:val="nil"/>
            </w:tcBorders>
          </w:tcPr>
          <w:p w14:paraId="740B3D27"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tr w:rsidR="00837DA7" w:rsidRPr="00233EC8" w14:paraId="614DB81D" w14:textId="77777777" w:rsidTr="00353A9A">
        <w:tc>
          <w:tcPr>
            <w:tcW w:w="1737" w:type="dxa"/>
            <w:tcBorders>
              <w:top w:val="nil"/>
              <w:left w:val="nil"/>
              <w:bottom w:val="nil"/>
              <w:right w:val="nil"/>
            </w:tcBorders>
          </w:tcPr>
          <w:p w14:paraId="25759293"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Minimum</w:t>
            </w:r>
          </w:p>
        </w:tc>
        <w:tc>
          <w:tcPr>
            <w:tcW w:w="850" w:type="dxa"/>
            <w:tcBorders>
              <w:top w:val="nil"/>
              <w:left w:val="nil"/>
              <w:bottom w:val="nil"/>
              <w:right w:val="nil"/>
            </w:tcBorders>
          </w:tcPr>
          <w:p w14:paraId="2A84E4A6"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0" w:type="dxa"/>
            <w:tcBorders>
              <w:top w:val="nil"/>
              <w:left w:val="nil"/>
              <w:bottom w:val="nil"/>
              <w:right w:val="nil"/>
            </w:tcBorders>
          </w:tcPr>
          <w:p w14:paraId="47448693"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1.04</w:t>
            </w:r>
          </w:p>
        </w:tc>
        <w:tc>
          <w:tcPr>
            <w:tcW w:w="850" w:type="dxa"/>
            <w:tcBorders>
              <w:top w:val="nil"/>
              <w:left w:val="nil"/>
              <w:bottom w:val="nil"/>
              <w:right w:val="nil"/>
            </w:tcBorders>
          </w:tcPr>
          <w:p w14:paraId="2AEBA02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0" w:type="dxa"/>
            <w:tcBorders>
              <w:top w:val="nil"/>
              <w:left w:val="nil"/>
              <w:bottom w:val="nil"/>
              <w:right w:val="nil"/>
            </w:tcBorders>
          </w:tcPr>
          <w:p w14:paraId="2C6CB1F8"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1" w:type="dxa"/>
            <w:tcBorders>
              <w:top w:val="nil"/>
              <w:left w:val="nil"/>
              <w:bottom w:val="nil"/>
              <w:right w:val="nil"/>
            </w:tcBorders>
          </w:tcPr>
          <w:p w14:paraId="60F445D7"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0" w:type="dxa"/>
            <w:tcBorders>
              <w:top w:val="nil"/>
              <w:left w:val="nil"/>
              <w:bottom w:val="nil"/>
              <w:right w:val="nil"/>
            </w:tcBorders>
          </w:tcPr>
          <w:p w14:paraId="162845A4"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1.04</w:t>
            </w:r>
          </w:p>
        </w:tc>
        <w:tc>
          <w:tcPr>
            <w:tcW w:w="850" w:type="dxa"/>
            <w:tcBorders>
              <w:top w:val="nil"/>
              <w:left w:val="nil"/>
              <w:bottom w:val="nil"/>
              <w:right w:val="nil"/>
            </w:tcBorders>
          </w:tcPr>
          <w:p w14:paraId="220453B6"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1.04</w:t>
            </w:r>
          </w:p>
        </w:tc>
        <w:tc>
          <w:tcPr>
            <w:tcW w:w="959" w:type="dxa"/>
            <w:tcBorders>
              <w:top w:val="nil"/>
              <w:left w:val="nil"/>
              <w:bottom w:val="nil"/>
              <w:right w:val="nil"/>
            </w:tcBorders>
          </w:tcPr>
          <w:p w14:paraId="1B0C2A43"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34" w:type="dxa"/>
            <w:tcBorders>
              <w:top w:val="nil"/>
              <w:left w:val="nil"/>
              <w:bottom w:val="nil"/>
              <w:right w:val="nil"/>
            </w:tcBorders>
          </w:tcPr>
          <w:p w14:paraId="3CBE0835"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tr w:rsidR="00837DA7" w:rsidRPr="00233EC8" w14:paraId="5D7C0613" w14:textId="77777777" w:rsidTr="00353A9A">
        <w:tc>
          <w:tcPr>
            <w:tcW w:w="1737" w:type="dxa"/>
            <w:tcBorders>
              <w:top w:val="nil"/>
              <w:left w:val="nil"/>
              <w:bottom w:val="nil"/>
              <w:right w:val="nil"/>
            </w:tcBorders>
          </w:tcPr>
          <w:p w14:paraId="7D9D08B9"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Maximum</w:t>
            </w:r>
          </w:p>
        </w:tc>
        <w:tc>
          <w:tcPr>
            <w:tcW w:w="850" w:type="dxa"/>
            <w:tcBorders>
              <w:top w:val="nil"/>
              <w:left w:val="nil"/>
              <w:bottom w:val="nil"/>
              <w:right w:val="nil"/>
            </w:tcBorders>
          </w:tcPr>
          <w:p w14:paraId="0C649965"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35.42</w:t>
            </w:r>
          </w:p>
        </w:tc>
        <w:tc>
          <w:tcPr>
            <w:tcW w:w="850" w:type="dxa"/>
            <w:tcBorders>
              <w:top w:val="nil"/>
              <w:left w:val="nil"/>
              <w:bottom w:val="nil"/>
              <w:right w:val="nil"/>
            </w:tcBorders>
          </w:tcPr>
          <w:p w14:paraId="0A5D78A8"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32.29</w:t>
            </w:r>
          </w:p>
        </w:tc>
        <w:tc>
          <w:tcPr>
            <w:tcW w:w="850" w:type="dxa"/>
            <w:tcBorders>
              <w:top w:val="nil"/>
              <w:left w:val="nil"/>
              <w:bottom w:val="nil"/>
              <w:right w:val="nil"/>
            </w:tcBorders>
          </w:tcPr>
          <w:p w14:paraId="3EEA8B04"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32.29</w:t>
            </w:r>
          </w:p>
        </w:tc>
        <w:tc>
          <w:tcPr>
            <w:tcW w:w="850" w:type="dxa"/>
            <w:tcBorders>
              <w:top w:val="nil"/>
              <w:left w:val="nil"/>
              <w:bottom w:val="nil"/>
              <w:right w:val="nil"/>
            </w:tcBorders>
          </w:tcPr>
          <w:p w14:paraId="46E3E4F4"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31.25</w:t>
            </w:r>
          </w:p>
        </w:tc>
        <w:tc>
          <w:tcPr>
            <w:tcW w:w="851" w:type="dxa"/>
            <w:tcBorders>
              <w:top w:val="nil"/>
              <w:left w:val="nil"/>
              <w:bottom w:val="nil"/>
              <w:right w:val="nil"/>
            </w:tcBorders>
          </w:tcPr>
          <w:p w14:paraId="2FD34FF0"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31.25</w:t>
            </w:r>
          </w:p>
        </w:tc>
        <w:tc>
          <w:tcPr>
            <w:tcW w:w="850" w:type="dxa"/>
            <w:tcBorders>
              <w:top w:val="nil"/>
              <w:left w:val="nil"/>
              <w:bottom w:val="nil"/>
              <w:right w:val="nil"/>
            </w:tcBorders>
          </w:tcPr>
          <w:p w14:paraId="58AE8839"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33.33</w:t>
            </w:r>
          </w:p>
        </w:tc>
        <w:tc>
          <w:tcPr>
            <w:tcW w:w="850" w:type="dxa"/>
            <w:tcBorders>
              <w:top w:val="nil"/>
              <w:left w:val="nil"/>
              <w:bottom w:val="nil"/>
              <w:right w:val="nil"/>
            </w:tcBorders>
          </w:tcPr>
          <w:p w14:paraId="3AACCAF9"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35.42</w:t>
            </w:r>
          </w:p>
        </w:tc>
        <w:tc>
          <w:tcPr>
            <w:tcW w:w="959" w:type="dxa"/>
            <w:tcBorders>
              <w:top w:val="nil"/>
              <w:left w:val="nil"/>
              <w:bottom w:val="nil"/>
              <w:right w:val="nil"/>
            </w:tcBorders>
          </w:tcPr>
          <w:p w14:paraId="11F38B40"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34" w:type="dxa"/>
            <w:tcBorders>
              <w:top w:val="nil"/>
              <w:left w:val="nil"/>
              <w:bottom w:val="nil"/>
              <w:right w:val="nil"/>
            </w:tcBorders>
          </w:tcPr>
          <w:p w14:paraId="4731D317"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tr w:rsidR="00837DA7" w:rsidRPr="00233EC8" w14:paraId="3850A594" w14:textId="77777777" w:rsidTr="00353A9A">
        <w:tc>
          <w:tcPr>
            <w:tcW w:w="9781" w:type="dxa"/>
            <w:gridSpan w:val="10"/>
            <w:tcBorders>
              <w:top w:val="nil"/>
              <w:left w:val="nil"/>
              <w:bottom w:val="nil"/>
              <w:right w:val="nil"/>
            </w:tcBorders>
          </w:tcPr>
          <w:p w14:paraId="7A01F63E"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i/>
                <w:iCs/>
                <w:sz w:val="20"/>
                <w:szCs w:val="20"/>
              </w:rPr>
              <w:t>Panel 3.10: Health and safety (%)</w:t>
            </w:r>
          </w:p>
        </w:tc>
      </w:tr>
      <w:tr w:rsidR="00837DA7" w:rsidRPr="00233EC8" w14:paraId="6D4AE5E9" w14:textId="77777777" w:rsidTr="00353A9A">
        <w:tc>
          <w:tcPr>
            <w:tcW w:w="1737" w:type="dxa"/>
            <w:tcBorders>
              <w:top w:val="nil"/>
              <w:left w:val="nil"/>
              <w:bottom w:val="nil"/>
              <w:right w:val="nil"/>
            </w:tcBorders>
          </w:tcPr>
          <w:p w14:paraId="08ECFEC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Mean</w:t>
            </w:r>
          </w:p>
        </w:tc>
        <w:tc>
          <w:tcPr>
            <w:tcW w:w="850" w:type="dxa"/>
            <w:tcBorders>
              <w:top w:val="nil"/>
              <w:left w:val="nil"/>
              <w:bottom w:val="nil"/>
              <w:right w:val="nil"/>
            </w:tcBorders>
          </w:tcPr>
          <w:p w14:paraId="06F5D96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4.28</w:t>
            </w:r>
          </w:p>
        </w:tc>
        <w:tc>
          <w:tcPr>
            <w:tcW w:w="850" w:type="dxa"/>
            <w:tcBorders>
              <w:top w:val="nil"/>
              <w:left w:val="nil"/>
              <w:bottom w:val="nil"/>
              <w:right w:val="nil"/>
            </w:tcBorders>
          </w:tcPr>
          <w:p w14:paraId="20A1189C"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3.82</w:t>
            </w:r>
          </w:p>
        </w:tc>
        <w:tc>
          <w:tcPr>
            <w:tcW w:w="850" w:type="dxa"/>
            <w:tcBorders>
              <w:top w:val="nil"/>
              <w:left w:val="nil"/>
              <w:bottom w:val="nil"/>
              <w:right w:val="nil"/>
            </w:tcBorders>
          </w:tcPr>
          <w:p w14:paraId="5F39DF4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4.13</w:t>
            </w:r>
          </w:p>
        </w:tc>
        <w:tc>
          <w:tcPr>
            <w:tcW w:w="850" w:type="dxa"/>
            <w:tcBorders>
              <w:top w:val="nil"/>
              <w:left w:val="nil"/>
              <w:bottom w:val="nil"/>
              <w:right w:val="nil"/>
            </w:tcBorders>
          </w:tcPr>
          <w:p w14:paraId="4A369E80"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4.39</w:t>
            </w:r>
          </w:p>
        </w:tc>
        <w:tc>
          <w:tcPr>
            <w:tcW w:w="851" w:type="dxa"/>
            <w:tcBorders>
              <w:top w:val="nil"/>
              <w:left w:val="nil"/>
              <w:bottom w:val="nil"/>
              <w:right w:val="nil"/>
            </w:tcBorders>
          </w:tcPr>
          <w:p w14:paraId="2C6B5ED5"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4.42</w:t>
            </w:r>
          </w:p>
        </w:tc>
        <w:tc>
          <w:tcPr>
            <w:tcW w:w="850" w:type="dxa"/>
            <w:tcBorders>
              <w:top w:val="nil"/>
              <w:left w:val="nil"/>
              <w:bottom w:val="nil"/>
              <w:right w:val="nil"/>
            </w:tcBorders>
          </w:tcPr>
          <w:p w14:paraId="2E21CC0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4.30</w:t>
            </w:r>
          </w:p>
        </w:tc>
        <w:tc>
          <w:tcPr>
            <w:tcW w:w="850" w:type="dxa"/>
            <w:tcBorders>
              <w:top w:val="nil"/>
              <w:left w:val="nil"/>
              <w:bottom w:val="nil"/>
              <w:right w:val="nil"/>
            </w:tcBorders>
          </w:tcPr>
          <w:p w14:paraId="619DCAD0"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4.62</w:t>
            </w:r>
          </w:p>
        </w:tc>
        <w:tc>
          <w:tcPr>
            <w:tcW w:w="959" w:type="dxa"/>
            <w:tcBorders>
              <w:top w:val="nil"/>
              <w:left w:val="nil"/>
              <w:bottom w:val="nil"/>
              <w:right w:val="nil"/>
            </w:tcBorders>
          </w:tcPr>
          <w:p w14:paraId="7D7A8153" w14:textId="77777777" w:rsidR="00837DA7" w:rsidRPr="00233EC8" w:rsidRDefault="00837DA7" w:rsidP="00353A9A">
            <w:pPr>
              <w:rPr>
                <w:rFonts w:asciiTheme="majorBidi" w:hAnsiTheme="majorBidi" w:cstheme="majorBidi"/>
                <w:sz w:val="20"/>
                <w:szCs w:val="20"/>
                <w:vertAlign w:val="superscript"/>
              </w:rPr>
            </w:pPr>
            <w:r w:rsidRPr="00233EC8">
              <w:rPr>
                <w:rFonts w:asciiTheme="majorBidi" w:hAnsiTheme="majorBidi" w:cstheme="majorBidi"/>
                <w:sz w:val="20"/>
                <w:szCs w:val="20"/>
              </w:rPr>
              <w:t>0.72</w:t>
            </w:r>
            <w:r w:rsidRPr="00233EC8">
              <w:rPr>
                <w:rFonts w:asciiTheme="majorBidi" w:hAnsiTheme="majorBidi" w:cstheme="majorBidi"/>
                <w:sz w:val="20"/>
                <w:szCs w:val="20"/>
                <w:vertAlign w:val="superscript"/>
              </w:rPr>
              <w:t>*</w:t>
            </w:r>
          </w:p>
        </w:tc>
        <w:tc>
          <w:tcPr>
            <w:tcW w:w="1134" w:type="dxa"/>
            <w:tcBorders>
              <w:top w:val="nil"/>
              <w:left w:val="nil"/>
              <w:bottom w:val="nil"/>
              <w:right w:val="nil"/>
            </w:tcBorders>
          </w:tcPr>
          <w:p w14:paraId="5FC03F57"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tr w:rsidR="00837DA7" w:rsidRPr="00233EC8" w14:paraId="4E77BFD4" w14:textId="77777777" w:rsidTr="00353A9A">
        <w:tc>
          <w:tcPr>
            <w:tcW w:w="1737" w:type="dxa"/>
            <w:tcBorders>
              <w:top w:val="nil"/>
              <w:left w:val="nil"/>
              <w:bottom w:val="nil"/>
              <w:right w:val="nil"/>
            </w:tcBorders>
          </w:tcPr>
          <w:p w14:paraId="6D631EC4"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 xml:space="preserve">Median </w:t>
            </w:r>
          </w:p>
        </w:tc>
        <w:tc>
          <w:tcPr>
            <w:tcW w:w="850" w:type="dxa"/>
            <w:tcBorders>
              <w:top w:val="nil"/>
              <w:left w:val="nil"/>
              <w:bottom w:val="nil"/>
              <w:right w:val="nil"/>
            </w:tcBorders>
          </w:tcPr>
          <w:p w14:paraId="0EA0409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3.33</w:t>
            </w:r>
          </w:p>
        </w:tc>
        <w:tc>
          <w:tcPr>
            <w:tcW w:w="850" w:type="dxa"/>
            <w:tcBorders>
              <w:top w:val="nil"/>
              <w:left w:val="nil"/>
              <w:bottom w:val="nil"/>
              <w:right w:val="nil"/>
            </w:tcBorders>
          </w:tcPr>
          <w:p w14:paraId="34DB80CE"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3.33</w:t>
            </w:r>
          </w:p>
        </w:tc>
        <w:tc>
          <w:tcPr>
            <w:tcW w:w="850" w:type="dxa"/>
            <w:tcBorders>
              <w:top w:val="nil"/>
              <w:left w:val="nil"/>
              <w:bottom w:val="nil"/>
              <w:right w:val="nil"/>
            </w:tcBorders>
          </w:tcPr>
          <w:p w14:paraId="63E93A65"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3.33</w:t>
            </w:r>
          </w:p>
        </w:tc>
        <w:tc>
          <w:tcPr>
            <w:tcW w:w="850" w:type="dxa"/>
            <w:tcBorders>
              <w:top w:val="nil"/>
              <w:left w:val="nil"/>
              <w:bottom w:val="nil"/>
              <w:right w:val="nil"/>
            </w:tcBorders>
          </w:tcPr>
          <w:p w14:paraId="0572338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3.33</w:t>
            </w:r>
          </w:p>
        </w:tc>
        <w:tc>
          <w:tcPr>
            <w:tcW w:w="851" w:type="dxa"/>
            <w:tcBorders>
              <w:top w:val="nil"/>
              <w:left w:val="nil"/>
              <w:bottom w:val="nil"/>
              <w:right w:val="nil"/>
            </w:tcBorders>
          </w:tcPr>
          <w:p w14:paraId="09304932"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3.33</w:t>
            </w:r>
          </w:p>
        </w:tc>
        <w:tc>
          <w:tcPr>
            <w:tcW w:w="850" w:type="dxa"/>
            <w:tcBorders>
              <w:top w:val="nil"/>
              <w:left w:val="nil"/>
              <w:bottom w:val="nil"/>
              <w:right w:val="nil"/>
            </w:tcBorders>
          </w:tcPr>
          <w:p w14:paraId="1C74B3A5"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3.33</w:t>
            </w:r>
          </w:p>
        </w:tc>
        <w:tc>
          <w:tcPr>
            <w:tcW w:w="850" w:type="dxa"/>
            <w:tcBorders>
              <w:top w:val="nil"/>
              <w:left w:val="nil"/>
              <w:bottom w:val="nil"/>
              <w:right w:val="nil"/>
            </w:tcBorders>
          </w:tcPr>
          <w:p w14:paraId="441C886C"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3.33</w:t>
            </w:r>
          </w:p>
        </w:tc>
        <w:tc>
          <w:tcPr>
            <w:tcW w:w="959" w:type="dxa"/>
            <w:tcBorders>
              <w:top w:val="nil"/>
              <w:left w:val="nil"/>
              <w:bottom w:val="nil"/>
              <w:right w:val="nil"/>
            </w:tcBorders>
          </w:tcPr>
          <w:p w14:paraId="15AA7C04"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34" w:type="dxa"/>
            <w:tcBorders>
              <w:top w:val="nil"/>
              <w:left w:val="nil"/>
              <w:bottom w:val="nil"/>
              <w:right w:val="nil"/>
            </w:tcBorders>
          </w:tcPr>
          <w:p w14:paraId="486464B1" w14:textId="77777777" w:rsidR="00837DA7" w:rsidRPr="00233EC8" w:rsidRDefault="00837DA7" w:rsidP="00353A9A">
            <w:pPr>
              <w:rPr>
                <w:rFonts w:asciiTheme="majorBidi" w:hAnsiTheme="majorBidi" w:cstheme="majorBidi"/>
                <w:sz w:val="20"/>
                <w:szCs w:val="20"/>
                <w:vertAlign w:val="superscript"/>
              </w:rPr>
            </w:pPr>
            <w:r w:rsidRPr="00233EC8">
              <w:rPr>
                <w:rFonts w:asciiTheme="majorBidi" w:hAnsiTheme="majorBidi" w:cstheme="majorBidi"/>
                <w:sz w:val="20"/>
                <w:szCs w:val="20"/>
              </w:rPr>
              <w:t>3.33</w:t>
            </w:r>
            <w:r w:rsidRPr="00233EC8">
              <w:rPr>
                <w:rFonts w:asciiTheme="majorBidi" w:hAnsiTheme="majorBidi" w:cstheme="majorBidi"/>
                <w:sz w:val="20"/>
                <w:szCs w:val="20"/>
                <w:vertAlign w:val="superscript"/>
              </w:rPr>
              <w:t>**</w:t>
            </w:r>
          </w:p>
        </w:tc>
      </w:tr>
      <w:tr w:rsidR="00837DA7" w:rsidRPr="00233EC8" w14:paraId="6DF0D60C" w14:textId="77777777" w:rsidTr="00353A9A">
        <w:tc>
          <w:tcPr>
            <w:tcW w:w="1737" w:type="dxa"/>
            <w:tcBorders>
              <w:top w:val="nil"/>
              <w:left w:val="nil"/>
              <w:bottom w:val="nil"/>
              <w:right w:val="nil"/>
            </w:tcBorders>
          </w:tcPr>
          <w:p w14:paraId="63070693"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STD</w:t>
            </w:r>
          </w:p>
        </w:tc>
        <w:tc>
          <w:tcPr>
            <w:tcW w:w="850" w:type="dxa"/>
            <w:tcBorders>
              <w:top w:val="nil"/>
              <w:left w:val="nil"/>
              <w:bottom w:val="nil"/>
              <w:right w:val="nil"/>
            </w:tcBorders>
          </w:tcPr>
          <w:p w14:paraId="1F941816"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5.41</w:t>
            </w:r>
          </w:p>
        </w:tc>
        <w:tc>
          <w:tcPr>
            <w:tcW w:w="850" w:type="dxa"/>
            <w:tcBorders>
              <w:top w:val="nil"/>
              <w:left w:val="nil"/>
              <w:bottom w:val="nil"/>
              <w:right w:val="nil"/>
            </w:tcBorders>
          </w:tcPr>
          <w:p w14:paraId="0F6CBFF0"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5.18</w:t>
            </w:r>
          </w:p>
        </w:tc>
        <w:tc>
          <w:tcPr>
            <w:tcW w:w="850" w:type="dxa"/>
            <w:tcBorders>
              <w:top w:val="nil"/>
              <w:left w:val="nil"/>
              <w:bottom w:val="nil"/>
              <w:right w:val="nil"/>
            </w:tcBorders>
          </w:tcPr>
          <w:p w14:paraId="5A0C19A7"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5.30</w:t>
            </w:r>
          </w:p>
        </w:tc>
        <w:tc>
          <w:tcPr>
            <w:tcW w:w="850" w:type="dxa"/>
            <w:tcBorders>
              <w:top w:val="nil"/>
              <w:left w:val="nil"/>
              <w:bottom w:val="nil"/>
              <w:right w:val="nil"/>
            </w:tcBorders>
          </w:tcPr>
          <w:p w14:paraId="1D40EFB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5.50</w:t>
            </w:r>
          </w:p>
        </w:tc>
        <w:tc>
          <w:tcPr>
            <w:tcW w:w="851" w:type="dxa"/>
            <w:tcBorders>
              <w:top w:val="nil"/>
              <w:left w:val="nil"/>
              <w:bottom w:val="nil"/>
              <w:right w:val="nil"/>
            </w:tcBorders>
          </w:tcPr>
          <w:p w14:paraId="5F39F7DB"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5.52</w:t>
            </w:r>
          </w:p>
        </w:tc>
        <w:tc>
          <w:tcPr>
            <w:tcW w:w="850" w:type="dxa"/>
            <w:tcBorders>
              <w:top w:val="nil"/>
              <w:left w:val="nil"/>
              <w:bottom w:val="nil"/>
              <w:right w:val="nil"/>
            </w:tcBorders>
          </w:tcPr>
          <w:p w14:paraId="4DE6705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5.41</w:t>
            </w:r>
          </w:p>
        </w:tc>
        <w:tc>
          <w:tcPr>
            <w:tcW w:w="850" w:type="dxa"/>
            <w:tcBorders>
              <w:top w:val="nil"/>
              <w:left w:val="nil"/>
              <w:bottom w:val="nil"/>
              <w:right w:val="nil"/>
            </w:tcBorders>
          </w:tcPr>
          <w:p w14:paraId="1C717787"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5.62</w:t>
            </w:r>
          </w:p>
        </w:tc>
        <w:tc>
          <w:tcPr>
            <w:tcW w:w="959" w:type="dxa"/>
            <w:tcBorders>
              <w:top w:val="nil"/>
              <w:left w:val="nil"/>
              <w:bottom w:val="nil"/>
              <w:right w:val="nil"/>
            </w:tcBorders>
          </w:tcPr>
          <w:p w14:paraId="4803446B"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34" w:type="dxa"/>
            <w:tcBorders>
              <w:top w:val="nil"/>
              <w:left w:val="nil"/>
              <w:bottom w:val="nil"/>
              <w:right w:val="nil"/>
            </w:tcBorders>
          </w:tcPr>
          <w:p w14:paraId="40649690"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tr w:rsidR="00837DA7" w:rsidRPr="00233EC8" w14:paraId="13B8C1DF" w14:textId="77777777" w:rsidTr="00353A9A">
        <w:tc>
          <w:tcPr>
            <w:tcW w:w="1737" w:type="dxa"/>
            <w:tcBorders>
              <w:top w:val="nil"/>
              <w:left w:val="nil"/>
              <w:bottom w:val="nil"/>
              <w:right w:val="nil"/>
            </w:tcBorders>
          </w:tcPr>
          <w:p w14:paraId="4B506BFE"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Minimum</w:t>
            </w:r>
          </w:p>
        </w:tc>
        <w:tc>
          <w:tcPr>
            <w:tcW w:w="850" w:type="dxa"/>
            <w:tcBorders>
              <w:top w:val="nil"/>
              <w:left w:val="nil"/>
              <w:bottom w:val="nil"/>
              <w:right w:val="nil"/>
            </w:tcBorders>
          </w:tcPr>
          <w:p w14:paraId="674BBCD2"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0" w:type="dxa"/>
            <w:tcBorders>
              <w:top w:val="nil"/>
              <w:left w:val="nil"/>
              <w:bottom w:val="nil"/>
              <w:right w:val="nil"/>
            </w:tcBorders>
          </w:tcPr>
          <w:p w14:paraId="5F97C46A"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0" w:type="dxa"/>
            <w:tcBorders>
              <w:top w:val="nil"/>
              <w:left w:val="nil"/>
              <w:bottom w:val="nil"/>
              <w:right w:val="nil"/>
            </w:tcBorders>
          </w:tcPr>
          <w:p w14:paraId="5C570793"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0" w:type="dxa"/>
            <w:tcBorders>
              <w:top w:val="nil"/>
              <w:left w:val="nil"/>
              <w:bottom w:val="nil"/>
              <w:right w:val="nil"/>
            </w:tcBorders>
          </w:tcPr>
          <w:p w14:paraId="11CA6FEA"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1" w:type="dxa"/>
            <w:tcBorders>
              <w:top w:val="nil"/>
              <w:left w:val="nil"/>
              <w:bottom w:val="nil"/>
              <w:right w:val="nil"/>
            </w:tcBorders>
          </w:tcPr>
          <w:p w14:paraId="1E3431DC"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0" w:type="dxa"/>
            <w:tcBorders>
              <w:top w:val="nil"/>
              <w:left w:val="nil"/>
              <w:bottom w:val="nil"/>
              <w:right w:val="nil"/>
            </w:tcBorders>
          </w:tcPr>
          <w:p w14:paraId="53699432"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850" w:type="dxa"/>
            <w:tcBorders>
              <w:top w:val="nil"/>
              <w:left w:val="nil"/>
              <w:bottom w:val="nil"/>
              <w:right w:val="nil"/>
            </w:tcBorders>
          </w:tcPr>
          <w:p w14:paraId="146722C0"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0.00</w:t>
            </w:r>
          </w:p>
        </w:tc>
        <w:tc>
          <w:tcPr>
            <w:tcW w:w="959" w:type="dxa"/>
            <w:tcBorders>
              <w:top w:val="nil"/>
              <w:left w:val="nil"/>
              <w:bottom w:val="nil"/>
              <w:right w:val="nil"/>
            </w:tcBorders>
          </w:tcPr>
          <w:p w14:paraId="53ACD865"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34" w:type="dxa"/>
            <w:tcBorders>
              <w:top w:val="nil"/>
              <w:left w:val="nil"/>
              <w:bottom w:val="nil"/>
              <w:right w:val="nil"/>
            </w:tcBorders>
          </w:tcPr>
          <w:p w14:paraId="28F680D2"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tr w:rsidR="00837DA7" w:rsidRPr="00233EC8" w14:paraId="0CC96747" w14:textId="77777777" w:rsidTr="00353A9A">
        <w:tc>
          <w:tcPr>
            <w:tcW w:w="1737" w:type="dxa"/>
            <w:tcBorders>
              <w:top w:val="nil"/>
              <w:left w:val="nil"/>
              <w:bottom w:val="nil"/>
              <w:right w:val="nil"/>
            </w:tcBorders>
          </w:tcPr>
          <w:p w14:paraId="31F249BA"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Maximum</w:t>
            </w:r>
          </w:p>
        </w:tc>
        <w:tc>
          <w:tcPr>
            <w:tcW w:w="850" w:type="dxa"/>
            <w:tcBorders>
              <w:top w:val="nil"/>
              <w:left w:val="nil"/>
              <w:bottom w:val="nil"/>
              <w:right w:val="nil"/>
            </w:tcBorders>
          </w:tcPr>
          <w:p w14:paraId="37032383"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26.67</w:t>
            </w:r>
          </w:p>
        </w:tc>
        <w:tc>
          <w:tcPr>
            <w:tcW w:w="850" w:type="dxa"/>
            <w:tcBorders>
              <w:top w:val="nil"/>
              <w:left w:val="nil"/>
              <w:bottom w:val="nil"/>
              <w:right w:val="nil"/>
            </w:tcBorders>
          </w:tcPr>
          <w:p w14:paraId="0E76223F"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26.67</w:t>
            </w:r>
          </w:p>
        </w:tc>
        <w:tc>
          <w:tcPr>
            <w:tcW w:w="850" w:type="dxa"/>
            <w:tcBorders>
              <w:top w:val="nil"/>
              <w:left w:val="nil"/>
              <w:bottom w:val="nil"/>
              <w:right w:val="nil"/>
            </w:tcBorders>
          </w:tcPr>
          <w:p w14:paraId="650C939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26.67</w:t>
            </w:r>
          </w:p>
        </w:tc>
        <w:tc>
          <w:tcPr>
            <w:tcW w:w="850" w:type="dxa"/>
            <w:tcBorders>
              <w:top w:val="nil"/>
              <w:left w:val="nil"/>
              <w:bottom w:val="nil"/>
              <w:right w:val="nil"/>
            </w:tcBorders>
          </w:tcPr>
          <w:p w14:paraId="2E8602DC"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26.67</w:t>
            </w:r>
          </w:p>
        </w:tc>
        <w:tc>
          <w:tcPr>
            <w:tcW w:w="851" w:type="dxa"/>
            <w:tcBorders>
              <w:top w:val="nil"/>
              <w:left w:val="nil"/>
              <w:bottom w:val="nil"/>
              <w:right w:val="nil"/>
            </w:tcBorders>
          </w:tcPr>
          <w:p w14:paraId="66287BF3"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26.67</w:t>
            </w:r>
          </w:p>
        </w:tc>
        <w:tc>
          <w:tcPr>
            <w:tcW w:w="850" w:type="dxa"/>
            <w:tcBorders>
              <w:top w:val="nil"/>
              <w:left w:val="nil"/>
              <w:bottom w:val="nil"/>
              <w:right w:val="nil"/>
            </w:tcBorders>
          </w:tcPr>
          <w:p w14:paraId="3A2804C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26.67</w:t>
            </w:r>
          </w:p>
        </w:tc>
        <w:tc>
          <w:tcPr>
            <w:tcW w:w="850" w:type="dxa"/>
            <w:tcBorders>
              <w:top w:val="nil"/>
              <w:left w:val="nil"/>
              <w:bottom w:val="nil"/>
              <w:right w:val="nil"/>
            </w:tcBorders>
          </w:tcPr>
          <w:p w14:paraId="2C4CF90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26.67</w:t>
            </w:r>
          </w:p>
        </w:tc>
        <w:tc>
          <w:tcPr>
            <w:tcW w:w="959" w:type="dxa"/>
            <w:tcBorders>
              <w:top w:val="nil"/>
              <w:left w:val="nil"/>
              <w:bottom w:val="nil"/>
              <w:right w:val="nil"/>
            </w:tcBorders>
          </w:tcPr>
          <w:p w14:paraId="1FFB33A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34" w:type="dxa"/>
            <w:tcBorders>
              <w:top w:val="nil"/>
              <w:left w:val="nil"/>
              <w:bottom w:val="nil"/>
              <w:right w:val="nil"/>
            </w:tcBorders>
          </w:tcPr>
          <w:p w14:paraId="02F85B0B"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tr w:rsidR="00837DA7" w:rsidRPr="00233EC8" w14:paraId="7CF9619E" w14:textId="77777777" w:rsidTr="00353A9A">
        <w:tc>
          <w:tcPr>
            <w:tcW w:w="9781" w:type="dxa"/>
            <w:gridSpan w:val="10"/>
            <w:tcBorders>
              <w:top w:val="nil"/>
              <w:left w:val="nil"/>
              <w:bottom w:val="nil"/>
              <w:right w:val="nil"/>
            </w:tcBorders>
          </w:tcPr>
          <w:p w14:paraId="258BBDB4"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b/>
                <w:bCs/>
                <w:i/>
                <w:iCs/>
                <w:sz w:val="20"/>
                <w:szCs w:val="20"/>
              </w:rPr>
              <w:t>Panel 4: Strategic risk sub-index (%)</w:t>
            </w:r>
          </w:p>
        </w:tc>
      </w:tr>
      <w:tr w:rsidR="00837DA7" w:rsidRPr="00233EC8" w14:paraId="459ED0B9" w14:textId="77777777" w:rsidTr="00353A9A">
        <w:tc>
          <w:tcPr>
            <w:tcW w:w="1737" w:type="dxa"/>
            <w:tcBorders>
              <w:top w:val="nil"/>
              <w:left w:val="nil"/>
              <w:bottom w:val="nil"/>
              <w:right w:val="nil"/>
            </w:tcBorders>
          </w:tcPr>
          <w:p w14:paraId="0622E70C"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Mean</w:t>
            </w:r>
          </w:p>
        </w:tc>
        <w:tc>
          <w:tcPr>
            <w:tcW w:w="850" w:type="dxa"/>
            <w:tcBorders>
              <w:top w:val="nil"/>
              <w:left w:val="nil"/>
              <w:bottom w:val="nil"/>
              <w:right w:val="nil"/>
            </w:tcBorders>
          </w:tcPr>
          <w:p w14:paraId="04065DC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16.91</w:t>
            </w:r>
          </w:p>
        </w:tc>
        <w:tc>
          <w:tcPr>
            <w:tcW w:w="850" w:type="dxa"/>
            <w:tcBorders>
              <w:top w:val="nil"/>
              <w:left w:val="nil"/>
              <w:bottom w:val="nil"/>
              <w:right w:val="nil"/>
            </w:tcBorders>
          </w:tcPr>
          <w:p w14:paraId="03493BEC"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16.06</w:t>
            </w:r>
          </w:p>
        </w:tc>
        <w:tc>
          <w:tcPr>
            <w:tcW w:w="850" w:type="dxa"/>
            <w:tcBorders>
              <w:top w:val="nil"/>
              <w:left w:val="nil"/>
              <w:bottom w:val="nil"/>
              <w:right w:val="nil"/>
            </w:tcBorders>
          </w:tcPr>
          <w:p w14:paraId="2B8C73EC"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16.30</w:t>
            </w:r>
          </w:p>
        </w:tc>
        <w:tc>
          <w:tcPr>
            <w:tcW w:w="850" w:type="dxa"/>
            <w:tcBorders>
              <w:top w:val="nil"/>
              <w:left w:val="nil"/>
              <w:bottom w:val="nil"/>
              <w:right w:val="nil"/>
            </w:tcBorders>
          </w:tcPr>
          <w:p w14:paraId="4647FE80"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16.70</w:t>
            </w:r>
          </w:p>
        </w:tc>
        <w:tc>
          <w:tcPr>
            <w:tcW w:w="851" w:type="dxa"/>
            <w:tcBorders>
              <w:top w:val="nil"/>
              <w:left w:val="nil"/>
              <w:bottom w:val="nil"/>
              <w:right w:val="nil"/>
            </w:tcBorders>
          </w:tcPr>
          <w:p w14:paraId="52FB5635"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17.10</w:t>
            </w:r>
          </w:p>
        </w:tc>
        <w:tc>
          <w:tcPr>
            <w:tcW w:w="850" w:type="dxa"/>
            <w:tcBorders>
              <w:top w:val="nil"/>
              <w:left w:val="nil"/>
              <w:bottom w:val="nil"/>
              <w:right w:val="nil"/>
            </w:tcBorders>
          </w:tcPr>
          <w:p w14:paraId="0F2703B4"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17.48</w:t>
            </w:r>
          </w:p>
        </w:tc>
        <w:tc>
          <w:tcPr>
            <w:tcW w:w="850" w:type="dxa"/>
            <w:tcBorders>
              <w:top w:val="nil"/>
              <w:left w:val="nil"/>
              <w:bottom w:val="nil"/>
              <w:right w:val="nil"/>
            </w:tcBorders>
          </w:tcPr>
          <w:p w14:paraId="66C5B8B3"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17.84</w:t>
            </w:r>
          </w:p>
        </w:tc>
        <w:tc>
          <w:tcPr>
            <w:tcW w:w="959" w:type="dxa"/>
            <w:tcBorders>
              <w:top w:val="nil"/>
              <w:left w:val="nil"/>
              <w:bottom w:val="nil"/>
              <w:right w:val="nil"/>
            </w:tcBorders>
          </w:tcPr>
          <w:p w14:paraId="4A4BA097" w14:textId="77777777" w:rsidR="00837DA7" w:rsidRPr="00233EC8" w:rsidRDefault="00837DA7" w:rsidP="00353A9A">
            <w:pPr>
              <w:rPr>
                <w:rFonts w:asciiTheme="majorBidi" w:hAnsiTheme="majorBidi" w:cstheme="majorBidi"/>
                <w:sz w:val="20"/>
                <w:szCs w:val="20"/>
                <w:vertAlign w:val="superscript"/>
              </w:rPr>
            </w:pPr>
            <w:r w:rsidRPr="00233EC8">
              <w:rPr>
                <w:rFonts w:asciiTheme="majorBidi" w:hAnsiTheme="majorBidi" w:cstheme="majorBidi"/>
                <w:sz w:val="20"/>
                <w:szCs w:val="20"/>
              </w:rPr>
              <w:t>2.09</w:t>
            </w:r>
            <w:r w:rsidRPr="00233EC8">
              <w:rPr>
                <w:rFonts w:asciiTheme="majorBidi" w:hAnsiTheme="majorBidi" w:cstheme="majorBidi"/>
                <w:sz w:val="20"/>
                <w:szCs w:val="20"/>
                <w:vertAlign w:val="superscript"/>
              </w:rPr>
              <w:t>***</w:t>
            </w:r>
          </w:p>
        </w:tc>
        <w:tc>
          <w:tcPr>
            <w:tcW w:w="1134" w:type="dxa"/>
            <w:tcBorders>
              <w:top w:val="nil"/>
              <w:left w:val="nil"/>
              <w:bottom w:val="nil"/>
              <w:right w:val="nil"/>
            </w:tcBorders>
          </w:tcPr>
          <w:p w14:paraId="525C9A78"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tr w:rsidR="00837DA7" w:rsidRPr="00233EC8" w14:paraId="64A13C88" w14:textId="77777777" w:rsidTr="00353A9A">
        <w:tc>
          <w:tcPr>
            <w:tcW w:w="1737" w:type="dxa"/>
            <w:tcBorders>
              <w:top w:val="nil"/>
              <w:left w:val="nil"/>
              <w:bottom w:val="nil"/>
              <w:right w:val="nil"/>
            </w:tcBorders>
          </w:tcPr>
          <w:p w14:paraId="78BA2EF5"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 xml:space="preserve">Median </w:t>
            </w:r>
          </w:p>
        </w:tc>
        <w:tc>
          <w:tcPr>
            <w:tcW w:w="850" w:type="dxa"/>
            <w:tcBorders>
              <w:top w:val="nil"/>
              <w:left w:val="nil"/>
              <w:bottom w:val="nil"/>
              <w:right w:val="nil"/>
            </w:tcBorders>
          </w:tcPr>
          <w:p w14:paraId="19A86079"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17.78</w:t>
            </w:r>
          </w:p>
        </w:tc>
        <w:tc>
          <w:tcPr>
            <w:tcW w:w="850" w:type="dxa"/>
            <w:tcBorders>
              <w:top w:val="nil"/>
              <w:left w:val="nil"/>
              <w:bottom w:val="nil"/>
              <w:right w:val="nil"/>
            </w:tcBorders>
          </w:tcPr>
          <w:p w14:paraId="6B89B1FC"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16.67</w:t>
            </w:r>
          </w:p>
        </w:tc>
        <w:tc>
          <w:tcPr>
            <w:tcW w:w="850" w:type="dxa"/>
            <w:tcBorders>
              <w:top w:val="nil"/>
              <w:left w:val="nil"/>
              <w:bottom w:val="nil"/>
              <w:right w:val="nil"/>
            </w:tcBorders>
          </w:tcPr>
          <w:p w14:paraId="1C7DFAF3"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16.67</w:t>
            </w:r>
          </w:p>
        </w:tc>
        <w:tc>
          <w:tcPr>
            <w:tcW w:w="850" w:type="dxa"/>
            <w:tcBorders>
              <w:top w:val="nil"/>
              <w:left w:val="nil"/>
              <w:bottom w:val="nil"/>
              <w:right w:val="nil"/>
            </w:tcBorders>
          </w:tcPr>
          <w:p w14:paraId="2810ED0F"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16.67</w:t>
            </w:r>
          </w:p>
        </w:tc>
        <w:tc>
          <w:tcPr>
            <w:tcW w:w="851" w:type="dxa"/>
            <w:tcBorders>
              <w:top w:val="nil"/>
              <w:left w:val="nil"/>
              <w:bottom w:val="nil"/>
              <w:right w:val="nil"/>
            </w:tcBorders>
          </w:tcPr>
          <w:p w14:paraId="2C63157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17.78</w:t>
            </w:r>
          </w:p>
        </w:tc>
        <w:tc>
          <w:tcPr>
            <w:tcW w:w="850" w:type="dxa"/>
            <w:tcBorders>
              <w:top w:val="nil"/>
              <w:left w:val="nil"/>
              <w:bottom w:val="nil"/>
              <w:right w:val="nil"/>
            </w:tcBorders>
          </w:tcPr>
          <w:p w14:paraId="703A6458"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17.78</w:t>
            </w:r>
          </w:p>
        </w:tc>
        <w:tc>
          <w:tcPr>
            <w:tcW w:w="850" w:type="dxa"/>
            <w:tcBorders>
              <w:top w:val="nil"/>
              <w:left w:val="nil"/>
              <w:bottom w:val="nil"/>
              <w:right w:val="nil"/>
            </w:tcBorders>
          </w:tcPr>
          <w:p w14:paraId="0B286B13"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18.89</w:t>
            </w:r>
          </w:p>
        </w:tc>
        <w:tc>
          <w:tcPr>
            <w:tcW w:w="959" w:type="dxa"/>
            <w:tcBorders>
              <w:top w:val="nil"/>
              <w:left w:val="nil"/>
              <w:bottom w:val="nil"/>
              <w:right w:val="nil"/>
            </w:tcBorders>
          </w:tcPr>
          <w:p w14:paraId="28A068FB"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34" w:type="dxa"/>
            <w:tcBorders>
              <w:top w:val="nil"/>
              <w:left w:val="nil"/>
              <w:bottom w:val="nil"/>
              <w:right w:val="nil"/>
            </w:tcBorders>
          </w:tcPr>
          <w:p w14:paraId="2CE83E0D" w14:textId="77777777" w:rsidR="00837DA7" w:rsidRPr="00233EC8" w:rsidRDefault="00837DA7" w:rsidP="00353A9A">
            <w:pPr>
              <w:rPr>
                <w:rFonts w:asciiTheme="majorBidi" w:hAnsiTheme="majorBidi" w:cstheme="majorBidi"/>
                <w:sz w:val="20"/>
                <w:szCs w:val="20"/>
                <w:vertAlign w:val="superscript"/>
              </w:rPr>
            </w:pPr>
            <w:r w:rsidRPr="00233EC8">
              <w:rPr>
                <w:rFonts w:asciiTheme="majorBidi" w:hAnsiTheme="majorBidi" w:cstheme="majorBidi"/>
                <w:sz w:val="20"/>
                <w:szCs w:val="20"/>
              </w:rPr>
              <w:t>2.22</w:t>
            </w:r>
            <w:r w:rsidRPr="00233EC8">
              <w:rPr>
                <w:rFonts w:asciiTheme="majorBidi" w:hAnsiTheme="majorBidi" w:cstheme="majorBidi"/>
                <w:sz w:val="20"/>
                <w:szCs w:val="20"/>
                <w:vertAlign w:val="superscript"/>
              </w:rPr>
              <w:t>***</w:t>
            </w:r>
          </w:p>
        </w:tc>
      </w:tr>
      <w:tr w:rsidR="00837DA7" w:rsidRPr="00233EC8" w14:paraId="106E8EF7" w14:textId="77777777" w:rsidTr="00353A9A">
        <w:tc>
          <w:tcPr>
            <w:tcW w:w="1737" w:type="dxa"/>
            <w:tcBorders>
              <w:top w:val="nil"/>
              <w:left w:val="nil"/>
              <w:bottom w:val="nil"/>
              <w:right w:val="nil"/>
            </w:tcBorders>
          </w:tcPr>
          <w:p w14:paraId="189C1602"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STD</w:t>
            </w:r>
          </w:p>
        </w:tc>
        <w:tc>
          <w:tcPr>
            <w:tcW w:w="850" w:type="dxa"/>
            <w:tcBorders>
              <w:top w:val="nil"/>
              <w:left w:val="nil"/>
              <w:bottom w:val="nil"/>
              <w:right w:val="nil"/>
            </w:tcBorders>
          </w:tcPr>
          <w:p w14:paraId="37051415"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6.71</w:t>
            </w:r>
          </w:p>
        </w:tc>
        <w:tc>
          <w:tcPr>
            <w:tcW w:w="850" w:type="dxa"/>
            <w:tcBorders>
              <w:top w:val="nil"/>
              <w:left w:val="nil"/>
              <w:bottom w:val="nil"/>
              <w:right w:val="nil"/>
            </w:tcBorders>
          </w:tcPr>
          <w:p w14:paraId="58E03CCC"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6.86</w:t>
            </w:r>
          </w:p>
        </w:tc>
        <w:tc>
          <w:tcPr>
            <w:tcW w:w="850" w:type="dxa"/>
            <w:tcBorders>
              <w:top w:val="nil"/>
              <w:left w:val="nil"/>
              <w:bottom w:val="nil"/>
              <w:right w:val="nil"/>
            </w:tcBorders>
          </w:tcPr>
          <w:p w14:paraId="2D894FC7"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6.66</w:t>
            </w:r>
          </w:p>
        </w:tc>
        <w:tc>
          <w:tcPr>
            <w:tcW w:w="850" w:type="dxa"/>
            <w:tcBorders>
              <w:top w:val="nil"/>
              <w:left w:val="nil"/>
              <w:bottom w:val="nil"/>
              <w:right w:val="nil"/>
            </w:tcBorders>
          </w:tcPr>
          <w:p w14:paraId="07C64DD4"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6.61</w:t>
            </w:r>
          </w:p>
        </w:tc>
        <w:tc>
          <w:tcPr>
            <w:tcW w:w="851" w:type="dxa"/>
            <w:tcBorders>
              <w:top w:val="nil"/>
              <w:left w:val="nil"/>
              <w:bottom w:val="nil"/>
              <w:right w:val="nil"/>
            </w:tcBorders>
          </w:tcPr>
          <w:p w14:paraId="5DA46AE5"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6.78</w:t>
            </w:r>
          </w:p>
        </w:tc>
        <w:tc>
          <w:tcPr>
            <w:tcW w:w="850" w:type="dxa"/>
            <w:tcBorders>
              <w:top w:val="nil"/>
              <w:left w:val="nil"/>
              <w:bottom w:val="nil"/>
              <w:right w:val="nil"/>
            </w:tcBorders>
          </w:tcPr>
          <w:p w14:paraId="07A5CBD4"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6.92</w:t>
            </w:r>
          </w:p>
        </w:tc>
        <w:tc>
          <w:tcPr>
            <w:tcW w:w="850" w:type="dxa"/>
            <w:tcBorders>
              <w:top w:val="nil"/>
              <w:left w:val="nil"/>
              <w:bottom w:val="nil"/>
              <w:right w:val="nil"/>
            </w:tcBorders>
          </w:tcPr>
          <w:p w14:paraId="7E89486C"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6.67</w:t>
            </w:r>
          </w:p>
        </w:tc>
        <w:tc>
          <w:tcPr>
            <w:tcW w:w="959" w:type="dxa"/>
            <w:tcBorders>
              <w:top w:val="nil"/>
              <w:left w:val="nil"/>
              <w:bottom w:val="nil"/>
              <w:right w:val="nil"/>
            </w:tcBorders>
          </w:tcPr>
          <w:p w14:paraId="73AC5137"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34" w:type="dxa"/>
            <w:tcBorders>
              <w:top w:val="nil"/>
              <w:left w:val="nil"/>
              <w:bottom w:val="nil"/>
              <w:right w:val="nil"/>
            </w:tcBorders>
          </w:tcPr>
          <w:p w14:paraId="34B4A018"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tr w:rsidR="00837DA7" w:rsidRPr="00233EC8" w14:paraId="3B6D5597" w14:textId="77777777" w:rsidTr="00353A9A">
        <w:tc>
          <w:tcPr>
            <w:tcW w:w="1737" w:type="dxa"/>
            <w:tcBorders>
              <w:top w:val="nil"/>
              <w:left w:val="nil"/>
              <w:bottom w:val="nil"/>
              <w:right w:val="nil"/>
            </w:tcBorders>
          </w:tcPr>
          <w:p w14:paraId="7C6F4FD3"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Minimum</w:t>
            </w:r>
          </w:p>
        </w:tc>
        <w:tc>
          <w:tcPr>
            <w:tcW w:w="850" w:type="dxa"/>
            <w:tcBorders>
              <w:top w:val="nil"/>
              <w:left w:val="nil"/>
              <w:bottom w:val="nil"/>
              <w:right w:val="nil"/>
            </w:tcBorders>
          </w:tcPr>
          <w:p w14:paraId="55565766"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2.22</w:t>
            </w:r>
          </w:p>
        </w:tc>
        <w:tc>
          <w:tcPr>
            <w:tcW w:w="850" w:type="dxa"/>
            <w:tcBorders>
              <w:top w:val="nil"/>
              <w:left w:val="nil"/>
              <w:bottom w:val="nil"/>
              <w:right w:val="nil"/>
            </w:tcBorders>
          </w:tcPr>
          <w:p w14:paraId="6C63C6BC"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2.22</w:t>
            </w:r>
          </w:p>
        </w:tc>
        <w:tc>
          <w:tcPr>
            <w:tcW w:w="850" w:type="dxa"/>
            <w:tcBorders>
              <w:top w:val="nil"/>
              <w:left w:val="nil"/>
              <w:bottom w:val="nil"/>
              <w:right w:val="nil"/>
            </w:tcBorders>
          </w:tcPr>
          <w:p w14:paraId="4ACBFC9A"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2.22</w:t>
            </w:r>
          </w:p>
        </w:tc>
        <w:tc>
          <w:tcPr>
            <w:tcW w:w="850" w:type="dxa"/>
            <w:tcBorders>
              <w:top w:val="nil"/>
              <w:left w:val="nil"/>
              <w:bottom w:val="nil"/>
              <w:right w:val="nil"/>
            </w:tcBorders>
          </w:tcPr>
          <w:p w14:paraId="0EA685C7"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2.22</w:t>
            </w:r>
          </w:p>
        </w:tc>
        <w:tc>
          <w:tcPr>
            <w:tcW w:w="851" w:type="dxa"/>
            <w:tcBorders>
              <w:top w:val="nil"/>
              <w:left w:val="nil"/>
              <w:bottom w:val="nil"/>
              <w:right w:val="nil"/>
            </w:tcBorders>
          </w:tcPr>
          <w:p w14:paraId="2566D100"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3.33</w:t>
            </w:r>
          </w:p>
        </w:tc>
        <w:tc>
          <w:tcPr>
            <w:tcW w:w="850" w:type="dxa"/>
            <w:tcBorders>
              <w:top w:val="nil"/>
              <w:left w:val="nil"/>
              <w:bottom w:val="nil"/>
              <w:right w:val="nil"/>
            </w:tcBorders>
          </w:tcPr>
          <w:p w14:paraId="746CBF32"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3.33</w:t>
            </w:r>
          </w:p>
        </w:tc>
        <w:tc>
          <w:tcPr>
            <w:tcW w:w="850" w:type="dxa"/>
            <w:tcBorders>
              <w:top w:val="nil"/>
              <w:left w:val="nil"/>
              <w:bottom w:val="nil"/>
              <w:right w:val="nil"/>
            </w:tcBorders>
          </w:tcPr>
          <w:p w14:paraId="0AEFC4F9"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3.33</w:t>
            </w:r>
          </w:p>
        </w:tc>
        <w:tc>
          <w:tcPr>
            <w:tcW w:w="959" w:type="dxa"/>
            <w:tcBorders>
              <w:top w:val="nil"/>
              <w:left w:val="nil"/>
              <w:bottom w:val="nil"/>
              <w:right w:val="nil"/>
            </w:tcBorders>
          </w:tcPr>
          <w:p w14:paraId="2B6435D6"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34" w:type="dxa"/>
            <w:tcBorders>
              <w:top w:val="nil"/>
              <w:left w:val="nil"/>
              <w:bottom w:val="nil"/>
              <w:right w:val="nil"/>
            </w:tcBorders>
          </w:tcPr>
          <w:p w14:paraId="3E72211E"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tr w:rsidR="00837DA7" w:rsidRPr="00233EC8" w14:paraId="285531D5" w14:textId="77777777" w:rsidTr="00353A9A">
        <w:tc>
          <w:tcPr>
            <w:tcW w:w="1737" w:type="dxa"/>
            <w:tcBorders>
              <w:top w:val="nil"/>
              <w:left w:val="nil"/>
              <w:bottom w:val="single" w:sz="2" w:space="0" w:color="auto"/>
              <w:right w:val="nil"/>
            </w:tcBorders>
          </w:tcPr>
          <w:p w14:paraId="6C794597"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Maximum</w:t>
            </w:r>
          </w:p>
        </w:tc>
        <w:tc>
          <w:tcPr>
            <w:tcW w:w="850" w:type="dxa"/>
            <w:tcBorders>
              <w:top w:val="nil"/>
              <w:left w:val="nil"/>
              <w:bottom w:val="single" w:sz="2" w:space="0" w:color="auto"/>
              <w:right w:val="nil"/>
            </w:tcBorders>
          </w:tcPr>
          <w:p w14:paraId="036F937E"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36.67</w:t>
            </w:r>
          </w:p>
        </w:tc>
        <w:tc>
          <w:tcPr>
            <w:tcW w:w="850" w:type="dxa"/>
            <w:tcBorders>
              <w:top w:val="nil"/>
              <w:left w:val="nil"/>
              <w:bottom w:val="single" w:sz="2" w:space="0" w:color="auto"/>
              <w:right w:val="nil"/>
            </w:tcBorders>
          </w:tcPr>
          <w:p w14:paraId="6A79EFF5"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33.33</w:t>
            </w:r>
          </w:p>
        </w:tc>
        <w:tc>
          <w:tcPr>
            <w:tcW w:w="850" w:type="dxa"/>
            <w:tcBorders>
              <w:top w:val="nil"/>
              <w:left w:val="nil"/>
              <w:bottom w:val="single" w:sz="2" w:space="0" w:color="auto"/>
              <w:right w:val="nil"/>
            </w:tcBorders>
          </w:tcPr>
          <w:p w14:paraId="62F78A2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35.56</w:t>
            </w:r>
          </w:p>
        </w:tc>
        <w:tc>
          <w:tcPr>
            <w:tcW w:w="850" w:type="dxa"/>
            <w:tcBorders>
              <w:top w:val="nil"/>
              <w:left w:val="nil"/>
              <w:bottom w:val="single" w:sz="2" w:space="0" w:color="auto"/>
              <w:right w:val="nil"/>
            </w:tcBorders>
          </w:tcPr>
          <w:p w14:paraId="4D7B050E"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30.00</w:t>
            </w:r>
          </w:p>
        </w:tc>
        <w:tc>
          <w:tcPr>
            <w:tcW w:w="851" w:type="dxa"/>
            <w:tcBorders>
              <w:top w:val="nil"/>
              <w:left w:val="nil"/>
              <w:bottom w:val="single" w:sz="2" w:space="0" w:color="auto"/>
              <w:right w:val="nil"/>
            </w:tcBorders>
          </w:tcPr>
          <w:p w14:paraId="037DC79A"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36.67</w:t>
            </w:r>
          </w:p>
        </w:tc>
        <w:tc>
          <w:tcPr>
            <w:tcW w:w="850" w:type="dxa"/>
            <w:tcBorders>
              <w:top w:val="nil"/>
              <w:left w:val="nil"/>
              <w:bottom w:val="single" w:sz="2" w:space="0" w:color="auto"/>
              <w:right w:val="nil"/>
            </w:tcBorders>
          </w:tcPr>
          <w:p w14:paraId="0B5F0670"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35.56</w:t>
            </w:r>
          </w:p>
        </w:tc>
        <w:tc>
          <w:tcPr>
            <w:tcW w:w="850" w:type="dxa"/>
            <w:tcBorders>
              <w:top w:val="nil"/>
              <w:left w:val="nil"/>
              <w:bottom w:val="single" w:sz="2" w:space="0" w:color="auto"/>
              <w:right w:val="nil"/>
            </w:tcBorders>
          </w:tcPr>
          <w:p w14:paraId="57869F99"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32.22</w:t>
            </w:r>
          </w:p>
        </w:tc>
        <w:tc>
          <w:tcPr>
            <w:tcW w:w="959" w:type="dxa"/>
            <w:tcBorders>
              <w:top w:val="nil"/>
              <w:left w:val="nil"/>
              <w:bottom w:val="single" w:sz="2" w:space="0" w:color="auto"/>
              <w:right w:val="nil"/>
            </w:tcBorders>
          </w:tcPr>
          <w:p w14:paraId="62A5912A"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c>
          <w:tcPr>
            <w:tcW w:w="1134" w:type="dxa"/>
            <w:tcBorders>
              <w:top w:val="nil"/>
              <w:left w:val="nil"/>
              <w:bottom w:val="single" w:sz="2" w:space="0" w:color="auto"/>
              <w:right w:val="nil"/>
            </w:tcBorders>
          </w:tcPr>
          <w:p w14:paraId="04BED745"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w:t>
            </w:r>
          </w:p>
        </w:tc>
      </w:tr>
    </w:tbl>
    <w:bookmarkEnd w:id="18"/>
    <w:p w14:paraId="676581F5" w14:textId="77777777" w:rsidR="00837DA7" w:rsidRDefault="00837DA7" w:rsidP="00837DA7">
      <w:pPr>
        <w:spacing w:after="0" w:line="24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The reported evidence in the </w:t>
      </w:r>
      <w:r>
        <w:rPr>
          <w:rFonts w:ascii="Times New Roman" w:hAnsi="Times New Roman" w:cs="Times New Roman"/>
          <w:b/>
          <w:bCs/>
          <w:i/>
          <w:sz w:val="24"/>
          <w:szCs w:val="24"/>
        </w:rPr>
        <w:t>Online Appendix 1</w:t>
      </w:r>
      <w:r>
        <w:rPr>
          <w:rFonts w:ascii="Times New Roman" w:hAnsi="Times New Roman" w:cs="Times New Roman"/>
          <w:iCs/>
          <w:sz w:val="24"/>
          <w:szCs w:val="24"/>
        </w:rPr>
        <w:t xml:space="preserve"> indicates that risk disclosure levels have improved over time, which is consistent with the findings of previous studies conducted on HEIs (</w:t>
      </w:r>
      <w:r w:rsidRPr="00356ADA">
        <w:rPr>
          <w:rFonts w:ascii="Times New Roman" w:hAnsi="Times New Roman" w:cs="Times New Roman"/>
          <w:sz w:val="24"/>
          <w:szCs w:val="24"/>
        </w:rPr>
        <w:t>Fischer</w:t>
      </w:r>
      <w:r>
        <w:rPr>
          <w:rFonts w:ascii="Times New Roman" w:hAnsi="Times New Roman" w:cs="Times New Roman"/>
          <w:sz w:val="24"/>
          <w:szCs w:val="24"/>
        </w:rPr>
        <w:t xml:space="preserve"> et al., 2010; Nelson et al., 2003</w:t>
      </w:r>
      <w:r>
        <w:rPr>
          <w:rFonts w:ascii="Times New Roman" w:hAnsi="Times New Roman" w:cs="Times New Roman"/>
          <w:iCs/>
          <w:sz w:val="24"/>
          <w:szCs w:val="24"/>
        </w:rPr>
        <w:t>).</w:t>
      </w:r>
      <w:r w:rsidRPr="00F53460">
        <w:rPr>
          <w:rFonts w:ascii="Times New Roman" w:hAnsi="Times New Roman" w:cs="Times New Roman"/>
          <w:sz w:val="24"/>
          <w:szCs w:val="24"/>
        </w:rPr>
        <w:t xml:space="preserve"> </w:t>
      </w:r>
      <w:r w:rsidRPr="00F53460">
        <w:rPr>
          <w:rFonts w:ascii="Times New Roman" w:hAnsi="Times New Roman" w:cs="Times New Roman"/>
          <w:iCs/>
          <w:sz w:val="24"/>
          <w:szCs w:val="24"/>
        </w:rPr>
        <w:t>For example, the average risk disclosure levels were 16.31% in 2009 and increased to 18.41% in 2014, and this resulted in an overall increase of about 13% over the 2009-2014</w:t>
      </w:r>
      <w:r>
        <w:rPr>
          <w:rFonts w:ascii="Times New Roman" w:hAnsi="Times New Roman" w:cs="Times New Roman"/>
          <w:iCs/>
          <w:sz w:val="24"/>
          <w:szCs w:val="24"/>
        </w:rPr>
        <w:t xml:space="preserve"> period</w:t>
      </w:r>
      <w:r w:rsidRPr="00F53460">
        <w:rPr>
          <w:rFonts w:ascii="Times New Roman" w:hAnsi="Times New Roman" w:cs="Times New Roman"/>
          <w:iCs/>
          <w:sz w:val="24"/>
          <w:szCs w:val="24"/>
        </w:rPr>
        <w:t xml:space="preserve">. Additionally, and in terms of the </w:t>
      </w:r>
      <w:r>
        <w:rPr>
          <w:rFonts w:ascii="Times New Roman" w:hAnsi="Times New Roman" w:cs="Times New Roman"/>
          <w:i/>
          <w:sz w:val="24"/>
          <w:szCs w:val="24"/>
        </w:rPr>
        <w:t>HE</w:t>
      </w:r>
      <w:r w:rsidRPr="00F53460">
        <w:rPr>
          <w:rFonts w:ascii="Times New Roman" w:hAnsi="Times New Roman" w:cs="Times New Roman"/>
          <w:i/>
          <w:iCs/>
          <w:sz w:val="24"/>
          <w:szCs w:val="24"/>
        </w:rPr>
        <w:t>RDI</w:t>
      </w:r>
      <w:r w:rsidRPr="00F53460">
        <w:rPr>
          <w:rFonts w:ascii="Times New Roman" w:hAnsi="Times New Roman" w:cs="Times New Roman"/>
          <w:iCs/>
          <w:sz w:val="24"/>
          <w:szCs w:val="24"/>
        </w:rPr>
        <w:t xml:space="preserve">’s sub-indices, </w:t>
      </w:r>
      <w:r w:rsidRPr="00273D6F">
        <w:rPr>
          <w:rFonts w:ascii="Times New Roman" w:hAnsi="Times New Roman" w:cs="Times New Roman"/>
          <w:iCs/>
          <w:sz w:val="24"/>
          <w:szCs w:val="24"/>
        </w:rPr>
        <w:t xml:space="preserve">the </w:t>
      </w:r>
      <w:r>
        <w:rPr>
          <w:rFonts w:ascii="Times New Roman" w:hAnsi="Times New Roman" w:cs="Times New Roman"/>
          <w:b/>
          <w:bCs/>
          <w:i/>
          <w:iCs/>
          <w:sz w:val="24"/>
          <w:szCs w:val="24"/>
        </w:rPr>
        <w:t>O</w:t>
      </w:r>
      <w:r w:rsidRPr="00273D6F">
        <w:rPr>
          <w:rFonts w:ascii="Times New Roman" w:hAnsi="Times New Roman" w:cs="Times New Roman"/>
          <w:b/>
          <w:bCs/>
          <w:i/>
          <w:iCs/>
          <w:sz w:val="24"/>
          <w:szCs w:val="24"/>
        </w:rPr>
        <w:t>nline Appendix 1</w:t>
      </w:r>
      <w:r w:rsidRPr="00F53460">
        <w:rPr>
          <w:rFonts w:ascii="Times New Roman" w:hAnsi="Times New Roman" w:cs="Times New Roman"/>
          <w:iCs/>
          <w:sz w:val="24"/>
          <w:szCs w:val="24"/>
        </w:rPr>
        <w:t xml:space="preserve"> suggests similar low levels of risk disclosure with increasing patterns over time. For example, results reported </w:t>
      </w:r>
      <w:r>
        <w:rPr>
          <w:rFonts w:ascii="Times New Roman" w:hAnsi="Times New Roman" w:cs="Times New Roman"/>
          <w:iCs/>
          <w:sz w:val="24"/>
          <w:szCs w:val="24"/>
        </w:rPr>
        <w:t xml:space="preserve">in the </w:t>
      </w:r>
      <w:r>
        <w:rPr>
          <w:rFonts w:ascii="Times New Roman" w:hAnsi="Times New Roman" w:cs="Times New Roman"/>
          <w:b/>
          <w:bCs/>
          <w:i/>
          <w:sz w:val="24"/>
          <w:szCs w:val="24"/>
        </w:rPr>
        <w:t>Online Appendix 1</w:t>
      </w:r>
      <w:r>
        <w:rPr>
          <w:rFonts w:ascii="Times New Roman" w:hAnsi="Times New Roman" w:cs="Times New Roman"/>
          <w:iCs/>
          <w:sz w:val="24"/>
          <w:szCs w:val="24"/>
        </w:rPr>
        <w:t xml:space="preserve"> </w:t>
      </w:r>
      <w:r w:rsidRPr="00F53460">
        <w:rPr>
          <w:rFonts w:ascii="Times New Roman" w:hAnsi="Times New Roman" w:cs="Times New Roman"/>
          <w:iCs/>
          <w:sz w:val="24"/>
          <w:szCs w:val="24"/>
        </w:rPr>
        <w:t xml:space="preserve">(panels 2 &amp; 3) show that the average </w:t>
      </w:r>
      <w:r>
        <w:rPr>
          <w:rFonts w:ascii="Times New Roman" w:hAnsi="Times New Roman" w:cs="Times New Roman"/>
          <w:iCs/>
          <w:sz w:val="24"/>
          <w:szCs w:val="24"/>
        </w:rPr>
        <w:t xml:space="preserve">HEI </w:t>
      </w:r>
      <w:r w:rsidRPr="00F53460">
        <w:rPr>
          <w:rFonts w:ascii="Times New Roman" w:hAnsi="Times New Roman" w:cs="Times New Roman"/>
          <w:iCs/>
          <w:sz w:val="24"/>
          <w:szCs w:val="24"/>
        </w:rPr>
        <w:t>financial risk disclosure (</w:t>
      </w:r>
      <w:r>
        <w:rPr>
          <w:rFonts w:ascii="Times New Roman" w:hAnsi="Times New Roman" w:cs="Times New Roman"/>
          <w:i/>
          <w:iCs/>
          <w:sz w:val="24"/>
          <w:szCs w:val="24"/>
        </w:rPr>
        <w:t>HEFRD</w:t>
      </w:r>
      <w:r w:rsidRPr="00F53460">
        <w:rPr>
          <w:rFonts w:ascii="Times New Roman" w:hAnsi="Times New Roman" w:cs="Times New Roman"/>
          <w:iCs/>
          <w:sz w:val="24"/>
          <w:szCs w:val="24"/>
        </w:rPr>
        <w:t xml:space="preserve">) </w:t>
      </w:r>
      <w:r>
        <w:rPr>
          <w:rFonts w:ascii="Times New Roman" w:hAnsi="Times New Roman" w:cs="Times New Roman"/>
          <w:iCs/>
          <w:sz w:val="24"/>
          <w:szCs w:val="24"/>
        </w:rPr>
        <w:t>(</w:t>
      </w:r>
      <w:r w:rsidRPr="00F53460">
        <w:rPr>
          <w:rFonts w:ascii="Times New Roman" w:hAnsi="Times New Roman" w:cs="Times New Roman"/>
          <w:iCs/>
          <w:sz w:val="24"/>
          <w:szCs w:val="24"/>
        </w:rPr>
        <w:t>operating risk disclosure</w:t>
      </w:r>
      <w:r>
        <w:rPr>
          <w:rFonts w:ascii="Times New Roman" w:hAnsi="Times New Roman" w:cs="Times New Roman"/>
          <w:iCs/>
          <w:sz w:val="24"/>
          <w:szCs w:val="24"/>
        </w:rPr>
        <w:t xml:space="preserve"> – </w:t>
      </w:r>
      <w:r>
        <w:rPr>
          <w:rFonts w:ascii="Times New Roman" w:hAnsi="Times New Roman" w:cs="Times New Roman"/>
          <w:i/>
          <w:iCs/>
          <w:sz w:val="24"/>
          <w:szCs w:val="24"/>
        </w:rPr>
        <w:t>HEORD</w:t>
      </w:r>
      <w:r w:rsidRPr="00F53460">
        <w:rPr>
          <w:rFonts w:ascii="Times New Roman" w:hAnsi="Times New Roman" w:cs="Times New Roman"/>
          <w:iCs/>
          <w:sz w:val="24"/>
          <w:szCs w:val="24"/>
        </w:rPr>
        <w:t>) score of 30.83% (12.66%), ranging from a minimum of 13.22% (3.21%) to a maximum of 50.00% (29.92%) is increasing steadily from 29.81% (11.63%) in 2009 to 31.69% (13.87%) in 2014, resulting in an overall increase of 6% (19%) in the level of risk disclosures over the 2009–2014</w:t>
      </w:r>
      <w:r>
        <w:rPr>
          <w:rFonts w:ascii="Times New Roman" w:hAnsi="Times New Roman" w:cs="Times New Roman"/>
          <w:iCs/>
          <w:sz w:val="24"/>
          <w:szCs w:val="24"/>
        </w:rPr>
        <w:t xml:space="preserve"> period</w:t>
      </w:r>
      <w:r w:rsidRPr="00F53460">
        <w:rPr>
          <w:rFonts w:ascii="Times New Roman" w:hAnsi="Times New Roman" w:cs="Times New Roman"/>
          <w:iCs/>
          <w:sz w:val="24"/>
          <w:szCs w:val="24"/>
        </w:rPr>
        <w:t xml:space="preserve">. Further, the pattern of increases in </w:t>
      </w:r>
      <w:r>
        <w:rPr>
          <w:rFonts w:ascii="Times New Roman" w:hAnsi="Times New Roman" w:cs="Times New Roman"/>
          <w:iCs/>
          <w:sz w:val="24"/>
          <w:szCs w:val="24"/>
        </w:rPr>
        <w:t xml:space="preserve">HEI </w:t>
      </w:r>
      <w:r w:rsidRPr="00F53460">
        <w:rPr>
          <w:rFonts w:ascii="Times New Roman" w:hAnsi="Times New Roman" w:cs="Times New Roman"/>
          <w:iCs/>
          <w:sz w:val="24"/>
          <w:szCs w:val="24"/>
        </w:rPr>
        <w:t>strategic risk disclosures (</w:t>
      </w:r>
      <w:r>
        <w:rPr>
          <w:rFonts w:ascii="Times New Roman" w:hAnsi="Times New Roman" w:cs="Times New Roman"/>
          <w:i/>
          <w:iCs/>
          <w:sz w:val="24"/>
          <w:szCs w:val="24"/>
        </w:rPr>
        <w:t>HESRD</w:t>
      </w:r>
      <w:r w:rsidRPr="00F53460">
        <w:rPr>
          <w:rFonts w:ascii="Times New Roman" w:hAnsi="Times New Roman" w:cs="Times New Roman"/>
          <w:iCs/>
          <w:sz w:val="24"/>
          <w:szCs w:val="24"/>
        </w:rPr>
        <w:t>)</w:t>
      </w:r>
      <w:r w:rsidRPr="00F53460">
        <w:rPr>
          <w:rFonts w:ascii="Times New Roman" w:hAnsi="Times New Roman" w:cs="Times New Roman"/>
          <w:i/>
          <w:iCs/>
          <w:sz w:val="24"/>
          <w:szCs w:val="24"/>
        </w:rPr>
        <w:t xml:space="preserve"> </w:t>
      </w:r>
      <w:r w:rsidRPr="00F53460">
        <w:rPr>
          <w:rFonts w:ascii="Times New Roman" w:hAnsi="Times New Roman" w:cs="Times New Roman"/>
          <w:iCs/>
          <w:sz w:val="24"/>
          <w:szCs w:val="24"/>
        </w:rPr>
        <w:t xml:space="preserve">is similar to those of </w:t>
      </w:r>
      <w:r>
        <w:rPr>
          <w:rFonts w:ascii="Times New Roman" w:hAnsi="Times New Roman" w:cs="Times New Roman"/>
          <w:i/>
          <w:iCs/>
          <w:sz w:val="24"/>
          <w:szCs w:val="24"/>
        </w:rPr>
        <w:t>HEFRD</w:t>
      </w:r>
      <w:r w:rsidRPr="00F53460">
        <w:rPr>
          <w:rFonts w:ascii="Times New Roman" w:hAnsi="Times New Roman" w:cs="Times New Roman"/>
          <w:iCs/>
          <w:sz w:val="24"/>
          <w:szCs w:val="24"/>
        </w:rPr>
        <w:t xml:space="preserve"> and </w:t>
      </w:r>
      <w:r>
        <w:rPr>
          <w:rFonts w:ascii="Times New Roman" w:hAnsi="Times New Roman" w:cs="Times New Roman"/>
          <w:i/>
          <w:iCs/>
          <w:sz w:val="24"/>
          <w:szCs w:val="24"/>
        </w:rPr>
        <w:t>HEORD</w:t>
      </w:r>
      <w:r w:rsidRPr="00F53460">
        <w:rPr>
          <w:rFonts w:ascii="Times New Roman" w:hAnsi="Times New Roman" w:cs="Times New Roman"/>
          <w:iCs/>
          <w:sz w:val="24"/>
          <w:szCs w:val="24"/>
        </w:rPr>
        <w:t>.</w:t>
      </w:r>
      <w:r w:rsidRPr="0074019E">
        <w:rPr>
          <w:rFonts w:ascii="Times New Roman" w:hAnsi="Times New Roman" w:cs="Times New Roman"/>
          <w:sz w:val="24"/>
          <w:szCs w:val="24"/>
        </w:rPr>
        <w:t xml:space="preserve"> </w:t>
      </w:r>
      <w:r w:rsidRPr="0074019E">
        <w:rPr>
          <w:rFonts w:ascii="Times New Roman" w:hAnsi="Times New Roman" w:cs="Times New Roman"/>
          <w:iCs/>
          <w:sz w:val="24"/>
          <w:szCs w:val="24"/>
        </w:rPr>
        <w:t xml:space="preserve">In addition, and as shown in the </w:t>
      </w:r>
      <w:r>
        <w:rPr>
          <w:rFonts w:ascii="Times New Roman" w:hAnsi="Times New Roman" w:cs="Times New Roman"/>
          <w:b/>
          <w:bCs/>
          <w:i/>
          <w:iCs/>
          <w:sz w:val="24"/>
          <w:szCs w:val="24"/>
        </w:rPr>
        <w:t>O</w:t>
      </w:r>
      <w:r w:rsidRPr="0074019E">
        <w:rPr>
          <w:rFonts w:ascii="Times New Roman" w:hAnsi="Times New Roman" w:cs="Times New Roman"/>
          <w:b/>
          <w:bCs/>
          <w:i/>
          <w:iCs/>
          <w:sz w:val="24"/>
          <w:szCs w:val="24"/>
        </w:rPr>
        <w:t>nline Appendix 1</w:t>
      </w:r>
      <w:r w:rsidRPr="0074019E">
        <w:rPr>
          <w:rFonts w:ascii="Times New Roman" w:hAnsi="Times New Roman" w:cs="Times New Roman"/>
          <w:iCs/>
          <w:sz w:val="24"/>
          <w:szCs w:val="24"/>
        </w:rPr>
        <w:t>, we divided our sample based on their status into two groups (Pre-1992 and Post-1992) and run the Independent</w:t>
      </w:r>
      <w:r w:rsidRPr="0074019E">
        <w:rPr>
          <w:rFonts w:ascii="Times New Roman" w:hAnsi="Times New Roman" w:cs="Times New Roman"/>
          <w:i/>
          <w:iCs/>
          <w:sz w:val="24"/>
          <w:szCs w:val="24"/>
        </w:rPr>
        <w:t> t</w:t>
      </w:r>
      <w:r w:rsidRPr="0074019E">
        <w:rPr>
          <w:rFonts w:ascii="Times New Roman" w:hAnsi="Times New Roman" w:cs="Times New Roman"/>
          <w:iCs/>
          <w:sz w:val="24"/>
          <w:szCs w:val="24"/>
        </w:rPr>
        <w:t xml:space="preserve"> and Mann-Whitney Tests to compute the mean and median differences among the two groups. The results of the two tests suggest that generally, pre-1992 </w:t>
      </w:r>
      <w:r w:rsidRPr="0074019E">
        <w:rPr>
          <w:rFonts w:ascii="Times New Roman" w:hAnsi="Times New Roman" w:cs="Times New Roman"/>
          <w:iCs/>
          <w:sz w:val="24"/>
          <w:szCs w:val="24"/>
        </w:rPr>
        <w:lastRenderedPageBreak/>
        <w:t>institutions disclosed significantly higher levels of voluntary risk disclosures (</w:t>
      </w:r>
      <w:r w:rsidRPr="0074019E">
        <w:rPr>
          <w:rFonts w:ascii="Times New Roman" w:hAnsi="Times New Roman" w:cs="Times New Roman"/>
          <w:i/>
          <w:iCs/>
          <w:sz w:val="24"/>
          <w:szCs w:val="24"/>
        </w:rPr>
        <w:t>HERDI</w:t>
      </w:r>
      <w:r w:rsidRPr="0074019E">
        <w:rPr>
          <w:rFonts w:ascii="Times New Roman" w:hAnsi="Times New Roman" w:cs="Times New Roman"/>
          <w:iCs/>
          <w:sz w:val="24"/>
          <w:szCs w:val="24"/>
        </w:rPr>
        <w:t>) compared with their post-1992 counterparts</w:t>
      </w:r>
      <w:r w:rsidRPr="0074019E">
        <w:rPr>
          <w:rFonts w:ascii="Times New Roman" w:hAnsi="Times New Roman" w:cs="Times New Roman"/>
          <w:iCs/>
          <w:sz w:val="24"/>
          <w:szCs w:val="24"/>
          <w:vertAlign w:val="superscript"/>
        </w:rPr>
        <w:footnoteReference w:id="4"/>
      </w:r>
      <w:r w:rsidRPr="0074019E">
        <w:rPr>
          <w:rFonts w:ascii="Times New Roman" w:hAnsi="Times New Roman" w:cs="Times New Roman"/>
          <w:iCs/>
          <w:sz w:val="24"/>
          <w:szCs w:val="24"/>
        </w:rPr>
        <w:t>.</w:t>
      </w:r>
    </w:p>
    <w:p w14:paraId="3C377C14" w14:textId="77777777" w:rsidR="00837DA7" w:rsidRDefault="00837DA7" w:rsidP="00837DA7">
      <w:pPr>
        <w:spacing w:after="0" w:line="240" w:lineRule="auto"/>
        <w:ind w:firstLine="720"/>
        <w:jc w:val="both"/>
        <w:rPr>
          <w:rFonts w:ascii="Times New Roman" w:hAnsi="Times New Roman" w:cs="Times New Roman"/>
          <w:sz w:val="24"/>
          <w:szCs w:val="24"/>
        </w:rPr>
      </w:pPr>
    </w:p>
    <w:p w14:paraId="379FF092" w14:textId="77777777" w:rsidR="00837DA7" w:rsidRDefault="00837DA7" w:rsidP="00837DA7">
      <w:pPr>
        <w:spacing w:after="0" w:line="240" w:lineRule="auto"/>
        <w:ind w:firstLine="720"/>
        <w:jc w:val="both"/>
        <w:rPr>
          <w:rFonts w:ascii="Times New Roman" w:hAnsi="Times New Roman" w:cs="Times New Roman"/>
          <w:sz w:val="24"/>
          <w:szCs w:val="24"/>
        </w:rPr>
      </w:pPr>
    </w:p>
    <w:tbl>
      <w:tblPr>
        <w:tblStyle w:val="TableGrid11"/>
        <w:tblpPr w:leftFromText="180" w:rightFromText="180" w:vertAnchor="page" w:horzAnchor="margin" w:tblpY="2425"/>
        <w:tblW w:w="9072" w:type="dxa"/>
        <w:tblLook w:val="04A0" w:firstRow="1" w:lastRow="0" w:firstColumn="1" w:lastColumn="0" w:noHBand="0" w:noVBand="1"/>
      </w:tblPr>
      <w:tblGrid>
        <w:gridCol w:w="2268"/>
        <w:gridCol w:w="993"/>
        <w:gridCol w:w="992"/>
        <w:gridCol w:w="992"/>
        <w:gridCol w:w="992"/>
        <w:gridCol w:w="851"/>
        <w:gridCol w:w="850"/>
        <w:gridCol w:w="1134"/>
      </w:tblGrid>
      <w:tr w:rsidR="00837DA7" w:rsidRPr="00233EC8" w14:paraId="6CBEA758" w14:textId="77777777" w:rsidTr="00353A9A">
        <w:trPr>
          <w:trHeight w:val="230"/>
        </w:trPr>
        <w:tc>
          <w:tcPr>
            <w:tcW w:w="9072" w:type="dxa"/>
            <w:gridSpan w:val="8"/>
            <w:tcBorders>
              <w:top w:val="nil"/>
              <w:left w:val="nil"/>
              <w:bottom w:val="single" w:sz="12" w:space="0" w:color="auto"/>
              <w:right w:val="nil"/>
            </w:tcBorders>
          </w:tcPr>
          <w:p w14:paraId="0DDCDAB2" w14:textId="77777777" w:rsidR="00837DA7" w:rsidRPr="00233EC8" w:rsidRDefault="00837DA7" w:rsidP="00353A9A">
            <w:pPr>
              <w:rPr>
                <w:rFonts w:asciiTheme="majorBidi" w:hAnsiTheme="majorBidi" w:cstheme="majorBidi"/>
                <w:sz w:val="20"/>
                <w:szCs w:val="20"/>
              </w:rPr>
            </w:pPr>
            <w:r w:rsidRPr="00EC325C">
              <w:rPr>
                <w:rFonts w:asciiTheme="majorBidi" w:hAnsiTheme="majorBidi" w:cstheme="majorBidi"/>
                <w:b/>
                <w:sz w:val="20"/>
                <w:szCs w:val="20"/>
              </w:rPr>
              <w:t xml:space="preserve">Online Appendix </w:t>
            </w:r>
            <w:r>
              <w:rPr>
                <w:rFonts w:asciiTheme="majorBidi" w:hAnsiTheme="majorBidi" w:cstheme="majorBidi"/>
                <w:b/>
                <w:sz w:val="20"/>
                <w:szCs w:val="20"/>
              </w:rPr>
              <w:t>2</w:t>
            </w:r>
            <w:r w:rsidRPr="00EC325C">
              <w:rPr>
                <w:rFonts w:asciiTheme="majorBidi" w:hAnsiTheme="majorBidi" w:cstheme="majorBidi"/>
                <w:b/>
                <w:sz w:val="20"/>
                <w:szCs w:val="20"/>
              </w:rPr>
              <w:t xml:space="preserve">. </w:t>
            </w:r>
            <w:r w:rsidRPr="00EC325C">
              <w:rPr>
                <w:rFonts w:asciiTheme="majorBidi" w:hAnsiTheme="majorBidi" w:cstheme="majorBidi"/>
                <w:bCs/>
                <w:sz w:val="20"/>
                <w:szCs w:val="20"/>
              </w:rPr>
              <w:t xml:space="preserve">Descriptive analyses of </w:t>
            </w:r>
            <w:r>
              <w:rPr>
                <w:rFonts w:asciiTheme="majorBidi" w:hAnsiTheme="majorBidi" w:cstheme="majorBidi"/>
                <w:bCs/>
                <w:sz w:val="20"/>
                <w:szCs w:val="20"/>
              </w:rPr>
              <w:t>HEIs</w:t>
            </w:r>
            <w:r w:rsidRPr="00EC325C">
              <w:rPr>
                <w:rFonts w:asciiTheme="majorBidi" w:hAnsiTheme="majorBidi" w:cstheme="majorBidi"/>
                <w:bCs/>
                <w:sz w:val="20"/>
                <w:szCs w:val="20"/>
              </w:rPr>
              <w:t xml:space="preserve"> </w:t>
            </w:r>
            <w:r>
              <w:rPr>
                <w:rFonts w:asciiTheme="majorBidi" w:hAnsiTheme="majorBidi" w:cstheme="majorBidi"/>
                <w:bCs/>
                <w:sz w:val="20"/>
                <w:szCs w:val="20"/>
              </w:rPr>
              <w:t xml:space="preserve">governance quality </w:t>
            </w:r>
            <w:r w:rsidRPr="00EC325C">
              <w:rPr>
                <w:rFonts w:asciiTheme="majorBidi" w:hAnsiTheme="majorBidi" w:cstheme="majorBidi"/>
                <w:bCs/>
                <w:sz w:val="20"/>
                <w:szCs w:val="20"/>
              </w:rPr>
              <w:t xml:space="preserve">index.                   </w:t>
            </w:r>
          </w:p>
        </w:tc>
      </w:tr>
      <w:tr w:rsidR="00837DA7" w:rsidRPr="00233EC8" w14:paraId="18399ABB" w14:textId="77777777" w:rsidTr="00353A9A">
        <w:trPr>
          <w:trHeight w:val="230"/>
        </w:trPr>
        <w:tc>
          <w:tcPr>
            <w:tcW w:w="2268" w:type="dxa"/>
            <w:vMerge w:val="restart"/>
            <w:tcBorders>
              <w:top w:val="single" w:sz="12" w:space="0" w:color="auto"/>
              <w:left w:val="nil"/>
              <w:bottom w:val="single" w:sz="4" w:space="0" w:color="auto"/>
              <w:right w:val="nil"/>
            </w:tcBorders>
          </w:tcPr>
          <w:p w14:paraId="6926BC26" w14:textId="77777777" w:rsidR="00837DA7" w:rsidRPr="00233EC8" w:rsidRDefault="00837DA7" w:rsidP="00353A9A">
            <w:pPr>
              <w:rPr>
                <w:rFonts w:asciiTheme="majorBidi" w:hAnsiTheme="majorBidi" w:cstheme="majorBidi"/>
                <w:sz w:val="20"/>
                <w:szCs w:val="20"/>
              </w:rPr>
            </w:pPr>
          </w:p>
        </w:tc>
        <w:tc>
          <w:tcPr>
            <w:tcW w:w="993" w:type="dxa"/>
            <w:vMerge w:val="restart"/>
            <w:tcBorders>
              <w:top w:val="single" w:sz="12" w:space="0" w:color="auto"/>
              <w:left w:val="nil"/>
              <w:bottom w:val="single" w:sz="4" w:space="0" w:color="auto"/>
              <w:right w:val="nil"/>
            </w:tcBorders>
          </w:tcPr>
          <w:p w14:paraId="0E0CEE47" w14:textId="77777777" w:rsidR="00837DA7" w:rsidRPr="00233EC8" w:rsidRDefault="00837DA7" w:rsidP="00353A9A">
            <w:pPr>
              <w:rPr>
                <w:rFonts w:asciiTheme="majorBidi" w:hAnsiTheme="majorBidi" w:cstheme="majorBidi"/>
                <w:sz w:val="20"/>
                <w:szCs w:val="20"/>
              </w:rPr>
            </w:pPr>
          </w:p>
          <w:p w14:paraId="211DBF8F"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 xml:space="preserve">All </w:t>
            </w:r>
          </w:p>
        </w:tc>
        <w:tc>
          <w:tcPr>
            <w:tcW w:w="992" w:type="dxa"/>
            <w:vMerge w:val="restart"/>
            <w:tcBorders>
              <w:top w:val="single" w:sz="12" w:space="0" w:color="auto"/>
              <w:left w:val="nil"/>
              <w:bottom w:val="single" w:sz="4" w:space="0" w:color="auto"/>
              <w:right w:val="nil"/>
            </w:tcBorders>
          </w:tcPr>
          <w:p w14:paraId="0D4A9969" w14:textId="77777777" w:rsidR="00837DA7" w:rsidRPr="00233EC8" w:rsidRDefault="00837DA7" w:rsidP="00353A9A">
            <w:pPr>
              <w:rPr>
                <w:rFonts w:asciiTheme="majorBidi" w:hAnsiTheme="majorBidi" w:cstheme="majorBidi"/>
                <w:sz w:val="20"/>
                <w:szCs w:val="20"/>
              </w:rPr>
            </w:pPr>
          </w:p>
          <w:p w14:paraId="01EBF710"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2009</w:t>
            </w:r>
          </w:p>
        </w:tc>
        <w:tc>
          <w:tcPr>
            <w:tcW w:w="992" w:type="dxa"/>
            <w:vMerge w:val="restart"/>
            <w:tcBorders>
              <w:top w:val="single" w:sz="12" w:space="0" w:color="auto"/>
              <w:left w:val="nil"/>
              <w:bottom w:val="single" w:sz="4" w:space="0" w:color="auto"/>
              <w:right w:val="nil"/>
            </w:tcBorders>
          </w:tcPr>
          <w:p w14:paraId="5471D0D7" w14:textId="77777777" w:rsidR="00837DA7" w:rsidRPr="00233EC8" w:rsidRDefault="00837DA7" w:rsidP="00353A9A">
            <w:pPr>
              <w:rPr>
                <w:rFonts w:asciiTheme="majorBidi" w:hAnsiTheme="majorBidi" w:cstheme="majorBidi"/>
                <w:sz w:val="20"/>
                <w:szCs w:val="20"/>
              </w:rPr>
            </w:pPr>
          </w:p>
          <w:p w14:paraId="2D65B282"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2010</w:t>
            </w:r>
          </w:p>
        </w:tc>
        <w:tc>
          <w:tcPr>
            <w:tcW w:w="992" w:type="dxa"/>
            <w:vMerge w:val="restart"/>
            <w:tcBorders>
              <w:top w:val="single" w:sz="12" w:space="0" w:color="auto"/>
              <w:left w:val="nil"/>
              <w:bottom w:val="single" w:sz="4" w:space="0" w:color="auto"/>
              <w:right w:val="nil"/>
            </w:tcBorders>
          </w:tcPr>
          <w:p w14:paraId="317DED02" w14:textId="77777777" w:rsidR="00837DA7" w:rsidRPr="00233EC8" w:rsidRDefault="00837DA7" w:rsidP="00353A9A">
            <w:pPr>
              <w:rPr>
                <w:rFonts w:asciiTheme="majorBidi" w:hAnsiTheme="majorBidi" w:cstheme="majorBidi"/>
                <w:sz w:val="20"/>
                <w:szCs w:val="20"/>
              </w:rPr>
            </w:pPr>
          </w:p>
          <w:p w14:paraId="46FA4004"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2011</w:t>
            </w:r>
          </w:p>
        </w:tc>
        <w:tc>
          <w:tcPr>
            <w:tcW w:w="851" w:type="dxa"/>
            <w:vMerge w:val="restart"/>
            <w:tcBorders>
              <w:top w:val="single" w:sz="12" w:space="0" w:color="auto"/>
              <w:left w:val="nil"/>
              <w:bottom w:val="single" w:sz="4" w:space="0" w:color="auto"/>
              <w:right w:val="nil"/>
            </w:tcBorders>
          </w:tcPr>
          <w:p w14:paraId="0976AE93" w14:textId="77777777" w:rsidR="00837DA7" w:rsidRPr="00233EC8" w:rsidRDefault="00837DA7" w:rsidP="00353A9A">
            <w:pPr>
              <w:rPr>
                <w:rFonts w:asciiTheme="majorBidi" w:hAnsiTheme="majorBidi" w:cstheme="majorBidi"/>
                <w:sz w:val="20"/>
                <w:szCs w:val="20"/>
              </w:rPr>
            </w:pPr>
          </w:p>
          <w:p w14:paraId="2913FE1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2012</w:t>
            </w:r>
          </w:p>
        </w:tc>
        <w:tc>
          <w:tcPr>
            <w:tcW w:w="850" w:type="dxa"/>
            <w:vMerge w:val="restart"/>
            <w:tcBorders>
              <w:top w:val="single" w:sz="12" w:space="0" w:color="auto"/>
              <w:left w:val="nil"/>
              <w:bottom w:val="single" w:sz="4" w:space="0" w:color="auto"/>
              <w:right w:val="nil"/>
            </w:tcBorders>
          </w:tcPr>
          <w:p w14:paraId="7F06A2A5" w14:textId="77777777" w:rsidR="00837DA7" w:rsidRPr="00233EC8" w:rsidRDefault="00837DA7" w:rsidP="00353A9A">
            <w:pPr>
              <w:rPr>
                <w:rFonts w:asciiTheme="majorBidi" w:hAnsiTheme="majorBidi" w:cstheme="majorBidi"/>
                <w:sz w:val="20"/>
                <w:szCs w:val="20"/>
              </w:rPr>
            </w:pPr>
          </w:p>
          <w:p w14:paraId="3C9A974B"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2013</w:t>
            </w:r>
          </w:p>
        </w:tc>
        <w:tc>
          <w:tcPr>
            <w:tcW w:w="1134" w:type="dxa"/>
            <w:vMerge w:val="restart"/>
            <w:tcBorders>
              <w:top w:val="single" w:sz="12" w:space="0" w:color="auto"/>
              <w:left w:val="nil"/>
              <w:bottom w:val="single" w:sz="4" w:space="0" w:color="auto"/>
              <w:right w:val="nil"/>
            </w:tcBorders>
          </w:tcPr>
          <w:p w14:paraId="11AADBC2" w14:textId="77777777" w:rsidR="00837DA7" w:rsidRPr="00233EC8" w:rsidRDefault="00837DA7" w:rsidP="00353A9A">
            <w:pPr>
              <w:rPr>
                <w:rFonts w:asciiTheme="majorBidi" w:hAnsiTheme="majorBidi" w:cstheme="majorBidi"/>
                <w:sz w:val="20"/>
                <w:szCs w:val="20"/>
              </w:rPr>
            </w:pPr>
          </w:p>
          <w:p w14:paraId="62BD6E34"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2014</w:t>
            </w:r>
          </w:p>
        </w:tc>
      </w:tr>
      <w:tr w:rsidR="00837DA7" w:rsidRPr="00233EC8" w14:paraId="4EE1ED1F" w14:textId="77777777" w:rsidTr="00353A9A">
        <w:trPr>
          <w:trHeight w:val="230"/>
        </w:trPr>
        <w:tc>
          <w:tcPr>
            <w:tcW w:w="2268" w:type="dxa"/>
            <w:vMerge/>
            <w:tcBorders>
              <w:top w:val="nil"/>
              <w:left w:val="nil"/>
              <w:bottom w:val="single" w:sz="4" w:space="0" w:color="auto"/>
              <w:right w:val="nil"/>
            </w:tcBorders>
          </w:tcPr>
          <w:p w14:paraId="74F1C99A" w14:textId="77777777" w:rsidR="00837DA7" w:rsidRPr="00233EC8" w:rsidRDefault="00837DA7" w:rsidP="00353A9A">
            <w:pPr>
              <w:rPr>
                <w:rFonts w:asciiTheme="majorBidi" w:hAnsiTheme="majorBidi" w:cstheme="majorBidi"/>
                <w:sz w:val="20"/>
                <w:szCs w:val="20"/>
              </w:rPr>
            </w:pPr>
          </w:p>
        </w:tc>
        <w:tc>
          <w:tcPr>
            <w:tcW w:w="993" w:type="dxa"/>
            <w:vMerge/>
            <w:tcBorders>
              <w:top w:val="nil"/>
              <w:left w:val="nil"/>
              <w:bottom w:val="single" w:sz="4" w:space="0" w:color="auto"/>
              <w:right w:val="nil"/>
            </w:tcBorders>
          </w:tcPr>
          <w:p w14:paraId="7AD018B2" w14:textId="77777777" w:rsidR="00837DA7" w:rsidRPr="00233EC8" w:rsidRDefault="00837DA7" w:rsidP="00353A9A">
            <w:pPr>
              <w:rPr>
                <w:rFonts w:asciiTheme="majorBidi" w:hAnsiTheme="majorBidi" w:cstheme="majorBidi"/>
                <w:sz w:val="20"/>
                <w:szCs w:val="20"/>
              </w:rPr>
            </w:pPr>
          </w:p>
        </w:tc>
        <w:tc>
          <w:tcPr>
            <w:tcW w:w="992" w:type="dxa"/>
            <w:vMerge/>
            <w:tcBorders>
              <w:top w:val="nil"/>
              <w:left w:val="nil"/>
              <w:bottom w:val="single" w:sz="4" w:space="0" w:color="auto"/>
              <w:right w:val="nil"/>
            </w:tcBorders>
          </w:tcPr>
          <w:p w14:paraId="1C505954" w14:textId="77777777" w:rsidR="00837DA7" w:rsidRPr="00233EC8" w:rsidRDefault="00837DA7" w:rsidP="00353A9A">
            <w:pPr>
              <w:rPr>
                <w:rFonts w:asciiTheme="majorBidi" w:hAnsiTheme="majorBidi" w:cstheme="majorBidi"/>
                <w:sz w:val="20"/>
                <w:szCs w:val="20"/>
              </w:rPr>
            </w:pPr>
          </w:p>
        </w:tc>
        <w:tc>
          <w:tcPr>
            <w:tcW w:w="992" w:type="dxa"/>
            <w:vMerge/>
            <w:tcBorders>
              <w:top w:val="nil"/>
              <w:left w:val="nil"/>
              <w:bottom w:val="single" w:sz="4" w:space="0" w:color="auto"/>
              <w:right w:val="nil"/>
            </w:tcBorders>
          </w:tcPr>
          <w:p w14:paraId="517FBE50" w14:textId="77777777" w:rsidR="00837DA7" w:rsidRPr="00233EC8" w:rsidRDefault="00837DA7" w:rsidP="00353A9A">
            <w:pPr>
              <w:rPr>
                <w:rFonts w:asciiTheme="majorBidi" w:hAnsiTheme="majorBidi" w:cstheme="majorBidi"/>
                <w:sz w:val="20"/>
                <w:szCs w:val="20"/>
              </w:rPr>
            </w:pPr>
          </w:p>
        </w:tc>
        <w:tc>
          <w:tcPr>
            <w:tcW w:w="992" w:type="dxa"/>
            <w:vMerge/>
            <w:tcBorders>
              <w:top w:val="nil"/>
              <w:left w:val="nil"/>
              <w:bottom w:val="single" w:sz="4" w:space="0" w:color="auto"/>
              <w:right w:val="nil"/>
            </w:tcBorders>
          </w:tcPr>
          <w:p w14:paraId="2CB4D1E3" w14:textId="77777777" w:rsidR="00837DA7" w:rsidRPr="00233EC8" w:rsidRDefault="00837DA7" w:rsidP="00353A9A">
            <w:pPr>
              <w:rPr>
                <w:rFonts w:asciiTheme="majorBidi" w:hAnsiTheme="majorBidi" w:cstheme="majorBidi"/>
                <w:sz w:val="20"/>
                <w:szCs w:val="20"/>
              </w:rPr>
            </w:pPr>
          </w:p>
        </w:tc>
        <w:tc>
          <w:tcPr>
            <w:tcW w:w="851" w:type="dxa"/>
            <w:vMerge/>
            <w:tcBorders>
              <w:top w:val="nil"/>
              <w:left w:val="nil"/>
              <w:bottom w:val="single" w:sz="4" w:space="0" w:color="auto"/>
              <w:right w:val="nil"/>
            </w:tcBorders>
          </w:tcPr>
          <w:p w14:paraId="2FE4CE9A" w14:textId="77777777" w:rsidR="00837DA7" w:rsidRPr="00233EC8" w:rsidRDefault="00837DA7" w:rsidP="00353A9A">
            <w:pPr>
              <w:rPr>
                <w:rFonts w:asciiTheme="majorBidi" w:hAnsiTheme="majorBidi" w:cstheme="majorBidi"/>
                <w:sz w:val="20"/>
                <w:szCs w:val="20"/>
              </w:rPr>
            </w:pPr>
          </w:p>
        </w:tc>
        <w:tc>
          <w:tcPr>
            <w:tcW w:w="850" w:type="dxa"/>
            <w:vMerge/>
            <w:tcBorders>
              <w:top w:val="nil"/>
              <w:left w:val="nil"/>
              <w:bottom w:val="single" w:sz="4" w:space="0" w:color="auto"/>
              <w:right w:val="nil"/>
            </w:tcBorders>
          </w:tcPr>
          <w:p w14:paraId="77D6BB50" w14:textId="77777777" w:rsidR="00837DA7" w:rsidRPr="00233EC8" w:rsidRDefault="00837DA7" w:rsidP="00353A9A">
            <w:pPr>
              <w:rPr>
                <w:rFonts w:asciiTheme="majorBidi" w:hAnsiTheme="majorBidi" w:cstheme="majorBidi"/>
                <w:sz w:val="20"/>
                <w:szCs w:val="20"/>
              </w:rPr>
            </w:pPr>
          </w:p>
        </w:tc>
        <w:tc>
          <w:tcPr>
            <w:tcW w:w="1134" w:type="dxa"/>
            <w:vMerge/>
            <w:tcBorders>
              <w:top w:val="nil"/>
              <w:left w:val="nil"/>
              <w:bottom w:val="single" w:sz="4" w:space="0" w:color="auto"/>
              <w:right w:val="nil"/>
            </w:tcBorders>
          </w:tcPr>
          <w:p w14:paraId="03DCF64F" w14:textId="77777777" w:rsidR="00837DA7" w:rsidRPr="00233EC8" w:rsidRDefault="00837DA7" w:rsidP="00353A9A">
            <w:pPr>
              <w:rPr>
                <w:rFonts w:asciiTheme="majorBidi" w:hAnsiTheme="majorBidi" w:cstheme="majorBidi"/>
                <w:sz w:val="20"/>
                <w:szCs w:val="20"/>
              </w:rPr>
            </w:pPr>
          </w:p>
        </w:tc>
      </w:tr>
      <w:tr w:rsidR="00837DA7" w:rsidRPr="00233EC8" w14:paraId="16575DFE" w14:textId="77777777" w:rsidTr="00353A9A">
        <w:tc>
          <w:tcPr>
            <w:tcW w:w="9072" w:type="dxa"/>
            <w:gridSpan w:val="8"/>
            <w:tcBorders>
              <w:top w:val="single" w:sz="4" w:space="0" w:color="auto"/>
              <w:left w:val="nil"/>
              <w:bottom w:val="nil"/>
              <w:right w:val="nil"/>
            </w:tcBorders>
          </w:tcPr>
          <w:p w14:paraId="4C528F7C" w14:textId="77777777" w:rsidR="00837DA7" w:rsidRPr="009F2816" w:rsidRDefault="00837DA7" w:rsidP="00353A9A">
            <w:pPr>
              <w:rPr>
                <w:rFonts w:asciiTheme="majorBidi" w:hAnsiTheme="majorBidi"/>
                <w:sz w:val="20"/>
                <w:szCs w:val="20"/>
                <w:lang w:val="en-US"/>
              </w:rPr>
            </w:pPr>
            <w:r w:rsidRPr="00EC325C">
              <w:rPr>
                <w:rFonts w:asciiTheme="majorBidi" w:hAnsiTheme="majorBidi"/>
                <w:b/>
                <w:bCs/>
                <w:i/>
                <w:iCs/>
                <w:sz w:val="20"/>
                <w:szCs w:val="20"/>
              </w:rPr>
              <w:t>Panel 1:  Overall governance quality index (%)</w:t>
            </w:r>
          </w:p>
        </w:tc>
      </w:tr>
      <w:tr w:rsidR="00837DA7" w:rsidRPr="00233EC8" w14:paraId="5A435FCB" w14:textId="77777777" w:rsidTr="00353A9A">
        <w:tc>
          <w:tcPr>
            <w:tcW w:w="2268" w:type="dxa"/>
            <w:tcBorders>
              <w:top w:val="nil"/>
              <w:left w:val="nil"/>
              <w:bottom w:val="nil"/>
              <w:right w:val="nil"/>
            </w:tcBorders>
          </w:tcPr>
          <w:p w14:paraId="30BD99D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Mean</w:t>
            </w:r>
          </w:p>
        </w:tc>
        <w:tc>
          <w:tcPr>
            <w:tcW w:w="993" w:type="dxa"/>
            <w:tcBorders>
              <w:top w:val="nil"/>
              <w:left w:val="nil"/>
              <w:bottom w:val="nil"/>
              <w:right w:val="nil"/>
            </w:tcBorders>
          </w:tcPr>
          <w:p w14:paraId="74C47CC9"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40.02</w:t>
            </w:r>
          </w:p>
        </w:tc>
        <w:tc>
          <w:tcPr>
            <w:tcW w:w="992" w:type="dxa"/>
            <w:tcBorders>
              <w:top w:val="nil"/>
              <w:left w:val="nil"/>
              <w:bottom w:val="nil"/>
              <w:right w:val="nil"/>
            </w:tcBorders>
          </w:tcPr>
          <w:p w14:paraId="30F4327E"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37.37</w:t>
            </w:r>
          </w:p>
        </w:tc>
        <w:tc>
          <w:tcPr>
            <w:tcW w:w="992" w:type="dxa"/>
            <w:tcBorders>
              <w:top w:val="nil"/>
              <w:left w:val="nil"/>
              <w:bottom w:val="nil"/>
              <w:right w:val="nil"/>
            </w:tcBorders>
          </w:tcPr>
          <w:p w14:paraId="2341CED6"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38.96</w:t>
            </w:r>
          </w:p>
        </w:tc>
        <w:tc>
          <w:tcPr>
            <w:tcW w:w="992" w:type="dxa"/>
            <w:tcBorders>
              <w:top w:val="nil"/>
              <w:left w:val="nil"/>
              <w:bottom w:val="nil"/>
              <w:right w:val="nil"/>
            </w:tcBorders>
          </w:tcPr>
          <w:p w14:paraId="2EA8B106"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39.66</w:t>
            </w:r>
          </w:p>
        </w:tc>
        <w:tc>
          <w:tcPr>
            <w:tcW w:w="851" w:type="dxa"/>
            <w:tcBorders>
              <w:top w:val="nil"/>
              <w:left w:val="nil"/>
              <w:bottom w:val="nil"/>
              <w:right w:val="nil"/>
            </w:tcBorders>
          </w:tcPr>
          <w:p w14:paraId="189BFF62"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40.46</w:t>
            </w:r>
          </w:p>
        </w:tc>
        <w:tc>
          <w:tcPr>
            <w:tcW w:w="850" w:type="dxa"/>
            <w:tcBorders>
              <w:top w:val="nil"/>
              <w:left w:val="nil"/>
              <w:bottom w:val="nil"/>
              <w:right w:val="nil"/>
            </w:tcBorders>
          </w:tcPr>
          <w:p w14:paraId="33A12207"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41.14</w:t>
            </w:r>
          </w:p>
        </w:tc>
        <w:tc>
          <w:tcPr>
            <w:tcW w:w="1134" w:type="dxa"/>
            <w:tcBorders>
              <w:top w:val="nil"/>
              <w:left w:val="nil"/>
              <w:bottom w:val="nil"/>
              <w:right w:val="nil"/>
            </w:tcBorders>
          </w:tcPr>
          <w:p w14:paraId="47A32EB3"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42.51</w:t>
            </w:r>
          </w:p>
        </w:tc>
      </w:tr>
      <w:tr w:rsidR="00837DA7" w:rsidRPr="00233EC8" w14:paraId="5CDBFBC9" w14:textId="77777777" w:rsidTr="00353A9A">
        <w:tc>
          <w:tcPr>
            <w:tcW w:w="2268" w:type="dxa"/>
            <w:tcBorders>
              <w:top w:val="nil"/>
              <w:left w:val="nil"/>
              <w:bottom w:val="nil"/>
              <w:right w:val="nil"/>
            </w:tcBorders>
          </w:tcPr>
          <w:p w14:paraId="65BED59F"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 xml:space="preserve">Median </w:t>
            </w:r>
          </w:p>
        </w:tc>
        <w:tc>
          <w:tcPr>
            <w:tcW w:w="993" w:type="dxa"/>
            <w:tcBorders>
              <w:top w:val="nil"/>
              <w:left w:val="nil"/>
              <w:bottom w:val="nil"/>
              <w:right w:val="nil"/>
            </w:tcBorders>
          </w:tcPr>
          <w:p w14:paraId="65161DA9"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40.00</w:t>
            </w:r>
          </w:p>
        </w:tc>
        <w:tc>
          <w:tcPr>
            <w:tcW w:w="992" w:type="dxa"/>
            <w:tcBorders>
              <w:top w:val="nil"/>
              <w:left w:val="nil"/>
              <w:bottom w:val="nil"/>
              <w:right w:val="nil"/>
            </w:tcBorders>
          </w:tcPr>
          <w:p w14:paraId="1C7CC1A0"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36.00</w:t>
            </w:r>
          </w:p>
        </w:tc>
        <w:tc>
          <w:tcPr>
            <w:tcW w:w="992" w:type="dxa"/>
            <w:tcBorders>
              <w:top w:val="nil"/>
              <w:left w:val="nil"/>
              <w:bottom w:val="nil"/>
              <w:right w:val="nil"/>
            </w:tcBorders>
          </w:tcPr>
          <w:p w14:paraId="791CD9CF"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39.00</w:t>
            </w:r>
          </w:p>
        </w:tc>
        <w:tc>
          <w:tcPr>
            <w:tcW w:w="992" w:type="dxa"/>
            <w:tcBorders>
              <w:top w:val="nil"/>
              <w:left w:val="nil"/>
              <w:bottom w:val="nil"/>
              <w:right w:val="nil"/>
            </w:tcBorders>
          </w:tcPr>
          <w:p w14:paraId="62DCCD5D"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39.00</w:t>
            </w:r>
          </w:p>
        </w:tc>
        <w:tc>
          <w:tcPr>
            <w:tcW w:w="851" w:type="dxa"/>
            <w:tcBorders>
              <w:top w:val="nil"/>
              <w:left w:val="nil"/>
              <w:bottom w:val="nil"/>
              <w:right w:val="nil"/>
            </w:tcBorders>
          </w:tcPr>
          <w:p w14:paraId="4BBF49AB"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40.00</w:t>
            </w:r>
          </w:p>
        </w:tc>
        <w:tc>
          <w:tcPr>
            <w:tcW w:w="850" w:type="dxa"/>
            <w:tcBorders>
              <w:top w:val="nil"/>
              <w:left w:val="nil"/>
              <w:bottom w:val="nil"/>
              <w:right w:val="nil"/>
            </w:tcBorders>
          </w:tcPr>
          <w:p w14:paraId="0479F9A5"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41.00</w:t>
            </w:r>
          </w:p>
        </w:tc>
        <w:tc>
          <w:tcPr>
            <w:tcW w:w="1134" w:type="dxa"/>
            <w:tcBorders>
              <w:top w:val="nil"/>
              <w:left w:val="nil"/>
              <w:bottom w:val="nil"/>
              <w:right w:val="nil"/>
            </w:tcBorders>
          </w:tcPr>
          <w:p w14:paraId="566ADE38"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42.00</w:t>
            </w:r>
          </w:p>
        </w:tc>
      </w:tr>
      <w:tr w:rsidR="00837DA7" w:rsidRPr="00233EC8" w14:paraId="535EEE2D" w14:textId="77777777" w:rsidTr="00353A9A">
        <w:tc>
          <w:tcPr>
            <w:tcW w:w="2268" w:type="dxa"/>
            <w:tcBorders>
              <w:top w:val="nil"/>
              <w:left w:val="nil"/>
              <w:bottom w:val="nil"/>
              <w:right w:val="nil"/>
            </w:tcBorders>
          </w:tcPr>
          <w:p w14:paraId="7E57280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STD</w:t>
            </w:r>
          </w:p>
        </w:tc>
        <w:tc>
          <w:tcPr>
            <w:tcW w:w="993" w:type="dxa"/>
            <w:tcBorders>
              <w:top w:val="nil"/>
              <w:left w:val="nil"/>
              <w:bottom w:val="nil"/>
              <w:right w:val="nil"/>
            </w:tcBorders>
          </w:tcPr>
          <w:p w14:paraId="70A6B455"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 xml:space="preserve">  9.20</w:t>
            </w:r>
          </w:p>
        </w:tc>
        <w:tc>
          <w:tcPr>
            <w:tcW w:w="992" w:type="dxa"/>
            <w:tcBorders>
              <w:top w:val="nil"/>
              <w:left w:val="nil"/>
              <w:bottom w:val="nil"/>
              <w:right w:val="nil"/>
            </w:tcBorders>
          </w:tcPr>
          <w:p w14:paraId="46611864"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 xml:space="preserve">  8.91</w:t>
            </w:r>
          </w:p>
        </w:tc>
        <w:tc>
          <w:tcPr>
            <w:tcW w:w="992" w:type="dxa"/>
            <w:tcBorders>
              <w:top w:val="nil"/>
              <w:left w:val="nil"/>
              <w:bottom w:val="nil"/>
              <w:right w:val="nil"/>
            </w:tcBorders>
          </w:tcPr>
          <w:p w14:paraId="15F18361"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 xml:space="preserve">  9.12</w:t>
            </w:r>
          </w:p>
        </w:tc>
        <w:tc>
          <w:tcPr>
            <w:tcW w:w="992" w:type="dxa"/>
            <w:tcBorders>
              <w:top w:val="nil"/>
              <w:left w:val="nil"/>
              <w:bottom w:val="nil"/>
              <w:right w:val="nil"/>
            </w:tcBorders>
          </w:tcPr>
          <w:p w14:paraId="6D49EBEA"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 xml:space="preserve">  9.12</w:t>
            </w:r>
          </w:p>
        </w:tc>
        <w:tc>
          <w:tcPr>
            <w:tcW w:w="851" w:type="dxa"/>
            <w:tcBorders>
              <w:top w:val="nil"/>
              <w:left w:val="nil"/>
              <w:bottom w:val="nil"/>
              <w:right w:val="nil"/>
            </w:tcBorders>
          </w:tcPr>
          <w:p w14:paraId="47EC5B61"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 xml:space="preserve">  8.78</w:t>
            </w:r>
          </w:p>
        </w:tc>
        <w:tc>
          <w:tcPr>
            <w:tcW w:w="850" w:type="dxa"/>
            <w:tcBorders>
              <w:top w:val="nil"/>
              <w:left w:val="nil"/>
              <w:bottom w:val="nil"/>
              <w:right w:val="nil"/>
            </w:tcBorders>
          </w:tcPr>
          <w:p w14:paraId="517A7D51"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 xml:space="preserve">  9.22</w:t>
            </w:r>
          </w:p>
        </w:tc>
        <w:tc>
          <w:tcPr>
            <w:tcW w:w="1134" w:type="dxa"/>
            <w:tcBorders>
              <w:top w:val="nil"/>
              <w:left w:val="nil"/>
              <w:bottom w:val="nil"/>
              <w:right w:val="nil"/>
            </w:tcBorders>
          </w:tcPr>
          <w:p w14:paraId="63266789"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 xml:space="preserve">  9.34</w:t>
            </w:r>
          </w:p>
        </w:tc>
      </w:tr>
      <w:tr w:rsidR="00837DA7" w:rsidRPr="00233EC8" w14:paraId="1B001EC9" w14:textId="77777777" w:rsidTr="00353A9A">
        <w:tc>
          <w:tcPr>
            <w:tcW w:w="2268" w:type="dxa"/>
            <w:tcBorders>
              <w:top w:val="nil"/>
              <w:left w:val="nil"/>
              <w:bottom w:val="nil"/>
              <w:right w:val="nil"/>
            </w:tcBorders>
          </w:tcPr>
          <w:p w14:paraId="7BE41467"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Minimum</w:t>
            </w:r>
          </w:p>
        </w:tc>
        <w:tc>
          <w:tcPr>
            <w:tcW w:w="993" w:type="dxa"/>
            <w:tcBorders>
              <w:top w:val="nil"/>
              <w:left w:val="nil"/>
              <w:bottom w:val="nil"/>
              <w:right w:val="nil"/>
            </w:tcBorders>
          </w:tcPr>
          <w:p w14:paraId="77EFAE5F"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 xml:space="preserve">  8.00</w:t>
            </w:r>
          </w:p>
        </w:tc>
        <w:tc>
          <w:tcPr>
            <w:tcW w:w="992" w:type="dxa"/>
            <w:tcBorders>
              <w:top w:val="nil"/>
              <w:left w:val="nil"/>
              <w:bottom w:val="nil"/>
              <w:right w:val="nil"/>
            </w:tcBorders>
          </w:tcPr>
          <w:p w14:paraId="41017590"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10.00</w:t>
            </w:r>
          </w:p>
        </w:tc>
        <w:tc>
          <w:tcPr>
            <w:tcW w:w="992" w:type="dxa"/>
            <w:tcBorders>
              <w:top w:val="nil"/>
              <w:left w:val="nil"/>
              <w:bottom w:val="nil"/>
              <w:right w:val="nil"/>
            </w:tcBorders>
          </w:tcPr>
          <w:p w14:paraId="7007E34F"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 xml:space="preserve">  8.00</w:t>
            </w:r>
          </w:p>
        </w:tc>
        <w:tc>
          <w:tcPr>
            <w:tcW w:w="992" w:type="dxa"/>
            <w:tcBorders>
              <w:top w:val="nil"/>
              <w:left w:val="nil"/>
              <w:bottom w:val="nil"/>
              <w:right w:val="nil"/>
            </w:tcBorders>
          </w:tcPr>
          <w:p w14:paraId="79A85145"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 xml:space="preserve">  8.00</w:t>
            </w:r>
          </w:p>
        </w:tc>
        <w:tc>
          <w:tcPr>
            <w:tcW w:w="851" w:type="dxa"/>
            <w:tcBorders>
              <w:top w:val="nil"/>
              <w:left w:val="nil"/>
              <w:bottom w:val="nil"/>
              <w:right w:val="nil"/>
            </w:tcBorders>
          </w:tcPr>
          <w:p w14:paraId="4942C2C5"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10.00</w:t>
            </w:r>
          </w:p>
        </w:tc>
        <w:tc>
          <w:tcPr>
            <w:tcW w:w="850" w:type="dxa"/>
            <w:tcBorders>
              <w:top w:val="nil"/>
              <w:left w:val="nil"/>
              <w:bottom w:val="nil"/>
              <w:right w:val="nil"/>
            </w:tcBorders>
          </w:tcPr>
          <w:p w14:paraId="2136DF67"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10.00</w:t>
            </w:r>
          </w:p>
        </w:tc>
        <w:tc>
          <w:tcPr>
            <w:tcW w:w="1134" w:type="dxa"/>
            <w:tcBorders>
              <w:top w:val="nil"/>
              <w:left w:val="nil"/>
              <w:bottom w:val="nil"/>
              <w:right w:val="nil"/>
            </w:tcBorders>
          </w:tcPr>
          <w:p w14:paraId="5125321B"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10.00</w:t>
            </w:r>
          </w:p>
        </w:tc>
      </w:tr>
      <w:tr w:rsidR="00837DA7" w:rsidRPr="00233EC8" w14:paraId="7E78E745" w14:textId="77777777" w:rsidTr="00353A9A">
        <w:tc>
          <w:tcPr>
            <w:tcW w:w="2268" w:type="dxa"/>
            <w:tcBorders>
              <w:top w:val="nil"/>
              <w:left w:val="nil"/>
              <w:bottom w:val="nil"/>
              <w:right w:val="nil"/>
            </w:tcBorders>
          </w:tcPr>
          <w:p w14:paraId="6EA9CADA"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Maximum</w:t>
            </w:r>
          </w:p>
        </w:tc>
        <w:tc>
          <w:tcPr>
            <w:tcW w:w="993" w:type="dxa"/>
            <w:tcBorders>
              <w:top w:val="nil"/>
              <w:left w:val="nil"/>
              <w:bottom w:val="nil"/>
              <w:right w:val="nil"/>
            </w:tcBorders>
          </w:tcPr>
          <w:p w14:paraId="02D7F221"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75.00</w:t>
            </w:r>
          </w:p>
        </w:tc>
        <w:tc>
          <w:tcPr>
            <w:tcW w:w="992" w:type="dxa"/>
            <w:tcBorders>
              <w:top w:val="nil"/>
              <w:left w:val="nil"/>
              <w:bottom w:val="nil"/>
              <w:right w:val="nil"/>
            </w:tcBorders>
          </w:tcPr>
          <w:p w14:paraId="317082E1"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56.00</w:t>
            </w:r>
          </w:p>
        </w:tc>
        <w:tc>
          <w:tcPr>
            <w:tcW w:w="992" w:type="dxa"/>
            <w:tcBorders>
              <w:top w:val="nil"/>
              <w:left w:val="nil"/>
              <w:bottom w:val="nil"/>
              <w:right w:val="nil"/>
            </w:tcBorders>
          </w:tcPr>
          <w:p w14:paraId="4459AFA2"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58.00</w:t>
            </w:r>
          </w:p>
        </w:tc>
        <w:tc>
          <w:tcPr>
            <w:tcW w:w="992" w:type="dxa"/>
            <w:tcBorders>
              <w:top w:val="nil"/>
              <w:left w:val="nil"/>
              <w:bottom w:val="nil"/>
              <w:right w:val="nil"/>
            </w:tcBorders>
          </w:tcPr>
          <w:p w14:paraId="3FB3A5AE"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60.00</w:t>
            </w:r>
          </w:p>
        </w:tc>
        <w:tc>
          <w:tcPr>
            <w:tcW w:w="851" w:type="dxa"/>
            <w:tcBorders>
              <w:top w:val="nil"/>
              <w:left w:val="nil"/>
              <w:bottom w:val="nil"/>
              <w:right w:val="nil"/>
            </w:tcBorders>
          </w:tcPr>
          <w:p w14:paraId="69E7D728"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60.00</w:t>
            </w:r>
          </w:p>
        </w:tc>
        <w:tc>
          <w:tcPr>
            <w:tcW w:w="850" w:type="dxa"/>
            <w:tcBorders>
              <w:top w:val="nil"/>
              <w:left w:val="nil"/>
              <w:bottom w:val="nil"/>
              <w:right w:val="nil"/>
            </w:tcBorders>
          </w:tcPr>
          <w:p w14:paraId="7E35F64A"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70.00</w:t>
            </w:r>
          </w:p>
        </w:tc>
        <w:tc>
          <w:tcPr>
            <w:tcW w:w="1134" w:type="dxa"/>
            <w:tcBorders>
              <w:top w:val="nil"/>
              <w:left w:val="nil"/>
              <w:bottom w:val="nil"/>
              <w:right w:val="nil"/>
            </w:tcBorders>
          </w:tcPr>
          <w:p w14:paraId="77367023"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75.00</w:t>
            </w:r>
          </w:p>
        </w:tc>
      </w:tr>
      <w:tr w:rsidR="00837DA7" w:rsidRPr="00233EC8" w14:paraId="5375517C" w14:textId="77777777" w:rsidTr="00353A9A">
        <w:tc>
          <w:tcPr>
            <w:tcW w:w="9072" w:type="dxa"/>
            <w:gridSpan w:val="8"/>
            <w:tcBorders>
              <w:top w:val="nil"/>
              <w:left w:val="nil"/>
              <w:bottom w:val="nil"/>
              <w:right w:val="nil"/>
            </w:tcBorders>
          </w:tcPr>
          <w:p w14:paraId="7F4D4C4E" w14:textId="77777777" w:rsidR="00837DA7" w:rsidRPr="009F2816" w:rsidRDefault="00837DA7" w:rsidP="00353A9A">
            <w:pPr>
              <w:rPr>
                <w:rFonts w:asciiTheme="majorBidi" w:hAnsiTheme="majorBidi"/>
                <w:sz w:val="20"/>
                <w:szCs w:val="20"/>
                <w:lang w:val="en-US"/>
              </w:rPr>
            </w:pPr>
            <w:r w:rsidRPr="00EC325C">
              <w:rPr>
                <w:rFonts w:asciiTheme="majorBidi" w:hAnsiTheme="majorBidi"/>
                <w:b/>
                <w:bCs/>
                <w:i/>
                <w:iCs/>
                <w:sz w:val="20"/>
                <w:szCs w:val="20"/>
              </w:rPr>
              <w:t xml:space="preserve">Panel 2: </w:t>
            </w:r>
            <w:r w:rsidRPr="00EC325C">
              <w:rPr>
                <w:rFonts w:asciiTheme="majorBidi" w:hAnsiTheme="majorBidi"/>
                <w:bCs/>
                <w:sz w:val="20"/>
                <w:szCs w:val="20"/>
              </w:rPr>
              <w:t xml:space="preserve"> </w:t>
            </w:r>
            <w:r w:rsidRPr="00EC325C">
              <w:rPr>
                <w:rFonts w:asciiTheme="majorBidi" w:hAnsiTheme="majorBidi"/>
                <w:b/>
                <w:bCs/>
                <w:i/>
                <w:iCs/>
                <w:sz w:val="20"/>
                <w:szCs w:val="20"/>
              </w:rPr>
              <w:t>Social, environmental responsibility and stakeholders’ engagement (%)</w:t>
            </w:r>
          </w:p>
        </w:tc>
      </w:tr>
      <w:tr w:rsidR="00837DA7" w:rsidRPr="00233EC8" w14:paraId="66DA403F" w14:textId="77777777" w:rsidTr="00353A9A">
        <w:tc>
          <w:tcPr>
            <w:tcW w:w="2268" w:type="dxa"/>
            <w:tcBorders>
              <w:top w:val="nil"/>
              <w:left w:val="nil"/>
              <w:bottom w:val="nil"/>
              <w:right w:val="nil"/>
            </w:tcBorders>
          </w:tcPr>
          <w:p w14:paraId="56C3D358"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Mean</w:t>
            </w:r>
          </w:p>
        </w:tc>
        <w:tc>
          <w:tcPr>
            <w:tcW w:w="993" w:type="dxa"/>
            <w:tcBorders>
              <w:top w:val="nil"/>
              <w:left w:val="nil"/>
              <w:bottom w:val="nil"/>
              <w:right w:val="nil"/>
            </w:tcBorders>
          </w:tcPr>
          <w:p w14:paraId="318FB3E2"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40.07</w:t>
            </w:r>
          </w:p>
        </w:tc>
        <w:tc>
          <w:tcPr>
            <w:tcW w:w="992" w:type="dxa"/>
            <w:tcBorders>
              <w:top w:val="nil"/>
              <w:left w:val="nil"/>
              <w:bottom w:val="nil"/>
              <w:right w:val="nil"/>
            </w:tcBorders>
          </w:tcPr>
          <w:p w14:paraId="70F4A191"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31.87</w:t>
            </w:r>
          </w:p>
        </w:tc>
        <w:tc>
          <w:tcPr>
            <w:tcW w:w="992" w:type="dxa"/>
            <w:tcBorders>
              <w:top w:val="nil"/>
              <w:left w:val="nil"/>
              <w:bottom w:val="nil"/>
              <w:right w:val="nil"/>
            </w:tcBorders>
          </w:tcPr>
          <w:p w14:paraId="73E727EA"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38.46</w:t>
            </w:r>
          </w:p>
        </w:tc>
        <w:tc>
          <w:tcPr>
            <w:tcW w:w="992" w:type="dxa"/>
            <w:tcBorders>
              <w:top w:val="nil"/>
              <w:left w:val="nil"/>
              <w:bottom w:val="nil"/>
              <w:right w:val="nil"/>
            </w:tcBorders>
          </w:tcPr>
          <w:p w14:paraId="05F3401C"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40.05</w:t>
            </w:r>
          </w:p>
        </w:tc>
        <w:tc>
          <w:tcPr>
            <w:tcW w:w="851" w:type="dxa"/>
            <w:tcBorders>
              <w:top w:val="nil"/>
              <w:left w:val="nil"/>
              <w:bottom w:val="nil"/>
              <w:right w:val="nil"/>
            </w:tcBorders>
          </w:tcPr>
          <w:p w14:paraId="5FEF2EA3"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41.39</w:t>
            </w:r>
          </w:p>
        </w:tc>
        <w:tc>
          <w:tcPr>
            <w:tcW w:w="850" w:type="dxa"/>
            <w:tcBorders>
              <w:top w:val="nil"/>
              <w:left w:val="nil"/>
              <w:bottom w:val="nil"/>
              <w:right w:val="nil"/>
            </w:tcBorders>
          </w:tcPr>
          <w:p w14:paraId="75DD1374"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42.74</w:t>
            </w:r>
          </w:p>
        </w:tc>
        <w:tc>
          <w:tcPr>
            <w:tcW w:w="1134" w:type="dxa"/>
            <w:tcBorders>
              <w:top w:val="nil"/>
              <w:left w:val="nil"/>
              <w:bottom w:val="nil"/>
              <w:right w:val="nil"/>
            </w:tcBorders>
          </w:tcPr>
          <w:p w14:paraId="3D404D17"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45.91</w:t>
            </w:r>
          </w:p>
        </w:tc>
      </w:tr>
      <w:tr w:rsidR="00837DA7" w:rsidRPr="00233EC8" w14:paraId="3009809B" w14:textId="77777777" w:rsidTr="00353A9A">
        <w:tc>
          <w:tcPr>
            <w:tcW w:w="2268" w:type="dxa"/>
            <w:tcBorders>
              <w:top w:val="nil"/>
              <w:left w:val="nil"/>
              <w:bottom w:val="nil"/>
              <w:right w:val="nil"/>
            </w:tcBorders>
          </w:tcPr>
          <w:p w14:paraId="5DDFA95F"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 xml:space="preserve">Median </w:t>
            </w:r>
          </w:p>
        </w:tc>
        <w:tc>
          <w:tcPr>
            <w:tcW w:w="993" w:type="dxa"/>
            <w:tcBorders>
              <w:top w:val="nil"/>
              <w:left w:val="nil"/>
              <w:bottom w:val="nil"/>
              <w:right w:val="nil"/>
            </w:tcBorders>
          </w:tcPr>
          <w:p w14:paraId="68717E59"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42.86</w:t>
            </w:r>
          </w:p>
        </w:tc>
        <w:tc>
          <w:tcPr>
            <w:tcW w:w="992" w:type="dxa"/>
            <w:tcBorders>
              <w:top w:val="nil"/>
              <w:left w:val="nil"/>
              <w:bottom w:val="nil"/>
              <w:right w:val="nil"/>
            </w:tcBorders>
          </w:tcPr>
          <w:p w14:paraId="6508F831"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28.57</w:t>
            </w:r>
          </w:p>
        </w:tc>
        <w:tc>
          <w:tcPr>
            <w:tcW w:w="992" w:type="dxa"/>
            <w:tcBorders>
              <w:top w:val="nil"/>
              <w:left w:val="nil"/>
              <w:bottom w:val="nil"/>
              <w:right w:val="nil"/>
            </w:tcBorders>
          </w:tcPr>
          <w:p w14:paraId="2426642B"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42.86</w:t>
            </w:r>
          </w:p>
        </w:tc>
        <w:tc>
          <w:tcPr>
            <w:tcW w:w="992" w:type="dxa"/>
            <w:tcBorders>
              <w:top w:val="nil"/>
              <w:left w:val="nil"/>
              <w:bottom w:val="nil"/>
              <w:right w:val="nil"/>
            </w:tcBorders>
          </w:tcPr>
          <w:p w14:paraId="6FDD7C77"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42.86</w:t>
            </w:r>
          </w:p>
        </w:tc>
        <w:tc>
          <w:tcPr>
            <w:tcW w:w="851" w:type="dxa"/>
            <w:tcBorders>
              <w:top w:val="nil"/>
              <w:left w:val="nil"/>
              <w:bottom w:val="nil"/>
              <w:right w:val="nil"/>
            </w:tcBorders>
          </w:tcPr>
          <w:p w14:paraId="1EFCDFF0"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42.86</w:t>
            </w:r>
          </w:p>
        </w:tc>
        <w:tc>
          <w:tcPr>
            <w:tcW w:w="850" w:type="dxa"/>
            <w:tcBorders>
              <w:top w:val="nil"/>
              <w:left w:val="nil"/>
              <w:bottom w:val="nil"/>
              <w:right w:val="nil"/>
            </w:tcBorders>
          </w:tcPr>
          <w:p w14:paraId="6627B3A8"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42.86</w:t>
            </w:r>
          </w:p>
        </w:tc>
        <w:tc>
          <w:tcPr>
            <w:tcW w:w="1134" w:type="dxa"/>
            <w:tcBorders>
              <w:top w:val="nil"/>
              <w:left w:val="nil"/>
              <w:bottom w:val="nil"/>
              <w:right w:val="nil"/>
            </w:tcBorders>
          </w:tcPr>
          <w:p w14:paraId="1C241A16"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42.86</w:t>
            </w:r>
          </w:p>
        </w:tc>
      </w:tr>
      <w:tr w:rsidR="00837DA7" w:rsidRPr="00233EC8" w14:paraId="36C61475" w14:textId="77777777" w:rsidTr="00353A9A">
        <w:tc>
          <w:tcPr>
            <w:tcW w:w="2268" w:type="dxa"/>
            <w:tcBorders>
              <w:top w:val="nil"/>
              <w:left w:val="nil"/>
              <w:bottom w:val="nil"/>
              <w:right w:val="nil"/>
            </w:tcBorders>
          </w:tcPr>
          <w:p w14:paraId="77978024"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STD</w:t>
            </w:r>
          </w:p>
        </w:tc>
        <w:tc>
          <w:tcPr>
            <w:tcW w:w="993" w:type="dxa"/>
            <w:tcBorders>
              <w:top w:val="nil"/>
              <w:left w:val="nil"/>
              <w:bottom w:val="nil"/>
              <w:right w:val="nil"/>
            </w:tcBorders>
          </w:tcPr>
          <w:p w14:paraId="0A1BCA03"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21.30</w:t>
            </w:r>
          </w:p>
        </w:tc>
        <w:tc>
          <w:tcPr>
            <w:tcW w:w="992" w:type="dxa"/>
            <w:tcBorders>
              <w:top w:val="nil"/>
              <w:left w:val="nil"/>
              <w:bottom w:val="nil"/>
              <w:right w:val="nil"/>
            </w:tcBorders>
          </w:tcPr>
          <w:p w14:paraId="67217BFA"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21.00</w:t>
            </w:r>
          </w:p>
        </w:tc>
        <w:tc>
          <w:tcPr>
            <w:tcW w:w="992" w:type="dxa"/>
            <w:tcBorders>
              <w:top w:val="nil"/>
              <w:left w:val="nil"/>
              <w:bottom w:val="nil"/>
              <w:right w:val="nil"/>
            </w:tcBorders>
          </w:tcPr>
          <w:p w14:paraId="0A9E0A14"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21.75</w:t>
            </w:r>
          </w:p>
        </w:tc>
        <w:tc>
          <w:tcPr>
            <w:tcW w:w="992" w:type="dxa"/>
            <w:tcBorders>
              <w:top w:val="nil"/>
              <w:left w:val="nil"/>
              <w:bottom w:val="nil"/>
              <w:right w:val="nil"/>
            </w:tcBorders>
          </w:tcPr>
          <w:p w14:paraId="6BF55616"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20.48</w:t>
            </w:r>
          </w:p>
        </w:tc>
        <w:tc>
          <w:tcPr>
            <w:tcW w:w="851" w:type="dxa"/>
            <w:tcBorders>
              <w:top w:val="nil"/>
              <w:left w:val="nil"/>
              <w:bottom w:val="nil"/>
              <w:right w:val="nil"/>
            </w:tcBorders>
          </w:tcPr>
          <w:p w14:paraId="3DF48C5E"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19.97</w:t>
            </w:r>
          </w:p>
        </w:tc>
        <w:tc>
          <w:tcPr>
            <w:tcW w:w="850" w:type="dxa"/>
            <w:tcBorders>
              <w:top w:val="nil"/>
              <w:left w:val="nil"/>
              <w:bottom w:val="nil"/>
              <w:right w:val="nil"/>
            </w:tcBorders>
          </w:tcPr>
          <w:p w14:paraId="69B9CE15"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20.76</w:t>
            </w:r>
          </w:p>
        </w:tc>
        <w:tc>
          <w:tcPr>
            <w:tcW w:w="1134" w:type="dxa"/>
            <w:tcBorders>
              <w:top w:val="nil"/>
              <w:left w:val="nil"/>
              <w:bottom w:val="nil"/>
              <w:right w:val="nil"/>
            </w:tcBorders>
          </w:tcPr>
          <w:p w14:paraId="1823F6F7"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21.54</w:t>
            </w:r>
          </w:p>
        </w:tc>
      </w:tr>
      <w:tr w:rsidR="00837DA7" w:rsidRPr="00233EC8" w14:paraId="66B9F052" w14:textId="77777777" w:rsidTr="00353A9A">
        <w:tc>
          <w:tcPr>
            <w:tcW w:w="2268" w:type="dxa"/>
            <w:tcBorders>
              <w:top w:val="nil"/>
              <w:left w:val="nil"/>
              <w:bottom w:val="nil"/>
              <w:right w:val="nil"/>
            </w:tcBorders>
          </w:tcPr>
          <w:p w14:paraId="680BA538"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Minimum</w:t>
            </w:r>
          </w:p>
        </w:tc>
        <w:tc>
          <w:tcPr>
            <w:tcW w:w="993" w:type="dxa"/>
            <w:tcBorders>
              <w:top w:val="nil"/>
              <w:left w:val="nil"/>
              <w:bottom w:val="nil"/>
              <w:right w:val="nil"/>
            </w:tcBorders>
          </w:tcPr>
          <w:p w14:paraId="21CE3195"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 xml:space="preserve">  0.00</w:t>
            </w:r>
          </w:p>
        </w:tc>
        <w:tc>
          <w:tcPr>
            <w:tcW w:w="992" w:type="dxa"/>
            <w:tcBorders>
              <w:top w:val="nil"/>
              <w:left w:val="nil"/>
              <w:bottom w:val="nil"/>
              <w:right w:val="nil"/>
            </w:tcBorders>
          </w:tcPr>
          <w:p w14:paraId="7E50EB9B"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 xml:space="preserve">  0.00</w:t>
            </w:r>
          </w:p>
        </w:tc>
        <w:tc>
          <w:tcPr>
            <w:tcW w:w="992" w:type="dxa"/>
            <w:tcBorders>
              <w:top w:val="nil"/>
              <w:left w:val="nil"/>
              <w:bottom w:val="nil"/>
              <w:right w:val="nil"/>
            </w:tcBorders>
          </w:tcPr>
          <w:p w14:paraId="016B8848"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 xml:space="preserve">  0.00</w:t>
            </w:r>
          </w:p>
        </w:tc>
        <w:tc>
          <w:tcPr>
            <w:tcW w:w="992" w:type="dxa"/>
            <w:tcBorders>
              <w:top w:val="nil"/>
              <w:left w:val="nil"/>
              <w:bottom w:val="nil"/>
              <w:right w:val="nil"/>
            </w:tcBorders>
          </w:tcPr>
          <w:p w14:paraId="1557E616"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 xml:space="preserve">  0.00</w:t>
            </w:r>
          </w:p>
        </w:tc>
        <w:tc>
          <w:tcPr>
            <w:tcW w:w="851" w:type="dxa"/>
            <w:tcBorders>
              <w:top w:val="nil"/>
              <w:left w:val="nil"/>
              <w:bottom w:val="nil"/>
              <w:right w:val="nil"/>
            </w:tcBorders>
          </w:tcPr>
          <w:p w14:paraId="682288BF"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 xml:space="preserve">  0.00</w:t>
            </w:r>
          </w:p>
        </w:tc>
        <w:tc>
          <w:tcPr>
            <w:tcW w:w="850" w:type="dxa"/>
            <w:tcBorders>
              <w:top w:val="nil"/>
              <w:left w:val="nil"/>
              <w:bottom w:val="nil"/>
              <w:right w:val="nil"/>
            </w:tcBorders>
          </w:tcPr>
          <w:p w14:paraId="0FE4F9EB"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 xml:space="preserve">  0.00</w:t>
            </w:r>
          </w:p>
        </w:tc>
        <w:tc>
          <w:tcPr>
            <w:tcW w:w="1134" w:type="dxa"/>
            <w:tcBorders>
              <w:top w:val="nil"/>
              <w:left w:val="nil"/>
              <w:bottom w:val="nil"/>
              <w:right w:val="nil"/>
            </w:tcBorders>
          </w:tcPr>
          <w:p w14:paraId="5E54652A"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 xml:space="preserve">  0.00</w:t>
            </w:r>
          </w:p>
        </w:tc>
      </w:tr>
      <w:tr w:rsidR="00837DA7" w:rsidRPr="00233EC8" w14:paraId="0B4F4548" w14:textId="77777777" w:rsidTr="00353A9A">
        <w:tc>
          <w:tcPr>
            <w:tcW w:w="2268" w:type="dxa"/>
            <w:tcBorders>
              <w:top w:val="nil"/>
              <w:left w:val="nil"/>
              <w:bottom w:val="nil"/>
              <w:right w:val="nil"/>
            </w:tcBorders>
          </w:tcPr>
          <w:p w14:paraId="0645617E"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Maximum</w:t>
            </w:r>
          </w:p>
        </w:tc>
        <w:tc>
          <w:tcPr>
            <w:tcW w:w="993" w:type="dxa"/>
            <w:tcBorders>
              <w:top w:val="nil"/>
              <w:left w:val="nil"/>
              <w:bottom w:val="nil"/>
              <w:right w:val="nil"/>
            </w:tcBorders>
          </w:tcPr>
          <w:p w14:paraId="2EB9E13C"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100.00</w:t>
            </w:r>
          </w:p>
        </w:tc>
        <w:tc>
          <w:tcPr>
            <w:tcW w:w="992" w:type="dxa"/>
            <w:tcBorders>
              <w:top w:val="nil"/>
              <w:left w:val="nil"/>
              <w:bottom w:val="nil"/>
              <w:right w:val="nil"/>
            </w:tcBorders>
          </w:tcPr>
          <w:p w14:paraId="2C02990F"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85.71</w:t>
            </w:r>
          </w:p>
        </w:tc>
        <w:tc>
          <w:tcPr>
            <w:tcW w:w="992" w:type="dxa"/>
            <w:tcBorders>
              <w:top w:val="nil"/>
              <w:left w:val="nil"/>
              <w:bottom w:val="nil"/>
              <w:right w:val="nil"/>
            </w:tcBorders>
          </w:tcPr>
          <w:p w14:paraId="7AB69B41"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100.00</w:t>
            </w:r>
          </w:p>
        </w:tc>
        <w:tc>
          <w:tcPr>
            <w:tcW w:w="992" w:type="dxa"/>
            <w:tcBorders>
              <w:top w:val="nil"/>
              <w:left w:val="nil"/>
              <w:bottom w:val="nil"/>
              <w:right w:val="nil"/>
            </w:tcBorders>
          </w:tcPr>
          <w:p w14:paraId="4A6EFF67"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100.00</w:t>
            </w:r>
          </w:p>
        </w:tc>
        <w:tc>
          <w:tcPr>
            <w:tcW w:w="851" w:type="dxa"/>
            <w:tcBorders>
              <w:top w:val="nil"/>
              <w:left w:val="nil"/>
              <w:bottom w:val="nil"/>
              <w:right w:val="nil"/>
            </w:tcBorders>
          </w:tcPr>
          <w:p w14:paraId="1F48F6C0"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85.71</w:t>
            </w:r>
          </w:p>
        </w:tc>
        <w:tc>
          <w:tcPr>
            <w:tcW w:w="850" w:type="dxa"/>
            <w:tcBorders>
              <w:top w:val="nil"/>
              <w:left w:val="nil"/>
              <w:bottom w:val="nil"/>
              <w:right w:val="nil"/>
            </w:tcBorders>
          </w:tcPr>
          <w:p w14:paraId="4D2EDF8B"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85.71</w:t>
            </w:r>
          </w:p>
        </w:tc>
        <w:tc>
          <w:tcPr>
            <w:tcW w:w="1134" w:type="dxa"/>
            <w:tcBorders>
              <w:top w:val="nil"/>
              <w:left w:val="nil"/>
              <w:bottom w:val="nil"/>
              <w:right w:val="nil"/>
            </w:tcBorders>
          </w:tcPr>
          <w:p w14:paraId="1A42AF64" w14:textId="77777777" w:rsidR="00837DA7" w:rsidRPr="009F2816" w:rsidRDefault="00837DA7" w:rsidP="00353A9A">
            <w:pPr>
              <w:rPr>
                <w:rFonts w:asciiTheme="majorBidi" w:hAnsiTheme="majorBidi" w:cstheme="majorBidi"/>
                <w:sz w:val="20"/>
                <w:szCs w:val="20"/>
              </w:rPr>
            </w:pPr>
            <w:r w:rsidRPr="009F2816">
              <w:rPr>
                <w:rFonts w:asciiTheme="majorBidi" w:hAnsiTheme="majorBidi"/>
                <w:sz w:val="20"/>
                <w:szCs w:val="20"/>
                <w:lang w:val="en-US"/>
              </w:rPr>
              <w:t>100.00</w:t>
            </w:r>
          </w:p>
        </w:tc>
      </w:tr>
      <w:tr w:rsidR="00837DA7" w:rsidRPr="00233EC8" w14:paraId="5027BD02" w14:textId="77777777" w:rsidTr="00353A9A">
        <w:tc>
          <w:tcPr>
            <w:tcW w:w="9072" w:type="dxa"/>
            <w:gridSpan w:val="8"/>
            <w:tcBorders>
              <w:top w:val="nil"/>
              <w:left w:val="nil"/>
              <w:bottom w:val="nil"/>
              <w:right w:val="nil"/>
            </w:tcBorders>
          </w:tcPr>
          <w:p w14:paraId="7B21863D" w14:textId="77777777" w:rsidR="00837DA7" w:rsidRPr="006F6FA7" w:rsidRDefault="00837DA7" w:rsidP="00353A9A">
            <w:pPr>
              <w:rPr>
                <w:rFonts w:asciiTheme="majorBidi" w:hAnsiTheme="majorBidi"/>
                <w:sz w:val="20"/>
                <w:szCs w:val="18"/>
                <w:lang w:val="en-US"/>
              </w:rPr>
            </w:pPr>
            <w:r w:rsidRPr="00EC325C">
              <w:rPr>
                <w:rFonts w:asciiTheme="majorBidi" w:hAnsiTheme="majorBidi"/>
                <w:b/>
                <w:bCs/>
                <w:i/>
                <w:iCs/>
                <w:sz w:val="20"/>
                <w:szCs w:val="18"/>
              </w:rPr>
              <w:t>Panel 3:  Procedures/structures (%)</w:t>
            </w:r>
          </w:p>
        </w:tc>
      </w:tr>
      <w:tr w:rsidR="00837DA7" w:rsidRPr="00233EC8" w14:paraId="4389BC64" w14:textId="77777777" w:rsidTr="00353A9A">
        <w:tc>
          <w:tcPr>
            <w:tcW w:w="2268" w:type="dxa"/>
            <w:tcBorders>
              <w:top w:val="nil"/>
              <w:left w:val="nil"/>
              <w:bottom w:val="nil"/>
              <w:right w:val="nil"/>
            </w:tcBorders>
          </w:tcPr>
          <w:p w14:paraId="1F8AD078"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Mean</w:t>
            </w:r>
          </w:p>
        </w:tc>
        <w:tc>
          <w:tcPr>
            <w:tcW w:w="993" w:type="dxa"/>
            <w:tcBorders>
              <w:top w:val="nil"/>
              <w:left w:val="nil"/>
              <w:bottom w:val="nil"/>
              <w:right w:val="nil"/>
            </w:tcBorders>
          </w:tcPr>
          <w:p w14:paraId="2B6C3DCC" w14:textId="77777777" w:rsidR="00837DA7" w:rsidRPr="006F6FA7" w:rsidRDefault="00837DA7" w:rsidP="00353A9A">
            <w:pPr>
              <w:rPr>
                <w:rFonts w:asciiTheme="majorBidi" w:hAnsiTheme="majorBidi"/>
                <w:sz w:val="20"/>
                <w:szCs w:val="18"/>
                <w:lang w:val="en-US"/>
              </w:rPr>
            </w:pPr>
            <w:r w:rsidRPr="006F6FA7">
              <w:rPr>
                <w:rFonts w:asciiTheme="majorBidi" w:hAnsiTheme="majorBidi"/>
                <w:sz w:val="20"/>
                <w:szCs w:val="18"/>
                <w:lang w:val="en-US"/>
              </w:rPr>
              <w:t>31.52</w:t>
            </w:r>
          </w:p>
        </w:tc>
        <w:tc>
          <w:tcPr>
            <w:tcW w:w="992" w:type="dxa"/>
            <w:tcBorders>
              <w:top w:val="nil"/>
              <w:left w:val="nil"/>
              <w:bottom w:val="nil"/>
              <w:right w:val="nil"/>
            </w:tcBorders>
          </w:tcPr>
          <w:p w14:paraId="728B8968" w14:textId="77777777" w:rsidR="00837DA7" w:rsidRPr="006F6FA7" w:rsidRDefault="00837DA7" w:rsidP="00353A9A">
            <w:pPr>
              <w:rPr>
                <w:rFonts w:asciiTheme="majorBidi" w:hAnsiTheme="majorBidi"/>
                <w:sz w:val="20"/>
                <w:szCs w:val="18"/>
                <w:lang w:val="en-US"/>
              </w:rPr>
            </w:pPr>
            <w:r w:rsidRPr="006F6FA7">
              <w:rPr>
                <w:rFonts w:asciiTheme="majorBidi" w:hAnsiTheme="majorBidi"/>
                <w:sz w:val="20"/>
                <w:szCs w:val="18"/>
                <w:lang w:val="en-US"/>
              </w:rPr>
              <w:t>29.17</w:t>
            </w:r>
          </w:p>
        </w:tc>
        <w:tc>
          <w:tcPr>
            <w:tcW w:w="992" w:type="dxa"/>
            <w:tcBorders>
              <w:top w:val="nil"/>
              <w:left w:val="nil"/>
              <w:bottom w:val="nil"/>
              <w:right w:val="nil"/>
            </w:tcBorders>
          </w:tcPr>
          <w:p w14:paraId="6E2353DD" w14:textId="77777777" w:rsidR="00837DA7" w:rsidRPr="006F6FA7" w:rsidRDefault="00837DA7" w:rsidP="00353A9A">
            <w:pPr>
              <w:rPr>
                <w:rFonts w:asciiTheme="majorBidi" w:hAnsiTheme="majorBidi"/>
                <w:sz w:val="20"/>
                <w:szCs w:val="18"/>
                <w:lang w:val="en-US"/>
              </w:rPr>
            </w:pPr>
            <w:r w:rsidRPr="006F6FA7">
              <w:rPr>
                <w:rFonts w:asciiTheme="majorBidi" w:hAnsiTheme="majorBidi"/>
                <w:sz w:val="20"/>
                <w:szCs w:val="18"/>
                <w:lang w:val="en-US"/>
              </w:rPr>
              <w:t>30.16</w:t>
            </w:r>
          </w:p>
        </w:tc>
        <w:tc>
          <w:tcPr>
            <w:tcW w:w="992" w:type="dxa"/>
            <w:tcBorders>
              <w:top w:val="nil"/>
              <w:left w:val="nil"/>
              <w:bottom w:val="nil"/>
              <w:right w:val="nil"/>
            </w:tcBorders>
          </w:tcPr>
          <w:p w14:paraId="5C553381" w14:textId="77777777" w:rsidR="00837DA7" w:rsidRPr="006F6FA7" w:rsidRDefault="00837DA7" w:rsidP="00353A9A">
            <w:pPr>
              <w:rPr>
                <w:rFonts w:asciiTheme="majorBidi" w:hAnsiTheme="majorBidi"/>
                <w:sz w:val="20"/>
                <w:szCs w:val="18"/>
                <w:lang w:val="en-US"/>
              </w:rPr>
            </w:pPr>
            <w:r w:rsidRPr="006F6FA7">
              <w:rPr>
                <w:rFonts w:asciiTheme="majorBidi" w:hAnsiTheme="majorBidi"/>
                <w:sz w:val="20"/>
                <w:szCs w:val="18"/>
                <w:lang w:val="en-US"/>
              </w:rPr>
              <w:t>31.13</w:t>
            </w:r>
          </w:p>
        </w:tc>
        <w:tc>
          <w:tcPr>
            <w:tcW w:w="851" w:type="dxa"/>
            <w:tcBorders>
              <w:top w:val="nil"/>
              <w:left w:val="nil"/>
              <w:bottom w:val="nil"/>
              <w:right w:val="nil"/>
            </w:tcBorders>
          </w:tcPr>
          <w:p w14:paraId="4BA5BD32" w14:textId="77777777" w:rsidR="00837DA7" w:rsidRPr="006F6FA7" w:rsidRDefault="00837DA7" w:rsidP="00353A9A">
            <w:pPr>
              <w:rPr>
                <w:rFonts w:asciiTheme="majorBidi" w:hAnsiTheme="majorBidi"/>
                <w:sz w:val="20"/>
                <w:szCs w:val="18"/>
                <w:lang w:val="en-US"/>
              </w:rPr>
            </w:pPr>
            <w:r w:rsidRPr="006F6FA7">
              <w:rPr>
                <w:rFonts w:asciiTheme="majorBidi" w:hAnsiTheme="majorBidi"/>
                <w:sz w:val="20"/>
                <w:szCs w:val="18"/>
                <w:lang w:val="en-US"/>
              </w:rPr>
              <w:t>31.87</w:t>
            </w:r>
          </w:p>
        </w:tc>
        <w:tc>
          <w:tcPr>
            <w:tcW w:w="850" w:type="dxa"/>
            <w:tcBorders>
              <w:top w:val="nil"/>
              <w:left w:val="nil"/>
              <w:bottom w:val="nil"/>
              <w:right w:val="nil"/>
            </w:tcBorders>
          </w:tcPr>
          <w:p w14:paraId="3057FF22" w14:textId="77777777" w:rsidR="00837DA7" w:rsidRPr="006F6FA7" w:rsidRDefault="00837DA7" w:rsidP="00353A9A">
            <w:pPr>
              <w:rPr>
                <w:rFonts w:asciiTheme="majorBidi" w:hAnsiTheme="majorBidi"/>
                <w:sz w:val="20"/>
                <w:szCs w:val="18"/>
                <w:lang w:val="en-US"/>
              </w:rPr>
            </w:pPr>
            <w:r w:rsidRPr="006F6FA7">
              <w:rPr>
                <w:rFonts w:asciiTheme="majorBidi" w:hAnsiTheme="majorBidi"/>
                <w:sz w:val="20"/>
                <w:szCs w:val="18"/>
                <w:lang w:val="en-US"/>
              </w:rPr>
              <w:t>32.69</w:t>
            </w:r>
          </w:p>
        </w:tc>
        <w:tc>
          <w:tcPr>
            <w:tcW w:w="1134" w:type="dxa"/>
            <w:tcBorders>
              <w:top w:val="nil"/>
              <w:left w:val="nil"/>
              <w:bottom w:val="nil"/>
              <w:right w:val="nil"/>
            </w:tcBorders>
          </w:tcPr>
          <w:p w14:paraId="3AE37845" w14:textId="77777777" w:rsidR="00837DA7" w:rsidRPr="006F6FA7" w:rsidRDefault="00837DA7" w:rsidP="00353A9A">
            <w:pPr>
              <w:rPr>
                <w:rFonts w:asciiTheme="majorBidi" w:hAnsiTheme="majorBidi"/>
                <w:sz w:val="20"/>
                <w:szCs w:val="18"/>
                <w:lang w:val="en-US"/>
              </w:rPr>
            </w:pPr>
            <w:r w:rsidRPr="006F6FA7">
              <w:rPr>
                <w:rFonts w:asciiTheme="majorBidi" w:hAnsiTheme="majorBidi"/>
                <w:sz w:val="20"/>
                <w:szCs w:val="18"/>
                <w:lang w:val="en-US"/>
              </w:rPr>
              <w:t>34.12</w:t>
            </w:r>
          </w:p>
        </w:tc>
      </w:tr>
      <w:tr w:rsidR="00837DA7" w:rsidRPr="00233EC8" w14:paraId="0B44CA91" w14:textId="77777777" w:rsidTr="00353A9A">
        <w:tc>
          <w:tcPr>
            <w:tcW w:w="2268" w:type="dxa"/>
            <w:tcBorders>
              <w:top w:val="nil"/>
              <w:left w:val="nil"/>
              <w:bottom w:val="nil"/>
              <w:right w:val="nil"/>
            </w:tcBorders>
          </w:tcPr>
          <w:p w14:paraId="160D338E"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 xml:space="preserve">Median </w:t>
            </w:r>
          </w:p>
        </w:tc>
        <w:tc>
          <w:tcPr>
            <w:tcW w:w="993" w:type="dxa"/>
            <w:tcBorders>
              <w:top w:val="nil"/>
              <w:left w:val="nil"/>
              <w:bottom w:val="nil"/>
              <w:right w:val="nil"/>
            </w:tcBorders>
          </w:tcPr>
          <w:p w14:paraId="137F7F4B" w14:textId="77777777" w:rsidR="00837DA7" w:rsidRPr="006F6FA7" w:rsidRDefault="00837DA7" w:rsidP="00353A9A">
            <w:pPr>
              <w:rPr>
                <w:rFonts w:asciiTheme="majorBidi" w:hAnsiTheme="majorBidi"/>
                <w:sz w:val="20"/>
                <w:szCs w:val="18"/>
                <w:lang w:val="en-US"/>
              </w:rPr>
            </w:pPr>
            <w:r w:rsidRPr="006F6FA7">
              <w:rPr>
                <w:rFonts w:asciiTheme="majorBidi" w:hAnsiTheme="majorBidi"/>
                <w:sz w:val="20"/>
                <w:szCs w:val="18"/>
                <w:lang w:val="en-US"/>
              </w:rPr>
              <w:t>29.17</w:t>
            </w:r>
          </w:p>
        </w:tc>
        <w:tc>
          <w:tcPr>
            <w:tcW w:w="992" w:type="dxa"/>
            <w:tcBorders>
              <w:top w:val="nil"/>
              <w:left w:val="nil"/>
              <w:bottom w:val="nil"/>
              <w:right w:val="nil"/>
            </w:tcBorders>
          </w:tcPr>
          <w:p w14:paraId="1D431646" w14:textId="77777777" w:rsidR="00837DA7" w:rsidRPr="006F6FA7" w:rsidRDefault="00837DA7" w:rsidP="00353A9A">
            <w:pPr>
              <w:rPr>
                <w:rFonts w:asciiTheme="majorBidi" w:hAnsiTheme="majorBidi"/>
                <w:sz w:val="20"/>
                <w:szCs w:val="18"/>
                <w:lang w:val="en-US"/>
              </w:rPr>
            </w:pPr>
            <w:r w:rsidRPr="006F6FA7">
              <w:rPr>
                <w:rFonts w:asciiTheme="majorBidi" w:hAnsiTheme="majorBidi"/>
                <w:sz w:val="20"/>
                <w:szCs w:val="18"/>
                <w:lang w:val="en-US"/>
              </w:rPr>
              <w:t>29.17</w:t>
            </w:r>
          </w:p>
        </w:tc>
        <w:tc>
          <w:tcPr>
            <w:tcW w:w="992" w:type="dxa"/>
            <w:tcBorders>
              <w:top w:val="nil"/>
              <w:left w:val="nil"/>
              <w:bottom w:val="nil"/>
              <w:right w:val="nil"/>
            </w:tcBorders>
          </w:tcPr>
          <w:p w14:paraId="31BA2D7C" w14:textId="77777777" w:rsidR="00837DA7" w:rsidRPr="006F6FA7" w:rsidRDefault="00837DA7" w:rsidP="00353A9A">
            <w:pPr>
              <w:rPr>
                <w:rFonts w:asciiTheme="majorBidi" w:hAnsiTheme="majorBidi"/>
                <w:sz w:val="20"/>
                <w:szCs w:val="18"/>
                <w:lang w:val="en-US"/>
              </w:rPr>
            </w:pPr>
            <w:r w:rsidRPr="006F6FA7">
              <w:rPr>
                <w:rFonts w:asciiTheme="majorBidi" w:hAnsiTheme="majorBidi"/>
                <w:sz w:val="20"/>
                <w:szCs w:val="18"/>
                <w:lang w:val="en-US"/>
              </w:rPr>
              <w:t>29.17</w:t>
            </w:r>
          </w:p>
        </w:tc>
        <w:tc>
          <w:tcPr>
            <w:tcW w:w="992" w:type="dxa"/>
            <w:tcBorders>
              <w:top w:val="nil"/>
              <w:left w:val="nil"/>
              <w:bottom w:val="nil"/>
              <w:right w:val="nil"/>
            </w:tcBorders>
          </w:tcPr>
          <w:p w14:paraId="4E6FAE69" w14:textId="77777777" w:rsidR="00837DA7" w:rsidRPr="006F6FA7" w:rsidRDefault="00837DA7" w:rsidP="00353A9A">
            <w:pPr>
              <w:rPr>
                <w:rFonts w:asciiTheme="majorBidi" w:hAnsiTheme="majorBidi"/>
                <w:sz w:val="20"/>
                <w:szCs w:val="18"/>
                <w:lang w:val="en-US"/>
              </w:rPr>
            </w:pPr>
            <w:r w:rsidRPr="006F6FA7">
              <w:rPr>
                <w:rFonts w:asciiTheme="majorBidi" w:hAnsiTheme="majorBidi"/>
                <w:sz w:val="20"/>
                <w:szCs w:val="18"/>
                <w:lang w:val="en-US"/>
              </w:rPr>
              <w:t>29.17</w:t>
            </w:r>
          </w:p>
        </w:tc>
        <w:tc>
          <w:tcPr>
            <w:tcW w:w="851" w:type="dxa"/>
            <w:tcBorders>
              <w:top w:val="nil"/>
              <w:left w:val="nil"/>
              <w:bottom w:val="nil"/>
              <w:right w:val="nil"/>
            </w:tcBorders>
          </w:tcPr>
          <w:p w14:paraId="2D82CD1C" w14:textId="77777777" w:rsidR="00837DA7" w:rsidRPr="006F6FA7" w:rsidRDefault="00837DA7" w:rsidP="00353A9A">
            <w:pPr>
              <w:rPr>
                <w:rFonts w:asciiTheme="majorBidi" w:hAnsiTheme="majorBidi"/>
                <w:sz w:val="20"/>
                <w:szCs w:val="18"/>
                <w:lang w:val="en-US"/>
              </w:rPr>
            </w:pPr>
            <w:r w:rsidRPr="006F6FA7">
              <w:rPr>
                <w:rFonts w:asciiTheme="majorBidi" w:hAnsiTheme="majorBidi"/>
                <w:sz w:val="20"/>
                <w:szCs w:val="18"/>
                <w:lang w:val="en-US"/>
              </w:rPr>
              <w:t>29.17</w:t>
            </w:r>
          </w:p>
        </w:tc>
        <w:tc>
          <w:tcPr>
            <w:tcW w:w="850" w:type="dxa"/>
            <w:tcBorders>
              <w:top w:val="nil"/>
              <w:left w:val="nil"/>
              <w:bottom w:val="nil"/>
              <w:right w:val="nil"/>
            </w:tcBorders>
          </w:tcPr>
          <w:p w14:paraId="0E037248" w14:textId="77777777" w:rsidR="00837DA7" w:rsidRPr="006F6FA7" w:rsidRDefault="00837DA7" w:rsidP="00353A9A">
            <w:pPr>
              <w:rPr>
                <w:rFonts w:asciiTheme="majorBidi" w:hAnsiTheme="majorBidi"/>
                <w:sz w:val="20"/>
                <w:szCs w:val="18"/>
                <w:lang w:val="en-US"/>
              </w:rPr>
            </w:pPr>
            <w:r w:rsidRPr="006F6FA7">
              <w:rPr>
                <w:rFonts w:asciiTheme="majorBidi" w:hAnsiTheme="majorBidi"/>
                <w:sz w:val="20"/>
                <w:szCs w:val="18"/>
                <w:lang w:val="en-US"/>
              </w:rPr>
              <w:t>33.33</w:t>
            </w:r>
          </w:p>
        </w:tc>
        <w:tc>
          <w:tcPr>
            <w:tcW w:w="1134" w:type="dxa"/>
            <w:tcBorders>
              <w:top w:val="nil"/>
              <w:left w:val="nil"/>
              <w:bottom w:val="nil"/>
              <w:right w:val="nil"/>
            </w:tcBorders>
          </w:tcPr>
          <w:p w14:paraId="3543F618" w14:textId="77777777" w:rsidR="00837DA7" w:rsidRPr="006F6FA7" w:rsidRDefault="00837DA7" w:rsidP="00353A9A">
            <w:pPr>
              <w:rPr>
                <w:rFonts w:asciiTheme="majorBidi" w:hAnsiTheme="majorBidi"/>
                <w:sz w:val="20"/>
                <w:szCs w:val="18"/>
                <w:lang w:val="en-US"/>
              </w:rPr>
            </w:pPr>
            <w:r w:rsidRPr="006F6FA7">
              <w:rPr>
                <w:rFonts w:asciiTheme="majorBidi" w:hAnsiTheme="majorBidi"/>
                <w:sz w:val="20"/>
                <w:szCs w:val="18"/>
                <w:lang w:val="en-US"/>
              </w:rPr>
              <w:t>33.33</w:t>
            </w:r>
          </w:p>
        </w:tc>
      </w:tr>
      <w:tr w:rsidR="00837DA7" w:rsidRPr="00233EC8" w14:paraId="0E422C78" w14:textId="77777777" w:rsidTr="00353A9A">
        <w:tc>
          <w:tcPr>
            <w:tcW w:w="2268" w:type="dxa"/>
            <w:tcBorders>
              <w:top w:val="nil"/>
              <w:left w:val="nil"/>
              <w:bottom w:val="nil"/>
              <w:right w:val="nil"/>
            </w:tcBorders>
          </w:tcPr>
          <w:p w14:paraId="691BD9F7"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STD</w:t>
            </w:r>
          </w:p>
        </w:tc>
        <w:tc>
          <w:tcPr>
            <w:tcW w:w="993" w:type="dxa"/>
            <w:tcBorders>
              <w:top w:val="nil"/>
              <w:left w:val="nil"/>
              <w:bottom w:val="nil"/>
              <w:right w:val="nil"/>
            </w:tcBorders>
          </w:tcPr>
          <w:p w14:paraId="6C85C8E5" w14:textId="77777777" w:rsidR="00837DA7" w:rsidRPr="006F6FA7" w:rsidRDefault="00837DA7" w:rsidP="00353A9A">
            <w:pPr>
              <w:rPr>
                <w:rFonts w:asciiTheme="majorBidi" w:hAnsiTheme="majorBidi"/>
                <w:sz w:val="20"/>
                <w:szCs w:val="18"/>
                <w:lang w:val="en-US"/>
              </w:rPr>
            </w:pPr>
            <w:r w:rsidRPr="006F6FA7">
              <w:rPr>
                <w:rFonts w:asciiTheme="majorBidi" w:hAnsiTheme="majorBidi"/>
                <w:sz w:val="20"/>
                <w:szCs w:val="18"/>
                <w:lang w:val="en-US"/>
              </w:rPr>
              <w:t>11.85</w:t>
            </w:r>
          </w:p>
        </w:tc>
        <w:tc>
          <w:tcPr>
            <w:tcW w:w="992" w:type="dxa"/>
            <w:tcBorders>
              <w:top w:val="nil"/>
              <w:left w:val="nil"/>
              <w:bottom w:val="nil"/>
              <w:right w:val="nil"/>
            </w:tcBorders>
          </w:tcPr>
          <w:p w14:paraId="6378F62C" w14:textId="77777777" w:rsidR="00837DA7" w:rsidRPr="006F6FA7" w:rsidRDefault="00837DA7" w:rsidP="00353A9A">
            <w:pPr>
              <w:rPr>
                <w:rFonts w:asciiTheme="majorBidi" w:hAnsiTheme="majorBidi"/>
                <w:sz w:val="20"/>
                <w:szCs w:val="18"/>
                <w:lang w:val="en-US"/>
              </w:rPr>
            </w:pPr>
            <w:r w:rsidRPr="006F6FA7">
              <w:rPr>
                <w:rFonts w:asciiTheme="majorBidi" w:hAnsiTheme="majorBidi"/>
                <w:sz w:val="20"/>
                <w:szCs w:val="18"/>
                <w:lang w:val="en-US"/>
              </w:rPr>
              <w:t>11.23</w:t>
            </w:r>
          </w:p>
        </w:tc>
        <w:tc>
          <w:tcPr>
            <w:tcW w:w="992" w:type="dxa"/>
            <w:tcBorders>
              <w:top w:val="nil"/>
              <w:left w:val="nil"/>
              <w:bottom w:val="nil"/>
              <w:right w:val="nil"/>
            </w:tcBorders>
          </w:tcPr>
          <w:p w14:paraId="3288CEED" w14:textId="77777777" w:rsidR="00837DA7" w:rsidRPr="006F6FA7" w:rsidRDefault="00837DA7" w:rsidP="00353A9A">
            <w:pPr>
              <w:rPr>
                <w:rFonts w:asciiTheme="majorBidi" w:hAnsiTheme="majorBidi"/>
                <w:sz w:val="20"/>
                <w:szCs w:val="18"/>
                <w:lang w:val="en-US"/>
              </w:rPr>
            </w:pPr>
            <w:r w:rsidRPr="006F6FA7">
              <w:rPr>
                <w:rFonts w:asciiTheme="majorBidi" w:hAnsiTheme="majorBidi"/>
                <w:sz w:val="20"/>
                <w:szCs w:val="18"/>
                <w:lang w:val="en-US"/>
              </w:rPr>
              <w:t>11.73</w:t>
            </w:r>
          </w:p>
        </w:tc>
        <w:tc>
          <w:tcPr>
            <w:tcW w:w="992" w:type="dxa"/>
            <w:tcBorders>
              <w:top w:val="nil"/>
              <w:left w:val="nil"/>
              <w:bottom w:val="nil"/>
              <w:right w:val="nil"/>
            </w:tcBorders>
          </w:tcPr>
          <w:p w14:paraId="457724E0" w14:textId="77777777" w:rsidR="00837DA7" w:rsidRPr="006F6FA7" w:rsidRDefault="00837DA7" w:rsidP="00353A9A">
            <w:pPr>
              <w:rPr>
                <w:rFonts w:asciiTheme="majorBidi" w:hAnsiTheme="majorBidi"/>
                <w:sz w:val="20"/>
                <w:szCs w:val="18"/>
                <w:lang w:val="en-US"/>
              </w:rPr>
            </w:pPr>
            <w:r w:rsidRPr="006F6FA7">
              <w:rPr>
                <w:rFonts w:asciiTheme="majorBidi" w:hAnsiTheme="majorBidi"/>
                <w:sz w:val="20"/>
                <w:szCs w:val="18"/>
                <w:lang w:val="en-US"/>
              </w:rPr>
              <w:t>11.61</w:t>
            </w:r>
          </w:p>
        </w:tc>
        <w:tc>
          <w:tcPr>
            <w:tcW w:w="851" w:type="dxa"/>
            <w:tcBorders>
              <w:top w:val="nil"/>
              <w:left w:val="nil"/>
              <w:bottom w:val="nil"/>
              <w:right w:val="nil"/>
            </w:tcBorders>
          </w:tcPr>
          <w:p w14:paraId="06CE89DC" w14:textId="77777777" w:rsidR="00837DA7" w:rsidRPr="006F6FA7" w:rsidRDefault="00837DA7" w:rsidP="00353A9A">
            <w:pPr>
              <w:rPr>
                <w:rFonts w:asciiTheme="majorBidi" w:hAnsiTheme="majorBidi"/>
                <w:sz w:val="20"/>
                <w:szCs w:val="18"/>
                <w:lang w:val="en-US"/>
              </w:rPr>
            </w:pPr>
            <w:r w:rsidRPr="006F6FA7">
              <w:rPr>
                <w:rFonts w:asciiTheme="majorBidi" w:hAnsiTheme="majorBidi"/>
                <w:sz w:val="20"/>
                <w:szCs w:val="18"/>
                <w:lang w:val="en-US"/>
              </w:rPr>
              <w:t>11.32</w:t>
            </w:r>
          </w:p>
        </w:tc>
        <w:tc>
          <w:tcPr>
            <w:tcW w:w="850" w:type="dxa"/>
            <w:tcBorders>
              <w:top w:val="nil"/>
              <w:left w:val="nil"/>
              <w:bottom w:val="nil"/>
              <w:right w:val="nil"/>
            </w:tcBorders>
          </w:tcPr>
          <w:p w14:paraId="3C8B604A" w14:textId="77777777" w:rsidR="00837DA7" w:rsidRPr="006F6FA7" w:rsidRDefault="00837DA7" w:rsidP="00353A9A">
            <w:pPr>
              <w:rPr>
                <w:rFonts w:asciiTheme="majorBidi" w:hAnsiTheme="majorBidi"/>
                <w:sz w:val="20"/>
                <w:szCs w:val="18"/>
                <w:lang w:val="en-US"/>
              </w:rPr>
            </w:pPr>
            <w:r w:rsidRPr="006F6FA7">
              <w:rPr>
                <w:rFonts w:asciiTheme="majorBidi" w:hAnsiTheme="majorBidi"/>
                <w:sz w:val="20"/>
                <w:szCs w:val="18"/>
                <w:lang w:val="en-US"/>
              </w:rPr>
              <w:t>12.03</w:t>
            </w:r>
          </w:p>
        </w:tc>
        <w:tc>
          <w:tcPr>
            <w:tcW w:w="1134" w:type="dxa"/>
            <w:tcBorders>
              <w:top w:val="nil"/>
              <w:left w:val="nil"/>
              <w:bottom w:val="nil"/>
              <w:right w:val="nil"/>
            </w:tcBorders>
          </w:tcPr>
          <w:p w14:paraId="49F9C688" w14:textId="77777777" w:rsidR="00837DA7" w:rsidRPr="006F6FA7" w:rsidRDefault="00837DA7" w:rsidP="00353A9A">
            <w:pPr>
              <w:rPr>
                <w:rFonts w:asciiTheme="majorBidi" w:hAnsiTheme="majorBidi"/>
                <w:sz w:val="20"/>
                <w:szCs w:val="18"/>
                <w:lang w:val="en-US"/>
              </w:rPr>
            </w:pPr>
            <w:r w:rsidRPr="006F6FA7">
              <w:rPr>
                <w:rFonts w:asciiTheme="majorBidi" w:hAnsiTheme="majorBidi"/>
                <w:sz w:val="20"/>
                <w:szCs w:val="18"/>
                <w:lang w:val="en-US"/>
              </w:rPr>
              <w:t>12.69</w:t>
            </w:r>
          </w:p>
        </w:tc>
      </w:tr>
      <w:tr w:rsidR="00837DA7" w:rsidRPr="00233EC8" w14:paraId="2ECA38E2" w14:textId="77777777" w:rsidTr="00353A9A">
        <w:tc>
          <w:tcPr>
            <w:tcW w:w="2268" w:type="dxa"/>
            <w:tcBorders>
              <w:top w:val="nil"/>
              <w:left w:val="nil"/>
              <w:bottom w:val="nil"/>
              <w:right w:val="nil"/>
            </w:tcBorders>
          </w:tcPr>
          <w:p w14:paraId="1BB0C200"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Minimum</w:t>
            </w:r>
          </w:p>
        </w:tc>
        <w:tc>
          <w:tcPr>
            <w:tcW w:w="993" w:type="dxa"/>
            <w:tcBorders>
              <w:top w:val="nil"/>
              <w:left w:val="nil"/>
              <w:bottom w:val="nil"/>
              <w:right w:val="nil"/>
            </w:tcBorders>
          </w:tcPr>
          <w:p w14:paraId="670F3BA3" w14:textId="77777777" w:rsidR="00837DA7" w:rsidRPr="006F6FA7" w:rsidRDefault="00837DA7" w:rsidP="00353A9A">
            <w:pPr>
              <w:rPr>
                <w:rFonts w:asciiTheme="majorBidi" w:hAnsiTheme="majorBidi"/>
                <w:sz w:val="20"/>
                <w:szCs w:val="18"/>
                <w:lang w:val="en-US"/>
              </w:rPr>
            </w:pPr>
            <w:r w:rsidRPr="006F6FA7">
              <w:rPr>
                <w:rFonts w:asciiTheme="majorBidi" w:hAnsiTheme="majorBidi"/>
                <w:sz w:val="20"/>
                <w:szCs w:val="18"/>
                <w:lang w:val="en-US"/>
              </w:rPr>
              <w:t xml:space="preserve">  0.00</w:t>
            </w:r>
          </w:p>
        </w:tc>
        <w:tc>
          <w:tcPr>
            <w:tcW w:w="992" w:type="dxa"/>
            <w:tcBorders>
              <w:top w:val="nil"/>
              <w:left w:val="nil"/>
              <w:bottom w:val="nil"/>
              <w:right w:val="nil"/>
            </w:tcBorders>
          </w:tcPr>
          <w:p w14:paraId="4E6FBA8D" w14:textId="77777777" w:rsidR="00837DA7" w:rsidRPr="006F6FA7" w:rsidRDefault="00837DA7" w:rsidP="00353A9A">
            <w:pPr>
              <w:rPr>
                <w:rFonts w:asciiTheme="majorBidi" w:hAnsiTheme="majorBidi"/>
                <w:sz w:val="20"/>
                <w:szCs w:val="18"/>
                <w:lang w:val="en-US"/>
              </w:rPr>
            </w:pPr>
            <w:r w:rsidRPr="006F6FA7">
              <w:rPr>
                <w:rFonts w:asciiTheme="majorBidi" w:hAnsiTheme="majorBidi"/>
                <w:sz w:val="20"/>
                <w:szCs w:val="18"/>
                <w:lang w:val="en-US"/>
              </w:rPr>
              <w:t xml:space="preserve">  0.00</w:t>
            </w:r>
          </w:p>
        </w:tc>
        <w:tc>
          <w:tcPr>
            <w:tcW w:w="992" w:type="dxa"/>
            <w:tcBorders>
              <w:top w:val="nil"/>
              <w:left w:val="nil"/>
              <w:bottom w:val="nil"/>
              <w:right w:val="nil"/>
            </w:tcBorders>
          </w:tcPr>
          <w:p w14:paraId="2F548100" w14:textId="77777777" w:rsidR="00837DA7" w:rsidRPr="006F6FA7" w:rsidRDefault="00837DA7" w:rsidP="00353A9A">
            <w:pPr>
              <w:rPr>
                <w:rFonts w:asciiTheme="majorBidi" w:hAnsiTheme="majorBidi"/>
                <w:sz w:val="20"/>
                <w:szCs w:val="18"/>
                <w:lang w:val="en-US"/>
              </w:rPr>
            </w:pPr>
            <w:r w:rsidRPr="006F6FA7">
              <w:rPr>
                <w:rFonts w:asciiTheme="majorBidi" w:hAnsiTheme="majorBidi"/>
                <w:sz w:val="20"/>
                <w:szCs w:val="18"/>
                <w:lang w:val="en-US"/>
              </w:rPr>
              <w:t xml:space="preserve">  0.00</w:t>
            </w:r>
          </w:p>
        </w:tc>
        <w:tc>
          <w:tcPr>
            <w:tcW w:w="992" w:type="dxa"/>
            <w:tcBorders>
              <w:top w:val="nil"/>
              <w:left w:val="nil"/>
              <w:bottom w:val="nil"/>
              <w:right w:val="nil"/>
            </w:tcBorders>
          </w:tcPr>
          <w:p w14:paraId="57E5A54E" w14:textId="77777777" w:rsidR="00837DA7" w:rsidRPr="006F6FA7" w:rsidRDefault="00837DA7" w:rsidP="00353A9A">
            <w:pPr>
              <w:rPr>
                <w:rFonts w:asciiTheme="majorBidi" w:hAnsiTheme="majorBidi"/>
                <w:sz w:val="20"/>
                <w:szCs w:val="18"/>
                <w:lang w:val="en-US"/>
              </w:rPr>
            </w:pPr>
            <w:r w:rsidRPr="006F6FA7">
              <w:rPr>
                <w:rFonts w:asciiTheme="majorBidi" w:hAnsiTheme="majorBidi"/>
                <w:sz w:val="20"/>
                <w:szCs w:val="18"/>
                <w:lang w:val="en-US"/>
              </w:rPr>
              <w:t xml:space="preserve">  0.00</w:t>
            </w:r>
          </w:p>
        </w:tc>
        <w:tc>
          <w:tcPr>
            <w:tcW w:w="851" w:type="dxa"/>
            <w:tcBorders>
              <w:top w:val="nil"/>
              <w:left w:val="nil"/>
              <w:bottom w:val="nil"/>
              <w:right w:val="nil"/>
            </w:tcBorders>
          </w:tcPr>
          <w:p w14:paraId="2003860B" w14:textId="77777777" w:rsidR="00837DA7" w:rsidRPr="006F6FA7" w:rsidRDefault="00837DA7" w:rsidP="00353A9A">
            <w:pPr>
              <w:rPr>
                <w:rFonts w:asciiTheme="majorBidi" w:hAnsiTheme="majorBidi"/>
                <w:sz w:val="20"/>
                <w:szCs w:val="18"/>
                <w:lang w:val="en-US"/>
              </w:rPr>
            </w:pPr>
            <w:r w:rsidRPr="006F6FA7">
              <w:rPr>
                <w:rFonts w:asciiTheme="majorBidi" w:hAnsiTheme="majorBidi"/>
                <w:sz w:val="20"/>
                <w:szCs w:val="18"/>
                <w:lang w:val="en-US"/>
              </w:rPr>
              <w:t xml:space="preserve">  4.17</w:t>
            </w:r>
          </w:p>
        </w:tc>
        <w:tc>
          <w:tcPr>
            <w:tcW w:w="850" w:type="dxa"/>
            <w:tcBorders>
              <w:top w:val="nil"/>
              <w:left w:val="nil"/>
              <w:bottom w:val="nil"/>
              <w:right w:val="nil"/>
            </w:tcBorders>
          </w:tcPr>
          <w:p w14:paraId="423A0C44" w14:textId="77777777" w:rsidR="00837DA7" w:rsidRPr="006F6FA7" w:rsidRDefault="00837DA7" w:rsidP="00353A9A">
            <w:pPr>
              <w:rPr>
                <w:rFonts w:asciiTheme="majorBidi" w:hAnsiTheme="majorBidi"/>
                <w:sz w:val="20"/>
                <w:szCs w:val="18"/>
                <w:lang w:val="en-US"/>
              </w:rPr>
            </w:pPr>
            <w:r w:rsidRPr="006F6FA7">
              <w:rPr>
                <w:rFonts w:asciiTheme="majorBidi" w:hAnsiTheme="majorBidi"/>
                <w:sz w:val="20"/>
                <w:szCs w:val="18"/>
                <w:lang w:val="en-US"/>
              </w:rPr>
              <w:t xml:space="preserve">  4.17</w:t>
            </w:r>
          </w:p>
        </w:tc>
        <w:tc>
          <w:tcPr>
            <w:tcW w:w="1134" w:type="dxa"/>
            <w:tcBorders>
              <w:top w:val="nil"/>
              <w:left w:val="nil"/>
              <w:bottom w:val="nil"/>
              <w:right w:val="nil"/>
            </w:tcBorders>
          </w:tcPr>
          <w:p w14:paraId="47F5765A" w14:textId="77777777" w:rsidR="00837DA7" w:rsidRPr="006F6FA7" w:rsidRDefault="00837DA7" w:rsidP="00353A9A">
            <w:pPr>
              <w:rPr>
                <w:rFonts w:asciiTheme="majorBidi" w:hAnsiTheme="majorBidi"/>
                <w:sz w:val="20"/>
                <w:szCs w:val="18"/>
                <w:lang w:val="en-US"/>
              </w:rPr>
            </w:pPr>
            <w:r w:rsidRPr="006F6FA7">
              <w:rPr>
                <w:rFonts w:asciiTheme="majorBidi" w:hAnsiTheme="majorBidi"/>
                <w:sz w:val="20"/>
                <w:szCs w:val="18"/>
                <w:lang w:val="en-US"/>
              </w:rPr>
              <w:t xml:space="preserve">  4.17</w:t>
            </w:r>
          </w:p>
        </w:tc>
      </w:tr>
      <w:tr w:rsidR="00837DA7" w:rsidRPr="00233EC8" w14:paraId="5F7AA724" w14:textId="77777777" w:rsidTr="00353A9A">
        <w:tc>
          <w:tcPr>
            <w:tcW w:w="2268" w:type="dxa"/>
            <w:tcBorders>
              <w:top w:val="nil"/>
              <w:left w:val="nil"/>
              <w:bottom w:val="nil"/>
              <w:right w:val="nil"/>
            </w:tcBorders>
          </w:tcPr>
          <w:p w14:paraId="1EF4F5F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Maximum</w:t>
            </w:r>
          </w:p>
        </w:tc>
        <w:tc>
          <w:tcPr>
            <w:tcW w:w="993" w:type="dxa"/>
            <w:tcBorders>
              <w:top w:val="nil"/>
              <w:left w:val="nil"/>
              <w:bottom w:val="nil"/>
              <w:right w:val="nil"/>
            </w:tcBorders>
          </w:tcPr>
          <w:p w14:paraId="368BEF19" w14:textId="77777777" w:rsidR="00837DA7" w:rsidRPr="006F6FA7" w:rsidRDefault="00837DA7" w:rsidP="00353A9A">
            <w:pPr>
              <w:rPr>
                <w:rFonts w:asciiTheme="majorBidi" w:hAnsiTheme="majorBidi"/>
                <w:sz w:val="20"/>
                <w:szCs w:val="18"/>
                <w:lang w:val="en-US"/>
              </w:rPr>
            </w:pPr>
            <w:r w:rsidRPr="006F6FA7">
              <w:rPr>
                <w:rFonts w:asciiTheme="majorBidi" w:hAnsiTheme="majorBidi"/>
                <w:sz w:val="20"/>
                <w:szCs w:val="18"/>
                <w:lang w:val="en-US"/>
              </w:rPr>
              <w:t>79.17</w:t>
            </w:r>
          </w:p>
        </w:tc>
        <w:tc>
          <w:tcPr>
            <w:tcW w:w="992" w:type="dxa"/>
            <w:tcBorders>
              <w:top w:val="nil"/>
              <w:left w:val="nil"/>
              <w:bottom w:val="nil"/>
              <w:right w:val="nil"/>
            </w:tcBorders>
          </w:tcPr>
          <w:p w14:paraId="3160760A" w14:textId="77777777" w:rsidR="00837DA7" w:rsidRPr="006F6FA7" w:rsidRDefault="00837DA7" w:rsidP="00353A9A">
            <w:pPr>
              <w:rPr>
                <w:rFonts w:asciiTheme="majorBidi" w:hAnsiTheme="majorBidi"/>
                <w:sz w:val="20"/>
                <w:szCs w:val="18"/>
                <w:lang w:val="en-US"/>
              </w:rPr>
            </w:pPr>
            <w:r w:rsidRPr="006F6FA7">
              <w:rPr>
                <w:rFonts w:asciiTheme="majorBidi" w:hAnsiTheme="majorBidi"/>
                <w:sz w:val="20"/>
                <w:szCs w:val="18"/>
                <w:lang w:val="en-US"/>
              </w:rPr>
              <w:t>58.33</w:t>
            </w:r>
          </w:p>
        </w:tc>
        <w:tc>
          <w:tcPr>
            <w:tcW w:w="992" w:type="dxa"/>
            <w:tcBorders>
              <w:top w:val="nil"/>
              <w:left w:val="nil"/>
              <w:bottom w:val="nil"/>
              <w:right w:val="nil"/>
            </w:tcBorders>
          </w:tcPr>
          <w:p w14:paraId="5C9D1CF2" w14:textId="77777777" w:rsidR="00837DA7" w:rsidRPr="006F6FA7" w:rsidRDefault="00837DA7" w:rsidP="00353A9A">
            <w:pPr>
              <w:rPr>
                <w:rFonts w:asciiTheme="majorBidi" w:hAnsiTheme="majorBidi"/>
                <w:sz w:val="20"/>
                <w:szCs w:val="18"/>
                <w:lang w:val="en-US"/>
              </w:rPr>
            </w:pPr>
            <w:r w:rsidRPr="006F6FA7">
              <w:rPr>
                <w:rFonts w:asciiTheme="majorBidi" w:hAnsiTheme="majorBidi"/>
                <w:sz w:val="20"/>
                <w:szCs w:val="18"/>
                <w:lang w:val="en-US"/>
              </w:rPr>
              <w:t>58.33</w:t>
            </w:r>
          </w:p>
        </w:tc>
        <w:tc>
          <w:tcPr>
            <w:tcW w:w="992" w:type="dxa"/>
            <w:tcBorders>
              <w:top w:val="nil"/>
              <w:left w:val="nil"/>
              <w:bottom w:val="nil"/>
              <w:right w:val="nil"/>
            </w:tcBorders>
          </w:tcPr>
          <w:p w14:paraId="126C5C6A" w14:textId="77777777" w:rsidR="00837DA7" w:rsidRPr="006F6FA7" w:rsidRDefault="00837DA7" w:rsidP="00353A9A">
            <w:pPr>
              <w:rPr>
                <w:rFonts w:asciiTheme="majorBidi" w:hAnsiTheme="majorBidi"/>
                <w:sz w:val="20"/>
                <w:szCs w:val="18"/>
                <w:lang w:val="en-US"/>
              </w:rPr>
            </w:pPr>
            <w:r w:rsidRPr="006F6FA7">
              <w:rPr>
                <w:rFonts w:asciiTheme="majorBidi" w:hAnsiTheme="majorBidi"/>
                <w:sz w:val="20"/>
                <w:szCs w:val="18"/>
                <w:lang w:val="en-US"/>
              </w:rPr>
              <w:t>66.67</w:t>
            </w:r>
          </w:p>
        </w:tc>
        <w:tc>
          <w:tcPr>
            <w:tcW w:w="851" w:type="dxa"/>
            <w:tcBorders>
              <w:top w:val="nil"/>
              <w:left w:val="nil"/>
              <w:bottom w:val="nil"/>
              <w:right w:val="nil"/>
            </w:tcBorders>
          </w:tcPr>
          <w:p w14:paraId="62220295" w14:textId="77777777" w:rsidR="00837DA7" w:rsidRPr="006F6FA7" w:rsidRDefault="00837DA7" w:rsidP="00353A9A">
            <w:pPr>
              <w:rPr>
                <w:rFonts w:asciiTheme="majorBidi" w:hAnsiTheme="majorBidi"/>
                <w:sz w:val="20"/>
                <w:szCs w:val="18"/>
                <w:lang w:val="en-US"/>
              </w:rPr>
            </w:pPr>
            <w:r w:rsidRPr="006F6FA7">
              <w:rPr>
                <w:rFonts w:asciiTheme="majorBidi" w:hAnsiTheme="majorBidi"/>
                <w:sz w:val="20"/>
                <w:szCs w:val="18"/>
                <w:lang w:val="en-US"/>
              </w:rPr>
              <w:t>62.50</w:t>
            </w:r>
          </w:p>
        </w:tc>
        <w:tc>
          <w:tcPr>
            <w:tcW w:w="850" w:type="dxa"/>
            <w:tcBorders>
              <w:top w:val="nil"/>
              <w:left w:val="nil"/>
              <w:bottom w:val="nil"/>
              <w:right w:val="nil"/>
            </w:tcBorders>
          </w:tcPr>
          <w:p w14:paraId="4DC9F12F" w14:textId="77777777" w:rsidR="00837DA7" w:rsidRPr="006F6FA7" w:rsidRDefault="00837DA7" w:rsidP="00353A9A">
            <w:pPr>
              <w:rPr>
                <w:rFonts w:asciiTheme="majorBidi" w:hAnsiTheme="majorBidi"/>
                <w:sz w:val="20"/>
                <w:szCs w:val="18"/>
                <w:lang w:val="en-US"/>
              </w:rPr>
            </w:pPr>
            <w:r w:rsidRPr="006F6FA7">
              <w:rPr>
                <w:rFonts w:asciiTheme="majorBidi" w:hAnsiTheme="majorBidi"/>
                <w:sz w:val="20"/>
                <w:szCs w:val="18"/>
                <w:lang w:val="en-US"/>
              </w:rPr>
              <w:t>70.83</w:t>
            </w:r>
          </w:p>
        </w:tc>
        <w:tc>
          <w:tcPr>
            <w:tcW w:w="1134" w:type="dxa"/>
            <w:tcBorders>
              <w:top w:val="nil"/>
              <w:left w:val="nil"/>
              <w:bottom w:val="nil"/>
              <w:right w:val="nil"/>
            </w:tcBorders>
          </w:tcPr>
          <w:p w14:paraId="573676DB" w14:textId="77777777" w:rsidR="00837DA7" w:rsidRPr="006F6FA7" w:rsidRDefault="00837DA7" w:rsidP="00353A9A">
            <w:pPr>
              <w:rPr>
                <w:rFonts w:asciiTheme="majorBidi" w:hAnsiTheme="majorBidi"/>
                <w:sz w:val="20"/>
                <w:szCs w:val="18"/>
                <w:lang w:val="en-US"/>
              </w:rPr>
            </w:pPr>
            <w:r w:rsidRPr="006F6FA7">
              <w:rPr>
                <w:rFonts w:asciiTheme="majorBidi" w:hAnsiTheme="majorBidi"/>
                <w:sz w:val="20"/>
                <w:szCs w:val="18"/>
                <w:lang w:val="en-US"/>
              </w:rPr>
              <w:t>79.17</w:t>
            </w:r>
          </w:p>
        </w:tc>
      </w:tr>
      <w:tr w:rsidR="00837DA7" w:rsidRPr="00233EC8" w14:paraId="48C6F28E" w14:textId="77777777" w:rsidTr="00353A9A">
        <w:tc>
          <w:tcPr>
            <w:tcW w:w="9072" w:type="dxa"/>
            <w:gridSpan w:val="8"/>
            <w:tcBorders>
              <w:top w:val="nil"/>
              <w:left w:val="nil"/>
              <w:bottom w:val="nil"/>
              <w:right w:val="nil"/>
            </w:tcBorders>
          </w:tcPr>
          <w:p w14:paraId="7F6B0C61" w14:textId="77777777" w:rsidR="00837DA7" w:rsidRPr="006F6FA7" w:rsidRDefault="00837DA7" w:rsidP="00353A9A">
            <w:pPr>
              <w:rPr>
                <w:rFonts w:asciiTheme="majorBidi" w:hAnsiTheme="majorBidi"/>
                <w:sz w:val="20"/>
                <w:szCs w:val="18"/>
                <w:lang w:val="en-US"/>
              </w:rPr>
            </w:pPr>
            <w:r w:rsidRPr="00EC325C">
              <w:rPr>
                <w:rFonts w:asciiTheme="majorBidi" w:hAnsiTheme="majorBidi"/>
                <w:b/>
                <w:bCs/>
                <w:i/>
                <w:iCs/>
                <w:sz w:val="20"/>
                <w:szCs w:val="18"/>
              </w:rPr>
              <w:t>Panel 4: Governing board (%)</w:t>
            </w:r>
          </w:p>
        </w:tc>
      </w:tr>
      <w:tr w:rsidR="00837DA7" w:rsidRPr="00233EC8" w14:paraId="7999DB6C" w14:textId="77777777" w:rsidTr="00353A9A">
        <w:tc>
          <w:tcPr>
            <w:tcW w:w="2268" w:type="dxa"/>
            <w:tcBorders>
              <w:top w:val="nil"/>
              <w:left w:val="nil"/>
              <w:bottom w:val="nil"/>
              <w:right w:val="nil"/>
            </w:tcBorders>
          </w:tcPr>
          <w:p w14:paraId="1353FB3E"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Mean</w:t>
            </w:r>
          </w:p>
        </w:tc>
        <w:tc>
          <w:tcPr>
            <w:tcW w:w="993" w:type="dxa"/>
            <w:tcBorders>
              <w:top w:val="nil"/>
              <w:left w:val="nil"/>
              <w:bottom w:val="nil"/>
              <w:right w:val="nil"/>
            </w:tcBorders>
          </w:tcPr>
          <w:p w14:paraId="17DA4235"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52.65</w:t>
            </w:r>
          </w:p>
        </w:tc>
        <w:tc>
          <w:tcPr>
            <w:tcW w:w="992" w:type="dxa"/>
            <w:tcBorders>
              <w:top w:val="nil"/>
              <w:left w:val="nil"/>
              <w:bottom w:val="nil"/>
              <w:right w:val="nil"/>
            </w:tcBorders>
          </w:tcPr>
          <w:p w14:paraId="2B2AA613"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49.51</w:t>
            </w:r>
          </w:p>
        </w:tc>
        <w:tc>
          <w:tcPr>
            <w:tcW w:w="992" w:type="dxa"/>
            <w:tcBorders>
              <w:top w:val="nil"/>
              <w:left w:val="nil"/>
              <w:bottom w:val="nil"/>
              <w:right w:val="nil"/>
            </w:tcBorders>
          </w:tcPr>
          <w:p w14:paraId="1E31F0EF"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51.66</w:t>
            </w:r>
          </w:p>
        </w:tc>
        <w:tc>
          <w:tcPr>
            <w:tcW w:w="992" w:type="dxa"/>
            <w:tcBorders>
              <w:top w:val="nil"/>
              <w:left w:val="nil"/>
              <w:bottom w:val="nil"/>
              <w:right w:val="nil"/>
            </w:tcBorders>
          </w:tcPr>
          <w:p w14:paraId="7CF4C5FB"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52.20</w:t>
            </w:r>
          </w:p>
        </w:tc>
        <w:tc>
          <w:tcPr>
            <w:tcW w:w="851" w:type="dxa"/>
            <w:tcBorders>
              <w:top w:val="nil"/>
              <w:left w:val="nil"/>
              <w:bottom w:val="nil"/>
              <w:right w:val="nil"/>
            </w:tcBorders>
          </w:tcPr>
          <w:p w14:paraId="555C211F"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53.47</w:t>
            </w:r>
          </w:p>
        </w:tc>
        <w:tc>
          <w:tcPr>
            <w:tcW w:w="850" w:type="dxa"/>
            <w:tcBorders>
              <w:top w:val="nil"/>
              <w:left w:val="nil"/>
              <w:bottom w:val="nil"/>
              <w:right w:val="nil"/>
            </w:tcBorders>
          </w:tcPr>
          <w:p w14:paraId="4A6F94AD"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53.88</w:t>
            </w:r>
          </w:p>
        </w:tc>
        <w:tc>
          <w:tcPr>
            <w:tcW w:w="1134" w:type="dxa"/>
            <w:tcBorders>
              <w:top w:val="nil"/>
              <w:left w:val="nil"/>
              <w:bottom w:val="nil"/>
              <w:right w:val="nil"/>
            </w:tcBorders>
          </w:tcPr>
          <w:p w14:paraId="35A798B3"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55.21</w:t>
            </w:r>
          </w:p>
        </w:tc>
      </w:tr>
      <w:tr w:rsidR="00837DA7" w:rsidRPr="00233EC8" w14:paraId="3202412C" w14:textId="77777777" w:rsidTr="00353A9A">
        <w:tc>
          <w:tcPr>
            <w:tcW w:w="2268" w:type="dxa"/>
            <w:tcBorders>
              <w:top w:val="nil"/>
              <w:left w:val="nil"/>
              <w:bottom w:val="nil"/>
              <w:right w:val="nil"/>
            </w:tcBorders>
          </w:tcPr>
          <w:p w14:paraId="1E83BA9E"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 xml:space="preserve">Median </w:t>
            </w:r>
          </w:p>
        </w:tc>
        <w:tc>
          <w:tcPr>
            <w:tcW w:w="993" w:type="dxa"/>
            <w:tcBorders>
              <w:top w:val="nil"/>
              <w:left w:val="nil"/>
              <w:bottom w:val="nil"/>
              <w:right w:val="nil"/>
            </w:tcBorders>
          </w:tcPr>
          <w:p w14:paraId="3E9B06F5"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55.56</w:t>
            </w:r>
          </w:p>
        </w:tc>
        <w:tc>
          <w:tcPr>
            <w:tcW w:w="992" w:type="dxa"/>
            <w:tcBorders>
              <w:top w:val="nil"/>
              <w:left w:val="nil"/>
              <w:bottom w:val="nil"/>
              <w:right w:val="nil"/>
            </w:tcBorders>
          </w:tcPr>
          <w:p w14:paraId="5C66AA63"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51.85</w:t>
            </w:r>
          </w:p>
        </w:tc>
        <w:tc>
          <w:tcPr>
            <w:tcW w:w="992" w:type="dxa"/>
            <w:tcBorders>
              <w:top w:val="nil"/>
              <w:left w:val="nil"/>
              <w:bottom w:val="nil"/>
              <w:right w:val="nil"/>
            </w:tcBorders>
          </w:tcPr>
          <w:p w14:paraId="69A37972"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55.56</w:t>
            </w:r>
          </w:p>
        </w:tc>
        <w:tc>
          <w:tcPr>
            <w:tcW w:w="992" w:type="dxa"/>
            <w:tcBorders>
              <w:top w:val="nil"/>
              <w:left w:val="nil"/>
              <w:bottom w:val="nil"/>
              <w:right w:val="nil"/>
            </w:tcBorders>
          </w:tcPr>
          <w:p w14:paraId="3F76F051"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55.56</w:t>
            </w:r>
          </w:p>
        </w:tc>
        <w:tc>
          <w:tcPr>
            <w:tcW w:w="851" w:type="dxa"/>
            <w:tcBorders>
              <w:top w:val="nil"/>
              <w:left w:val="nil"/>
              <w:bottom w:val="nil"/>
              <w:right w:val="nil"/>
            </w:tcBorders>
          </w:tcPr>
          <w:p w14:paraId="50EE2E77"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55.56</w:t>
            </w:r>
          </w:p>
        </w:tc>
        <w:tc>
          <w:tcPr>
            <w:tcW w:w="850" w:type="dxa"/>
            <w:tcBorders>
              <w:top w:val="nil"/>
              <w:left w:val="nil"/>
              <w:bottom w:val="nil"/>
              <w:right w:val="nil"/>
            </w:tcBorders>
          </w:tcPr>
          <w:p w14:paraId="5C79594E"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55.56</w:t>
            </w:r>
          </w:p>
        </w:tc>
        <w:tc>
          <w:tcPr>
            <w:tcW w:w="1134" w:type="dxa"/>
            <w:tcBorders>
              <w:top w:val="nil"/>
              <w:left w:val="nil"/>
              <w:bottom w:val="nil"/>
              <w:right w:val="nil"/>
            </w:tcBorders>
          </w:tcPr>
          <w:p w14:paraId="3663E984"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55.56</w:t>
            </w:r>
          </w:p>
        </w:tc>
      </w:tr>
      <w:tr w:rsidR="00837DA7" w:rsidRPr="00233EC8" w14:paraId="47D78624" w14:textId="77777777" w:rsidTr="00353A9A">
        <w:tc>
          <w:tcPr>
            <w:tcW w:w="2268" w:type="dxa"/>
            <w:tcBorders>
              <w:top w:val="nil"/>
              <w:left w:val="nil"/>
              <w:bottom w:val="nil"/>
              <w:right w:val="nil"/>
            </w:tcBorders>
          </w:tcPr>
          <w:p w14:paraId="1B8B151F"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STD</w:t>
            </w:r>
          </w:p>
        </w:tc>
        <w:tc>
          <w:tcPr>
            <w:tcW w:w="993" w:type="dxa"/>
            <w:tcBorders>
              <w:top w:val="nil"/>
              <w:left w:val="nil"/>
              <w:bottom w:val="nil"/>
              <w:right w:val="nil"/>
            </w:tcBorders>
          </w:tcPr>
          <w:p w14:paraId="41B5FB76"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10.99</w:t>
            </w:r>
          </w:p>
        </w:tc>
        <w:tc>
          <w:tcPr>
            <w:tcW w:w="992" w:type="dxa"/>
            <w:tcBorders>
              <w:top w:val="nil"/>
              <w:left w:val="nil"/>
              <w:bottom w:val="nil"/>
              <w:right w:val="nil"/>
            </w:tcBorders>
          </w:tcPr>
          <w:p w14:paraId="7D7CB65B"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11.42</w:t>
            </w:r>
          </w:p>
        </w:tc>
        <w:tc>
          <w:tcPr>
            <w:tcW w:w="992" w:type="dxa"/>
            <w:tcBorders>
              <w:top w:val="nil"/>
              <w:left w:val="nil"/>
              <w:bottom w:val="nil"/>
              <w:right w:val="nil"/>
            </w:tcBorders>
          </w:tcPr>
          <w:p w14:paraId="346CAEC1"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11.31</w:t>
            </w:r>
          </w:p>
        </w:tc>
        <w:tc>
          <w:tcPr>
            <w:tcW w:w="992" w:type="dxa"/>
            <w:tcBorders>
              <w:top w:val="nil"/>
              <w:left w:val="nil"/>
              <w:bottom w:val="nil"/>
              <w:right w:val="nil"/>
            </w:tcBorders>
          </w:tcPr>
          <w:p w14:paraId="4878F8F4"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11.52</w:t>
            </w:r>
          </w:p>
        </w:tc>
        <w:tc>
          <w:tcPr>
            <w:tcW w:w="851" w:type="dxa"/>
            <w:tcBorders>
              <w:top w:val="nil"/>
              <w:left w:val="nil"/>
              <w:bottom w:val="nil"/>
              <w:right w:val="nil"/>
            </w:tcBorders>
          </w:tcPr>
          <w:p w14:paraId="63F3967C"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10.47</w:t>
            </w:r>
          </w:p>
        </w:tc>
        <w:tc>
          <w:tcPr>
            <w:tcW w:w="850" w:type="dxa"/>
            <w:tcBorders>
              <w:top w:val="nil"/>
              <w:left w:val="nil"/>
              <w:bottom w:val="nil"/>
              <w:right w:val="nil"/>
            </w:tcBorders>
          </w:tcPr>
          <w:p w14:paraId="12E0F7D4"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10.57</w:t>
            </w:r>
          </w:p>
        </w:tc>
        <w:tc>
          <w:tcPr>
            <w:tcW w:w="1134" w:type="dxa"/>
            <w:tcBorders>
              <w:top w:val="nil"/>
              <w:left w:val="nil"/>
              <w:bottom w:val="nil"/>
              <w:right w:val="nil"/>
            </w:tcBorders>
          </w:tcPr>
          <w:p w14:paraId="5B903F41"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9.88</w:t>
            </w:r>
          </w:p>
        </w:tc>
      </w:tr>
      <w:tr w:rsidR="00837DA7" w:rsidRPr="00233EC8" w14:paraId="732A2AF1" w14:textId="77777777" w:rsidTr="00353A9A">
        <w:tc>
          <w:tcPr>
            <w:tcW w:w="2268" w:type="dxa"/>
            <w:tcBorders>
              <w:top w:val="nil"/>
              <w:left w:val="nil"/>
              <w:bottom w:val="nil"/>
              <w:right w:val="nil"/>
            </w:tcBorders>
          </w:tcPr>
          <w:p w14:paraId="3241F1A4"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Minimum</w:t>
            </w:r>
          </w:p>
        </w:tc>
        <w:tc>
          <w:tcPr>
            <w:tcW w:w="993" w:type="dxa"/>
            <w:tcBorders>
              <w:top w:val="nil"/>
              <w:left w:val="nil"/>
              <w:bottom w:val="nil"/>
              <w:right w:val="nil"/>
            </w:tcBorders>
          </w:tcPr>
          <w:p w14:paraId="26DFDCE6"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14.81</w:t>
            </w:r>
          </w:p>
        </w:tc>
        <w:tc>
          <w:tcPr>
            <w:tcW w:w="992" w:type="dxa"/>
            <w:tcBorders>
              <w:top w:val="nil"/>
              <w:left w:val="nil"/>
              <w:bottom w:val="nil"/>
              <w:right w:val="nil"/>
            </w:tcBorders>
          </w:tcPr>
          <w:p w14:paraId="752A1F7F"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14.81</w:t>
            </w:r>
          </w:p>
        </w:tc>
        <w:tc>
          <w:tcPr>
            <w:tcW w:w="992" w:type="dxa"/>
            <w:tcBorders>
              <w:top w:val="nil"/>
              <w:left w:val="nil"/>
              <w:bottom w:val="nil"/>
              <w:right w:val="nil"/>
            </w:tcBorders>
          </w:tcPr>
          <w:p w14:paraId="6C0730F6"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14.81</w:t>
            </w:r>
          </w:p>
        </w:tc>
        <w:tc>
          <w:tcPr>
            <w:tcW w:w="992" w:type="dxa"/>
            <w:tcBorders>
              <w:top w:val="nil"/>
              <w:left w:val="nil"/>
              <w:bottom w:val="nil"/>
              <w:right w:val="nil"/>
            </w:tcBorders>
          </w:tcPr>
          <w:p w14:paraId="6AEE47DF"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14.81</w:t>
            </w:r>
          </w:p>
        </w:tc>
        <w:tc>
          <w:tcPr>
            <w:tcW w:w="851" w:type="dxa"/>
            <w:tcBorders>
              <w:top w:val="nil"/>
              <w:left w:val="nil"/>
              <w:bottom w:val="nil"/>
              <w:right w:val="nil"/>
            </w:tcBorders>
          </w:tcPr>
          <w:p w14:paraId="5248359D"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18.52</w:t>
            </w:r>
          </w:p>
        </w:tc>
        <w:tc>
          <w:tcPr>
            <w:tcW w:w="850" w:type="dxa"/>
            <w:tcBorders>
              <w:top w:val="nil"/>
              <w:left w:val="nil"/>
              <w:bottom w:val="nil"/>
              <w:right w:val="nil"/>
            </w:tcBorders>
          </w:tcPr>
          <w:p w14:paraId="373DAEC3"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18.52</w:t>
            </w:r>
          </w:p>
        </w:tc>
        <w:tc>
          <w:tcPr>
            <w:tcW w:w="1134" w:type="dxa"/>
            <w:tcBorders>
              <w:top w:val="nil"/>
              <w:left w:val="nil"/>
              <w:bottom w:val="nil"/>
              <w:right w:val="nil"/>
            </w:tcBorders>
          </w:tcPr>
          <w:p w14:paraId="546649CD"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18.52</w:t>
            </w:r>
          </w:p>
        </w:tc>
      </w:tr>
      <w:tr w:rsidR="00837DA7" w:rsidRPr="00233EC8" w14:paraId="66EC3B09" w14:textId="77777777" w:rsidTr="00353A9A">
        <w:tc>
          <w:tcPr>
            <w:tcW w:w="2268" w:type="dxa"/>
            <w:tcBorders>
              <w:top w:val="nil"/>
              <w:left w:val="nil"/>
              <w:bottom w:val="nil"/>
              <w:right w:val="nil"/>
            </w:tcBorders>
          </w:tcPr>
          <w:p w14:paraId="33BE47DA"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Maximum</w:t>
            </w:r>
          </w:p>
        </w:tc>
        <w:tc>
          <w:tcPr>
            <w:tcW w:w="993" w:type="dxa"/>
            <w:tcBorders>
              <w:top w:val="nil"/>
              <w:left w:val="nil"/>
              <w:bottom w:val="nil"/>
              <w:right w:val="nil"/>
            </w:tcBorders>
          </w:tcPr>
          <w:p w14:paraId="25D74A0B"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74.07</w:t>
            </w:r>
          </w:p>
        </w:tc>
        <w:tc>
          <w:tcPr>
            <w:tcW w:w="992" w:type="dxa"/>
            <w:tcBorders>
              <w:top w:val="nil"/>
              <w:left w:val="nil"/>
              <w:bottom w:val="nil"/>
              <w:right w:val="nil"/>
            </w:tcBorders>
          </w:tcPr>
          <w:p w14:paraId="4F404549"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70.37</w:t>
            </w:r>
          </w:p>
        </w:tc>
        <w:tc>
          <w:tcPr>
            <w:tcW w:w="992" w:type="dxa"/>
            <w:tcBorders>
              <w:top w:val="nil"/>
              <w:left w:val="nil"/>
              <w:bottom w:val="nil"/>
              <w:right w:val="nil"/>
            </w:tcBorders>
          </w:tcPr>
          <w:p w14:paraId="6FAEF1AF"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70.37</w:t>
            </w:r>
          </w:p>
        </w:tc>
        <w:tc>
          <w:tcPr>
            <w:tcW w:w="992" w:type="dxa"/>
            <w:tcBorders>
              <w:top w:val="nil"/>
              <w:left w:val="nil"/>
              <w:bottom w:val="nil"/>
              <w:right w:val="nil"/>
            </w:tcBorders>
          </w:tcPr>
          <w:p w14:paraId="257AC38E"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74.07</w:t>
            </w:r>
          </w:p>
        </w:tc>
        <w:tc>
          <w:tcPr>
            <w:tcW w:w="851" w:type="dxa"/>
            <w:tcBorders>
              <w:top w:val="nil"/>
              <w:left w:val="nil"/>
              <w:bottom w:val="nil"/>
              <w:right w:val="nil"/>
            </w:tcBorders>
          </w:tcPr>
          <w:p w14:paraId="71ACF786"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74.07</w:t>
            </w:r>
          </w:p>
        </w:tc>
        <w:tc>
          <w:tcPr>
            <w:tcW w:w="850" w:type="dxa"/>
            <w:tcBorders>
              <w:top w:val="nil"/>
              <w:left w:val="nil"/>
              <w:bottom w:val="nil"/>
              <w:right w:val="nil"/>
            </w:tcBorders>
          </w:tcPr>
          <w:p w14:paraId="13A0C0D3"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74.07</w:t>
            </w:r>
          </w:p>
        </w:tc>
        <w:tc>
          <w:tcPr>
            <w:tcW w:w="1134" w:type="dxa"/>
            <w:tcBorders>
              <w:top w:val="nil"/>
              <w:left w:val="nil"/>
              <w:bottom w:val="nil"/>
              <w:right w:val="nil"/>
            </w:tcBorders>
          </w:tcPr>
          <w:p w14:paraId="19121CEC"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74.07</w:t>
            </w:r>
          </w:p>
        </w:tc>
      </w:tr>
      <w:tr w:rsidR="00837DA7" w:rsidRPr="00233EC8" w14:paraId="49D17B71" w14:textId="77777777" w:rsidTr="00353A9A">
        <w:tc>
          <w:tcPr>
            <w:tcW w:w="9072" w:type="dxa"/>
            <w:gridSpan w:val="8"/>
            <w:tcBorders>
              <w:top w:val="nil"/>
              <w:left w:val="nil"/>
              <w:bottom w:val="nil"/>
              <w:right w:val="nil"/>
            </w:tcBorders>
          </w:tcPr>
          <w:p w14:paraId="0FA1B60B" w14:textId="77777777" w:rsidR="00837DA7" w:rsidRPr="006F6FA7" w:rsidRDefault="00837DA7" w:rsidP="00353A9A">
            <w:pPr>
              <w:rPr>
                <w:rFonts w:asciiTheme="majorBidi" w:hAnsiTheme="majorBidi"/>
                <w:sz w:val="20"/>
                <w:szCs w:val="18"/>
                <w:lang w:val="en-US"/>
              </w:rPr>
            </w:pPr>
            <w:r w:rsidRPr="00EC325C">
              <w:rPr>
                <w:rFonts w:asciiTheme="majorBidi" w:hAnsiTheme="majorBidi"/>
                <w:b/>
                <w:bCs/>
                <w:i/>
                <w:iCs/>
                <w:sz w:val="20"/>
                <w:szCs w:val="18"/>
              </w:rPr>
              <w:t xml:space="preserve">Panel </w:t>
            </w:r>
            <w:r>
              <w:rPr>
                <w:rFonts w:asciiTheme="majorBidi" w:hAnsiTheme="majorBidi"/>
                <w:b/>
                <w:bCs/>
                <w:i/>
                <w:iCs/>
                <w:sz w:val="20"/>
                <w:szCs w:val="18"/>
              </w:rPr>
              <w:t>5</w:t>
            </w:r>
            <w:r w:rsidRPr="00EC325C">
              <w:rPr>
                <w:rFonts w:asciiTheme="majorBidi" w:hAnsiTheme="majorBidi"/>
                <w:b/>
                <w:bCs/>
                <w:i/>
                <w:iCs/>
                <w:sz w:val="20"/>
                <w:szCs w:val="18"/>
              </w:rPr>
              <w:t>:  Performance evaluation, rewards and pay (%)</w:t>
            </w:r>
          </w:p>
        </w:tc>
      </w:tr>
      <w:tr w:rsidR="00837DA7" w:rsidRPr="00233EC8" w14:paraId="0F56ABBD" w14:textId="77777777" w:rsidTr="00353A9A">
        <w:tc>
          <w:tcPr>
            <w:tcW w:w="2268" w:type="dxa"/>
            <w:tcBorders>
              <w:top w:val="nil"/>
              <w:left w:val="nil"/>
              <w:bottom w:val="nil"/>
              <w:right w:val="nil"/>
            </w:tcBorders>
          </w:tcPr>
          <w:p w14:paraId="047987C7"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Mean</w:t>
            </w:r>
          </w:p>
        </w:tc>
        <w:tc>
          <w:tcPr>
            <w:tcW w:w="993" w:type="dxa"/>
            <w:tcBorders>
              <w:top w:val="nil"/>
              <w:left w:val="nil"/>
              <w:bottom w:val="nil"/>
              <w:right w:val="nil"/>
            </w:tcBorders>
          </w:tcPr>
          <w:p w14:paraId="455A9C15"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24.98</w:t>
            </w:r>
          </w:p>
        </w:tc>
        <w:tc>
          <w:tcPr>
            <w:tcW w:w="992" w:type="dxa"/>
            <w:tcBorders>
              <w:top w:val="nil"/>
              <w:left w:val="nil"/>
              <w:bottom w:val="nil"/>
              <w:right w:val="nil"/>
            </w:tcBorders>
          </w:tcPr>
          <w:p w14:paraId="4022B3B6"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23.23</w:t>
            </w:r>
          </w:p>
        </w:tc>
        <w:tc>
          <w:tcPr>
            <w:tcW w:w="992" w:type="dxa"/>
            <w:tcBorders>
              <w:top w:val="nil"/>
              <w:left w:val="nil"/>
              <w:bottom w:val="nil"/>
              <w:right w:val="nil"/>
            </w:tcBorders>
          </w:tcPr>
          <w:p w14:paraId="0E551E0B"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24.09</w:t>
            </w:r>
          </w:p>
        </w:tc>
        <w:tc>
          <w:tcPr>
            <w:tcW w:w="992" w:type="dxa"/>
            <w:tcBorders>
              <w:top w:val="nil"/>
              <w:left w:val="nil"/>
              <w:bottom w:val="nil"/>
              <w:right w:val="nil"/>
            </w:tcBorders>
          </w:tcPr>
          <w:p w14:paraId="726E4610"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24.67</w:t>
            </w:r>
          </w:p>
        </w:tc>
        <w:tc>
          <w:tcPr>
            <w:tcW w:w="851" w:type="dxa"/>
            <w:tcBorders>
              <w:top w:val="nil"/>
              <w:left w:val="nil"/>
              <w:bottom w:val="nil"/>
              <w:right w:val="nil"/>
            </w:tcBorders>
          </w:tcPr>
          <w:p w14:paraId="0B82CB40"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25.17</w:t>
            </w:r>
          </w:p>
        </w:tc>
        <w:tc>
          <w:tcPr>
            <w:tcW w:w="850" w:type="dxa"/>
            <w:tcBorders>
              <w:top w:val="nil"/>
              <w:left w:val="nil"/>
              <w:bottom w:val="nil"/>
              <w:right w:val="nil"/>
            </w:tcBorders>
          </w:tcPr>
          <w:p w14:paraId="33BC1E68"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25.84</w:t>
            </w:r>
          </w:p>
        </w:tc>
        <w:tc>
          <w:tcPr>
            <w:tcW w:w="1134" w:type="dxa"/>
            <w:tcBorders>
              <w:top w:val="nil"/>
              <w:left w:val="nil"/>
              <w:bottom w:val="nil"/>
              <w:right w:val="nil"/>
            </w:tcBorders>
          </w:tcPr>
          <w:p w14:paraId="52E7528C"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26.88</w:t>
            </w:r>
          </w:p>
        </w:tc>
      </w:tr>
      <w:tr w:rsidR="00837DA7" w:rsidRPr="00233EC8" w14:paraId="2BFA14CD" w14:textId="77777777" w:rsidTr="00353A9A">
        <w:tc>
          <w:tcPr>
            <w:tcW w:w="2268" w:type="dxa"/>
            <w:tcBorders>
              <w:top w:val="nil"/>
              <w:left w:val="nil"/>
              <w:bottom w:val="nil"/>
              <w:right w:val="nil"/>
            </w:tcBorders>
          </w:tcPr>
          <w:p w14:paraId="0B073433"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 xml:space="preserve">Median </w:t>
            </w:r>
          </w:p>
        </w:tc>
        <w:tc>
          <w:tcPr>
            <w:tcW w:w="993" w:type="dxa"/>
            <w:tcBorders>
              <w:top w:val="nil"/>
              <w:left w:val="nil"/>
              <w:bottom w:val="nil"/>
              <w:right w:val="nil"/>
            </w:tcBorders>
          </w:tcPr>
          <w:p w14:paraId="2E6A4765"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22.73</w:t>
            </w:r>
          </w:p>
        </w:tc>
        <w:tc>
          <w:tcPr>
            <w:tcW w:w="992" w:type="dxa"/>
            <w:tcBorders>
              <w:top w:val="nil"/>
              <w:left w:val="nil"/>
              <w:bottom w:val="nil"/>
              <w:right w:val="nil"/>
            </w:tcBorders>
          </w:tcPr>
          <w:p w14:paraId="3E41B061"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22.73</w:t>
            </w:r>
          </w:p>
        </w:tc>
        <w:tc>
          <w:tcPr>
            <w:tcW w:w="992" w:type="dxa"/>
            <w:tcBorders>
              <w:top w:val="nil"/>
              <w:left w:val="nil"/>
              <w:bottom w:val="nil"/>
              <w:right w:val="nil"/>
            </w:tcBorders>
          </w:tcPr>
          <w:p w14:paraId="79184609"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22.73</w:t>
            </w:r>
          </w:p>
        </w:tc>
        <w:tc>
          <w:tcPr>
            <w:tcW w:w="992" w:type="dxa"/>
            <w:tcBorders>
              <w:top w:val="nil"/>
              <w:left w:val="nil"/>
              <w:bottom w:val="nil"/>
              <w:right w:val="nil"/>
            </w:tcBorders>
          </w:tcPr>
          <w:p w14:paraId="3343CE71"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22.73</w:t>
            </w:r>
          </w:p>
        </w:tc>
        <w:tc>
          <w:tcPr>
            <w:tcW w:w="851" w:type="dxa"/>
            <w:tcBorders>
              <w:top w:val="nil"/>
              <w:left w:val="nil"/>
              <w:bottom w:val="nil"/>
              <w:right w:val="nil"/>
            </w:tcBorders>
          </w:tcPr>
          <w:p w14:paraId="4B53929A"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22.73</w:t>
            </w:r>
          </w:p>
        </w:tc>
        <w:tc>
          <w:tcPr>
            <w:tcW w:w="850" w:type="dxa"/>
            <w:tcBorders>
              <w:top w:val="nil"/>
              <w:left w:val="nil"/>
              <w:bottom w:val="nil"/>
              <w:right w:val="nil"/>
            </w:tcBorders>
          </w:tcPr>
          <w:p w14:paraId="602BF7B5"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22.73</w:t>
            </w:r>
          </w:p>
        </w:tc>
        <w:tc>
          <w:tcPr>
            <w:tcW w:w="1134" w:type="dxa"/>
            <w:tcBorders>
              <w:top w:val="nil"/>
              <w:left w:val="nil"/>
              <w:bottom w:val="nil"/>
              <w:right w:val="nil"/>
            </w:tcBorders>
          </w:tcPr>
          <w:p w14:paraId="11CACBD3"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22.73</w:t>
            </w:r>
          </w:p>
        </w:tc>
      </w:tr>
      <w:tr w:rsidR="00837DA7" w:rsidRPr="00233EC8" w14:paraId="6CA16D15" w14:textId="77777777" w:rsidTr="00353A9A">
        <w:tc>
          <w:tcPr>
            <w:tcW w:w="2268" w:type="dxa"/>
            <w:tcBorders>
              <w:top w:val="nil"/>
              <w:left w:val="nil"/>
              <w:bottom w:val="nil"/>
              <w:right w:val="nil"/>
            </w:tcBorders>
          </w:tcPr>
          <w:p w14:paraId="33FCCA53"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STD</w:t>
            </w:r>
          </w:p>
        </w:tc>
        <w:tc>
          <w:tcPr>
            <w:tcW w:w="993" w:type="dxa"/>
            <w:tcBorders>
              <w:top w:val="nil"/>
              <w:left w:val="nil"/>
              <w:bottom w:val="nil"/>
              <w:right w:val="nil"/>
            </w:tcBorders>
          </w:tcPr>
          <w:p w14:paraId="03EAA16E"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13.04</w:t>
            </w:r>
          </w:p>
        </w:tc>
        <w:tc>
          <w:tcPr>
            <w:tcW w:w="992" w:type="dxa"/>
            <w:tcBorders>
              <w:top w:val="nil"/>
              <w:left w:val="nil"/>
              <w:bottom w:val="nil"/>
              <w:right w:val="nil"/>
            </w:tcBorders>
          </w:tcPr>
          <w:p w14:paraId="5B3FB32E"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11.87</w:t>
            </w:r>
          </w:p>
        </w:tc>
        <w:tc>
          <w:tcPr>
            <w:tcW w:w="992" w:type="dxa"/>
            <w:tcBorders>
              <w:top w:val="nil"/>
              <w:left w:val="nil"/>
              <w:bottom w:val="nil"/>
              <w:right w:val="nil"/>
            </w:tcBorders>
          </w:tcPr>
          <w:p w14:paraId="35C9CAB9"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12.24</w:t>
            </w:r>
          </w:p>
        </w:tc>
        <w:tc>
          <w:tcPr>
            <w:tcW w:w="992" w:type="dxa"/>
            <w:tcBorders>
              <w:top w:val="nil"/>
              <w:left w:val="nil"/>
              <w:bottom w:val="nil"/>
              <w:right w:val="nil"/>
            </w:tcBorders>
          </w:tcPr>
          <w:p w14:paraId="1972DAF9"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13.18</w:t>
            </w:r>
          </w:p>
        </w:tc>
        <w:tc>
          <w:tcPr>
            <w:tcW w:w="851" w:type="dxa"/>
            <w:tcBorders>
              <w:top w:val="nil"/>
              <w:left w:val="nil"/>
              <w:bottom w:val="nil"/>
              <w:right w:val="nil"/>
            </w:tcBorders>
          </w:tcPr>
          <w:p w14:paraId="66474C09"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13.35</w:t>
            </w:r>
          </w:p>
        </w:tc>
        <w:tc>
          <w:tcPr>
            <w:tcW w:w="850" w:type="dxa"/>
            <w:tcBorders>
              <w:top w:val="nil"/>
              <w:left w:val="nil"/>
              <w:bottom w:val="nil"/>
              <w:right w:val="nil"/>
            </w:tcBorders>
          </w:tcPr>
          <w:p w14:paraId="583CDD58"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13.75</w:t>
            </w:r>
          </w:p>
        </w:tc>
        <w:tc>
          <w:tcPr>
            <w:tcW w:w="1134" w:type="dxa"/>
            <w:tcBorders>
              <w:top w:val="nil"/>
              <w:left w:val="nil"/>
              <w:bottom w:val="nil"/>
              <w:right w:val="nil"/>
            </w:tcBorders>
          </w:tcPr>
          <w:p w14:paraId="32045E46"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13.70</w:t>
            </w:r>
          </w:p>
        </w:tc>
      </w:tr>
      <w:tr w:rsidR="00837DA7" w:rsidRPr="00233EC8" w14:paraId="22BB4A87" w14:textId="77777777" w:rsidTr="00353A9A">
        <w:tc>
          <w:tcPr>
            <w:tcW w:w="2268" w:type="dxa"/>
            <w:tcBorders>
              <w:top w:val="nil"/>
              <w:left w:val="nil"/>
              <w:bottom w:val="nil"/>
              <w:right w:val="nil"/>
            </w:tcBorders>
          </w:tcPr>
          <w:p w14:paraId="07E2ADA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Minimum</w:t>
            </w:r>
          </w:p>
        </w:tc>
        <w:tc>
          <w:tcPr>
            <w:tcW w:w="993" w:type="dxa"/>
            <w:tcBorders>
              <w:top w:val="nil"/>
              <w:left w:val="nil"/>
              <w:bottom w:val="nil"/>
              <w:right w:val="nil"/>
            </w:tcBorders>
          </w:tcPr>
          <w:p w14:paraId="1E2D80D2"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 xml:space="preserve">  0.00</w:t>
            </w:r>
          </w:p>
        </w:tc>
        <w:tc>
          <w:tcPr>
            <w:tcW w:w="992" w:type="dxa"/>
            <w:tcBorders>
              <w:top w:val="nil"/>
              <w:left w:val="nil"/>
              <w:bottom w:val="nil"/>
              <w:right w:val="nil"/>
            </w:tcBorders>
          </w:tcPr>
          <w:p w14:paraId="52B3A9E4"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 xml:space="preserve">  0.00</w:t>
            </w:r>
          </w:p>
        </w:tc>
        <w:tc>
          <w:tcPr>
            <w:tcW w:w="992" w:type="dxa"/>
            <w:tcBorders>
              <w:top w:val="nil"/>
              <w:left w:val="nil"/>
              <w:bottom w:val="nil"/>
              <w:right w:val="nil"/>
            </w:tcBorders>
          </w:tcPr>
          <w:p w14:paraId="5189731B"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 xml:space="preserve">  0.00</w:t>
            </w:r>
          </w:p>
        </w:tc>
        <w:tc>
          <w:tcPr>
            <w:tcW w:w="992" w:type="dxa"/>
            <w:tcBorders>
              <w:top w:val="nil"/>
              <w:left w:val="nil"/>
              <w:bottom w:val="nil"/>
              <w:right w:val="nil"/>
            </w:tcBorders>
          </w:tcPr>
          <w:p w14:paraId="2111C680"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 xml:space="preserve">  0.00</w:t>
            </w:r>
          </w:p>
        </w:tc>
        <w:tc>
          <w:tcPr>
            <w:tcW w:w="851" w:type="dxa"/>
            <w:tcBorders>
              <w:top w:val="nil"/>
              <w:left w:val="nil"/>
              <w:bottom w:val="nil"/>
              <w:right w:val="nil"/>
            </w:tcBorders>
          </w:tcPr>
          <w:p w14:paraId="41F8E15C"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 xml:space="preserve">  0.00</w:t>
            </w:r>
          </w:p>
        </w:tc>
        <w:tc>
          <w:tcPr>
            <w:tcW w:w="850" w:type="dxa"/>
            <w:tcBorders>
              <w:top w:val="nil"/>
              <w:left w:val="nil"/>
              <w:bottom w:val="nil"/>
              <w:right w:val="nil"/>
            </w:tcBorders>
          </w:tcPr>
          <w:p w14:paraId="03EA5D7E"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 xml:space="preserve">  0.00</w:t>
            </w:r>
          </w:p>
        </w:tc>
        <w:tc>
          <w:tcPr>
            <w:tcW w:w="1134" w:type="dxa"/>
            <w:tcBorders>
              <w:top w:val="nil"/>
              <w:left w:val="nil"/>
              <w:bottom w:val="nil"/>
              <w:right w:val="nil"/>
            </w:tcBorders>
          </w:tcPr>
          <w:p w14:paraId="511160CC"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 xml:space="preserve">  0.00</w:t>
            </w:r>
          </w:p>
        </w:tc>
      </w:tr>
      <w:tr w:rsidR="00837DA7" w:rsidRPr="00233EC8" w14:paraId="077DFD99" w14:textId="77777777" w:rsidTr="00353A9A">
        <w:tc>
          <w:tcPr>
            <w:tcW w:w="2268" w:type="dxa"/>
            <w:tcBorders>
              <w:top w:val="nil"/>
              <w:left w:val="nil"/>
              <w:bottom w:val="nil"/>
              <w:right w:val="nil"/>
            </w:tcBorders>
          </w:tcPr>
          <w:p w14:paraId="0626DD69"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Maximum</w:t>
            </w:r>
          </w:p>
        </w:tc>
        <w:tc>
          <w:tcPr>
            <w:tcW w:w="993" w:type="dxa"/>
            <w:tcBorders>
              <w:top w:val="nil"/>
              <w:left w:val="nil"/>
              <w:bottom w:val="nil"/>
              <w:right w:val="nil"/>
            </w:tcBorders>
          </w:tcPr>
          <w:p w14:paraId="1C08B9BF"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72.73</w:t>
            </w:r>
          </w:p>
        </w:tc>
        <w:tc>
          <w:tcPr>
            <w:tcW w:w="992" w:type="dxa"/>
            <w:tcBorders>
              <w:top w:val="nil"/>
              <w:left w:val="nil"/>
              <w:bottom w:val="nil"/>
              <w:right w:val="nil"/>
            </w:tcBorders>
          </w:tcPr>
          <w:p w14:paraId="15CA9B7F"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63.64</w:t>
            </w:r>
          </w:p>
        </w:tc>
        <w:tc>
          <w:tcPr>
            <w:tcW w:w="992" w:type="dxa"/>
            <w:tcBorders>
              <w:top w:val="nil"/>
              <w:left w:val="nil"/>
              <w:bottom w:val="nil"/>
              <w:right w:val="nil"/>
            </w:tcBorders>
          </w:tcPr>
          <w:p w14:paraId="18BC1914"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68.18</w:t>
            </w:r>
          </w:p>
        </w:tc>
        <w:tc>
          <w:tcPr>
            <w:tcW w:w="992" w:type="dxa"/>
            <w:tcBorders>
              <w:top w:val="nil"/>
              <w:left w:val="nil"/>
              <w:bottom w:val="nil"/>
              <w:right w:val="nil"/>
            </w:tcBorders>
          </w:tcPr>
          <w:p w14:paraId="031AC1C0"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72.73</w:t>
            </w:r>
          </w:p>
        </w:tc>
        <w:tc>
          <w:tcPr>
            <w:tcW w:w="851" w:type="dxa"/>
            <w:tcBorders>
              <w:top w:val="nil"/>
              <w:left w:val="nil"/>
              <w:bottom w:val="nil"/>
              <w:right w:val="nil"/>
            </w:tcBorders>
          </w:tcPr>
          <w:p w14:paraId="3487A00B"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72.73</w:t>
            </w:r>
          </w:p>
        </w:tc>
        <w:tc>
          <w:tcPr>
            <w:tcW w:w="850" w:type="dxa"/>
            <w:tcBorders>
              <w:top w:val="nil"/>
              <w:left w:val="nil"/>
              <w:bottom w:val="nil"/>
              <w:right w:val="nil"/>
            </w:tcBorders>
          </w:tcPr>
          <w:p w14:paraId="52138FCD"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72.73</w:t>
            </w:r>
          </w:p>
        </w:tc>
        <w:tc>
          <w:tcPr>
            <w:tcW w:w="1134" w:type="dxa"/>
            <w:tcBorders>
              <w:top w:val="nil"/>
              <w:left w:val="nil"/>
              <w:bottom w:val="nil"/>
              <w:right w:val="nil"/>
            </w:tcBorders>
          </w:tcPr>
          <w:p w14:paraId="53809918" w14:textId="77777777" w:rsidR="00837DA7" w:rsidRPr="006F6FA7" w:rsidRDefault="00837DA7" w:rsidP="00353A9A">
            <w:pPr>
              <w:rPr>
                <w:rFonts w:asciiTheme="majorBidi" w:hAnsiTheme="majorBidi" w:cstheme="majorBidi"/>
                <w:sz w:val="20"/>
                <w:szCs w:val="18"/>
              </w:rPr>
            </w:pPr>
            <w:r w:rsidRPr="006F6FA7">
              <w:rPr>
                <w:rFonts w:asciiTheme="majorBidi" w:hAnsiTheme="majorBidi"/>
                <w:sz w:val="20"/>
                <w:szCs w:val="18"/>
                <w:lang w:val="en-US"/>
              </w:rPr>
              <w:t>72.73</w:t>
            </w:r>
          </w:p>
        </w:tc>
      </w:tr>
      <w:tr w:rsidR="00837DA7" w:rsidRPr="00233EC8" w14:paraId="67790BB1" w14:textId="77777777" w:rsidTr="00353A9A">
        <w:tc>
          <w:tcPr>
            <w:tcW w:w="9072" w:type="dxa"/>
            <w:gridSpan w:val="8"/>
            <w:tcBorders>
              <w:top w:val="nil"/>
              <w:left w:val="nil"/>
              <w:bottom w:val="nil"/>
              <w:right w:val="nil"/>
            </w:tcBorders>
          </w:tcPr>
          <w:p w14:paraId="07767BD3" w14:textId="77777777" w:rsidR="00837DA7" w:rsidRPr="006F6FA7" w:rsidRDefault="00837DA7" w:rsidP="00353A9A">
            <w:pPr>
              <w:rPr>
                <w:rFonts w:asciiTheme="majorBidi" w:hAnsiTheme="majorBidi"/>
                <w:sz w:val="20"/>
                <w:szCs w:val="18"/>
                <w:lang w:val="en-US"/>
              </w:rPr>
            </w:pPr>
            <w:r w:rsidRPr="00EC325C">
              <w:rPr>
                <w:rFonts w:asciiTheme="majorBidi" w:hAnsiTheme="majorBidi"/>
                <w:b/>
                <w:bCs/>
                <w:i/>
                <w:iCs/>
                <w:sz w:val="20"/>
                <w:szCs w:val="18"/>
              </w:rPr>
              <w:t xml:space="preserve">Panel </w:t>
            </w:r>
            <w:r>
              <w:rPr>
                <w:rFonts w:asciiTheme="majorBidi" w:hAnsiTheme="majorBidi"/>
                <w:b/>
                <w:bCs/>
                <w:i/>
                <w:iCs/>
                <w:sz w:val="20"/>
                <w:szCs w:val="18"/>
              </w:rPr>
              <w:t>6</w:t>
            </w:r>
            <w:r w:rsidRPr="00EC325C">
              <w:rPr>
                <w:rFonts w:asciiTheme="majorBidi" w:hAnsiTheme="majorBidi"/>
                <w:b/>
                <w:bCs/>
                <w:i/>
                <w:iCs/>
                <w:sz w:val="20"/>
                <w:szCs w:val="18"/>
              </w:rPr>
              <w:t>:  Accounting, auditing and accountability (%)</w:t>
            </w:r>
          </w:p>
        </w:tc>
      </w:tr>
      <w:tr w:rsidR="00837DA7" w:rsidRPr="00233EC8" w14:paraId="0B1A18D3" w14:textId="77777777" w:rsidTr="00353A9A">
        <w:tc>
          <w:tcPr>
            <w:tcW w:w="2268" w:type="dxa"/>
            <w:tcBorders>
              <w:top w:val="nil"/>
              <w:left w:val="nil"/>
              <w:bottom w:val="nil"/>
              <w:right w:val="nil"/>
            </w:tcBorders>
          </w:tcPr>
          <w:p w14:paraId="29C26E6D"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Mean</w:t>
            </w:r>
          </w:p>
        </w:tc>
        <w:tc>
          <w:tcPr>
            <w:tcW w:w="993" w:type="dxa"/>
            <w:tcBorders>
              <w:top w:val="nil"/>
              <w:left w:val="nil"/>
              <w:bottom w:val="nil"/>
              <w:right w:val="nil"/>
            </w:tcBorders>
          </w:tcPr>
          <w:p w14:paraId="23131F5F" w14:textId="77777777" w:rsidR="00837DA7" w:rsidRPr="00233EC8" w:rsidRDefault="00837DA7" w:rsidP="00353A9A">
            <w:pPr>
              <w:rPr>
                <w:rFonts w:asciiTheme="majorBidi" w:hAnsiTheme="majorBidi" w:cstheme="majorBidi"/>
                <w:sz w:val="20"/>
                <w:szCs w:val="20"/>
              </w:rPr>
            </w:pPr>
            <w:r w:rsidRPr="006F6FA7">
              <w:rPr>
                <w:rFonts w:asciiTheme="majorBidi" w:hAnsiTheme="majorBidi"/>
                <w:sz w:val="20"/>
                <w:szCs w:val="18"/>
                <w:lang w:val="en-US"/>
              </w:rPr>
              <w:t>49.67</w:t>
            </w:r>
          </w:p>
        </w:tc>
        <w:tc>
          <w:tcPr>
            <w:tcW w:w="992" w:type="dxa"/>
            <w:tcBorders>
              <w:top w:val="nil"/>
              <w:left w:val="nil"/>
              <w:bottom w:val="nil"/>
              <w:right w:val="nil"/>
            </w:tcBorders>
          </w:tcPr>
          <w:p w14:paraId="2FA735D6" w14:textId="77777777" w:rsidR="00837DA7" w:rsidRPr="00233EC8" w:rsidRDefault="00837DA7" w:rsidP="00353A9A">
            <w:pPr>
              <w:rPr>
                <w:rFonts w:asciiTheme="majorBidi" w:hAnsiTheme="majorBidi" w:cstheme="majorBidi"/>
                <w:sz w:val="20"/>
                <w:szCs w:val="20"/>
              </w:rPr>
            </w:pPr>
            <w:r w:rsidRPr="006F6FA7">
              <w:rPr>
                <w:rFonts w:asciiTheme="majorBidi" w:hAnsiTheme="majorBidi"/>
                <w:sz w:val="20"/>
                <w:szCs w:val="18"/>
                <w:lang w:val="en-US"/>
              </w:rPr>
              <w:t>48.29</w:t>
            </w:r>
          </w:p>
        </w:tc>
        <w:tc>
          <w:tcPr>
            <w:tcW w:w="992" w:type="dxa"/>
            <w:tcBorders>
              <w:top w:val="nil"/>
              <w:left w:val="nil"/>
              <w:bottom w:val="nil"/>
              <w:right w:val="nil"/>
            </w:tcBorders>
          </w:tcPr>
          <w:p w14:paraId="3CC920AB" w14:textId="77777777" w:rsidR="00837DA7" w:rsidRPr="00233EC8" w:rsidRDefault="00837DA7" w:rsidP="00353A9A">
            <w:pPr>
              <w:rPr>
                <w:rFonts w:asciiTheme="majorBidi" w:hAnsiTheme="majorBidi" w:cstheme="majorBidi"/>
                <w:sz w:val="20"/>
                <w:szCs w:val="20"/>
              </w:rPr>
            </w:pPr>
            <w:r w:rsidRPr="006F6FA7">
              <w:rPr>
                <w:rFonts w:asciiTheme="majorBidi" w:hAnsiTheme="majorBidi"/>
                <w:sz w:val="20"/>
                <w:szCs w:val="18"/>
                <w:lang w:val="en-US"/>
              </w:rPr>
              <w:t>48.89</w:t>
            </w:r>
          </w:p>
        </w:tc>
        <w:tc>
          <w:tcPr>
            <w:tcW w:w="992" w:type="dxa"/>
            <w:tcBorders>
              <w:top w:val="nil"/>
              <w:left w:val="nil"/>
              <w:bottom w:val="nil"/>
              <w:right w:val="nil"/>
            </w:tcBorders>
          </w:tcPr>
          <w:p w14:paraId="0AF7165E" w14:textId="77777777" w:rsidR="00837DA7" w:rsidRPr="00233EC8" w:rsidRDefault="00837DA7" w:rsidP="00353A9A">
            <w:pPr>
              <w:rPr>
                <w:rFonts w:asciiTheme="majorBidi" w:hAnsiTheme="majorBidi" w:cstheme="majorBidi"/>
                <w:sz w:val="20"/>
                <w:szCs w:val="20"/>
              </w:rPr>
            </w:pPr>
            <w:r w:rsidRPr="006F6FA7">
              <w:rPr>
                <w:rFonts w:asciiTheme="majorBidi" w:hAnsiTheme="majorBidi"/>
                <w:sz w:val="20"/>
                <w:szCs w:val="18"/>
                <w:lang w:val="en-US"/>
              </w:rPr>
              <w:t>49.32</w:t>
            </w:r>
          </w:p>
        </w:tc>
        <w:tc>
          <w:tcPr>
            <w:tcW w:w="851" w:type="dxa"/>
            <w:tcBorders>
              <w:top w:val="nil"/>
              <w:left w:val="nil"/>
              <w:bottom w:val="nil"/>
              <w:right w:val="nil"/>
            </w:tcBorders>
          </w:tcPr>
          <w:p w14:paraId="4421CA3F" w14:textId="77777777" w:rsidR="00837DA7" w:rsidRPr="00233EC8" w:rsidRDefault="00837DA7" w:rsidP="00353A9A">
            <w:pPr>
              <w:rPr>
                <w:rFonts w:asciiTheme="majorBidi" w:hAnsiTheme="majorBidi" w:cstheme="majorBidi"/>
                <w:sz w:val="20"/>
                <w:szCs w:val="20"/>
              </w:rPr>
            </w:pPr>
            <w:r w:rsidRPr="006F6FA7">
              <w:rPr>
                <w:rFonts w:asciiTheme="majorBidi" w:hAnsiTheme="majorBidi"/>
                <w:sz w:val="20"/>
                <w:szCs w:val="18"/>
                <w:lang w:val="en-US"/>
              </w:rPr>
              <w:t>49.70</w:t>
            </w:r>
          </w:p>
        </w:tc>
        <w:tc>
          <w:tcPr>
            <w:tcW w:w="850" w:type="dxa"/>
            <w:tcBorders>
              <w:top w:val="nil"/>
              <w:left w:val="nil"/>
              <w:bottom w:val="nil"/>
              <w:right w:val="nil"/>
            </w:tcBorders>
          </w:tcPr>
          <w:p w14:paraId="5F58B245" w14:textId="77777777" w:rsidR="00837DA7" w:rsidRPr="00233EC8" w:rsidRDefault="00837DA7" w:rsidP="00353A9A">
            <w:pPr>
              <w:rPr>
                <w:rFonts w:asciiTheme="majorBidi" w:hAnsiTheme="majorBidi" w:cstheme="majorBidi"/>
                <w:sz w:val="20"/>
                <w:szCs w:val="20"/>
              </w:rPr>
            </w:pPr>
            <w:r w:rsidRPr="006F6FA7">
              <w:rPr>
                <w:rFonts w:asciiTheme="majorBidi" w:hAnsiTheme="majorBidi"/>
                <w:sz w:val="20"/>
                <w:szCs w:val="18"/>
                <w:lang w:val="en-US"/>
              </w:rPr>
              <w:t>50.34</w:t>
            </w:r>
          </w:p>
        </w:tc>
        <w:tc>
          <w:tcPr>
            <w:tcW w:w="1134" w:type="dxa"/>
            <w:tcBorders>
              <w:top w:val="nil"/>
              <w:left w:val="nil"/>
              <w:bottom w:val="nil"/>
              <w:right w:val="nil"/>
            </w:tcBorders>
          </w:tcPr>
          <w:p w14:paraId="68BBE3AB" w14:textId="77777777" w:rsidR="00837DA7" w:rsidRPr="00233EC8" w:rsidRDefault="00837DA7" w:rsidP="00353A9A">
            <w:pPr>
              <w:rPr>
                <w:rFonts w:asciiTheme="majorBidi" w:hAnsiTheme="majorBidi" w:cstheme="majorBidi"/>
                <w:sz w:val="20"/>
                <w:szCs w:val="20"/>
              </w:rPr>
            </w:pPr>
            <w:r w:rsidRPr="006F6FA7">
              <w:rPr>
                <w:rFonts w:asciiTheme="majorBidi" w:hAnsiTheme="majorBidi"/>
                <w:sz w:val="20"/>
                <w:szCs w:val="18"/>
                <w:lang w:val="en-US"/>
              </w:rPr>
              <w:t>51.45</w:t>
            </w:r>
          </w:p>
        </w:tc>
      </w:tr>
      <w:tr w:rsidR="00837DA7" w:rsidRPr="00233EC8" w14:paraId="79BA8465" w14:textId="77777777" w:rsidTr="00353A9A">
        <w:tc>
          <w:tcPr>
            <w:tcW w:w="2268" w:type="dxa"/>
            <w:tcBorders>
              <w:top w:val="nil"/>
              <w:left w:val="nil"/>
              <w:bottom w:val="nil"/>
              <w:right w:val="nil"/>
            </w:tcBorders>
          </w:tcPr>
          <w:p w14:paraId="03371A3E"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 xml:space="preserve">Median </w:t>
            </w:r>
          </w:p>
        </w:tc>
        <w:tc>
          <w:tcPr>
            <w:tcW w:w="993" w:type="dxa"/>
            <w:tcBorders>
              <w:top w:val="nil"/>
              <w:left w:val="nil"/>
              <w:bottom w:val="nil"/>
              <w:right w:val="nil"/>
            </w:tcBorders>
          </w:tcPr>
          <w:p w14:paraId="73F669DA" w14:textId="77777777" w:rsidR="00837DA7" w:rsidRPr="00233EC8" w:rsidRDefault="00837DA7" w:rsidP="00353A9A">
            <w:pPr>
              <w:rPr>
                <w:rFonts w:asciiTheme="majorBidi" w:hAnsiTheme="majorBidi" w:cstheme="majorBidi"/>
                <w:sz w:val="20"/>
                <w:szCs w:val="20"/>
              </w:rPr>
            </w:pPr>
            <w:r w:rsidRPr="006F6FA7">
              <w:rPr>
                <w:rFonts w:asciiTheme="majorBidi" w:hAnsiTheme="majorBidi"/>
                <w:sz w:val="20"/>
                <w:szCs w:val="18"/>
                <w:lang w:val="en-US"/>
              </w:rPr>
              <w:t>50.00</w:t>
            </w:r>
          </w:p>
        </w:tc>
        <w:tc>
          <w:tcPr>
            <w:tcW w:w="992" w:type="dxa"/>
            <w:tcBorders>
              <w:top w:val="nil"/>
              <w:left w:val="nil"/>
              <w:bottom w:val="nil"/>
              <w:right w:val="nil"/>
            </w:tcBorders>
          </w:tcPr>
          <w:p w14:paraId="4F47CC47" w14:textId="77777777" w:rsidR="00837DA7" w:rsidRPr="00233EC8" w:rsidRDefault="00837DA7" w:rsidP="00353A9A">
            <w:pPr>
              <w:rPr>
                <w:rFonts w:asciiTheme="majorBidi" w:hAnsiTheme="majorBidi" w:cstheme="majorBidi"/>
                <w:sz w:val="20"/>
                <w:szCs w:val="20"/>
              </w:rPr>
            </w:pPr>
            <w:r w:rsidRPr="006F6FA7">
              <w:rPr>
                <w:rFonts w:asciiTheme="majorBidi" w:hAnsiTheme="majorBidi"/>
                <w:sz w:val="20"/>
                <w:szCs w:val="18"/>
                <w:lang w:val="en-US"/>
              </w:rPr>
              <w:t>50.00</w:t>
            </w:r>
          </w:p>
        </w:tc>
        <w:tc>
          <w:tcPr>
            <w:tcW w:w="992" w:type="dxa"/>
            <w:tcBorders>
              <w:top w:val="nil"/>
              <w:left w:val="nil"/>
              <w:bottom w:val="nil"/>
              <w:right w:val="nil"/>
            </w:tcBorders>
          </w:tcPr>
          <w:p w14:paraId="1074A8EC" w14:textId="77777777" w:rsidR="00837DA7" w:rsidRPr="00233EC8" w:rsidRDefault="00837DA7" w:rsidP="00353A9A">
            <w:pPr>
              <w:rPr>
                <w:rFonts w:asciiTheme="majorBidi" w:hAnsiTheme="majorBidi" w:cstheme="majorBidi"/>
                <w:sz w:val="20"/>
                <w:szCs w:val="20"/>
              </w:rPr>
            </w:pPr>
            <w:r w:rsidRPr="006F6FA7">
              <w:rPr>
                <w:rFonts w:asciiTheme="majorBidi" w:hAnsiTheme="majorBidi"/>
                <w:sz w:val="20"/>
                <w:szCs w:val="18"/>
                <w:lang w:val="en-US"/>
              </w:rPr>
              <w:t>50.00</w:t>
            </w:r>
          </w:p>
        </w:tc>
        <w:tc>
          <w:tcPr>
            <w:tcW w:w="992" w:type="dxa"/>
            <w:tcBorders>
              <w:top w:val="nil"/>
              <w:left w:val="nil"/>
              <w:bottom w:val="nil"/>
              <w:right w:val="nil"/>
            </w:tcBorders>
          </w:tcPr>
          <w:p w14:paraId="66811324" w14:textId="77777777" w:rsidR="00837DA7" w:rsidRPr="00233EC8" w:rsidRDefault="00837DA7" w:rsidP="00353A9A">
            <w:pPr>
              <w:rPr>
                <w:rFonts w:asciiTheme="majorBidi" w:hAnsiTheme="majorBidi" w:cstheme="majorBidi"/>
                <w:sz w:val="20"/>
                <w:szCs w:val="20"/>
              </w:rPr>
            </w:pPr>
            <w:r w:rsidRPr="006F6FA7">
              <w:rPr>
                <w:rFonts w:asciiTheme="majorBidi" w:hAnsiTheme="majorBidi"/>
                <w:sz w:val="20"/>
                <w:szCs w:val="18"/>
                <w:lang w:val="en-US"/>
              </w:rPr>
              <w:t>50.00</w:t>
            </w:r>
          </w:p>
        </w:tc>
        <w:tc>
          <w:tcPr>
            <w:tcW w:w="851" w:type="dxa"/>
            <w:tcBorders>
              <w:top w:val="nil"/>
              <w:left w:val="nil"/>
              <w:bottom w:val="nil"/>
              <w:right w:val="nil"/>
            </w:tcBorders>
          </w:tcPr>
          <w:p w14:paraId="00C828C5" w14:textId="77777777" w:rsidR="00837DA7" w:rsidRPr="00233EC8" w:rsidRDefault="00837DA7" w:rsidP="00353A9A">
            <w:pPr>
              <w:rPr>
                <w:rFonts w:asciiTheme="majorBidi" w:hAnsiTheme="majorBidi" w:cstheme="majorBidi"/>
                <w:sz w:val="20"/>
                <w:szCs w:val="20"/>
              </w:rPr>
            </w:pPr>
            <w:r w:rsidRPr="006F6FA7">
              <w:rPr>
                <w:rFonts w:asciiTheme="majorBidi" w:hAnsiTheme="majorBidi"/>
                <w:sz w:val="20"/>
                <w:szCs w:val="18"/>
                <w:lang w:val="en-US"/>
              </w:rPr>
              <w:t>50.00</w:t>
            </w:r>
          </w:p>
        </w:tc>
        <w:tc>
          <w:tcPr>
            <w:tcW w:w="850" w:type="dxa"/>
            <w:tcBorders>
              <w:top w:val="nil"/>
              <w:left w:val="nil"/>
              <w:bottom w:val="nil"/>
              <w:right w:val="nil"/>
            </w:tcBorders>
          </w:tcPr>
          <w:p w14:paraId="19D0B522" w14:textId="77777777" w:rsidR="00837DA7" w:rsidRPr="00233EC8" w:rsidRDefault="00837DA7" w:rsidP="00353A9A">
            <w:pPr>
              <w:rPr>
                <w:rFonts w:asciiTheme="majorBidi" w:hAnsiTheme="majorBidi" w:cstheme="majorBidi"/>
                <w:sz w:val="20"/>
                <w:szCs w:val="20"/>
              </w:rPr>
            </w:pPr>
            <w:r w:rsidRPr="006F6FA7">
              <w:rPr>
                <w:rFonts w:asciiTheme="majorBidi" w:hAnsiTheme="majorBidi"/>
                <w:sz w:val="20"/>
                <w:szCs w:val="18"/>
                <w:lang w:val="en-US"/>
              </w:rPr>
              <w:t>50.00</w:t>
            </w:r>
          </w:p>
        </w:tc>
        <w:tc>
          <w:tcPr>
            <w:tcW w:w="1134" w:type="dxa"/>
            <w:tcBorders>
              <w:top w:val="nil"/>
              <w:left w:val="nil"/>
              <w:bottom w:val="nil"/>
              <w:right w:val="nil"/>
            </w:tcBorders>
          </w:tcPr>
          <w:p w14:paraId="76C1893B" w14:textId="77777777" w:rsidR="00837DA7" w:rsidRPr="00233EC8" w:rsidRDefault="00837DA7" w:rsidP="00353A9A">
            <w:pPr>
              <w:rPr>
                <w:rFonts w:asciiTheme="majorBidi" w:hAnsiTheme="majorBidi" w:cstheme="majorBidi"/>
                <w:sz w:val="20"/>
                <w:szCs w:val="20"/>
              </w:rPr>
            </w:pPr>
            <w:r w:rsidRPr="006F6FA7">
              <w:rPr>
                <w:rFonts w:asciiTheme="majorBidi" w:hAnsiTheme="majorBidi"/>
                <w:sz w:val="20"/>
                <w:szCs w:val="18"/>
                <w:lang w:val="en-US"/>
              </w:rPr>
              <w:t>50.00</w:t>
            </w:r>
          </w:p>
        </w:tc>
      </w:tr>
      <w:tr w:rsidR="00837DA7" w:rsidRPr="00233EC8" w14:paraId="20C23E2F" w14:textId="77777777" w:rsidTr="00353A9A">
        <w:tc>
          <w:tcPr>
            <w:tcW w:w="2268" w:type="dxa"/>
            <w:tcBorders>
              <w:top w:val="nil"/>
              <w:left w:val="nil"/>
              <w:bottom w:val="nil"/>
              <w:right w:val="nil"/>
            </w:tcBorders>
          </w:tcPr>
          <w:p w14:paraId="037604C4"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STD</w:t>
            </w:r>
          </w:p>
        </w:tc>
        <w:tc>
          <w:tcPr>
            <w:tcW w:w="993" w:type="dxa"/>
            <w:tcBorders>
              <w:top w:val="nil"/>
              <w:left w:val="nil"/>
              <w:bottom w:val="nil"/>
              <w:right w:val="nil"/>
            </w:tcBorders>
          </w:tcPr>
          <w:p w14:paraId="61A1803C" w14:textId="77777777" w:rsidR="00837DA7" w:rsidRPr="00233EC8" w:rsidRDefault="00837DA7" w:rsidP="00353A9A">
            <w:pPr>
              <w:rPr>
                <w:rFonts w:asciiTheme="majorBidi" w:hAnsiTheme="majorBidi" w:cstheme="majorBidi"/>
                <w:sz w:val="20"/>
                <w:szCs w:val="20"/>
              </w:rPr>
            </w:pPr>
            <w:r w:rsidRPr="006F6FA7">
              <w:rPr>
                <w:rFonts w:asciiTheme="majorBidi" w:hAnsiTheme="majorBidi"/>
                <w:sz w:val="20"/>
                <w:szCs w:val="18"/>
                <w:lang w:val="en-US"/>
              </w:rPr>
              <w:t>11.56</w:t>
            </w:r>
          </w:p>
        </w:tc>
        <w:tc>
          <w:tcPr>
            <w:tcW w:w="992" w:type="dxa"/>
            <w:tcBorders>
              <w:top w:val="nil"/>
              <w:left w:val="nil"/>
              <w:bottom w:val="nil"/>
              <w:right w:val="nil"/>
            </w:tcBorders>
          </w:tcPr>
          <w:p w14:paraId="0BC15E02" w14:textId="77777777" w:rsidR="00837DA7" w:rsidRPr="00233EC8" w:rsidRDefault="00837DA7" w:rsidP="00353A9A">
            <w:pPr>
              <w:rPr>
                <w:rFonts w:asciiTheme="majorBidi" w:hAnsiTheme="majorBidi" w:cstheme="majorBidi"/>
                <w:sz w:val="20"/>
                <w:szCs w:val="20"/>
              </w:rPr>
            </w:pPr>
            <w:r w:rsidRPr="006F6FA7">
              <w:rPr>
                <w:rFonts w:asciiTheme="majorBidi" w:hAnsiTheme="majorBidi"/>
                <w:sz w:val="20"/>
                <w:szCs w:val="18"/>
                <w:lang w:val="en-US"/>
              </w:rPr>
              <w:t>11.22</w:t>
            </w:r>
          </w:p>
        </w:tc>
        <w:tc>
          <w:tcPr>
            <w:tcW w:w="992" w:type="dxa"/>
            <w:tcBorders>
              <w:top w:val="nil"/>
              <w:left w:val="nil"/>
              <w:bottom w:val="nil"/>
              <w:right w:val="nil"/>
            </w:tcBorders>
          </w:tcPr>
          <w:p w14:paraId="14402EE6" w14:textId="77777777" w:rsidR="00837DA7" w:rsidRPr="00233EC8" w:rsidRDefault="00837DA7" w:rsidP="00353A9A">
            <w:pPr>
              <w:rPr>
                <w:rFonts w:asciiTheme="majorBidi" w:hAnsiTheme="majorBidi" w:cstheme="majorBidi"/>
                <w:sz w:val="20"/>
                <w:szCs w:val="20"/>
              </w:rPr>
            </w:pPr>
            <w:r w:rsidRPr="006F6FA7">
              <w:rPr>
                <w:rFonts w:asciiTheme="majorBidi" w:hAnsiTheme="majorBidi"/>
                <w:sz w:val="20"/>
                <w:szCs w:val="18"/>
                <w:lang w:val="en-US"/>
              </w:rPr>
              <w:t>11.39</w:t>
            </w:r>
          </w:p>
        </w:tc>
        <w:tc>
          <w:tcPr>
            <w:tcW w:w="992" w:type="dxa"/>
            <w:tcBorders>
              <w:top w:val="nil"/>
              <w:left w:val="nil"/>
              <w:bottom w:val="nil"/>
              <w:right w:val="nil"/>
            </w:tcBorders>
          </w:tcPr>
          <w:p w14:paraId="7D53DB8F" w14:textId="77777777" w:rsidR="00837DA7" w:rsidRPr="00233EC8" w:rsidRDefault="00837DA7" w:rsidP="00353A9A">
            <w:pPr>
              <w:rPr>
                <w:rFonts w:asciiTheme="majorBidi" w:hAnsiTheme="majorBidi" w:cstheme="majorBidi"/>
                <w:sz w:val="20"/>
                <w:szCs w:val="20"/>
              </w:rPr>
            </w:pPr>
            <w:r w:rsidRPr="006F6FA7">
              <w:rPr>
                <w:rFonts w:asciiTheme="majorBidi" w:hAnsiTheme="majorBidi"/>
                <w:sz w:val="20"/>
                <w:szCs w:val="18"/>
                <w:lang w:val="en-US"/>
              </w:rPr>
              <w:t>11.52</w:t>
            </w:r>
          </w:p>
        </w:tc>
        <w:tc>
          <w:tcPr>
            <w:tcW w:w="851" w:type="dxa"/>
            <w:tcBorders>
              <w:top w:val="nil"/>
              <w:left w:val="nil"/>
              <w:bottom w:val="nil"/>
              <w:right w:val="nil"/>
            </w:tcBorders>
          </w:tcPr>
          <w:p w14:paraId="151AEB06" w14:textId="77777777" w:rsidR="00837DA7" w:rsidRPr="00233EC8" w:rsidRDefault="00837DA7" w:rsidP="00353A9A">
            <w:pPr>
              <w:rPr>
                <w:rFonts w:asciiTheme="majorBidi" w:hAnsiTheme="majorBidi" w:cstheme="majorBidi"/>
                <w:sz w:val="20"/>
                <w:szCs w:val="20"/>
              </w:rPr>
            </w:pPr>
            <w:r w:rsidRPr="006F6FA7">
              <w:rPr>
                <w:rFonts w:asciiTheme="majorBidi" w:hAnsiTheme="majorBidi"/>
                <w:sz w:val="20"/>
                <w:szCs w:val="18"/>
                <w:lang w:val="en-US"/>
              </w:rPr>
              <w:t>11.47</w:t>
            </w:r>
          </w:p>
        </w:tc>
        <w:tc>
          <w:tcPr>
            <w:tcW w:w="850" w:type="dxa"/>
            <w:tcBorders>
              <w:top w:val="nil"/>
              <w:left w:val="nil"/>
              <w:bottom w:val="nil"/>
              <w:right w:val="nil"/>
            </w:tcBorders>
          </w:tcPr>
          <w:p w14:paraId="44B6F236" w14:textId="77777777" w:rsidR="00837DA7" w:rsidRPr="00233EC8" w:rsidRDefault="00837DA7" w:rsidP="00353A9A">
            <w:pPr>
              <w:rPr>
                <w:rFonts w:asciiTheme="majorBidi" w:hAnsiTheme="majorBidi" w:cstheme="majorBidi"/>
                <w:sz w:val="20"/>
                <w:szCs w:val="20"/>
              </w:rPr>
            </w:pPr>
            <w:r w:rsidRPr="006F6FA7">
              <w:rPr>
                <w:rFonts w:asciiTheme="majorBidi" w:hAnsiTheme="majorBidi"/>
                <w:sz w:val="20"/>
                <w:szCs w:val="18"/>
                <w:lang w:val="en-US"/>
              </w:rPr>
              <w:t>11.52</w:t>
            </w:r>
          </w:p>
        </w:tc>
        <w:tc>
          <w:tcPr>
            <w:tcW w:w="1134" w:type="dxa"/>
            <w:tcBorders>
              <w:top w:val="nil"/>
              <w:left w:val="nil"/>
              <w:bottom w:val="nil"/>
              <w:right w:val="nil"/>
            </w:tcBorders>
          </w:tcPr>
          <w:p w14:paraId="3976E1D3" w14:textId="77777777" w:rsidR="00837DA7" w:rsidRPr="00233EC8" w:rsidRDefault="00837DA7" w:rsidP="00353A9A">
            <w:pPr>
              <w:rPr>
                <w:rFonts w:asciiTheme="majorBidi" w:hAnsiTheme="majorBidi" w:cstheme="majorBidi"/>
                <w:sz w:val="20"/>
                <w:szCs w:val="20"/>
              </w:rPr>
            </w:pPr>
            <w:r w:rsidRPr="006F6FA7">
              <w:rPr>
                <w:rFonts w:asciiTheme="majorBidi" w:hAnsiTheme="majorBidi"/>
                <w:sz w:val="20"/>
                <w:szCs w:val="18"/>
                <w:lang w:val="en-US"/>
              </w:rPr>
              <w:t>12.18</w:t>
            </w:r>
          </w:p>
        </w:tc>
      </w:tr>
      <w:tr w:rsidR="00837DA7" w:rsidRPr="00233EC8" w14:paraId="237E543D" w14:textId="77777777" w:rsidTr="00353A9A">
        <w:tc>
          <w:tcPr>
            <w:tcW w:w="2268" w:type="dxa"/>
            <w:tcBorders>
              <w:top w:val="nil"/>
              <w:left w:val="nil"/>
              <w:bottom w:val="nil"/>
              <w:right w:val="nil"/>
            </w:tcBorders>
          </w:tcPr>
          <w:p w14:paraId="56D86571"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Minimum</w:t>
            </w:r>
          </w:p>
        </w:tc>
        <w:tc>
          <w:tcPr>
            <w:tcW w:w="993" w:type="dxa"/>
            <w:tcBorders>
              <w:top w:val="nil"/>
              <w:left w:val="nil"/>
              <w:bottom w:val="nil"/>
              <w:right w:val="nil"/>
            </w:tcBorders>
          </w:tcPr>
          <w:p w14:paraId="46B88E1F" w14:textId="77777777" w:rsidR="00837DA7" w:rsidRPr="00233EC8" w:rsidRDefault="00837DA7" w:rsidP="00353A9A">
            <w:pPr>
              <w:rPr>
                <w:rFonts w:asciiTheme="majorBidi" w:hAnsiTheme="majorBidi" w:cstheme="majorBidi"/>
                <w:sz w:val="20"/>
                <w:szCs w:val="20"/>
              </w:rPr>
            </w:pPr>
            <w:r w:rsidRPr="006F6FA7">
              <w:rPr>
                <w:rFonts w:asciiTheme="majorBidi" w:hAnsiTheme="majorBidi"/>
                <w:sz w:val="20"/>
                <w:szCs w:val="18"/>
                <w:lang w:val="en-US"/>
              </w:rPr>
              <w:t xml:space="preserve">  0.00</w:t>
            </w:r>
          </w:p>
        </w:tc>
        <w:tc>
          <w:tcPr>
            <w:tcW w:w="992" w:type="dxa"/>
            <w:tcBorders>
              <w:top w:val="nil"/>
              <w:left w:val="nil"/>
              <w:bottom w:val="nil"/>
              <w:right w:val="nil"/>
            </w:tcBorders>
          </w:tcPr>
          <w:p w14:paraId="31310E95" w14:textId="77777777" w:rsidR="00837DA7" w:rsidRPr="00233EC8" w:rsidRDefault="00837DA7" w:rsidP="00353A9A">
            <w:pPr>
              <w:rPr>
                <w:rFonts w:asciiTheme="majorBidi" w:hAnsiTheme="majorBidi" w:cstheme="majorBidi"/>
                <w:sz w:val="20"/>
                <w:szCs w:val="20"/>
              </w:rPr>
            </w:pPr>
            <w:r w:rsidRPr="006F6FA7">
              <w:rPr>
                <w:rFonts w:asciiTheme="majorBidi" w:hAnsiTheme="majorBidi"/>
                <w:sz w:val="20"/>
                <w:szCs w:val="18"/>
                <w:lang w:val="en-US"/>
              </w:rPr>
              <w:t xml:space="preserve">  0.00</w:t>
            </w:r>
          </w:p>
        </w:tc>
        <w:tc>
          <w:tcPr>
            <w:tcW w:w="992" w:type="dxa"/>
            <w:tcBorders>
              <w:top w:val="nil"/>
              <w:left w:val="nil"/>
              <w:bottom w:val="nil"/>
              <w:right w:val="nil"/>
            </w:tcBorders>
          </w:tcPr>
          <w:p w14:paraId="4209435E" w14:textId="77777777" w:rsidR="00837DA7" w:rsidRPr="00233EC8" w:rsidRDefault="00837DA7" w:rsidP="00353A9A">
            <w:pPr>
              <w:rPr>
                <w:rFonts w:asciiTheme="majorBidi" w:hAnsiTheme="majorBidi" w:cstheme="majorBidi"/>
                <w:sz w:val="20"/>
                <w:szCs w:val="20"/>
              </w:rPr>
            </w:pPr>
            <w:r w:rsidRPr="006F6FA7">
              <w:rPr>
                <w:rFonts w:asciiTheme="majorBidi" w:hAnsiTheme="majorBidi"/>
                <w:sz w:val="20"/>
                <w:szCs w:val="18"/>
                <w:lang w:val="en-US"/>
              </w:rPr>
              <w:t xml:space="preserve">  0.00</w:t>
            </w:r>
          </w:p>
        </w:tc>
        <w:tc>
          <w:tcPr>
            <w:tcW w:w="992" w:type="dxa"/>
            <w:tcBorders>
              <w:top w:val="nil"/>
              <w:left w:val="nil"/>
              <w:bottom w:val="nil"/>
              <w:right w:val="nil"/>
            </w:tcBorders>
          </w:tcPr>
          <w:p w14:paraId="786A53CC" w14:textId="77777777" w:rsidR="00837DA7" w:rsidRPr="00233EC8" w:rsidRDefault="00837DA7" w:rsidP="00353A9A">
            <w:pPr>
              <w:rPr>
                <w:rFonts w:asciiTheme="majorBidi" w:hAnsiTheme="majorBidi" w:cstheme="majorBidi"/>
                <w:sz w:val="20"/>
                <w:szCs w:val="20"/>
              </w:rPr>
            </w:pPr>
            <w:r w:rsidRPr="006F6FA7">
              <w:rPr>
                <w:rFonts w:asciiTheme="majorBidi" w:hAnsiTheme="majorBidi"/>
                <w:sz w:val="20"/>
                <w:szCs w:val="18"/>
                <w:lang w:val="en-US"/>
              </w:rPr>
              <w:t xml:space="preserve">  0.00</w:t>
            </w:r>
          </w:p>
        </w:tc>
        <w:tc>
          <w:tcPr>
            <w:tcW w:w="851" w:type="dxa"/>
            <w:tcBorders>
              <w:top w:val="nil"/>
              <w:left w:val="nil"/>
              <w:bottom w:val="nil"/>
              <w:right w:val="nil"/>
            </w:tcBorders>
          </w:tcPr>
          <w:p w14:paraId="221DB378" w14:textId="77777777" w:rsidR="00837DA7" w:rsidRPr="00233EC8" w:rsidRDefault="00837DA7" w:rsidP="00353A9A">
            <w:pPr>
              <w:rPr>
                <w:rFonts w:asciiTheme="majorBidi" w:hAnsiTheme="majorBidi" w:cstheme="majorBidi"/>
                <w:sz w:val="20"/>
                <w:szCs w:val="20"/>
              </w:rPr>
            </w:pPr>
            <w:r w:rsidRPr="006F6FA7">
              <w:rPr>
                <w:rFonts w:asciiTheme="majorBidi" w:hAnsiTheme="majorBidi"/>
                <w:sz w:val="20"/>
                <w:szCs w:val="18"/>
                <w:lang w:val="en-US"/>
              </w:rPr>
              <w:t xml:space="preserve">  5.00</w:t>
            </w:r>
          </w:p>
        </w:tc>
        <w:tc>
          <w:tcPr>
            <w:tcW w:w="850" w:type="dxa"/>
            <w:tcBorders>
              <w:top w:val="nil"/>
              <w:left w:val="nil"/>
              <w:bottom w:val="nil"/>
              <w:right w:val="nil"/>
            </w:tcBorders>
          </w:tcPr>
          <w:p w14:paraId="687ACDE5" w14:textId="77777777" w:rsidR="00837DA7" w:rsidRPr="00233EC8" w:rsidRDefault="00837DA7" w:rsidP="00353A9A">
            <w:pPr>
              <w:rPr>
                <w:rFonts w:asciiTheme="majorBidi" w:hAnsiTheme="majorBidi" w:cstheme="majorBidi"/>
                <w:sz w:val="20"/>
                <w:szCs w:val="20"/>
              </w:rPr>
            </w:pPr>
            <w:r w:rsidRPr="006F6FA7">
              <w:rPr>
                <w:rFonts w:asciiTheme="majorBidi" w:hAnsiTheme="majorBidi"/>
                <w:sz w:val="20"/>
                <w:szCs w:val="18"/>
                <w:lang w:val="en-US"/>
              </w:rPr>
              <w:t xml:space="preserve">  5.00</w:t>
            </w:r>
          </w:p>
        </w:tc>
        <w:tc>
          <w:tcPr>
            <w:tcW w:w="1134" w:type="dxa"/>
            <w:tcBorders>
              <w:top w:val="nil"/>
              <w:left w:val="nil"/>
              <w:bottom w:val="nil"/>
              <w:right w:val="nil"/>
            </w:tcBorders>
          </w:tcPr>
          <w:p w14:paraId="4A39B916" w14:textId="77777777" w:rsidR="00837DA7" w:rsidRPr="00233EC8" w:rsidRDefault="00837DA7" w:rsidP="00353A9A">
            <w:pPr>
              <w:rPr>
                <w:rFonts w:asciiTheme="majorBidi" w:hAnsiTheme="majorBidi" w:cstheme="majorBidi"/>
                <w:sz w:val="20"/>
                <w:szCs w:val="20"/>
              </w:rPr>
            </w:pPr>
            <w:r w:rsidRPr="006F6FA7">
              <w:rPr>
                <w:rFonts w:asciiTheme="majorBidi" w:hAnsiTheme="majorBidi"/>
                <w:sz w:val="20"/>
                <w:szCs w:val="18"/>
                <w:lang w:val="en-US"/>
              </w:rPr>
              <w:t xml:space="preserve">  5.00</w:t>
            </w:r>
          </w:p>
        </w:tc>
      </w:tr>
      <w:tr w:rsidR="00837DA7" w:rsidRPr="00233EC8" w14:paraId="1BFD0300" w14:textId="77777777" w:rsidTr="00353A9A">
        <w:tc>
          <w:tcPr>
            <w:tcW w:w="2268" w:type="dxa"/>
            <w:tcBorders>
              <w:top w:val="nil"/>
              <w:left w:val="nil"/>
              <w:bottom w:val="single" w:sz="4" w:space="0" w:color="auto"/>
              <w:right w:val="nil"/>
            </w:tcBorders>
          </w:tcPr>
          <w:p w14:paraId="40727A6F" w14:textId="77777777" w:rsidR="00837DA7" w:rsidRPr="00233EC8" w:rsidRDefault="00837DA7" w:rsidP="00353A9A">
            <w:pPr>
              <w:rPr>
                <w:rFonts w:asciiTheme="majorBidi" w:hAnsiTheme="majorBidi" w:cstheme="majorBidi"/>
                <w:sz w:val="20"/>
                <w:szCs w:val="20"/>
              </w:rPr>
            </w:pPr>
            <w:r w:rsidRPr="00233EC8">
              <w:rPr>
                <w:rFonts w:asciiTheme="majorBidi" w:hAnsiTheme="majorBidi" w:cstheme="majorBidi"/>
                <w:sz w:val="20"/>
                <w:szCs w:val="20"/>
              </w:rPr>
              <w:t>Maximum</w:t>
            </w:r>
          </w:p>
        </w:tc>
        <w:tc>
          <w:tcPr>
            <w:tcW w:w="993" w:type="dxa"/>
            <w:tcBorders>
              <w:top w:val="nil"/>
              <w:left w:val="nil"/>
              <w:bottom w:val="single" w:sz="4" w:space="0" w:color="auto"/>
              <w:right w:val="nil"/>
            </w:tcBorders>
          </w:tcPr>
          <w:p w14:paraId="02CFB8BD" w14:textId="77777777" w:rsidR="00837DA7" w:rsidRPr="00233EC8" w:rsidRDefault="00837DA7" w:rsidP="00353A9A">
            <w:pPr>
              <w:rPr>
                <w:rFonts w:asciiTheme="majorBidi" w:hAnsiTheme="majorBidi" w:cstheme="majorBidi"/>
                <w:sz w:val="20"/>
                <w:szCs w:val="20"/>
              </w:rPr>
            </w:pPr>
            <w:r w:rsidRPr="006F6FA7">
              <w:rPr>
                <w:rFonts w:asciiTheme="majorBidi" w:hAnsiTheme="majorBidi"/>
                <w:sz w:val="20"/>
                <w:szCs w:val="18"/>
                <w:lang w:val="en-US"/>
              </w:rPr>
              <w:t>75.00</w:t>
            </w:r>
          </w:p>
        </w:tc>
        <w:tc>
          <w:tcPr>
            <w:tcW w:w="992" w:type="dxa"/>
            <w:tcBorders>
              <w:top w:val="nil"/>
              <w:left w:val="nil"/>
              <w:bottom w:val="single" w:sz="4" w:space="0" w:color="auto"/>
              <w:right w:val="nil"/>
            </w:tcBorders>
          </w:tcPr>
          <w:p w14:paraId="75EED7EA" w14:textId="77777777" w:rsidR="00837DA7" w:rsidRPr="00233EC8" w:rsidRDefault="00837DA7" w:rsidP="00353A9A">
            <w:pPr>
              <w:rPr>
                <w:rFonts w:asciiTheme="majorBidi" w:hAnsiTheme="majorBidi" w:cstheme="majorBidi"/>
                <w:sz w:val="20"/>
                <w:szCs w:val="20"/>
              </w:rPr>
            </w:pPr>
            <w:r w:rsidRPr="006F6FA7">
              <w:rPr>
                <w:rFonts w:asciiTheme="majorBidi" w:hAnsiTheme="majorBidi"/>
                <w:sz w:val="20"/>
                <w:szCs w:val="18"/>
                <w:lang w:val="en-US"/>
              </w:rPr>
              <w:t>70.00</w:t>
            </w:r>
          </w:p>
        </w:tc>
        <w:tc>
          <w:tcPr>
            <w:tcW w:w="992" w:type="dxa"/>
            <w:tcBorders>
              <w:top w:val="nil"/>
              <w:left w:val="nil"/>
              <w:bottom w:val="single" w:sz="4" w:space="0" w:color="auto"/>
              <w:right w:val="nil"/>
            </w:tcBorders>
          </w:tcPr>
          <w:p w14:paraId="66DE211F" w14:textId="77777777" w:rsidR="00837DA7" w:rsidRPr="00233EC8" w:rsidRDefault="00837DA7" w:rsidP="00353A9A">
            <w:pPr>
              <w:rPr>
                <w:rFonts w:asciiTheme="majorBidi" w:hAnsiTheme="majorBidi" w:cstheme="majorBidi"/>
                <w:sz w:val="20"/>
                <w:szCs w:val="20"/>
              </w:rPr>
            </w:pPr>
            <w:r w:rsidRPr="006F6FA7">
              <w:rPr>
                <w:rFonts w:asciiTheme="majorBidi" w:hAnsiTheme="majorBidi"/>
                <w:sz w:val="20"/>
                <w:szCs w:val="18"/>
                <w:lang w:val="en-US"/>
              </w:rPr>
              <w:t>70.00</w:t>
            </w:r>
          </w:p>
        </w:tc>
        <w:tc>
          <w:tcPr>
            <w:tcW w:w="992" w:type="dxa"/>
            <w:tcBorders>
              <w:top w:val="nil"/>
              <w:left w:val="nil"/>
              <w:bottom w:val="single" w:sz="4" w:space="0" w:color="auto"/>
              <w:right w:val="nil"/>
            </w:tcBorders>
          </w:tcPr>
          <w:p w14:paraId="72A98F6E" w14:textId="77777777" w:rsidR="00837DA7" w:rsidRPr="00233EC8" w:rsidRDefault="00837DA7" w:rsidP="00353A9A">
            <w:pPr>
              <w:rPr>
                <w:rFonts w:asciiTheme="majorBidi" w:hAnsiTheme="majorBidi" w:cstheme="majorBidi"/>
                <w:sz w:val="20"/>
                <w:szCs w:val="20"/>
              </w:rPr>
            </w:pPr>
            <w:r w:rsidRPr="006F6FA7">
              <w:rPr>
                <w:rFonts w:asciiTheme="majorBidi" w:hAnsiTheme="majorBidi"/>
                <w:sz w:val="20"/>
                <w:szCs w:val="18"/>
                <w:lang w:val="en-US"/>
              </w:rPr>
              <w:t>70.00</w:t>
            </w:r>
          </w:p>
        </w:tc>
        <w:tc>
          <w:tcPr>
            <w:tcW w:w="851" w:type="dxa"/>
            <w:tcBorders>
              <w:top w:val="nil"/>
              <w:left w:val="nil"/>
              <w:bottom w:val="single" w:sz="4" w:space="0" w:color="auto"/>
              <w:right w:val="nil"/>
            </w:tcBorders>
          </w:tcPr>
          <w:p w14:paraId="6DF061C0" w14:textId="77777777" w:rsidR="00837DA7" w:rsidRPr="00233EC8" w:rsidRDefault="00837DA7" w:rsidP="00353A9A">
            <w:pPr>
              <w:rPr>
                <w:rFonts w:asciiTheme="majorBidi" w:hAnsiTheme="majorBidi" w:cstheme="majorBidi"/>
                <w:sz w:val="20"/>
                <w:szCs w:val="20"/>
              </w:rPr>
            </w:pPr>
            <w:r w:rsidRPr="006F6FA7">
              <w:rPr>
                <w:rFonts w:asciiTheme="majorBidi" w:hAnsiTheme="majorBidi"/>
                <w:sz w:val="20"/>
                <w:szCs w:val="18"/>
                <w:lang w:val="en-US"/>
              </w:rPr>
              <w:t>70.00</w:t>
            </w:r>
          </w:p>
        </w:tc>
        <w:tc>
          <w:tcPr>
            <w:tcW w:w="850" w:type="dxa"/>
            <w:tcBorders>
              <w:top w:val="nil"/>
              <w:left w:val="nil"/>
              <w:bottom w:val="single" w:sz="4" w:space="0" w:color="auto"/>
              <w:right w:val="nil"/>
            </w:tcBorders>
          </w:tcPr>
          <w:p w14:paraId="39E2E714" w14:textId="77777777" w:rsidR="00837DA7" w:rsidRPr="00233EC8" w:rsidRDefault="00837DA7" w:rsidP="00353A9A">
            <w:pPr>
              <w:rPr>
                <w:rFonts w:asciiTheme="majorBidi" w:hAnsiTheme="majorBidi" w:cstheme="majorBidi"/>
                <w:sz w:val="20"/>
                <w:szCs w:val="20"/>
              </w:rPr>
            </w:pPr>
            <w:r w:rsidRPr="006F6FA7">
              <w:rPr>
                <w:rFonts w:asciiTheme="majorBidi" w:hAnsiTheme="majorBidi"/>
                <w:sz w:val="20"/>
                <w:szCs w:val="18"/>
                <w:lang w:val="en-US"/>
              </w:rPr>
              <w:t>75.00</w:t>
            </w:r>
          </w:p>
        </w:tc>
        <w:tc>
          <w:tcPr>
            <w:tcW w:w="1134" w:type="dxa"/>
            <w:tcBorders>
              <w:top w:val="nil"/>
              <w:left w:val="nil"/>
              <w:bottom w:val="single" w:sz="4" w:space="0" w:color="auto"/>
              <w:right w:val="nil"/>
            </w:tcBorders>
          </w:tcPr>
          <w:p w14:paraId="50C7CC7F" w14:textId="77777777" w:rsidR="00837DA7" w:rsidRPr="00233EC8" w:rsidRDefault="00837DA7" w:rsidP="00353A9A">
            <w:pPr>
              <w:rPr>
                <w:rFonts w:asciiTheme="majorBidi" w:hAnsiTheme="majorBidi" w:cstheme="majorBidi"/>
                <w:sz w:val="20"/>
                <w:szCs w:val="20"/>
              </w:rPr>
            </w:pPr>
            <w:r w:rsidRPr="006F6FA7">
              <w:rPr>
                <w:rFonts w:asciiTheme="majorBidi" w:hAnsiTheme="majorBidi"/>
                <w:sz w:val="20"/>
                <w:szCs w:val="18"/>
                <w:lang w:val="en-US"/>
              </w:rPr>
              <w:t>75.00</w:t>
            </w:r>
          </w:p>
        </w:tc>
      </w:tr>
    </w:tbl>
    <w:p w14:paraId="5468C8D4" w14:textId="77777777" w:rsidR="00837DA7" w:rsidRDefault="00837DA7" w:rsidP="00837DA7">
      <w:pPr>
        <w:spacing w:after="0" w:line="240" w:lineRule="auto"/>
        <w:ind w:firstLine="720"/>
        <w:jc w:val="both"/>
        <w:rPr>
          <w:rFonts w:ascii="Times New Roman" w:hAnsi="Times New Roman" w:cs="Times New Roman"/>
          <w:sz w:val="24"/>
          <w:szCs w:val="24"/>
        </w:rPr>
      </w:pPr>
    </w:p>
    <w:p w14:paraId="52ED3ED6" w14:textId="77777777" w:rsidR="00837DA7" w:rsidRDefault="00837DA7" w:rsidP="00837DA7">
      <w:pPr>
        <w:spacing w:after="0" w:line="240" w:lineRule="auto"/>
        <w:ind w:firstLine="720"/>
        <w:jc w:val="both"/>
        <w:rPr>
          <w:rFonts w:ascii="Times New Roman" w:hAnsi="Times New Roman" w:cs="Times New Roman"/>
          <w:sz w:val="24"/>
          <w:szCs w:val="24"/>
        </w:rPr>
      </w:pPr>
    </w:p>
    <w:p w14:paraId="72907F11" w14:textId="77777777" w:rsidR="00837DA7" w:rsidRDefault="00837DA7" w:rsidP="00837DA7">
      <w:pPr>
        <w:spacing w:after="0" w:line="240" w:lineRule="auto"/>
        <w:ind w:firstLine="720"/>
        <w:jc w:val="both"/>
        <w:rPr>
          <w:rFonts w:ascii="Times New Roman" w:hAnsi="Times New Roman" w:cs="Times New Roman"/>
          <w:sz w:val="24"/>
          <w:szCs w:val="24"/>
        </w:rPr>
      </w:pPr>
    </w:p>
    <w:p w14:paraId="2C679B86" w14:textId="77777777" w:rsidR="00837DA7" w:rsidRDefault="00837DA7" w:rsidP="00837DA7">
      <w:pPr>
        <w:spacing w:after="0" w:line="240" w:lineRule="auto"/>
        <w:ind w:firstLine="720"/>
        <w:jc w:val="both"/>
        <w:rPr>
          <w:rFonts w:asciiTheme="majorBidi" w:hAnsiTheme="majorBidi" w:cstheme="majorBidi"/>
          <w:sz w:val="24"/>
          <w:szCs w:val="24"/>
        </w:rPr>
      </w:pPr>
      <w:r>
        <w:rPr>
          <w:rFonts w:ascii="Times New Roman" w:hAnsi="Times New Roman" w:cs="Times New Roman"/>
          <w:sz w:val="24"/>
          <w:szCs w:val="24"/>
        </w:rPr>
        <w:lastRenderedPageBreak/>
        <w:t>Further</w:t>
      </w:r>
      <w:r w:rsidRPr="00356ADA">
        <w:rPr>
          <w:rFonts w:ascii="Times New Roman" w:hAnsi="Times New Roman" w:cs="Times New Roman"/>
          <w:sz w:val="24"/>
          <w:szCs w:val="24"/>
        </w:rPr>
        <w:t xml:space="preserve">, Panel </w:t>
      </w:r>
      <w:r>
        <w:rPr>
          <w:rFonts w:ascii="Times New Roman" w:hAnsi="Times New Roman" w:cs="Times New Roman"/>
          <w:sz w:val="24"/>
          <w:szCs w:val="24"/>
        </w:rPr>
        <w:t>2</w:t>
      </w:r>
      <w:r w:rsidRPr="00356ADA">
        <w:rPr>
          <w:rFonts w:ascii="Times New Roman" w:hAnsi="Times New Roman" w:cs="Times New Roman"/>
          <w:sz w:val="24"/>
          <w:szCs w:val="24"/>
        </w:rPr>
        <w:t xml:space="preserve"> of Table </w:t>
      </w:r>
      <w:r>
        <w:rPr>
          <w:rFonts w:ascii="Times New Roman" w:hAnsi="Times New Roman" w:cs="Times New Roman"/>
          <w:sz w:val="24"/>
          <w:szCs w:val="24"/>
        </w:rPr>
        <w:t>3 (</w:t>
      </w:r>
      <w:r w:rsidRPr="008F5521">
        <w:rPr>
          <w:rFonts w:asciiTheme="majorBidi" w:hAnsiTheme="majorBidi" w:cstheme="majorBidi"/>
          <w:b/>
          <w:bCs/>
          <w:i/>
          <w:iCs/>
          <w:sz w:val="24"/>
          <w:szCs w:val="24"/>
        </w:rPr>
        <w:t>in the main paper</w:t>
      </w:r>
      <w:r>
        <w:rPr>
          <w:rFonts w:asciiTheme="majorBidi" w:hAnsiTheme="majorBidi" w:cstheme="majorBidi"/>
          <w:sz w:val="24"/>
          <w:szCs w:val="24"/>
        </w:rPr>
        <w:t xml:space="preserve">) and the </w:t>
      </w:r>
      <w:r>
        <w:rPr>
          <w:rFonts w:asciiTheme="majorBidi" w:hAnsiTheme="majorBidi" w:cstheme="majorBidi"/>
          <w:b/>
          <w:bCs/>
          <w:i/>
          <w:iCs/>
          <w:sz w:val="24"/>
          <w:szCs w:val="24"/>
        </w:rPr>
        <w:t>Online Appendix 2</w:t>
      </w:r>
      <w:r w:rsidRPr="00356ADA">
        <w:rPr>
          <w:rFonts w:ascii="Times New Roman" w:hAnsi="Times New Roman" w:cs="Times New Roman"/>
          <w:sz w:val="24"/>
          <w:szCs w:val="24"/>
        </w:rPr>
        <w:t xml:space="preserve"> shows the descriptive analysis of the </w:t>
      </w:r>
      <w:r>
        <w:rPr>
          <w:rFonts w:ascii="Times New Roman" w:hAnsi="Times New Roman" w:cs="Times New Roman"/>
          <w:sz w:val="24"/>
          <w:szCs w:val="24"/>
        </w:rPr>
        <w:t>governance quality (</w:t>
      </w:r>
      <w:r w:rsidRPr="00273D6F">
        <w:rPr>
          <w:rFonts w:ascii="Times New Roman" w:hAnsi="Times New Roman" w:cs="Times New Roman"/>
          <w:i/>
          <w:iCs/>
          <w:sz w:val="24"/>
          <w:szCs w:val="24"/>
        </w:rPr>
        <w:t>HEGQI, GOVB, PROS, PERP, AAAC, and SERSE</w:t>
      </w:r>
      <w:r>
        <w:rPr>
          <w:rFonts w:ascii="Times New Roman" w:hAnsi="Times New Roman" w:cs="Times New Roman"/>
          <w:sz w:val="24"/>
          <w:szCs w:val="24"/>
        </w:rPr>
        <w:t>)</w:t>
      </w:r>
      <w:r w:rsidRPr="00356ADA">
        <w:rPr>
          <w:rFonts w:ascii="Times New Roman" w:hAnsi="Times New Roman" w:cs="Times New Roman"/>
          <w:sz w:val="24"/>
          <w:szCs w:val="24"/>
        </w:rPr>
        <w:t xml:space="preserve">. Similar to the risk disclosures, Panel </w:t>
      </w:r>
      <w:r>
        <w:rPr>
          <w:rFonts w:ascii="Times New Roman" w:hAnsi="Times New Roman" w:cs="Times New Roman"/>
          <w:sz w:val="24"/>
          <w:szCs w:val="24"/>
        </w:rPr>
        <w:t>2 of Table 3</w:t>
      </w:r>
      <w:r w:rsidRPr="00356ADA">
        <w:rPr>
          <w:rFonts w:ascii="Times New Roman" w:hAnsi="Times New Roman" w:cs="Times New Roman"/>
          <w:sz w:val="24"/>
          <w:szCs w:val="24"/>
        </w:rPr>
        <w:t xml:space="preserve"> indicates that governance </w:t>
      </w:r>
      <w:r>
        <w:rPr>
          <w:rFonts w:ascii="Times New Roman" w:hAnsi="Times New Roman" w:cs="Times New Roman"/>
          <w:sz w:val="24"/>
          <w:szCs w:val="24"/>
        </w:rPr>
        <w:t>quality</w:t>
      </w:r>
      <w:r w:rsidRPr="00356ADA">
        <w:rPr>
          <w:rFonts w:ascii="Times New Roman" w:hAnsi="Times New Roman" w:cs="Times New Roman"/>
          <w:sz w:val="24"/>
          <w:szCs w:val="24"/>
        </w:rPr>
        <w:t xml:space="preserve"> var</w:t>
      </w:r>
      <w:r>
        <w:rPr>
          <w:rFonts w:ascii="Times New Roman" w:hAnsi="Times New Roman" w:cs="Times New Roman"/>
          <w:sz w:val="24"/>
          <w:szCs w:val="24"/>
        </w:rPr>
        <w:t>ies</w:t>
      </w:r>
      <w:r w:rsidRPr="00356ADA">
        <w:rPr>
          <w:rFonts w:ascii="Times New Roman" w:hAnsi="Times New Roman" w:cs="Times New Roman"/>
          <w:sz w:val="24"/>
          <w:szCs w:val="24"/>
        </w:rPr>
        <w:t xml:space="preserve"> substantially among all 117 UK HEIs. Similarly, the reported results in Table </w:t>
      </w:r>
      <w:r>
        <w:rPr>
          <w:rFonts w:ascii="Times New Roman" w:hAnsi="Times New Roman" w:cs="Times New Roman"/>
          <w:sz w:val="24"/>
          <w:szCs w:val="24"/>
        </w:rPr>
        <w:t xml:space="preserve">3 </w:t>
      </w:r>
      <w:r w:rsidRPr="00356ADA">
        <w:rPr>
          <w:rFonts w:ascii="Times New Roman" w:hAnsi="Times New Roman" w:cs="Times New Roman"/>
          <w:sz w:val="24"/>
          <w:szCs w:val="24"/>
        </w:rPr>
        <w:t xml:space="preserve">(panel </w:t>
      </w:r>
      <w:r>
        <w:rPr>
          <w:rFonts w:ascii="Times New Roman" w:hAnsi="Times New Roman" w:cs="Times New Roman"/>
          <w:sz w:val="24"/>
          <w:szCs w:val="24"/>
        </w:rPr>
        <w:t>2</w:t>
      </w:r>
      <w:r w:rsidRPr="00356ADA">
        <w:rPr>
          <w:rFonts w:ascii="Times New Roman" w:hAnsi="Times New Roman" w:cs="Times New Roman"/>
          <w:sz w:val="24"/>
          <w:szCs w:val="24"/>
        </w:rPr>
        <w:t xml:space="preserve">) </w:t>
      </w:r>
      <w:r>
        <w:rPr>
          <w:rFonts w:ascii="Times New Roman" w:hAnsi="Times New Roman" w:cs="Times New Roman"/>
          <w:sz w:val="24"/>
          <w:szCs w:val="24"/>
        </w:rPr>
        <w:t xml:space="preserve">and the </w:t>
      </w:r>
      <w:r>
        <w:rPr>
          <w:rFonts w:asciiTheme="majorBidi" w:hAnsiTheme="majorBidi" w:cstheme="majorBidi"/>
          <w:b/>
          <w:bCs/>
          <w:i/>
          <w:iCs/>
          <w:sz w:val="24"/>
          <w:szCs w:val="24"/>
        </w:rPr>
        <w:t>Online Appendix 2</w:t>
      </w:r>
      <w:r w:rsidRPr="00356ADA">
        <w:rPr>
          <w:rFonts w:ascii="Times New Roman" w:hAnsi="Times New Roman" w:cs="Times New Roman"/>
          <w:sz w:val="24"/>
          <w:szCs w:val="24"/>
        </w:rPr>
        <w:t xml:space="preserve"> indicate that governance </w:t>
      </w:r>
      <w:r>
        <w:rPr>
          <w:rFonts w:ascii="Times New Roman" w:hAnsi="Times New Roman" w:cs="Times New Roman"/>
          <w:sz w:val="24"/>
          <w:szCs w:val="24"/>
        </w:rPr>
        <w:t>quality</w:t>
      </w:r>
      <w:r w:rsidRPr="00356ADA">
        <w:rPr>
          <w:rFonts w:ascii="Times New Roman" w:hAnsi="Times New Roman" w:cs="Times New Roman"/>
          <w:sz w:val="24"/>
          <w:szCs w:val="24"/>
        </w:rPr>
        <w:t xml:space="preserve"> levels</w:t>
      </w:r>
      <w:r>
        <w:rPr>
          <w:rFonts w:ascii="Times New Roman" w:hAnsi="Times New Roman" w:cs="Times New Roman"/>
          <w:sz w:val="24"/>
          <w:szCs w:val="24"/>
        </w:rPr>
        <w:t xml:space="preserve"> (</w:t>
      </w:r>
      <w:r w:rsidRPr="0074019E">
        <w:rPr>
          <w:rFonts w:ascii="Times New Roman" w:hAnsi="Times New Roman" w:cs="Times New Roman"/>
          <w:i/>
          <w:iCs/>
          <w:sz w:val="24"/>
          <w:szCs w:val="24"/>
        </w:rPr>
        <w:t>HEGQI, GOVB, PROS, PERP, AAAC, and SERSE</w:t>
      </w:r>
      <w:r>
        <w:rPr>
          <w:rFonts w:ascii="Times New Roman" w:hAnsi="Times New Roman" w:cs="Times New Roman"/>
          <w:sz w:val="24"/>
          <w:szCs w:val="24"/>
        </w:rPr>
        <w:t>)</w:t>
      </w:r>
      <w:r w:rsidRPr="00356ADA">
        <w:rPr>
          <w:rFonts w:ascii="Times New Roman" w:hAnsi="Times New Roman" w:cs="Times New Roman"/>
          <w:sz w:val="24"/>
          <w:szCs w:val="24"/>
        </w:rPr>
        <w:t xml:space="preserve"> are relatively low, </w:t>
      </w:r>
      <w:r>
        <w:rPr>
          <w:rFonts w:ascii="Times New Roman" w:hAnsi="Times New Roman" w:cs="Times New Roman"/>
          <w:sz w:val="24"/>
          <w:szCs w:val="24"/>
        </w:rPr>
        <w:t>and this is in line with the findings of prior HE studies (</w:t>
      </w:r>
      <w:r w:rsidRPr="006B1944">
        <w:rPr>
          <w:rFonts w:ascii="Times New Roman" w:hAnsi="Times New Roman" w:cs="Times New Roman"/>
          <w:sz w:val="24"/>
          <w:szCs w:val="24"/>
        </w:rPr>
        <w:t>Bleiklie &amp; Kogan</w:t>
      </w:r>
      <w:r>
        <w:rPr>
          <w:rFonts w:ascii="Times New Roman" w:hAnsi="Times New Roman" w:cs="Times New Roman"/>
          <w:sz w:val="24"/>
          <w:szCs w:val="24"/>
        </w:rPr>
        <w:t xml:space="preserve">, 2007; Dao, 2015). </w:t>
      </w:r>
      <w:r w:rsidRPr="00356ADA">
        <w:rPr>
          <w:rFonts w:ascii="Times New Roman" w:hAnsi="Times New Roman" w:cs="Times New Roman"/>
          <w:iCs/>
          <w:sz w:val="24"/>
          <w:szCs w:val="24"/>
        </w:rPr>
        <w:t xml:space="preserve">Additionally, and in line with the findings of </w:t>
      </w:r>
      <w:r w:rsidRPr="001A3BBB">
        <w:rPr>
          <w:rFonts w:ascii="Times New Roman" w:hAnsi="Times New Roman" w:cs="Times New Roman"/>
          <w:iCs/>
          <w:sz w:val="24"/>
          <w:szCs w:val="24"/>
        </w:rPr>
        <w:t xml:space="preserve">Bleiklie </w:t>
      </w:r>
      <w:r>
        <w:rPr>
          <w:rFonts w:ascii="Times New Roman" w:hAnsi="Times New Roman" w:cs="Times New Roman"/>
          <w:iCs/>
          <w:sz w:val="24"/>
          <w:szCs w:val="24"/>
        </w:rPr>
        <w:t>and</w:t>
      </w:r>
      <w:r w:rsidRPr="001A3BBB">
        <w:rPr>
          <w:rFonts w:ascii="Times New Roman" w:hAnsi="Times New Roman" w:cs="Times New Roman"/>
          <w:iCs/>
          <w:sz w:val="24"/>
          <w:szCs w:val="24"/>
        </w:rPr>
        <w:t xml:space="preserve"> Kogan</w:t>
      </w:r>
      <w:r>
        <w:rPr>
          <w:rFonts w:ascii="Times New Roman" w:hAnsi="Times New Roman" w:cs="Times New Roman"/>
          <w:iCs/>
          <w:sz w:val="24"/>
          <w:szCs w:val="24"/>
        </w:rPr>
        <w:t xml:space="preserve"> (</w:t>
      </w:r>
      <w:r w:rsidRPr="001A3BBB">
        <w:rPr>
          <w:rFonts w:ascii="Times New Roman" w:hAnsi="Times New Roman" w:cs="Times New Roman"/>
          <w:iCs/>
          <w:sz w:val="24"/>
          <w:szCs w:val="24"/>
        </w:rPr>
        <w:t>2007</w:t>
      </w:r>
      <w:r>
        <w:rPr>
          <w:rFonts w:ascii="Times New Roman" w:hAnsi="Times New Roman" w:cs="Times New Roman"/>
          <w:iCs/>
          <w:sz w:val="24"/>
          <w:szCs w:val="24"/>
        </w:rPr>
        <w:t>), P</w:t>
      </w:r>
      <w:r w:rsidRPr="00356ADA">
        <w:rPr>
          <w:rFonts w:ascii="Times New Roman" w:hAnsi="Times New Roman" w:cs="Times New Roman"/>
          <w:iCs/>
          <w:sz w:val="24"/>
          <w:szCs w:val="24"/>
        </w:rPr>
        <w:t xml:space="preserve">anel </w:t>
      </w:r>
      <w:r>
        <w:rPr>
          <w:rFonts w:ascii="Times New Roman" w:hAnsi="Times New Roman" w:cs="Times New Roman"/>
          <w:iCs/>
          <w:sz w:val="24"/>
          <w:szCs w:val="24"/>
        </w:rPr>
        <w:t>2</w:t>
      </w:r>
      <w:r w:rsidRPr="00356ADA">
        <w:rPr>
          <w:rFonts w:ascii="Times New Roman" w:hAnsi="Times New Roman" w:cs="Times New Roman"/>
          <w:iCs/>
          <w:sz w:val="24"/>
          <w:szCs w:val="24"/>
        </w:rPr>
        <w:t xml:space="preserve"> of Table </w:t>
      </w:r>
      <w:r>
        <w:rPr>
          <w:rFonts w:ascii="Times New Roman" w:hAnsi="Times New Roman" w:cs="Times New Roman"/>
          <w:iCs/>
          <w:sz w:val="24"/>
          <w:szCs w:val="24"/>
        </w:rPr>
        <w:t>3</w:t>
      </w:r>
      <w:r w:rsidRPr="00356ADA">
        <w:rPr>
          <w:rFonts w:ascii="Times New Roman" w:hAnsi="Times New Roman" w:cs="Times New Roman"/>
          <w:iCs/>
          <w:sz w:val="24"/>
          <w:szCs w:val="24"/>
        </w:rPr>
        <w:t xml:space="preserve"> suggests that </w:t>
      </w:r>
      <w:r w:rsidRPr="00356ADA">
        <w:rPr>
          <w:rFonts w:ascii="Times New Roman" w:hAnsi="Times New Roman" w:cs="Times New Roman"/>
          <w:sz w:val="24"/>
          <w:szCs w:val="24"/>
        </w:rPr>
        <w:t xml:space="preserve">governance </w:t>
      </w:r>
      <w:r>
        <w:rPr>
          <w:rFonts w:ascii="Times New Roman" w:hAnsi="Times New Roman" w:cs="Times New Roman"/>
          <w:sz w:val="24"/>
          <w:szCs w:val="24"/>
        </w:rPr>
        <w:t>quality</w:t>
      </w:r>
      <w:r w:rsidRPr="00356ADA">
        <w:rPr>
          <w:rFonts w:ascii="Times New Roman" w:hAnsi="Times New Roman" w:cs="Times New Roman"/>
          <w:sz w:val="24"/>
          <w:szCs w:val="24"/>
        </w:rPr>
        <w:t xml:space="preserve"> vary substantially among all 117 UK HEIs, with</w:t>
      </w:r>
      <w:r>
        <w:rPr>
          <w:rFonts w:ascii="Times New Roman" w:hAnsi="Times New Roman" w:cs="Times New Roman"/>
          <w:sz w:val="24"/>
          <w:szCs w:val="24"/>
        </w:rPr>
        <w:t>, for example,</w:t>
      </w:r>
      <w:r w:rsidRPr="00356ADA">
        <w:rPr>
          <w:rFonts w:ascii="Times New Roman" w:hAnsi="Times New Roman" w:cs="Times New Roman"/>
          <w:sz w:val="24"/>
          <w:szCs w:val="24"/>
        </w:rPr>
        <w:t xml:space="preserve"> </w:t>
      </w:r>
      <w:r w:rsidRPr="00356ADA">
        <w:rPr>
          <w:rFonts w:ascii="Times New Roman" w:hAnsi="Times New Roman" w:cs="Times New Roman"/>
          <w:iCs/>
          <w:sz w:val="24"/>
          <w:szCs w:val="24"/>
        </w:rPr>
        <w:t xml:space="preserve">the </w:t>
      </w:r>
      <w:r w:rsidRPr="00273D6F">
        <w:rPr>
          <w:rFonts w:ascii="Times New Roman" w:hAnsi="Times New Roman" w:cs="Times New Roman"/>
          <w:i/>
          <w:iCs/>
          <w:sz w:val="24"/>
          <w:szCs w:val="24"/>
        </w:rPr>
        <w:t>HEGQI</w:t>
      </w:r>
      <w:r w:rsidRPr="00356ADA">
        <w:rPr>
          <w:rFonts w:ascii="Times New Roman" w:hAnsi="Times New Roman" w:cs="Times New Roman"/>
          <w:iCs/>
          <w:sz w:val="24"/>
          <w:szCs w:val="24"/>
        </w:rPr>
        <w:t xml:space="preserve"> score ranges between 8% and 75% with an average (median) 40% of HEIs in UK comply with the 100 best governance recommendations investigated.</w:t>
      </w:r>
      <w:r>
        <w:rPr>
          <w:rFonts w:ascii="Times New Roman" w:hAnsi="Times New Roman" w:cs="Times New Roman"/>
          <w:iCs/>
          <w:sz w:val="24"/>
          <w:szCs w:val="24"/>
        </w:rPr>
        <w:t xml:space="preserve"> Further, and consistent with the findings of Banks and Nelson (1994), the reported results in the </w:t>
      </w:r>
      <w:r>
        <w:rPr>
          <w:rFonts w:ascii="Times New Roman" w:hAnsi="Times New Roman" w:cs="Times New Roman"/>
          <w:b/>
          <w:bCs/>
          <w:i/>
          <w:sz w:val="24"/>
          <w:szCs w:val="24"/>
        </w:rPr>
        <w:t>O</w:t>
      </w:r>
      <w:r w:rsidRPr="008B4A5D">
        <w:rPr>
          <w:rFonts w:ascii="Times New Roman" w:hAnsi="Times New Roman" w:cs="Times New Roman"/>
          <w:b/>
          <w:bCs/>
          <w:i/>
          <w:sz w:val="24"/>
          <w:szCs w:val="24"/>
        </w:rPr>
        <w:t>nline Appendix 2</w:t>
      </w:r>
      <w:r>
        <w:rPr>
          <w:rFonts w:ascii="Times New Roman" w:hAnsi="Times New Roman" w:cs="Times New Roman"/>
          <w:iCs/>
          <w:sz w:val="24"/>
          <w:szCs w:val="24"/>
        </w:rPr>
        <w:t xml:space="preserve"> </w:t>
      </w:r>
      <w:r w:rsidRPr="008B4A5D">
        <w:rPr>
          <w:rFonts w:ascii="Times New Roman" w:hAnsi="Times New Roman" w:cs="Times New Roman"/>
          <w:iCs/>
          <w:sz w:val="24"/>
          <w:szCs w:val="24"/>
        </w:rPr>
        <w:t xml:space="preserve">indicate that </w:t>
      </w:r>
      <w:r>
        <w:rPr>
          <w:rFonts w:ascii="Times New Roman" w:hAnsi="Times New Roman" w:cs="Times New Roman"/>
          <w:iCs/>
          <w:sz w:val="24"/>
          <w:szCs w:val="24"/>
        </w:rPr>
        <w:t>the UK HEIs governance quality</w:t>
      </w:r>
      <w:r w:rsidRPr="008B4A5D">
        <w:rPr>
          <w:rFonts w:ascii="Times New Roman" w:hAnsi="Times New Roman" w:cs="Times New Roman"/>
          <w:iCs/>
          <w:sz w:val="24"/>
          <w:szCs w:val="24"/>
        </w:rPr>
        <w:t xml:space="preserve"> have improved over time</w:t>
      </w:r>
      <w:r>
        <w:rPr>
          <w:rFonts w:ascii="Times New Roman" w:hAnsi="Times New Roman" w:cs="Times New Roman"/>
          <w:iCs/>
          <w:sz w:val="24"/>
          <w:szCs w:val="24"/>
        </w:rPr>
        <w:t xml:space="preserve">. For example, </w:t>
      </w:r>
      <w:r w:rsidRPr="00137CA5">
        <w:rPr>
          <w:rFonts w:ascii="Times New Roman" w:hAnsi="Times New Roman" w:cs="Times New Roman"/>
          <w:iCs/>
          <w:sz w:val="24"/>
          <w:szCs w:val="24"/>
        </w:rPr>
        <w:t xml:space="preserve">the average </w:t>
      </w:r>
      <w:r>
        <w:rPr>
          <w:rFonts w:ascii="Times New Roman" w:hAnsi="Times New Roman" w:cs="Times New Roman"/>
          <w:iCs/>
          <w:sz w:val="24"/>
          <w:szCs w:val="24"/>
        </w:rPr>
        <w:t>governance quality score</w:t>
      </w:r>
      <w:r w:rsidRPr="00137CA5">
        <w:rPr>
          <w:rFonts w:ascii="Times New Roman" w:hAnsi="Times New Roman" w:cs="Times New Roman"/>
          <w:iCs/>
          <w:sz w:val="24"/>
          <w:szCs w:val="24"/>
        </w:rPr>
        <w:t xml:space="preserve"> </w:t>
      </w:r>
      <w:r>
        <w:rPr>
          <w:rFonts w:ascii="Times New Roman" w:hAnsi="Times New Roman" w:cs="Times New Roman"/>
          <w:iCs/>
          <w:sz w:val="24"/>
          <w:szCs w:val="24"/>
        </w:rPr>
        <w:t>was 37.37</w:t>
      </w:r>
      <w:r w:rsidRPr="00137CA5">
        <w:rPr>
          <w:rFonts w:ascii="Times New Roman" w:hAnsi="Times New Roman" w:cs="Times New Roman"/>
          <w:iCs/>
          <w:sz w:val="24"/>
          <w:szCs w:val="24"/>
        </w:rPr>
        <w:t xml:space="preserve">% in 2009 and increased to </w:t>
      </w:r>
      <w:r>
        <w:rPr>
          <w:rFonts w:ascii="Times New Roman" w:hAnsi="Times New Roman" w:cs="Times New Roman"/>
          <w:iCs/>
          <w:sz w:val="24"/>
          <w:szCs w:val="24"/>
        </w:rPr>
        <w:t>42.51</w:t>
      </w:r>
      <w:r w:rsidRPr="00137CA5">
        <w:rPr>
          <w:rFonts w:ascii="Times New Roman" w:hAnsi="Times New Roman" w:cs="Times New Roman"/>
          <w:iCs/>
          <w:sz w:val="24"/>
          <w:szCs w:val="24"/>
        </w:rPr>
        <w:t>% in 2014, and this resulted in an overall increase of about 1</w:t>
      </w:r>
      <w:r>
        <w:rPr>
          <w:rFonts w:ascii="Times New Roman" w:hAnsi="Times New Roman" w:cs="Times New Roman"/>
          <w:iCs/>
          <w:sz w:val="24"/>
          <w:szCs w:val="24"/>
        </w:rPr>
        <w:t>4</w:t>
      </w:r>
      <w:r w:rsidRPr="00137CA5">
        <w:rPr>
          <w:rFonts w:ascii="Times New Roman" w:hAnsi="Times New Roman" w:cs="Times New Roman"/>
          <w:iCs/>
          <w:sz w:val="24"/>
          <w:szCs w:val="24"/>
        </w:rPr>
        <w:t>% over the 2009-2014 period</w:t>
      </w:r>
      <w:r>
        <w:rPr>
          <w:rFonts w:ascii="Times New Roman" w:hAnsi="Times New Roman" w:cs="Times New Roman"/>
          <w:iCs/>
          <w:sz w:val="24"/>
          <w:szCs w:val="24"/>
        </w:rPr>
        <w:t>.</w:t>
      </w:r>
      <w:r w:rsidRPr="00356ADA">
        <w:rPr>
          <w:rFonts w:ascii="Times New Roman" w:hAnsi="Times New Roman" w:cs="Times New Roman"/>
          <w:iCs/>
          <w:sz w:val="24"/>
          <w:szCs w:val="24"/>
        </w:rPr>
        <w:t xml:space="preserve"> </w:t>
      </w:r>
      <w:r>
        <w:rPr>
          <w:rFonts w:ascii="Times New Roman" w:hAnsi="Times New Roman" w:cs="Times New Roman"/>
          <w:iCs/>
          <w:sz w:val="24"/>
          <w:szCs w:val="24"/>
        </w:rPr>
        <w:t xml:space="preserve">Similarly, </w:t>
      </w:r>
      <w:r w:rsidRPr="00356ADA">
        <w:rPr>
          <w:rFonts w:ascii="Times New Roman" w:hAnsi="Times New Roman" w:cs="Times New Roman"/>
          <w:sz w:val="24"/>
          <w:szCs w:val="24"/>
        </w:rPr>
        <w:t xml:space="preserve">the </w:t>
      </w:r>
      <w:r>
        <w:rPr>
          <w:rFonts w:ascii="Times New Roman" w:hAnsi="Times New Roman" w:cs="Times New Roman"/>
          <w:sz w:val="24"/>
          <w:szCs w:val="24"/>
        </w:rPr>
        <w:t>vice-chancellor characteristics (</w:t>
      </w:r>
      <w:r w:rsidRPr="00FB6A72">
        <w:rPr>
          <w:rFonts w:ascii="Times New Roman" w:hAnsi="Times New Roman" w:cs="Times New Roman"/>
          <w:i/>
          <w:iCs/>
          <w:sz w:val="24"/>
          <w:szCs w:val="24"/>
        </w:rPr>
        <w:t>VCControls</w:t>
      </w:r>
      <w:r>
        <w:rPr>
          <w:rFonts w:ascii="Times New Roman" w:hAnsi="Times New Roman" w:cs="Times New Roman"/>
          <w:sz w:val="24"/>
          <w:szCs w:val="24"/>
        </w:rPr>
        <w:t>)</w:t>
      </w:r>
      <w:r w:rsidRPr="00356ADA">
        <w:rPr>
          <w:rFonts w:ascii="Times New Roman" w:hAnsi="Times New Roman" w:cs="Times New Roman"/>
          <w:sz w:val="24"/>
          <w:szCs w:val="24"/>
        </w:rPr>
        <w:t xml:space="preserve"> and general HEIs characteristic variables (</w:t>
      </w:r>
      <w:r>
        <w:rPr>
          <w:rFonts w:ascii="Times New Roman" w:hAnsi="Times New Roman" w:cs="Times New Roman"/>
          <w:i/>
          <w:sz w:val="24"/>
          <w:szCs w:val="24"/>
        </w:rPr>
        <w:t>HEIControls</w:t>
      </w:r>
      <w:r w:rsidRPr="00356ADA">
        <w:rPr>
          <w:rFonts w:ascii="Times New Roman" w:hAnsi="Times New Roman" w:cs="Times New Roman"/>
          <w:sz w:val="24"/>
          <w:szCs w:val="24"/>
        </w:rPr>
        <w:t xml:space="preserve">) contained in Table </w:t>
      </w:r>
      <w:r>
        <w:rPr>
          <w:rFonts w:ascii="Times New Roman" w:hAnsi="Times New Roman" w:cs="Times New Roman"/>
          <w:sz w:val="24"/>
          <w:szCs w:val="24"/>
        </w:rPr>
        <w:t>3</w:t>
      </w:r>
      <w:r w:rsidRPr="00356ADA">
        <w:rPr>
          <w:rFonts w:ascii="Times New Roman" w:hAnsi="Times New Roman" w:cs="Times New Roman"/>
          <w:sz w:val="24"/>
          <w:szCs w:val="24"/>
        </w:rPr>
        <w:t xml:space="preserve"> </w:t>
      </w:r>
      <w:r>
        <w:rPr>
          <w:rFonts w:ascii="Times New Roman" w:hAnsi="Times New Roman" w:cs="Times New Roman"/>
          <w:sz w:val="24"/>
          <w:szCs w:val="24"/>
        </w:rPr>
        <w:t>(</w:t>
      </w:r>
      <w:r w:rsidRPr="008F5521">
        <w:rPr>
          <w:rFonts w:asciiTheme="majorBidi" w:hAnsiTheme="majorBidi" w:cstheme="majorBidi"/>
          <w:b/>
          <w:bCs/>
          <w:i/>
          <w:iCs/>
          <w:sz w:val="24"/>
          <w:szCs w:val="24"/>
        </w:rPr>
        <w:t>in the main paper</w:t>
      </w:r>
      <w:r>
        <w:rPr>
          <w:rFonts w:asciiTheme="majorBidi" w:hAnsiTheme="majorBidi" w:cstheme="majorBidi"/>
          <w:sz w:val="24"/>
          <w:szCs w:val="24"/>
        </w:rPr>
        <w:t>)</w:t>
      </w:r>
      <w:r w:rsidRPr="00356ADA">
        <w:rPr>
          <w:rFonts w:ascii="Times New Roman" w:hAnsi="Times New Roman" w:cs="Times New Roman"/>
          <w:sz w:val="24"/>
          <w:szCs w:val="24"/>
        </w:rPr>
        <w:t xml:space="preserve"> all depict wide variability in their distributions</w:t>
      </w:r>
      <w:r>
        <w:rPr>
          <w:rFonts w:ascii="Times New Roman" w:hAnsi="Times New Roman" w:cs="Times New Roman"/>
          <w:sz w:val="24"/>
          <w:szCs w:val="24"/>
        </w:rPr>
        <w:t>.</w:t>
      </w:r>
      <w:r>
        <w:rPr>
          <w:rFonts w:asciiTheme="majorBidi" w:hAnsiTheme="majorBidi" w:cstheme="majorBidi"/>
          <w:sz w:val="24"/>
          <w:szCs w:val="24"/>
        </w:rPr>
        <w:t xml:space="preserve"> </w:t>
      </w:r>
    </w:p>
    <w:p w14:paraId="1DC63055" w14:textId="77777777" w:rsidR="00837DA7" w:rsidRPr="00356ADA" w:rsidRDefault="00837DA7" w:rsidP="00837DA7">
      <w:pPr>
        <w:spacing w:line="240" w:lineRule="auto"/>
        <w:ind w:firstLine="720"/>
        <w:jc w:val="both"/>
        <w:rPr>
          <w:rFonts w:asciiTheme="majorBidi" w:hAnsiTheme="majorBidi" w:cstheme="majorBidi"/>
          <w:sz w:val="24"/>
          <w:szCs w:val="24"/>
        </w:rPr>
      </w:pPr>
      <w:r w:rsidRPr="003B13C4">
        <w:rPr>
          <w:rFonts w:ascii="Times New Roman" w:hAnsi="Times New Roman" w:cs="Times New Roman"/>
          <w:b/>
          <w:bCs/>
          <w:i/>
          <w:iCs/>
          <w:sz w:val="24"/>
          <w:szCs w:val="24"/>
        </w:rPr>
        <w:t xml:space="preserve">Online Appendix </w:t>
      </w:r>
      <w:r>
        <w:rPr>
          <w:rFonts w:ascii="Times New Roman" w:hAnsi="Times New Roman" w:cs="Times New Roman"/>
          <w:b/>
          <w:bCs/>
          <w:i/>
          <w:iCs/>
          <w:sz w:val="24"/>
          <w:szCs w:val="24"/>
        </w:rPr>
        <w:t>3</w:t>
      </w:r>
      <w:r w:rsidRPr="00356ADA">
        <w:rPr>
          <w:rFonts w:asciiTheme="majorBidi" w:hAnsiTheme="majorBidi" w:cstheme="majorBidi"/>
          <w:sz w:val="24"/>
          <w:szCs w:val="24"/>
        </w:rPr>
        <w:t xml:space="preserve"> shows the correlation matrix for all variables in order to check for the existence of any multicollinearity problems. The results of Pearson and Spearman have been reported as a robustness check, and, crucially, both tests have similar correlation coefficients, implying that our data does not suffer from any serious non-linearity problems. </w:t>
      </w:r>
      <w:r>
        <w:rPr>
          <w:rFonts w:asciiTheme="majorBidi" w:hAnsiTheme="majorBidi" w:cstheme="majorBidi"/>
          <w:sz w:val="24"/>
          <w:szCs w:val="24"/>
        </w:rPr>
        <w:t>Further, the highest VIF values for the regression model 1 of Table 4 is 2.454 (results are available upon request), suggesting that there is no serious multicollinearity problem among our examined variables (</w:t>
      </w:r>
      <w:r w:rsidRPr="00314CFB">
        <w:rPr>
          <w:rFonts w:ascii="Times New Roman" w:hAnsi="Times New Roman" w:cs="Times New Roman"/>
          <w:sz w:val="24"/>
          <w:szCs w:val="24"/>
        </w:rPr>
        <w:t>Chatterjee &amp; Hadi</w:t>
      </w:r>
      <w:r>
        <w:rPr>
          <w:rFonts w:ascii="Times New Roman" w:hAnsi="Times New Roman" w:cs="Times New Roman"/>
          <w:sz w:val="24"/>
          <w:szCs w:val="24"/>
        </w:rPr>
        <w:t>, 2013)</w:t>
      </w:r>
      <w:r>
        <w:rPr>
          <w:rFonts w:asciiTheme="majorBidi" w:hAnsiTheme="majorBidi" w:cstheme="majorBidi"/>
          <w:sz w:val="24"/>
          <w:szCs w:val="24"/>
        </w:rPr>
        <w:t xml:space="preserve">. </w:t>
      </w:r>
      <w:r w:rsidRPr="00356ADA">
        <w:rPr>
          <w:rFonts w:asciiTheme="majorBidi" w:hAnsiTheme="majorBidi" w:cstheme="majorBidi"/>
          <w:sz w:val="24"/>
          <w:szCs w:val="24"/>
        </w:rPr>
        <w:t xml:space="preserve">Additionally, we tested for linearity, homoscedasticity, normality, and autocorrelation and we did not detect any serious violations of these OLS assumptions. Furthermore, </w:t>
      </w:r>
      <w:r>
        <w:rPr>
          <w:rFonts w:asciiTheme="majorBidi" w:hAnsiTheme="majorBidi" w:cstheme="majorBidi"/>
          <w:b/>
          <w:bCs/>
          <w:i/>
          <w:iCs/>
          <w:sz w:val="24"/>
          <w:szCs w:val="24"/>
        </w:rPr>
        <w:t>O</w:t>
      </w:r>
      <w:r w:rsidRPr="00FE0B57">
        <w:rPr>
          <w:rFonts w:asciiTheme="majorBidi" w:hAnsiTheme="majorBidi" w:cstheme="majorBidi"/>
          <w:b/>
          <w:bCs/>
          <w:i/>
          <w:iCs/>
          <w:sz w:val="24"/>
          <w:szCs w:val="24"/>
        </w:rPr>
        <w:t xml:space="preserve">nline Appendix </w:t>
      </w:r>
      <w:r>
        <w:rPr>
          <w:rFonts w:asciiTheme="majorBidi" w:hAnsiTheme="majorBidi" w:cstheme="majorBidi"/>
          <w:b/>
          <w:bCs/>
          <w:i/>
          <w:iCs/>
          <w:sz w:val="24"/>
          <w:szCs w:val="24"/>
        </w:rPr>
        <w:t>3</w:t>
      </w:r>
      <w:r w:rsidRPr="00FE0B57">
        <w:rPr>
          <w:rFonts w:asciiTheme="majorBidi" w:hAnsiTheme="majorBidi" w:cstheme="majorBidi"/>
          <w:sz w:val="24"/>
          <w:szCs w:val="24"/>
        </w:rPr>
        <w:t xml:space="preserve"> </w:t>
      </w:r>
      <w:r w:rsidRPr="00356ADA">
        <w:rPr>
          <w:rFonts w:asciiTheme="majorBidi" w:hAnsiTheme="majorBidi" w:cstheme="majorBidi"/>
          <w:sz w:val="24"/>
          <w:szCs w:val="24"/>
        </w:rPr>
        <w:t xml:space="preserve">reveals significant relationships among </w:t>
      </w:r>
      <w:r>
        <w:rPr>
          <w:rFonts w:asciiTheme="majorBidi" w:hAnsiTheme="majorBidi" w:cstheme="majorBidi"/>
          <w:sz w:val="24"/>
          <w:szCs w:val="24"/>
        </w:rPr>
        <w:t>voluntary</w:t>
      </w:r>
      <w:r w:rsidRPr="00356ADA">
        <w:rPr>
          <w:rFonts w:asciiTheme="majorBidi" w:hAnsiTheme="majorBidi" w:cstheme="majorBidi"/>
          <w:sz w:val="24"/>
          <w:szCs w:val="24"/>
        </w:rPr>
        <w:t xml:space="preserve"> risk disclosure (</w:t>
      </w:r>
      <w:r>
        <w:rPr>
          <w:rFonts w:asciiTheme="majorBidi" w:hAnsiTheme="majorBidi" w:cstheme="majorBidi"/>
          <w:i/>
          <w:iCs/>
          <w:sz w:val="24"/>
          <w:szCs w:val="24"/>
        </w:rPr>
        <w:t>HE</w:t>
      </w:r>
      <w:r w:rsidRPr="00356ADA">
        <w:rPr>
          <w:rFonts w:asciiTheme="majorBidi" w:hAnsiTheme="majorBidi" w:cstheme="majorBidi"/>
          <w:i/>
          <w:sz w:val="24"/>
          <w:szCs w:val="24"/>
        </w:rPr>
        <w:t>RDI</w:t>
      </w:r>
      <w:r w:rsidRPr="00356ADA">
        <w:rPr>
          <w:rFonts w:asciiTheme="majorBidi" w:hAnsiTheme="majorBidi" w:cstheme="majorBidi"/>
          <w:sz w:val="24"/>
          <w:szCs w:val="24"/>
        </w:rPr>
        <w:t>), governance quality index (</w:t>
      </w:r>
      <w:r>
        <w:rPr>
          <w:rFonts w:asciiTheme="majorBidi" w:hAnsiTheme="majorBidi" w:cstheme="majorBidi"/>
          <w:i/>
          <w:iCs/>
          <w:sz w:val="24"/>
          <w:szCs w:val="24"/>
        </w:rPr>
        <w:t>HE</w:t>
      </w:r>
      <w:r w:rsidRPr="00356ADA">
        <w:rPr>
          <w:rFonts w:asciiTheme="majorBidi" w:hAnsiTheme="majorBidi" w:cstheme="majorBidi"/>
          <w:i/>
          <w:sz w:val="24"/>
          <w:szCs w:val="24"/>
        </w:rPr>
        <w:t>GQI</w:t>
      </w:r>
      <w:r w:rsidRPr="00356ADA">
        <w:rPr>
          <w:rFonts w:asciiTheme="majorBidi" w:hAnsiTheme="majorBidi" w:cstheme="majorBidi"/>
          <w:sz w:val="24"/>
          <w:szCs w:val="24"/>
        </w:rPr>
        <w:t xml:space="preserve">), </w:t>
      </w:r>
      <w:r>
        <w:rPr>
          <w:rFonts w:asciiTheme="majorBidi" w:hAnsiTheme="majorBidi" w:cstheme="majorBidi"/>
          <w:sz w:val="24"/>
          <w:szCs w:val="24"/>
        </w:rPr>
        <w:t>vice-chancellor characteristics</w:t>
      </w:r>
      <w:r w:rsidRPr="00356ADA">
        <w:rPr>
          <w:rFonts w:asciiTheme="majorBidi" w:hAnsiTheme="majorBidi" w:cstheme="majorBidi"/>
          <w:sz w:val="24"/>
          <w:szCs w:val="24"/>
        </w:rPr>
        <w:t xml:space="preserve"> and general HEIs characteristics. For instance, </w:t>
      </w:r>
      <w:r>
        <w:rPr>
          <w:rFonts w:asciiTheme="majorBidi" w:hAnsiTheme="majorBidi" w:cstheme="majorBidi"/>
          <w:i/>
          <w:iCs/>
          <w:sz w:val="24"/>
          <w:szCs w:val="24"/>
        </w:rPr>
        <w:t>HE</w:t>
      </w:r>
      <w:r w:rsidRPr="00356ADA">
        <w:rPr>
          <w:rFonts w:asciiTheme="majorBidi" w:hAnsiTheme="majorBidi" w:cstheme="majorBidi"/>
          <w:i/>
          <w:sz w:val="24"/>
          <w:szCs w:val="24"/>
        </w:rPr>
        <w:t xml:space="preserve">RDI </w:t>
      </w:r>
      <w:r w:rsidRPr="00356ADA">
        <w:rPr>
          <w:rFonts w:asciiTheme="majorBidi" w:hAnsiTheme="majorBidi" w:cstheme="majorBidi"/>
          <w:sz w:val="24"/>
          <w:szCs w:val="24"/>
        </w:rPr>
        <w:t xml:space="preserve">is positively related to </w:t>
      </w:r>
      <w:r>
        <w:rPr>
          <w:rFonts w:asciiTheme="majorBidi" w:hAnsiTheme="majorBidi" w:cstheme="majorBidi"/>
          <w:i/>
          <w:iCs/>
          <w:sz w:val="24"/>
          <w:szCs w:val="24"/>
        </w:rPr>
        <w:t>HE</w:t>
      </w:r>
      <w:r w:rsidRPr="00356ADA">
        <w:rPr>
          <w:rFonts w:asciiTheme="majorBidi" w:hAnsiTheme="majorBidi" w:cstheme="majorBidi"/>
          <w:i/>
          <w:sz w:val="24"/>
          <w:szCs w:val="24"/>
        </w:rPr>
        <w:t>GQI</w:t>
      </w:r>
      <w:r w:rsidRPr="00356ADA">
        <w:rPr>
          <w:rFonts w:asciiTheme="majorBidi" w:hAnsiTheme="majorBidi" w:cstheme="majorBidi"/>
          <w:sz w:val="24"/>
          <w:szCs w:val="24"/>
        </w:rPr>
        <w:t>, senior management team size (</w:t>
      </w:r>
      <w:r>
        <w:rPr>
          <w:rFonts w:asciiTheme="majorBidi" w:hAnsiTheme="majorBidi" w:cstheme="majorBidi"/>
          <w:i/>
          <w:sz w:val="24"/>
          <w:szCs w:val="24"/>
        </w:rPr>
        <w:t>SM</w:t>
      </w:r>
      <w:r w:rsidRPr="00356ADA">
        <w:rPr>
          <w:rFonts w:asciiTheme="majorBidi" w:hAnsiTheme="majorBidi" w:cstheme="majorBidi"/>
          <w:i/>
          <w:sz w:val="24"/>
          <w:szCs w:val="24"/>
        </w:rPr>
        <w:t>TSZ</w:t>
      </w:r>
      <w:r>
        <w:rPr>
          <w:rFonts w:asciiTheme="majorBidi" w:hAnsiTheme="majorBidi" w:cstheme="majorBidi"/>
          <w:i/>
          <w:sz w:val="24"/>
          <w:szCs w:val="24"/>
        </w:rPr>
        <w:t>E</w:t>
      </w:r>
      <w:r w:rsidRPr="00356ADA">
        <w:rPr>
          <w:rFonts w:asciiTheme="majorBidi" w:hAnsiTheme="majorBidi" w:cstheme="majorBidi"/>
          <w:sz w:val="24"/>
          <w:szCs w:val="24"/>
        </w:rPr>
        <w:t>), senior management team meetings (</w:t>
      </w:r>
      <w:r>
        <w:rPr>
          <w:rFonts w:asciiTheme="majorBidi" w:hAnsiTheme="majorBidi" w:cstheme="majorBidi"/>
          <w:i/>
          <w:sz w:val="24"/>
          <w:szCs w:val="24"/>
        </w:rPr>
        <w:t>SMTM</w:t>
      </w:r>
      <w:r w:rsidRPr="00356ADA">
        <w:rPr>
          <w:rFonts w:asciiTheme="majorBidi" w:hAnsiTheme="majorBidi" w:cstheme="majorBidi"/>
          <w:sz w:val="24"/>
          <w:szCs w:val="24"/>
        </w:rPr>
        <w:t>), Russell Group (</w:t>
      </w:r>
      <w:r w:rsidRPr="00356ADA">
        <w:rPr>
          <w:rFonts w:asciiTheme="majorBidi" w:hAnsiTheme="majorBidi" w:cstheme="majorBidi"/>
          <w:i/>
          <w:sz w:val="24"/>
          <w:szCs w:val="24"/>
        </w:rPr>
        <w:t>R</w:t>
      </w:r>
      <w:r>
        <w:rPr>
          <w:rFonts w:asciiTheme="majorBidi" w:hAnsiTheme="majorBidi" w:cstheme="majorBidi"/>
          <w:i/>
          <w:sz w:val="24"/>
          <w:szCs w:val="24"/>
        </w:rPr>
        <w:t>USS</w:t>
      </w:r>
      <w:r w:rsidRPr="00356ADA">
        <w:rPr>
          <w:rFonts w:asciiTheme="majorBidi" w:hAnsiTheme="majorBidi" w:cstheme="majorBidi"/>
          <w:i/>
          <w:sz w:val="24"/>
          <w:szCs w:val="24"/>
        </w:rPr>
        <w:t>G</w:t>
      </w:r>
      <w:r w:rsidRPr="00356ADA">
        <w:rPr>
          <w:rFonts w:asciiTheme="majorBidi" w:hAnsiTheme="majorBidi" w:cstheme="majorBidi"/>
          <w:sz w:val="24"/>
          <w:szCs w:val="24"/>
        </w:rPr>
        <w:t>), HEI age (</w:t>
      </w:r>
      <w:r>
        <w:rPr>
          <w:rFonts w:asciiTheme="majorBidi" w:hAnsiTheme="majorBidi" w:cstheme="majorBidi"/>
          <w:i/>
          <w:sz w:val="24"/>
          <w:szCs w:val="24"/>
        </w:rPr>
        <w:t>HEI</w:t>
      </w:r>
      <w:r w:rsidRPr="00356ADA">
        <w:rPr>
          <w:rFonts w:asciiTheme="majorBidi" w:hAnsiTheme="majorBidi" w:cstheme="majorBidi"/>
          <w:i/>
          <w:sz w:val="24"/>
          <w:szCs w:val="24"/>
        </w:rPr>
        <w:t>AG</w:t>
      </w:r>
      <w:r>
        <w:rPr>
          <w:rFonts w:asciiTheme="majorBidi" w:hAnsiTheme="majorBidi" w:cstheme="majorBidi"/>
          <w:i/>
          <w:sz w:val="24"/>
          <w:szCs w:val="24"/>
        </w:rPr>
        <w:t>E</w:t>
      </w:r>
      <w:r w:rsidRPr="00356ADA">
        <w:rPr>
          <w:rFonts w:asciiTheme="majorBidi" w:hAnsiTheme="majorBidi" w:cstheme="majorBidi"/>
          <w:sz w:val="24"/>
          <w:szCs w:val="24"/>
        </w:rPr>
        <w:t>)</w:t>
      </w:r>
      <w:r>
        <w:rPr>
          <w:rFonts w:asciiTheme="majorBidi" w:hAnsiTheme="majorBidi" w:cstheme="majorBidi"/>
          <w:sz w:val="24"/>
          <w:szCs w:val="24"/>
        </w:rPr>
        <w:t xml:space="preserve">, </w:t>
      </w:r>
      <w:r w:rsidRPr="00356ADA">
        <w:rPr>
          <w:rFonts w:asciiTheme="majorBidi" w:hAnsiTheme="majorBidi" w:cstheme="majorBidi"/>
          <w:sz w:val="24"/>
          <w:szCs w:val="24"/>
        </w:rPr>
        <w:t>HEI size (</w:t>
      </w:r>
      <w:r>
        <w:rPr>
          <w:rFonts w:asciiTheme="majorBidi" w:hAnsiTheme="majorBidi" w:cstheme="majorBidi"/>
          <w:i/>
          <w:sz w:val="24"/>
          <w:szCs w:val="24"/>
        </w:rPr>
        <w:t>HEI</w:t>
      </w:r>
      <w:r w:rsidRPr="00356ADA">
        <w:rPr>
          <w:rFonts w:asciiTheme="majorBidi" w:hAnsiTheme="majorBidi" w:cstheme="majorBidi"/>
          <w:i/>
          <w:sz w:val="24"/>
          <w:szCs w:val="24"/>
        </w:rPr>
        <w:t>SZ</w:t>
      </w:r>
      <w:r>
        <w:rPr>
          <w:rFonts w:asciiTheme="majorBidi" w:hAnsiTheme="majorBidi" w:cstheme="majorBidi"/>
          <w:i/>
          <w:sz w:val="24"/>
          <w:szCs w:val="24"/>
        </w:rPr>
        <w:t>E</w:t>
      </w:r>
      <w:r w:rsidRPr="00356ADA">
        <w:rPr>
          <w:rFonts w:asciiTheme="majorBidi" w:hAnsiTheme="majorBidi" w:cstheme="majorBidi"/>
          <w:sz w:val="24"/>
          <w:szCs w:val="24"/>
        </w:rPr>
        <w:t>)</w:t>
      </w:r>
      <w:r>
        <w:rPr>
          <w:rFonts w:asciiTheme="majorBidi" w:hAnsiTheme="majorBidi" w:cstheme="majorBidi"/>
          <w:sz w:val="24"/>
          <w:szCs w:val="24"/>
        </w:rPr>
        <w:t xml:space="preserve"> and leverage (</w:t>
      </w:r>
      <w:r>
        <w:rPr>
          <w:rFonts w:asciiTheme="majorBidi" w:hAnsiTheme="majorBidi" w:cstheme="majorBidi"/>
          <w:i/>
          <w:iCs/>
          <w:sz w:val="24"/>
          <w:szCs w:val="24"/>
        </w:rPr>
        <w:t>LEVE</w:t>
      </w:r>
      <w:r>
        <w:rPr>
          <w:rFonts w:asciiTheme="majorBidi" w:hAnsiTheme="majorBidi" w:cstheme="majorBidi"/>
          <w:sz w:val="24"/>
          <w:szCs w:val="24"/>
        </w:rPr>
        <w:t>)</w:t>
      </w:r>
      <w:r w:rsidRPr="00356ADA">
        <w:rPr>
          <w:rFonts w:asciiTheme="majorBidi" w:hAnsiTheme="majorBidi" w:cstheme="majorBidi"/>
          <w:sz w:val="24"/>
          <w:szCs w:val="24"/>
        </w:rPr>
        <w:t xml:space="preserve">. In contrast, the </w:t>
      </w:r>
      <w:r>
        <w:rPr>
          <w:rFonts w:asciiTheme="majorBidi" w:hAnsiTheme="majorBidi" w:cstheme="majorBidi"/>
          <w:i/>
          <w:iCs/>
          <w:sz w:val="24"/>
          <w:szCs w:val="24"/>
        </w:rPr>
        <w:t>HE</w:t>
      </w:r>
      <w:r w:rsidRPr="00356ADA">
        <w:rPr>
          <w:rFonts w:asciiTheme="majorBidi" w:hAnsiTheme="majorBidi" w:cstheme="majorBidi"/>
          <w:i/>
          <w:sz w:val="24"/>
          <w:szCs w:val="24"/>
        </w:rPr>
        <w:t>RDI</w:t>
      </w:r>
      <w:r w:rsidRPr="00356ADA">
        <w:rPr>
          <w:rFonts w:asciiTheme="majorBidi" w:hAnsiTheme="majorBidi" w:cstheme="majorBidi"/>
          <w:sz w:val="24"/>
          <w:szCs w:val="24"/>
        </w:rPr>
        <w:t xml:space="preserve"> is negatively related to senior management team diversity (</w:t>
      </w:r>
      <w:r>
        <w:rPr>
          <w:rFonts w:asciiTheme="majorBidi" w:hAnsiTheme="majorBidi" w:cstheme="majorBidi"/>
          <w:i/>
          <w:sz w:val="24"/>
          <w:szCs w:val="24"/>
        </w:rPr>
        <w:t>SMTGED</w:t>
      </w:r>
      <w:r w:rsidRPr="00356ADA">
        <w:rPr>
          <w:rFonts w:asciiTheme="majorBidi" w:hAnsiTheme="majorBidi" w:cstheme="majorBidi"/>
          <w:sz w:val="24"/>
          <w:szCs w:val="24"/>
        </w:rPr>
        <w:t>)</w:t>
      </w:r>
      <w:r>
        <w:rPr>
          <w:rFonts w:asciiTheme="majorBidi" w:hAnsiTheme="majorBidi" w:cstheme="majorBidi"/>
          <w:sz w:val="24"/>
          <w:szCs w:val="24"/>
        </w:rPr>
        <w:t>, vice-chancellor academic discipline (</w:t>
      </w:r>
      <w:r>
        <w:rPr>
          <w:rFonts w:asciiTheme="majorBidi" w:hAnsiTheme="majorBidi" w:cstheme="majorBidi"/>
          <w:i/>
          <w:iCs/>
          <w:sz w:val="24"/>
          <w:szCs w:val="24"/>
        </w:rPr>
        <w:t>VCACD</w:t>
      </w:r>
      <w:r>
        <w:rPr>
          <w:rFonts w:asciiTheme="majorBidi" w:hAnsiTheme="majorBidi" w:cstheme="majorBidi"/>
          <w:sz w:val="24"/>
          <w:szCs w:val="24"/>
        </w:rPr>
        <w:t xml:space="preserve">) and the </w:t>
      </w:r>
      <w:r w:rsidRPr="007844C9">
        <w:rPr>
          <w:rFonts w:asciiTheme="majorBidi" w:hAnsiTheme="majorBidi" w:cstheme="majorBidi"/>
          <w:sz w:val="24"/>
          <w:szCs w:val="24"/>
        </w:rPr>
        <w:t>proportion of income from funding councils (</w:t>
      </w:r>
      <w:r>
        <w:rPr>
          <w:rFonts w:asciiTheme="majorBidi" w:hAnsiTheme="majorBidi" w:cstheme="majorBidi"/>
          <w:i/>
          <w:sz w:val="24"/>
          <w:szCs w:val="24"/>
        </w:rPr>
        <w:t>IFUNDC</w:t>
      </w:r>
      <w:r w:rsidRPr="007844C9">
        <w:rPr>
          <w:rFonts w:asciiTheme="majorBidi" w:hAnsiTheme="majorBidi" w:cstheme="majorBidi"/>
          <w:sz w:val="24"/>
          <w:szCs w:val="24"/>
        </w:rPr>
        <w:t>)</w:t>
      </w:r>
      <w:r w:rsidRPr="00356ADA">
        <w:rPr>
          <w:rFonts w:asciiTheme="majorBidi" w:hAnsiTheme="majorBidi" w:cstheme="majorBidi"/>
          <w:sz w:val="24"/>
          <w:szCs w:val="24"/>
        </w:rPr>
        <w:t xml:space="preserve">. There is, however, no evidence that </w:t>
      </w:r>
      <w:r>
        <w:rPr>
          <w:rFonts w:asciiTheme="majorBidi" w:hAnsiTheme="majorBidi" w:cstheme="majorBidi"/>
          <w:sz w:val="24"/>
          <w:szCs w:val="24"/>
        </w:rPr>
        <w:t>vice-chancellor (VC) age (</w:t>
      </w:r>
      <w:r w:rsidRPr="00467677">
        <w:rPr>
          <w:rFonts w:asciiTheme="majorBidi" w:hAnsiTheme="majorBidi" w:cstheme="majorBidi"/>
          <w:i/>
          <w:iCs/>
          <w:sz w:val="24"/>
          <w:szCs w:val="24"/>
        </w:rPr>
        <w:t>VCAG</w:t>
      </w:r>
      <w:r>
        <w:rPr>
          <w:rFonts w:asciiTheme="majorBidi" w:hAnsiTheme="majorBidi" w:cstheme="majorBidi"/>
          <w:i/>
          <w:iCs/>
          <w:sz w:val="24"/>
          <w:szCs w:val="24"/>
        </w:rPr>
        <w:t>E</w:t>
      </w:r>
      <w:r>
        <w:rPr>
          <w:rFonts w:asciiTheme="majorBidi" w:hAnsiTheme="majorBidi" w:cstheme="majorBidi"/>
          <w:sz w:val="24"/>
          <w:szCs w:val="24"/>
        </w:rPr>
        <w:t>), VC gender (</w:t>
      </w:r>
      <w:r w:rsidRPr="00467677">
        <w:rPr>
          <w:rFonts w:asciiTheme="majorBidi" w:hAnsiTheme="majorBidi" w:cstheme="majorBidi"/>
          <w:i/>
          <w:iCs/>
          <w:sz w:val="24"/>
          <w:szCs w:val="24"/>
        </w:rPr>
        <w:t>VCG</w:t>
      </w:r>
      <w:r>
        <w:rPr>
          <w:rFonts w:asciiTheme="majorBidi" w:hAnsiTheme="majorBidi" w:cstheme="majorBidi"/>
          <w:i/>
          <w:iCs/>
          <w:sz w:val="24"/>
          <w:szCs w:val="24"/>
        </w:rPr>
        <w:t>EN</w:t>
      </w:r>
      <w:r>
        <w:rPr>
          <w:rFonts w:asciiTheme="majorBidi" w:hAnsiTheme="majorBidi" w:cstheme="majorBidi"/>
          <w:sz w:val="24"/>
          <w:szCs w:val="24"/>
        </w:rPr>
        <w:t>), VC tenure (</w:t>
      </w:r>
      <w:r w:rsidRPr="00467677">
        <w:rPr>
          <w:rFonts w:asciiTheme="majorBidi" w:hAnsiTheme="majorBidi" w:cstheme="majorBidi"/>
          <w:i/>
          <w:iCs/>
          <w:sz w:val="24"/>
          <w:szCs w:val="24"/>
        </w:rPr>
        <w:t>VCT</w:t>
      </w:r>
      <w:r>
        <w:rPr>
          <w:rFonts w:asciiTheme="majorBidi" w:hAnsiTheme="majorBidi" w:cstheme="majorBidi"/>
          <w:i/>
          <w:iCs/>
          <w:sz w:val="24"/>
          <w:szCs w:val="24"/>
        </w:rPr>
        <w:t>E</w:t>
      </w:r>
      <w:r w:rsidRPr="00467677">
        <w:rPr>
          <w:rFonts w:asciiTheme="majorBidi" w:hAnsiTheme="majorBidi" w:cstheme="majorBidi"/>
          <w:i/>
          <w:iCs/>
          <w:sz w:val="24"/>
          <w:szCs w:val="24"/>
        </w:rPr>
        <w:t>N</w:t>
      </w:r>
      <w:r>
        <w:rPr>
          <w:rFonts w:asciiTheme="majorBidi" w:hAnsiTheme="majorBidi" w:cstheme="majorBidi"/>
          <w:sz w:val="24"/>
          <w:szCs w:val="24"/>
        </w:rPr>
        <w:t>), growth (</w:t>
      </w:r>
      <w:r>
        <w:rPr>
          <w:rFonts w:asciiTheme="majorBidi" w:hAnsiTheme="majorBidi" w:cstheme="majorBidi"/>
          <w:i/>
          <w:iCs/>
          <w:sz w:val="24"/>
          <w:szCs w:val="24"/>
        </w:rPr>
        <w:t>GRTH</w:t>
      </w:r>
      <w:r>
        <w:rPr>
          <w:rFonts w:asciiTheme="majorBidi" w:hAnsiTheme="majorBidi" w:cstheme="majorBidi"/>
          <w:sz w:val="24"/>
          <w:szCs w:val="24"/>
        </w:rPr>
        <w:t>), financial risk (</w:t>
      </w:r>
      <w:r>
        <w:rPr>
          <w:rFonts w:asciiTheme="majorBidi" w:hAnsiTheme="majorBidi" w:cstheme="majorBidi"/>
          <w:i/>
          <w:iCs/>
          <w:sz w:val="24"/>
          <w:szCs w:val="24"/>
        </w:rPr>
        <w:t>FRISK</w:t>
      </w:r>
      <w:r>
        <w:rPr>
          <w:rFonts w:asciiTheme="majorBidi" w:hAnsiTheme="majorBidi" w:cstheme="majorBidi"/>
          <w:sz w:val="24"/>
          <w:szCs w:val="24"/>
        </w:rPr>
        <w:t>) and liquidity (</w:t>
      </w:r>
      <w:r w:rsidRPr="00467677">
        <w:rPr>
          <w:rFonts w:asciiTheme="majorBidi" w:hAnsiTheme="majorBidi" w:cstheme="majorBidi"/>
          <w:i/>
          <w:iCs/>
          <w:sz w:val="24"/>
          <w:szCs w:val="24"/>
        </w:rPr>
        <w:t>LIQU</w:t>
      </w:r>
      <w:r>
        <w:rPr>
          <w:rFonts w:asciiTheme="majorBidi" w:hAnsiTheme="majorBidi" w:cstheme="majorBidi"/>
          <w:i/>
          <w:iCs/>
          <w:sz w:val="24"/>
          <w:szCs w:val="24"/>
        </w:rPr>
        <w:t>D</w:t>
      </w:r>
      <w:r>
        <w:rPr>
          <w:rFonts w:asciiTheme="majorBidi" w:hAnsiTheme="majorBidi" w:cstheme="majorBidi"/>
          <w:sz w:val="24"/>
          <w:szCs w:val="24"/>
        </w:rPr>
        <w:t xml:space="preserve">) </w:t>
      </w:r>
      <w:r w:rsidRPr="00356ADA">
        <w:rPr>
          <w:rFonts w:asciiTheme="majorBidi" w:hAnsiTheme="majorBidi" w:cstheme="majorBidi"/>
          <w:sz w:val="24"/>
          <w:szCs w:val="24"/>
        </w:rPr>
        <w:t xml:space="preserve">have any statistically significant impact on the </w:t>
      </w:r>
      <w:r>
        <w:rPr>
          <w:rFonts w:asciiTheme="majorBidi" w:hAnsiTheme="majorBidi" w:cstheme="majorBidi"/>
          <w:i/>
          <w:iCs/>
          <w:sz w:val="24"/>
          <w:szCs w:val="24"/>
        </w:rPr>
        <w:t>HE</w:t>
      </w:r>
      <w:r w:rsidRPr="00356ADA">
        <w:rPr>
          <w:rFonts w:asciiTheme="majorBidi" w:hAnsiTheme="majorBidi" w:cstheme="majorBidi"/>
          <w:i/>
          <w:sz w:val="24"/>
          <w:szCs w:val="24"/>
        </w:rPr>
        <w:t>RDI</w:t>
      </w:r>
      <w:r>
        <w:rPr>
          <w:rFonts w:asciiTheme="majorBidi" w:hAnsiTheme="majorBidi" w:cstheme="majorBidi"/>
          <w:iCs/>
          <w:sz w:val="24"/>
          <w:szCs w:val="24"/>
        </w:rPr>
        <w:t>, until we have done so within a multivariate regression framework</w:t>
      </w:r>
      <w:r w:rsidRPr="00356ADA">
        <w:rPr>
          <w:rFonts w:asciiTheme="majorBidi" w:hAnsiTheme="majorBidi" w:cstheme="majorBidi"/>
          <w:sz w:val="24"/>
          <w:szCs w:val="24"/>
        </w:rPr>
        <w:t>.</w:t>
      </w:r>
    </w:p>
    <w:p w14:paraId="5738FFC0" w14:textId="77777777" w:rsidR="00837DA7" w:rsidRDefault="00837DA7" w:rsidP="00837DA7">
      <w:pPr>
        <w:spacing w:after="0" w:line="240" w:lineRule="auto"/>
        <w:ind w:firstLine="720"/>
        <w:jc w:val="both"/>
        <w:rPr>
          <w:rFonts w:asciiTheme="majorBidi" w:hAnsiTheme="majorBidi" w:cstheme="majorBidi"/>
          <w:sz w:val="24"/>
          <w:szCs w:val="24"/>
        </w:rPr>
      </w:pPr>
    </w:p>
    <w:p w14:paraId="40B83E8B" w14:textId="77777777" w:rsidR="00837DA7" w:rsidRDefault="00837DA7" w:rsidP="00837DA7">
      <w:pPr>
        <w:spacing w:after="0" w:line="240" w:lineRule="auto"/>
        <w:ind w:firstLine="720"/>
        <w:jc w:val="both"/>
        <w:rPr>
          <w:rFonts w:asciiTheme="majorBidi" w:hAnsiTheme="majorBidi" w:cstheme="majorBidi"/>
          <w:sz w:val="24"/>
          <w:szCs w:val="24"/>
        </w:rPr>
        <w:sectPr w:rsidR="00837DA7">
          <w:pgSz w:w="11906" w:h="16838"/>
          <w:pgMar w:top="1440" w:right="1440" w:bottom="1440" w:left="1440" w:header="708" w:footer="708" w:gutter="0"/>
          <w:cols w:space="708"/>
          <w:docGrid w:linePitch="360"/>
        </w:sectPr>
      </w:pPr>
    </w:p>
    <w:tbl>
      <w:tblPr>
        <w:tblpPr w:leftFromText="180" w:rightFromText="180" w:vertAnchor="page" w:horzAnchor="margin" w:tblpX="-426" w:tblpY="1897"/>
        <w:tblW w:w="15451" w:type="dxa"/>
        <w:shd w:val="clear" w:color="auto" w:fill="FFFFFF"/>
        <w:tblLayout w:type="fixed"/>
        <w:tblLook w:val="04A0" w:firstRow="1" w:lastRow="0" w:firstColumn="1" w:lastColumn="0" w:noHBand="0" w:noVBand="1"/>
      </w:tblPr>
      <w:tblGrid>
        <w:gridCol w:w="993"/>
        <w:gridCol w:w="992"/>
        <w:gridCol w:w="850"/>
        <w:gridCol w:w="851"/>
        <w:gridCol w:w="850"/>
        <w:gridCol w:w="851"/>
        <w:gridCol w:w="850"/>
        <w:gridCol w:w="851"/>
        <w:gridCol w:w="850"/>
        <w:gridCol w:w="851"/>
        <w:gridCol w:w="851"/>
        <w:gridCol w:w="870"/>
        <w:gridCol w:w="831"/>
        <w:gridCol w:w="709"/>
        <w:gridCol w:w="850"/>
        <w:gridCol w:w="850"/>
        <w:gridCol w:w="851"/>
        <w:gridCol w:w="850"/>
      </w:tblGrid>
      <w:tr w:rsidR="00837DA7" w:rsidRPr="005F3693" w14:paraId="0E78FA57" w14:textId="77777777" w:rsidTr="00353A9A">
        <w:trPr>
          <w:trHeight w:val="157"/>
        </w:trPr>
        <w:tc>
          <w:tcPr>
            <w:tcW w:w="15451" w:type="dxa"/>
            <w:gridSpan w:val="18"/>
            <w:tcBorders>
              <w:left w:val="nil"/>
              <w:bottom w:val="single" w:sz="4" w:space="0" w:color="auto"/>
            </w:tcBorders>
            <w:shd w:val="clear" w:color="auto" w:fill="FFFFFF"/>
            <w:noWrap/>
            <w:vAlign w:val="center"/>
          </w:tcPr>
          <w:p w14:paraId="77443382" w14:textId="77777777" w:rsidR="00837DA7" w:rsidRPr="005F3693" w:rsidRDefault="00837DA7" w:rsidP="00353A9A">
            <w:pPr>
              <w:spacing w:after="0" w:line="240" w:lineRule="auto"/>
              <w:rPr>
                <w:rFonts w:ascii="Times New Roman" w:eastAsia="Times New Roman" w:hAnsi="Times New Roman" w:cs="Times New Roman"/>
                <w:sz w:val="18"/>
                <w:szCs w:val="18"/>
                <w:lang w:val="en-US"/>
              </w:rPr>
            </w:pPr>
            <w:r>
              <w:rPr>
                <w:rFonts w:ascii="Times New Roman" w:eastAsia="Times New Roman" w:hAnsi="Times New Roman" w:cs="Times New Roman"/>
                <w:b/>
                <w:bCs/>
                <w:sz w:val="18"/>
                <w:szCs w:val="18"/>
                <w:lang w:val="en-US"/>
              </w:rPr>
              <w:lastRenderedPageBreak/>
              <w:t>Online Appendix 3</w:t>
            </w:r>
            <w:r w:rsidRPr="005F3693">
              <w:rPr>
                <w:rFonts w:ascii="Times New Roman" w:eastAsia="Times New Roman" w:hAnsi="Times New Roman" w:cs="Times New Roman"/>
                <w:b/>
                <w:bCs/>
                <w:sz w:val="18"/>
                <w:szCs w:val="18"/>
                <w:lang w:val="en-US"/>
              </w:rPr>
              <w:t xml:space="preserve">. </w:t>
            </w:r>
            <w:r w:rsidRPr="005F3693">
              <w:rPr>
                <w:rFonts w:ascii="Times New Roman" w:eastAsia="Times New Roman" w:hAnsi="Times New Roman" w:cs="Times New Roman"/>
                <w:sz w:val="18"/>
                <w:szCs w:val="18"/>
                <w:lang w:val="en-US"/>
              </w:rPr>
              <w:t xml:space="preserve">Bivariate correlations for all UK </w:t>
            </w:r>
            <w:r>
              <w:rPr>
                <w:rFonts w:ascii="Times New Roman" w:eastAsia="Times New Roman" w:hAnsi="Times New Roman" w:cs="Times New Roman"/>
                <w:sz w:val="18"/>
                <w:szCs w:val="18"/>
                <w:lang w:val="en-US"/>
              </w:rPr>
              <w:t>higher education institutions</w:t>
            </w:r>
            <w:r w:rsidRPr="005F3693">
              <w:rPr>
                <w:rFonts w:ascii="Times New Roman" w:eastAsia="Times New Roman" w:hAnsi="Times New Roman" w:cs="Times New Roman"/>
                <w:sz w:val="18"/>
                <w:szCs w:val="18"/>
                <w:lang w:val="en-US"/>
              </w:rPr>
              <w:t>.</w:t>
            </w:r>
          </w:p>
        </w:tc>
      </w:tr>
      <w:tr w:rsidR="00837DA7" w:rsidRPr="005F3693" w14:paraId="5BA68B33" w14:textId="77777777" w:rsidTr="00353A9A">
        <w:trPr>
          <w:trHeight w:val="157"/>
        </w:trPr>
        <w:tc>
          <w:tcPr>
            <w:tcW w:w="993" w:type="dxa"/>
            <w:tcBorders>
              <w:top w:val="single" w:sz="12" w:space="0" w:color="auto"/>
              <w:left w:val="nil"/>
              <w:bottom w:val="single" w:sz="4" w:space="0" w:color="auto"/>
            </w:tcBorders>
            <w:shd w:val="clear" w:color="auto" w:fill="FFFFFF"/>
            <w:noWrap/>
            <w:vAlign w:val="center"/>
            <w:hideMark/>
          </w:tcPr>
          <w:p w14:paraId="522895AD" w14:textId="77777777" w:rsidR="00837DA7" w:rsidRPr="005F3693" w:rsidRDefault="00837DA7" w:rsidP="00353A9A">
            <w:pPr>
              <w:spacing w:after="0" w:line="240" w:lineRule="auto"/>
              <w:ind w:left="-150" w:firstLine="150"/>
              <w:rPr>
                <w:rFonts w:ascii="Times New Roman" w:eastAsia="Times New Roman" w:hAnsi="Times New Roman" w:cs="Times New Roman"/>
                <w:sz w:val="18"/>
                <w:szCs w:val="18"/>
                <w:lang w:val="en-US"/>
              </w:rPr>
            </w:pPr>
            <w:bookmarkStart w:id="19" w:name="_Hlk74820379"/>
            <w:r w:rsidRPr="005F3693">
              <w:rPr>
                <w:rFonts w:ascii="Times New Roman" w:eastAsia="SimSun" w:hAnsi="Times New Roman" w:cs="Times New Roman"/>
                <w:sz w:val="18"/>
                <w:szCs w:val="18"/>
                <w:lang w:val="en-US" w:eastAsia="zh-CN"/>
              </w:rPr>
              <w:t>Variable</w:t>
            </w:r>
          </w:p>
        </w:tc>
        <w:tc>
          <w:tcPr>
            <w:tcW w:w="992" w:type="dxa"/>
            <w:tcBorders>
              <w:top w:val="single" w:sz="12" w:space="0" w:color="auto"/>
              <w:left w:val="nil"/>
              <w:bottom w:val="single" w:sz="4" w:space="0" w:color="auto"/>
              <w:right w:val="nil"/>
            </w:tcBorders>
            <w:shd w:val="clear" w:color="auto" w:fill="FFFFFF"/>
            <w:vAlign w:val="center"/>
            <w:hideMark/>
          </w:tcPr>
          <w:p w14:paraId="7A02DEEB" w14:textId="77777777" w:rsidR="00837DA7" w:rsidRPr="005F3693" w:rsidRDefault="00837DA7" w:rsidP="00353A9A">
            <w:pPr>
              <w:spacing w:after="0" w:line="240"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HE</w:t>
            </w:r>
            <w:r w:rsidRPr="005F3693">
              <w:rPr>
                <w:rFonts w:ascii="Times New Roman" w:eastAsia="Times New Roman" w:hAnsi="Times New Roman" w:cs="Times New Roman"/>
                <w:sz w:val="18"/>
                <w:szCs w:val="18"/>
                <w:lang w:val="en-US"/>
              </w:rPr>
              <w:t>RDI</w:t>
            </w:r>
          </w:p>
        </w:tc>
        <w:tc>
          <w:tcPr>
            <w:tcW w:w="850" w:type="dxa"/>
            <w:tcBorders>
              <w:top w:val="single" w:sz="12" w:space="0" w:color="auto"/>
              <w:left w:val="nil"/>
              <w:bottom w:val="single" w:sz="4" w:space="0" w:color="auto"/>
              <w:right w:val="nil"/>
            </w:tcBorders>
            <w:shd w:val="clear" w:color="auto" w:fill="FFFFFF"/>
            <w:vAlign w:val="center"/>
          </w:tcPr>
          <w:p w14:paraId="5B2ECBBD" w14:textId="77777777" w:rsidR="00837DA7" w:rsidRPr="005F3693" w:rsidRDefault="00837DA7" w:rsidP="00353A9A">
            <w:pPr>
              <w:spacing w:after="0" w:line="240"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HE</w:t>
            </w:r>
            <w:r w:rsidRPr="005F3693">
              <w:rPr>
                <w:rFonts w:ascii="Times New Roman" w:eastAsia="Times New Roman" w:hAnsi="Times New Roman" w:cs="Times New Roman"/>
                <w:sz w:val="18"/>
                <w:szCs w:val="18"/>
                <w:lang w:val="en-US"/>
              </w:rPr>
              <w:t>GQI</w:t>
            </w:r>
          </w:p>
        </w:tc>
        <w:tc>
          <w:tcPr>
            <w:tcW w:w="851" w:type="dxa"/>
            <w:tcBorders>
              <w:top w:val="single" w:sz="12" w:space="0" w:color="auto"/>
              <w:left w:val="nil"/>
              <w:bottom w:val="single" w:sz="4" w:space="0" w:color="auto"/>
              <w:right w:val="nil"/>
            </w:tcBorders>
            <w:shd w:val="clear" w:color="auto" w:fill="FFFFFF"/>
            <w:vAlign w:val="center"/>
          </w:tcPr>
          <w:p w14:paraId="2D4B00EE" w14:textId="77777777" w:rsidR="00837DA7" w:rsidRPr="005F3693" w:rsidRDefault="00837DA7" w:rsidP="00353A9A">
            <w:pPr>
              <w:spacing w:after="0" w:line="240" w:lineRule="auto"/>
              <w:ind w:right="-110"/>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SM</w:t>
            </w:r>
            <w:r w:rsidRPr="005F3693">
              <w:rPr>
                <w:rFonts w:ascii="Times New Roman" w:eastAsia="Times New Roman" w:hAnsi="Times New Roman" w:cs="Times New Roman"/>
                <w:sz w:val="18"/>
                <w:szCs w:val="18"/>
                <w:lang w:val="en-US"/>
              </w:rPr>
              <w:t>TSZ</w:t>
            </w:r>
            <w:r>
              <w:rPr>
                <w:rFonts w:ascii="Times New Roman" w:eastAsia="Times New Roman" w:hAnsi="Times New Roman" w:cs="Times New Roman"/>
                <w:sz w:val="18"/>
                <w:szCs w:val="18"/>
                <w:lang w:val="en-US"/>
              </w:rPr>
              <w:t>E</w:t>
            </w:r>
          </w:p>
        </w:tc>
        <w:tc>
          <w:tcPr>
            <w:tcW w:w="850" w:type="dxa"/>
            <w:tcBorders>
              <w:top w:val="single" w:sz="12" w:space="0" w:color="auto"/>
              <w:left w:val="nil"/>
              <w:bottom w:val="single" w:sz="4" w:space="0" w:color="auto"/>
              <w:right w:val="nil"/>
            </w:tcBorders>
            <w:shd w:val="clear" w:color="auto" w:fill="FFFFFF"/>
          </w:tcPr>
          <w:p w14:paraId="316F7A30" w14:textId="77777777" w:rsidR="00837DA7" w:rsidRPr="005F3693" w:rsidRDefault="00837DA7" w:rsidP="00353A9A">
            <w:pPr>
              <w:spacing w:after="0" w:line="240" w:lineRule="auto"/>
              <w:ind w:left="-24" w:right="-108"/>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SMTGE</w:t>
            </w:r>
            <w:r w:rsidRPr="005F3693">
              <w:rPr>
                <w:rFonts w:ascii="Times New Roman" w:eastAsia="Times New Roman" w:hAnsi="Times New Roman" w:cs="Times New Roman"/>
                <w:sz w:val="18"/>
                <w:szCs w:val="18"/>
                <w:lang w:val="en-US"/>
              </w:rPr>
              <w:t>D</w:t>
            </w:r>
          </w:p>
        </w:tc>
        <w:tc>
          <w:tcPr>
            <w:tcW w:w="851" w:type="dxa"/>
            <w:tcBorders>
              <w:top w:val="single" w:sz="12" w:space="0" w:color="auto"/>
              <w:left w:val="nil"/>
              <w:bottom w:val="single" w:sz="4" w:space="0" w:color="auto"/>
              <w:right w:val="nil"/>
            </w:tcBorders>
            <w:shd w:val="clear" w:color="auto" w:fill="FFFFFF"/>
          </w:tcPr>
          <w:p w14:paraId="1CAF411B" w14:textId="77777777" w:rsidR="00837DA7" w:rsidRPr="005F3693" w:rsidRDefault="00837DA7" w:rsidP="00353A9A">
            <w:pPr>
              <w:spacing w:after="0" w:line="240"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SMTM</w:t>
            </w:r>
          </w:p>
        </w:tc>
        <w:tc>
          <w:tcPr>
            <w:tcW w:w="850" w:type="dxa"/>
            <w:tcBorders>
              <w:top w:val="single" w:sz="12" w:space="0" w:color="auto"/>
              <w:left w:val="nil"/>
              <w:bottom w:val="single" w:sz="4" w:space="0" w:color="auto"/>
              <w:right w:val="nil"/>
            </w:tcBorders>
            <w:shd w:val="clear" w:color="auto" w:fill="FFFFFF"/>
          </w:tcPr>
          <w:p w14:paraId="0A616F18" w14:textId="77777777" w:rsidR="00837DA7" w:rsidRPr="005F3693" w:rsidRDefault="00837DA7" w:rsidP="00353A9A">
            <w:pPr>
              <w:spacing w:after="0" w:line="240" w:lineRule="auto"/>
              <w:ind w:right="-114"/>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VCAG</w:t>
            </w:r>
            <w:r>
              <w:rPr>
                <w:rFonts w:ascii="Times New Roman" w:eastAsia="Times New Roman" w:hAnsi="Times New Roman" w:cs="Times New Roman"/>
                <w:sz w:val="18"/>
                <w:szCs w:val="18"/>
                <w:lang w:val="en-US"/>
              </w:rPr>
              <w:t>E</w:t>
            </w:r>
          </w:p>
        </w:tc>
        <w:tc>
          <w:tcPr>
            <w:tcW w:w="851" w:type="dxa"/>
            <w:tcBorders>
              <w:top w:val="single" w:sz="12" w:space="0" w:color="auto"/>
              <w:left w:val="nil"/>
              <w:bottom w:val="single" w:sz="4" w:space="0" w:color="auto"/>
              <w:right w:val="nil"/>
            </w:tcBorders>
            <w:shd w:val="clear" w:color="auto" w:fill="FFFFFF"/>
          </w:tcPr>
          <w:p w14:paraId="56EFADBB" w14:textId="77777777" w:rsidR="00837DA7" w:rsidRPr="005F3693" w:rsidRDefault="00837DA7" w:rsidP="00353A9A">
            <w:pPr>
              <w:spacing w:after="0" w:line="240" w:lineRule="auto"/>
              <w:ind w:right="-114"/>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VCG</w:t>
            </w:r>
            <w:r>
              <w:rPr>
                <w:rFonts w:ascii="Times New Roman" w:eastAsia="Times New Roman" w:hAnsi="Times New Roman" w:cs="Times New Roman"/>
                <w:sz w:val="18"/>
                <w:szCs w:val="18"/>
                <w:lang w:val="en-US"/>
              </w:rPr>
              <w:t>EN</w:t>
            </w:r>
          </w:p>
        </w:tc>
        <w:tc>
          <w:tcPr>
            <w:tcW w:w="850" w:type="dxa"/>
            <w:tcBorders>
              <w:top w:val="single" w:sz="12" w:space="0" w:color="auto"/>
              <w:left w:val="nil"/>
              <w:bottom w:val="single" w:sz="4" w:space="0" w:color="auto"/>
              <w:right w:val="nil"/>
            </w:tcBorders>
            <w:shd w:val="clear" w:color="auto" w:fill="FFFFFF"/>
          </w:tcPr>
          <w:p w14:paraId="43E8B9BF" w14:textId="77777777" w:rsidR="00837DA7" w:rsidRPr="005F3693" w:rsidRDefault="00837DA7" w:rsidP="00353A9A">
            <w:pPr>
              <w:spacing w:after="0" w:line="240" w:lineRule="auto"/>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VCA</w:t>
            </w:r>
            <w:r>
              <w:rPr>
                <w:rFonts w:ascii="Times New Roman" w:eastAsia="Times New Roman" w:hAnsi="Times New Roman" w:cs="Times New Roman"/>
                <w:sz w:val="18"/>
                <w:szCs w:val="18"/>
                <w:lang w:val="en-US"/>
              </w:rPr>
              <w:t>C</w:t>
            </w:r>
            <w:r w:rsidRPr="005F3693">
              <w:rPr>
                <w:rFonts w:ascii="Times New Roman" w:eastAsia="Times New Roman" w:hAnsi="Times New Roman" w:cs="Times New Roman"/>
                <w:sz w:val="18"/>
                <w:szCs w:val="18"/>
                <w:lang w:val="en-US"/>
              </w:rPr>
              <w:t>D</w:t>
            </w:r>
          </w:p>
        </w:tc>
        <w:tc>
          <w:tcPr>
            <w:tcW w:w="851" w:type="dxa"/>
            <w:tcBorders>
              <w:top w:val="single" w:sz="12" w:space="0" w:color="auto"/>
              <w:left w:val="nil"/>
              <w:bottom w:val="single" w:sz="4" w:space="0" w:color="auto"/>
              <w:right w:val="nil"/>
            </w:tcBorders>
            <w:shd w:val="clear" w:color="auto" w:fill="FFFFFF"/>
            <w:vAlign w:val="center"/>
          </w:tcPr>
          <w:p w14:paraId="522AB3EB" w14:textId="77777777" w:rsidR="00837DA7" w:rsidRPr="005F3693" w:rsidRDefault="00837DA7" w:rsidP="00353A9A">
            <w:pPr>
              <w:spacing w:after="0" w:line="240" w:lineRule="auto"/>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VCT</w:t>
            </w:r>
            <w:r>
              <w:rPr>
                <w:rFonts w:ascii="Times New Roman" w:eastAsia="Times New Roman" w:hAnsi="Times New Roman" w:cs="Times New Roman"/>
                <w:sz w:val="18"/>
                <w:szCs w:val="18"/>
                <w:lang w:val="en-US"/>
              </w:rPr>
              <w:t>E</w:t>
            </w:r>
            <w:r w:rsidRPr="005F3693">
              <w:rPr>
                <w:rFonts w:ascii="Times New Roman" w:eastAsia="Times New Roman" w:hAnsi="Times New Roman" w:cs="Times New Roman"/>
                <w:sz w:val="18"/>
                <w:szCs w:val="18"/>
                <w:lang w:val="en-US"/>
              </w:rPr>
              <w:t>N</w:t>
            </w:r>
          </w:p>
        </w:tc>
        <w:tc>
          <w:tcPr>
            <w:tcW w:w="851" w:type="dxa"/>
            <w:tcBorders>
              <w:top w:val="single" w:sz="12" w:space="0" w:color="auto"/>
              <w:left w:val="nil"/>
              <w:bottom w:val="single" w:sz="4" w:space="0" w:color="auto"/>
              <w:right w:val="nil"/>
            </w:tcBorders>
            <w:shd w:val="clear" w:color="auto" w:fill="FFFFFF"/>
          </w:tcPr>
          <w:p w14:paraId="4B452EEA" w14:textId="77777777" w:rsidR="00837DA7" w:rsidRPr="005F3693" w:rsidRDefault="00837DA7" w:rsidP="00353A9A">
            <w:pPr>
              <w:spacing w:after="0" w:line="240" w:lineRule="auto"/>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RUSSG</w:t>
            </w:r>
          </w:p>
        </w:tc>
        <w:tc>
          <w:tcPr>
            <w:tcW w:w="870" w:type="dxa"/>
            <w:tcBorders>
              <w:top w:val="single" w:sz="12" w:space="0" w:color="auto"/>
              <w:left w:val="nil"/>
              <w:bottom w:val="single" w:sz="4" w:space="0" w:color="auto"/>
              <w:right w:val="nil"/>
            </w:tcBorders>
            <w:shd w:val="clear" w:color="auto" w:fill="FFFFFF"/>
            <w:vAlign w:val="center"/>
          </w:tcPr>
          <w:p w14:paraId="38259A1B" w14:textId="77777777" w:rsidR="00837DA7" w:rsidRPr="005F3693" w:rsidRDefault="00837DA7" w:rsidP="00353A9A">
            <w:pPr>
              <w:spacing w:after="0" w:line="240" w:lineRule="auto"/>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HEISZ</w:t>
            </w:r>
            <w:r>
              <w:rPr>
                <w:rFonts w:ascii="Times New Roman" w:eastAsia="Times New Roman" w:hAnsi="Times New Roman" w:cs="Times New Roman"/>
                <w:sz w:val="18"/>
                <w:szCs w:val="18"/>
                <w:lang w:val="en-US"/>
              </w:rPr>
              <w:t>E</w:t>
            </w:r>
          </w:p>
        </w:tc>
        <w:tc>
          <w:tcPr>
            <w:tcW w:w="831" w:type="dxa"/>
            <w:tcBorders>
              <w:top w:val="single" w:sz="12" w:space="0" w:color="auto"/>
              <w:left w:val="nil"/>
              <w:bottom w:val="single" w:sz="4" w:space="0" w:color="auto"/>
              <w:right w:val="nil"/>
            </w:tcBorders>
            <w:shd w:val="clear" w:color="auto" w:fill="FFFFFF"/>
            <w:vAlign w:val="center"/>
          </w:tcPr>
          <w:p w14:paraId="1595C225" w14:textId="77777777" w:rsidR="00837DA7" w:rsidRPr="005F3693" w:rsidRDefault="00837DA7" w:rsidP="00353A9A">
            <w:pPr>
              <w:spacing w:after="0" w:line="240" w:lineRule="auto"/>
              <w:ind w:right="-108"/>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HEIAG</w:t>
            </w:r>
            <w:r>
              <w:rPr>
                <w:rFonts w:ascii="Times New Roman" w:eastAsia="Times New Roman" w:hAnsi="Times New Roman" w:cs="Times New Roman"/>
                <w:sz w:val="18"/>
                <w:szCs w:val="18"/>
                <w:lang w:val="en-US"/>
              </w:rPr>
              <w:t>E</w:t>
            </w:r>
          </w:p>
        </w:tc>
        <w:tc>
          <w:tcPr>
            <w:tcW w:w="709" w:type="dxa"/>
            <w:tcBorders>
              <w:top w:val="single" w:sz="12" w:space="0" w:color="auto"/>
              <w:left w:val="nil"/>
              <w:bottom w:val="single" w:sz="4" w:space="0" w:color="auto"/>
              <w:right w:val="nil"/>
            </w:tcBorders>
            <w:shd w:val="clear" w:color="auto" w:fill="FFFFFF"/>
            <w:vAlign w:val="center"/>
          </w:tcPr>
          <w:p w14:paraId="2D45D218" w14:textId="77777777" w:rsidR="00837DA7" w:rsidRPr="005F3693" w:rsidRDefault="00837DA7" w:rsidP="00353A9A">
            <w:pPr>
              <w:spacing w:after="0" w:line="240" w:lineRule="auto"/>
              <w:ind w:right="-108"/>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GRTH</w:t>
            </w:r>
          </w:p>
        </w:tc>
        <w:tc>
          <w:tcPr>
            <w:tcW w:w="850" w:type="dxa"/>
            <w:tcBorders>
              <w:top w:val="single" w:sz="12" w:space="0" w:color="auto"/>
              <w:left w:val="nil"/>
              <w:bottom w:val="single" w:sz="4" w:space="0" w:color="auto"/>
              <w:right w:val="nil"/>
            </w:tcBorders>
            <w:shd w:val="clear" w:color="auto" w:fill="FFFFFF"/>
            <w:vAlign w:val="center"/>
          </w:tcPr>
          <w:p w14:paraId="6A99B596" w14:textId="77777777" w:rsidR="00837DA7" w:rsidRPr="005F3693" w:rsidRDefault="00837DA7" w:rsidP="00353A9A">
            <w:pPr>
              <w:spacing w:after="0" w:line="240" w:lineRule="auto"/>
              <w:ind w:right="-108"/>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IFUNDC</w:t>
            </w:r>
          </w:p>
        </w:tc>
        <w:tc>
          <w:tcPr>
            <w:tcW w:w="850" w:type="dxa"/>
            <w:tcBorders>
              <w:top w:val="single" w:sz="12" w:space="0" w:color="auto"/>
              <w:left w:val="nil"/>
              <w:bottom w:val="single" w:sz="4" w:space="0" w:color="auto"/>
              <w:right w:val="nil"/>
            </w:tcBorders>
            <w:shd w:val="clear" w:color="auto" w:fill="FFFFFF"/>
            <w:vAlign w:val="center"/>
          </w:tcPr>
          <w:p w14:paraId="25D837A6" w14:textId="77777777" w:rsidR="00837DA7" w:rsidRPr="005F3693" w:rsidRDefault="00837DA7" w:rsidP="00353A9A">
            <w:pPr>
              <w:spacing w:after="0" w:line="240" w:lineRule="auto"/>
              <w:ind w:right="-94"/>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F</w:t>
            </w:r>
            <w:r w:rsidRPr="005F3693">
              <w:rPr>
                <w:rFonts w:ascii="Times New Roman" w:eastAsia="Times New Roman" w:hAnsi="Times New Roman" w:cs="Times New Roman"/>
                <w:sz w:val="18"/>
                <w:szCs w:val="18"/>
                <w:lang w:val="en-US"/>
              </w:rPr>
              <w:t>R</w:t>
            </w:r>
            <w:r>
              <w:rPr>
                <w:rFonts w:ascii="Times New Roman" w:eastAsia="Times New Roman" w:hAnsi="Times New Roman" w:cs="Times New Roman"/>
                <w:sz w:val="18"/>
                <w:szCs w:val="18"/>
                <w:lang w:val="en-US"/>
              </w:rPr>
              <w:t>I</w:t>
            </w:r>
            <w:r w:rsidRPr="005F3693">
              <w:rPr>
                <w:rFonts w:ascii="Times New Roman" w:eastAsia="Times New Roman" w:hAnsi="Times New Roman" w:cs="Times New Roman"/>
                <w:sz w:val="18"/>
                <w:szCs w:val="18"/>
                <w:lang w:val="en-US"/>
              </w:rPr>
              <w:t>SK</w:t>
            </w:r>
          </w:p>
        </w:tc>
        <w:tc>
          <w:tcPr>
            <w:tcW w:w="851" w:type="dxa"/>
            <w:tcBorders>
              <w:top w:val="single" w:sz="12" w:space="0" w:color="auto"/>
              <w:left w:val="nil"/>
              <w:bottom w:val="single" w:sz="4" w:space="0" w:color="auto"/>
              <w:right w:val="nil"/>
            </w:tcBorders>
            <w:shd w:val="clear" w:color="auto" w:fill="FFFFFF"/>
            <w:vAlign w:val="center"/>
          </w:tcPr>
          <w:p w14:paraId="72DBB451" w14:textId="77777777" w:rsidR="00837DA7" w:rsidRPr="005F3693" w:rsidRDefault="00837DA7" w:rsidP="00353A9A">
            <w:pPr>
              <w:spacing w:after="0" w:line="240" w:lineRule="auto"/>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LIQU</w:t>
            </w:r>
            <w:r>
              <w:rPr>
                <w:rFonts w:ascii="Times New Roman" w:eastAsia="Times New Roman" w:hAnsi="Times New Roman" w:cs="Times New Roman"/>
                <w:sz w:val="18"/>
                <w:szCs w:val="18"/>
                <w:lang w:val="en-US"/>
              </w:rPr>
              <w:t>D</w:t>
            </w:r>
          </w:p>
        </w:tc>
        <w:tc>
          <w:tcPr>
            <w:tcW w:w="850" w:type="dxa"/>
            <w:tcBorders>
              <w:top w:val="single" w:sz="12" w:space="0" w:color="auto"/>
              <w:left w:val="nil"/>
              <w:bottom w:val="single" w:sz="4" w:space="0" w:color="auto"/>
              <w:right w:val="nil"/>
            </w:tcBorders>
            <w:shd w:val="clear" w:color="auto" w:fill="FFFFFF"/>
            <w:vAlign w:val="center"/>
          </w:tcPr>
          <w:p w14:paraId="71A17F88" w14:textId="77777777" w:rsidR="00837DA7" w:rsidRPr="005F3693" w:rsidRDefault="00837DA7" w:rsidP="00353A9A">
            <w:pPr>
              <w:spacing w:after="0" w:line="240" w:lineRule="auto"/>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LEVE</w:t>
            </w:r>
          </w:p>
        </w:tc>
      </w:tr>
      <w:tr w:rsidR="00837DA7" w:rsidRPr="005F3693" w14:paraId="13DA1AB1" w14:textId="77777777" w:rsidTr="00353A9A">
        <w:trPr>
          <w:trHeight w:val="293"/>
        </w:trPr>
        <w:tc>
          <w:tcPr>
            <w:tcW w:w="993" w:type="dxa"/>
            <w:tcBorders>
              <w:top w:val="single" w:sz="4" w:space="0" w:color="auto"/>
              <w:left w:val="nil"/>
              <w:bottom w:val="nil"/>
            </w:tcBorders>
            <w:shd w:val="clear" w:color="auto" w:fill="FFFFFF"/>
            <w:hideMark/>
          </w:tcPr>
          <w:p w14:paraId="1F371B0A" w14:textId="77777777" w:rsidR="00837DA7" w:rsidRPr="005F3693" w:rsidRDefault="00837DA7" w:rsidP="00353A9A">
            <w:pPr>
              <w:spacing w:after="0" w:line="240" w:lineRule="auto"/>
              <w:rPr>
                <w:rFonts w:ascii="Times New Roman" w:eastAsia="Times New Roman" w:hAnsi="Times New Roman" w:cs="Times New Roman"/>
                <w:iCs/>
                <w:sz w:val="18"/>
                <w:szCs w:val="18"/>
                <w:lang w:val="en-US"/>
              </w:rPr>
            </w:pPr>
            <w:r>
              <w:rPr>
                <w:rFonts w:ascii="Times New Roman" w:eastAsia="Times New Roman" w:hAnsi="Times New Roman" w:cs="Times New Roman"/>
                <w:iCs/>
                <w:sz w:val="18"/>
                <w:szCs w:val="18"/>
                <w:lang w:val="en-US"/>
              </w:rPr>
              <w:t>HE</w:t>
            </w:r>
            <w:r w:rsidRPr="005F3693">
              <w:rPr>
                <w:rFonts w:ascii="Times New Roman" w:eastAsia="Times New Roman" w:hAnsi="Times New Roman" w:cs="Times New Roman"/>
                <w:iCs/>
                <w:sz w:val="18"/>
                <w:szCs w:val="18"/>
                <w:lang w:val="en-US"/>
              </w:rPr>
              <w:t>RDI</w:t>
            </w:r>
          </w:p>
        </w:tc>
        <w:tc>
          <w:tcPr>
            <w:tcW w:w="992" w:type="dxa"/>
            <w:tcBorders>
              <w:top w:val="single" w:sz="4" w:space="0" w:color="auto"/>
              <w:left w:val="nil"/>
              <w:bottom w:val="nil"/>
              <w:right w:val="nil"/>
            </w:tcBorders>
            <w:shd w:val="clear" w:color="auto" w:fill="FFFFFF"/>
            <w:noWrap/>
          </w:tcPr>
          <w:p w14:paraId="20151D9C" w14:textId="77777777" w:rsidR="00837DA7" w:rsidRPr="005F3693" w:rsidRDefault="00837DA7" w:rsidP="00353A9A">
            <w:pPr>
              <w:spacing w:after="0" w:line="240" w:lineRule="auto"/>
              <w:rPr>
                <w:rFonts w:ascii="Times New Roman" w:eastAsia="Times New Roman" w:hAnsi="Times New Roman" w:cs="Times New Roman"/>
                <w:sz w:val="18"/>
                <w:szCs w:val="18"/>
                <w:vertAlign w:val="superscript"/>
                <w:lang w:val="en-US"/>
              </w:rPr>
            </w:pPr>
          </w:p>
        </w:tc>
        <w:tc>
          <w:tcPr>
            <w:tcW w:w="850" w:type="dxa"/>
            <w:tcBorders>
              <w:top w:val="single" w:sz="4" w:space="0" w:color="auto"/>
              <w:left w:val="nil"/>
              <w:bottom w:val="nil"/>
              <w:right w:val="nil"/>
            </w:tcBorders>
            <w:shd w:val="clear" w:color="auto" w:fill="FFFFFF"/>
          </w:tcPr>
          <w:p w14:paraId="651DAE61" w14:textId="77777777" w:rsidR="00837DA7" w:rsidRPr="005F3693" w:rsidRDefault="00837DA7" w:rsidP="00353A9A">
            <w:pPr>
              <w:spacing w:after="0" w:line="240" w:lineRule="auto"/>
              <w:ind w:right="-110"/>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0.386</w:t>
            </w:r>
            <w:r w:rsidRPr="005F3693">
              <w:rPr>
                <w:rFonts w:ascii="Times New Roman" w:eastAsia="Times New Roman" w:hAnsi="Times New Roman" w:cs="Times New Roman"/>
                <w:sz w:val="18"/>
                <w:szCs w:val="18"/>
                <w:vertAlign w:val="superscript"/>
                <w:lang w:val="en-US"/>
              </w:rPr>
              <w:t>***</w:t>
            </w:r>
          </w:p>
        </w:tc>
        <w:tc>
          <w:tcPr>
            <w:tcW w:w="851" w:type="dxa"/>
            <w:tcBorders>
              <w:top w:val="single" w:sz="4" w:space="0" w:color="auto"/>
              <w:left w:val="nil"/>
              <w:bottom w:val="nil"/>
              <w:right w:val="nil"/>
            </w:tcBorders>
            <w:shd w:val="clear" w:color="auto" w:fill="FFFFFF"/>
          </w:tcPr>
          <w:p w14:paraId="3EB7AEBB" w14:textId="77777777" w:rsidR="00837DA7" w:rsidRPr="005F3693" w:rsidRDefault="00837DA7" w:rsidP="00353A9A">
            <w:pPr>
              <w:spacing w:after="0" w:line="240" w:lineRule="auto"/>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0.224</w:t>
            </w:r>
            <w:r w:rsidRPr="005F3693">
              <w:rPr>
                <w:rFonts w:ascii="Times New Roman" w:eastAsia="Times New Roman" w:hAnsi="Times New Roman" w:cs="Times New Roman"/>
                <w:sz w:val="18"/>
                <w:szCs w:val="18"/>
                <w:vertAlign w:val="superscript"/>
                <w:lang w:val="en-US"/>
              </w:rPr>
              <w:t>***</w:t>
            </w:r>
          </w:p>
        </w:tc>
        <w:tc>
          <w:tcPr>
            <w:tcW w:w="850" w:type="dxa"/>
            <w:tcBorders>
              <w:top w:val="single" w:sz="4" w:space="0" w:color="auto"/>
              <w:left w:val="nil"/>
              <w:bottom w:val="nil"/>
              <w:right w:val="nil"/>
            </w:tcBorders>
            <w:shd w:val="clear" w:color="auto" w:fill="FFFFFF"/>
          </w:tcPr>
          <w:p w14:paraId="27B72090" w14:textId="77777777" w:rsidR="00837DA7" w:rsidRPr="005F3693" w:rsidRDefault="00837DA7" w:rsidP="00353A9A">
            <w:pPr>
              <w:spacing w:after="0" w:line="240" w:lineRule="auto"/>
              <w:ind w:right="-106"/>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-0.152</w:t>
            </w:r>
            <w:r w:rsidRPr="005F3693">
              <w:rPr>
                <w:rFonts w:ascii="Times New Roman" w:eastAsia="Times New Roman" w:hAnsi="Times New Roman" w:cs="Times New Roman"/>
                <w:sz w:val="18"/>
                <w:szCs w:val="18"/>
                <w:vertAlign w:val="superscript"/>
                <w:lang w:val="en-US"/>
              </w:rPr>
              <w:t>***</w:t>
            </w:r>
          </w:p>
        </w:tc>
        <w:tc>
          <w:tcPr>
            <w:tcW w:w="851" w:type="dxa"/>
            <w:tcBorders>
              <w:top w:val="single" w:sz="4" w:space="0" w:color="auto"/>
              <w:left w:val="nil"/>
              <w:bottom w:val="nil"/>
              <w:right w:val="nil"/>
            </w:tcBorders>
            <w:shd w:val="clear" w:color="auto" w:fill="FFFFFF"/>
          </w:tcPr>
          <w:p w14:paraId="37690BFB" w14:textId="77777777" w:rsidR="00837DA7" w:rsidRPr="005F3693" w:rsidRDefault="00837DA7" w:rsidP="00353A9A">
            <w:pPr>
              <w:spacing w:after="0" w:line="240" w:lineRule="auto"/>
              <w:ind w:right="-112"/>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0.331</w:t>
            </w:r>
            <w:r w:rsidRPr="005F3693">
              <w:rPr>
                <w:rFonts w:ascii="Times New Roman" w:eastAsia="Times New Roman" w:hAnsi="Times New Roman" w:cs="Times New Roman"/>
                <w:sz w:val="18"/>
                <w:szCs w:val="18"/>
                <w:vertAlign w:val="superscript"/>
                <w:lang w:val="en-US"/>
              </w:rPr>
              <w:t>***</w:t>
            </w:r>
          </w:p>
        </w:tc>
        <w:tc>
          <w:tcPr>
            <w:tcW w:w="850" w:type="dxa"/>
            <w:tcBorders>
              <w:top w:val="single" w:sz="4" w:space="0" w:color="auto"/>
              <w:left w:val="nil"/>
              <w:bottom w:val="nil"/>
              <w:right w:val="nil"/>
            </w:tcBorders>
            <w:shd w:val="clear" w:color="auto" w:fill="FFFFFF"/>
          </w:tcPr>
          <w:p w14:paraId="53FD6397" w14:textId="77777777" w:rsidR="00837DA7" w:rsidRPr="005F3693" w:rsidRDefault="00837DA7" w:rsidP="00353A9A">
            <w:pPr>
              <w:spacing w:after="0" w:line="240" w:lineRule="auto"/>
              <w:ind w:right="-45"/>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-0.050</w:t>
            </w:r>
          </w:p>
        </w:tc>
        <w:tc>
          <w:tcPr>
            <w:tcW w:w="851" w:type="dxa"/>
            <w:tcBorders>
              <w:top w:val="single" w:sz="4" w:space="0" w:color="auto"/>
              <w:left w:val="nil"/>
              <w:bottom w:val="nil"/>
              <w:right w:val="nil"/>
            </w:tcBorders>
            <w:shd w:val="clear" w:color="auto" w:fill="FFFFFF"/>
          </w:tcPr>
          <w:p w14:paraId="3AE275AB" w14:textId="77777777" w:rsidR="00837DA7" w:rsidRPr="005F3693" w:rsidRDefault="00837DA7" w:rsidP="00353A9A">
            <w:pPr>
              <w:spacing w:after="0" w:line="240" w:lineRule="auto"/>
              <w:ind w:right="-45"/>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-0.003</w:t>
            </w:r>
          </w:p>
        </w:tc>
        <w:tc>
          <w:tcPr>
            <w:tcW w:w="850" w:type="dxa"/>
            <w:tcBorders>
              <w:top w:val="single" w:sz="4" w:space="0" w:color="auto"/>
              <w:left w:val="nil"/>
              <w:bottom w:val="nil"/>
              <w:right w:val="nil"/>
            </w:tcBorders>
            <w:shd w:val="clear" w:color="auto" w:fill="FFFFFF"/>
            <w:noWrap/>
          </w:tcPr>
          <w:p w14:paraId="1CC8E47C" w14:textId="77777777" w:rsidR="00837DA7" w:rsidRPr="005F3693" w:rsidRDefault="00837DA7" w:rsidP="00353A9A">
            <w:pPr>
              <w:spacing w:after="0" w:line="240" w:lineRule="auto"/>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-0.053</w:t>
            </w:r>
          </w:p>
        </w:tc>
        <w:tc>
          <w:tcPr>
            <w:tcW w:w="851" w:type="dxa"/>
            <w:tcBorders>
              <w:top w:val="single" w:sz="4" w:space="0" w:color="auto"/>
              <w:left w:val="nil"/>
              <w:bottom w:val="nil"/>
              <w:right w:val="nil"/>
            </w:tcBorders>
            <w:shd w:val="clear" w:color="auto" w:fill="FFFFFF"/>
            <w:noWrap/>
          </w:tcPr>
          <w:p w14:paraId="61F227D6" w14:textId="77777777" w:rsidR="00837DA7" w:rsidRPr="005F3693" w:rsidRDefault="00837DA7" w:rsidP="00353A9A">
            <w:pPr>
              <w:spacing w:after="0" w:line="240" w:lineRule="auto"/>
              <w:ind w:right="-112"/>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0.003</w:t>
            </w:r>
          </w:p>
        </w:tc>
        <w:tc>
          <w:tcPr>
            <w:tcW w:w="851" w:type="dxa"/>
            <w:tcBorders>
              <w:top w:val="single" w:sz="4" w:space="0" w:color="auto"/>
              <w:left w:val="nil"/>
              <w:bottom w:val="nil"/>
              <w:right w:val="nil"/>
            </w:tcBorders>
            <w:shd w:val="clear" w:color="auto" w:fill="FFFFFF"/>
            <w:noWrap/>
          </w:tcPr>
          <w:p w14:paraId="21EF1ED3" w14:textId="77777777" w:rsidR="00837DA7" w:rsidRPr="005F3693" w:rsidRDefault="00837DA7" w:rsidP="00353A9A">
            <w:pPr>
              <w:spacing w:after="0" w:line="240" w:lineRule="auto"/>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0.326</w:t>
            </w:r>
            <w:r w:rsidRPr="005F3693">
              <w:rPr>
                <w:rFonts w:ascii="Times New Roman" w:eastAsia="Times New Roman" w:hAnsi="Times New Roman" w:cs="Times New Roman"/>
                <w:sz w:val="18"/>
                <w:szCs w:val="18"/>
                <w:vertAlign w:val="superscript"/>
                <w:lang w:val="en-US"/>
              </w:rPr>
              <w:t>***</w:t>
            </w:r>
          </w:p>
        </w:tc>
        <w:tc>
          <w:tcPr>
            <w:tcW w:w="870" w:type="dxa"/>
            <w:tcBorders>
              <w:top w:val="single" w:sz="4" w:space="0" w:color="auto"/>
              <w:left w:val="nil"/>
              <w:bottom w:val="nil"/>
              <w:right w:val="nil"/>
            </w:tcBorders>
            <w:shd w:val="clear" w:color="auto" w:fill="FFFFFF"/>
            <w:noWrap/>
          </w:tcPr>
          <w:p w14:paraId="6D7E5593" w14:textId="77777777" w:rsidR="00837DA7" w:rsidRPr="005F3693" w:rsidRDefault="00837DA7" w:rsidP="00353A9A">
            <w:pPr>
              <w:spacing w:after="0" w:line="240" w:lineRule="auto"/>
              <w:ind w:right="-102"/>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0.342</w:t>
            </w:r>
            <w:r w:rsidRPr="005F3693">
              <w:rPr>
                <w:rFonts w:ascii="Times New Roman" w:eastAsia="Times New Roman" w:hAnsi="Times New Roman" w:cs="Times New Roman"/>
                <w:sz w:val="18"/>
                <w:szCs w:val="18"/>
                <w:vertAlign w:val="superscript"/>
                <w:lang w:val="en-US"/>
              </w:rPr>
              <w:t>***</w:t>
            </w:r>
          </w:p>
        </w:tc>
        <w:tc>
          <w:tcPr>
            <w:tcW w:w="831" w:type="dxa"/>
            <w:tcBorders>
              <w:top w:val="single" w:sz="4" w:space="0" w:color="auto"/>
              <w:left w:val="nil"/>
              <w:bottom w:val="nil"/>
              <w:right w:val="nil"/>
            </w:tcBorders>
            <w:shd w:val="clear" w:color="auto" w:fill="FFFFFF"/>
          </w:tcPr>
          <w:p w14:paraId="22A5C8D6" w14:textId="77777777" w:rsidR="00837DA7" w:rsidRPr="005F3693" w:rsidRDefault="00837DA7" w:rsidP="00353A9A">
            <w:pPr>
              <w:spacing w:after="0" w:line="240" w:lineRule="auto"/>
              <w:ind w:right="-108"/>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0.253</w:t>
            </w:r>
            <w:r w:rsidRPr="005F3693">
              <w:rPr>
                <w:rFonts w:ascii="Times New Roman" w:eastAsia="Times New Roman" w:hAnsi="Times New Roman" w:cs="Times New Roman"/>
                <w:sz w:val="18"/>
                <w:szCs w:val="18"/>
                <w:vertAlign w:val="superscript"/>
                <w:lang w:val="en-US"/>
              </w:rPr>
              <w:t>***</w:t>
            </w:r>
          </w:p>
        </w:tc>
        <w:tc>
          <w:tcPr>
            <w:tcW w:w="709" w:type="dxa"/>
            <w:tcBorders>
              <w:top w:val="single" w:sz="4" w:space="0" w:color="auto"/>
              <w:left w:val="nil"/>
              <w:bottom w:val="nil"/>
              <w:right w:val="nil"/>
            </w:tcBorders>
            <w:shd w:val="clear" w:color="auto" w:fill="FFFFFF"/>
          </w:tcPr>
          <w:p w14:paraId="4D168AE4" w14:textId="77777777" w:rsidR="00837DA7" w:rsidRPr="005F3693" w:rsidRDefault="00837DA7" w:rsidP="00353A9A">
            <w:pPr>
              <w:spacing w:after="0" w:line="240" w:lineRule="auto"/>
              <w:ind w:right="-129"/>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-0.015</w:t>
            </w:r>
          </w:p>
        </w:tc>
        <w:tc>
          <w:tcPr>
            <w:tcW w:w="850" w:type="dxa"/>
            <w:tcBorders>
              <w:top w:val="single" w:sz="4" w:space="0" w:color="auto"/>
              <w:left w:val="nil"/>
              <w:bottom w:val="nil"/>
              <w:right w:val="nil"/>
            </w:tcBorders>
            <w:shd w:val="clear" w:color="auto" w:fill="FFFFFF"/>
            <w:noWrap/>
          </w:tcPr>
          <w:p w14:paraId="74DB1BCD" w14:textId="77777777" w:rsidR="00837DA7" w:rsidRPr="005F3693" w:rsidRDefault="00837DA7" w:rsidP="00353A9A">
            <w:pPr>
              <w:spacing w:after="0" w:line="240" w:lineRule="auto"/>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-0.270</w:t>
            </w:r>
          </w:p>
        </w:tc>
        <w:tc>
          <w:tcPr>
            <w:tcW w:w="850" w:type="dxa"/>
            <w:tcBorders>
              <w:top w:val="single" w:sz="4" w:space="0" w:color="auto"/>
              <w:left w:val="nil"/>
              <w:bottom w:val="nil"/>
              <w:right w:val="nil"/>
            </w:tcBorders>
            <w:shd w:val="clear" w:color="auto" w:fill="FFFFFF"/>
          </w:tcPr>
          <w:p w14:paraId="14C6728C" w14:textId="77777777" w:rsidR="00837DA7" w:rsidRPr="005F3693" w:rsidRDefault="00837DA7" w:rsidP="00353A9A">
            <w:pPr>
              <w:spacing w:after="0" w:line="240" w:lineRule="auto"/>
              <w:ind w:right="-104"/>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0.042</w:t>
            </w:r>
          </w:p>
        </w:tc>
        <w:tc>
          <w:tcPr>
            <w:tcW w:w="851" w:type="dxa"/>
            <w:tcBorders>
              <w:top w:val="single" w:sz="4" w:space="0" w:color="auto"/>
              <w:left w:val="nil"/>
              <w:bottom w:val="nil"/>
              <w:right w:val="nil"/>
            </w:tcBorders>
            <w:shd w:val="clear" w:color="auto" w:fill="FFFFFF"/>
          </w:tcPr>
          <w:p w14:paraId="1C252E11" w14:textId="77777777" w:rsidR="00837DA7" w:rsidRPr="005F3693" w:rsidRDefault="00837DA7" w:rsidP="00353A9A">
            <w:pPr>
              <w:spacing w:after="0" w:line="240" w:lineRule="auto"/>
              <w:ind w:right="-104"/>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-0.083</w:t>
            </w:r>
            <w:r w:rsidRPr="005F3693">
              <w:rPr>
                <w:rFonts w:ascii="Times New Roman" w:eastAsia="Times New Roman" w:hAnsi="Times New Roman" w:cs="Times New Roman"/>
                <w:sz w:val="18"/>
                <w:szCs w:val="18"/>
                <w:vertAlign w:val="superscript"/>
                <w:lang w:val="en-US"/>
              </w:rPr>
              <w:t>**</w:t>
            </w:r>
          </w:p>
        </w:tc>
        <w:tc>
          <w:tcPr>
            <w:tcW w:w="850" w:type="dxa"/>
            <w:tcBorders>
              <w:top w:val="single" w:sz="4" w:space="0" w:color="auto"/>
              <w:left w:val="nil"/>
              <w:bottom w:val="nil"/>
              <w:right w:val="nil"/>
            </w:tcBorders>
            <w:shd w:val="clear" w:color="auto" w:fill="FFFFFF"/>
            <w:noWrap/>
          </w:tcPr>
          <w:p w14:paraId="59650769" w14:textId="77777777" w:rsidR="00837DA7" w:rsidRPr="005F3693" w:rsidRDefault="00837DA7" w:rsidP="00353A9A">
            <w:pPr>
              <w:spacing w:after="0" w:line="240" w:lineRule="auto"/>
              <w:ind w:right="-104"/>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0.097</w:t>
            </w:r>
            <w:r w:rsidRPr="005F3693">
              <w:rPr>
                <w:rFonts w:ascii="Times New Roman" w:eastAsia="Times New Roman" w:hAnsi="Times New Roman" w:cs="Times New Roman"/>
                <w:sz w:val="18"/>
                <w:szCs w:val="18"/>
                <w:vertAlign w:val="superscript"/>
                <w:lang w:val="en-US"/>
              </w:rPr>
              <w:t>**</w:t>
            </w:r>
          </w:p>
        </w:tc>
      </w:tr>
      <w:tr w:rsidR="00837DA7" w:rsidRPr="005F3693" w14:paraId="28B39F1C" w14:textId="77777777" w:rsidTr="00353A9A">
        <w:trPr>
          <w:trHeight w:val="293"/>
        </w:trPr>
        <w:tc>
          <w:tcPr>
            <w:tcW w:w="993" w:type="dxa"/>
            <w:tcBorders>
              <w:top w:val="nil"/>
              <w:left w:val="nil"/>
              <w:bottom w:val="nil"/>
            </w:tcBorders>
            <w:shd w:val="clear" w:color="auto" w:fill="FFFFFF"/>
          </w:tcPr>
          <w:p w14:paraId="313EC015" w14:textId="77777777" w:rsidR="00837DA7" w:rsidRPr="005F3693" w:rsidRDefault="00837DA7" w:rsidP="00353A9A">
            <w:pPr>
              <w:spacing w:after="0" w:line="240" w:lineRule="auto"/>
              <w:rPr>
                <w:rFonts w:ascii="Times New Roman" w:eastAsia="Times New Roman" w:hAnsi="Times New Roman" w:cs="Times New Roman"/>
                <w:iCs/>
                <w:sz w:val="18"/>
                <w:szCs w:val="18"/>
                <w:lang w:val="en-US"/>
              </w:rPr>
            </w:pPr>
            <w:r>
              <w:rPr>
                <w:rFonts w:ascii="Times New Roman" w:eastAsia="Times New Roman" w:hAnsi="Times New Roman" w:cs="Times New Roman"/>
                <w:iCs/>
                <w:sz w:val="18"/>
                <w:szCs w:val="18"/>
                <w:lang w:val="en-US"/>
              </w:rPr>
              <w:t>HE</w:t>
            </w:r>
            <w:r w:rsidRPr="005F3693">
              <w:rPr>
                <w:rFonts w:ascii="Times New Roman" w:eastAsia="Times New Roman" w:hAnsi="Times New Roman" w:cs="Times New Roman"/>
                <w:iCs/>
                <w:sz w:val="18"/>
                <w:szCs w:val="18"/>
                <w:lang w:val="en-US"/>
              </w:rPr>
              <w:t>GQI</w:t>
            </w:r>
          </w:p>
        </w:tc>
        <w:tc>
          <w:tcPr>
            <w:tcW w:w="992" w:type="dxa"/>
            <w:tcBorders>
              <w:top w:val="nil"/>
              <w:left w:val="nil"/>
              <w:bottom w:val="nil"/>
              <w:right w:val="nil"/>
            </w:tcBorders>
            <w:shd w:val="clear" w:color="auto" w:fill="FFFFFF"/>
            <w:noWrap/>
          </w:tcPr>
          <w:p w14:paraId="4F5BBFEB" w14:textId="77777777" w:rsidR="00837DA7" w:rsidRPr="005F3693" w:rsidRDefault="00837DA7" w:rsidP="00353A9A">
            <w:pPr>
              <w:spacing w:after="0" w:line="240" w:lineRule="auto"/>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0.389</w:t>
            </w:r>
            <w:r w:rsidRPr="005F3693">
              <w:rPr>
                <w:rFonts w:ascii="Times New Roman" w:eastAsia="Times New Roman" w:hAnsi="Times New Roman" w:cs="Times New Roman"/>
                <w:sz w:val="18"/>
                <w:szCs w:val="18"/>
                <w:vertAlign w:val="superscript"/>
                <w:lang w:val="en-US"/>
              </w:rPr>
              <w:t>***</w:t>
            </w:r>
          </w:p>
        </w:tc>
        <w:tc>
          <w:tcPr>
            <w:tcW w:w="850" w:type="dxa"/>
            <w:shd w:val="clear" w:color="auto" w:fill="FFFFFF"/>
          </w:tcPr>
          <w:p w14:paraId="0DDE6F7E" w14:textId="77777777" w:rsidR="00837DA7" w:rsidRPr="005F3693" w:rsidRDefault="00837DA7" w:rsidP="00353A9A">
            <w:pPr>
              <w:spacing w:after="0" w:line="240" w:lineRule="auto"/>
              <w:jc w:val="both"/>
              <w:rPr>
                <w:rFonts w:ascii="Times New Roman" w:eastAsia="Times New Roman" w:hAnsi="Times New Roman" w:cs="Times New Roman"/>
                <w:sz w:val="18"/>
                <w:szCs w:val="18"/>
                <w:lang w:val="en-US"/>
              </w:rPr>
            </w:pPr>
          </w:p>
        </w:tc>
        <w:tc>
          <w:tcPr>
            <w:tcW w:w="851" w:type="dxa"/>
            <w:shd w:val="clear" w:color="auto" w:fill="FFFFFF"/>
          </w:tcPr>
          <w:p w14:paraId="2967F570" w14:textId="77777777" w:rsidR="00837DA7" w:rsidRPr="005F3693" w:rsidRDefault="00837DA7" w:rsidP="00353A9A">
            <w:pPr>
              <w:spacing w:after="0" w:line="240" w:lineRule="auto"/>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0.070</w:t>
            </w:r>
            <w:r w:rsidRPr="005F3693">
              <w:rPr>
                <w:rFonts w:ascii="Times New Roman" w:eastAsia="Times New Roman" w:hAnsi="Times New Roman" w:cs="Times New Roman"/>
                <w:sz w:val="18"/>
                <w:szCs w:val="18"/>
                <w:vertAlign w:val="superscript"/>
                <w:lang w:val="en-US"/>
              </w:rPr>
              <w:t>*</w:t>
            </w:r>
          </w:p>
        </w:tc>
        <w:tc>
          <w:tcPr>
            <w:tcW w:w="850" w:type="dxa"/>
            <w:shd w:val="clear" w:color="auto" w:fill="FFFFFF"/>
          </w:tcPr>
          <w:p w14:paraId="143F9A2A" w14:textId="77777777" w:rsidR="00837DA7" w:rsidRPr="005F3693" w:rsidRDefault="00837DA7" w:rsidP="00353A9A">
            <w:pPr>
              <w:spacing w:after="0" w:line="240" w:lineRule="auto"/>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0.001</w:t>
            </w:r>
          </w:p>
        </w:tc>
        <w:tc>
          <w:tcPr>
            <w:tcW w:w="851" w:type="dxa"/>
            <w:shd w:val="clear" w:color="auto" w:fill="FFFFFF"/>
          </w:tcPr>
          <w:p w14:paraId="6709F3E1" w14:textId="77777777" w:rsidR="00837DA7" w:rsidRPr="005F3693" w:rsidRDefault="00837DA7" w:rsidP="00353A9A">
            <w:pPr>
              <w:spacing w:after="0" w:line="240" w:lineRule="auto"/>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0.025</w:t>
            </w:r>
          </w:p>
        </w:tc>
        <w:tc>
          <w:tcPr>
            <w:tcW w:w="850" w:type="dxa"/>
            <w:shd w:val="clear" w:color="auto" w:fill="FFFFFF"/>
          </w:tcPr>
          <w:p w14:paraId="03DDE88B" w14:textId="77777777" w:rsidR="00837DA7" w:rsidRPr="005F3693" w:rsidRDefault="00837DA7" w:rsidP="00353A9A">
            <w:pPr>
              <w:spacing w:after="0" w:line="240" w:lineRule="auto"/>
              <w:ind w:right="-106"/>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-0.110</w:t>
            </w:r>
            <w:r w:rsidRPr="005F3693">
              <w:rPr>
                <w:rFonts w:ascii="Times New Roman" w:eastAsia="Times New Roman" w:hAnsi="Times New Roman" w:cs="Times New Roman"/>
                <w:sz w:val="18"/>
                <w:szCs w:val="18"/>
                <w:vertAlign w:val="superscript"/>
                <w:lang w:val="en-US"/>
              </w:rPr>
              <w:t>***</w:t>
            </w:r>
          </w:p>
        </w:tc>
        <w:tc>
          <w:tcPr>
            <w:tcW w:w="851" w:type="dxa"/>
            <w:shd w:val="clear" w:color="auto" w:fill="FFFFFF"/>
          </w:tcPr>
          <w:p w14:paraId="732EBBE3" w14:textId="77777777" w:rsidR="00837DA7" w:rsidRPr="005F3693" w:rsidRDefault="00837DA7" w:rsidP="00353A9A">
            <w:pPr>
              <w:spacing w:after="0" w:line="240" w:lineRule="auto"/>
              <w:ind w:right="-106"/>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0.013</w:t>
            </w:r>
          </w:p>
        </w:tc>
        <w:tc>
          <w:tcPr>
            <w:tcW w:w="850" w:type="dxa"/>
            <w:shd w:val="clear" w:color="auto" w:fill="FFFFFF"/>
            <w:noWrap/>
          </w:tcPr>
          <w:p w14:paraId="62EAF7C9" w14:textId="77777777" w:rsidR="00837DA7" w:rsidRPr="005F3693" w:rsidRDefault="00837DA7" w:rsidP="00353A9A">
            <w:pPr>
              <w:spacing w:after="0" w:line="240" w:lineRule="auto"/>
              <w:ind w:right="-106"/>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0.018</w:t>
            </w:r>
          </w:p>
        </w:tc>
        <w:tc>
          <w:tcPr>
            <w:tcW w:w="851" w:type="dxa"/>
            <w:shd w:val="clear" w:color="auto" w:fill="FFFFFF"/>
            <w:noWrap/>
          </w:tcPr>
          <w:p w14:paraId="6B30D1D4" w14:textId="77777777" w:rsidR="00837DA7" w:rsidRPr="005F3693" w:rsidRDefault="00837DA7" w:rsidP="00353A9A">
            <w:pPr>
              <w:spacing w:after="0" w:line="240" w:lineRule="auto"/>
              <w:ind w:right="-132"/>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0.032</w:t>
            </w:r>
          </w:p>
        </w:tc>
        <w:tc>
          <w:tcPr>
            <w:tcW w:w="851" w:type="dxa"/>
            <w:shd w:val="clear" w:color="auto" w:fill="FFFFFF"/>
            <w:noWrap/>
          </w:tcPr>
          <w:p w14:paraId="4AEE9CDD" w14:textId="77777777" w:rsidR="00837DA7" w:rsidRPr="005F3693" w:rsidRDefault="00837DA7" w:rsidP="00353A9A">
            <w:pPr>
              <w:spacing w:after="0" w:line="240" w:lineRule="auto"/>
              <w:ind w:right="-107"/>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-0.058</w:t>
            </w:r>
          </w:p>
        </w:tc>
        <w:tc>
          <w:tcPr>
            <w:tcW w:w="870" w:type="dxa"/>
            <w:shd w:val="clear" w:color="auto" w:fill="FFFFFF"/>
            <w:noWrap/>
          </w:tcPr>
          <w:p w14:paraId="3F04A506" w14:textId="77777777" w:rsidR="00837DA7" w:rsidRPr="005F3693" w:rsidRDefault="00837DA7" w:rsidP="00353A9A">
            <w:pPr>
              <w:spacing w:after="0" w:line="240" w:lineRule="auto"/>
              <w:ind w:right="-102"/>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0.026</w:t>
            </w:r>
          </w:p>
        </w:tc>
        <w:tc>
          <w:tcPr>
            <w:tcW w:w="831" w:type="dxa"/>
            <w:shd w:val="clear" w:color="auto" w:fill="FFFFFF"/>
          </w:tcPr>
          <w:p w14:paraId="303BAFBF" w14:textId="77777777" w:rsidR="00837DA7" w:rsidRPr="005F3693" w:rsidRDefault="00837DA7" w:rsidP="00353A9A">
            <w:pPr>
              <w:spacing w:after="0" w:line="240" w:lineRule="auto"/>
              <w:ind w:right="-129"/>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-0.008</w:t>
            </w:r>
          </w:p>
        </w:tc>
        <w:tc>
          <w:tcPr>
            <w:tcW w:w="709" w:type="dxa"/>
            <w:shd w:val="clear" w:color="auto" w:fill="FFFFFF"/>
          </w:tcPr>
          <w:p w14:paraId="7CD200AF" w14:textId="77777777" w:rsidR="00837DA7" w:rsidRPr="005F3693" w:rsidRDefault="00837DA7" w:rsidP="00353A9A">
            <w:pPr>
              <w:spacing w:after="0" w:line="240" w:lineRule="auto"/>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-0.053</w:t>
            </w:r>
          </w:p>
        </w:tc>
        <w:tc>
          <w:tcPr>
            <w:tcW w:w="850" w:type="dxa"/>
            <w:shd w:val="clear" w:color="auto" w:fill="FFFFFF"/>
            <w:noWrap/>
          </w:tcPr>
          <w:p w14:paraId="1F7132A9" w14:textId="77777777" w:rsidR="00837DA7" w:rsidRPr="005F3693" w:rsidRDefault="00837DA7" w:rsidP="00353A9A">
            <w:pPr>
              <w:spacing w:after="0" w:line="240" w:lineRule="auto"/>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0.100</w:t>
            </w:r>
            <w:r w:rsidRPr="005F3693">
              <w:rPr>
                <w:rFonts w:ascii="Times New Roman" w:eastAsia="Times New Roman" w:hAnsi="Times New Roman" w:cs="Times New Roman"/>
                <w:sz w:val="18"/>
                <w:szCs w:val="18"/>
                <w:vertAlign w:val="superscript"/>
                <w:lang w:val="en-US"/>
              </w:rPr>
              <w:t>***</w:t>
            </w:r>
          </w:p>
        </w:tc>
        <w:tc>
          <w:tcPr>
            <w:tcW w:w="850" w:type="dxa"/>
            <w:shd w:val="clear" w:color="auto" w:fill="FFFFFF"/>
          </w:tcPr>
          <w:p w14:paraId="54B14540" w14:textId="77777777" w:rsidR="00837DA7" w:rsidRPr="005F3693" w:rsidRDefault="00837DA7" w:rsidP="00353A9A">
            <w:pPr>
              <w:spacing w:after="0" w:line="240" w:lineRule="auto"/>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0.090</w:t>
            </w:r>
            <w:r w:rsidRPr="005F3693">
              <w:rPr>
                <w:rFonts w:ascii="Times New Roman" w:eastAsia="Times New Roman" w:hAnsi="Times New Roman" w:cs="Times New Roman"/>
                <w:sz w:val="18"/>
                <w:szCs w:val="18"/>
                <w:vertAlign w:val="superscript"/>
                <w:lang w:val="en-US"/>
              </w:rPr>
              <w:t>**</w:t>
            </w:r>
          </w:p>
        </w:tc>
        <w:tc>
          <w:tcPr>
            <w:tcW w:w="851" w:type="dxa"/>
            <w:shd w:val="clear" w:color="auto" w:fill="FFFFFF"/>
          </w:tcPr>
          <w:p w14:paraId="2FBA8982" w14:textId="77777777" w:rsidR="00837DA7" w:rsidRPr="005F3693" w:rsidRDefault="00837DA7" w:rsidP="00353A9A">
            <w:pPr>
              <w:spacing w:after="0" w:line="240" w:lineRule="auto"/>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0.022</w:t>
            </w:r>
          </w:p>
        </w:tc>
        <w:tc>
          <w:tcPr>
            <w:tcW w:w="850" w:type="dxa"/>
            <w:shd w:val="clear" w:color="auto" w:fill="FFFFFF"/>
            <w:noWrap/>
          </w:tcPr>
          <w:p w14:paraId="223A113A" w14:textId="77777777" w:rsidR="00837DA7" w:rsidRPr="005F3693" w:rsidRDefault="00837DA7" w:rsidP="00353A9A">
            <w:pPr>
              <w:spacing w:after="0" w:line="240" w:lineRule="auto"/>
              <w:ind w:right="-24"/>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0.018</w:t>
            </w:r>
          </w:p>
        </w:tc>
      </w:tr>
      <w:tr w:rsidR="00837DA7" w:rsidRPr="005F3693" w14:paraId="21383C36" w14:textId="77777777" w:rsidTr="00353A9A">
        <w:trPr>
          <w:trHeight w:val="322"/>
        </w:trPr>
        <w:tc>
          <w:tcPr>
            <w:tcW w:w="993" w:type="dxa"/>
            <w:tcBorders>
              <w:top w:val="nil"/>
              <w:left w:val="nil"/>
              <w:bottom w:val="nil"/>
            </w:tcBorders>
            <w:shd w:val="clear" w:color="auto" w:fill="FFFFFF"/>
          </w:tcPr>
          <w:p w14:paraId="0DEBC220" w14:textId="77777777" w:rsidR="00837DA7" w:rsidRPr="005F3693" w:rsidRDefault="00837DA7" w:rsidP="00353A9A">
            <w:pPr>
              <w:spacing w:after="0" w:line="240" w:lineRule="auto"/>
              <w:rPr>
                <w:rFonts w:ascii="Times New Roman" w:eastAsia="Times New Roman" w:hAnsi="Times New Roman" w:cs="Times New Roman"/>
                <w:iCs/>
                <w:sz w:val="18"/>
                <w:szCs w:val="18"/>
                <w:lang w:val="en-US"/>
              </w:rPr>
            </w:pPr>
            <w:r>
              <w:rPr>
                <w:rFonts w:ascii="Times New Roman" w:eastAsia="Times New Roman" w:hAnsi="Times New Roman" w:cs="Times New Roman"/>
                <w:iCs/>
                <w:sz w:val="18"/>
                <w:szCs w:val="18"/>
                <w:lang w:val="en-US"/>
              </w:rPr>
              <w:t>SM</w:t>
            </w:r>
            <w:r w:rsidRPr="005F3693">
              <w:rPr>
                <w:rFonts w:ascii="Times New Roman" w:eastAsia="Times New Roman" w:hAnsi="Times New Roman" w:cs="Times New Roman"/>
                <w:iCs/>
                <w:sz w:val="18"/>
                <w:szCs w:val="18"/>
                <w:lang w:val="en-US"/>
              </w:rPr>
              <w:t>TSZ</w:t>
            </w:r>
            <w:r>
              <w:rPr>
                <w:rFonts w:ascii="Times New Roman" w:eastAsia="Times New Roman" w:hAnsi="Times New Roman" w:cs="Times New Roman"/>
                <w:iCs/>
                <w:sz w:val="18"/>
                <w:szCs w:val="18"/>
                <w:lang w:val="en-US"/>
              </w:rPr>
              <w:t>E</w:t>
            </w:r>
          </w:p>
        </w:tc>
        <w:tc>
          <w:tcPr>
            <w:tcW w:w="992" w:type="dxa"/>
            <w:tcBorders>
              <w:top w:val="nil"/>
              <w:left w:val="nil"/>
              <w:bottom w:val="nil"/>
              <w:right w:val="nil"/>
            </w:tcBorders>
            <w:shd w:val="clear" w:color="auto" w:fill="FFFFFF"/>
            <w:noWrap/>
          </w:tcPr>
          <w:p w14:paraId="28830E02" w14:textId="77777777" w:rsidR="00837DA7" w:rsidRPr="005F3693" w:rsidRDefault="00837DA7" w:rsidP="00353A9A">
            <w:pPr>
              <w:spacing w:after="0" w:line="240" w:lineRule="auto"/>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0.222</w:t>
            </w:r>
            <w:r w:rsidRPr="005F3693">
              <w:rPr>
                <w:rFonts w:ascii="Times New Roman" w:eastAsia="Times New Roman" w:hAnsi="Times New Roman" w:cs="Times New Roman"/>
                <w:sz w:val="18"/>
                <w:szCs w:val="18"/>
                <w:vertAlign w:val="superscript"/>
                <w:lang w:val="en-US"/>
              </w:rPr>
              <w:t>***</w:t>
            </w:r>
          </w:p>
        </w:tc>
        <w:tc>
          <w:tcPr>
            <w:tcW w:w="850" w:type="dxa"/>
            <w:shd w:val="clear" w:color="auto" w:fill="FFFFFF"/>
          </w:tcPr>
          <w:p w14:paraId="46BD2809" w14:textId="77777777" w:rsidR="00837DA7" w:rsidRPr="005F3693" w:rsidRDefault="00837DA7" w:rsidP="00353A9A">
            <w:pPr>
              <w:spacing w:after="0" w:line="240" w:lineRule="auto"/>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0.078</w:t>
            </w:r>
            <w:r w:rsidRPr="005F3693">
              <w:rPr>
                <w:rFonts w:ascii="Times New Roman" w:eastAsia="Times New Roman" w:hAnsi="Times New Roman" w:cs="Times New Roman"/>
                <w:sz w:val="18"/>
                <w:szCs w:val="18"/>
                <w:vertAlign w:val="superscript"/>
                <w:lang w:val="en-US"/>
              </w:rPr>
              <w:t>**</w:t>
            </w:r>
          </w:p>
        </w:tc>
        <w:tc>
          <w:tcPr>
            <w:tcW w:w="851" w:type="dxa"/>
            <w:shd w:val="clear" w:color="auto" w:fill="FFFFFF"/>
          </w:tcPr>
          <w:p w14:paraId="61B5BBC8" w14:textId="77777777" w:rsidR="00837DA7" w:rsidRPr="005F3693" w:rsidRDefault="00837DA7" w:rsidP="00353A9A">
            <w:pPr>
              <w:spacing w:after="0" w:line="240" w:lineRule="auto"/>
              <w:jc w:val="both"/>
              <w:rPr>
                <w:rFonts w:ascii="Times New Roman" w:eastAsia="Times New Roman" w:hAnsi="Times New Roman" w:cs="Times New Roman"/>
                <w:sz w:val="18"/>
                <w:szCs w:val="18"/>
                <w:lang w:val="en-US"/>
              </w:rPr>
            </w:pPr>
          </w:p>
        </w:tc>
        <w:tc>
          <w:tcPr>
            <w:tcW w:w="850" w:type="dxa"/>
            <w:shd w:val="clear" w:color="auto" w:fill="FFFFFF"/>
          </w:tcPr>
          <w:p w14:paraId="13F1D1AF" w14:textId="77777777" w:rsidR="00837DA7" w:rsidRPr="005F3693" w:rsidRDefault="00837DA7" w:rsidP="00353A9A">
            <w:pPr>
              <w:spacing w:after="0" w:line="240" w:lineRule="auto"/>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0.008</w:t>
            </w:r>
          </w:p>
        </w:tc>
        <w:tc>
          <w:tcPr>
            <w:tcW w:w="851" w:type="dxa"/>
            <w:shd w:val="clear" w:color="auto" w:fill="FFFFFF"/>
          </w:tcPr>
          <w:p w14:paraId="3F05DAE0" w14:textId="77777777" w:rsidR="00837DA7" w:rsidRPr="005F3693" w:rsidRDefault="00837DA7" w:rsidP="00353A9A">
            <w:pPr>
              <w:spacing w:after="0" w:line="240" w:lineRule="auto"/>
              <w:ind w:right="-112"/>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-0.175</w:t>
            </w:r>
            <w:r w:rsidRPr="005F3693">
              <w:rPr>
                <w:rFonts w:ascii="Times New Roman" w:eastAsia="Times New Roman" w:hAnsi="Times New Roman" w:cs="Times New Roman"/>
                <w:sz w:val="18"/>
                <w:szCs w:val="18"/>
                <w:vertAlign w:val="superscript"/>
                <w:lang w:val="en-US"/>
              </w:rPr>
              <w:t>***</w:t>
            </w:r>
          </w:p>
        </w:tc>
        <w:tc>
          <w:tcPr>
            <w:tcW w:w="850" w:type="dxa"/>
            <w:shd w:val="clear" w:color="auto" w:fill="FFFFFF"/>
          </w:tcPr>
          <w:p w14:paraId="5EAA94F8" w14:textId="77777777" w:rsidR="00837DA7" w:rsidRPr="005F3693" w:rsidRDefault="00837DA7" w:rsidP="00353A9A">
            <w:pPr>
              <w:spacing w:after="0" w:line="240" w:lineRule="auto"/>
              <w:ind w:right="-106"/>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-0.041</w:t>
            </w:r>
          </w:p>
        </w:tc>
        <w:tc>
          <w:tcPr>
            <w:tcW w:w="851" w:type="dxa"/>
            <w:shd w:val="clear" w:color="auto" w:fill="FFFFFF"/>
          </w:tcPr>
          <w:p w14:paraId="5121E6E1" w14:textId="77777777" w:rsidR="00837DA7" w:rsidRPr="005F3693" w:rsidRDefault="00837DA7" w:rsidP="00353A9A">
            <w:pPr>
              <w:spacing w:after="0" w:line="240" w:lineRule="auto"/>
              <w:ind w:right="-106"/>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0.047</w:t>
            </w:r>
          </w:p>
        </w:tc>
        <w:tc>
          <w:tcPr>
            <w:tcW w:w="850" w:type="dxa"/>
            <w:shd w:val="clear" w:color="auto" w:fill="FFFFFF"/>
            <w:noWrap/>
          </w:tcPr>
          <w:p w14:paraId="1CA31816" w14:textId="77777777" w:rsidR="00837DA7" w:rsidRPr="005F3693" w:rsidRDefault="00837DA7" w:rsidP="00353A9A">
            <w:pPr>
              <w:spacing w:after="0" w:line="240" w:lineRule="auto"/>
              <w:ind w:right="-106"/>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-0.057</w:t>
            </w:r>
          </w:p>
        </w:tc>
        <w:tc>
          <w:tcPr>
            <w:tcW w:w="851" w:type="dxa"/>
            <w:shd w:val="clear" w:color="auto" w:fill="FFFFFF"/>
            <w:noWrap/>
          </w:tcPr>
          <w:p w14:paraId="37DFCF5F" w14:textId="77777777" w:rsidR="00837DA7" w:rsidRPr="005F3693" w:rsidRDefault="00837DA7" w:rsidP="00353A9A">
            <w:pPr>
              <w:spacing w:after="0" w:line="240" w:lineRule="auto"/>
              <w:ind w:right="-112"/>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-0.140</w:t>
            </w:r>
            <w:r w:rsidRPr="005F3693">
              <w:rPr>
                <w:rFonts w:ascii="Times New Roman" w:eastAsia="Times New Roman" w:hAnsi="Times New Roman" w:cs="Times New Roman"/>
                <w:sz w:val="18"/>
                <w:szCs w:val="18"/>
                <w:vertAlign w:val="superscript"/>
                <w:lang w:val="en-US"/>
              </w:rPr>
              <w:t>***</w:t>
            </w:r>
          </w:p>
        </w:tc>
        <w:tc>
          <w:tcPr>
            <w:tcW w:w="851" w:type="dxa"/>
            <w:shd w:val="clear" w:color="auto" w:fill="FFFFFF"/>
            <w:noWrap/>
          </w:tcPr>
          <w:p w14:paraId="20233F03" w14:textId="77777777" w:rsidR="00837DA7" w:rsidRPr="005F3693" w:rsidRDefault="00837DA7" w:rsidP="00353A9A">
            <w:pPr>
              <w:spacing w:after="0" w:line="240" w:lineRule="auto"/>
              <w:ind w:right="-107"/>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0.253</w:t>
            </w:r>
            <w:r w:rsidRPr="005F3693">
              <w:rPr>
                <w:rFonts w:ascii="Times New Roman" w:eastAsia="Times New Roman" w:hAnsi="Times New Roman" w:cs="Times New Roman"/>
                <w:sz w:val="18"/>
                <w:szCs w:val="18"/>
                <w:vertAlign w:val="superscript"/>
                <w:lang w:val="en-US"/>
              </w:rPr>
              <w:t>***</w:t>
            </w:r>
          </w:p>
        </w:tc>
        <w:tc>
          <w:tcPr>
            <w:tcW w:w="870" w:type="dxa"/>
            <w:shd w:val="clear" w:color="auto" w:fill="FFFFFF"/>
            <w:noWrap/>
          </w:tcPr>
          <w:p w14:paraId="03352538" w14:textId="77777777" w:rsidR="00837DA7" w:rsidRPr="005F3693" w:rsidRDefault="00837DA7" w:rsidP="00353A9A">
            <w:pPr>
              <w:spacing w:after="0" w:line="240" w:lineRule="auto"/>
              <w:ind w:right="-102"/>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0.190</w:t>
            </w:r>
            <w:r w:rsidRPr="005F3693">
              <w:rPr>
                <w:rFonts w:ascii="Times New Roman" w:eastAsia="Times New Roman" w:hAnsi="Times New Roman" w:cs="Times New Roman"/>
                <w:sz w:val="18"/>
                <w:szCs w:val="18"/>
                <w:vertAlign w:val="superscript"/>
                <w:lang w:val="en-US"/>
              </w:rPr>
              <w:t>***</w:t>
            </w:r>
          </w:p>
        </w:tc>
        <w:tc>
          <w:tcPr>
            <w:tcW w:w="831" w:type="dxa"/>
            <w:shd w:val="clear" w:color="auto" w:fill="FFFFFF"/>
          </w:tcPr>
          <w:p w14:paraId="28E181A1" w14:textId="77777777" w:rsidR="00837DA7" w:rsidRPr="005F3693" w:rsidRDefault="00837DA7" w:rsidP="00353A9A">
            <w:pPr>
              <w:spacing w:after="0" w:line="240" w:lineRule="auto"/>
              <w:ind w:right="-124"/>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0.141</w:t>
            </w:r>
            <w:r w:rsidRPr="005F3693">
              <w:rPr>
                <w:rFonts w:ascii="Times New Roman" w:eastAsia="Times New Roman" w:hAnsi="Times New Roman" w:cs="Times New Roman"/>
                <w:sz w:val="18"/>
                <w:szCs w:val="18"/>
                <w:vertAlign w:val="superscript"/>
                <w:lang w:val="en-US"/>
              </w:rPr>
              <w:t>***</w:t>
            </w:r>
          </w:p>
        </w:tc>
        <w:tc>
          <w:tcPr>
            <w:tcW w:w="709" w:type="dxa"/>
            <w:shd w:val="clear" w:color="auto" w:fill="FFFFFF"/>
          </w:tcPr>
          <w:p w14:paraId="6E36BE60" w14:textId="77777777" w:rsidR="00837DA7" w:rsidRPr="005F3693" w:rsidRDefault="00837DA7" w:rsidP="00353A9A">
            <w:pPr>
              <w:spacing w:after="0" w:line="240" w:lineRule="auto"/>
              <w:ind w:right="-129"/>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-0.013</w:t>
            </w:r>
          </w:p>
        </w:tc>
        <w:tc>
          <w:tcPr>
            <w:tcW w:w="850" w:type="dxa"/>
            <w:shd w:val="clear" w:color="auto" w:fill="FFFFFF"/>
            <w:noWrap/>
          </w:tcPr>
          <w:p w14:paraId="45326542" w14:textId="77777777" w:rsidR="00837DA7" w:rsidRPr="005F3693" w:rsidRDefault="00837DA7" w:rsidP="00353A9A">
            <w:pPr>
              <w:spacing w:after="0" w:line="240" w:lineRule="auto"/>
              <w:ind w:right="-132"/>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-0.099</w:t>
            </w:r>
            <w:r w:rsidRPr="005F3693">
              <w:rPr>
                <w:rFonts w:ascii="Times New Roman" w:eastAsia="Times New Roman" w:hAnsi="Times New Roman" w:cs="Times New Roman"/>
                <w:sz w:val="18"/>
                <w:szCs w:val="18"/>
                <w:vertAlign w:val="superscript"/>
                <w:lang w:val="en-US"/>
              </w:rPr>
              <w:t>**</w:t>
            </w:r>
          </w:p>
        </w:tc>
        <w:tc>
          <w:tcPr>
            <w:tcW w:w="850" w:type="dxa"/>
            <w:shd w:val="clear" w:color="auto" w:fill="FFFFFF"/>
          </w:tcPr>
          <w:p w14:paraId="39635C89" w14:textId="77777777" w:rsidR="00837DA7" w:rsidRPr="005F3693" w:rsidRDefault="00837DA7" w:rsidP="00353A9A">
            <w:pPr>
              <w:spacing w:after="0" w:line="240" w:lineRule="auto"/>
              <w:ind w:right="-104"/>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-0.087</w:t>
            </w:r>
            <w:r w:rsidRPr="005F3693">
              <w:rPr>
                <w:rFonts w:ascii="Times New Roman" w:eastAsia="Times New Roman" w:hAnsi="Times New Roman" w:cs="Times New Roman"/>
                <w:sz w:val="18"/>
                <w:szCs w:val="18"/>
                <w:vertAlign w:val="superscript"/>
                <w:lang w:val="en-US"/>
              </w:rPr>
              <w:t>**</w:t>
            </w:r>
          </w:p>
        </w:tc>
        <w:tc>
          <w:tcPr>
            <w:tcW w:w="851" w:type="dxa"/>
            <w:shd w:val="clear" w:color="auto" w:fill="FFFFFF"/>
          </w:tcPr>
          <w:p w14:paraId="33E1B927" w14:textId="77777777" w:rsidR="00837DA7" w:rsidRPr="005F3693" w:rsidRDefault="00837DA7" w:rsidP="00353A9A">
            <w:pPr>
              <w:spacing w:after="0" w:line="240" w:lineRule="auto"/>
              <w:ind w:right="-104"/>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-0.052</w:t>
            </w:r>
          </w:p>
        </w:tc>
        <w:tc>
          <w:tcPr>
            <w:tcW w:w="850" w:type="dxa"/>
            <w:shd w:val="clear" w:color="auto" w:fill="FFFFFF"/>
            <w:noWrap/>
          </w:tcPr>
          <w:p w14:paraId="7588EEA6" w14:textId="77777777" w:rsidR="00837DA7" w:rsidRPr="005F3693" w:rsidRDefault="00837DA7" w:rsidP="00353A9A">
            <w:pPr>
              <w:spacing w:after="0" w:line="240" w:lineRule="auto"/>
              <w:ind w:right="-104"/>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-0.055</w:t>
            </w:r>
          </w:p>
        </w:tc>
      </w:tr>
      <w:tr w:rsidR="00837DA7" w:rsidRPr="005F3693" w14:paraId="0EDAC31A" w14:textId="77777777" w:rsidTr="00353A9A">
        <w:trPr>
          <w:trHeight w:val="293"/>
        </w:trPr>
        <w:tc>
          <w:tcPr>
            <w:tcW w:w="993" w:type="dxa"/>
            <w:tcBorders>
              <w:top w:val="nil"/>
              <w:left w:val="nil"/>
              <w:bottom w:val="nil"/>
            </w:tcBorders>
            <w:shd w:val="clear" w:color="auto" w:fill="FFFFFF"/>
          </w:tcPr>
          <w:p w14:paraId="056A984C" w14:textId="77777777" w:rsidR="00837DA7" w:rsidRPr="005F3693" w:rsidRDefault="00837DA7" w:rsidP="00353A9A">
            <w:pPr>
              <w:spacing w:after="0" w:line="240" w:lineRule="auto"/>
              <w:rPr>
                <w:rFonts w:ascii="Times New Roman" w:eastAsia="Times New Roman" w:hAnsi="Times New Roman" w:cs="Times New Roman"/>
                <w:iCs/>
                <w:sz w:val="18"/>
                <w:szCs w:val="18"/>
                <w:lang w:val="en-US"/>
              </w:rPr>
            </w:pPr>
            <w:r>
              <w:rPr>
                <w:rFonts w:ascii="Times New Roman" w:eastAsia="Times New Roman" w:hAnsi="Times New Roman" w:cs="Times New Roman"/>
                <w:iCs/>
                <w:sz w:val="18"/>
                <w:szCs w:val="18"/>
                <w:lang w:val="en-US"/>
              </w:rPr>
              <w:t>SM</w:t>
            </w:r>
            <w:r w:rsidRPr="005F3693">
              <w:rPr>
                <w:rFonts w:ascii="Times New Roman" w:eastAsia="Times New Roman" w:hAnsi="Times New Roman" w:cs="Times New Roman"/>
                <w:iCs/>
                <w:sz w:val="18"/>
                <w:szCs w:val="18"/>
                <w:lang w:val="en-US"/>
              </w:rPr>
              <w:t>T</w:t>
            </w:r>
            <w:r>
              <w:rPr>
                <w:rFonts w:ascii="Times New Roman" w:eastAsia="Times New Roman" w:hAnsi="Times New Roman" w:cs="Times New Roman"/>
                <w:iCs/>
                <w:sz w:val="18"/>
                <w:szCs w:val="18"/>
                <w:lang w:val="en-US"/>
              </w:rPr>
              <w:t>GE</w:t>
            </w:r>
            <w:r w:rsidRPr="005F3693">
              <w:rPr>
                <w:rFonts w:ascii="Times New Roman" w:eastAsia="Times New Roman" w:hAnsi="Times New Roman" w:cs="Times New Roman"/>
                <w:iCs/>
                <w:sz w:val="18"/>
                <w:szCs w:val="18"/>
                <w:lang w:val="en-US"/>
              </w:rPr>
              <w:t>D</w:t>
            </w:r>
          </w:p>
        </w:tc>
        <w:tc>
          <w:tcPr>
            <w:tcW w:w="992" w:type="dxa"/>
            <w:tcBorders>
              <w:top w:val="nil"/>
              <w:left w:val="nil"/>
              <w:bottom w:val="nil"/>
              <w:right w:val="nil"/>
            </w:tcBorders>
            <w:shd w:val="clear" w:color="auto" w:fill="FFFFFF"/>
            <w:noWrap/>
          </w:tcPr>
          <w:p w14:paraId="65614352" w14:textId="77777777" w:rsidR="00837DA7" w:rsidRPr="005F3693" w:rsidRDefault="00837DA7" w:rsidP="00353A9A">
            <w:pPr>
              <w:spacing w:after="0" w:line="240" w:lineRule="auto"/>
              <w:ind w:right="-123"/>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-0.151</w:t>
            </w:r>
            <w:r w:rsidRPr="005F3693">
              <w:rPr>
                <w:rFonts w:ascii="Times New Roman" w:eastAsia="Times New Roman" w:hAnsi="Times New Roman" w:cs="Times New Roman"/>
                <w:sz w:val="18"/>
                <w:szCs w:val="18"/>
                <w:vertAlign w:val="superscript"/>
                <w:lang w:val="en-US"/>
              </w:rPr>
              <w:t>***</w:t>
            </w:r>
          </w:p>
        </w:tc>
        <w:tc>
          <w:tcPr>
            <w:tcW w:w="850" w:type="dxa"/>
            <w:shd w:val="clear" w:color="auto" w:fill="FFFFFF"/>
          </w:tcPr>
          <w:p w14:paraId="5F6084F7" w14:textId="77777777" w:rsidR="00837DA7" w:rsidRPr="005F3693" w:rsidRDefault="00837DA7" w:rsidP="00353A9A">
            <w:pPr>
              <w:spacing w:after="0" w:line="240" w:lineRule="auto"/>
              <w:ind w:right="-110"/>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0.018</w:t>
            </w:r>
          </w:p>
        </w:tc>
        <w:tc>
          <w:tcPr>
            <w:tcW w:w="851" w:type="dxa"/>
            <w:shd w:val="clear" w:color="auto" w:fill="FFFFFF"/>
          </w:tcPr>
          <w:p w14:paraId="14D9F251" w14:textId="77777777" w:rsidR="00837DA7" w:rsidRPr="005F3693" w:rsidRDefault="00837DA7" w:rsidP="00353A9A">
            <w:pPr>
              <w:spacing w:after="0" w:line="240" w:lineRule="auto"/>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-0.001</w:t>
            </w:r>
          </w:p>
        </w:tc>
        <w:tc>
          <w:tcPr>
            <w:tcW w:w="850" w:type="dxa"/>
            <w:shd w:val="clear" w:color="auto" w:fill="FFFFFF"/>
          </w:tcPr>
          <w:p w14:paraId="0831C733" w14:textId="77777777" w:rsidR="00837DA7" w:rsidRPr="005F3693" w:rsidRDefault="00837DA7" w:rsidP="00353A9A">
            <w:pPr>
              <w:spacing w:after="0" w:line="240" w:lineRule="auto"/>
              <w:jc w:val="both"/>
              <w:rPr>
                <w:rFonts w:ascii="Times New Roman" w:eastAsia="Times New Roman" w:hAnsi="Times New Roman" w:cs="Times New Roman"/>
                <w:sz w:val="18"/>
                <w:szCs w:val="18"/>
                <w:lang w:val="en-US"/>
              </w:rPr>
            </w:pPr>
          </w:p>
        </w:tc>
        <w:tc>
          <w:tcPr>
            <w:tcW w:w="851" w:type="dxa"/>
            <w:shd w:val="clear" w:color="auto" w:fill="FFFFFF"/>
          </w:tcPr>
          <w:p w14:paraId="78B3A4B9" w14:textId="77777777" w:rsidR="00837DA7" w:rsidRPr="005F3693" w:rsidRDefault="00837DA7" w:rsidP="00353A9A">
            <w:pPr>
              <w:spacing w:after="0" w:line="240" w:lineRule="auto"/>
              <w:ind w:right="-112"/>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-0.102</w:t>
            </w:r>
            <w:r w:rsidRPr="005F3693">
              <w:rPr>
                <w:rFonts w:ascii="Times New Roman" w:eastAsia="Times New Roman" w:hAnsi="Times New Roman" w:cs="Times New Roman"/>
                <w:sz w:val="18"/>
                <w:szCs w:val="18"/>
                <w:vertAlign w:val="superscript"/>
                <w:lang w:val="en-US"/>
              </w:rPr>
              <w:t>**</w:t>
            </w:r>
          </w:p>
        </w:tc>
        <w:tc>
          <w:tcPr>
            <w:tcW w:w="850" w:type="dxa"/>
            <w:shd w:val="clear" w:color="auto" w:fill="FFFFFF"/>
          </w:tcPr>
          <w:p w14:paraId="1EC34C10" w14:textId="77777777" w:rsidR="00837DA7" w:rsidRPr="005F3693" w:rsidRDefault="00837DA7" w:rsidP="00353A9A">
            <w:pPr>
              <w:spacing w:after="0" w:line="240" w:lineRule="auto"/>
              <w:ind w:right="-106"/>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0.094</w:t>
            </w:r>
            <w:r w:rsidRPr="005F3693">
              <w:rPr>
                <w:rFonts w:ascii="Times New Roman" w:eastAsia="Times New Roman" w:hAnsi="Times New Roman" w:cs="Times New Roman"/>
                <w:sz w:val="18"/>
                <w:szCs w:val="18"/>
                <w:vertAlign w:val="superscript"/>
                <w:lang w:val="en-US"/>
              </w:rPr>
              <w:t>**</w:t>
            </w:r>
          </w:p>
        </w:tc>
        <w:tc>
          <w:tcPr>
            <w:tcW w:w="851" w:type="dxa"/>
            <w:shd w:val="clear" w:color="auto" w:fill="FFFFFF"/>
          </w:tcPr>
          <w:p w14:paraId="4549C938" w14:textId="77777777" w:rsidR="00837DA7" w:rsidRPr="005F3693" w:rsidRDefault="00837DA7" w:rsidP="00353A9A">
            <w:pPr>
              <w:spacing w:after="0" w:line="240" w:lineRule="auto"/>
              <w:ind w:right="-106"/>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0.017</w:t>
            </w:r>
          </w:p>
        </w:tc>
        <w:tc>
          <w:tcPr>
            <w:tcW w:w="850" w:type="dxa"/>
            <w:shd w:val="clear" w:color="auto" w:fill="FFFFFF"/>
            <w:noWrap/>
          </w:tcPr>
          <w:p w14:paraId="3AB94728" w14:textId="77777777" w:rsidR="00837DA7" w:rsidRPr="005F3693" w:rsidRDefault="00837DA7" w:rsidP="00353A9A">
            <w:pPr>
              <w:spacing w:after="0" w:line="240" w:lineRule="auto"/>
              <w:ind w:right="-106"/>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0.020</w:t>
            </w:r>
          </w:p>
        </w:tc>
        <w:tc>
          <w:tcPr>
            <w:tcW w:w="851" w:type="dxa"/>
            <w:shd w:val="clear" w:color="auto" w:fill="FFFFFF"/>
            <w:noWrap/>
          </w:tcPr>
          <w:p w14:paraId="70EB8CE4" w14:textId="77777777" w:rsidR="00837DA7" w:rsidRPr="005F3693" w:rsidRDefault="00837DA7" w:rsidP="00353A9A">
            <w:pPr>
              <w:spacing w:after="0" w:line="240" w:lineRule="auto"/>
              <w:ind w:right="-112"/>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0.066</w:t>
            </w:r>
          </w:p>
        </w:tc>
        <w:tc>
          <w:tcPr>
            <w:tcW w:w="851" w:type="dxa"/>
            <w:shd w:val="clear" w:color="auto" w:fill="FFFFFF"/>
            <w:noWrap/>
          </w:tcPr>
          <w:p w14:paraId="1788EBFC" w14:textId="77777777" w:rsidR="00837DA7" w:rsidRPr="005F3693" w:rsidRDefault="00837DA7" w:rsidP="00353A9A">
            <w:pPr>
              <w:spacing w:after="0" w:line="240" w:lineRule="auto"/>
              <w:ind w:right="-107"/>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-0.151</w:t>
            </w:r>
            <w:r w:rsidRPr="005F3693">
              <w:rPr>
                <w:rFonts w:ascii="Times New Roman" w:eastAsia="Times New Roman" w:hAnsi="Times New Roman" w:cs="Times New Roman"/>
                <w:sz w:val="18"/>
                <w:szCs w:val="18"/>
                <w:vertAlign w:val="superscript"/>
                <w:lang w:val="en-US"/>
              </w:rPr>
              <w:t>***</w:t>
            </w:r>
          </w:p>
        </w:tc>
        <w:tc>
          <w:tcPr>
            <w:tcW w:w="870" w:type="dxa"/>
            <w:shd w:val="clear" w:color="auto" w:fill="FFFFFF"/>
            <w:noWrap/>
          </w:tcPr>
          <w:p w14:paraId="7AD1DE69" w14:textId="77777777" w:rsidR="00837DA7" w:rsidRPr="005F3693" w:rsidRDefault="00837DA7" w:rsidP="00353A9A">
            <w:pPr>
              <w:spacing w:after="0" w:line="240" w:lineRule="auto"/>
              <w:ind w:right="-102"/>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-0.022</w:t>
            </w:r>
          </w:p>
        </w:tc>
        <w:tc>
          <w:tcPr>
            <w:tcW w:w="831" w:type="dxa"/>
            <w:shd w:val="clear" w:color="auto" w:fill="FFFFFF"/>
          </w:tcPr>
          <w:p w14:paraId="604E675E" w14:textId="77777777" w:rsidR="00837DA7" w:rsidRPr="005F3693" w:rsidRDefault="00837DA7" w:rsidP="00353A9A">
            <w:pPr>
              <w:spacing w:after="0" w:line="240" w:lineRule="auto"/>
              <w:ind w:right="-124"/>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-0.013</w:t>
            </w:r>
          </w:p>
        </w:tc>
        <w:tc>
          <w:tcPr>
            <w:tcW w:w="709" w:type="dxa"/>
            <w:shd w:val="clear" w:color="auto" w:fill="FFFFFF"/>
          </w:tcPr>
          <w:p w14:paraId="3AE0597D" w14:textId="77777777" w:rsidR="00837DA7" w:rsidRPr="005F3693" w:rsidRDefault="00837DA7" w:rsidP="00353A9A">
            <w:pPr>
              <w:spacing w:after="0" w:line="240" w:lineRule="auto"/>
              <w:ind w:right="-129"/>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-0.035</w:t>
            </w:r>
          </w:p>
        </w:tc>
        <w:tc>
          <w:tcPr>
            <w:tcW w:w="850" w:type="dxa"/>
            <w:shd w:val="clear" w:color="auto" w:fill="FFFFFF"/>
            <w:noWrap/>
          </w:tcPr>
          <w:p w14:paraId="4BD5F02B" w14:textId="77777777" w:rsidR="00837DA7" w:rsidRPr="005F3693" w:rsidRDefault="00837DA7" w:rsidP="00353A9A">
            <w:pPr>
              <w:spacing w:after="0" w:line="240" w:lineRule="auto"/>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-0.010</w:t>
            </w:r>
          </w:p>
        </w:tc>
        <w:tc>
          <w:tcPr>
            <w:tcW w:w="850" w:type="dxa"/>
            <w:shd w:val="clear" w:color="auto" w:fill="FFFFFF"/>
          </w:tcPr>
          <w:p w14:paraId="696B80B4" w14:textId="77777777" w:rsidR="00837DA7" w:rsidRPr="005F3693" w:rsidRDefault="00837DA7" w:rsidP="00353A9A">
            <w:pPr>
              <w:spacing w:after="0" w:line="240" w:lineRule="auto"/>
              <w:ind w:right="-104"/>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-0.059</w:t>
            </w:r>
          </w:p>
        </w:tc>
        <w:tc>
          <w:tcPr>
            <w:tcW w:w="851" w:type="dxa"/>
            <w:shd w:val="clear" w:color="auto" w:fill="FFFFFF"/>
          </w:tcPr>
          <w:p w14:paraId="5C35667C" w14:textId="77777777" w:rsidR="00837DA7" w:rsidRPr="005F3693" w:rsidRDefault="00837DA7" w:rsidP="00353A9A">
            <w:pPr>
              <w:spacing w:after="0" w:line="240" w:lineRule="auto"/>
              <w:ind w:right="-104"/>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-0.088</w:t>
            </w:r>
            <w:r w:rsidRPr="005F3693">
              <w:rPr>
                <w:rFonts w:ascii="Times New Roman" w:eastAsia="Times New Roman" w:hAnsi="Times New Roman" w:cs="Times New Roman"/>
                <w:sz w:val="18"/>
                <w:szCs w:val="18"/>
                <w:vertAlign w:val="superscript"/>
                <w:lang w:val="en-US"/>
              </w:rPr>
              <w:t>**</w:t>
            </w:r>
          </w:p>
        </w:tc>
        <w:tc>
          <w:tcPr>
            <w:tcW w:w="850" w:type="dxa"/>
            <w:shd w:val="clear" w:color="auto" w:fill="FFFFFF"/>
            <w:noWrap/>
          </w:tcPr>
          <w:p w14:paraId="07A98EDF" w14:textId="77777777" w:rsidR="00837DA7" w:rsidRPr="005F3693" w:rsidRDefault="00837DA7" w:rsidP="00353A9A">
            <w:pPr>
              <w:spacing w:after="0" w:line="240" w:lineRule="auto"/>
              <w:ind w:right="-104"/>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-0.049</w:t>
            </w:r>
          </w:p>
        </w:tc>
      </w:tr>
      <w:tr w:rsidR="00837DA7" w:rsidRPr="005F3693" w14:paraId="0EE0ABAF" w14:textId="77777777" w:rsidTr="00353A9A">
        <w:trPr>
          <w:trHeight w:val="293"/>
        </w:trPr>
        <w:tc>
          <w:tcPr>
            <w:tcW w:w="993" w:type="dxa"/>
            <w:tcBorders>
              <w:top w:val="nil"/>
              <w:left w:val="nil"/>
              <w:bottom w:val="nil"/>
            </w:tcBorders>
            <w:shd w:val="clear" w:color="auto" w:fill="FFFFFF"/>
          </w:tcPr>
          <w:p w14:paraId="797B77DC" w14:textId="77777777" w:rsidR="00837DA7" w:rsidRPr="005F3693" w:rsidRDefault="00837DA7" w:rsidP="00353A9A">
            <w:pPr>
              <w:spacing w:after="0" w:line="240" w:lineRule="auto"/>
              <w:rPr>
                <w:rFonts w:ascii="Times New Roman" w:eastAsia="Times New Roman" w:hAnsi="Times New Roman" w:cs="Times New Roman"/>
                <w:iCs/>
                <w:sz w:val="18"/>
                <w:szCs w:val="18"/>
                <w:lang w:val="en-US"/>
              </w:rPr>
            </w:pPr>
            <w:r>
              <w:rPr>
                <w:rFonts w:ascii="Times New Roman" w:eastAsia="Times New Roman" w:hAnsi="Times New Roman" w:cs="Times New Roman"/>
                <w:iCs/>
                <w:sz w:val="18"/>
                <w:szCs w:val="18"/>
                <w:lang w:val="en-US"/>
              </w:rPr>
              <w:t>SMTM</w:t>
            </w:r>
          </w:p>
        </w:tc>
        <w:tc>
          <w:tcPr>
            <w:tcW w:w="992" w:type="dxa"/>
            <w:tcBorders>
              <w:top w:val="nil"/>
              <w:left w:val="nil"/>
              <w:bottom w:val="nil"/>
              <w:right w:val="nil"/>
            </w:tcBorders>
            <w:shd w:val="clear" w:color="auto" w:fill="FFFFFF"/>
            <w:noWrap/>
          </w:tcPr>
          <w:p w14:paraId="10B234B3" w14:textId="77777777" w:rsidR="00837DA7" w:rsidRPr="005F3693" w:rsidRDefault="00837DA7" w:rsidP="00353A9A">
            <w:pPr>
              <w:spacing w:after="0" w:line="240" w:lineRule="auto"/>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0.223</w:t>
            </w:r>
            <w:r w:rsidRPr="005F3693">
              <w:rPr>
                <w:rFonts w:ascii="Times New Roman" w:eastAsia="Times New Roman" w:hAnsi="Times New Roman" w:cs="Times New Roman"/>
                <w:sz w:val="18"/>
                <w:szCs w:val="18"/>
                <w:vertAlign w:val="superscript"/>
                <w:lang w:val="en-US"/>
              </w:rPr>
              <w:t>***</w:t>
            </w:r>
          </w:p>
        </w:tc>
        <w:tc>
          <w:tcPr>
            <w:tcW w:w="850" w:type="dxa"/>
            <w:shd w:val="clear" w:color="auto" w:fill="FFFFFF"/>
          </w:tcPr>
          <w:p w14:paraId="1F9C8195" w14:textId="77777777" w:rsidR="00837DA7" w:rsidRPr="005F3693" w:rsidRDefault="00837DA7" w:rsidP="00353A9A">
            <w:pPr>
              <w:spacing w:after="0" w:line="240" w:lineRule="auto"/>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-0.061</w:t>
            </w:r>
          </w:p>
        </w:tc>
        <w:tc>
          <w:tcPr>
            <w:tcW w:w="851" w:type="dxa"/>
            <w:shd w:val="clear" w:color="auto" w:fill="FFFFFF"/>
          </w:tcPr>
          <w:p w14:paraId="522400B4" w14:textId="77777777" w:rsidR="00837DA7" w:rsidRPr="005F3693" w:rsidRDefault="00837DA7" w:rsidP="00353A9A">
            <w:pPr>
              <w:spacing w:after="0" w:line="240" w:lineRule="auto"/>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-0.116</w:t>
            </w:r>
            <w:r w:rsidRPr="005F3693">
              <w:rPr>
                <w:rFonts w:ascii="Times New Roman" w:eastAsia="Times New Roman" w:hAnsi="Times New Roman" w:cs="Times New Roman"/>
                <w:sz w:val="18"/>
                <w:szCs w:val="18"/>
                <w:vertAlign w:val="superscript"/>
                <w:lang w:val="en-US"/>
              </w:rPr>
              <w:t>**</w:t>
            </w:r>
          </w:p>
        </w:tc>
        <w:tc>
          <w:tcPr>
            <w:tcW w:w="850" w:type="dxa"/>
            <w:shd w:val="clear" w:color="auto" w:fill="FFFFFF"/>
          </w:tcPr>
          <w:p w14:paraId="4A3BCF7C" w14:textId="77777777" w:rsidR="00837DA7" w:rsidRPr="005F3693" w:rsidRDefault="00837DA7" w:rsidP="00353A9A">
            <w:pPr>
              <w:spacing w:after="0" w:line="240" w:lineRule="auto"/>
              <w:ind w:right="-106"/>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-0.150</w:t>
            </w:r>
            <w:r w:rsidRPr="005F3693">
              <w:rPr>
                <w:rFonts w:ascii="Times New Roman" w:eastAsia="Times New Roman" w:hAnsi="Times New Roman" w:cs="Times New Roman"/>
                <w:sz w:val="18"/>
                <w:szCs w:val="18"/>
                <w:vertAlign w:val="superscript"/>
                <w:lang w:val="en-US"/>
              </w:rPr>
              <w:t>***</w:t>
            </w:r>
          </w:p>
        </w:tc>
        <w:tc>
          <w:tcPr>
            <w:tcW w:w="851" w:type="dxa"/>
            <w:shd w:val="clear" w:color="auto" w:fill="FFFFFF"/>
          </w:tcPr>
          <w:p w14:paraId="73939692" w14:textId="77777777" w:rsidR="00837DA7" w:rsidRPr="005F3693" w:rsidRDefault="00837DA7" w:rsidP="00353A9A">
            <w:pPr>
              <w:spacing w:after="0" w:line="240" w:lineRule="auto"/>
              <w:jc w:val="both"/>
              <w:rPr>
                <w:rFonts w:ascii="Times New Roman" w:eastAsia="Times New Roman" w:hAnsi="Times New Roman" w:cs="Times New Roman"/>
                <w:sz w:val="18"/>
                <w:szCs w:val="18"/>
                <w:lang w:val="en-US"/>
              </w:rPr>
            </w:pPr>
          </w:p>
        </w:tc>
        <w:tc>
          <w:tcPr>
            <w:tcW w:w="850" w:type="dxa"/>
            <w:shd w:val="clear" w:color="auto" w:fill="FFFFFF"/>
          </w:tcPr>
          <w:p w14:paraId="000446AB" w14:textId="77777777" w:rsidR="00837DA7" w:rsidRPr="005F3693" w:rsidRDefault="00837DA7" w:rsidP="00353A9A">
            <w:pPr>
              <w:spacing w:after="0" w:line="240" w:lineRule="auto"/>
              <w:ind w:right="-106"/>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0.044</w:t>
            </w:r>
          </w:p>
        </w:tc>
        <w:tc>
          <w:tcPr>
            <w:tcW w:w="851" w:type="dxa"/>
            <w:shd w:val="clear" w:color="auto" w:fill="FFFFFF"/>
          </w:tcPr>
          <w:p w14:paraId="3F17C9B1" w14:textId="77777777" w:rsidR="00837DA7" w:rsidRPr="005F3693" w:rsidRDefault="00837DA7" w:rsidP="00353A9A">
            <w:pPr>
              <w:spacing w:after="0" w:line="240" w:lineRule="auto"/>
              <w:ind w:right="-106"/>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-0.089</w:t>
            </w:r>
            <w:r w:rsidRPr="005F3693">
              <w:rPr>
                <w:rFonts w:ascii="Times New Roman" w:eastAsia="Times New Roman" w:hAnsi="Times New Roman" w:cs="Times New Roman"/>
                <w:sz w:val="18"/>
                <w:szCs w:val="18"/>
                <w:vertAlign w:val="superscript"/>
                <w:lang w:val="en-US"/>
              </w:rPr>
              <w:t>**</w:t>
            </w:r>
          </w:p>
        </w:tc>
        <w:tc>
          <w:tcPr>
            <w:tcW w:w="850" w:type="dxa"/>
            <w:shd w:val="clear" w:color="auto" w:fill="FFFFFF"/>
            <w:noWrap/>
          </w:tcPr>
          <w:p w14:paraId="0EA14E4B" w14:textId="77777777" w:rsidR="00837DA7" w:rsidRPr="005F3693" w:rsidRDefault="00837DA7" w:rsidP="00353A9A">
            <w:pPr>
              <w:spacing w:after="0" w:line="240" w:lineRule="auto"/>
              <w:ind w:right="-106"/>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0.130</w:t>
            </w:r>
            <w:r w:rsidRPr="005F3693">
              <w:rPr>
                <w:rFonts w:ascii="Times New Roman" w:eastAsia="Times New Roman" w:hAnsi="Times New Roman" w:cs="Times New Roman"/>
                <w:sz w:val="18"/>
                <w:szCs w:val="18"/>
                <w:vertAlign w:val="superscript"/>
                <w:lang w:val="en-US"/>
              </w:rPr>
              <w:t>***</w:t>
            </w:r>
          </w:p>
        </w:tc>
        <w:tc>
          <w:tcPr>
            <w:tcW w:w="851" w:type="dxa"/>
            <w:shd w:val="clear" w:color="auto" w:fill="FFFFFF"/>
            <w:noWrap/>
          </w:tcPr>
          <w:p w14:paraId="5D453D0E" w14:textId="77777777" w:rsidR="00837DA7" w:rsidRPr="005F3693" w:rsidRDefault="00837DA7" w:rsidP="00353A9A">
            <w:pPr>
              <w:spacing w:after="0" w:line="240" w:lineRule="auto"/>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0.042</w:t>
            </w:r>
          </w:p>
        </w:tc>
        <w:tc>
          <w:tcPr>
            <w:tcW w:w="851" w:type="dxa"/>
            <w:shd w:val="clear" w:color="auto" w:fill="FFFFFF"/>
            <w:noWrap/>
          </w:tcPr>
          <w:p w14:paraId="44442990" w14:textId="77777777" w:rsidR="00837DA7" w:rsidRPr="005F3693" w:rsidRDefault="00837DA7" w:rsidP="00353A9A">
            <w:pPr>
              <w:spacing w:after="0" w:line="240" w:lineRule="auto"/>
              <w:ind w:right="-107"/>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0.128</w:t>
            </w:r>
            <w:r w:rsidRPr="005F3693">
              <w:rPr>
                <w:rFonts w:ascii="Times New Roman" w:eastAsia="Times New Roman" w:hAnsi="Times New Roman" w:cs="Times New Roman"/>
                <w:sz w:val="18"/>
                <w:szCs w:val="18"/>
                <w:vertAlign w:val="superscript"/>
                <w:lang w:val="en-US"/>
              </w:rPr>
              <w:t>***</w:t>
            </w:r>
          </w:p>
        </w:tc>
        <w:tc>
          <w:tcPr>
            <w:tcW w:w="870" w:type="dxa"/>
            <w:shd w:val="clear" w:color="auto" w:fill="FFFFFF"/>
            <w:noWrap/>
          </w:tcPr>
          <w:p w14:paraId="05FB4D3C" w14:textId="77777777" w:rsidR="00837DA7" w:rsidRPr="005F3693" w:rsidRDefault="00837DA7" w:rsidP="00353A9A">
            <w:pPr>
              <w:spacing w:after="0" w:line="240" w:lineRule="auto"/>
              <w:ind w:right="-102"/>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0.135</w:t>
            </w:r>
            <w:r w:rsidRPr="005F3693">
              <w:rPr>
                <w:rFonts w:ascii="Times New Roman" w:eastAsia="Times New Roman" w:hAnsi="Times New Roman" w:cs="Times New Roman"/>
                <w:sz w:val="18"/>
                <w:szCs w:val="18"/>
                <w:vertAlign w:val="superscript"/>
                <w:lang w:val="en-US"/>
              </w:rPr>
              <w:t>***</w:t>
            </w:r>
          </w:p>
        </w:tc>
        <w:tc>
          <w:tcPr>
            <w:tcW w:w="831" w:type="dxa"/>
            <w:shd w:val="clear" w:color="auto" w:fill="FFFFFF"/>
          </w:tcPr>
          <w:p w14:paraId="14CEBB0F" w14:textId="77777777" w:rsidR="00837DA7" w:rsidRPr="005F3693" w:rsidRDefault="00837DA7" w:rsidP="00353A9A">
            <w:pPr>
              <w:spacing w:after="0" w:line="240" w:lineRule="auto"/>
              <w:ind w:right="-108"/>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-0.037</w:t>
            </w:r>
          </w:p>
        </w:tc>
        <w:tc>
          <w:tcPr>
            <w:tcW w:w="709" w:type="dxa"/>
            <w:shd w:val="clear" w:color="auto" w:fill="FFFFFF"/>
          </w:tcPr>
          <w:p w14:paraId="59EAF422" w14:textId="77777777" w:rsidR="00837DA7" w:rsidRPr="005F3693" w:rsidRDefault="00837DA7" w:rsidP="00353A9A">
            <w:pPr>
              <w:spacing w:after="0" w:line="240" w:lineRule="auto"/>
              <w:ind w:right="-109"/>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0.094</w:t>
            </w:r>
            <w:r w:rsidRPr="005F3693">
              <w:rPr>
                <w:rFonts w:ascii="Times New Roman" w:eastAsia="Times New Roman" w:hAnsi="Times New Roman" w:cs="Times New Roman"/>
                <w:sz w:val="18"/>
                <w:szCs w:val="18"/>
                <w:vertAlign w:val="superscript"/>
                <w:lang w:val="en-US"/>
              </w:rPr>
              <w:t>**</w:t>
            </w:r>
          </w:p>
        </w:tc>
        <w:tc>
          <w:tcPr>
            <w:tcW w:w="850" w:type="dxa"/>
            <w:shd w:val="clear" w:color="auto" w:fill="FFFFFF"/>
            <w:noWrap/>
          </w:tcPr>
          <w:p w14:paraId="25A49358" w14:textId="77777777" w:rsidR="00837DA7" w:rsidRPr="005F3693" w:rsidRDefault="00837DA7" w:rsidP="00353A9A">
            <w:pPr>
              <w:spacing w:after="0" w:line="240" w:lineRule="auto"/>
              <w:ind w:right="-109"/>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-0.063</w:t>
            </w:r>
          </w:p>
        </w:tc>
        <w:tc>
          <w:tcPr>
            <w:tcW w:w="850" w:type="dxa"/>
            <w:shd w:val="clear" w:color="auto" w:fill="FFFFFF"/>
          </w:tcPr>
          <w:p w14:paraId="35B56C63" w14:textId="77777777" w:rsidR="00837DA7" w:rsidRPr="005F3693" w:rsidRDefault="00837DA7" w:rsidP="00353A9A">
            <w:pPr>
              <w:spacing w:after="0" w:line="240" w:lineRule="auto"/>
              <w:ind w:right="-104"/>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0.009</w:t>
            </w:r>
          </w:p>
        </w:tc>
        <w:tc>
          <w:tcPr>
            <w:tcW w:w="851" w:type="dxa"/>
            <w:shd w:val="clear" w:color="auto" w:fill="FFFFFF"/>
          </w:tcPr>
          <w:p w14:paraId="0C0BEE81" w14:textId="77777777" w:rsidR="00837DA7" w:rsidRPr="005F3693" w:rsidRDefault="00837DA7" w:rsidP="00353A9A">
            <w:pPr>
              <w:spacing w:after="0" w:line="240" w:lineRule="auto"/>
              <w:ind w:right="-104"/>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-0.007</w:t>
            </w:r>
          </w:p>
        </w:tc>
        <w:tc>
          <w:tcPr>
            <w:tcW w:w="850" w:type="dxa"/>
            <w:shd w:val="clear" w:color="auto" w:fill="FFFFFF"/>
            <w:noWrap/>
          </w:tcPr>
          <w:p w14:paraId="40C98ADA" w14:textId="77777777" w:rsidR="00837DA7" w:rsidRPr="005F3693" w:rsidRDefault="00837DA7" w:rsidP="00353A9A">
            <w:pPr>
              <w:spacing w:after="0" w:line="240" w:lineRule="auto"/>
              <w:ind w:right="-104"/>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0.133</w:t>
            </w:r>
            <w:r w:rsidRPr="005F3693">
              <w:rPr>
                <w:rFonts w:ascii="Times New Roman" w:eastAsia="Times New Roman" w:hAnsi="Times New Roman" w:cs="Times New Roman"/>
                <w:sz w:val="18"/>
                <w:szCs w:val="18"/>
                <w:vertAlign w:val="superscript"/>
                <w:lang w:val="en-US"/>
              </w:rPr>
              <w:t>***</w:t>
            </w:r>
          </w:p>
        </w:tc>
      </w:tr>
      <w:tr w:rsidR="00837DA7" w:rsidRPr="005F3693" w14:paraId="1050EB02" w14:textId="77777777" w:rsidTr="00353A9A">
        <w:trPr>
          <w:trHeight w:val="293"/>
        </w:trPr>
        <w:tc>
          <w:tcPr>
            <w:tcW w:w="993" w:type="dxa"/>
            <w:tcBorders>
              <w:top w:val="nil"/>
              <w:left w:val="nil"/>
              <w:bottom w:val="nil"/>
            </w:tcBorders>
            <w:shd w:val="clear" w:color="auto" w:fill="FFFFFF"/>
          </w:tcPr>
          <w:p w14:paraId="5C270DEC" w14:textId="77777777" w:rsidR="00837DA7" w:rsidRPr="005F3693" w:rsidRDefault="00837DA7" w:rsidP="00353A9A">
            <w:pPr>
              <w:spacing w:after="0" w:line="240" w:lineRule="auto"/>
              <w:rPr>
                <w:rFonts w:ascii="Times New Roman" w:eastAsia="Times New Roman" w:hAnsi="Times New Roman" w:cs="Times New Roman"/>
                <w:iCs/>
                <w:sz w:val="18"/>
                <w:szCs w:val="18"/>
                <w:lang w:val="en-US"/>
              </w:rPr>
            </w:pPr>
            <w:r w:rsidRPr="005F3693">
              <w:rPr>
                <w:rFonts w:ascii="Times New Roman" w:eastAsia="Times New Roman" w:hAnsi="Times New Roman" w:cs="Times New Roman"/>
                <w:iCs/>
                <w:sz w:val="18"/>
                <w:szCs w:val="18"/>
                <w:lang w:val="en-US"/>
              </w:rPr>
              <w:t>VCAG</w:t>
            </w:r>
            <w:r>
              <w:rPr>
                <w:rFonts w:ascii="Times New Roman" w:eastAsia="Times New Roman" w:hAnsi="Times New Roman" w:cs="Times New Roman"/>
                <w:iCs/>
                <w:sz w:val="18"/>
                <w:szCs w:val="18"/>
                <w:lang w:val="en-US"/>
              </w:rPr>
              <w:t>E</w:t>
            </w:r>
          </w:p>
        </w:tc>
        <w:tc>
          <w:tcPr>
            <w:tcW w:w="992" w:type="dxa"/>
            <w:tcBorders>
              <w:top w:val="nil"/>
              <w:left w:val="nil"/>
              <w:bottom w:val="nil"/>
              <w:right w:val="nil"/>
            </w:tcBorders>
            <w:shd w:val="clear" w:color="auto" w:fill="FFFFFF"/>
            <w:noWrap/>
          </w:tcPr>
          <w:p w14:paraId="614DFD29" w14:textId="77777777" w:rsidR="00837DA7" w:rsidRPr="005F3693" w:rsidRDefault="00837DA7" w:rsidP="00353A9A">
            <w:pPr>
              <w:spacing w:after="0" w:line="240" w:lineRule="auto"/>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-0.017</w:t>
            </w:r>
          </w:p>
        </w:tc>
        <w:tc>
          <w:tcPr>
            <w:tcW w:w="850" w:type="dxa"/>
            <w:shd w:val="clear" w:color="auto" w:fill="FFFFFF"/>
          </w:tcPr>
          <w:p w14:paraId="07F5F35A" w14:textId="77777777" w:rsidR="00837DA7" w:rsidRPr="005F3693" w:rsidRDefault="00837DA7" w:rsidP="00353A9A">
            <w:pPr>
              <w:spacing w:after="0" w:line="240" w:lineRule="auto"/>
              <w:ind w:right="-107"/>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-0.027</w:t>
            </w:r>
          </w:p>
        </w:tc>
        <w:tc>
          <w:tcPr>
            <w:tcW w:w="851" w:type="dxa"/>
            <w:shd w:val="clear" w:color="auto" w:fill="FFFFFF"/>
          </w:tcPr>
          <w:p w14:paraId="018574ED" w14:textId="77777777" w:rsidR="00837DA7" w:rsidRPr="005F3693" w:rsidRDefault="00837DA7" w:rsidP="00353A9A">
            <w:pPr>
              <w:spacing w:after="0" w:line="240" w:lineRule="auto"/>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-0.047</w:t>
            </w:r>
          </w:p>
        </w:tc>
        <w:tc>
          <w:tcPr>
            <w:tcW w:w="850" w:type="dxa"/>
            <w:shd w:val="clear" w:color="auto" w:fill="FFFFFF"/>
          </w:tcPr>
          <w:p w14:paraId="77E36888" w14:textId="77777777" w:rsidR="00837DA7" w:rsidRPr="005F3693" w:rsidRDefault="00837DA7" w:rsidP="00353A9A">
            <w:pPr>
              <w:spacing w:after="0" w:line="240" w:lineRule="auto"/>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0.068</w:t>
            </w:r>
            <w:r w:rsidRPr="005F3693">
              <w:rPr>
                <w:rFonts w:ascii="Times New Roman" w:eastAsia="Times New Roman" w:hAnsi="Times New Roman" w:cs="Times New Roman"/>
                <w:sz w:val="18"/>
                <w:szCs w:val="18"/>
                <w:vertAlign w:val="superscript"/>
                <w:lang w:val="en-US"/>
              </w:rPr>
              <w:t>*</w:t>
            </w:r>
          </w:p>
        </w:tc>
        <w:tc>
          <w:tcPr>
            <w:tcW w:w="851" w:type="dxa"/>
            <w:shd w:val="clear" w:color="auto" w:fill="FFFFFF"/>
          </w:tcPr>
          <w:p w14:paraId="6A2E31B3" w14:textId="77777777" w:rsidR="00837DA7" w:rsidRPr="005F3693" w:rsidRDefault="00837DA7" w:rsidP="00353A9A">
            <w:pPr>
              <w:spacing w:after="0" w:line="240" w:lineRule="auto"/>
              <w:ind w:right="-132"/>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0.024</w:t>
            </w:r>
          </w:p>
        </w:tc>
        <w:tc>
          <w:tcPr>
            <w:tcW w:w="850" w:type="dxa"/>
            <w:shd w:val="clear" w:color="auto" w:fill="FFFFFF"/>
          </w:tcPr>
          <w:p w14:paraId="093594FE" w14:textId="77777777" w:rsidR="00837DA7" w:rsidRPr="005F3693" w:rsidRDefault="00837DA7" w:rsidP="00353A9A">
            <w:pPr>
              <w:spacing w:after="0" w:line="240" w:lineRule="auto"/>
              <w:jc w:val="both"/>
              <w:rPr>
                <w:rFonts w:ascii="Times New Roman" w:eastAsia="Times New Roman" w:hAnsi="Times New Roman" w:cs="Times New Roman"/>
                <w:sz w:val="18"/>
                <w:szCs w:val="18"/>
                <w:lang w:val="en-US"/>
              </w:rPr>
            </w:pPr>
          </w:p>
        </w:tc>
        <w:tc>
          <w:tcPr>
            <w:tcW w:w="851" w:type="dxa"/>
            <w:shd w:val="clear" w:color="auto" w:fill="FFFFFF"/>
          </w:tcPr>
          <w:p w14:paraId="67A19C81" w14:textId="77777777" w:rsidR="00837DA7" w:rsidRPr="005F3693" w:rsidRDefault="00837DA7" w:rsidP="00353A9A">
            <w:pPr>
              <w:spacing w:after="0" w:line="240" w:lineRule="auto"/>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0.057</w:t>
            </w:r>
          </w:p>
        </w:tc>
        <w:tc>
          <w:tcPr>
            <w:tcW w:w="850" w:type="dxa"/>
            <w:shd w:val="clear" w:color="auto" w:fill="FFFFFF"/>
            <w:noWrap/>
          </w:tcPr>
          <w:p w14:paraId="3DFDDE99" w14:textId="77777777" w:rsidR="00837DA7" w:rsidRPr="005F3693" w:rsidRDefault="00837DA7" w:rsidP="00353A9A">
            <w:pPr>
              <w:spacing w:after="0" w:line="240" w:lineRule="auto"/>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0.030</w:t>
            </w:r>
          </w:p>
        </w:tc>
        <w:tc>
          <w:tcPr>
            <w:tcW w:w="851" w:type="dxa"/>
            <w:shd w:val="clear" w:color="auto" w:fill="FFFFFF"/>
            <w:noWrap/>
          </w:tcPr>
          <w:p w14:paraId="4F517656" w14:textId="77777777" w:rsidR="00837DA7" w:rsidRPr="005F3693" w:rsidRDefault="00837DA7" w:rsidP="00353A9A">
            <w:pPr>
              <w:spacing w:after="0" w:line="240" w:lineRule="auto"/>
              <w:ind w:right="-112"/>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0.383</w:t>
            </w:r>
            <w:r w:rsidRPr="005F3693">
              <w:rPr>
                <w:rFonts w:ascii="Times New Roman" w:eastAsia="Times New Roman" w:hAnsi="Times New Roman" w:cs="Times New Roman"/>
                <w:sz w:val="18"/>
                <w:szCs w:val="18"/>
                <w:vertAlign w:val="superscript"/>
                <w:lang w:val="en-US"/>
              </w:rPr>
              <w:t>***</w:t>
            </w:r>
          </w:p>
        </w:tc>
        <w:tc>
          <w:tcPr>
            <w:tcW w:w="851" w:type="dxa"/>
            <w:shd w:val="clear" w:color="auto" w:fill="FFFFFF"/>
            <w:noWrap/>
          </w:tcPr>
          <w:p w14:paraId="0335AA85" w14:textId="77777777" w:rsidR="00837DA7" w:rsidRPr="005F3693" w:rsidRDefault="00837DA7" w:rsidP="00353A9A">
            <w:pPr>
              <w:spacing w:after="0" w:line="240" w:lineRule="auto"/>
              <w:ind w:right="-107"/>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0.157</w:t>
            </w:r>
            <w:r w:rsidRPr="005F3693">
              <w:rPr>
                <w:rFonts w:ascii="Times New Roman" w:eastAsia="Times New Roman" w:hAnsi="Times New Roman" w:cs="Times New Roman"/>
                <w:sz w:val="18"/>
                <w:szCs w:val="18"/>
                <w:vertAlign w:val="superscript"/>
                <w:lang w:val="en-US"/>
              </w:rPr>
              <w:t>***</w:t>
            </w:r>
          </w:p>
        </w:tc>
        <w:tc>
          <w:tcPr>
            <w:tcW w:w="870" w:type="dxa"/>
            <w:shd w:val="clear" w:color="auto" w:fill="FFFFFF"/>
            <w:noWrap/>
          </w:tcPr>
          <w:p w14:paraId="3CDB6BA9" w14:textId="77777777" w:rsidR="00837DA7" w:rsidRPr="005F3693" w:rsidRDefault="00837DA7" w:rsidP="00353A9A">
            <w:pPr>
              <w:spacing w:after="0" w:line="240" w:lineRule="auto"/>
              <w:ind w:right="-102"/>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0.143</w:t>
            </w:r>
            <w:r w:rsidRPr="005F3693">
              <w:rPr>
                <w:rFonts w:ascii="Times New Roman" w:eastAsia="Times New Roman" w:hAnsi="Times New Roman" w:cs="Times New Roman"/>
                <w:sz w:val="18"/>
                <w:szCs w:val="18"/>
                <w:vertAlign w:val="superscript"/>
                <w:lang w:val="en-US"/>
              </w:rPr>
              <w:t>***</w:t>
            </w:r>
          </w:p>
        </w:tc>
        <w:tc>
          <w:tcPr>
            <w:tcW w:w="831" w:type="dxa"/>
            <w:shd w:val="clear" w:color="auto" w:fill="FFFFFF"/>
          </w:tcPr>
          <w:p w14:paraId="48BE06D7" w14:textId="77777777" w:rsidR="00837DA7" w:rsidRPr="005F3693" w:rsidRDefault="00837DA7" w:rsidP="00353A9A">
            <w:pPr>
              <w:spacing w:after="0" w:line="240" w:lineRule="auto"/>
              <w:ind w:right="-108"/>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0.144</w:t>
            </w:r>
            <w:r w:rsidRPr="005F3693">
              <w:rPr>
                <w:rFonts w:ascii="Times New Roman" w:eastAsia="Times New Roman" w:hAnsi="Times New Roman" w:cs="Times New Roman"/>
                <w:sz w:val="18"/>
                <w:szCs w:val="18"/>
                <w:vertAlign w:val="superscript"/>
                <w:lang w:val="en-US"/>
              </w:rPr>
              <w:t>***</w:t>
            </w:r>
          </w:p>
        </w:tc>
        <w:tc>
          <w:tcPr>
            <w:tcW w:w="709" w:type="dxa"/>
            <w:shd w:val="clear" w:color="auto" w:fill="FFFFFF"/>
          </w:tcPr>
          <w:p w14:paraId="3D194BC9" w14:textId="77777777" w:rsidR="00837DA7" w:rsidRPr="005F3693" w:rsidRDefault="00837DA7" w:rsidP="00353A9A">
            <w:pPr>
              <w:spacing w:after="0" w:line="240" w:lineRule="auto"/>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0.032</w:t>
            </w:r>
          </w:p>
        </w:tc>
        <w:tc>
          <w:tcPr>
            <w:tcW w:w="850" w:type="dxa"/>
            <w:shd w:val="clear" w:color="auto" w:fill="FFFFFF"/>
            <w:noWrap/>
          </w:tcPr>
          <w:p w14:paraId="0E7D2428" w14:textId="77777777" w:rsidR="00837DA7" w:rsidRPr="005F3693" w:rsidRDefault="00837DA7" w:rsidP="00353A9A">
            <w:pPr>
              <w:spacing w:after="0" w:line="240" w:lineRule="auto"/>
              <w:ind w:right="-30"/>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-0.280</w:t>
            </w:r>
            <w:r w:rsidRPr="005F3693">
              <w:rPr>
                <w:rFonts w:ascii="Times New Roman" w:eastAsia="Times New Roman" w:hAnsi="Times New Roman" w:cs="Times New Roman"/>
                <w:sz w:val="18"/>
                <w:szCs w:val="18"/>
                <w:vertAlign w:val="superscript"/>
                <w:lang w:val="en-US"/>
              </w:rPr>
              <w:t>***</w:t>
            </w:r>
          </w:p>
        </w:tc>
        <w:tc>
          <w:tcPr>
            <w:tcW w:w="850" w:type="dxa"/>
            <w:shd w:val="clear" w:color="auto" w:fill="FFFFFF"/>
          </w:tcPr>
          <w:p w14:paraId="71E0C69B" w14:textId="77777777" w:rsidR="00837DA7" w:rsidRPr="005F3693" w:rsidRDefault="00837DA7" w:rsidP="00353A9A">
            <w:pPr>
              <w:spacing w:after="0" w:line="240" w:lineRule="auto"/>
              <w:ind w:right="-104"/>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-0.040</w:t>
            </w:r>
          </w:p>
        </w:tc>
        <w:tc>
          <w:tcPr>
            <w:tcW w:w="851" w:type="dxa"/>
            <w:shd w:val="clear" w:color="auto" w:fill="FFFFFF"/>
          </w:tcPr>
          <w:p w14:paraId="57300B5D" w14:textId="77777777" w:rsidR="00837DA7" w:rsidRPr="005F3693" w:rsidRDefault="00837DA7" w:rsidP="00353A9A">
            <w:pPr>
              <w:spacing w:after="0" w:line="240" w:lineRule="auto"/>
              <w:ind w:right="-104"/>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0.017</w:t>
            </w:r>
          </w:p>
        </w:tc>
        <w:tc>
          <w:tcPr>
            <w:tcW w:w="850" w:type="dxa"/>
            <w:shd w:val="clear" w:color="auto" w:fill="FFFFFF"/>
            <w:noWrap/>
          </w:tcPr>
          <w:p w14:paraId="6930CDB8" w14:textId="77777777" w:rsidR="00837DA7" w:rsidRPr="005F3693" w:rsidRDefault="00837DA7" w:rsidP="00353A9A">
            <w:pPr>
              <w:spacing w:after="0" w:line="240" w:lineRule="auto"/>
              <w:ind w:right="-104"/>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-0.013</w:t>
            </w:r>
          </w:p>
        </w:tc>
      </w:tr>
      <w:tr w:rsidR="00837DA7" w:rsidRPr="005F3693" w14:paraId="4F32F732" w14:textId="77777777" w:rsidTr="00353A9A">
        <w:trPr>
          <w:trHeight w:val="293"/>
        </w:trPr>
        <w:tc>
          <w:tcPr>
            <w:tcW w:w="993" w:type="dxa"/>
            <w:tcBorders>
              <w:top w:val="nil"/>
              <w:left w:val="nil"/>
              <w:bottom w:val="nil"/>
            </w:tcBorders>
            <w:shd w:val="clear" w:color="auto" w:fill="FFFFFF"/>
          </w:tcPr>
          <w:p w14:paraId="0B545311" w14:textId="77777777" w:rsidR="00837DA7" w:rsidRPr="005F3693" w:rsidRDefault="00837DA7" w:rsidP="00353A9A">
            <w:pPr>
              <w:spacing w:after="0" w:line="240" w:lineRule="auto"/>
              <w:rPr>
                <w:rFonts w:ascii="Times New Roman" w:eastAsia="Times New Roman" w:hAnsi="Times New Roman" w:cs="Times New Roman"/>
                <w:iCs/>
                <w:sz w:val="18"/>
                <w:szCs w:val="18"/>
                <w:lang w:val="en-US"/>
              </w:rPr>
            </w:pPr>
            <w:r w:rsidRPr="005F3693">
              <w:rPr>
                <w:rFonts w:ascii="Times New Roman" w:eastAsia="Times New Roman" w:hAnsi="Times New Roman" w:cs="Times New Roman"/>
                <w:iCs/>
                <w:sz w:val="18"/>
                <w:szCs w:val="18"/>
                <w:lang w:val="en-US"/>
              </w:rPr>
              <w:t>VCG</w:t>
            </w:r>
            <w:r>
              <w:rPr>
                <w:rFonts w:ascii="Times New Roman" w:eastAsia="Times New Roman" w:hAnsi="Times New Roman" w:cs="Times New Roman"/>
                <w:iCs/>
                <w:sz w:val="18"/>
                <w:szCs w:val="18"/>
                <w:lang w:val="en-US"/>
              </w:rPr>
              <w:t>EN</w:t>
            </w:r>
          </w:p>
        </w:tc>
        <w:tc>
          <w:tcPr>
            <w:tcW w:w="992" w:type="dxa"/>
            <w:tcBorders>
              <w:top w:val="nil"/>
              <w:left w:val="nil"/>
              <w:bottom w:val="nil"/>
              <w:right w:val="nil"/>
            </w:tcBorders>
            <w:shd w:val="clear" w:color="auto" w:fill="FFFFFF"/>
            <w:noWrap/>
          </w:tcPr>
          <w:p w14:paraId="3D037484" w14:textId="77777777" w:rsidR="00837DA7" w:rsidRPr="005F3693" w:rsidRDefault="00837DA7" w:rsidP="00353A9A">
            <w:pPr>
              <w:spacing w:after="0" w:line="240" w:lineRule="auto"/>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-0.005</w:t>
            </w:r>
          </w:p>
        </w:tc>
        <w:tc>
          <w:tcPr>
            <w:tcW w:w="850" w:type="dxa"/>
            <w:shd w:val="clear" w:color="auto" w:fill="FFFFFF"/>
          </w:tcPr>
          <w:p w14:paraId="4899AE6A" w14:textId="77777777" w:rsidR="00837DA7" w:rsidRPr="005F3693" w:rsidRDefault="00837DA7" w:rsidP="00353A9A">
            <w:pPr>
              <w:spacing w:after="0" w:line="240" w:lineRule="auto"/>
              <w:ind w:right="-107"/>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0.038</w:t>
            </w:r>
          </w:p>
        </w:tc>
        <w:tc>
          <w:tcPr>
            <w:tcW w:w="851" w:type="dxa"/>
            <w:shd w:val="clear" w:color="auto" w:fill="FFFFFF"/>
          </w:tcPr>
          <w:p w14:paraId="4AC4F6C4" w14:textId="77777777" w:rsidR="00837DA7" w:rsidRPr="005F3693" w:rsidRDefault="00837DA7" w:rsidP="00353A9A">
            <w:pPr>
              <w:spacing w:after="0" w:line="240" w:lineRule="auto"/>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0.063</w:t>
            </w:r>
            <w:r w:rsidRPr="005F3693">
              <w:rPr>
                <w:rFonts w:ascii="Times New Roman" w:eastAsia="Times New Roman" w:hAnsi="Times New Roman" w:cs="Times New Roman"/>
                <w:sz w:val="18"/>
                <w:szCs w:val="18"/>
                <w:vertAlign w:val="superscript"/>
                <w:lang w:val="en-US"/>
              </w:rPr>
              <w:t>*</w:t>
            </w:r>
          </w:p>
        </w:tc>
        <w:tc>
          <w:tcPr>
            <w:tcW w:w="850" w:type="dxa"/>
            <w:shd w:val="clear" w:color="auto" w:fill="FFFFFF"/>
          </w:tcPr>
          <w:p w14:paraId="013BAA61" w14:textId="77777777" w:rsidR="00837DA7" w:rsidRPr="005F3693" w:rsidRDefault="00837DA7" w:rsidP="00353A9A">
            <w:pPr>
              <w:spacing w:after="0" w:line="240" w:lineRule="auto"/>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0.011</w:t>
            </w:r>
          </w:p>
        </w:tc>
        <w:tc>
          <w:tcPr>
            <w:tcW w:w="851" w:type="dxa"/>
            <w:shd w:val="clear" w:color="auto" w:fill="FFFFFF"/>
          </w:tcPr>
          <w:p w14:paraId="6903F14D" w14:textId="77777777" w:rsidR="00837DA7" w:rsidRPr="005F3693" w:rsidRDefault="00837DA7" w:rsidP="00353A9A">
            <w:pPr>
              <w:spacing w:after="0" w:line="240" w:lineRule="auto"/>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-0.060</w:t>
            </w:r>
          </w:p>
        </w:tc>
        <w:tc>
          <w:tcPr>
            <w:tcW w:w="850" w:type="dxa"/>
            <w:shd w:val="clear" w:color="auto" w:fill="FFFFFF"/>
          </w:tcPr>
          <w:p w14:paraId="574CFB4D" w14:textId="77777777" w:rsidR="00837DA7" w:rsidRPr="005F3693" w:rsidRDefault="00837DA7" w:rsidP="00353A9A">
            <w:pPr>
              <w:spacing w:after="0" w:line="240" w:lineRule="auto"/>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0.057</w:t>
            </w:r>
          </w:p>
        </w:tc>
        <w:tc>
          <w:tcPr>
            <w:tcW w:w="851" w:type="dxa"/>
            <w:shd w:val="clear" w:color="auto" w:fill="FFFFFF"/>
          </w:tcPr>
          <w:p w14:paraId="3F51A698" w14:textId="77777777" w:rsidR="00837DA7" w:rsidRPr="005F3693" w:rsidRDefault="00837DA7" w:rsidP="00353A9A">
            <w:pPr>
              <w:spacing w:after="0" w:line="240" w:lineRule="auto"/>
              <w:jc w:val="both"/>
              <w:rPr>
                <w:rFonts w:ascii="Times New Roman" w:eastAsia="Times New Roman" w:hAnsi="Times New Roman" w:cs="Times New Roman"/>
                <w:sz w:val="18"/>
                <w:szCs w:val="18"/>
                <w:lang w:val="en-US"/>
              </w:rPr>
            </w:pPr>
          </w:p>
        </w:tc>
        <w:tc>
          <w:tcPr>
            <w:tcW w:w="850" w:type="dxa"/>
            <w:shd w:val="clear" w:color="auto" w:fill="FFFFFF"/>
            <w:noWrap/>
          </w:tcPr>
          <w:p w14:paraId="3A70E518" w14:textId="77777777" w:rsidR="00837DA7" w:rsidRPr="005F3693" w:rsidRDefault="00837DA7" w:rsidP="00353A9A">
            <w:pPr>
              <w:spacing w:after="0" w:line="240" w:lineRule="auto"/>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0.058</w:t>
            </w:r>
          </w:p>
        </w:tc>
        <w:tc>
          <w:tcPr>
            <w:tcW w:w="851" w:type="dxa"/>
            <w:shd w:val="clear" w:color="auto" w:fill="FFFFFF"/>
            <w:noWrap/>
          </w:tcPr>
          <w:p w14:paraId="18119553" w14:textId="77777777" w:rsidR="00837DA7" w:rsidRPr="005F3693" w:rsidRDefault="00837DA7" w:rsidP="00353A9A">
            <w:pPr>
              <w:spacing w:after="0" w:line="240" w:lineRule="auto"/>
              <w:ind w:right="-112"/>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-0.065</w:t>
            </w:r>
          </w:p>
        </w:tc>
        <w:tc>
          <w:tcPr>
            <w:tcW w:w="851" w:type="dxa"/>
            <w:shd w:val="clear" w:color="auto" w:fill="FFFFFF"/>
            <w:noWrap/>
          </w:tcPr>
          <w:p w14:paraId="759A4F31" w14:textId="77777777" w:rsidR="00837DA7" w:rsidRPr="005F3693" w:rsidRDefault="00837DA7" w:rsidP="00353A9A">
            <w:pPr>
              <w:spacing w:after="0" w:line="240" w:lineRule="auto"/>
              <w:ind w:right="-107"/>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0.081</w:t>
            </w:r>
            <w:r w:rsidRPr="005F3693">
              <w:rPr>
                <w:rFonts w:ascii="Times New Roman" w:eastAsia="Times New Roman" w:hAnsi="Times New Roman" w:cs="Times New Roman"/>
                <w:sz w:val="18"/>
                <w:szCs w:val="18"/>
                <w:vertAlign w:val="superscript"/>
                <w:lang w:val="en-US"/>
              </w:rPr>
              <w:t>**</w:t>
            </w:r>
          </w:p>
        </w:tc>
        <w:tc>
          <w:tcPr>
            <w:tcW w:w="870" w:type="dxa"/>
            <w:shd w:val="clear" w:color="auto" w:fill="FFFFFF"/>
            <w:noWrap/>
          </w:tcPr>
          <w:p w14:paraId="3BDCF3ED" w14:textId="77777777" w:rsidR="00837DA7" w:rsidRPr="005F3693" w:rsidRDefault="00837DA7" w:rsidP="00353A9A">
            <w:pPr>
              <w:spacing w:after="0" w:line="240" w:lineRule="auto"/>
              <w:ind w:right="-102"/>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0.127</w:t>
            </w:r>
            <w:r w:rsidRPr="005F3693">
              <w:rPr>
                <w:rFonts w:ascii="Times New Roman" w:eastAsia="Times New Roman" w:hAnsi="Times New Roman" w:cs="Times New Roman"/>
                <w:sz w:val="18"/>
                <w:szCs w:val="18"/>
                <w:vertAlign w:val="superscript"/>
                <w:lang w:val="en-US"/>
              </w:rPr>
              <w:t>***</w:t>
            </w:r>
          </w:p>
        </w:tc>
        <w:tc>
          <w:tcPr>
            <w:tcW w:w="831" w:type="dxa"/>
            <w:shd w:val="clear" w:color="auto" w:fill="FFFFFF"/>
          </w:tcPr>
          <w:p w14:paraId="26869EF2" w14:textId="77777777" w:rsidR="00837DA7" w:rsidRPr="005F3693" w:rsidRDefault="00837DA7" w:rsidP="00353A9A">
            <w:pPr>
              <w:spacing w:after="0" w:line="240" w:lineRule="auto"/>
              <w:ind w:right="-108"/>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0.060</w:t>
            </w:r>
          </w:p>
        </w:tc>
        <w:tc>
          <w:tcPr>
            <w:tcW w:w="709" w:type="dxa"/>
            <w:shd w:val="clear" w:color="auto" w:fill="FFFFFF"/>
          </w:tcPr>
          <w:p w14:paraId="158C6735" w14:textId="77777777" w:rsidR="00837DA7" w:rsidRPr="005F3693" w:rsidRDefault="00837DA7" w:rsidP="00353A9A">
            <w:pPr>
              <w:spacing w:after="0" w:line="240" w:lineRule="auto"/>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-0.041</w:t>
            </w:r>
          </w:p>
        </w:tc>
        <w:tc>
          <w:tcPr>
            <w:tcW w:w="850" w:type="dxa"/>
            <w:shd w:val="clear" w:color="auto" w:fill="FFFFFF"/>
            <w:noWrap/>
          </w:tcPr>
          <w:p w14:paraId="4660260F" w14:textId="77777777" w:rsidR="00837DA7" w:rsidRPr="005F3693" w:rsidRDefault="00837DA7" w:rsidP="00353A9A">
            <w:pPr>
              <w:spacing w:after="0" w:line="240" w:lineRule="auto"/>
              <w:ind w:right="-110"/>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-0.108</w:t>
            </w:r>
            <w:r w:rsidRPr="005F3693">
              <w:rPr>
                <w:rFonts w:ascii="Times New Roman" w:eastAsia="Times New Roman" w:hAnsi="Times New Roman" w:cs="Times New Roman"/>
                <w:sz w:val="18"/>
                <w:szCs w:val="18"/>
                <w:vertAlign w:val="superscript"/>
                <w:lang w:val="en-US"/>
              </w:rPr>
              <w:t>***</w:t>
            </w:r>
          </w:p>
        </w:tc>
        <w:tc>
          <w:tcPr>
            <w:tcW w:w="850" w:type="dxa"/>
            <w:shd w:val="clear" w:color="auto" w:fill="FFFFFF"/>
          </w:tcPr>
          <w:p w14:paraId="71A0E410" w14:textId="77777777" w:rsidR="00837DA7" w:rsidRPr="005F3693" w:rsidRDefault="00837DA7" w:rsidP="00353A9A">
            <w:pPr>
              <w:spacing w:after="0" w:line="240" w:lineRule="auto"/>
              <w:ind w:right="-104"/>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0.061</w:t>
            </w:r>
          </w:p>
        </w:tc>
        <w:tc>
          <w:tcPr>
            <w:tcW w:w="851" w:type="dxa"/>
            <w:shd w:val="clear" w:color="auto" w:fill="FFFFFF"/>
          </w:tcPr>
          <w:p w14:paraId="445A391E" w14:textId="77777777" w:rsidR="00837DA7" w:rsidRPr="005F3693" w:rsidRDefault="00837DA7" w:rsidP="00353A9A">
            <w:pPr>
              <w:spacing w:after="0" w:line="240" w:lineRule="auto"/>
              <w:ind w:right="-104"/>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-0.060</w:t>
            </w:r>
          </w:p>
        </w:tc>
        <w:tc>
          <w:tcPr>
            <w:tcW w:w="850" w:type="dxa"/>
            <w:shd w:val="clear" w:color="auto" w:fill="FFFFFF"/>
            <w:noWrap/>
          </w:tcPr>
          <w:p w14:paraId="544DFEC0" w14:textId="77777777" w:rsidR="00837DA7" w:rsidRPr="005F3693" w:rsidRDefault="00837DA7" w:rsidP="00353A9A">
            <w:pPr>
              <w:spacing w:after="0" w:line="240" w:lineRule="auto"/>
              <w:ind w:right="-104"/>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-0.095</w:t>
            </w:r>
            <w:r w:rsidRPr="005F3693">
              <w:rPr>
                <w:rFonts w:ascii="Times New Roman" w:eastAsia="Times New Roman" w:hAnsi="Times New Roman" w:cs="Times New Roman"/>
                <w:sz w:val="18"/>
                <w:szCs w:val="18"/>
                <w:vertAlign w:val="superscript"/>
                <w:lang w:val="en-US"/>
              </w:rPr>
              <w:t>**</w:t>
            </w:r>
          </w:p>
        </w:tc>
      </w:tr>
      <w:tr w:rsidR="00837DA7" w:rsidRPr="005F3693" w14:paraId="7DD820B7" w14:textId="77777777" w:rsidTr="00353A9A">
        <w:trPr>
          <w:trHeight w:val="307"/>
        </w:trPr>
        <w:tc>
          <w:tcPr>
            <w:tcW w:w="993" w:type="dxa"/>
            <w:tcBorders>
              <w:top w:val="nil"/>
              <w:left w:val="nil"/>
              <w:bottom w:val="nil"/>
            </w:tcBorders>
            <w:shd w:val="clear" w:color="auto" w:fill="FFFFFF"/>
          </w:tcPr>
          <w:p w14:paraId="71422522" w14:textId="77777777" w:rsidR="00837DA7" w:rsidRPr="005F3693" w:rsidRDefault="00837DA7" w:rsidP="00353A9A">
            <w:pPr>
              <w:spacing w:after="0" w:line="240" w:lineRule="auto"/>
              <w:rPr>
                <w:rFonts w:ascii="Times New Roman" w:eastAsia="Times New Roman" w:hAnsi="Times New Roman" w:cs="Times New Roman"/>
                <w:iCs/>
                <w:sz w:val="18"/>
                <w:szCs w:val="18"/>
                <w:lang w:val="en-US"/>
              </w:rPr>
            </w:pPr>
            <w:r w:rsidRPr="005F3693">
              <w:rPr>
                <w:rFonts w:ascii="Times New Roman" w:eastAsia="Times New Roman" w:hAnsi="Times New Roman" w:cs="Times New Roman"/>
                <w:iCs/>
                <w:sz w:val="18"/>
                <w:szCs w:val="18"/>
                <w:lang w:val="en-US"/>
              </w:rPr>
              <w:t>VCA</w:t>
            </w:r>
            <w:r>
              <w:rPr>
                <w:rFonts w:ascii="Times New Roman" w:eastAsia="Times New Roman" w:hAnsi="Times New Roman" w:cs="Times New Roman"/>
                <w:iCs/>
                <w:sz w:val="18"/>
                <w:szCs w:val="18"/>
                <w:lang w:val="en-US"/>
              </w:rPr>
              <w:t>C</w:t>
            </w:r>
            <w:r w:rsidRPr="005F3693">
              <w:rPr>
                <w:rFonts w:ascii="Times New Roman" w:eastAsia="Times New Roman" w:hAnsi="Times New Roman" w:cs="Times New Roman"/>
                <w:iCs/>
                <w:sz w:val="18"/>
                <w:szCs w:val="18"/>
                <w:lang w:val="en-US"/>
              </w:rPr>
              <w:t>D</w:t>
            </w:r>
          </w:p>
        </w:tc>
        <w:tc>
          <w:tcPr>
            <w:tcW w:w="992" w:type="dxa"/>
            <w:tcBorders>
              <w:top w:val="nil"/>
              <w:left w:val="nil"/>
              <w:bottom w:val="nil"/>
              <w:right w:val="nil"/>
            </w:tcBorders>
            <w:shd w:val="clear" w:color="auto" w:fill="FFFFFF"/>
            <w:noWrap/>
          </w:tcPr>
          <w:p w14:paraId="11977FBE" w14:textId="77777777" w:rsidR="00837DA7" w:rsidRPr="005F3693" w:rsidRDefault="00837DA7" w:rsidP="00353A9A">
            <w:pPr>
              <w:spacing w:after="0" w:line="240" w:lineRule="auto"/>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-0.064</w:t>
            </w:r>
            <w:r w:rsidRPr="005F3693">
              <w:rPr>
                <w:rFonts w:ascii="Times New Roman" w:eastAsia="Times New Roman" w:hAnsi="Times New Roman" w:cs="Times New Roman"/>
                <w:sz w:val="18"/>
                <w:szCs w:val="18"/>
                <w:vertAlign w:val="superscript"/>
                <w:lang w:val="en-US"/>
              </w:rPr>
              <w:t>*</w:t>
            </w:r>
          </w:p>
        </w:tc>
        <w:tc>
          <w:tcPr>
            <w:tcW w:w="850" w:type="dxa"/>
            <w:shd w:val="clear" w:color="auto" w:fill="FFFFFF"/>
          </w:tcPr>
          <w:p w14:paraId="7C0C4F32" w14:textId="77777777" w:rsidR="00837DA7" w:rsidRPr="005F3693" w:rsidRDefault="00837DA7" w:rsidP="00353A9A">
            <w:pPr>
              <w:spacing w:after="0" w:line="240" w:lineRule="auto"/>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0.010</w:t>
            </w:r>
          </w:p>
        </w:tc>
        <w:tc>
          <w:tcPr>
            <w:tcW w:w="851" w:type="dxa"/>
            <w:shd w:val="clear" w:color="auto" w:fill="FFFFFF"/>
          </w:tcPr>
          <w:p w14:paraId="7F4733B0" w14:textId="77777777" w:rsidR="00837DA7" w:rsidRPr="005F3693" w:rsidRDefault="00837DA7" w:rsidP="00353A9A">
            <w:pPr>
              <w:spacing w:after="0" w:line="240" w:lineRule="auto"/>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-0.070</w:t>
            </w:r>
            <w:r w:rsidRPr="005F3693">
              <w:rPr>
                <w:rFonts w:ascii="Times New Roman" w:eastAsia="Times New Roman" w:hAnsi="Times New Roman" w:cs="Times New Roman"/>
                <w:sz w:val="18"/>
                <w:szCs w:val="18"/>
                <w:vertAlign w:val="superscript"/>
                <w:lang w:val="en-US"/>
              </w:rPr>
              <w:t>*</w:t>
            </w:r>
          </w:p>
        </w:tc>
        <w:tc>
          <w:tcPr>
            <w:tcW w:w="850" w:type="dxa"/>
            <w:shd w:val="clear" w:color="auto" w:fill="FFFFFF"/>
          </w:tcPr>
          <w:p w14:paraId="6996D0F5" w14:textId="77777777" w:rsidR="00837DA7" w:rsidRPr="005F3693" w:rsidRDefault="00837DA7" w:rsidP="00353A9A">
            <w:pPr>
              <w:spacing w:after="0" w:line="240" w:lineRule="auto"/>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0.010</w:t>
            </w:r>
            <w:r w:rsidRPr="005F3693">
              <w:rPr>
                <w:rFonts w:ascii="Times New Roman" w:eastAsia="Times New Roman" w:hAnsi="Times New Roman" w:cs="Times New Roman"/>
                <w:sz w:val="18"/>
                <w:szCs w:val="18"/>
                <w:vertAlign w:val="superscript"/>
                <w:lang w:val="en-US"/>
              </w:rPr>
              <w:t>***</w:t>
            </w:r>
          </w:p>
        </w:tc>
        <w:tc>
          <w:tcPr>
            <w:tcW w:w="851" w:type="dxa"/>
            <w:shd w:val="clear" w:color="auto" w:fill="FFFFFF"/>
          </w:tcPr>
          <w:p w14:paraId="59DB481B" w14:textId="77777777" w:rsidR="00837DA7" w:rsidRPr="005F3693" w:rsidRDefault="00837DA7" w:rsidP="00353A9A">
            <w:pPr>
              <w:spacing w:after="0" w:line="240" w:lineRule="auto"/>
              <w:ind w:right="-102"/>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0.132</w:t>
            </w:r>
            <w:r w:rsidRPr="005F3693">
              <w:rPr>
                <w:rFonts w:ascii="Times New Roman" w:eastAsia="Times New Roman" w:hAnsi="Times New Roman" w:cs="Times New Roman"/>
                <w:sz w:val="18"/>
                <w:szCs w:val="18"/>
                <w:vertAlign w:val="superscript"/>
                <w:lang w:val="en-US"/>
              </w:rPr>
              <w:t>***</w:t>
            </w:r>
          </w:p>
        </w:tc>
        <w:tc>
          <w:tcPr>
            <w:tcW w:w="850" w:type="dxa"/>
            <w:shd w:val="clear" w:color="auto" w:fill="FFFFFF"/>
          </w:tcPr>
          <w:p w14:paraId="4C6A0C60" w14:textId="77777777" w:rsidR="00837DA7" w:rsidRPr="005F3693" w:rsidRDefault="00837DA7" w:rsidP="00353A9A">
            <w:pPr>
              <w:spacing w:after="0" w:line="240" w:lineRule="auto"/>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0.049</w:t>
            </w:r>
          </w:p>
        </w:tc>
        <w:tc>
          <w:tcPr>
            <w:tcW w:w="851" w:type="dxa"/>
            <w:shd w:val="clear" w:color="auto" w:fill="FFFFFF"/>
          </w:tcPr>
          <w:p w14:paraId="1B698D2D" w14:textId="77777777" w:rsidR="00837DA7" w:rsidRPr="005F3693" w:rsidRDefault="00837DA7" w:rsidP="00353A9A">
            <w:pPr>
              <w:spacing w:after="0" w:line="240" w:lineRule="auto"/>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0.065</w:t>
            </w:r>
            <w:r w:rsidRPr="005F3693">
              <w:rPr>
                <w:rFonts w:ascii="Times New Roman" w:eastAsia="Times New Roman" w:hAnsi="Times New Roman" w:cs="Times New Roman"/>
                <w:sz w:val="18"/>
                <w:szCs w:val="18"/>
                <w:vertAlign w:val="superscript"/>
                <w:lang w:val="en-US"/>
              </w:rPr>
              <w:t>*</w:t>
            </w:r>
          </w:p>
        </w:tc>
        <w:tc>
          <w:tcPr>
            <w:tcW w:w="850" w:type="dxa"/>
            <w:shd w:val="clear" w:color="auto" w:fill="FFFFFF"/>
            <w:noWrap/>
          </w:tcPr>
          <w:p w14:paraId="3B59CA12" w14:textId="77777777" w:rsidR="00837DA7" w:rsidRPr="005F3693" w:rsidRDefault="00837DA7" w:rsidP="00353A9A">
            <w:pPr>
              <w:spacing w:after="0" w:line="240" w:lineRule="auto"/>
              <w:jc w:val="both"/>
              <w:rPr>
                <w:rFonts w:ascii="Times New Roman" w:eastAsia="Times New Roman" w:hAnsi="Times New Roman" w:cs="Times New Roman"/>
                <w:sz w:val="18"/>
                <w:szCs w:val="18"/>
                <w:lang w:val="en-US"/>
              </w:rPr>
            </w:pPr>
          </w:p>
        </w:tc>
        <w:tc>
          <w:tcPr>
            <w:tcW w:w="851" w:type="dxa"/>
            <w:shd w:val="clear" w:color="auto" w:fill="FFFFFF"/>
            <w:noWrap/>
          </w:tcPr>
          <w:p w14:paraId="7EA9DC64" w14:textId="77777777" w:rsidR="00837DA7" w:rsidRPr="005F3693" w:rsidRDefault="00837DA7" w:rsidP="00353A9A">
            <w:pPr>
              <w:spacing w:after="0" w:line="240" w:lineRule="auto"/>
              <w:ind w:right="-112"/>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-0.001</w:t>
            </w:r>
          </w:p>
        </w:tc>
        <w:tc>
          <w:tcPr>
            <w:tcW w:w="851" w:type="dxa"/>
            <w:shd w:val="clear" w:color="auto" w:fill="FFFFFF"/>
            <w:noWrap/>
          </w:tcPr>
          <w:p w14:paraId="5578EFF3" w14:textId="77777777" w:rsidR="00837DA7" w:rsidRPr="005F3693" w:rsidRDefault="00837DA7" w:rsidP="00353A9A">
            <w:pPr>
              <w:spacing w:after="0" w:line="240" w:lineRule="auto"/>
              <w:ind w:right="-107"/>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-0.098</w:t>
            </w:r>
            <w:r w:rsidRPr="005F3693">
              <w:rPr>
                <w:rFonts w:ascii="Times New Roman" w:eastAsia="Times New Roman" w:hAnsi="Times New Roman" w:cs="Times New Roman"/>
                <w:sz w:val="18"/>
                <w:szCs w:val="18"/>
                <w:vertAlign w:val="superscript"/>
                <w:lang w:val="en-US"/>
              </w:rPr>
              <w:t>***</w:t>
            </w:r>
          </w:p>
        </w:tc>
        <w:tc>
          <w:tcPr>
            <w:tcW w:w="870" w:type="dxa"/>
            <w:shd w:val="clear" w:color="auto" w:fill="FFFFFF"/>
            <w:noWrap/>
          </w:tcPr>
          <w:p w14:paraId="1B9A0E6D" w14:textId="77777777" w:rsidR="00837DA7" w:rsidRPr="005F3693" w:rsidRDefault="00837DA7" w:rsidP="00353A9A">
            <w:pPr>
              <w:spacing w:after="0" w:line="240" w:lineRule="auto"/>
              <w:ind w:right="-102"/>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-0.194</w:t>
            </w:r>
            <w:r w:rsidRPr="005F3693">
              <w:rPr>
                <w:rFonts w:ascii="Times New Roman" w:eastAsia="Times New Roman" w:hAnsi="Times New Roman" w:cs="Times New Roman"/>
                <w:sz w:val="18"/>
                <w:szCs w:val="18"/>
                <w:vertAlign w:val="superscript"/>
                <w:lang w:val="en-US"/>
              </w:rPr>
              <w:t>***</w:t>
            </w:r>
          </w:p>
        </w:tc>
        <w:tc>
          <w:tcPr>
            <w:tcW w:w="831" w:type="dxa"/>
            <w:shd w:val="clear" w:color="auto" w:fill="FFFFFF"/>
          </w:tcPr>
          <w:p w14:paraId="00283A94" w14:textId="77777777" w:rsidR="00837DA7" w:rsidRPr="005F3693" w:rsidRDefault="00837DA7" w:rsidP="00353A9A">
            <w:pPr>
              <w:spacing w:after="0" w:line="240" w:lineRule="auto"/>
              <w:ind w:right="-108"/>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-0.049</w:t>
            </w:r>
          </w:p>
        </w:tc>
        <w:tc>
          <w:tcPr>
            <w:tcW w:w="709" w:type="dxa"/>
            <w:shd w:val="clear" w:color="auto" w:fill="FFFFFF"/>
          </w:tcPr>
          <w:p w14:paraId="225BDE1D" w14:textId="77777777" w:rsidR="00837DA7" w:rsidRPr="005F3693" w:rsidRDefault="00837DA7" w:rsidP="00353A9A">
            <w:pPr>
              <w:spacing w:after="0" w:line="240" w:lineRule="auto"/>
              <w:ind w:right="-129"/>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0.052</w:t>
            </w:r>
          </w:p>
        </w:tc>
        <w:tc>
          <w:tcPr>
            <w:tcW w:w="850" w:type="dxa"/>
            <w:shd w:val="clear" w:color="auto" w:fill="FFFFFF"/>
            <w:noWrap/>
          </w:tcPr>
          <w:p w14:paraId="3964C7AB" w14:textId="77777777" w:rsidR="00837DA7" w:rsidRPr="005F3693" w:rsidRDefault="00837DA7" w:rsidP="00353A9A">
            <w:pPr>
              <w:spacing w:after="0" w:line="240" w:lineRule="auto"/>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0.094</w:t>
            </w:r>
            <w:r w:rsidRPr="005F3693">
              <w:rPr>
                <w:rFonts w:ascii="Times New Roman" w:eastAsia="Times New Roman" w:hAnsi="Times New Roman" w:cs="Times New Roman"/>
                <w:sz w:val="18"/>
                <w:szCs w:val="18"/>
                <w:vertAlign w:val="superscript"/>
                <w:lang w:val="en-US"/>
              </w:rPr>
              <w:t>**</w:t>
            </w:r>
          </w:p>
        </w:tc>
        <w:tc>
          <w:tcPr>
            <w:tcW w:w="850" w:type="dxa"/>
            <w:shd w:val="clear" w:color="auto" w:fill="FFFFFF"/>
          </w:tcPr>
          <w:p w14:paraId="6A4CB7C5" w14:textId="77777777" w:rsidR="00837DA7" w:rsidRPr="005F3693" w:rsidRDefault="00837DA7" w:rsidP="00353A9A">
            <w:pPr>
              <w:spacing w:after="0" w:line="240" w:lineRule="auto"/>
              <w:ind w:right="-104"/>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0.068</w:t>
            </w:r>
            <w:r w:rsidRPr="005F3693">
              <w:rPr>
                <w:rFonts w:ascii="Times New Roman" w:eastAsia="Times New Roman" w:hAnsi="Times New Roman" w:cs="Times New Roman"/>
                <w:sz w:val="18"/>
                <w:szCs w:val="18"/>
                <w:vertAlign w:val="superscript"/>
                <w:lang w:val="en-US"/>
              </w:rPr>
              <w:t>*</w:t>
            </w:r>
          </w:p>
        </w:tc>
        <w:tc>
          <w:tcPr>
            <w:tcW w:w="851" w:type="dxa"/>
            <w:shd w:val="clear" w:color="auto" w:fill="FFFFFF"/>
          </w:tcPr>
          <w:p w14:paraId="1C32F9CE" w14:textId="77777777" w:rsidR="00837DA7" w:rsidRPr="005F3693" w:rsidRDefault="00837DA7" w:rsidP="00353A9A">
            <w:pPr>
              <w:spacing w:after="0" w:line="240" w:lineRule="auto"/>
              <w:ind w:right="-104"/>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0.030</w:t>
            </w:r>
          </w:p>
        </w:tc>
        <w:tc>
          <w:tcPr>
            <w:tcW w:w="850" w:type="dxa"/>
            <w:shd w:val="clear" w:color="auto" w:fill="FFFFFF"/>
            <w:noWrap/>
          </w:tcPr>
          <w:p w14:paraId="6AA60343" w14:textId="77777777" w:rsidR="00837DA7" w:rsidRPr="005F3693" w:rsidRDefault="00837DA7" w:rsidP="00353A9A">
            <w:pPr>
              <w:spacing w:after="0" w:line="240" w:lineRule="auto"/>
              <w:ind w:right="-104"/>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-0.014</w:t>
            </w:r>
          </w:p>
        </w:tc>
      </w:tr>
      <w:tr w:rsidR="00837DA7" w:rsidRPr="005F3693" w14:paraId="5F34B870" w14:textId="77777777" w:rsidTr="00353A9A">
        <w:trPr>
          <w:trHeight w:val="293"/>
        </w:trPr>
        <w:tc>
          <w:tcPr>
            <w:tcW w:w="993" w:type="dxa"/>
            <w:tcBorders>
              <w:top w:val="nil"/>
              <w:left w:val="nil"/>
              <w:bottom w:val="nil"/>
            </w:tcBorders>
            <w:shd w:val="clear" w:color="auto" w:fill="FFFFFF"/>
          </w:tcPr>
          <w:p w14:paraId="676C0497" w14:textId="77777777" w:rsidR="00837DA7" w:rsidRPr="005F3693" w:rsidRDefault="00837DA7" w:rsidP="00353A9A">
            <w:pPr>
              <w:spacing w:after="0" w:line="240" w:lineRule="auto"/>
              <w:rPr>
                <w:rFonts w:ascii="Times New Roman" w:eastAsia="Times New Roman" w:hAnsi="Times New Roman" w:cs="Times New Roman"/>
                <w:iCs/>
                <w:sz w:val="18"/>
                <w:szCs w:val="18"/>
                <w:lang w:val="en-US"/>
              </w:rPr>
            </w:pPr>
            <w:r w:rsidRPr="005F3693">
              <w:rPr>
                <w:rFonts w:ascii="Times New Roman" w:eastAsia="Times New Roman" w:hAnsi="Times New Roman" w:cs="Times New Roman"/>
                <w:iCs/>
                <w:sz w:val="18"/>
                <w:szCs w:val="18"/>
                <w:lang w:val="en-US"/>
              </w:rPr>
              <w:t>VCT</w:t>
            </w:r>
            <w:r>
              <w:rPr>
                <w:rFonts w:ascii="Times New Roman" w:eastAsia="Times New Roman" w:hAnsi="Times New Roman" w:cs="Times New Roman"/>
                <w:iCs/>
                <w:sz w:val="18"/>
                <w:szCs w:val="18"/>
                <w:lang w:val="en-US"/>
              </w:rPr>
              <w:t>E</w:t>
            </w:r>
            <w:r w:rsidRPr="005F3693">
              <w:rPr>
                <w:rFonts w:ascii="Times New Roman" w:eastAsia="Times New Roman" w:hAnsi="Times New Roman" w:cs="Times New Roman"/>
                <w:iCs/>
                <w:sz w:val="18"/>
                <w:szCs w:val="18"/>
                <w:lang w:val="en-US"/>
              </w:rPr>
              <w:t>N</w:t>
            </w:r>
          </w:p>
        </w:tc>
        <w:tc>
          <w:tcPr>
            <w:tcW w:w="992" w:type="dxa"/>
            <w:tcBorders>
              <w:top w:val="nil"/>
              <w:left w:val="nil"/>
              <w:bottom w:val="nil"/>
              <w:right w:val="nil"/>
            </w:tcBorders>
            <w:shd w:val="clear" w:color="auto" w:fill="FFFFFF"/>
            <w:noWrap/>
          </w:tcPr>
          <w:p w14:paraId="35F8F54A" w14:textId="77777777" w:rsidR="00837DA7" w:rsidRPr="005F3693" w:rsidRDefault="00837DA7" w:rsidP="00353A9A">
            <w:pPr>
              <w:spacing w:after="0" w:line="240" w:lineRule="auto"/>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0.018</w:t>
            </w:r>
          </w:p>
        </w:tc>
        <w:tc>
          <w:tcPr>
            <w:tcW w:w="850" w:type="dxa"/>
            <w:shd w:val="clear" w:color="auto" w:fill="FFFFFF"/>
          </w:tcPr>
          <w:p w14:paraId="2AE6E8F5" w14:textId="77777777" w:rsidR="00837DA7" w:rsidRPr="005F3693" w:rsidRDefault="00837DA7" w:rsidP="00353A9A">
            <w:pPr>
              <w:spacing w:after="0" w:line="240" w:lineRule="auto"/>
              <w:ind w:right="-107"/>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0.070</w:t>
            </w:r>
            <w:r w:rsidRPr="005F3693">
              <w:rPr>
                <w:rFonts w:ascii="Times New Roman" w:eastAsia="Times New Roman" w:hAnsi="Times New Roman" w:cs="Times New Roman"/>
                <w:sz w:val="18"/>
                <w:szCs w:val="18"/>
                <w:vertAlign w:val="superscript"/>
                <w:lang w:val="en-US"/>
              </w:rPr>
              <w:t>*</w:t>
            </w:r>
          </w:p>
        </w:tc>
        <w:tc>
          <w:tcPr>
            <w:tcW w:w="851" w:type="dxa"/>
            <w:shd w:val="clear" w:color="auto" w:fill="FFFFFF"/>
          </w:tcPr>
          <w:p w14:paraId="7783C702" w14:textId="77777777" w:rsidR="00837DA7" w:rsidRPr="005F3693" w:rsidRDefault="00837DA7" w:rsidP="00353A9A">
            <w:pPr>
              <w:spacing w:after="0" w:line="240" w:lineRule="auto"/>
              <w:ind w:right="-106"/>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-0.162</w:t>
            </w:r>
            <w:r w:rsidRPr="005F3693">
              <w:rPr>
                <w:rFonts w:ascii="Times New Roman" w:eastAsia="Times New Roman" w:hAnsi="Times New Roman" w:cs="Times New Roman"/>
                <w:sz w:val="18"/>
                <w:szCs w:val="18"/>
                <w:vertAlign w:val="superscript"/>
                <w:lang w:val="en-US"/>
              </w:rPr>
              <w:t>***</w:t>
            </w:r>
          </w:p>
        </w:tc>
        <w:tc>
          <w:tcPr>
            <w:tcW w:w="850" w:type="dxa"/>
            <w:shd w:val="clear" w:color="auto" w:fill="FFFFFF"/>
          </w:tcPr>
          <w:p w14:paraId="157686EC" w14:textId="77777777" w:rsidR="00837DA7" w:rsidRPr="005F3693" w:rsidRDefault="00837DA7" w:rsidP="00353A9A">
            <w:pPr>
              <w:spacing w:after="0" w:line="240" w:lineRule="auto"/>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0.066</w:t>
            </w:r>
            <w:r w:rsidRPr="005F3693">
              <w:rPr>
                <w:rFonts w:ascii="Times New Roman" w:eastAsia="Times New Roman" w:hAnsi="Times New Roman" w:cs="Times New Roman"/>
                <w:sz w:val="18"/>
                <w:szCs w:val="18"/>
                <w:vertAlign w:val="superscript"/>
                <w:lang w:val="en-US"/>
              </w:rPr>
              <w:t>***</w:t>
            </w:r>
          </w:p>
        </w:tc>
        <w:tc>
          <w:tcPr>
            <w:tcW w:w="851" w:type="dxa"/>
            <w:shd w:val="clear" w:color="auto" w:fill="FFFFFF"/>
          </w:tcPr>
          <w:p w14:paraId="7F22D47C" w14:textId="77777777" w:rsidR="00837DA7" w:rsidRPr="005F3693" w:rsidRDefault="00837DA7" w:rsidP="00353A9A">
            <w:pPr>
              <w:spacing w:after="0" w:line="240" w:lineRule="auto"/>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0.001</w:t>
            </w:r>
          </w:p>
        </w:tc>
        <w:tc>
          <w:tcPr>
            <w:tcW w:w="850" w:type="dxa"/>
            <w:shd w:val="clear" w:color="auto" w:fill="FFFFFF"/>
          </w:tcPr>
          <w:p w14:paraId="763EA78F" w14:textId="77777777" w:rsidR="00837DA7" w:rsidRPr="005F3693" w:rsidRDefault="00837DA7" w:rsidP="00353A9A">
            <w:pPr>
              <w:spacing w:after="0" w:line="240" w:lineRule="auto"/>
              <w:ind w:right="-106"/>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0.355</w:t>
            </w:r>
            <w:r w:rsidRPr="005F3693">
              <w:rPr>
                <w:rFonts w:ascii="Times New Roman" w:eastAsia="Times New Roman" w:hAnsi="Times New Roman" w:cs="Times New Roman"/>
                <w:sz w:val="18"/>
                <w:szCs w:val="18"/>
                <w:vertAlign w:val="superscript"/>
                <w:lang w:val="en-US"/>
              </w:rPr>
              <w:t>***</w:t>
            </w:r>
          </w:p>
        </w:tc>
        <w:tc>
          <w:tcPr>
            <w:tcW w:w="851" w:type="dxa"/>
            <w:shd w:val="clear" w:color="auto" w:fill="FFFFFF"/>
          </w:tcPr>
          <w:p w14:paraId="5CAF055E" w14:textId="77777777" w:rsidR="00837DA7" w:rsidRPr="005F3693" w:rsidRDefault="00837DA7" w:rsidP="00353A9A">
            <w:pPr>
              <w:spacing w:after="0" w:line="240" w:lineRule="auto"/>
              <w:ind w:right="-106"/>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-0.064</w:t>
            </w:r>
          </w:p>
        </w:tc>
        <w:tc>
          <w:tcPr>
            <w:tcW w:w="850" w:type="dxa"/>
            <w:shd w:val="clear" w:color="auto" w:fill="FFFFFF"/>
            <w:noWrap/>
          </w:tcPr>
          <w:p w14:paraId="416DE10F" w14:textId="77777777" w:rsidR="00837DA7" w:rsidRPr="005F3693" w:rsidRDefault="00837DA7" w:rsidP="00353A9A">
            <w:pPr>
              <w:spacing w:after="0" w:line="240" w:lineRule="auto"/>
              <w:ind w:right="-106"/>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0.015</w:t>
            </w:r>
          </w:p>
        </w:tc>
        <w:tc>
          <w:tcPr>
            <w:tcW w:w="851" w:type="dxa"/>
            <w:shd w:val="clear" w:color="auto" w:fill="FFFFFF"/>
            <w:noWrap/>
          </w:tcPr>
          <w:p w14:paraId="2F5FC43B" w14:textId="77777777" w:rsidR="00837DA7" w:rsidRPr="005F3693" w:rsidRDefault="00837DA7" w:rsidP="00353A9A">
            <w:pPr>
              <w:spacing w:after="0" w:line="240" w:lineRule="auto"/>
              <w:jc w:val="both"/>
              <w:rPr>
                <w:rFonts w:ascii="Times New Roman" w:eastAsia="Times New Roman" w:hAnsi="Times New Roman" w:cs="Times New Roman"/>
                <w:sz w:val="18"/>
                <w:szCs w:val="18"/>
                <w:lang w:val="en-US"/>
              </w:rPr>
            </w:pPr>
          </w:p>
        </w:tc>
        <w:tc>
          <w:tcPr>
            <w:tcW w:w="851" w:type="dxa"/>
            <w:shd w:val="clear" w:color="auto" w:fill="FFFFFF"/>
            <w:noWrap/>
          </w:tcPr>
          <w:p w14:paraId="07F7E5BA" w14:textId="77777777" w:rsidR="00837DA7" w:rsidRPr="005F3693" w:rsidRDefault="00837DA7" w:rsidP="00353A9A">
            <w:pPr>
              <w:spacing w:after="0" w:line="240" w:lineRule="auto"/>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-0.021</w:t>
            </w:r>
          </w:p>
        </w:tc>
        <w:tc>
          <w:tcPr>
            <w:tcW w:w="870" w:type="dxa"/>
            <w:shd w:val="clear" w:color="auto" w:fill="FFFFFF"/>
            <w:noWrap/>
          </w:tcPr>
          <w:p w14:paraId="4C34BF53" w14:textId="77777777" w:rsidR="00837DA7" w:rsidRPr="005F3693" w:rsidRDefault="00837DA7" w:rsidP="00353A9A">
            <w:pPr>
              <w:spacing w:after="0" w:line="240" w:lineRule="auto"/>
              <w:ind w:right="-102"/>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0.039</w:t>
            </w:r>
          </w:p>
        </w:tc>
        <w:tc>
          <w:tcPr>
            <w:tcW w:w="831" w:type="dxa"/>
            <w:shd w:val="clear" w:color="auto" w:fill="FFFFFF"/>
          </w:tcPr>
          <w:p w14:paraId="1E9CBA2E" w14:textId="77777777" w:rsidR="00837DA7" w:rsidRPr="005F3693" w:rsidRDefault="00837DA7" w:rsidP="00353A9A">
            <w:pPr>
              <w:spacing w:after="0" w:line="240" w:lineRule="auto"/>
              <w:ind w:right="-108"/>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0.018</w:t>
            </w:r>
          </w:p>
        </w:tc>
        <w:tc>
          <w:tcPr>
            <w:tcW w:w="709" w:type="dxa"/>
            <w:shd w:val="clear" w:color="auto" w:fill="FFFFFF"/>
          </w:tcPr>
          <w:p w14:paraId="7D9F472E" w14:textId="77777777" w:rsidR="00837DA7" w:rsidRPr="005F3693" w:rsidRDefault="00837DA7" w:rsidP="00353A9A">
            <w:pPr>
              <w:spacing w:after="0" w:line="240" w:lineRule="auto"/>
              <w:ind w:right="-109"/>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0.065</w:t>
            </w:r>
          </w:p>
        </w:tc>
        <w:tc>
          <w:tcPr>
            <w:tcW w:w="850" w:type="dxa"/>
            <w:shd w:val="clear" w:color="auto" w:fill="FFFFFF"/>
            <w:noWrap/>
          </w:tcPr>
          <w:p w14:paraId="627AB30F" w14:textId="77777777" w:rsidR="00837DA7" w:rsidRPr="005F3693" w:rsidRDefault="00837DA7" w:rsidP="00353A9A">
            <w:pPr>
              <w:spacing w:after="0" w:line="240" w:lineRule="auto"/>
              <w:ind w:right="-109"/>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-0.183</w:t>
            </w:r>
            <w:r w:rsidRPr="005F3693">
              <w:rPr>
                <w:rFonts w:ascii="Times New Roman" w:eastAsia="Times New Roman" w:hAnsi="Times New Roman" w:cs="Times New Roman"/>
                <w:sz w:val="18"/>
                <w:szCs w:val="18"/>
                <w:vertAlign w:val="superscript"/>
                <w:lang w:val="en-US"/>
              </w:rPr>
              <w:t>***</w:t>
            </w:r>
          </w:p>
        </w:tc>
        <w:tc>
          <w:tcPr>
            <w:tcW w:w="850" w:type="dxa"/>
            <w:shd w:val="clear" w:color="auto" w:fill="FFFFFF"/>
          </w:tcPr>
          <w:p w14:paraId="18343053" w14:textId="77777777" w:rsidR="00837DA7" w:rsidRPr="005F3693" w:rsidRDefault="00837DA7" w:rsidP="00353A9A">
            <w:pPr>
              <w:spacing w:after="0" w:line="240" w:lineRule="auto"/>
              <w:ind w:right="-104"/>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0.000</w:t>
            </w:r>
          </w:p>
        </w:tc>
        <w:tc>
          <w:tcPr>
            <w:tcW w:w="851" w:type="dxa"/>
            <w:shd w:val="clear" w:color="auto" w:fill="FFFFFF"/>
          </w:tcPr>
          <w:p w14:paraId="252EACE2" w14:textId="77777777" w:rsidR="00837DA7" w:rsidRPr="005F3693" w:rsidRDefault="00837DA7" w:rsidP="00353A9A">
            <w:pPr>
              <w:spacing w:after="0" w:line="240" w:lineRule="auto"/>
              <w:ind w:right="-104"/>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0.073</w:t>
            </w:r>
            <w:r w:rsidRPr="005F3693">
              <w:rPr>
                <w:rFonts w:ascii="Times New Roman" w:eastAsia="Times New Roman" w:hAnsi="Times New Roman" w:cs="Times New Roman"/>
                <w:sz w:val="18"/>
                <w:szCs w:val="18"/>
                <w:vertAlign w:val="superscript"/>
                <w:lang w:val="en-US"/>
              </w:rPr>
              <w:t>*</w:t>
            </w:r>
          </w:p>
        </w:tc>
        <w:tc>
          <w:tcPr>
            <w:tcW w:w="850" w:type="dxa"/>
            <w:shd w:val="clear" w:color="auto" w:fill="FFFFFF"/>
            <w:noWrap/>
          </w:tcPr>
          <w:p w14:paraId="0AAB0D95" w14:textId="77777777" w:rsidR="00837DA7" w:rsidRPr="005F3693" w:rsidRDefault="00837DA7" w:rsidP="00353A9A">
            <w:pPr>
              <w:spacing w:after="0" w:line="240" w:lineRule="auto"/>
              <w:ind w:right="-104"/>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-0.012</w:t>
            </w:r>
          </w:p>
        </w:tc>
      </w:tr>
      <w:tr w:rsidR="00837DA7" w:rsidRPr="005F3693" w14:paraId="3344FF80" w14:textId="77777777" w:rsidTr="00353A9A">
        <w:trPr>
          <w:trHeight w:val="293"/>
        </w:trPr>
        <w:tc>
          <w:tcPr>
            <w:tcW w:w="993" w:type="dxa"/>
            <w:tcBorders>
              <w:top w:val="nil"/>
              <w:left w:val="nil"/>
              <w:bottom w:val="nil"/>
            </w:tcBorders>
            <w:shd w:val="clear" w:color="auto" w:fill="FFFFFF"/>
          </w:tcPr>
          <w:p w14:paraId="04947A15" w14:textId="77777777" w:rsidR="00837DA7" w:rsidRPr="005F3693" w:rsidRDefault="00837DA7" w:rsidP="00353A9A">
            <w:pPr>
              <w:spacing w:after="0" w:line="240" w:lineRule="auto"/>
              <w:rPr>
                <w:rFonts w:ascii="Times New Roman" w:eastAsia="Times New Roman" w:hAnsi="Times New Roman" w:cs="Times New Roman"/>
                <w:iCs/>
                <w:sz w:val="18"/>
                <w:szCs w:val="18"/>
                <w:lang w:val="en-US"/>
              </w:rPr>
            </w:pPr>
            <w:r w:rsidRPr="005F3693">
              <w:rPr>
                <w:rFonts w:ascii="Times New Roman" w:eastAsia="Times New Roman" w:hAnsi="Times New Roman" w:cs="Times New Roman"/>
                <w:iCs/>
                <w:sz w:val="18"/>
                <w:szCs w:val="18"/>
                <w:lang w:val="en-US"/>
              </w:rPr>
              <w:t>RUSSG</w:t>
            </w:r>
          </w:p>
        </w:tc>
        <w:tc>
          <w:tcPr>
            <w:tcW w:w="992" w:type="dxa"/>
            <w:tcBorders>
              <w:top w:val="nil"/>
              <w:left w:val="nil"/>
              <w:bottom w:val="nil"/>
              <w:right w:val="nil"/>
            </w:tcBorders>
            <w:shd w:val="clear" w:color="auto" w:fill="FFFFFF"/>
            <w:noWrap/>
          </w:tcPr>
          <w:p w14:paraId="4F1C1F7D" w14:textId="77777777" w:rsidR="00837DA7" w:rsidRPr="005F3693" w:rsidRDefault="00837DA7" w:rsidP="00353A9A">
            <w:pPr>
              <w:spacing w:after="0" w:line="240" w:lineRule="auto"/>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0.346</w:t>
            </w:r>
            <w:r w:rsidRPr="005F3693">
              <w:rPr>
                <w:rFonts w:ascii="Times New Roman" w:eastAsia="Times New Roman" w:hAnsi="Times New Roman" w:cs="Times New Roman"/>
                <w:sz w:val="18"/>
                <w:szCs w:val="18"/>
                <w:vertAlign w:val="superscript"/>
                <w:lang w:val="en-US"/>
              </w:rPr>
              <w:t>***</w:t>
            </w:r>
          </w:p>
        </w:tc>
        <w:tc>
          <w:tcPr>
            <w:tcW w:w="850" w:type="dxa"/>
            <w:shd w:val="clear" w:color="auto" w:fill="FFFFFF"/>
          </w:tcPr>
          <w:p w14:paraId="04F0F088" w14:textId="77777777" w:rsidR="00837DA7" w:rsidRPr="005F3693" w:rsidRDefault="00837DA7" w:rsidP="00353A9A">
            <w:pPr>
              <w:spacing w:after="0" w:line="240" w:lineRule="auto"/>
              <w:ind w:right="-110"/>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-0.044</w:t>
            </w:r>
          </w:p>
        </w:tc>
        <w:tc>
          <w:tcPr>
            <w:tcW w:w="851" w:type="dxa"/>
            <w:shd w:val="clear" w:color="auto" w:fill="FFFFFF"/>
          </w:tcPr>
          <w:p w14:paraId="2A483706" w14:textId="77777777" w:rsidR="00837DA7" w:rsidRPr="005F3693" w:rsidRDefault="00837DA7" w:rsidP="00353A9A">
            <w:pPr>
              <w:spacing w:after="0" w:line="240" w:lineRule="auto"/>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0.234</w:t>
            </w:r>
            <w:r w:rsidRPr="005F3693">
              <w:rPr>
                <w:rFonts w:ascii="Times New Roman" w:eastAsia="Times New Roman" w:hAnsi="Times New Roman" w:cs="Times New Roman"/>
                <w:sz w:val="18"/>
                <w:szCs w:val="18"/>
                <w:vertAlign w:val="superscript"/>
                <w:lang w:val="en-US"/>
              </w:rPr>
              <w:t>***</w:t>
            </w:r>
          </w:p>
        </w:tc>
        <w:tc>
          <w:tcPr>
            <w:tcW w:w="850" w:type="dxa"/>
            <w:shd w:val="clear" w:color="auto" w:fill="FFFFFF"/>
          </w:tcPr>
          <w:p w14:paraId="2F739BB3" w14:textId="77777777" w:rsidR="00837DA7" w:rsidRPr="005F3693" w:rsidRDefault="00837DA7" w:rsidP="00353A9A">
            <w:pPr>
              <w:spacing w:after="0" w:line="240" w:lineRule="auto"/>
              <w:ind w:right="-106"/>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-0.147</w:t>
            </w:r>
            <w:r w:rsidRPr="005F3693">
              <w:rPr>
                <w:rFonts w:ascii="Times New Roman" w:eastAsia="Times New Roman" w:hAnsi="Times New Roman" w:cs="Times New Roman"/>
                <w:sz w:val="18"/>
                <w:szCs w:val="18"/>
                <w:vertAlign w:val="superscript"/>
                <w:lang w:val="en-US"/>
              </w:rPr>
              <w:t>***</w:t>
            </w:r>
          </w:p>
        </w:tc>
        <w:tc>
          <w:tcPr>
            <w:tcW w:w="851" w:type="dxa"/>
            <w:shd w:val="clear" w:color="auto" w:fill="FFFFFF"/>
          </w:tcPr>
          <w:p w14:paraId="0128F68D" w14:textId="77777777" w:rsidR="00837DA7" w:rsidRPr="005F3693" w:rsidRDefault="00837DA7" w:rsidP="00353A9A">
            <w:pPr>
              <w:spacing w:after="0" w:line="240" w:lineRule="auto"/>
              <w:ind w:right="-112"/>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0.078</w:t>
            </w:r>
            <w:r w:rsidRPr="005F3693">
              <w:rPr>
                <w:rFonts w:ascii="Times New Roman" w:eastAsia="Times New Roman" w:hAnsi="Times New Roman" w:cs="Times New Roman"/>
                <w:sz w:val="18"/>
                <w:szCs w:val="18"/>
                <w:vertAlign w:val="superscript"/>
                <w:lang w:val="en-US"/>
              </w:rPr>
              <w:t>*</w:t>
            </w:r>
          </w:p>
        </w:tc>
        <w:tc>
          <w:tcPr>
            <w:tcW w:w="850" w:type="dxa"/>
            <w:shd w:val="clear" w:color="auto" w:fill="FFFFFF"/>
          </w:tcPr>
          <w:p w14:paraId="1B872E81" w14:textId="77777777" w:rsidR="00837DA7" w:rsidRPr="005F3693" w:rsidRDefault="00837DA7" w:rsidP="00353A9A">
            <w:pPr>
              <w:spacing w:after="0" w:line="240" w:lineRule="auto"/>
              <w:ind w:right="-106"/>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0.154</w:t>
            </w:r>
            <w:r w:rsidRPr="005F3693">
              <w:rPr>
                <w:rFonts w:ascii="Times New Roman" w:eastAsia="Times New Roman" w:hAnsi="Times New Roman" w:cs="Times New Roman"/>
                <w:sz w:val="18"/>
                <w:szCs w:val="18"/>
                <w:vertAlign w:val="superscript"/>
                <w:lang w:val="en-US"/>
              </w:rPr>
              <w:t>***</w:t>
            </w:r>
          </w:p>
        </w:tc>
        <w:tc>
          <w:tcPr>
            <w:tcW w:w="851" w:type="dxa"/>
            <w:shd w:val="clear" w:color="auto" w:fill="FFFFFF"/>
          </w:tcPr>
          <w:p w14:paraId="2C0FD5F2" w14:textId="77777777" w:rsidR="00837DA7" w:rsidRPr="005F3693" w:rsidRDefault="00837DA7" w:rsidP="00353A9A">
            <w:pPr>
              <w:spacing w:after="0" w:line="240" w:lineRule="auto"/>
              <w:ind w:right="-106"/>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0.081</w:t>
            </w:r>
            <w:r w:rsidRPr="005F3693">
              <w:rPr>
                <w:rFonts w:ascii="Times New Roman" w:eastAsia="Times New Roman" w:hAnsi="Times New Roman" w:cs="Times New Roman"/>
                <w:sz w:val="18"/>
                <w:szCs w:val="18"/>
                <w:vertAlign w:val="superscript"/>
                <w:lang w:val="en-US"/>
              </w:rPr>
              <w:t>**</w:t>
            </w:r>
          </w:p>
        </w:tc>
        <w:tc>
          <w:tcPr>
            <w:tcW w:w="850" w:type="dxa"/>
            <w:shd w:val="clear" w:color="auto" w:fill="FFFFFF"/>
            <w:noWrap/>
          </w:tcPr>
          <w:p w14:paraId="768F640A" w14:textId="77777777" w:rsidR="00837DA7" w:rsidRPr="005F3693" w:rsidRDefault="00837DA7" w:rsidP="00353A9A">
            <w:pPr>
              <w:spacing w:after="0" w:line="240" w:lineRule="auto"/>
              <w:ind w:right="-106"/>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-0.116</w:t>
            </w:r>
            <w:r w:rsidRPr="005F3693">
              <w:rPr>
                <w:rFonts w:ascii="Times New Roman" w:eastAsia="Times New Roman" w:hAnsi="Times New Roman" w:cs="Times New Roman"/>
                <w:sz w:val="18"/>
                <w:szCs w:val="18"/>
                <w:vertAlign w:val="superscript"/>
                <w:lang w:val="en-US"/>
              </w:rPr>
              <w:t>***</w:t>
            </w:r>
          </w:p>
        </w:tc>
        <w:tc>
          <w:tcPr>
            <w:tcW w:w="851" w:type="dxa"/>
            <w:shd w:val="clear" w:color="auto" w:fill="FFFFFF"/>
            <w:noWrap/>
          </w:tcPr>
          <w:p w14:paraId="75FDC1E3" w14:textId="77777777" w:rsidR="00837DA7" w:rsidRPr="005F3693" w:rsidRDefault="00837DA7" w:rsidP="00353A9A">
            <w:pPr>
              <w:spacing w:after="0" w:line="240" w:lineRule="auto"/>
              <w:ind w:right="-129"/>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-0.032</w:t>
            </w:r>
          </w:p>
        </w:tc>
        <w:tc>
          <w:tcPr>
            <w:tcW w:w="851" w:type="dxa"/>
            <w:shd w:val="clear" w:color="auto" w:fill="FFFFFF"/>
            <w:noWrap/>
          </w:tcPr>
          <w:p w14:paraId="2304196D" w14:textId="77777777" w:rsidR="00837DA7" w:rsidRPr="005F3693" w:rsidRDefault="00837DA7" w:rsidP="00353A9A">
            <w:pPr>
              <w:spacing w:after="0" w:line="240" w:lineRule="auto"/>
              <w:ind w:right="-107"/>
              <w:jc w:val="both"/>
              <w:rPr>
                <w:rFonts w:ascii="Times New Roman" w:eastAsia="Times New Roman" w:hAnsi="Times New Roman" w:cs="Times New Roman"/>
                <w:sz w:val="18"/>
                <w:szCs w:val="18"/>
                <w:lang w:val="en-US"/>
              </w:rPr>
            </w:pPr>
          </w:p>
        </w:tc>
        <w:tc>
          <w:tcPr>
            <w:tcW w:w="870" w:type="dxa"/>
            <w:shd w:val="clear" w:color="auto" w:fill="FFFFFF"/>
            <w:noWrap/>
          </w:tcPr>
          <w:p w14:paraId="6F503D17" w14:textId="77777777" w:rsidR="00837DA7" w:rsidRPr="005F3693" w:rsidRDefault="00837DA7" w:rsidP="00353A9A">
            <w:pPr>
              <w:spacing w:after="0" w:line="240" w:lineRule="auto"/>
              <w:ind w:right="-102"/>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0.587</w:t>
            </w:r>
            <w:r w:rsidRPr="005F3693">
              <w:rPr>
                <w:rFonts w:ascii="Times New Roman" w:eastAsia="Times New Roman" w:hAnsi="Times New Roman" w:cs="Times New Roman"/>
                <w:sz w:val="18"/>
                <w:szCs w:val="18"/>
                <w:vertAlign w:val="superscript"/>
                <w:lang w:val="en-US"/>
              </w:rPr>
              <w:t>***</w:t>
            </w:r>
          </w:p>
        </w:tc>
        <w:tc>
          <w:tcPr>
            <w:tcW w:w="831" w:type="dxa"/>
            <w:shd w:val="clear" w:color="auto" w:fill="FFFFFF"/>
          </w:tcPr>
          <w:p w14:paraId="74449B08" w14:textId="77777777" w:rsidR="00837DA7" w:rsidRPr="005F3693" w:rsidRDefault="00837DA7" w:rsidP="00353A9A">
            <w:pPr>
              <w:spacing w:after="0" w:line="240" w:lineRule="auto"/>
              <w:ind w:right="-108"/>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0.433</w:t>
            </w:r>
            <w:r w:rsidRPr="005F3693">
              <w:rPr>
                <w:rFonts w:ascii="Times New Roman" w:eastAsia="Times New Roman" w:hAnsi="Times New Roman" w:cs="Times New Roman"/>
                <w:sz w:val="18"/>
                <w:szCs w:val="18"/>
                <w:vertAlign w:val="superscript"/>
                <w:lang w:val="en-US"/>
              </w:rPr>
              <w:t>***</w:t>
            </w:r>
          </w:p>
        </w:tc>
        <w:tc>
          <w:tcPr>
            <w:tcW w:w="709" w:type="dxa"/>
            <w:shd w:val="clear" w:color="auto" w:fill="FFFFFF"/>
          </w:tcPr>
          <w:p w14:paraId="06FC6F88" w14:textId="77777777" w:rsidR="00837DA7" w:rsidRPr="005F3693" w:rsidRDefault="00837DA7" w:rsidP="00353A9A">
            <w:pPr>
              <w:spacing w:after="0" w:line="240" w:lineRule="auto"/>
              <w:ind w:right="-109"/>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0.038</w:t>
            </w:r>
          </w:p>
        </w:tc>
        <w:tc>
          <w:tcPr>
            <w:tcW w:w="850" w:type="dxa"/>
            <w:shd w:val="clear" w:color="auto" w:fill="FFFFFF"/>
            <w:noWrap/>
          </w:tcPr>
          <w:p w14:paraId="1D4F5DFE" w14:textId="77777777" w:rsidR="00837DA7" w:rsidRPr="005F3693" w:rsidRDefault="00837DA7" w:rsidP="00353A9A">
            <w:pPr>
              <w:spacing w:after="0" w:line="240" w:lineRule="auto"/>
              <w:ind w:right="-109"/>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-0.300</w:t>
            </w:r>
            <w:r w:rsidRPr="005F3693">
              <w:rPr>
                <w:rFonts w:ascii="Times New Roman" w:eastAsia="Times New Roman" w:hAnsi="Times New Roman" w:cs="Times New Roman"/>
                <w:sz w:val="18"/>
                <w:szCs w:val="18"/>
                <w:vertAlign w:val="superscript"/>
                <w:lang w:val="en-US"/>
              </w:rPr>
              <w:t>***</w:t>
            </w:r>
          </w:p>
        </w:tc>
        <w:tc>
          <w:tcPr>
            <w:tcW w:w="850" w:type="dxa"/>
            <w:shd w:val="clear" w:color="auto" w:fill="FFFFFF"/>
          </w:tcPr>
          <w:p w14:paraId="08D5ABD9" w14:textId="77777777" w:rsidR="00837DA7" w:rsidRPr="005F3693" w:rsidRDefault="00837DA7" w:rsidP="00353A9A">
            <w:pPr>
              <w:spacing w:after="0" w:line="240" w:lineRule="auto"/>
              <w:ind w:right="-104"/>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-0.110</w:t>
            </w:r>
            <w:r w:rsidRPr="005F3693">
              <w:rPr>
                <w:rFonts w:ascii="Times New Roman" w:eastAsia="Times New Roman" w:hAnsi="Times New Roman" w:cs="Times New Roman"/>
                <w:sz w:val="18"/>
                <w:szCs w:val="18"/>
                <w:vertAlign w:val="superscript"/>
                <w:lang w:val="en-US"/>
              </w:rPr>
              <w:t>***</w:t>
            </w:r>
          </w:p>
        </w:tc>
        <w:tc>
          <w:tcPr>
            <w:tcW w:w="851" w:type="dxa"/>
            <w:shd w:val="clear" w:color="auto" w:fill="FFFFFF"/>
          </w:tcPr>
          <w:p w14:paraId="082E5DC1" w14:textId="77777777" w:rsidR="00837DA7" w:rsidRPr="005F3693" w:rsidRDefault="00837DA7" w:rsidP="00353A9A">
            <w:pPr>
              <w:spacing w:after="0" w:line="240" w:lineRule="auto"/>
              <w:ind w:right="-104"/>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-0.017</w:t>
            </w:r>
          </w:p>
        </w:tc>
        <w:tc>
          <w:tcPr>
            <w:tcW w:w="850" w:type="dxa"/>
            <w:shd w:val="clear" w:color="auto" w:fill="FFFFFF"/>
            <w:noWrap/>
          </w:tcPr>
          <w:p w14:paraId="75CF783F" w14:textId="77777777" w:rsidR="00837DA7" w:rsidRPr="005F3693" w:rsidRDefault="00837DA7" w:rsidP="00353A9A">
            <w:pPr>
              <w:spacing w:after="0" w:line="240" w:lineRule="auto"/>
              <w:ind w:right="-104"/>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-0.043</w:t>
            </w:r>
          </w:p>
        </w:tc>
      </w:tr>
      <w:tr w:rsidR="00837DA7" w:rsidRPr="005F3693" w14:paraId="21947BEA" w14:textId="77777777" w:rsidTr="00353A9A">
        <w:trPr>
          <w:trHeight w:val="300"/>
        </w:trPr>
        <w:tc>
          <w:tcPr>
            <w:tcW w:w="993" w:type="dxa"/>
            <w:tcBorders>
              <w:top w:val="nil"/>
              <w:left w:val="nil"/>
            </w:tcBorders>
            <w:shd w:val="clear" w:color="auto" w:fill="FFFFFF"/>
          </w:tcPr>
          <w:p w14:paraId="790A99A7" w14:textId="77777777" w:rsidR="00837DA7" w:rsidRPr="005F3693" w:rsidRDefault="00837DA7" w:rsidP="00353A9A">
            <w:pPr>
              <w:spacing w:after="0" w:line="240" w:lineRule="auto"/>
              <w:rPr>
                <w:rFonts w:ascii="Times New Roman" w:eastAsia="Times New Roman" w:hAnsi="Times New Roman" w:cs="Times New Roman"/>
                <w:iCs/>
                <w:sz w:val="18"/>
                <w:szCs w:val="18"/>
                <w:lang w:val="en-US"/>
              </w:rPr>
            </w:pPr>
            <w:r w:rsidRPr="005F3693">
              <w:rPr>
                <w:rFonts w:ascii="Times New Roman" w:eastAsia="Times New Roman" w:hAnsi="Times New Roman" w:cs="Times New Roman"/>
                <w:iCs/>
                <w:sz w:val="18"/>
                <w:szCs w:val="18"/>
                <w:lang w:val="en-US"/>
              </w:rPr>
              <w:t>HEISZ</w:t>
            </w:r>
            <w:r>
              <w:rPr>
                <w:rFonts w:ascii="Times New Roman" w:eastAsia="Times New Roman" w:hAnsi="Times New Roman" w:cs="Times New Roman"/>
                <w:iCs/>
                <w:sz w:val="18"/>
                <w:szCs w:val="18"/>
                <w:lang w:val="en-US"/>
              </w:rPr>
              <w:t>E</w:t>
            </w:r>
          </w:p>
        </w:tc>
        <w:tc>
          <w:tcPr>
            <w:tcW w:w="992" w:type="dxa"/>
            <w:tcBorders>
              <w:top w:val="nil"/>
              <w:left w:val="nil"/>
              <w:right w:val="nil"/>
            </w:tcBorders>
            <w:shd w:val="clear" w:color="auto" w:fill="FFFFFF"/>
            <w:noWrap/>
          </w:tcPr>
          <w:p w14:paraId="26B598CD" w14:textId="77777777" w:rsidR="00837DA7" w:rsidRPr="005F3693" w:rsidRDefault="00837DA7" w:rsidP="00353A9A">
            <w:pPr>
              <w:spacing w:after="0" w:line="240" w:lineRule="auto"/>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0.338</w:t>
            </w:r>
            <w:r w:rsidRPr="005F3693">
              <w:rPr>
                <w:rFonts w:ascii="Times New Roman" w:eastAsia="Times New Roman" w:hAnsi="Times New Roman" w:cs="Times New Roman"/>
                <w:sz w:val="18"/>
                <w:szCs w:val="18"/>
                <w:vertAlign w:val="superscript"/>
                <w:lang w:val="en-US"/>
              </w:rPr>
              <w:t>***</w:t>
            </w:r>
          </w:p>
        </w:tc>
        <w:tc>
          <w:tcPr>
            <w:tcW w:w="850" w:type="dxa"/>
            <w:shd w:val="clear" w:color="auto" w:fill="FFFFFF"/>
          </w:tcPr>
          <w:p w14:paraId="1FB3B123" w14:textId="77777777" w:rsidR="00837DA7" w:rsidRPr="005F3693" w:rsidRDefault="00837DA7" w:rsidP="00353A9A">
            <w:pPr>
              <w:spacing w:after="0" w:line="240" w:lineRule="auto"/>
              <w:ind w:right="-110"/>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0.063</w:t>
            </w:r>
            <w:r w:rsidRPr="005F3693">
              <w:rPr>
                <w:rFonts w:ascii="Times New Roman" w:eastAsia="Times New Roman" w:hAnsi="Times New Roman" w:cs="Times New Roman"/>
                <w:sz w:val="18"/>
                <w:szCs w:val="18"/>
                <w:vertAlign w:val="superscript"/>
                <w:lang w:val="en-US"/>
              </w:rPr>
              <w:t>*</w:t>
            </w:r>
          </w:p>
        </w:tc>
        <w:tc>
          <w:tcPr>
            <w:tcW w:w="851" w:type="dxa"/>
            <w:shd w:val="clear" w:color="auto" w:fill="FFFFFF"/>
          </w:tcPr>
          <w:p w14:paraId="4B9F5C30" w14:textId="77777777" w:rsidR="00837DA7" w:rsidRPr="005F3693" w:rsidRDefault="00837DA7" w:rsidP="00353A9A">
            <w:pPr>
              <w:spacing w:after="0" w:line="240" w:lineRule="auto"/>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0.189</w:t>
            </w:r>
            <w:r w:rsidRPr="005F3693">
              <w:rPr>
                <w:rFonts w:ascii="Times New Roman" w:eastAsia="Times New Roman" w:hAnsi="Times New Roman" w:cs="Times New Roman"/>
                <w:sz w:val="18"/>
                <w:szCs w:val="18"/>
                <w:vertAlign w:val="superscript"/>
                <w:lang w:val="en-US"/>
              </w:rPr>
              <w:t>***</w:t>
            </w:r>
          </w:p>
        </w:tc>
        <w:tc>
          <w:tcPr>
            <w:tcW w:w="850" w:type="dxa"/>
            <w:shd w:val="clear" w:color="auto" w:fill="FFFFFF"/>
          </w:tcPr>
          <w:p w14:paraId="3BA07A6D" w14:textId="77777777" w:rsidR="00837DA7" w:rsidRPr="005F3693" w:rsidRDefault="00837DA7" w:rsidP="00353A9A">
            <w:pPr>
              <w:spacing w:after="0" w:line="240" w:lineRule="auto"/>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-0.010</w:t>
            </w:r>
          </w:p>
        </w:tc>
        <w:tc>
          <w:tcPr>
            <w:tcW w:w="851" w:type="dxa"/>
            <w:shd w:val="clear" w:color="auto" w:fill="FFFFFF"/>
          </w:tcPr>
          <w:p w14:paraId="16856B09" w14:textId="77777777" w:rsidR="00837DA7" w:rsidRPr="005F3693" w:rsidRDefault="00837DA7" w:rsidP="00353A9A">
            <w:pPr>
              <w:spacing w:after="0" w:line="240" w:lineRule="auto"/>
              <w:ind w:right="-126"/>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0.040</w:t>
            </w:r>
          </w:p>
        </w:tc>
        <w:tc>
          <w:tcPr>
            <w:tcW w:w="850" w:type="dxa"/>
            <w:shd w:val="clear" w:color="auto" w:fill="FFFFFF"/>
          </w:tcPr>
          <w:p w14:paraId="1767FE08" w14:textId="77777777" w:rsidR="00837DA7" w:rsidRPr="005F3693" w:rsidRDefault="00837DA7" w:rsidP="00353A9A">
            <w:pPr>
              <w:spacing w:after="0" w:line="240" w:lineRule="auto"/>
              <w:ind w:right="-106"/>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0.140</w:t>
            </w:r>
            <w:r w:rsidRPr="005F3693">
              <w:rPr>
                <w:rFonts w:ascii="Times New Roman" w:eastAsia="Times New Roman" w:hAnsi="Times New Roman" w:cs="Times New Roman"/>
                <w:sz w:val="18"/>
                <w:szCs w:val="18"/>
                <w:vertAlign w:val="superscript"/>
                <w:lang w:val="en-US"/>
              </w:rPr>
              <w:t>***</w:t>
            </w:r>
          </w:p>
        </w:tc>
        <w:tc>
          <w:tcPr>
            <w:tcW w:w="851" w:type="dxa"/>
            <w:shd w:val="clear" w:color="auto" w:fill="FFFFFF"/>
          </w:tcPr>
          <w:p w14:paraId="0B893082" w14:textId="77777777" w:rsidR="00837DA7" w:rsidRPr="005F3693" w:rsidRDefault="00837DA7" w:rsidP="00353A9A">
            <w:pPr>
              <w:spacing w:after="0" w:line="240" w:lineRule="auto"/>
              <w:ind w:right="-106"/>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0.114</w:t>
            </w:r>
            <w:r w:rsidRPr="005F3693">
              <w:rPr>
                <w:rFonts w:ascii="Times New Roman" w:eastAsia="Times New Roman" w:hAnsi="Times New Roman" w:cs="Times New Roman"/>
                <w:sz w:val="18"/>
                <w:szCs w:val="18"/>
                <w:vertAlign w:val="superscript"/>
                <w:lang w:val="en-US"/>
              </w:rPr>
              <w:t>***</w:t>
            </w:r>
          </w:p>
        </w:tc>
        <w:tc>
          <w:tcPr>
            <w:tcW w:w="850" w:type="dxa"/>
            <w:shd w:val="clear" w:color="auto" w:fill="FFFFFF"/>
            <w:noWrap/>
          </w:tcPr>
          <w:p w14:paraId="2916962A" w14:textId="77777777" w:rsidR="00837DA7" w:rsidRPr="005F3693" w:rsidRDefault="00837DA7" w:rsidP="00353A9A">
            <w:pPr>
              <w:spacing w:after="0" w:line="240" w:lineRule="auto"/>
              <w:ind w:right="-106"/>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-0.121</w:t>
            </w:r>
            <w:r w:rsidRPr="005F3693">
              <w:rPr>
                <w:rFonts w:ascii="Times New Roman" w:eastAsia="Times New Roman" w:hAnsi="Times New Roman" w:cs="Times New Roman"/>
                <w:sz w:val="18"/>
                <w:szCs w:val="18"/>
                <w:vertAlign w:val="superscript"/>
                <w:lang w:val="en-US"/>
              </w:rPr>
              <w:t>**</w:t>
            </w:r>
          </w:p>
        </w:tc>
        <w:tc>
          <w:tcPr>
            <w:tcW w:w="851" w:type="dxa"/>
            <w:shd w:val="clear" w:color="auto" w:fill="FFFFFF"/>
            <w:noWrap/>
          </w:tcPr>
          <w:p w14:paraId="628B7FCE" w14:textId="77777777" w:rsidR="00837DA7" w:rsidRPr="005F3693" w:rsidRDefault="00837DA7" w:rsidP="00353A9A">
            <w:pPr>
              <w:spacing w:after="0" w:line="240" w:lineRule="auto"/>
              <w:ind w:right="-112"/>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0.049</w:t>
            </w:r>
          </w:p>
        </w:tc>
        <w:tc>
          <w:tcPr>
            <w:tcW w:w="851" w:type="dxa"/>
            <w:shd w:val="clear" w:color="auto" w:fill="FFFFFF"/>
            <w:noWrap/>
          </w:tcPr>
          <w:p w14:paraId="1CB2E4AB" w14:textId="77777777" w:rsidR="00837DA7" w:rsidRPr="005F3693" w:rsidRDefault="00837DA7" w:rsidP="00353A9A">
            <w:pPr>
              <w:spacing w:after="0" w:line="240" w:lineRule="auto"/>
              <w:ind w:right="-107"/>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0.511</w:t>
            </w:r>
            <w:r w:rsidRPr="005F3693">
              <w:rPr>
                <w:rFonts w:ascii="Times New Roman" w:eastAsia="Times New Roman" w:hAnsi="Times New Roman" w:cs="Times New Roman"/>
                <w:sz w:val="18"/>
                <w:szCs w:val="18"/>
                <w:vertAlign w:val="superscript"/>
                <w:lang w:val="en-US"/>
              </w:rPr>
              <w:t>***</w:t>
            </w:r>
          </w:p>
        </w:tc>
        <w:tc>
          <w:tcPr>
            <w:tcW w:w="870" w:type="dxa"/>
            <w:shd w:val="clear" w:color="auto" w:fill="FFFFFF"/>
            <w:noWrap/>
          </w:tcPr>
          <w:p w14:paraId="15FB3E01" w14:textId="77777777" w:rsidR="00837DA7" w:rsidRPr="005F3693" w:rsidRDefault="00837DA7" w:rsidP="00353A9A">
            <w:pPr>
              <w:spacing w:after="0" w:line="240" w:lineRule="auto"/>
              <w:ind w:right="-102"/>
              <w:jc w:val="both"/>
              <w:rPr>
                <w:rFonts w:ascii="Times New Roman" w:eastAsia="Times New Roman" w:hAnsi="Times New Roman" w:cs="Times New Roman"/>
                <w:sz w:val="18"/>
                <w:szCs w:val="18"/>
                <w:lang w:val="en-US"/>
              </w:rPr>
            </w:pPr>
          </w:p>
        </w:tc>
        <w:tc>
          <w:tcPr>
            <w:tcW w:w="831" w:type="dxa"/>
            <w:shd w:val="clear" w:color="auto" w:fill="FFFFFF"/>
          </w:tcPr>
          <w:p w14:paraId="62866395" w14:textId="77777777" w:rsidR="00837DA7" w:rsidRPr="005F3693" w:rsidRDefault="00837DA7" w:rsidP="00353A9A">
            <w:pPr>
              <w:spacing w:after="0" w:line="240" w:lineRule="auto"/>
              <w:ind w:right="-108"/>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0.397</w:t>
            </w:r>
            <w:r w:rsidRPr="005F3693">
              <w:rPr>
                <w:rFonts w:ascii="Times New Roman" w:eastAsia="Times New Roman" w:hAnsi="Times New Roman" w:cs="Times New Roman"/>
                <w:sz w:val="18"/>
                <w:szCs w:val="18"/>
                <w:vertAlign w:val="superscript"/>
                <w:lang w:val="en-US"/>
              </w:rPr>
              <w:t>***</w:t>
            </w:r>
          </w:p>
        </w:tc>
        <w:tc>
          <w:tcPr>
            <w:tcW w:w="709" w:type="dxa"/>
            <w:shd w:val="clear" w:color="auto" w:fill="FFFFFF"/>
          </w:tcPr>
          <w:p w14:paraId="58A7464F" w14:textId="77777777" w:rsidR="00837DA7" w:rsidRPr="005F3693" w:rsidRDefault="00837DA7" w:rsidP="00353A9A">
            <w:pPr>
              <w:spacing w:after="0" w:line="240" w:lineRule="auto"/>
              <w:ind w:right="-109"/>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-0.027</w:t>
            </w:r>
          </w:p>
        </w:tc>
        <w:tc>
          <w:tcPr>
            <w:tcW w:w="850" w:type="dxa"/>
            <w:shd w:val="clear" w:color="auto" w:fill="FFFFFF"/>
            <w:noWrap/>
          </w:tcPr>
          <w:p w14:paraId="24413638" w14:textId="77777777" w:rsidR="00837DA7" w:rsidRPr="005F3693" w:rsidRDefault="00837DA7" w:rsidP="00353A9A">
            <w:pPr>
              <w:spacing w:after="0" w:line="240" w:lineRule="auto"/>
              <w:ind w:right="-109"/>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-0.427</w:t>
            </w:r>
            <w:r w:rsidRPr="005F3693">
              <w:rPr>
                <w:rFonts w:ascii="Times New Roman" w:eastAsia="Times New Roman" w:hAnsi="Times New Roman" w:cs="Times New Roman"/>
                <w:sz w:val="18"/>
                <w:szCs w:val="18"/>
                <w:vertAlign w:val="superscript"/>
                <w:lang w:val="en-US"/>
              </w:rPr>
              <w:t>***</w:t>
            </w:r>
          </w:p>
        </w:tc>
        <w:tc>
          <w:tcPr>
            <w:tcW w:w="850" w:type="dxa"/>
            <w:shd w:val="clear" w:color="auto" w:fill="FFFFFF"/>
          </w:tcPr>
          <w:p w14:paraId="74C9BCEF" w14:textId="77777777" w:rsidR="00837DA7" w:rsidRPr="005F3693" w:rsidRDefault="00837DA7" w:rsidP="00353A9A">
            <w:pPr>
              <w:spacing w:after="0" w:line="240" w:lineRule="auto"/>
              <w:ind w:right="-104"/>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-0.082</w:t>
            </w:r>
            <w:r w:rsidRPr="005F3693">
              <w:rPr>
                <w:rFonts w:ascii="Times New Roman" w:eastAsia="Times New Roman" w:hAnsi="Times New Roman" w:cs="Times New Roman"/>
                <w:sz w:val="18"/>
                <w:szCs w:val="18"/>
                <w:vertAlign w:val="superscript"/>
                <w:lang w:val="en-US"/>
              </w:rPr>
              <w:t>**</w:t>
            </w:r>
          </w:p>
        </w:tc>
        <w:tc>
          <w:tcPr>
            <w:tcW w:w="851" w:type="dxa"/>
            <w:shd w:val="clear" w:color="auto" w:fill="FFFFFF"/>
          </w:tcPr>
          <w:p w14:paraId="7A621EAC" w14:textId="77777777" w:rsidR="00837DA7" w:rsidRPr="005F3693" w:rsidRDefault="00837DA7" w:rsidP="00353A9A">
            <w:pPr>
              <w:spacing w:after="0" w:line="240" w:lineRule="auto"/>
              <w:ind w:right="-104"/>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-0.051</w:t>
            </w:r>
          </w:p>
        </w:tc>
        <w:tc>
          <w:tcPr>
            <w:tcW w:w="850" w:type="dxa"/>
            <w:shd w:val="clear" w:color="auto" w:fill="FFFFFF"/>
            <w:noWrap/>
          </w:tcPr>
          <w:p w14:paraId="213FA472" w14:textId="77777777" w:rsidR="00837DA7" w:rsidRPr="005F3693" w:rsidRDefault="00837DA7" w:rsidP="00353A9A">
            <w:pPr>
              <w:spacing w:after="0" w:line="240" w:lineRule="auto"/>
              <w:ind w:right="-104"/>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0.069</w:t>
            </w:r>
            <w:r w:rsidRPr="005F3693">
              <w:rPr>
                <w:rFonts w:ascii="Times New Roman" w:eastAsia="Times New Roman" w:hAnsi="Times New Roman" w:cs="Times New Roman"/>
                <w:sz w:val="18"/>
                <w:szCs w:val="18"/>
                <w:vertAlign w:val="superscript"/>
                <w:lang w:val="en-US"/>
              </w:rPr>
              <w:t>*</w:t>
            </w:r>
          </w:p>
        </w:tc>
      </w:tr>
      <w:tr w:rsidR="00837DA7" w:rsidRPr="005F3693" w14:paraId="0FFAADE5" w14:textId="77777777" w:rsidTr="00353A9A">
        <w:trPr>
          <w:trHeight w:val="293"/>
        </w:trPr>
        <w:tc>
          <w:tcPr>
            <w:tcW w:w="993" w:type="dxa"/>
            <w:tcBorders>
              <w:left w:val="nil"/>
            </w:tcBorders>
            <w:shd w:val="clear" w:color="auto" w:fill="FFFFFF"/>
          </w:tcPr>
          <w:p w14:paraId="586272F5" w14:textId="77777777" w:rsidR="00837DA7" w:rsidRPr="005F3693" w:rsidRDefault="00837DA7" w:rsidP="00353A9A">
            <w:pPr>
              <w:spacing w:after="0" w:line="240" w:lineRule="auto"/>
              <w:rPr>
                <w:rFonts w:ascii="Times New Roman" w:eastAsia="Times New Roman" w:hAnsi="Times New Roman" w:cs="Times New Roman"/>
                <w:iCs/>
                <w:sz w:val="18"/>
                <w:szCs w:val="18"/>
                <w:lang w:val="en-US"/>
              </w:rPr>
            </w:pPr>
            <w:r w:rsidRPr="005F3693">
              <w:rPr>
                <w:rFonts w:ascii="Times New Roman" w:eastAsia="Times New Roman" w:hAnsi="Times New Roman" w:cs="Times New Roman"/>
                <w:iCs/>
                <w:sz w:val="18"/>
                <w:szCs w:val="18"/>
                <w:lang w:val="en-US"/>
              </w:rPr>
              <w:t>HEIAG</w:t>
            </w:r>
            <w:r>
              <w:rPr>
                <w:rFonts w:ascii="Times New Roman" w:eastAsia="Times New Roman" w:hAnsi="Times New Roman" w:cs="Times New Roman"/>
                <w:iCs/>
                <w:sz w:val="18"/>
                <w:szCs w:val="18"/>
                <w:lang w:val="en-US"/>
              </w:rPr>
              <w:t>E</w:t>
            </w:r>
          </w:p>
        </w:tc>
        <w:tc>
          <w:tcPr>
            <w:tcW w:w="992" w:type="dxa"/>
            <w:tcBorders>
              <w:left w:val="nil"/>
              <w:right w:val="nil"/>
            </w:tcBorders>
            <w:shd w:val="clear" w:color="auto" w:fill="FFFFFF"/>
            <w:noWrap/>
          </w:tcPr>
          <w:p w14:paraId="53E10EA0" w14:textId="77777777" w:rsidR="00837DA7" w:rsidRPr="005F3693" w:rsidRDefault="00837DA7" w:rsidP="00353A9A">
            <w:pPr>
              <w:spacing w:after="0" w:line="240" w:lineRule="auto"/>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0.275</w:t>
            </w:r>
            <w:r w:rsidRPr="005F3693">
              <w:rPr>
                <w:rFonts w:ascii="Times New Roman" w:eastAsia="Times New Roman" w:hAnsi="Times New Roman" w:cs="Times New Roman"/>
                <w:sz w:val="18"/>
                <w:szCs w:val="18"/>
                <w:vertAlign w:val="superscript"/>
                <w:lang w:val="en-US"/>
              </w:rPr>
              <w:t>***</w:t>
            </w:r>
          </w:p>
        </w:tc>
        <w:tc>
          <w:tcPr>
            <w:tcW w:w="850" w:type="dxa"/>
            <w:shd w:val="clear" w:color="auto" w:fill="FFFFFF"/>
          </w:tcPr>
          <w:p w14:paraId="7BFADFFF" w14:textId="77777777" w:rsidR="00837DA7" w:rsidRPr="005F3693" w:rsidRDefault="00837DA7" w:rsidP="00353A9A">
            <w:pPr>
              <w:spacing w:after="0" w:line="240" w:lineRule="auto"/>
              <w:ind w:right="-128"/>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0.006</w:t>
            </w:r>
          </w:p>
        </w:tc>
        <w:tc>
          <w:tcPr>
            <w:tcW w:w="851" w:type="dxa"/>
            <w:shd w:val="clear" w:color="auto" w:fill="FFFFFF"/>
          </w:tcPr>
          <w:p w14:paraId="62702B9A" w14:textId="77777777" w:rsidR="00837DA7" w:rsidRPr="005F3693" w:rsidRDefault="00837DA7" w:rsidP="00353A9A">
            <w:pPr>
              <w:spacing w:after="0" w:line="240" w:lineRule="auto"/>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0.186</w:t>
            </w:r>
            <w:r w:rsidRPr="005F3693">
              <w:rPr>
                <w:rFonts w:ascii="Times New Roman" w:eastAsia="Times New Roman" w:hAnsi="Times New Roman" w:cs="Times New Roman"/>
                <w:sz w:val="18"/>
                <w:szCs w:val="18"/>
                <w:vertAlign w:val="superscript"/>
                <w:lang w:val="en-US"/>
              </w:rPr>
              <w:t>***</w:t>
            </w:r>
          </w:p>
        </w:tc>
        <w:tc>
          <w:tcPr>
            <w:tcW w:w="850" w:type="dxa"/>
            <w:shd w:val="clear" w:color="auto" w:fill="FFFFFF"/>
          </w:tcPr>
          <w:p w14:paraId="0445976E" w14:textId="77777777" w:rsidR="00837DA7" w:rsidRPr="005F3693" w:rsidRDefault="00837DA7" w:rsidP="00353A9A">
            <w:pPr>
              <w:spacing w:after="0" w:line="240" w:lineRule="auto"/>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-0.009</w:t>
            </w:r>
          </w:p>
        </w:tc>
        <w:tc>
          <w:tcPr>
            <w:tcW w:w="851" w:type="dxa"/>
            <w:shd w:val="clear" w:color="auto" w:fill="FFFFFF"/>
          </w:tcPr>
          <w:p w14:paraId="7CCEFA53" w14:textId="77777777" w:rsidR="00837DA7" w:rsidRPr="005F3693" w:rsidRDefault="00837DA7" w:rsidP="00353A9A">
            <w:pPr>
              <w:spacing w:after="0" w:line="240" w:lineRule="auto"/>
              <w:ind w:right="-112"/>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-0.152</w:t>
            </w:r>
            <w:r w:rsidRPr="005F3693">
              <w:rPr>
                <w:rFonts w:ascii="Times New Roman" w:eastAsia="Times New Roman" w:hAnsi="Times New Roman" w:cs="Times New Roman"/>
                <w:sz w:val="18"/>
                <w:szCs w:val="18"/>
                <w:vertAlign w:val="superscript"/>
                <w:lang w:val="en-US"/>
              </w:rPr>
              <w:t>***</w:t>
            </w:r>
          </w:p>
        </w:tc>
        <w:tc>
          <w:tcPr>
            <w:tcW w:w="850" w:type="dxa"/>
            <w:shd w:val="clear" w:color="auto" w:fill="FFFFFF"/>
          </w:tcPr>
          <w:p w14:paraId="2B66382A" w14:textId="77777777" w:rsidR="00837DA7" w:rsidRPr="005F3693" w:rsidRDefault="00837DA7" w:rsidP="00353A9A">
            <w:pPr>
              <w:spacing w:after="0" w:line="240" w:lineRule="auto"/>
              <w:ind w:right="-106"/>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0.099</w:t>
            </w:r>
            <w:r w:rsidRPr="005F3693">
              <w:rPr>
                <w:rFonts w:ascii="Times New Roman" w:eastAsia="Times New Roman" w:hAnsi="Times New Roman" w:cs="Times New Roman"/>
                <w:sz w:val="18"/>
                <w:szCs w:val="18"/>
                <w:vertAlign w:val="superscript"/>
                <w:lang w:val="en-US"/>
              </w:rPr>
              <w:t>***</w:t>
            </w:r>
          </w:p>
        </w:tc>
        <w:tc>
          <w:tcPr>
            <w:tcW w:w="851" w:type="dxa"/>
            <w:shd w:val="clear" w:color="auto" w:fill="FFFFFF"/>
          </w:tcPr>
          <w:p w14:paraId="0B858066" w14:textId="77777777" w:rsidR="00837DA7" w:rsidRPr="005F3693" w:rsidRDefault="00837DA7" w:rsidP="00353A9A">
            <w:pPr>
              <w:spacing w:after="0" w:line="240" w:lineRule="auto"/>
              <w:ind w:right="-106"/>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0.048</w:t>
            </w:r>
          </w:p>
        </w:tc>
        <w:tc>
          <w:tcPr>
            <w:tcW w:w="850" w:type="dxa"/>
            <w:shd w:val="clear" w:color="auto" w:fill="FFFFFF"/>
            <w:noWrap/>
          </w:tcPr>
          <w:p w14:paraId="1B9B7411" w14:textId="77777777" w:rsidR="00837DA7" w:rsidRPr="005F3693" w:rsidRDefault="00837DA7" w:rsidP="00353A9A">
            <w:pPr>
              <w:spacing w:after="0" w:line="240" w:lineRule="auto"/>
              <w:ind w:right="-106"/>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-0.100</w:t>
            </w:r>
            <w:r w:rsidRPr="005F3693">
              <w:rPr>
                <w:rFonts w:ascii="Times New Roman" w:eastAsia="Times New Roman" w:hAnsi="Times New Roman" w:cs="Times New Roman"/>
                <w:sz w:val="18"/>
                <w:szCs w:val="18"/>
                <w:vertAlign w:val="superscript"/>
                <w:lang w:val="en-US"/>
              </w:rPr>
              <w:t>***</w:t>
            </w:r>
          </w:p>
        </w:tc>
        <w:tc>
          <w:tcPr>
            <w:tcW w:w="851" w:type="dxa"/>
            <w:shd w:val="clear" w:color="auto" w:fill="FFFFFF"/>
            <w:noWrap/>
          </w:tcPr>
          <w:p w14:paraId="35C06DB1" w14:textId="77777777" w:rsidR="00837DA7" w:rsidRPr="005F3693" w:rsidRDefault="00837DA7" w:rsidP="00353A9A">
            <w:pPr>
              <w:spacing w:after="0" w:line="240" w:lineRule="auto"/>
              <w:ind w:right="-112"/>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-0.031</w:t>
            </w:r>
          </w:p>
        </w:tc>
        <w:tc>
          <w:tcPr>
            <w:tcW w:w="851" w:type="dxa"/>
            <w:shd w:val="clear" w:color="auto" w:fill="FFFFFF"/>
            <w:noWrap/>
          </w:tcPr>
          <w:p w14:paraId="323CFE03" w14:textId="77777777" w:rsidR="00837DA7" w:rsidRPr="005F3693" w:rsidRDefault="00837DA7" w:rsidP="00353A9A">
            <w:pPr>
              <w:spacing w:after="0" w:line="240" w:lineRule="auto"/>
              <w:ind w:right="-107"/>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0.421</w:t>
            </w:r>
            <w:r w:rsidRPr="005F3693">
              <w:rPr>
                <w:rFonts w:ascii="Times New Roman" w:eastAsia="Times New Roman" w:hAnsi="Times New Roman" w:cs="Times New Roman"/>
                <w:sz w:val="18"/>
                <w:szCs w:val="18"/>
                <w:vertAlign w:val="superscript"/>
                <w:lang w:val="en-US"/>
              </w:rPr>
              <w:t>***</w:t>
            </w:r>
          </w:p>
        </w:tc>
        <w:tc>
          <w:tcPr>
            <w:tcW w:w="870" w:type="dxa"/>
            <w:shd w:val="clear" w:color="auto" w:fill="FFFFFF"/>
            <w:noWrap/>
          </w:tcPr>
          <w:p w14:paraId="68E98357" w14:textId="77777777" w:rsidR="00837DA7" w:rsidRPr="005F3693" w:rsidRDefault="00837DA7" w:rsidP="00353A9A">
            <w:pPr>
              <w:spacing w:after="0" w:line="240" w:lineRule="auto"/>
              <w:ind w:right="-102"/>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0.297</w:t>
            </w:r>
            <w:r w:rsidRPr="005F3693">
              <w:rPr>
                <w:rFonts w:ascii="Times New Roman" w:eastAsia="Times New Roman" w:hAnsi="Times New Roman" w:cs="Times New Roman"/>
                <w:sz w:val="18"/>
                <w:szCs w:val="18"/>
                <w:vertAlign w:val="superscript"/>
                <w:lang w:val="en-US"/>
              </w:rPr>
              <w:t>***</w:t>
            </w:r>
          </w:p>
        </w:tc>
        <w:tc>
          <w:tcPr>
            <w:tcW w:w="831" w:type="dxa"/>
            <w:shd w:val="clear" w:color="auto" w:fill="FFFFFF"/>
          </w:tcPr>
          <w:p w14:paraId="6160A108" w14:textId="77777777" w:rsidR="00837DA7" w:rsidRPr="005F3693" w:rsidRDefault="00837DA7" w:rsidP="00353A9A">
            <w:pPr>
              <w:spacing w:after="0" w:line="240" w:lineRule="auto"/>
              <w:ind w:right="-108"/>
              <w:jc w:val="both"/>
              <w:rPr>
                <w:rFonts w:ascii="Times New Roman" w:eastAsia="Times New Roman" w:hAnsi="Times New Roman" w:cs="Times New Roman"/>
                <w:sz w:val="18"/>
                <w:szCs w:val="18"/>
                <w:lang w:val="en-US"/>
              </w:rPr>
            </w:pPr>
          </w:p>
        </w:tc>
        <w:tc>
          <w:tcPr>
            <w:tcW w:w="709" w:type="dxa"/>
            <w:shd w:val="clear" w:color="auto" w:fill="FFFFFF"/>
          </w:tcPr>
          <w:p w14:paraId="530E967B" w14:textId="77777777" w:rsidR="00837DA7" w:rsidRPr="005F3693" w:rsidRDefault="00837DA7" w:rsidP="00353A9A">
            <w:pPr>
              <w:spacing w:after="0" w:line="240" w:lineRule="auto"/>
              <w:ind w:right="-109"/>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0.023</w:t>
            </w:r>
          </w:p>
        </w:tc>
        <w:tc>
          <w:tcPr>
            <w:tcW w:w="850" w:type="dxa"/>
            <w:shd w:val="clear" w:color="auto" w:fill="FFFFFF"/>
            <w:noWrap/>
          </w:tcPr>
          <w:p w14:paraId="71AFE012" w14:textId="77777777" w:rsidR="00837DA7" w:rsidRPr="005F3693" w:rsidRDefault="00837DA7" w:rsidP="00353A9A">
            <w:pPr>
              <w:spacing w:after="0" w:line="240" w:lineRule="auto"/>
              <w:ind w:right="-109"/>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-0.420</w:t>
            </w:r>
            <w:r w:rsidRPr="005F3693">
              <w:rPr>
                <w:rFonts w:ascii="Times New Roman" w:eastAsia="Times New Roman" w:hAnsi="Times New Roman" w:cs="Times New Roman"/>
                <w:sz w:val="18"/>
                <w:szCs w:val="18"/>
                <w:vertAlign w:val="superscript"/>
                <w:lang w:val="en-US"/>
              </w:rPr>
              <w:t>***</w:t>
            </w:r>
          </w:p>
        </w:tc>
        <w:tc>
          <w:tcPr>
            <w:tcW w:w="850" w:type="dxa"/>
            <w:shd w:val="clear" w:color="auto" w:fill="FFFFFF"/>
          </w:tcPr>
          <w:p w14:paraId="03340841" w14:textId="77777777" w:rsidR="00837DA7" w:rsidRPr="005F3693" w:rsidRDefault="00837DA7" w:rsidP="00353A9A">
            <w:pPr>
              <w:spacing w:after="0" w:line="240" w:lineRule="auto"/>
              <w:ind w:right="-104"/>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-0.071</w:t>
            </w:r>
            <w:r w:rsidRPr="005F3693">
              <w:rPr>
                <w:rFonts w:ascii="Times New Roman" w:eastAsia="Times New Roman" w:hAnsi="Times New Roman" w:cs="Times New Roman"/>
                <w:sz w:val="18"/>
                <w:szCs w:val="18"/>
                <w:vertAlign w:val="superscript"/>
                <w:lang w:val="en-US"/>
              </w:rPr>
              <w:t>*</w:t>
            </w:r>
          </w:p>
        </w:tc>
        <w:tc>
          <w:tcPr>
            <w:tcW w:w="851" w:type="dxa"/>
            <w:shd w:val="clear" w:color="auto" w:fill="FFFFFF"/>
          </w:tcPr>
          <w:p w14:paraId="7E2D66DF" w14:textId="77777777" w:rsidR="00837DA7" w:rsidRPr="005F3693" w:rsidRDefault="00837DA7" w:rsidP="00353A9A">
            <w:pPr>
              <w:spacing w:after="0" w:line="240" w:lineRule="auto"/>
              <w:ind w:right="-104"/>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-0.119</w:t>
            </w:r>
            <w:r w:rsidRPr="005F3693">
              <w:rPr>
                <w:rFonts w:ascii="Times New Roman" w:eastAsia="Times New Roman" w:hAnsi="Times New Roman" w:cs="Times New Roman"/>
                <w:sz w:val="18"/>
                <w:szCs w:val="18"/>
                <w:vertAlign w:val="superscript"/>
                <w:lang w:val="en-US"/>
              </w:rPr>
              <w:t>***</w:t>
            </w:r>
          </w:p>
        </w:tc>
        <w:tc>
          <w:tcPr>
            <w:tcW w:w="850" w:type="dxa"/>
            <w:shd w:val="clear" w:color="auto" w:fill="FFFFFF"/>
            <w:noWrap/>
          </w:tcPr>
          <w:p w14:paraId="2ED0813C" w14:textId="77777777" w:rsidR="00837DA7" w:rsidRPr="005F3693" w:rsidRDefault="00837DA7" w:rsidP="00353A9A">
            <w:pPr>
              <w:spacing w:after="0" w:line="240" w:lineRule="auto"/>
              <w:ind w:right="-104"/>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-0.105</w:t>
            </w:r>
            <w:r w:rsidRPr="005F3693">
              <w:rPr>
                <w:rFonts w:ascii="Times New Roman" w:eastAsia="Times New Roman" w:hAnsi="Times New Roman" w:cs="Times New Roman"/>
                <w:sz w:val="18"/>
                <w:szCs w:val="18"/>
                <w:vertAlign w:val="superscript"/>
                <w:lang w:val="en-US"/>
              </w:rPr>
              <w:t>***</w:t>
            </w:r>
          </w:p>
        </w:tc>
      </w:tr>
      <w:tr w:rsidR="00837DA7" w:rsidRPr="005F3693" w14:paraId="137E19EC" w14:textId="77777777" w:rsidTr="00353A9A">
        <w:trPr>
          <w:trHeight w:val="251"/>
        </w:trPr>
        <w:tc>
          <w:tcPr>
            <w:tcW w:w="993" w:type="dxa"/>
            <w:tcBorders>
              <w:left w:val="nil"/>
              <w:bottom w:val="nil"/>
            </w:tcBorders>
            <w:shd w:val="clear" w:color="auto" w:fill="FFFFFF"/>
          </w:tcPr>
          <w:p w14:paraId="1EEDEE87" w14:textId="77777777" w:rsidR="00837DA7" w:rsidRPr="005F3693" w:rsidRDefault="00837DA7" w:rsidP="00353A9A">
            <w:pPr>
              <w:spacing w:after="0" w:line="240" w:lineRule="auto"/>
              <w:rPr>
                <w:rFonts w:ascii="Times New Roman" w:eastAsia="Times New Roman" w:hAnsi="Times New Roman" w:cs="Times New Roman"/>
                <w:iCs/>
                <w:sz w:val="18"/>
                <w:szCs w:val="18"/>
                <w:lang w:val="en-US"/>
              </w:rPr>
            </w:pPr>
            <w:r w:rsidRPr="005F3693">
              <w:rPr>
                <w:rFonts w:ascii="Times New Roman" w:eastAsia="Times New Roman" w:hAnsi="Times New Roman" w:cs="Times New Roman"/>
                <w:iCs/>
                <w:sz w:val="18"/>
                <w:szCs w:val="18"/>
                <w:lang w:val="en-US"/>
              </w:rPr>
              <w:t>GRTH</w:t>
            </w:r>
          </w:p>
        </w:tc>
        <w:tc>
          <w:tcPr>
            <w:tcW w:w="992" w:type="dxa"/>
            <w:tcBorders>
              <w:left w:val="nil"/>
              <w:bottom w:val="nil"/>
              <w:right w:val="nil"/>
            </w:tcBorders>
            <w:shd w:val="clear" w:color="auto" w:fill="FFFFFF"/>
            <w:noWrap/>
          </w:tcPr>
          <w:p w14:paraId="28E47DB2" w14:textId="77777777" w:rsidR="00837DA7" w:rsidRPr="005F3693" w:rsidRDefault="00837DA7" w:rsidP="00353A9A">
            <w:pPr>
              <w:spacing w:after="0" w:line="240" w:lineRule="auto"/>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-0.011</w:t>
            </w:r>
          </w:p>
        </w:tc>
        <w:tc>
          <w:tcPr>
            <w:tcW w:w="850" w:type="dxa"/>
            <w:shd w:val="clear" w:color="auto" w:fill="FFFFFF"/>
          </w:tcPr>
          <w:p w14:paraId="60B6E888" w14:textId="77777777" w:rsidR="00837DA7" w:rsidRPr="005F3693" w:rsidRDefault="00837DA7" w:rsidP="00353A9A">
            <w:pPr>
              <w:spacing w:after="0" w:line="240" w:lineRule="auto"/>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-0.060</w:t>
            </w:r>
          </w:p>
        </w:tc>
        <w:tc>
          <w:tcPr>
            <w:tcW w:w="851" w:type="dxa"/>
            <w:shd w:val="clear" w:color="auto" w:fill="FFFFFF"/>
          </w:tcPr>
          <w:p w14:paraId="6403A590" w14:textId="77777777" w:rsidR="00837DA7" w:rsidRPr="005F3693" w:rsidRDefault="00837DA7" w:rsidP="00353A9A">
            <w:pPr>
              <w:spacing w:after="0" w:line="240" w:lineRule="auto"/>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-0.018</w:t>
            </w:r>
          </w:p>
        </w:tc>
        <w:tc>
          <w:tcPr>
            <w:tcW w:w="850" w:type="dxa"/>
            <w:shd w:val="clear" w:color="auto" w:fill="FFFFFF"/>
          </w:tcPr>
          <w:p w14:paraId="7AF35E53" w14:textId="77777777" w:rsidR="00837DA7" w:rsidRPr="005F3693" w:rsidRDefault="00837DA7" w:rsidP="00353A9A">
            <w:pPr>
              <w:spacing w:after="0" w:line="240" w:lineRule="auto"/>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-0.060</w:t>
            </w:r>
          </w:p>
        </w:tc>
        <w:tc>
          <w:tcPr>
            <w:tcW w:w="851" w:type="dxa"/>
            <w:shd w:val="clear" w:color="auto" w:fill="FFFFFF"/>
          </w:tcPr>
          <w:p w14:paraId="65768E43" w14:textId="77777777" w:rsidR="00837DA7" w:rsidRPr="005F3693" w:rsidRDefault="00837DA7" w:rsidP="00353A9A">
            <w:pPr>
              <w:spacing w:after="0" w:line="240" w:lineRule="auto"/>
              <w:ind w:right="-126"/>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0.069</w:t>
            </w:r>
          </w:p>
        </w:tc>
        <w:tc>
          <w:tcPr>
            <w:tcW w:w="850" w:type="dxa"/>
            <w:shd w:val="clear" w:color="auto" w:fill="FFFFFF"/>
          </w:tcPr>
          <w:p w14:paraId="103C80C7" w14:textId="77777777" w:rsidR="00837DA7" w:rsidRPr="005F3693" w:rsidRDefault="00837DA7" w:rsidP="00353A9A">
            <w:pPr>
              <w:spacing w:after="0" w:line="240" w:lineRule="auto"/>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0.013</w:t>
            </w:r>
          </w:p>
        </w:tc>
        <w:tc>
          <w:tcPr>
            <w:tcW w:w="851" w:type="dxa"/>
            <w:shd w:val="clear" w:color="auto" w:fill="FFFFFF"/>
          </w:tcPr>
          <w:p w14:paraId="7C24FD00" w14:textId="77777777" w:rsidR="00837DA7" w:rsidRPr="005F3693" w:rsidRDefault="00837DA7" w:rsidP="00353A9A">
            <w:pPr>
              <w:spacing w:after="0" w:line="240" w:lineRule="auto"/>
              <w:ind w:right="-111"/>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-0.035</w:t>
            </w:r>
          </w:p>
        </w:tc>
        <w:tc>
          <w:tcPr>
            <w:tcW w:w="850" w:type="dxa"/>
            <w:shd w:val="clear" w:color="auto" w:fill="FFFFFF"/>
            <w:noWrap/>
          </w:tcPr>
          <w:p w14:paraId="320AD75F" w14:textId="77777777" w:rsidR="00837DA7" w:rsidRPr="005F3693" w:rsidRDefault="00837DA7" w:rsidP="00353A9A">
            <w:pPr>
              <w:spacing w:after="0" w:line="240" w:lineRule="auto"/>
              <w:ind w:right="-105"/>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0.043</w:t>
            </w:r>
          </w:p>
        </w:tc>
        <w:tc>
          <w:tcPr>
            <w:tcW w:w="851" w:type="dxa"/>
            <w:shd w:val="clear" w:color="auto" w:fill="FFFFFF"/>
            <w:noWrap/>
          </w:tcPr>
          <w:p w14:paraId="64F5206A" w14:textId="77777777" w:rsidR="00837DA7" w:rsidRPr="005F3693" w:rsidRDefault="00837DA7" w:rsidP="00353A9A">
            <w:pPr>
              <w:spacing w:after="0" w:line="240" w:lineRule="auto"/>
              <w:ind w:right="-112"/>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0.042</w:t>
            </w:r>
          </w:p>
        </w:tc>
        <w:tc>
          <w:tcPr>
            <w:tcW w:w="851" w:type="dxa"/>
            <w:shd w:val="clear" w:color="auto" w:fill="FFFFFF"/>
            <w:noWrap/>
          </w:tcPr>
          <w:p w14:paraId="2AE97899" w14:textId="77777777" w:rsidR="00837DA7" w:rsidRPr="005F3693" w:rsidRDefault="00837DA7" w:rsidP="00353A9A">
            <w:pPr>
              <w:spacing w:after="0" w:line="240" w:lineRule="auto"/>
              <w:ind w:right="-107"/>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0.025</w:t>
            </w:r>
          </w:p>
        </w:tc>
        <w:tc>
          <w:tcPr>
            <w:tcW w:w="870" w:type="dxa"/>
            <w:shd w:val="clear" w:color="auto" w:fill="FFFFFF"/>
            <w:noWrap/>
          </w:tcPr>
          <w:p w14:paraId="59C4433F" w14:textId="77777777" w:rsidR="00837DA7" w:rsidRPr="005F3693" w:rsidRDefault="00837DA7" w:rsidP="00353A9A">
            <w:pPr>
              <w:spacing w:after="0" w:line="240" w:lineRule="auto"/>
              <w:ind w:right="-102"/>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-0.054</w:t>
            </w:r>
          </w:p>
        </w:tc>
        <w:tc>
          <w:tcPr>
            <w:tcW w:w="831" w:type="dxa"/>
            <w:shd w:val="clear" w:color="auto" w:fill="FFFFFF"/>
          </w:tcPr>
          <w:p w14:paraId="5954B488" w14:textId="77777777" w:rsidR="00837DA7" w:rsidRPr="005F3693" w:rsidRDefault="00837DA7" w:rsidP="00353A9A">
            <w:pPr>
              <w:spacing w:after="0" w:line="240" w:lineRule="auto"/>
              <w:ind w:right="-108"/>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0.023</w:t>
            </w:r>
          </w:p>
        </w:tc>
        <w:tc>
          <w:tcPr>
            <w:tcW w:w="709" w:type="dxa"/>
            <w:shd w:val="clear" w:color="auto" w:fill="FFFFFF"/>
          </w:tcPr>
          <w:p w14:paraId="219EADC9" w14:textId="77777777" w:rsidR="00837DA7" w:rsidRPr="005F3693" w:rsidRDefault="00837DA7" w:rsidP="00353A9A">
            <w:pPr>
              <w:spacing w:after="0" w:line="240" w:lineRule="auto"/>
              <w:ind w:right="-109"/>
              <w:jc w:val="both"/>
              <w:rPr>
                <w:rFonts w:ascii="Times New Roman" w:eastAsia="Times New Roman" w:hAnsi="Times New Roman" w:cs="Times New Roman"/>
                <w:sz w:val="18"/>
                <w:szCs w:val="18"/>
                <w:lang w:val="en-US"/>
              </w:rPr>
            </w:pPr>
          </w:p>
        </w:tc>
        <w:tc>
          <w:tcPr>
            <w:tcW w:w="850" w:type="dxa"/>
            <w:shd w:val="clear" w:color="auto" w:fill="FFFFFF"/>
            <w:noWrap/>
          </w:tcPr>
          <w:p w14:paraId="5F7DAC78" w14:textId="77777777" w:rsidR="00837DA7" w:rsidRPr="005F3693" w:rsidRDefault="00837DA7" w:rsidP="00353A9A">
            <w:pPr>
              <w:spacing w:after="0" w:line="240" w:lineRule="auto"/>
              <w:ind w:right="-109"/>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0.001</w:t>
            </w:r>
          </w:p>
        </w:tc>
        <w:tc>
          <w:tcPr>
            <w:tcW w:w="850" w:type="dxa"/>
            <w:shd w:val="clear" w:color="auto" w:fill="FFFFFF"/>
          </w:tcPr>
          <w:p w14:paraId="734E5720" w14:textId="77777777" w:rsidR="00837DA7" w:rsidRPr="005F3693" w:rsidRDefault="00837DA7" w:rsidP="00353A9A">
            <w:pPr>
              <w:spacing w:after="0" w:line="240" w:lineRule="auto"/>
              <w:ind w:right="-104"/>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0.010</w:t>
            </w:r>
          </w:p>
        </w:tc>
        <w:tc>
          <w:tcPr>
            <w:tcW w:w="851" w:type="dxa"/>
            <w:shd w:val="clear" w:color="auto" w:fill="FFFFFF"/>
          </w:tcPr>
          <w:p w14:paraId="1F71572B" w14:textId="77777777" w:rsidR="00837DA7" w:rsidRPr="005F3693" w:rsidRDefault="00837DA7" w:rsidP="00353A9A">
            <w:pPr>
              <w:spacing w:after="0" w:line="240" w:lineRule="auto"/>
              <w:ind w:right="-104"/>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0.045</w:t>
            </w:r>
          </w:p>
        </w:tc>
        <w:tc>
          <w:tcPr>
            <w:tcW w:w="850" w:type="dxa"/>
            <w:shd w:val="clear" w:color="auto" w:fill="FFFFFF"/>
            <w:noWrap/>
          </w:tcPr>
          <w:p w14:paraId="5A29DFDD" w14:textId="77777777" w:rsidR="00837DA7" w:rsidRPr="005F3693" w:rsidRDefault="00837DA7" w:rsidP="00353A9A">
            <w:pPr>
              <w:spacing w:after="0" w:line="240" w:lineRule="auto"/>
              <w:ind w:right="-104"/>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0.089</w:t>
            </w:r>
            <w:r w:rsidRPr="005F3693">
              <w:rPr>
                <w:rFonts w:ascii="Times New Roman" w:eastAsia="Times New Roman" w:hAnsi="Times New Roman" w:cs="Times New Roman"/>
                <w:sz w:val="18"/>
                <w:szCs w:val="18"/>
                <w:vertAlign w:val="superscript"/>
                <w:lang w:val="en-US"/>
              </w:rPr>
              <w:t>**</w:t>
            </w:r>
          </w:p>
        </w:tc>
      </w:tr>
      <w:tr w:rsidR="00837DA7" w:rsidRPr="005F3693" w14:paraId="565F95C6" w14:textId="77777777" w:rsidTr="00353A9A">
        <w:trPr>
          <w:trHeight w:val="255"/>
        </w:trPr>
        <w:tc>
          <w:tcPr>
            <w:tcW w:w="993" w:type="dxa"/>
            <w:tcBorders>
              <w:top w:val="nil"/>
              <w:left w:val="nil"/>
            </w:tcBorders>
            <w:shd w:val="clear" w:color="auto" w:fill="FFFFFF"/>
          </w:tcPr>
          <w:p w14:paraId="67B53724" w14:textId="77777777" w:rsidR="00837DA7" w:rsidRPr="005F3693" w:rsidRDefault="00837DA7" w:rsidP="00353A9A">
            <w:pPr>
              <w:spacing w:after="0" w:line="240" w:lineRule="auto"/>
              <w:rPr>
                <w:rFonts w:ascii="Times New Roman" w:eastAsia="Times New Roman" w:hAnsi="Times New Roman" w:cs="Times New Roman"/>
                <w:iCs/>
                <w:sz w:val="18"/>
                <w:szCs w:val="18"/>
                <w:lang w:val="en-US"/>
              </w:rPr>
            </w:pPr>
            <w:r>
              <w:rPr>
                <w:rFonts w:ascii="Times New Roman" w:eastAsia="Times New Roman" w:hAnsi="Times New Roman" w:cs="Times New Roman"/>
                <w:iCs/>
                <w:sz w:val="18"/>
                <w:szCs w:val="18"/>
                <w:lang w:val="en-US"/>
              </w:rPr>
              <w:t>IFUNDC</w:t>
            </w:r>
          </w:p>
        </w:tc>
        <w:tc>
          <w:tcPr>
            <w:tcW w:w="992" w:type="dxa"/>
            <w:tcBorders>
              <w:top w:val="nil"/>
              <w:left w:val="nil"/>
              <w:right w:val="nil"/>
            </w:tcBorders>
            <w:shd w:val="clear" w:color="auto" w:fill="FFFFFF"/>
            <w:noWrap/>
          </w:tcPr>
          <w:p w14:paraId="2E115A10" w14:textId="77777777" w:rsidR="00837DA7" w:rsidRPr="005F3693" w:rsidRDefault="00837DA7" w:rsidP="00353A9A">
            <w:pPr>
              <w:spacing w:after="0" w:line="240" w:lineRule="auto"/>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-0.278</w:t>
            </w:r>
            <w:r w:rsidRPr="005F3693">
              <w:rPr>
                <w:rFonts w:ascii="Times New Roman" w:eastAsia="Times New Roman" w:hAnsi="Times New Roman" w:cs="Times New Roman"/>
                <w:sz w:val="18"/>
                <w:szCs w:val="18"/>
                <w:vertAlign w:val="superscript"/>
                <w:lang w:val="en-US"/>
              </w:rPr>
              <w:t>***</w:t>
            </w:r>
          </w:p>
        </w:tc>
        <w:tc>
          <w:tcPr>
            <w:tcW w:w="850" w:type="dxa"/>
            <w:shd w:val="clear" w:color="auto" w:fill="FFFFFF"/>
          </w:tcPr>
          <w:p w14:paraId="6AB8E68F" w14:textId="77777777" w:rsidR="00837DA7" w:rsidRPr="005F3693" w:rsidRDefault="00837DA7" w:rsidP="00353A9A">
            <w:pPr>
              <w:spacing w:after="0" w:line="240" w:lineRule="auto"/>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0.063</w:t>
            </w:r>
            <w:r w:rsidRPr="005F3693">
              <w:rPr>
                <w:rFonts w:ascii="Times New Roman" w:eastAsia="Times New Roman" w:hAnsi="Times New Roman" w:cs="Times New Roman"/>
                <w:sz w:val="18"/>
                <w:szCs w:val="18"/>
                <w:vertAlign w:val="superscript"/>
                <w:lang w:val="en-US"/>
              </w:rPr>
              <w:t>*</w:t>
            </w:r>
          </w:p>
        </w:tc>
        <w:tc>
          <w:tcPr>
            <w:tcW w:w="851" w:type="dxa"/>
            <w:shd w:val="clear" w:color="auto" w:fill="FFFFFF"/>
          </w:tcPr>
          <w:p w14:paraId="5271F87B" w14:textId="77777777" w:rsidR="00837DA7" w:rsidRPr="005F3693" w:rsidRDefault="00837DA7" w:rsidP="00353A9A">
            <w:pPr>
              <w:spacing w:after="0" w:line="240" w:lineRule="auto"/>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-0.089</w:t>
            </w:r>
            <w:r w:rsidRPr="005F3693">
              <w:rPr>
                <w:rFonts w:ascii="Times New Roman" w:eastAsia="Times New Roman" w:hAnsi="Times New Roman" w:cs="Times New Roman"/>
                <w:sz w:val="18"/>
                <w:szCs w:val="18"/>
                <w:vertAlign w:val="superscript"/>
                <w:lang w:val="en-US"/>
              </w:rPr>
              <w:t>**</w:t>
            </w:r>
          </w:p>
        </w:tc>
        <w:tc>
          <w:tcPr>
            <w:tcW w:w="850" w:type="dxa"/>
            <w:shd w:val="clear" w:color="auto" w:fill="FFFFFF"/>
          </w:tcPr>
          <w:p w14:paraId="79565C2C" w14:textId="77777777" w:rsidR="00837DA7" w:rsidRPr="005F3693" w:rsidRDefault="00837DA7" w:rsidP="00353A9A">
            <w:pPr>
              <w:spacing w:after="0" w:line="240" w:lineRule="auto"/>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-0.018</w:t>
            </w:r>
          </w:p>
        </w:tc>
        <w:tc>
          <w:tcPr>
            <w:tcW w:w="851" w:type="dxa"/>
            <w:shd w:val="clear" w:color="auto" w:fill="FFFFFF"/>
          </w:tcPr>
          <w:p w14:paraId="011B0DDB" w14:textId="77777777" w:rsidR="00837DA7" w:rsidRPr="005F3693" w:rsidRDefault="00837DA7" w:rsidP="00353A9A">
            <w:pPr>
              <w:spacing w:after="0" w:line="240" w:lineRule="auto"/>
              <w:ind w:right="-132"/>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-0.097</w:t>
            </w:r>
            <w:r w:rsidRPr="005F3693">
              <w:rPr>
                <w:rFonts w:ascii="Times New Roman" w:eastAsia="Times New Roman" w:hAnsi="Times New Roman" w:cs="Times New Roman"/>
                <w:sz w:val="18"/>
                <w:szCs w:val="18"/>
                <w:vertAlign w:val="superscript"/>
                <w:lang w:val="en-US"/>
              </w:rPr>
              <w:t>**</w:t>
            </w:r>
          </w:p>
        </w:tc>
        <w:tc>
          <w:tcPr>
            <w:tcW w:w="850" w:type="dxa"/>
            <w:shd w:val="clear" w:color="auto" w:fill="FFFFFF"/>
          </w:tcPr>
          <w:p w14:paraId="05EF466E" w14:textId="77777777" w:rsidR="00837DA7" w:rsidRPr="005F3693" w:rsidRDefault="00837DA7" w:rsidP="00353A9A">
            <w:pPr>
              <w:spacing w:after="0" w:line="240" w:lineRule="auto"/>
              <w:ind w:right="-126"/>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-0.268</w:t>
            </w:r>
            <w:r w:rsidRPr="005F3693">
              <w:rPr>
                <w:rFonts w:ascii="Times New Roman" w:eastAsia="Times New Roman" w:hAnsi="Times New Roman" w:cs="Times New Roman"/>
                <w:sz w:val="18"/>
                <w:szCs w:val="18"/>
                <w:vertAlign w:val="superscript"/>
                <w:lang w:val="en-US"/>
              </w:rPr>
              <w:t>***</w:t>
            </w:r>
          </w:p>
        </w:tc>
        <w:tc>
          <w:tcPr>
            <w:tcW w:w="851" w:type="dxa"/>
            <w:shd w:val="clear" w:color="auto" w:fill="FFFFFF"/>
          </w:tcPr>
          <w:p w14:paraId="476DA275" w14:textId="77777777" w:rsidR="00837DA7" w:rsidRPr="005F3693" w:rsidRDefault="00837DA7" w:rsidP="00353A9A">
            <w:pPr>
              <w:spacing w:after="0" w:line="240" w:lineRule="auto"/>
              <w:ind w:right="-127"/>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-0.120</w:t>
            </w:r>
            <w:r w:rsidRPr="005F3693">
              <w:rPr>
                <w:rFonts w:ascii="Times New Roman" w:eastAsia="Times New Roman" w:hAnsi="Times New Roman" w:cs="Times New Roman"/>
                <w:sz w:val="18"/>
                <w:szCs w:val="18"/>
                <w:vertAlign w:val="superscript"/>
                <w:lang w:val="en-US"/>
              </w:rPr>
              <w:t>***</w:t>
            </w:r>
          </w:p>
        </w:tc>
        <w:tc>
          <w:tcPr>
            <w:tcW w:w="850" w:type="dxa"/>
            <w:shd w:val="clear" w:color="auto" w:fill="FFFFFF"/>
            <w:noWrap/>
          </w:tcPr>
          <w:p w14:paraId="53FE4631" w14:textId="77777777" w:rsidR="00837DA7" w:rsidRPr="005F3693" w:rsidRDefault="00837DA7" w:rsidP="00353A9A">
            <w:pPr>
              <w:spacing w:after="0" w:line="240" w:lineRule="auto"/>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0.083</w:t>
            </w:r>
            <w:r w:rsidRPr="005F3693">
              <w:rPr>
                <w:rFonts w:ascii="Times New Roman" w:eastAsia="Times New Roman" w:hAnsi="Times New Roman" w:cs="Times New Roman"/>
                <w:sz w:val="18"/>
                <w:szCs w:val="18"/>
                <w:vertAlign w:val="superscript"/>
                <w:lang w:val="en-US"/>
              </w:rPr>
              <w:t>**</w:t>
            </w:r>
          </w:p>
        </w:tc>
        <w:tc>
          <w:tcPr>
            <w:tcW w:w="851" w:type="dxa"/>
            <w:shd w:val="clear" w:color="auto" w:fill="FFFFFF"/>
            <w:noWrap/>
          </w:tcPr>
          <w:p w14:paraId="5CD79EAA" w14:textId="77777777" w:rsidR="00837DA7" w:rsidRPr="005F3693" w:rsidRDefault="00837DA7" w:rsidP="00353A9A">
            <w:pPr>
              <w:spacing w:after="0" w:line="240" w:lineRule="auto"/>
              <w:ind w:right="-129"/>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-0.166</w:t>
            </w:r>
            <w:r w:rsidRPr="005F3693">
              <w:rPr>
                <w:rFonts w:ascii="Times New Roman" w:eastAsia="Times New Roman" w:hAnsi="Times New Roman" w:cs="Times New Roman"/>
                <w:sz w:val="18"/>
                <w:szCs w:val="18"/>
                <w:vertAlign w:val="superscript"/>
                <w:lang w:val="en-US"/>
              </w:rPr>
              <w:t>***</w:t>
            </w:r>
          </w:p>
        </w:tc>
        <w:tc>
          <w:tcPr>
            <w:tcW w:w="851" w:type="dxa"/>
            <w:shd w:val="clear" w:color="auto" w:fill="FFFFFF"/>
            <w:noWrap/>
          </w:tcPr>
          <w:p w14:paraId="56EEC9EE" w14:textId="77777777" w:rsidR="00837DA7" w:rsidRPr="005F3693" w:rsidRDefault="00837DA7" w:rsidP="00353A9A">
            <w:pPr>
              <w:spacing w:after="0" w:line="240" w:lineRule="auto"/>
              <w:ind w:right="-107"/>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-0.285</w:t>
            </w:r>
            <w:r w:rsidRPr="005F3693">
              <w:rPr>
                <w:rFonts w:ascii="Times New Roman" w:eastAsia="Times New Roman" w:hAnsi="Times New Roman" w:cs="Times New Roman"/>
                <w:sz w:val="18"/>
                <w:szCs w:val="18"/>
                <w:vertAlign w:val="superscript"/>
                <w:lang w:val="en-US"/>
              </w:rPr>
              <w:t>***</w:t>
            </w:r>
          </w:p>
        </w:tc>
        <w:tc>
          <w:tcPr>
            <w:tcW w:w="870" w:type="dxa"/>
            <w:shd w:val="clear" w:color="auto" w:fill="FFFFFF"/>
            <w:noWrap/>
          </w:tcPr>
          <w:p w14:paraId="21C59810" w14:textId="77777777" w:rsidR="00837DA7" w:rsidRPr="005F3693" w:rsidRDefault="00837DA7" w:rsidP="00353A9A">
            <w:pPr>
              <w:spacing w:after="0" w:line="240" w:lineRule="auto"/>
              <w:ind w:right="-113"/>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-0.386</w:t>
            </w:r>
            <w:r w:rsidRPr="005F3693">
              <w:rPr>
                <w:rFonts w:ascii="Times New Roman" w:eastAsia="Times New Roman" w:hAnsi="Times New Roman" w:cs="Times New Roman"/>
                <w:sz w:val="18"/>
                <w:szCs w:val="18"/>
                <w:vertAlign w:val="superscript"/>
                <w:lang w:val="en-US"/>
              </w:rPr>
              <w:t>***</w:t>
            </w:r>
          </w:p>
        </w:tc>
        <w:tc>
          <w:tcPr>
            <w:tcW w:w="831" w:type="dxa"/>
            <w:shd w:val="clear" w:color="auto" w:fill="FFFFFF"/>
          </w:tcPr>
          <w:p w14:paraId="3467672B" w14:textId="77777777" w:rsidR="00837DA7" w:rsidRPr="005F3693" w:rsidRDefault="00837DA7" w:rsidP="00353A9A">
            <w:pPr>
              <w:spacing w:after="0" w:line="240" w:lineRule="auto"/>
              <w:ind w:right="-108"/>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-0.384</w:t>
            </w:r>
            <w:r w:rsidRPr="005F3693">
              <w:rPr>
                <w:rFonts w:ascii="Times New Roman" w:eastAsia="Times New Roman" w:hAnsi="Times New Roman" w:cs="Times New Roman"/>
                <w:sz w:val="18"/>
                <w:szCs w:val="18"/>
                <w:vertAlign w:val="superscript"/>
                <w:lang w:val="en-US"/>
              </w:rPr>
              <w:t>***</w:t>
            </w:r>
          </w:p>
        </w:tc>
        <w:tc>
          <w:tcPr>
            <w:tcW w:w="709" w:type="dxa"/>
            <w:shd w:val="clear" w:color="auto" w:fill="FFFFFF"/>
          </w:tcPr>
          <w:p w14:paraId="7DEDAFCA" w14:textId="77777777" w:rsidR="00837DA7" w:rsidRPr="005F3693" w:rsidRDefault="00837DA7" w:rsidP="00353A9A">
            <w:pPr>
              <w:spacing w:after="0" w:line="240" w:lineRule="auto"/>
              <w:ind w:right="-109"/>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0.026</w:t>
            </w:r>
          </w:p>
        </w:tc>
        <w:tc>
          <w:tcPr>
            <w:tcW w:w="850" w:type="dxa"/>
            <w:shd w:val="clear" w:color="auto" w:fill="FFFFFF"/>
            <w:noWrap/>
          </w:tcPr>
          <w:p w14:paraId="227DCA0D" w14:textId="77777777" w:rsidR="00837DA7" w:rsidRPr="005F3693" w:rsidRDefault="00837DA7" w:rsidP="00353A9A">
            <w:pPr>
              <w:spacing w:after="0" w:line="240" w:lineRule="auto"/>
              <w:ind w:right="-109"/>
              <w:jc w:val="both"/>
              <w:rPr>
                <w:rFonts w:ascii="Times New Roman" w:eastAsia="Times New Roman" w:hAnsi="Times New Roman" w:cs="Times New Roman"/>
                <w:color w:val="FF0000"/>
                <w:sz w:val="18"/>
                <w:szCs w:val="18"/>
                <w:lang w:val="en-US"/>
              </w:rPr>
            </w:pPr>
          </w:p>
        </w:tc>
        <w:tc>
          <w:tcPr>
            <w:tcW w:w="850" w:type="dxa"/>
            <w:shd w:val="clear" w:color="auto" w:fill="FFFFFF"/>
          </w:tcPr>
          <w:p w14:paraId="4EBD1D54" w14:textId="77777777" w:rsidR="00837DA7" w:rsidRPr="005F3693" w:rsidRDefault="00837DA7" w:rsidP="00353A9A">
            <w:pPr>
              <w:spacing w:after="0" w:line="240" w:lineRule="auto"/>
              <w:ind w:right="-104"/>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0.029</w:t>
            </w:r>
          </w:p>
        </w:tc>
        <w:tc>
          <w:tcPr>
            <w:tcW w:w="851" w:type="dxa"/>
            <w:shd w:val="clear" w:color="auto" w:fill="FFFFFF"/>
          </w:tcPr>
          <w:p w14:paraId="481AF9BB" w14:textId="77777777" w:rsidR="00837DA7" w:rsidRPr="005F3693" w:rsidRDefault="00837DA7" w:rsidP="00353A9A">
            <w:pPr>
              <w:spacing w:after="0" w:line="240" w:lineRule="auto"/>
              <w:ind w:right="-104"/>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0.046</w:t>
            </w:r>
          </w:p>
        </w:tc>
        <w:tc>
          <w:tcPr>
            <w:tcW w:w="850" w:type="dxa"/>
            <w:shd w:val="clear" w:color="auto" w:fill="FFFFFF"/>
            <w:noWrap/>
          </w:tcPr>
          <w:p w14:paraId="4DEB4915" w14:textId="77777777" w:rsidR="00837DA7" w:rsidRPr="005F3693" w:rsidRDefault="00837DA7" w:rsidP="00353A9A">
            <w:pPr>
              <w:spacing w:after="0" w:line="240" w:lineRule="auto"/>
              <w:ind w:right="-104"/>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-0.071</w:t>
            </w:r>
            <w:r w:rsidRPr="005F3693">
              <w:rPr>
                <w:rFonts w:ascii="Times New Roman" w:eastAsia="Times New Roman" w:hAnsi="Times New Roman" w:cs="Times New Roman"/>
                <w:sz w:val="18"/>
                <w:szCs w:val="18"/>
                <w:vertAlign w:val="superscript"/>
                <w:lang w:val="en-US"/>
              </w:rPr>
              <w:t>*</w:t>
            </w:r>
          </w:p>
        </w:tc>
      </w:tr>
      <w:tr w:rsidR="00837DA7" w:rsidRPr="005F3693" w14:paraId="735FD979" w14:textId="77777777" w:rsidTr="00353A9A">
        <w:trPr>
          <w:trHeight w:val="251"/>
        </w:trPr>
        <w:tc>
          <w:tcPr>
            <w:tcW w:w="993" w:type="dxa"/>
            <w:tcBorders>
              <w:top w:val="nil"/>
              <w:left w:val="nil"/>
            </w:tcBorders>
            <w:shd w:val="clear" w:color="auto" w:fill="FFFFFF"/>
          </w:tcPr>
          <w:p w14:paraId="2C01C365" w14:textId="77777777" w:rsidR="00837DA7" w:rsidRPr="005F3693" w:rsidRDefault="00837DA7" w:rsidP="00353A9A">
            <w:pPr>
              <w:spacing w:after="0" w:line="240" w:lineRule="auto"/>
              <w:rPr>
                <w:rFonts w:ascii="Times New Roman" w:eastAsia="Times New Roman" w:hAnsi="Times New Roman" w:cs="Times New Roman"/>
                <w:iCs/>
                <w:sz w:val="18"/>
                <w:szCs w:val="18"/>
                <w:lang w:val="en-US"/>
              </w:rPr>
            </w:pPr>
            <w:r>
              <w:rPr>
                <w:rFonts w:ascii="Times New Roman" w:eastAsia="Times New Roman" w:hAnsi="Times New Roman" w:cs="Times New Roman"/>
                <w:iCs/>
                <w:sz w:val="18"/>
                <w:szCs w:val="18"/>
                <w:lang w:val="en-US"/>
              </w:rPr>
              <w:t>F</w:t>
            </w:r>
            <w:r w:rsidRPr="005F3693">
              <w:rPr>
                <w:rFonts w:ascii="Times New Roman" w:eastAsia="Times New Roman" w:hAnsi="Times New Roman" w:cs="Times New Roman"/>
                <w:iCs/>
                <w:sz w:val="18"/>
                <w:szCs w:val="18"/>
                <w:lang w:val="en-US"/>
              </w:rPr>
              <w:t>R</w:t>
            </w:r>
            <w:r>
              <w:rPr>
                <w:rFonts w:ascii="Times New Roman" w:eastAsia="Times New Roman" w:hAnsi="Times New Roman" w:cs="Times New Roman"/>
                <w:iCs/>
                <w:sz w:val="18"/>
                <w:szCs w:val="18"/>
                <w:lang w:val="en-US"/>
              </w:rPr>
              <w:t>I</w:t>
            </w:r>
            <w:r w:rsidRPr="005F3693">
              <w:rPr>
                <w:rFonts w:ascii="Times New Roman" w:eastAsia="Times New Roman" w:hAnsi="Times New Roman" w:cs="Times New Roman"/>
                <w:iCs/>
                <w:sz w:val="18"/>
                <w:szCs w:val="18"/>
                <w:lang w:val="en-US"/>
              </w:rPr>
              <w:t>SK</w:t>
            </w:r>
          </w:p>
        </w:tc>
        <w:tc>
          <w:tcPr>
            <w:tcW w:w="992" w:type="dxa"/>
            <w:tcBorders>
              <w:top w:val="nil"/>
              <w:left w:val="nil"/>
              <w:right w:val="nil"/>
            </w:tcBorders>
            <w:shd w:val="clear" w:color="auto" w:fill="FFFFFF"/>
            <w:noWrap/>
          </w:tcPr>
          <w:p w14:paraId="5AB1B3D6" w14:textId="77777777" w:rsidR="00837DA7" w:rsidRPr="005F3693" w:rsidRDefault="00837DA7" w:rsidP="00353A9A">
            <w:pPr>
              <w:spacing w:after="0" w:line="240" w:lineRule="auto"/>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0.009</w:t>
            </w:r>
          </w:p>
        </w:tc>
        <w:tc>
          <w:tcPr>
            <w:tcW w:w="850" w:type="dxa"/>
            <w:shd w:val="clear" w:color="auto" w:fill="FFFFFF"/>
          </w:tcPr>
          <w:p w14:paraId="6E4CF0C8" w14:textId="77777777" w:rsidR="00837DA7" w:rsidRPr="005F3693" w:rsidRDefault="00837DA7" w:rsidP="00353A9A">
            <w:pPr>
              <w:spacing w:after="0" w:line="240" w:lineRule="auto"/>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0.050</w:t>
            </w:r>
          </w:p>
        </w:tc>
        <w:tc>
          <w:tcPr>
            <w:tcW w:w="851" w:type="dxa"/>
            <w:shd w:val="clear" w:color="auto" w:fill="FFFFFF"/>
          </w:tcPr>
          <w:p w14:paraId="18BE12E8" w14:textId="77777777" w:rsidR="00837DA7" w:rsidRPr="005F3693" w:rsidRDefault="00837DA7" w:rsidP="00353A9A">
            <w:pPr>
              <w:spacing w:after="0" w:line="240" w:lineRule="auto"/>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-0.043</w:t>
            </w:r>
          </w:p>
        </w:tc>
        <w:tc>
          <w:tcPr>
            <w:tcW w:w="850" w:type="dxa"/>
            <w:shd w:val="clear" w:color="auto" w:fill="FFFFFF"/>
          </w:tcPr>
          <w:p w14:paraId="4EE817A3" w14:textId="77777777" w:rsidR="00837DA7" w:rsidRPr="005F3693" w:rsidRDefault="00837DA7" w:rsidP="00353A9A">
            <w:pPr>
              <w:spacing w:after="0" w:line="240" w:lineRule="auto"/>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-0.074</w:t>
            </w:r>
            <w:r w:rsidRPr="005F3693">
              <w:rPr>
                <w:rFonts w:ascii="Times New Roman" w:eastAsia="Times New Roman" w:hAnsi="Times New Roman" w:cs="Times New Roman"/>
                <w:sz w:val="18"/>
                <w:szCs w:val="18"/>
                <w:vertAlign w:val="superscript"/>
                <w:lang w:val="en-US"/>
              </w:rPr>
              <w:t>*</w:t>
            </w:r>
          </w:p>
        </w:tc>
        <w:tc>
          <w:tcPr>
            <w:tcW w:w="851" w:type="dxa"/>
            <w:shd w:val="clear" w:color="auto" w:fill="FFFFFF"/>
          </w:tcPr>
          <w:p w14:paraId="38DF9B63" w14:textId="77777777" w:rsidR="00837DA7" w:rsidRPr="005F3693" w:rsidRDefault="00837DA7" w:rsidP="00353A9A">
            <w:pPr>
              <w:spacing w:after="0" w:line="240" w:lineRule="auto"/>
              <w:ind w:right="-102"/>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-0.011</w:t>
            </w:r>
          </w:p>
        </w:tc>
        <w:tc>
          <w:tcPr>
            <w:tcW w:w="850" w:type="dxa"/>
            <w:shd w:val="clear" w:color="auto" w:fill="FFFFFF"/>
          </w:tcPr>
          <w:p w14:paraId="7558F044" w14:textId="77777777" w:rsidR="00837DA7" w:rsidRPr="005F3693" w:rsidRDefault="00837DA7" w:rsidP="00353A9A">
            <w:pPr>
              <w:spacing w:after="0" w:line="240" w:lineRule="auto"/>
              <w:ind w:right="-109"/>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-0.039</w:t>
            </w:r>
          </w:p>
        </w:tc>
        <w:tc>
          <w:tcPr>
            <w:tcW w:w="851" w:type="dxa"/>
            <w:shd w:val="clear" w:color="auto" w:fill="FFFFFF"/>
          </w:tcPr>
          <w:p w14:paraId="70064F98" w14:textId="77777777" w:rsidR="00837DA7" w:rsidRPr="005F3693" w:rsidRDefault="00837DA7" w:rsidP="00353A9A">
            <w:pPr>
              <w:spacing w:after="0" w:line="240" w:lineRule="auto"/>
              <w:ind w:right="-109"/>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0.064</w:t>
            </w:r>
            <w:r w:rsidRPr="005F3693">
              <w:rPr>
                <w:rFonts w:ascii="Times New Roman" w:eastAsia="Times New Roman" w:hAnsi="Times New Roman" w:cs="Times New Roman"/>
                <w:sz w:val="18"/>
                <w:szCs w:val="18"/>
                <w:vertAlign w:val="superscript"/>
                <w:lang w:val="en-US"/>
              </w:rPr>
              <w:t>*</w:t>
            </w:r>
          </w:p>
        </w:tc>
        <w:tc>
          <w:tcPr>
            <w:tcW w:w="850" w:type="dxa"/>
            <w:shd w:val="clear" w:color="auto" w:fill="FFFFFF"/>
            <w:noWrap/>
          </w:tcPr>
          <w:p w14:paraId="3D2873D4" w14:textId="77777777" w:rsidR="00837DA7" w:rsidRPr="005F3693" w:rsidRDefault="00837DA7" w:rsidP="00353A9A">
            <w:pPr>
              <w:spacing w:after="0" w:line="240" w:lineRule="auto"/>
              <w:ind w:right="-128"/>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0.060</w:t>
            </w:r>
          </w:p>
        </w:tc>
        <w:tc>
          <w:tcPr>
            <w:tcW w:w="851" w:type="dxa"/>
            <w:shd w:val="clear" w:color="auto" w:fill="FFFFFF"/>
            <w:noWrap/>
          </w:tcPr>
          <w:p w14:paraId="53F05E5C" w14:textId="77777777" w:rsidR="00837DA7" w:rsidRPr="005F3693" w:rsidRDefault="00837DA7" w:rsidP="00353A9A">
            <w:pPr>
              <w:spacing w:after="0" w:line="240" w:lineRule="auto"/>
              <w:ind w:right="-112"/>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0.006</w:t>
            </w:r>
          </w:p>
        </w:tc>
        <w:tc>
          <w:tcPr>
            <w:tcW w:w="851" w:type="dxa"/>
            <w:shd w:val="clear" w:color="auto" w:fill="FFFFFF"/>
            <w:noWrap/>
          </w:tcPr>
          <w:p w14:paraId="4760E12A" w14:textId="77777777" w:rsidR="00837DA7" w:rsidRPr="005F3693" w:rsidRDefault="00837DA7" w:rsidP="00353A9A">
            <w:pPr>
              <w:spacing w:after="0" w:line="240" w:lineRule="auto"/>
              <w:ind w:right="-107"/>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-0.120</w:t>
            </w:r>
            <w:r w:rsidRPr="005F3693">
              <w:rPr>
                <w:rFonts w:ascii="Times New Roman" w:eastAsia="Times New Roman" w:hAnsi="Times New Roman" w:cs="Times New Roman"/>
                <w:sz w:val="18"/>
                <w:szCs w:val="18"/>
                <w:vertAlign w:val="superscript"/>
                <w:lang w:val="en-US"/>
              </w:rPr>
              <w:t>***</w:t>
            </w:r>
          </w:p>
        </w:tc>
        <w:tc>
          <w:tcPr>
            <w:tcW w:w="870" w:type="dxa"/>
            <w:shd w:val="clear" w:color="auto" w:fill="FFFFFF"/>
            <w:noWrap/>
          </w:tcPr>
          <w:p w14:paraId="6AAAD7C1" w14:textId="77777777" w:rsidR="00837DA7" w:rsidRPr="005F3693" w:rsidRDefault="00837DA7" w:rsidP="00353A9A">
            <w:pPr>
              <w:spacing w:after="0" w:line="240" w:lineRule="auto"/>
              <w:ind w:right="-102"/>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-0.120</w:t>
            </w:r>
            <w:r w:rsidRPr="005F3693">
              <w:rPr>
                <w:rFonts w:ascii="Times New Roman" w:eastAsia="Times New Roman" w:hAnsi="Times New Roman" w:cs="Times New Roman"/>
                <w:sz w:val="18"/>
                <w:szCs w:val="18"/>
                <w:vertAlign w:val="superscript"/>
                <w:lang w:val="en-US"/>
              </w:rPr>
              <w:t>***</w:t>
            </w:r>
          </w:p>
        </w:tc>
        <w:tc>
          <w:tcPr>
            <w:tcW w:w="831" w:type="dxa"/>
            <w:shd w:val="clear" w:color="auto" w:fill="FFFFFF"/>
          </w:tcPr>
          <w:p w14:paraId="3723FC9A" w14:textId="77777777" w:rsidR="00837DA7" w:rsidRPr="005F3693" w:rsidRDefault="00837DA7" w:rsidP="00353A9A">
            <w:pPr>
              <w:spacing w:after="0" w:line="240" w:lineRule="auto"/>
              <w:ind w:right="-108"/>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-0.081</w:t>
            </w:r>
            <w:r w:rsidRPr="005F3693">
              <w:rPr>
                <w:rFonts w:ascii="Times New Roman" w:eastAsia="Times New Roman" w:hAnsi="Times New Roman" w:cs="Times New Roman"/>
                <w:sz w:val="18"/>
                <w:szCs w:val="18"/>
                <w:vertAlign w:val="superscript"/>
                <w:lang w:val="en-US"/>
              </w:rPr>
              <w:t>**</w:t>
            </w:r>
          </w:p>
        </w:tc>
        <w:tc>
          <w:tcPr>
            <w:tcW w:w="709" w:type="dxa"/>
            <w:shd w:val="clear" w:color="auto" w:fill="FFFFFF"/>
          </w:tcPr>
          <w:p w14:paraId="7A9E7297" w14:textId="77777777" w:rsidR="00837DA7" w:rsidRPr="005F3693" w:rsidRDefault="00837DA7" w:rsidP="00353A9A">
            <w:pPr>
              <w:spacing w:after="0" w:line="240" w:lineRule="auto"/>
              <w:ind w:right="-109"/>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-0.005</w:t>
            </w:r>
          </w:p>
        </w:tc>
        <w:tc>
          <w:tcPr>
            <w:tcW w:w="850" w:type="dxa"/>
            <w:shd w:val="clear" w:color="auto" w:fill="FFFFFF"/>
            <w:noWrap/>
          </w:tcPr>
          <w:p w14:paraId="2B9EF21C" w14:textId="77777777" w:rsidR="00837DA7" w:rsidRPr="005F3693" w:rsidRDefault="00837DA7" w:rsidP="00353A9A">
            <w:pPr>
              <w:spacing w:after="0" w:line="240" w:lineRule="auto"/>
              <w:ind w:right="-109"/>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-0.002</w:t>
            </w:r>
          </w:p>
        </w:tc>
        <w:tc>
          <w:tcPr>
            <w:tcW w:w="850" w:type="dxa"/>
            <w:shd w:val="clear" w:color="auto" w:fill="FFFFFF"/>
          </w:tcPr>
          <w:p w14:paraId="0BBADB57" w14:textId="77777777" w:rsidR="00837DA7" w:rsidRPr="005F3693" w:rsidRDefault="00837DA7" w:rsidP="00353A9A">
            <w:pPr>
              <w:spacing w:after="0" w:line="240" w:lineRule="auto"/>
              <w:ind w:right="-104"/>
              <w:jc w:val="both"/>
              <w:rPr>
                <w:rFonts w:ascii="Times New Roman" w:eastAsia="Times New Roman" w:hAnsi="Times New Roman" w:cs="Times New Roman"/>
                <w:color w:val="FF0000"/>
                <w:sz w:val="18"/>
                <w:szCs w:val="18"/>
                <w:vertAlign w:val="superscript"/>
                <w:lang w:val="en-US"/>
              </w:rPr>
            </w:pPr>
          </w:p>
        </w:tc>
        <w:tc>
          <w:tcPr>
            <w:tcW w:w="851" w:type="dxa"/>
            <w:shd w:val="clear" w:color="auto" w:fill="FFFFFF"/>
          </w:tcPr>
          <w:p w14:paraId="1A7D50CE" w14:textId="77777777" w:rsidR="00837DA7" w:rsidRPr="005F3693" w:rsidRDefault="00837DA7" w:rsidP="00353A9A">
            <w:pPr>
              <w:spacing w:after="0" w:line="240" w:lineRule="auto"/>
              <w:ind w:right="-104"/>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0.042</w:t>
            </w:r>
          </w:p>
        </w:tc>
        <w:tc>
          <w:tcPr>
            <w:tcW w:w="850" w:type="dxa"/>
            <w:shd w:val="clear" w:color="auto" w:fill="FFFFFF"/>
            <w:noWrap/>
          </w:tcPr>
          <w:p w14:paraId="5491AB27" w14:textId="77777777" w:rsidR="00837DA7" w:rsidRPr="005F3693" w:rsidRDefault="00837DA7" w:rsidP="00353A9A">
            <w:pPr>
              <w:spacing w:after="0" w:line="240" w:lineRule="auto"/>
              <w:ind w:right="-104"/>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0.025</w:t>
            </w:r>
          </w:p>
        </w:tc>
      </w:tr>
      <w:tr w:rsidR="00837DA7" w:rsidRPr="005F3693" w14:paraId="79FD54EC" w14:textId="77777777" w:rsidTr="00353A9A">
        <w:trPr>
          <w:trHeight w:val="251"/>
        </w:trPr>
        <w:tc>
          <w:tcPr>
            <w:tcW w:w="993" w:type="dxa"/>
            <w:tcBorders>
              <w:left w:val="nil"/>
            </w:tcBorders>
            <w:shd w:val="clear" w:color="auto" w:fill="FFFFFF"/>
          </w:tcPr>
          <w:p w14:paraId="3F26DCC9" w14:textId="77777777" w:rsidR="00837DA7" w:rsidRPr="005F3693" w:rsidRDefault="00837DA7" w:rsidP="00353A9A">
            <w:pPr>
              <w:spacing w:after="0" w:line="240" w:lineRule="auto"/>
              <w:rPr>
                <w:rFonts w:ascii="Times New Roman" w:eastAsia="Times New Roman" w:hAnsi="Times New Roman" w:cs="Times New Roman"/>
                <w:iCs/>
                <w:sz w:val="18"/>
                <w:szCs w:val="18"/>
                <w:lang w:val="en-US"/>
              </w:rPr>
            </w:pPr>
            <w:r w:rsidRPr="005F3693">
              <w:rPr>
                <w:rFonts w:ascii="Times New Roman" w:eastAsia="Times New Roman" w:hAnsi="Times New Roman" w:cs="Times New Roman"/>
                <w:iCs/>
                <w:sz w:val="18"/>
                <w:szCs w:val="18"/>
                <w:lang w:val="en-US"/>
              </w:rPr>
              <w:t>LIQU</w:t>
            </w:r>
            <w:r>
              <w:rPr>
                <w:rFonts w:ascii="Times New Roman" w:eastAsia="Times New Roman" w:hAnsi="Times New Roman" w:cs="Times New Roman"/>
                <w:iCs/>
                <w:sz w:val="18"/>
                <w:szCs w:val="18"/>
                <w:lang w:val="en-US"/>
              </w:rPr>
              <w:t>D</w:t>
            </w:r>
          </w:p>
        </w:tc>
        <w:tc>
          <w:tcPr>
            <w:tcW w:w="992" w:type="dxa"/>
            <w:tcBorders>
              <w:left w:val="nil"/>
              <w:right w:val="nil"/>
            </w:tcBorders>
            <w:shd w:val="clear" w:color="auto" w:fill="FFFFFF"/>
            <w:noWrap/>
          </w:tcPr>
          <w:p w14:paraId="50F0DF2A" w14:textId="77777777" w:rsidR="00837DA7" w:rsidRPr="005F3693" w:rsidRDefault="00837DA7" w:rsidP="00353A9A">
            <w:pPr>
              <w:spacing w:after="0" w:line="240" w:lineRule="auto"/>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-0.041</w:t>
            </w:r>
          </w:p>
        </w:tc>
        <w:tc>
          <w:tcPr>
            <w:tcW w:w="850" w:type="dxa"/>
            <w:shd w:val="clear" w:color="auto" w:fill="FFFFFF"/>
          </w:tcPr>
          <w:p w14:paraId="43AE276C" w14:textId="77777777" w:rsidR="00837DA7" w:rsidRPr="005F3693" w:rsidRDefault="00837DA7" w:rsidP="00353A9A">
            <w:pPr>
              <w:spacing w:after="0" w:line="240" w:lineRule="auto"/>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0.028</w:t>
            </w:r>
          </w:p>
        </w:tc>
        <w:tc>
          <w:tcPr>
            <w:tcW w:w="851" w:type="dxa"/>
            <w:shd w:val="clear" w:color="auto" w:fill="FFFFFF"/>
          </w:tcPr>
          <w:p w14:paraId="0B2B39EC" w14:textId="77777777" w:rsidR="00837DA7" w:rsidRPr="005F3693" w:rsidRDefault="00837DA7" w:rsidP="00353A9A">
            <w:pPr>
              <w:spacing w:after="0" w:line="240" w:lineRule="auto"/>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-0.067</w:t>
            </w:r>
            <w:r w:rsidRPr="005F3693">
              <w:rPr>
                <w:rFonts w:ascii="Times New Roman" w:eastAsia="Times New Roman" w:hAnsi="Times New Roman" w:cs="Times New Roman"/>
                <w:sz w:val="18"/>
                <w:szCs w:val="18"/>
                <w:vertAlign w:val="superscript"/>
                <w:lang w:val="en-US"/>
              </w:rPr>
              <w:t>*</w:t>
            </w:r>
          </w:p>
        </w:tc>
        <w:tc>
          <w:tcPr>
            <w:tcW w:w="850" w:type="dxa"/>
            <w:shd w:val="clear" w:color="auto" w:fill="FFFFFF"/>
          </w:tcPr>
          <w:p w14:paraId="1459C47D" w14:textId="77777777" w:rsidR="00837DA7" w:rsidRPr="005F3693" w:rsidRDefault="00837DA7" w:rsidP="00353A9A">
            <w:pPr>
              <w:spacing w:after="0" w:line="240" w:lineRule="auto"/>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-0.092</w:t>
            </w:r>
            <w:r w:rsidRPr="005F3693">
              <w:rPr>
                <w:rFonts w:ascii="Times New Roman" w:eastAsia="Times New Roman" w:hAnsi="Times New Roman" w:cs="Times New Roman"/>
                <w:sz w:val="18"/>
                <w:szCs w:val="18"/>
                <w:vertAlign w:val="superscript"/>
                <w:lang w:val="en-US"/>
              </w:rPr>
              <w:t>**</w:t>
            </w:r>
          </w:p>
        </w:tc>
        <w:tc>
          <w:tcPr>
            <w:tcW w:w="851" w:type="dxa"/>
            <w:shd w:val="clear" w:color="auto" w:fill="FFFFFF"/>
          </w:tcPr>
          <w:p w14:paraId="52D3BA43" w14:textId="77777777" w:rsidR="00837DA7" w:rsidRPr="005F3693" w:rsidRDefault="00837DA7" w:rsidP="00353A9A">
            <w:pPr>
              <w:spacing w:after="0" w:line="240" w:lineRule="auto"/>
              <w:ind w:right="-102"/>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0.045</w:t>
            </w:r>
          </w:p>
        </w:tc>
        <w:tc>
          <w:tcPr>
            <w:tcW w:w="850" w:type="dxa"/>
            <w:shd w:val="clear" w:color="auto" w:fill="FFFFFF"/>
          </w:tcPr>
          <w:p w14:paraId="1F9D87CA" w14:textId="77777777" w:rsidR="00837DA7" w:rsidRPr="005F3693" w:rsidRDefault="00837DA7" w:rsidP="00353A9A">
            <w:pPr>
              <w:spacing w:after="0" w:line="240" w:lineRule="auto"/>
              <w:ind w:right="-109"/>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0.017</w:t>
            </w:r>
          </w:p>
        </w:tc>
        <w:tc>
          <w:tcPr>
            <w:tcW w:w="851" w:type="dxa"/>
            <w:shd w:val="clear" w:color="auto" w:fill="FFFFFF"/>
          </w:tcPr>
          <w:p w14:paraId="796F15FD" w14:textId="77777777" w:rsidR="00837DA7" w:rsidRPr="005F3693" w:rsidRDefault="00837DA7" w:rsidP="00353A9A">
            <w:pPr>
              <w:spacing w:after="0" w:line="240" w:lineRule="auto"/>
              <w:ind w:right="-109"/>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-0.069</w:t>
            </w:r>
            <w:r w:rsidRPr="005F3693">
              <w:rPr>
                <w:rFonts w:ascii="Times New Roman" w:eastAsia="Times New Roman" w:hAnsi="Times New Roman" w:cs="Times New Roman"/>
                <w:sz w:val="18"/>
                <w:szCs w:val="18"/>
                <w:vertAlign w:val="superscript"/>
                <w:lang w:val="en-US"/>
              </w:rPr>
              <w:t>*</w:t>
            </w:r>
          </w:p>
        </w:tc>
        <w:tc>
          <w:tcPr>
            <w:tcW w:w="850" w:type="dxa"/>
            <w:shd w:val="clear" w:color="auto" w:fill="FFFFFF"/>
            <w:noWrap/>
          </w:tcPr>
          <w:p w14:paraId="35AB814C" w14:textId="77777777" w:rsidR="00837DA7" w:rsidRPr="005F3693" w:rsidRDefault="00837DA7" w:rsidP="00353A9A">
            <w:pPr>
              <w:spacing w:after="0" w:line="240" w:lineRule="auto"/>
              <w:ind w:right="-128"/>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0.038</w:t>
            </w:r>
          </w:p>
        </w:tc>
        <w:tc>
          <w:tcPr>
            <w:tcW w:w="851" w:type="dxa"/>
            <w:shd w:val="clear" w:color="auto" w:fill="FFFFFF"/>
            <w:noWrap/>
          </w:tcPr>
          <w:p w14:paraId="0F8C1A27" w14:textId="77777777" w:rsidR="00837DA7" w:rsidRPr="005F3693" w:rsidRDefault="00837DA7" w:rsidP="00353A9A">
            <w:pPr>
              <w:spacing w:after="0" w:line="240" w:lineRule="auto"/>
              <w:ind w:right="-112"/>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0.067</w:t>
            </w:r>
          </w:p>
        </w:tc>
        <w:tc>
          <w:tcPr>
            <w:tcW w:w="851" w:type="dxa"/>
            <w:shd w:val="clear" w:color="auto" w:fill="FFFFFF"/>
            <w:noWrap/>
          </w:tcPr>
          <w:p w14:paraId="0CD3FFF8" w14:textId="77777777" w:rsidR="00837DA7" w:rsidRPr="005F3693" w:rsidRDefault="00837DA7" w:rsidP="00353A9A">
            <w:pPr>
              <w:spacing w:after="0" w:line="240" w:lineRule="auto"/>
              <w:ind w:right="-107"/>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-0.021</w:t>
            </w:r>
          </w:p>
        </w:tc>
        <w:tc>
          <w:tcPr>
            <w:tcW w:w="870" w:type="dxa"/>
            <w:shd w:val="clear" w:color="auto" w:fill="FFFFFF"/>
            <w:noWrap/>
          </w:tcPr>
          <w:p w14:paraId="3C0F909B" w14:textId="77777777" w:rsidR="00837DA7" w:rsidRPr="005F3693" w:rsidRDefault="00837DA7" w:rsidP="00353A9A">
            <w:pPr>
              <w:spacing w:after="0" w:line="240" w:lineRule="auto"/>
              <w:ind w:right="-102"/>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-0.027</w:t>
            </w:r>
          </w:p>
        </w:tc>
        <w:tc>
          <w:tcPr>
            <w:tcW w:w="831" w:type="dxa"/>
            <w:shd w:val="clear" w:color="auto" w:fill="FFFFFF"/>
          </w:tcPr>
          <w:p w14:paraId="3C2B5709" w14:textId="77777777" w:rsidR="00837DA7" w:rsidRPr="005F3693" w:rsidRDefault="00837DA7" w:rsidP="00353A9A">
            <w:pPr>
              <w:spacing w:after="0" w:line="240" w:lineRule="auto"/>
              <w:ind w:right="-108"/>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-0.093</w:t>
            </w:r>
            <w:r w:rsidRPr="005F3693">
              <w:rPr>
                <w:rFonts w:ascii="Times New Roman" w:eastAsia="Times New Roman" w:hAnsi="Times New Roman" w:cs="Times New Roman"/>
                <w:sz w:val="18"/>
                <w:szCs w:val="18"/>
                <w:vertAlign w:val="superscript"/>
                <w:lang w:val="en-US"/>
              </w:rPr>
              <w:t>**</w:t>
            </w:r>
          </w:p>
        </w:tc>
        <w:tc>
          <w:tcPr>
            <w:tcW w:w="709" w:type="dxa"/>
            <w:shd w:val="clear" w:color="auto" w:fill="FFFFFF"/>
          </w:tcPr>
          <w:p w14:paraId="65B6CE1B" w14:textId="77777777" w:rsidR="00837DA7" w:rsidRPr="005F3693" w:rsidRDefault="00837DA7" w:rsidP="00353A9A">
            <w:pPr>
              <w:spacing w:after="0" w:line="240" w:lineRule="auto"/>
              <w:ind w:right="-109"/>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0.020</w:t>
            </w:r>
          </w:p>
        </w:tc>
        <w:tc>
          <w:tcPr>
            <w:tcW w:w="850" w:type="dxa"/>
            <w:shd w:val="clear" w:color="auto" w:fill="FFFFFF"/>
            <w:noWrap/>
          </w:tcPr>
          <w:p w14:paraId="310DD9D8" w14:textId="77777777" w:rsidR="00837DA7" w:rsidRPr="005F3693" w:rsidRDefault="00837DA7" w:rsidP="00353A9A">
            <w:pPr>
              <w:spacing w:after="0" w:line="240" w:lineRule="auto"/>
              <w:ind w:right="-109"/>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0.031</w:t>
            </w:r>
          </w:p>
        </w:tc>
        <w:tc>
          <w:tcPr>
            <w:tcW w:w="850" w:type="dxa"/>
            <w:shd w:val="clear" w:color="auto" w:fill="FFFFFF"/>
          </w:tcPr>
          <w:p w14:paraId="7B6B0CDB" w14:textId="77777777" w:rsidR="00837DA7" w:rsidRPr="005F3693" w:rsidRDefault="00837DA7" w:rsidP="00353A9A">
            <w:pPr>
              <w:spacing w:after="0" w:line="240" w:lineRule="auto"/>
              <w:ind w:right="-104"/>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0.044</w:t>
            </w:r>
          </w:p>
        </w:tc>
        <w:tc>
          <w:tcPr>
            <w:tcW w:w="851" w:type="dxa"/>
            <w:shd w:val="clear" w:color="auto" w:fill="FFFFFF"/>
          </w:tcPr>
          <w:p w14:paraId="54D92225" w14:textId="77777777" w:rsidR="00837DA7" w:rsidRPr="005F3693" w:rsidRDefault="00837DA7" w:rsidP="00353A9A">
            <w:pPr>
              <w:spacing w:after="0" w:line="240" w:lineRule="auto"/>
              <w:ind w:right="-104"/>
              <w:jc w:val="both"/>
              <w:rPr>
                <w:rFonts w:ascii="Times New Roman" w:eastAsia="Times New Roman" w:hAnsi="Times New Roman" w:cs="Times New Roman"/>
                <w:sz w:val="18"/>
                <w:szCs w:val="18"/>
                <w:lang w:val="en-US"/>
              </w:rPr>
            </w:pPr>
          </w:p>
        </w:tc>
        <w:tc>
          <w:tcPr>
            <w:tcW w:w="850" w:type="dxa"/>
            <w:shd w:val="clear" w:color="auto" w:fill="FFFFFF"/>
            <w:noWrap/>
          </w:tcPr>
          <w:p w14:paraId="28FFD78F" w14:textId="77777777" w:rsidR="00837DA7" w:rsidRPr="005F3693" w:rsidRDefault="00837DA7" w:rsidP="00353A9A">
            <w:pPr>
              <w:spacing w:after="0" w:line="240" w:lineRule="auto"/>
              <w:ind w:right="-104"/>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0.011</w:t>
            </w:r>
          </w:p>
        </w:tc>
      </w:tr>
      <w:tr w:rsidR="00837DA7" w:rsidRPr="00CE48CF" w14:paraId="65F7295A" w14:textId="77777777" w:rsidTr="00353A9A">
        <w:trPr>
          <w:trHeight w:val="295"/>
        </w:trPr>
        <w:tc>
          <w:tcPr>
            <w:tcW w:w="993" w:type="dxa"/>
            <w:tcBorders>
              <w:top w:val="nil"/>
              <w:left w:val="nil"/>
              <w:bottom w:val="single" w:sz="2" w:space="0" w:color="auto"/>
            </w:tcBorders>
            <w:shd w:val="clear" w:color="auto" w:fill="FFFFFF"/>
          </w:tcPr>
          <w:p w14:paraId="06AFE8FC" w14:textId="77777777" w:rsidR="00837DA7" w:rsidRPr="005F3693" w:rsidRDefault="00837DA7" w:rsidP="00353A9A">
            <w:pPr>
              <w:spacing w:after="0" w:line="240" w:lineRule="auto"/>
              <w:rPr>
                <w:rFonts w:ascii="Times New Roman" w:eastAsia="Times New Roman" w:hAnsi="Times New Roman" w:cs="Times New Roman"/>
                <w:iCs/>
                <w:sz w:val="18"/>
                <w:szCs w:val="18"/>
                <w:lang w:val="en-US"/>
              </w:rPr>
            </w:pPr>
            <w:r w:rsidRPr="005F3693">
              <w:rPr>
                <w:rFonts w:ascii="Times New Roman" w:eastAsia="Times New Roman" w:hAnsi="Times New Roman" w:cs="Times New Roman"/>
                <w:iCs/>
                <w:sz w:val="18"/>
                <w:szCs w:val="18"/>
                <w:lang w:val="en-US"/>
              </w:rPr>
              <w:t>LEVE</w:t>
            </w:r>
          </w:p>
        </w:tc>
        <w:tc>
          <w:tcPr>
            <w:tcW w:w="992" w:type="dxa"/>
            <w:tcBorders>
              <w:top w:val="nil"/>
              <w:left w:val="nil"/>
              <w:bottom w:val="single" w:sz="2" w:space="0" w:color="auto"/>
              <w:right w:val="nil"/>
            </w:tcBorders>
            <w:shd w:val="clear" w:color="auto" w:fill="FFFFFF"/>
            <w:noWrap/>
          </w:tcPr>
          <w:p w14:paraId="2589B9C8" w14:textId="77777777" w:rsidR="00837DA7" w:rsidRPr="005F3693" w:rsidRDefault="00837DA7" w:rsidP="00353A9A">
            <w:pPr>
              <w:spacing w:after="0" w:line="240" w:lineRule="auto"/>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0.082</w:t>
            </w:r>
            <w:r w:rsidRPr="005F3693">
              <w:rPr>
                <w:rFonts w:ascii="Times New Roman" w:eastAsia="Times New Roman" w:hAnsi="Times New Roman" w:cs="Times New Roman"/>
                <w:sz w:val="18"/>
                <w:szCs w:val="18"/>
                <w:vertAlign w:val="superscript"/>
                <w:lang w:val="en-US"/>
              </w:rPr>
              <w:t>**</w:t>
            </w:r>
          </w:p>
        </w:tc>
        <w:tc>
          <w:tcPr>
            <w:tcW w:w="850" w:type="dxa"/>
            <w:tcBorders>
              <w:bottom w:val="single" w:sz="2" w:space="0" w:color="auto"/>
            </w:tcBorders>
            <w:shd w:val="clear" w:color="auto" w:fill="FFFFFF"/>
          </w:tcPr>
          <w:p w14:paraId="2FA8E3E8" w14:textId="77777777" w:rsidR="00837DA7" w:rsidRPr="005F3693" w:rsidRDefault="00837DA7" w:rsidP="00353A9A">
            <w:pPr>
              <w:spacing w:after="0" w:line="240" w:lineRule="auto"/>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0.007</w:t>
            </w:r>
          </w:p>
        </w:tc>
        <w:tc>
          <w:tcPr>
            <w:tcW w:w="851" w:type="dxa"/>
            <w:tcBorders>
              <w:bottom w:val="single" w:sz="2" w:space="0" w:color="auto"/>
            </w:tcBorders>
            <w:shd w:val="clear" w:color="auto" w:fill="FFFFFF"/>
          </w:tcPr>
          <w:p w14:paraId="7D3C023C" w14:textId="77777777" w:rsidR="00837DA7" w:rsidRPr="005F3693" w:rsidRDefault="00837DA7" w:rsidP="00353A9A">
            <w:pPr>
              <w:spacing w:after="0" w:line="240" w:lineRule="auto"/>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-0.026</w:t>
            </w:r>
          </w:p>
        </w:tc>
        <w:tc>
          <w:tcPr>
            <w:tcW w:w="850" w:type="dxa"/>
            <w:tcBorders>
              <w:bottom w:val="single" w:sz="2" w:space="0" w:color="auto"/>
            </w:tcBorders>
            <w:shd w:val="clear" w:color="auto" w:fill="FFFFFF"/>
          </w:tcPr>
          <w:p w14:paraId="022EB887" w14:textId="77777777" w:rsidR="00837DA7" w:rsidRPr="005F3693" w:rsidRDefault="00837DA7" w:rsidP="00353A9A">
            <w:pPr>
              <w:spacing w:after="0" w:line="240" w:lineRule="auto"/>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-0.037</w:t>
            </w:r>
          </w:p>
        </w:tc>
        <w:tc>
          <w:tcPr>
            <w:tcW w:w="851" w:type="dxa"/>
            <w:tcBorders>
              <w:bottom w:val="single" w:sz="2" w:space="0" w:color="auto"/>
            </w:tcBorders>
            <w:shd w:val="clear" w:color="auto" w:fill="FFFFFF"/>
          </w:tcPr>
          <w:p w14:paraId="5569C8EA" w14:textId="77777777" w:rsidR="00837DA7" w:rsidRPr="005F3693" w:rsidRDefault="00837DA7" w:rsidP="00353A9A">
            <w:pPr>
              <w:spacing w:after="0" w:line="240" w:lineRule="auto"/>
              <w:ind w:right="-112"/>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0.134</w:t>
            </w:r>
            <w:r w:rsidRPr="005F3693">
              <w:rPr>
                <w:rFonts w:ascii="Times New Roman" w:eastAsia="Times New Roman" w:hAnsi="Times New Roman" w:cs="Times New Roman"/>
                <w:sz w:val="18"/>
                <w:szCs w:val="18"/>
                <w:vertAlign w:val="superscript"/>
                <w:lang w:val="en-US"/>
              </w:rPr>
              <w:t>***</w:t>
            </w:r>
          </w:p>
        </w:tc>
        <w:tc>
          <w:tcPr>
            <w:tcW w:w="850" w:type="dxa"/>
            <w:tcBorders>
              <w:bottom w:val="single" w:sz="2" w:space="0" w:color="auto"/>
            </w:tcBorders>
            <w:shd w:val="clear" w:color="auto" w:fill="FFFFFF"/>
          </w:tcPr>
          <w:p w14:paraId="564DA9DA" w14:textId="77777777" w:rsidR="00837DA7" w:rsidRPr="005F3693" w:rsidRDefault="00837DA7" w:rsidP="00353A9A">
            <w:pPr>
              <w:spacing w:after="0" w:line="240" w:lineRule="auto"/>
              <w:ind w:right="-109"/>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-0.040</w:t>
            </w:r>
          </w:p>
        </w:tc>
        <w:tc>
          <w:tcPr>
            <w:tcW w:w="851" w:type="dxa"/>
            <w:tcBorders>
              <w:bottom w:val="single" w:sz="2" w:space="0" w:color="auto"/>
            </w:tcBorders>
            <w:shd w:val="clear" w:color="auto" w:fill="FFFFFF"/>
          </w:tcPr>
          <w:p w14:paraId="7C79EFCD" w14:textId="77777777" w:rsidR="00837DA7" w:rsidRPr="005F3693" w:rsidRDefault="00837DA7" w:rsidP="00353A9A">
            <w:pPr>
              <w:spacing w:after="0" w:line="240" w:lineRule="auto"/>
              <w:ind w:right="-109"/>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-0.098</w:t>
            </w:r>
            <w:r w:rsidRPr="005F3693">
              <w:rPr>
                <w:rFonts w:ascii="Times New Roman" w:eastAsia="Times New Roman" w:hAnsi="Times New Roman" w:cs="Times New Roman"/>
                <w:sz w:val="18"/>
                <w:szCs w:val="18"/>
                <w:vertAlign w:val="superscript"/>
                <w:lang w:val="en-US"/>
              </w:rPr>
              <w:t>**</w:t>
            </w:r>
          </w:p>
        </w:tc>
        <w:tc>
          <w:tcPr>
            <w:tcW w:w="850" w:type="dxa"/>
            <w:tcBorders>
              <w:bottom w:val="single" w:sz="2" w:space="0" w:color="auto"/>
            </w:tcBorders>
            <w:shd w:val="clear" w:color="auto" w:fill="FFFFFF"/>
            <w:noWrap/>
          </w:tcPr>
          <w:p w14:paraId="6CF182FB" w14:textId="77777777" w:rsidR="00837DA7" w:rsidRPr="005F3693" w:rsidRDefault="00837DA7" w:rsidP="00353A9A">
            <w:pPr>
              <w:spacing w:after="0" w:line="240" w:lineRule="auto"/>
              <w:ind w:right="-128"/>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-0.020</w:t>
            </w:r>
          </w:p>
        </w:tc>
        <w:tc>
          <w:tcPr>
            <w:tcW w:w="851" w:type="dxa"/>
            <w:tcBorders>
              <w:bottom w:val="single" w:sz="2" w:space="0" w:color="auto"/>
            </w:tcBorders>
            <w:shd w:val="clear" w:color="auto" w:fill="FFFFFF"/>
            <w:noWrap/>
          </w:tcPr>
          <w:p w14:paraId="083ACC9A" w14:textId="77777777" w:rsidR="00837DA7" w:rsidRPr="005F3693" w:rsidRDefault="00837DA7" w:rsidP="00353A9A">
            <w:pPr>
              <w:spacing w:after="0" w:line="240" w:lineRule="auto"/>
              <w:ind w:right="-129"/>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-0.013</w:t>
            </w:r>
          </w:p>
        </w:tc>
        <w:tc>
          <w:tcPr>
            <w:tcW w:w="851" w:type="dxa"/>
            <w:tcBorders>
              <w:bottom w:val="single" w:sz="2" w:space="0" w:color="auto"/>
            </w:tcBorders>
            <w:shd w:val="clear" w:color="auto" w:fill="FFFFFF"/>
            <w:noWrap/>
          </w:tcPr>
          <w:p w14:paraId="52C7D555" w14:textId="77777777" w:rsidR="00837DA7" w:rsidRPr="005F3693" w:rsidRDefault="00837DA7" w:rsidP="00353A9A">
            <w:pPr>
              <w:spacing w:after="0" w:line="240" w:lineRule="auto"/>
              <w:ind w:right="-107"/>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-0.027</w:t>
            </w:r>
          </w:p>
        </w:tc>
        <w:tc>
          <w:tcPr>
            <w:tcW w:w="870" w:type="dxa"/>
            <w:tcBorders>
              <w:bottom w:val="single" w:sz="2" w:space="0" w:color="auto"/>
            </w:tcBorders>
            <w:shd w:val="clear" w:color="auto" w:fill="FFFFFF"/>
            <w:noWrap/>
          </w:tcPr>
          <w:p w14:paraId="57501038" w14:textId="77777777" w:rsidR="00837DA7" w:rsidRPr="005F3693" w:rsidRDefault="00837DA7" w:rsidP="00353A9A">
            <w:pPr>
              <w:spacing w:after="0" w:line="240" w:lineRule="auto"/>
              <w:ind w:right="-102"/>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0.071</w:t>
            </w:r>
            <w:r w:rsidRPr="005F3693">
              <w:rPr>
                <w:rFonts w:ascii="Times New Roman" w:eastAsia="Times New Roman" w:hAnsi="Times New Roman" w:cs="Times New Roman"/>
                <w:sz w:val="18"/>
                <w:szCs w:val="18"/>
                <w:vertAlign w:val="superscript"/>
                <w:lang w:val="en-US"/>
              </w:rPr>
              <w:t>*</w:t>
            </w:r>
          </w:p>
        </w:tc>
        <w:tc>
          <w:tcPr>
            <w:tcW w:w="831" w:type="dxa"/>
            <w:tcBorders>
              <w:bottom w:val="single" w:sz="2" w:space="0" w:color="auto"/>
            </w:tcBorders>
            <w:shd w:val="clear" w:color="auto" w:fill="FFFFFF"/>
          </w:tcPr>
          <w:p w14:paraId="358B153A" w14:textId="77777777" w:rsidR="00837DA7" w:rsidRPr="005F3693" w:rsidRDefault="00837DA7" w:rsidP="00353A9A">
            <w:pPr>
              <w:spacing w:after="0" w:line="240" w:lineRule="auto"/>
              <w:ind w:right="-108"/>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-0.146</w:t>
            </w:r>
            <w:r w:rsidRPr="005F3693">
              <w:rPr>
                <w:rFonts w:ascii="Times New Roman" w:eastAsia="Times New Roman" w:hAnsi="Times New Roman" w:cs="Times New Roman"/>
                <w:sz w:val="18"/>
                <w:szCs w:val="18"/>
                <w:vertAlign w:val="superscript"/>
                <w:lang w:val="en-US"/>
              </w:rPr>
              <w:t>***</w:t>
            </w:r>
          </w:p>
        </w:tc>
        <w:tc>
          <w:tcPr>
            <w:tcW w:w="709" w:type="dxa"/>
            <w:tcBorders>
              <w:bottom w:val="single" w:sz="2" w:space="0" w:color="auto"/>
            </w:tcBorders>
            <w:shd w:val="clear" w:color="auto" w:fill="FFFFFF"/>
          </w:tcPr>
          <w:p w14:paraId="33BA2697" w14:textId="77777777" w:rsidR="00837DA7" w:rsidRPr="005F3693" w:rsidRDefault="00837DA7" w:rsidP="00353A9A">
            <w:pPr>
              <w:spacing w:after="0" w:line="240" w:lineRule="auto"/>
              <w:ind w:right="-109"/>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0.111</w:t>
            </w:r>
            <w:r w:rsidRPr="005F3693">
              <w:rPr>
                <w:rFonts w:ascii="Times New Roman" w:eastAsia="Times New Roman" w:hAnsi="Times New Roman" w:cs="Times New Roman"/>
                <w:sz w:val="18"/>
                <w:szCs w:val="18"/>
                <w:vertAlign w:val="superscript"/>
                <w:lang w:val="en-US"/>
              </w:rPr>
              <w:t>***</w:t>
            </w:r>
          </w:p>
        </w:tc>
        <w:tc>
          <w:tcPr>
            <w:tcW w:w="850" w:type="dxa"/>
            <w:tcBorders>
              <w:bottom w:val="single" w:sz="2" w:space="0" w:color="auto"/>
            </w:tcBorders>
            <w:shd w:val="clear" w:color="auto" w:fill="FFFFFF"/>
            <w:noWrap/>
          </w:tcPr>
          <w:p w14:paraId="07674481" w14:textId="77777777" w:rsidR="00837DA7" w:rsidRPr="005F3693" w:rsidRDefault="00837DA7" w:rsidP="00353A9A">
            <w:pPr>
              <w:spacing w:after="0" w:line="240" w:lineRule="auto"/>
              <w:ind w:right="-109"/>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-0.065</w:t>
            </w:r>
            <w:r w:rsidRPr="005F3693">
              <w:rPr>
                <w:rFonts w:ascii="Times New Roman" w:eastAsia="Times New Roman" w:hAnsi="Times New Roman" w:cs="Times New Roman"/>
                <w:sz w:val="18"/>
                <w:szCs w:val="18"/>
                <w:vertAlign w:val="superscript"/>
                <w:lang w:val="en-US"/>
              </w:rPr>
              <w:t>*</w:t>
            </w:r>
          </w:p>
        </w:tc>
        <w:tc>
          <w:tcPr>
            <w:tcW w:w="850" w:type="dxa"/>
            <w:tcBorders>
              <w:bottom w:val="single" w:sz="2" w:space="0" w:color="auto"/>
            </w:tcBorders>
            <w:shd w:val="clear" w:color="auto" w:fill="FFFFFF"/>
          </w:tcPr>
          <w:p w14:paraId="1FBBAD95" w14:textId="77777777" w:rsidR="00837DA7" w:rsidRPr="005F3693" w:rsidRDefault="00837DA7" w:rsidP="00353A9A">
            <w:pPr>
              <w:spacing w:after="0" w:line="240" w:lineRule="auto"/>
              <w:ind w:right="-104"/>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0.050</w:t>
            </w:r>
          </w:p>
        </w:tc>
        <w:tc>
          <w:tcPr>
            <w:tcW w:w="851" w:type="dxa"/>
            <w:tcBorders>
              <w:bottom w:val="single" w:sz="2" w:space="0" w:color="auto"/>
            </w:tcBorders>
            <w:shd w:val="clear" w:color="auto" w:fill="FFFFFF"/>
          </w:tcPr>
          <w:p w14:paraId="7DFEE0C0" w14:textId="77777777" w:rsidR="00837DA7" w:rsidRPr="005F3693" w:rsidRDefault="00837DA7" w:rsidP="00353A9A">
            <w:pPr>
              <w:spacing w:after="0" w:line="240" w:lineRule="auto"/>
              <w:ind w:right="-104"/>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0.022</w:t>
            </w:r>
          </w:p>
        </w:tc>
        <w:tc>
          <w:tcPr>
            <w:tcW w:w="850" w:type="dxa"/>
            <w:tcBorders>
              <w:bottom w:val="single" w:sz="2" w:space="0" w:color="auto"/>
            </w:tcBorders>
            <w:shd w:val="clear" w:color="auto" w:fill="FFFFFF"/>
            <w:noWrap/>
          </w:tcPr>
          <w:p w14:paraId="36012BB9" w14:textId="77777777" w:rsidR="00837DA7" w:rsidRPr="005F3693" w:rsidRDefault="00837DA7" w:rsidP="00353A9A">
            <w:pPr>
              <w:spacing w:after="0" w:line="240" w:lineRule="auto"/>
              <w:ind w:right="-104"/>
              <w:jc w:val="both"/>
              <w:rPr>
                <w:rFonts w:ascii="Times New Roman" w:eastAsia="Times New Roman" w:hAnsi="Times New Roman" w:cs="Times New Roman"/>
                <w:sz w:val="18"/>
                <w:szCs w:val="18"/>
                <w:lang w:val="en-US"/>
              </w:rPr>
            </w:pPr>
          </w:p>
        </w:tc>
      </w:tr>
      <w:tr w:rsidR="00837DA7" w:rsidRPr="005F3693" w14:paraId="44759980" w14:textId="77777777" w:rsidTr="00353A9A">
        <w:trPr>
          <w:trHeight w:val="295"/>
        </w:trPr>
        <w:tc>
          <w:tcPr>
            <w:tcW w:w="15451" w:type="dxa"/>
            <w:gridSpan w:val="18"/>
            <w:tcBorders>
              <w:top w:val="single" w:sz="2" w:space="0" w:color="auto"/>
              <w:left w:val="nil"/>
            </w:tcBorders>
            <w:shd w:val="clear" w:color="auto" w:fill="FFFFFF"/>
          </w:tcPr>
          <w:p w14:paraId="55FA5708" w14:textId="77777777" w:rsidR="00837DA7" w:rsidRPr="005F3693" w:rsidRDefault="00837DA7" w:rsidP="00353A9A">
            <w:pPr>
              <w:spacing w:after="0" w:line="240" w:lineRule="auto"/>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 xml:space="preserve">Parametric coefficients are reported in the lower left side of the able, whereas non-parametric coefficients are presented in the top right side of the </w:t>
            </w:r>
            <w:r>
              <w:rPr>
                <w:rFonts w:ascii="Times New Roman" w:eastAsia="Times New Roman" w:hAnsi="Times New Roman" w:cs="Times New Roman"/>
                <w:sz w:val="18"/>
                <w:szCs w:val="18"/>
                <w:lang w:val="en-US"/>
              </w:rPr>
              <w:t>Online Appendix</w:t>
            </w:r>
            <w:r w:rsidRPr="005F3693">
              <w:rPr>
                <w:rFonts w:ascii="Times New Roman" w:eastAsia="Times New Roman" w:hAnsi="Times New Roman" w:cs="Times New Roman"/>
                <w:sz w:val="18"/>
                <w:szCs w:val="18"/>
                <w:lang w:val="en-US"/>
              </w:rPr>
              <w:t>.</w:t>
            </w:r>
          </w:p>
          <w:p w14:paraId="7FE9B8FA" w14:textId="77777777" w:rsidR="00837DA7" w:rsidRPr="005F3693" w:rsidRDefault="00837DA7" w:rsidP="00353A9A">
            <w:pPr>
              <w:spacing w:after="0" w:line="240" w:lineRule="auto"/>
              <w:jc w:val="both"/>
              <w:rPr>
                <w:rFonts w:ascii="Times New Roman" w:eastAsia="Times New Roman" w:hAnsi="Times New Roman" w:cs="Times New Roman"/>
                <w:sz w:val="18"/>
                <w:szCs w:val="18"/>
                <w:vertAlign w:val="superscript"/>
                <w:lang w:val="en-US"/>
              </w:rPr>
            </w:pPr>
            <w:r w:rsidRPr="005F3693">
              <w:rPr>
                <w:rFonts w:ascii="Times New Roman" w:eastAsia="Times New Roman" w:hAnsi="Times New Roman" w:cs="Times New Roman"/>
                <w:sz w:val="18"/>
                <w:szCs w:val="18"/>
                <w:lang w:val="en-US"/>
              </w:rPr>
              <w:t xml:space="preserve">Please see Table 2 </w:t>
            </w:r>
            <w:r>
              <w:rPr>
                <w:rFonts w:ascii="Times New Roman" w:eastAsia="Times New Roman" w:hAnsi="Times New Roman" w:cs="Times New Roman"/>
                <w:sz w:val="18"/>
                <w:szCs w:val="18"/>
                <w:lang w:val="en-US"/>
              </w:rPr>
              <w:t>(</w:t>
            </w:r>
            <w:r w:rsidRPr="00FE0B57">
              <w:rPr>
                <w:rFonts w:ascii="Times New Roman" w:eastAsia="Times New Roman" w:hAnsi="Times New Roman" w:cs="Times New Roman"/>
                <w:b/>
                <w:bCs/>
                <w:i/>
                <w:iCs/>
                <w:sz w:val="18"/>
                <w:szCs w:val="18"/>
              </w:rPr>
              <w:t>in the main paper</w:t>
            </w:r>
            <w:r>
              <w:rPr>
                <w:rFonts w:ascii="Times New Roman" w:eastAsia="Times New Roman" w:hAnsi="Times New Roman" w:cs="Times New Roman"/>
                <w:sz w:val="18"/>
                <w:szCs w:val="18"/>
                <w:lang w:val="en-US"/>
              </w:rPr>
              <w:t xml:space="preserve">) </w:t>
            </w:r>
            <w:r w:rsidRPr="005F3693">
              <w:rPr>
                <w:rFonts w:ascii="Times New Roman" w:eastAsia="Times New Roman" w:hAnsi="Times New Roman" w:cs="Times New Roman"/>
                <w:sz w:val="18"/>
                <w:szCs w:val="18"/>
                <w:lang w:val="en-US"/>
              </w:rPr>
              <w:t>for variable definitions.</w:t>
            </w:r>
          </w:p>
          <w:p w14:paraId="446A3E50" w14:textId="77777777" w:rsidR="00837DA7" w:rsidRPr="005F3693" w:rsidRDefault="00837DA7" w:rsidP="00353A9A">
            <w:pPr>
              <w:spacing w:after="0" w:line="240" w:lineRule="auto"/>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 Significance at the 1% level (p&lt;0.01).</w:t>
            </w:r>
          </w:p>
          <w:p w14:paraId="3AE567B1" w14:textId="77777777" w:rsidR="00837DA7" w:rsidRPr="005F3693" w:rsidRDefault="00837DA7" w:rsidP="00353A9A">
            <w:pPr>
              <w:spacing w:after="0" w:line="240" w:lineRule="auto"/>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 Significance at the 5% level (p&lt;0.05).</w:t>
            </w:r>
          </w:p>
          <w:p w14:paraId="0DC7C8F8" w14:textId="77777777" w:rsidR="00837DA7" w:rsidRPr="005F3693" w:rsidRDefault="00837DA7" w:rsidP="00353A9A">
            <w:pPr>
              <w:spacing w:after="0" w:line="240" w:lineRule="auto"/>
              <w:ind w:right="-104"/>
              <w:jc w:val="both"/>
              <w:rPr>
                <w:rFonts w:ascii="Times New Roman" w:eastAsia="Times New Roman" w:hAnsi="Times New Roman" w:cs="Times New Roman"/>
                <w:sz w:val="18"/>
                <w:szCs w:val="18"/>
                <w:lang w:val="en-US"/>
              </w:rPr>
            </w:pPr>
            <w:r w:rsidRPr="005F3693">
              <w:rPr>
                <w:rFonts w:ascii="Times New Roman" w:eastAsia="Times New Roman" w:hAnsi="Times New Roman" w:cs="Times New Roman"/>
                <w:sz w:val="18"/>
                <w:szCs w:val="18"/>
                <w:lang w:val="en-US"/>
              </w:rPr>
              <w:t>* Significance at the 10% level (p&lt;0.10).</w:t>
            </w:r>
          </w:p>
        </w:tc>
      </w:tr>
      <w:bookmarkEnd w:id="19"/>
    </w:tbl>
    <w:p w14:paraId="6E8EA14F" w14:textId="77777777" w:rsidR="00837DA7" w:rsidRDefault="00837DA7" w:rsidP="00837DA7">
      <w:pPr>
        <w:spacing w:after="0" w:line="240" w:lineRule="auto"/>
        <w:ind w:firstLine="720"/>
        <w:jc w:val="both"/>
        <w:rPr>
          <w:rFonts w:asciiTheme="majorBidi" w:hAnsiTheme="majorBidi" w:cstheme="majorBidi"/>
          <w:sz w:val="24"/>
          <w:szCs w:val="24"/>
        </w:rPr>
        <w:sectPr w:rsidR="00837DA7" w:rsidSect="003B13C4">
          <w:pgSz w:w="16838" w:h="11906" w:orient="landscape"/>
          <w:pgMar w:top="1440" w:right="1440" w:bottom="1440" w:left="1440" w:header="708" w:footer="708" w:gutter="0"/>
          <w:cols w:space="708"/>
          <w:docGrid w:linePitch="360"/>
        </w:sectPr>
      </w:pPr>
    </w:p>
    <w:tbl>
      <w:tblPr>
        <w:tblStyle w:val="TableGrid"/>
        <w:tblW w:w="11049"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6"/>
        <w:gridCol w:w="5385"/>
        <w:gridCol w:w="2408"/>
        <w:gridCol w:w="852"/>
        <w:gridCol w:w="824"/>
        <w:gridCol w:w="16"/>
        <w:gridCol w:w="8"/>
      </w:tblGrid>
      <w:tr w:rsidR="00837DA7" w:rsidRPr="00F119F4" w14:paraId="59743D76" w14:textId="77777777" w:rsidTr="00353A9A">
        <w:trPr>
          <w:trHeight w:val="274"/>
        </w:trPr>
        <w:tc>
          <w:tcPr>
            <w:tcW w:w="11049" w:type="dxa"/>
            <w:gridSpan w:val="7"/>
          </w:tcPr>
          <w:p w14:paraId="70CF3D6C" w14:textId="77777777" w:rsidR="00837DA7" w:rsidRDefault="00837DA7" w:rsidP="00353A9A">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lastRenderedPageBreak/>
              <w:t xml:space="preserve">Online Appendix 4. </w:t>
            </w:r>
            <w:r w:rsidRPr="00F119F4">
              <w:rPr>
                <w:rFonts w:ascii="Times New Roman" w:hAnsi="Times New Roman" w:cs="Times New Roman"/>
                <w:bCs/>
                <w:sz w:val="24"/>
                <w:szCs w:val="24"/>
              </w:rPr>
              <w:t xml:space="preserve">HEIs </w:t>
            </w:r>
            <w:r>
              <w:rPr>
                <w:rFonts w:ascii="Times New Roman" w:hAnsi="Times New Roman" w:cs="Times New Roman"/>
                <w:bCs/>
                <w:sz w:val="24"/>
                <w:szCs w:val="24"/>
              </w:rPr>
              <w:t>r</w:t>
            </w:r>
            <w:r w:rsidRPr="00F119F4">
              <w:rPr>
                <w:rFonts w:ascii="Times New Roman" w:hAnsi="Times New Roman" w:cs="Times New Roman"/>
                <w:bCs/>
                <w:sz w:val="24"/>
                <w:szCs w:val="24"/>
              </w:rPr>
              <w:t xml:space="preserve">isk </w:t>
            </w:r>
            <w:r>
              <w:rPr>
                <w:rFonts w:ascii="Times New Roman" w:hAnsi="Times New Roman" w:cs="Times New Roman"/>
                <w:bCs/>
                <w:sz w:val="24"/>
                <w:szCs w:val="24"/>
              </w:rPr>
              <w:t>d</w:t>
            </w:r>
            <w:r w:rsidRPr="00F119F4">
              <w:rPr>
                <w:rFonts w:ascii="Times New Roman" w:hAnsi="Times New Roman" w:cs="Times New Roman"/>
                <w:bCs/>
                <w:sz w:val="24"/>
                <w:szCs w:val="24"/>
              </w:rPr>
              <w:t xml:space="preserve">isclosure </w:t>
            </w:r>
            <w:r>
              <w:rPr>
                <w:rFonts w:ascii="Times New Roman" w:hAnsi="Times New Roman" w:cs="Times New Roman"/>
                <w:bCs/>
                <w:sz w:val="24"/>
                <w:szCs w:val="24"/>
              </w:rPr>
              <w:t>i</w:t>
            </w:r>
            <w:r w:rsidRPr="00F119F4">
              <w:rPr>
                <w:rFonts w:ascii="Times New Roman" w:hAnsi="Times New Roman" w:cs="Times New Roman"/>
                <w:bCs/>
                <w:sz w:val="24"/>
                <w:szCs w:val="24"/>
              </w:rPr>
              <w:t>ndex (</w:t>
            </w:r>
            <w:r>
              <w:rPr>
                <w:rFonts w:ascii="Times New Roman" w:hAnsi="Times New Roman" w:cs="Times New Roman"/>
                <w:bCs/>
                <w:i/>
                <w:iCs/>
                <w:sz w:val="24"/>
                <w:szCs w:val="24"/>
              </w:rPr>
              <w:t>HE</w:t>
            </w:r>
            <w:r w:rsidRPr="00F119F4">
              <w:rPr>
                <w:rFonts w:ascii="Times New Roman" w:hAnsi="Times New Roman" w:cs="Times New Roman"/>
                <w:bCs/>
                <w:i/>
                <w:iCs/>
                <w:sz w:val="24"/>
                <w:szCs w:val="24"/>
              </w:rPr>
              <w:t>RDI</w:t>
            </w:r>
            <w:r w:rsidRPr="00F119F4">
              <w:rPr>
                <w:rFonts w:ascii="Times New Roman" w:hAnsi="Times New Roman" w:cs="Times New Roman"/>
                <w:bCs/>
                <w:sz w:val="24"/>
                <w:szCs w:val="24"/>
              </w:rPr>
              <w:t>)</w:t>
            </w:r>
            <w:r>
              <w:rPr>
                <w:rStyle w:val="FootnoteReference"/>
                <w:rFonts w:ascii="Times New Roman" w:hAnsi="Times New Roman" w:cs="Times New Roman"/>
                <w:sz w:val="24"/>
                <w:szCs w:val="24"/>
              </w:rPr>
              <w:footnoteReference w:id="5"/>
            </w:r>
          </w:p>
        </w:tc>
      </w:tr>
      <w:tr w:rsidR="00837DA7" w:rsidRPr="00F119F4" w14:paraId="5572B68F" w14:textId="77777777" w:rsidTr="00353A9A">
        <w:trPr>
          <w:gridAfter w:val="1"/>
          <w:wAfter w:w="8" w:type="dxa"/>
        </w:trPr>
        <w:tc>
          <w:tcPr>
            <w:tcW w:w="1556" w:type="dxa"/>
            <w:tcBorders>
              <w:top w:val="single" w:sz="8" w:space="0" w:color="auto"/>
              <w:bottom w:val="single" w:sz="4" w:space="0" w:color="auto"/>
            </w:tcBorders>
          </w:tcPr>
          <w:p w14:paraId="5B66C0FD" w14:textId="77777777" w:rsidR="00837DA7" w:rsidRPr="00F119F4" w:rsidRDefault="00837DA7" w:rsidP="00353A9A">
            <w:pPr>
              <w:autoSpaceDE w:val="0"/>
              <w:autoSpaceDN w:val="0"/>
              <w:adjustRightInd w:val="0"/>
              <w:ind w:right="-103"/>
              <w:rPr>
                <w:rFonts w:ascii="Times New Roman" w:hAnsi="Times New Roman" w:cs="Times New Roman"/>
                <w:b/>
                <w:sz w:val="24"/>
                <w:szCs w:val="24"/>
              </w:rPr>
            </w:pPr>
            <w:r>
              <w:rPr>
                <w:rFonts w:ascii="Times New Roman" w:hAnsi="Times New Roman" w:cs="Times New Roman"/>
                <w:b/>
                <w:sz w:val="24"/>
                <w:szCs w:val="24"/>
              </w:rPr>
              <w:t>Theme</w:t>
            </w:r>
          </w:p>
        </w:tc>
        <w:tc>
          <w:tcPr>
            <w:tcW w:w="5385" w:type="dxa"/>
            <w:tcBorders>
              <w:top w:val="single" w:sz="8" w:space="0" w:color="auto"/>
              <w:bottom w:val="single" w:sz="4" w:space="0" w:color="auto"/>
            </w:tcBorders>
          </w:tcPr>
          <w:p w14:paraId="1006A40C" w14:textId="77777777" w:rsidR="00837DA7" w:rsidRPr="00F119F4" w:rsidRDefault="00837DA7" w:rsidP="00353A9A">
            <w:pPr>
              <w:autoSpaceDE w:val="0"/>
              <w:autoSpaceDN w:val="0"/>
              <w:adjustRightInd w:val="0"/>
              <w:rPr>
                <w:rFonts w:ascii="Times New Roman" w:hAnsi="Times New Roman" w:cs="Times New Roman"/>
                <w:b/>
                <w:sz w:val="24"/>
                <w:szCs w:val="24"/>
              </w:rPr>
            </w:pPr>
            <w:r>
              <w:rPr>
                <w:rFonts w:ascii="Times New Roman" w:hAnsi="Times New Roman" w:cs="Times New Roman"/>
                <w:b/>
                <w:bCs/>
                <w:sz w:val="24"/>
                <w:szCs w:val="24"/>
              </w:rPr>
              <w:t>HERDI</w:t>
            </w:r>
            <w:r w:rsidRPr="00F119F4">
              <w:rPr>
                <w:rFonts w:ascii="Times New Roman" w:hAnsi="Times New Roman" w:cs="Times New Roman"/>
                <w:b/>
                <w:bCs/>
                <w:sz w:val="24"/>
                <w:szCs w:val="24"/>
              </w:rPr>
              <w:t xml:space="preserve"> item: </w:t>
            </w:r>
            <w:r>
              <w:rPr>
                <w:rFonts w:ascii="Times New Roman" w:hAnsi="Times New Roman" w:cs="Times New Roman"/>
                <w:b/>
                <w:bCs/>
                <w:sz w:val="24"/>
                <w:szCs w:val="24"/>
              </w:rPr>
              <w:t>disclosure/information on</w:t>
            </w:r>
          </w:p>
        </w:tc>
        <w:tc>
          <w:tcPr>
            <w:tcW w:w="2408" w:type="dxa"/>
            <w:tcBorders>
              <w:top w:val="single" w:sz="8" w:space="0" w:color="auto"/>
              <w:bottom w:val="single" w:sz="2" w:space="0" w:color="auto"/>
            </w:tcBorders>
          </w:tcPr>
          <w:p w14:paraId="69D016AE" w14:textId="77777777" w:rsidR="00837DA7" w:rsidRPr="00F119F4" w:rsidRDefault="00837DA7" w:rsidP="00353A9A">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Item s</w:t>
            </w:r>
            <w:r w:rsidRPr="00F119F4">
              <w:rPr>
                <w:rFonts w:ascii="Times New Roman" w:hAnsi="Times New Roman" w:cs="Times New Roman"/>
                <w:b/>
                <w:sz w:val="24"/>
                <w:szCs w:val="24"/>
              </w:rPr>
              <w:t>ource</w:t>
            </w:r>
            <w:r>
              <w:rPr>
                <w:rFonts w:ascii="Times New Roman" w:hAnsi="Times New Roman" w:cs="Times New Roman"/>
                <w:b/>
                <w:sz w:val="24"/>
                <w:szCs w:val="24"/>
              </w:rPr>
              <w:t>(s)</w:t>
            </w:r>
          </w:p>
        </w:tc>
        <w:tc>
          <w:tcPr>
            <w:tcW w:w="852" w:type="dxa"/>
            <w:tcBorders>
              <w:top w:val="single" w:sz="8" w:space="0" w:color="auto"/>
              <w:bottom w:val="single" w:sz="2" w:space="0" w:color="auto"/>
            </w:tcBorders>
          </w:tcPr>
          <w:p w14:paraId="6F03057F" w14:textId="77777777" w:rsidR="00837DA7" w:rsidRPr="00F119F4" w:rsidRDefault="00837DA7" w:rsidP="00353A9A">
            <w:pPr>
              <w:autoSpaceDE w:val="0"/>
              <w:autoSpaceDN w:val="0"/>
              <w:adjustRightInd w:val="0"/>
              <w:ind w:right="-110"/>
              <w:rPr>
                <w:rFonts w:ascii="Times New Roman" w:hAnsi="Times New Roman" w:cs="Times New Roman"/>
                <w:b/>
                <w:sz w:val="24"/>
                <w:szCs w:val="24"/>
              </w:rPr>
            </w:pPr>
            <w:r>
              <w:rPr>
                <w:rFonts w:ascii="Times New Roman" w:hAnsi="Times New Roman" w:cs="Times New Roman"/>
                <w:b/>
                <w:sz w:val="24"/>
                <w:szCs w:val="24"/>
              </w:rPr>
              <w:t>Score range</w:t>
            </w:r>
          </w:p>
        </w:tc>
        <w:tc>
          <w:tcPr>
            <w:tcW w:w="840" w:type="dxa"/>
            <w:gridSpan w:val="2"/>
            <w:tcBorders>
              <w:top w:val="single" w:sz="8" w:space="0" w:color="auto"/>
              <w:bottom w:val="single" w:sz="2" w:space="0" w:color="auto"/>
            </w:tcBorders>
          </w:tcPr>
          <w:p w14:paraId="61F6D5BE" w14:textId="77777777" w:rsidR="00837DA7" w:rsidRDefault="00837DA7" w:rsidP="00353A9A">
            <w:pPr>
              <w:autoSpaceDE w:val="0"/>
              <w:autoSpaceDN w:val="0"/>
              <w:adjustRightInd w:val="0"/>
              <w:ind w:right="-110"/>
              <w:rPr>
                <w:rFonts w:ascii="Times New Roman" w:hAnsi="Times New Roman" w:cs="Times New Roman"/>
                <w:b/>
                <w:sz w:val="24"/>
                <w:szCs w:val="24"/>
              </w:rPr>
            </w:pPr>
            <w:r>
              <w:rPr>
                <w:rFonts w:ascii="Times New Roman" w:hAnsi="Times New Roman" w:cs="Times New Roman"/>
                <w:b/>
                <w:sz w:val="24"/>
                <w:szCs w:val="24"/>
              </w:rPr>
              <w:t xml:space="preserve">Total score </w:t>
            </w:r>
          </w:p>
        </w:tc>
      </w:tr>
      <w:tr w:rsidR="00837DA7" w:rsidRPr="00F119F4" w14:paraId="12E62E64" w14:textId="77777777" w:rsidTr="00353A9A">
        <w:trPr>
          <w:gridAfter w:val="1"/>
          <w:wAfter w:w="8" w:type="dxa"/>
        </w:trPr>
        <w:tc>
          <w:tcPr>
            <w:tcW w:w="1556" w:type="dxa"/>
            <w:vMerge w:val="restart"/>
            <w:tcBorders>
              <w:top w:val="single" w:sz="4" w:space="0" w:color="auto"/>
            </w:tcBorders>
          </w:tcPr>
          <w:p w14:paraId="2CD2724E" w14:textId="77777777" w:rsidR="00837DA7" w:rsidRPr="00A4778B" w:rsidRDefault="00837DA7" w:rsidP="00353A9A">
            <w:pPr>
              <w:autoSpaceDE w:val="0"/>
              <w:autoSpaceDN w:val="0"/>
              <w:adjustRightInd w:val="0"/>
              <w:rPr>
                <w:rFonts w:ascii="Times New Roman" w:hAnsi="Times New Roman" w:cs="Times New Roman"/>
                <w:b/>
                <w:bCs/>
                <w:sz w:val="24"/>
                <w:szCs w:val="24"/>
              </w:rPr>
            </w:pPr>
            <w:r w:rsidRPr="00A4778B">
              <w:rPr>
                <w:rFonts w:ascii="Times New Roman" w:hAnsi="Times New Roman" w:cs="Times New Roman"/>
                <w:b/>
                <w:bCs/>
                <w:sz w:val="24"/>
                <w:szCs w:val="24"/>
              </w:rPr>
              <w:t xml:space="preserve">1. Financial </w:t>
            </w:r>
            <w:r>
              <w:rPr>
                <w:rFonts w:ascii="Times New Roman" w:hAnsi="Times New Roman" w:cs="Times New Roman"/>
                <w:b/>
                <w:bCs/>
                <w:sz w:val="24"/>
                <w:szCs w:val="24"/>
              </w:rPr>
              <w:t>r</w:t>
            </w:r>
            <w:r w:rsidRPr="00A4778B">
              <w:rPr>
                <w:rFonts w:ascii="Times New Roman" w:hAnsi="Times New Roman" w:cs="Times New Roman"/>
                <w:b/>
                <w:bCs/>
                <w:sz w:val="24"/>
                <w:szCs w:val="24"/>
              </w:rPr>
              <w:t xml:space="preserve">isks </w:t>
            </w:r>
            <w:r>
              <w:rPr>
                <w:rFonts w:ascii="Times New Roman" w:hAnsi="Times New Roman" w:cs="Times New Roman"/>
                <w:b/>
                <w:bCs/>
                <w:sz w:val="24"/>
                <w:szCs w:val="24"/>
              </w:rPr>
              <w:t>(</w:t>
            </w:r>
            <w:r>
              <w:rPr>
                <w:rFonts w:ascii="Times New Roman" w:hAnsi="Times New Roman" w:cs="Times New Roman"/>
                <w:b/>
                <w:bCs/>
                <w:i/>
                <w:iCs/>
                <w:sz w:val="24"/>
                <w:szCs w:val="24"/>
              </w:rPr>
              <w:t>HEFRD</w:t>
            </w:r>
            <w:r w:rsidRPr="00A4778B">
              <w:rPr>
                <w:rFonts w:ascii="Times New Roman" w:hAnsi="Times New Roman" w:cs="Times New Roman"/>
                <w:b/>
                <w:bCs/>
                <w:sz w:val="24"/>
                <w:szCs w:val="24"/>
              </w:rPr>
              <w:t>)</w:t>
            </w:r>
          </w:p>
        </w:tc>
        <w:tc>
          <w:tcPr>
            <w:tcW w:w="5385" w:type="dxa"/>
            <w:tcBorders>
              <w:top w:val="single" w:sz="4" w:space="0" w:color="auto"/>
            </w:tcBorders>
          </w:tcPr>
          <w:p w14:paraId="2077D276" w14:textId="77777777" w:rsidR="00837DA7" w:rsidRPr="00F119F4" w:rsidRDefault="00837DA7" w:rsidP="00353A9A">
            <w:pPr>
              <w:autoSpaceDE w:val="0"/>
              <w:autoSpaceDN w:val="0"/>
              <w:adjustRightInd w:val="0"/>
              <w:rPr>
                <w:rFonts w:ascii="Times New Roman" w:hAnsi="Times New Roman" w:cs="Times New Roman"/>
                <w:sz w:val="24"/>
                <w:szCs w:val="24"/>
              </w:rPr>
            </w:pPr>
            <w:r w:rsidRPr="00F119F4">
              <w:rPr>
                <w:rFonts w:ascii="Times New Roman" w:hAnsi="Times New Roman" w:cs="Times New Roman"/>
                <w:sz w:val="24"/>
                <w:szCs w:val="24"/>
              </w:rPr>
              <w:t>1</w:t>
            </w:r>
            <w:r>
              <w:rPr>
                <w:rFonts w:ascii="Times New Roman" w:hAnsi="Times New Roman" w:cs="Times New Roman"/>
                <w:sz w:val="24"/>
                <w:szCs w:val="24"/>
              </w:rPr>
              <w:t xml:space="preserve">.1 </w:t>
            </w:r>
            <w:r w:rsidRPr="00F119F4">
              <w:rPr>
                <w:rFonts w:ascii="Times New Roman" w:hAnsi="Times New Roman" w:cs="Times New Roman"/>
                <w:sz w:val="24"/>
                <w:szCs w:val="24"/>
              </w:rPr>
              <w:t>Interest rate</w:t>
            </w:r>
            <w:r>
              <w:rPr>
                <w:rFonts w:ascii="Times New Roman" w:hAnsi="Times New Roman" w:cs="Times New Roman"/>
                <w:sz w:val="24"/>
                <w:szCs w:val="24"/>
              </w:rPr>
              <w:t xml:space="preserve"> risk.</w:t>
            </w:r>
          </w:p>
        </w:tc>
        <w:tc>
          <w:tcPr>
            <w:tcW w:w="2408" w:type="dxa"/>
            <w:tcBorders>
              <w:top w:val="single" w:sz="2" w:space="0" w:color="auto"/>
            </w:tcBorders>
          </w:tcPr>
          <w:p w14:paraId="2FD1AE38"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LFHE (2009)</w:t>
            </w:r>
          </w:p>
        </w:tc>
        <w:tc>
          <w:tcPr>
            <w:tcW w:w="852" w:type="dxa"/>
            <w:tcBorders>
              <w:top w:val="single" w:sz="2" w:space="0" w:color="auto"/>
            </w:tcBorders>
          </w:tcPr>
          <w:p w14:paraId="1A155A69" w14:textId="77777777" w:rsidR="00837DA7" w:rsidRPr="00F119F4" w:rsidRDefault="00837DA7" w:rsidP="00353A9A">
            <w:pPr>
              <w:autoSpaceDE w:val="0"/>
              <w:autoSpaceDN w:val="0"/>
              <w:adjustRightInd w:val="0"/>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val="restart"/>
            <w:tcBorders>
              <w:top w:val="single" w:sz="2" w:space="0" w:color="auto"/>
            </w:tcBorders>
            <w:vAlign w:val="center"/>
          </w:tcPr>
          <w:p w14:paraId="403A2D3C" w14:textId="77777777" w:rsidR="00837DA7" w:rsidRPr="00F119F4" w:rsidRDefault="00837DA7" w:rsidP="00353A9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174</w:t>
            </w:r>
          </w:p>
        </w:tc>
      </w:tr>
      <w:tr w:rsidR="00837DA7" w:rsidRPr="00F119F4" w14:paraId="4812B388" w14:textId="77777777" w:rsidTr="00353A9A">
        <w:trPr>
          <w:gridAfter w:val="1"/>
          <w:wAfter w:w="8" w:type="dxa"/>
        </w:trPr>
        <w:tc>
          <w:tcPr>
            <w:tcW w:w="1556" w:type="dxa"/>
            <w:vMerge/>
          </w:tcPr>
          <w:p w14:paraId="238E72C5"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2AD5AB23"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1.2 </w:t>
            </w:r>
            <w:r w:rsidRPr="00F119F4">
              <w:rPr>
                <w:rFonts w:ascii="Times New Roman" w:hAnsi="Times New Roman" w:cs="Times New Roman"/>
                <w:sz w:val="24"/>
                <w:szCs w:val="24"/>
              </w:rPr>
              <w:t>Exchange rate</w:t>
            </w:r>
            <w:r>
              <w:rPr>
                <w:rFonts w:ascii="Times New Roman" w:hAnsi="Times New Roman" w:cs="Times New Roman"/>
                <w:sz w:val="24"/>
                <w:szCs w:val="24"/>
              </w:rPr>
              <w:t xml:space="preserve"> risk.</w:t>
            </w:r>
          </w:p>
        </w:tc>
        <w:tc>
          <w:tcPr>
            <w:tcW w:w="2408" w:type="dxa"/>
          </w:tcPr>
          <w:p w14:paraId="621320B3"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Ntim</w:t>
            </w:r>
            <w:r>
              <w:rPr>
                <w:rFonts w:ascii="Times New Roman" w:hAnsi="Times New Roman" w:cs="Times New Roman"/>
                <w:sz w:val="24"/>
                <w:szCs w:val="24"/>
              </w:rPr>
              <w:t xml:space="preserve"> et al. (</w:t>
            </w:r>
            <w:r w:rsidRPr="00F119F4">
              <w:rPr>
                <w:rFonts w:ascii="Times New Roman" w:hAnsi="Times New Roman" w:cs="Times New Roman"/>
                <w:sz w:val="24"/>
                <w:szCs w:val="24"/>
              </w:rPr>
              <w:t>2013</w:t>
            </w:r>
            <w:r>
              <w:rPr>
                <w:rFonts w:ascii="Times New Roman" w:hAnsi="Times New Roman" w:cs="Times New Roman"/>
                <w:sz w:val="24"/>
                <w:szCs w:val="24"/>
              </w:rPr>
              <w:t>)</w:t>
            </w:r>
          </w:p>
        </w:tc>
        <w:tc>
          <w:tcPr>
            <w:tcW w:w="852" w:type="dxa"/>
          </w:tcPr>
          <w:p w14:paraId="12DA5BB5"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5DFCD8B6" w14:textId="77777777" w:rsidR="00837DA7" w:rsidRPr="00F119F4" w:rsidRDefault="00837DA7" w:rsidP="00353A9A">
            <w:pPr>
              <w:rPr>
                <w:rFonts w:ascii="Times New Roman" w:hAnsi="Times New Roman" w:cs="Times New Roman"/>
                <w:sz w:val="24"/>
                <w:szCs w:val="24"/>
              </w:rPr>
            </w:pPr>
          </w:p>
        </w:tc>
      </w:tr>
      <w:tr w:rsidR="00837DA7" w:rsidRPr="00F119F4" w14:paraId="6D382829" w14:textId="77777777" w:rsidTr="00353A9A">
        <w:trPr>
          <w:gridAfter w:val="1"/>
          <w:wAfter w:w="8" w:type="dxa"/>
        </w:trPr>
        <w:tc>
          <w:tcPr>
            <w:tcW w:w="1556" w:type="dxa"/>
            <w:vMerge/>
          </w:tcPr>
          <w:p w14:paraId="107E3416"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54A0F500"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1.3 </w:t>
            </w:r>
            <w:r w:rsidRPr="00F119F4">
              <w:rPr>
                <w:rFonts w:ascii="Times New Roman" w:hAnsi="Times New Roman" w:cs="Times New Roman"/>
                <w:sz w:val="24"/>
                <w:szCs w:val="24"/>
              </w:rPr>
              <w:t>Commodit</w:t>
            </w:r>
            <w:r>
              <w:rPr>
                <w:rFonts w:ascii="Times New Roman" w:hAnsi="Times New Roman" w:cs="Times New Roman"/>
                <w:sz w:val="24"/>
                <w:szCs w:val="24"/>
              </w:rPr>
              <w:t>ies</w:t>
            </w:r>
            <w:r w:rsidRPr="00F119F4">
              <w:rPr>
                <w:rFonts w:ascii="Times New Roman" w:hAnsi="Times New Roman" w:cs="Times New Roman"/>
                <w:sz w:val="24"/>
                <w:szCs w:val="24"/>
              </w:rPr>
              <w:t xml:space="preserve"> </w:t>
            </w:r>
            <w:r>
              <w:rPr>
                <w:rFonts w:ascii="Times New Roman" w:hAnsi="Times New Roman" w:cs="Times New Roman"/>
                <w:sz w:val="24"/>
                <w:szCs w:val="24"/>
              </w:rPr>
              <w:t>risk.</w:t>
            </w:r>
          </w:p>
        </w:tc>
        <w:tc>
          <w:tcPr>
            <w:tcW w:w="2408" w:type="dxa"/>
          </w:tcPr>
          <w:p w14:paraId="3DE3E601"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Ntim</w:t>
            </w:r>
            <w:r>
              <w:rPr>
                <w:rFonts w:ascii="Times New Roman" w:hAnsi="Times New Roman" w:cs="Times New Roman"/>
                <w:sz w:val="24"/>
                <w:szCs w:val="24"/>
              </w:rPr>
              <w:t xml:space="preserve"> et al. (</w:t>
            </w:r>
            <w:r w:rsidRPr="00F119F4">
              <w:rPr>
                <w:rFonts w:ascii="Times New Roman" w:hAnsi="Times New Roman" w:cs="Times New Roman"/>
                <w:sz w:val="24"/>
                <w:szCs w:val="24"/>
              </w:rPr>
              <w:t>2013</w:t>
            </w:r>
            <w:r>
              <w:rPr>
                <w:rFonts w:ascii="Times New Roman" w:hAnsi="Times New Roman" w:cs="Times New Roman"/>
                <w:sz w:val="24"/>
                <w:szCs w:val="24"/>
              </w:rPr>
              <w:t>)</w:t>
            </w:r>
          </w:p>
        </w:tc>
        <w:tc>
          <w:tcPr>
            <w:tcW w:w="852" w:type="dxa"/>
          </w:tcPr>
          <w:p w14:paraId="6AFB8881"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4EB0BC64" w14:textId="77777777" w:rsidR="00837DA7" w:rsidRPr="00F119F4" w:rsidRDefault="00837DA7" w:rsidP="00353A9A">
            <w:pPr>
              <w:rPr>
                <w:rFonts w:ascii="Times New Roman" w:hAnsi="Times New Roman" w:cs="Times New Roman"/>
                <w:sz w:val="24"/>
                <w:szCs w:val="24"/>
              </w:rPr>
            </w:pPr>
          </w:p>
        </w:tc>
      </w:tr>
      <w:tr w:rsidR="00837DA7" w:rsidRPr="00F119F4" w14:paraId="7A260989" w14:textId="77777777" w:rsidTr="00353A9A">
        <w:trPr>
          <w:gridAfter w:val="1"/>
          <w:wAfter w:w="8" w:type="dxa"/>
        </w:trPr>
        <w:tc>
          <w:tcPr>
            <w:tcW w:w="1556" w:type="dxa"/>
            <w:vMerge/>
          </w:tcPr>
          <w:p w14:paraId="1E6992F3"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5337370A"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1.4 </w:t>
            </w:r>
            <w:r w:rsidRPr="00F119F4">
              <w:rPr>
                <w:rFonts w:ascii="Times New Roman" w:hAnsi="Times New Roman" w:cs="Times New Roman"/>
                <w:sz w:val="24"/>
                <w:szCs w:val="24"/>
              </w:rPr>
              <w:t>Liquidity</w:t>
            </w:r>
            <w:r>
              <w:rPr>
                <w:rFonts w:ascii="Times New Roman" w:hAnsi="Times New Roman" w:cs="Times New Roman"/>
                <w:sz w:val="24"/>
                <w:szCs w:val="24"/>
              </w:rPr>
              <w:t xml:space="preserve"> risk.</w:t>
            </w:r>
          </w:p>
        </w:tc>
        <w:tc>
          <w:tcPr>
            <w:tcW w:w="2408" w:type="dxa"/>
          </w:tcPr>
          <w:p w14:paraId="08474E68"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Ntim</w:t>
            </w:r>
            <w:r>
              <w:rPr>
                <w:rFonts w:ascii="Times New Roman" w:hAnsi="Times New Roman" w:cs="Times New Roman"/>
                <w:sz w:val="24"/>
                <w:szCs w:val="24"/>
              </w:rPr>
              <w:t xml:space="preserve"> et al. (</w:t>
            </w:r>
            <w:r w:rsidRPr="00F119F4">
              <w:rPr>
                <w:rFonts w:ascii="Times New Roman" w:hAnsi="Times New Roman" w:cs="Times New Roman"/>
                <w:sz w:val="24"/>
                <w:szCs w:val="24"/>
              </w:rPr>
              <w:t>2013</w:t>
            </w:r>
            <w:r>
              <w:rPr>
                <w:rFonts w:ascii="Times New Roman" w:hAnsi="Times New Roman" w:cs="Times New Roman"/>
                <w:sz w:val="24"/>
                <w:szCs w:val="24"/>
              </w:rPr>
              <w:t>)</w:t>
            </w:r>
          </w:p>
        </w:tc>
        <w:tc>
          <w:tcPr>
            <w:tcW w:w="852" w:type="dxa"/>
          </w:tcPr>
          <w:p w14:paraId="3297A21B"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7E32B3BB" w14:textId="77777777" w:rsidR="00837DA7" w:rsidRPr="00F119F4" w:rsidRDefault="00837DA7" w:rsidP="00353A9A">
            <w:pPr>
              <w:rPr>
                <w:rFonts w:ascii="Times New Roman" w:hAnsi="Times New Roman" w:cs="Times New Roman"/>
                <w:sz w:val="24"/>
                <w:szCs w:val="24"/>
              </w:rPr>
            </w:pPr>
          </w:p>
        </w:tc>
      </w:tr>
      <w:tr w:rsidR="00837DA7" w:rsidRPr="00F119F4" w14:paraId="7688D386" w14:textId="77777777" w:rsidTr="00353A9A">
        <w:trPr>
          <w:gridAfter w:val="1"/>
          <w:wAfter w:w="8" w:type="dxa"/>
        </w:trPr>
        <w:tc>
          <w:tcPr>
            <w:tcW w:w="1556" w:type="dxa"/>
            <w:vMerge/>
          </w:tcPr>
          <w:p w14:paraId="2048CFAC"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2453B98D"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1.5 </w:t>
            </w:r>
            <w:r w:rsidRPr="00F119F4">
              <w:rPr>
                <w:rFonts w:ascii="Times New Roman" w:hAnsi="Times New Roman" w:cs="Times New Roman"/>
                <w:sz w:val="24"/>
                <w:szCs w:val="24"/>
              </w:rPr>
              <w:t>Credit/default</w:t>
            </w:r>
            <w:r>
              <w:rPr>
                <w:rFonts w:ascii="Times New Roman" w:hAnsi="Times New Roman" w:cs="Times New Roman"/>
                <w:sz w:val="24"/>
                <w:szCs w:val="24"/>
              </w:rPr>
              <w:t xml:space="preserve"> risk.</w:t>
            </w:r>
          </w:p>
        </w:tc>
        <w:tc>
          <w:tcPr>
            <w:tcW w:w="2408" w:type="dxa"/>
          </w:tcPr>
          <w:p w14:paraId="3B021550"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LFHE (2009)</w:t>
            </w:r>
          </w:p>
        </w:tc>
        <w:tc>
          <w:tcPr>
            <w:tcW w:w="852" w:type="dxa"/>
          </w:tcPr>
          <w:p w14:paraId="59F875A7"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2BC66E79" w14:textId="77777777" w:rsidR="00837DA7" w:rsidRPr="00F119F4" w:rsidRDefault="00837DA7" w:rsidP="00353A9A">
            <w:pPr>
              <w:rPr>
                <w:rFonts w:ascii="Times New Roman" w:hAnsi="Times New Roman" w:cs="Times New Roman"/>
                <w:sz w:val="24"/>
                <w:szCs w:val="24"/>
              </w:rPr>
            </w:pPr>
          </w:p>
        </w:tc>
      </w:tr>
      <w:tr w:rsidR="00837DA7" w:rsidRPr="00F119F4" w14:paraId="067325B6" w14:textId="77777777" w:rsidTr="00353A9A">
        <w:trPr>
          <w:gridAfter w:val="1"/>
          <w:wAfter w:w="8" w:type="dxa"/>
        </w:trPr>
        <w:tc>
          <w:tcPr>
            <w:tcW w:w="1556" w:type="dxa"/>
            <w:vMerge/>
          </w:tcPr>
          <w:p w14:paraId="7A27A507"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5DF2E65E"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1.6 </w:t>
            </w:r>
            <w:r w:rsidRPr="00F119F4">
              <w:rPr>
                <w:rFonts w:ascii="Times New Roman" w:hAnsi="Times New Roman" w:cs="Times New Roman"/>
                <w:sz w:val="24"/>
                <w:szCs w:val="24"/>
              </w:rPr>
              <w:t xml:space="preserve">Capital </w:t>
            </w:r>
            <w:r>
              <w:rPr>
                <w:rFonts w:ascii="Times New Roman" w:hAnsi="Times New Roman" w:cs="Times New Roman"/>
                <w:sz w:val="24"/>
                <w:szCs w:val="24"/>
              </w:rPr>
              <w:t>risk (</w:t>
            </w:r>
            <w:r w:rsidRPr="00F119F4">
              <w:rPr>
                <w:rFonts w:ascii="Times New Roman" w:hAnsi="Times New Roman" w:cs="Times New Roman"/>
                <w:sz w:val="24"/>
                <w:szCs w:val="24"/>
              </w:rPr>
              <w:t>adequacy/insolvency</w:t>
            </w:r>
            <w:r>
              <w:rPr>
                <w:rFonts w:ascii="Times New Roman" w:hAnsi="Times New Roman" w:cs="Times New Roman"/>
                <w:sz w:val="24"/>
                <w:szCs w:val="24"/>
              </w:rPr>
              <w:t>)</w:t>
            </w:r>
          </w:p>
        </w:tc>
        <w:tc>
          <w:tcPr>
            <w:tcW w:w="2408" w:type="dxa"/>
          </w:tcPr>
          <w:p w14:paraId="4A7C827C"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HEFCE (2001b)</w:t>
            </w:r>
          </w:p>
        </w:tc>
        <w:tc>
          <w:tcPr>
            <w:tcW w:w="852" w:type="dxa"/>
          </w:tcPr>
          <w:p w14:paraId="25A69CD3"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03DB12F6" w14:textId="77777777" w:rsidR="00837DA7" w:rsidRPr="00F119F4" w:rsidRDefault="00837DA7" w:rsidP="00353A9A">
            <w:pPr>
              <w:rPr>
                <w:rFonts w:ascii="Times New Roman" w:hAnsi="Times New Roman" w:cs="Times New Roman"/>
                <w:sz w:val="24"/>
                <w:szCs w:val="24"/>
              </w:rPr>
            </w:pPr>
          </w:p>
        </w:tc>
      </w:tr>
      <w:tr w:rsidR="00837DA7" w:rsidRPr="00F119F4" w14:paraId="1BD9095A" w14:textId="77777777" w:rsidTr="00353A9A">
        <w:trPr>
          <w:gridAfter w:val="1"/>
          <w:wAfter w:w="8" w:type="dxa"/>
        </w:trPr>
        <w:tc>
          <w:tcPr>
            <w:tcW w:w="1556" w:type="dxa"/>
            <w:vMerge/>
          </w:tcPr>
          <w:p w14:paraId="0A7A6F64"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1610129E"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1.7 </w:t>
            </w:r>
            <w:r w:rsidRPr="00F119F4">
              <w:rPr>
                <w:rFonts w:ascii="Times New Roman" w:hAnsi="Times New Roman" w:cs="Times New Roman"/>
                <w:sz w:val="24"/>
                <w:szCs w:val="24"/>
              </w:rPr>
              <w:t>Equity price</w:t>
            </w:r>
            <w:r>
              <w:rPr>
                <w:rFonts w:ascii="Times New Roman" w:hAnsi="Times New Roman" w:cs="Times New Roman"/>
                <w:sz w:val="24"/>
                <w:szCs w:val="24"/>
              </w:rPr>
              <w:t xml:space="preserve"> risk</w:t>
            </w:r>
          </w:p>
        </w:tc>
        <w:tc>
          <w:tcPr>
            <w:tcW w:w="2408" w:type="dxa"/>
          </w:tcPr>
          <w:p w14:paraId="01A6EF39"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Ntim et al. (2013)</w:t>
            </w:r>
          </w:p>
        </w:tc>
        <w:tc>
          <w:tcPr>
            <w:tcW w:w="852" w:type="dxa"/>
          </w:tcPr>
          <w:p w14:paraId="7C341D8B"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765E5468" w14:textId="77777777" w:rsidR="00837DA7" w:rsidRPr="00F119F4" w:rsidRDefault="00837DA7" w:rsidP="00353A9A">
            <w:pPr>
              <w:rPr>
                <w:rFonts w:ascii="Times New Roman" w:hAnsi="Times New Roman" w:cs="Times New Roman"/>
                <w:sz w:val="24"/>
                <w:szCs w:val="24"/>
              </w:rPr>
            </w:pPr>
          </w:p>
        </w:tc>
      </w:tr>
      <w:tr w:rsidR="00837DA7" w:rsidRPr="00F119F4" w14:paraId="2576F279" w14:textId="77777777" w:rsidTr="00353A9A">
        <w:trPr>
          <w:gridAfter w:val="1"/>
          <w:wAfter w:w="8" w:type="dxa"/>
        </w:trPr>
        <w:tc>
          <w:tcPr>
            <w:tcW w:w="1556" w:type="dxa"/>
            <w:vMerge/>
          </w:tcPr>
          <w:p w14:paraId="70488700"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29700BE1"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1.8 D</w:t>
            </w:r>
            <w:r w:rsidRPr="00F119F4">
              <w:rPr>
                <w:rFonts w:ascii="Times New Roman" w:hAnsi="Times New Roman" w:cs="Times New Roman"/>
                <w:sz w:val="24"/>
                <w:szCs w:val="24"/>
              </w:rPr>
              <w:t>erivatives</w:t>
            </w:r>
          </w:p>
        </w:tc>
        <w:tc>
          <w:tcPr>
            <w:tcW w:w="2408" w:type="dxa"/>
          </w:tcPr>
          <w:p w14:paraId="4A847A66"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Ntim</w:t>
            </w:r>
            <w:r>
              <w:rPr>
                <w:rFonts w:ascii="Times New Roman" w:hAnsi="Times New Roman" w:cs="Times New Roman"/>
                <w:sz w:val="24"/>
                <w:szCs w:val="24"/>
              </w:rPr>
              <w:t xml:space="preserve"> et al. (2013)</w:t>
            </w:r>
          </w:p>
        </w:tc>
        <w:tc>
          <w:tcPr>
            <w:tcW w:w="852" w:type="dxa"/>
          </w:tcPr>
          <w:p w14:paraId="575875B8"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77A8E570" w14:textId="77777777" w:rsidR="00837DA7" w:rsidRPr="00F119F4" w:rsidRDefault="00837DA7" w:rsidP="00353A9A">
            <w:pPr>
              <w:rPr>
                <w:rFonts w:ascii="Times New Roman" w:hAnsi="Times New Roman" w:cs="Times New Roman"/>
                <w:sz w:val="24"/>
                <w:szCs w:val="24"/>
              </w:rPr>
            </w:pPr>
          </w:p>
        </w:tc>
      </w:tr>
      <w:tr w:rsidR="00837DA7" w:rsidRPr="00F119F4" w14:paraId="69E86038" w14:textId="77777777" w:rsidTr="00353A9A">
        <w:trPr>
          <w:gridAfter w:val="1"/>
          <w:wAfter w:w="8" w:type="dxa"/>
        </w:trPr>
        <w:tc>
          <w:tcPr>
            <w:tcW w:w="1556" w:type="dxa"/>
            <w:vMerge/>
          </w:tcPr>
          <w:p w14:paraId="5F40DE4D"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569D21B6"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1.9 </w:t>
            </w:r>
            <w:r w:rsidRPr="001F212A">
              <w:rPr>
                <w:rFonts w:ascii="Times New Roman" w:hAnsi="Times New Roman" w:cs="Times New Roman"/>
                <w:sz w:val="24"/>
                <w:szCs w:val="24"/>
              </w:rPr>
              <w:t>VC remuneration/bonus/employee pension commitments</w:t>
            </w:r>
          </w:p>
        </w:tc>
        <w:tc>
          <w:tcPr>
            <w:tcW w:w="2408" w:type="dxa"/>
          </w:tcPr>
          <w:p w14:paraId="652338FA"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HEFCE (2001a, 2005)</w:t>
            </w:r>
          </w:p>
        </w:tc>
        <w:tc>
          <w:tcPr>
            <w:tcW w:w="852" w:type="dxa"/>
          </w:tcPr>
          <w:p w14:paraId="134DC450"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2970DD59" w14:textId="77777777" w:rsidR="00837DA7" w:rsidRPr="00F119F4" w:rsidRDefault="00837DA7" w:rsidP="00353A9A">
            <w:pPr>
              <w:rPr>
                <w:rFonts w:ascii="Times New Roman" w:hAnsi="Times New Roman" w:cs="Times New Roman"/>
                <w:sz w:val="24"/>
                <w:szCs w:val="24"/>
              </w:rPr>
            </w:pPr>
          </w:p>
        </w:tc>
      </w:tr>
      <w:tr w:rsidR="00837DA7" w:rsidRPr="00F119F4" w14:paraId="3E1F1400" w14:textId="77777777" w:rsidTr="00353A9A">
        <w:trPr>
          <w:gridAfter w:val="1"/>
          <w:wAfter w:w="8" w:type="dxa"/>
        </w:trPr>
        <w:tc>
          <w:tcPr>
            <w:tcW w:w="1556" w:type="dxa"/>
            <w:vMerge/>
          </w:tcPr>
          <w:p w14:paraId="12C029BA"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710D6ED4"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1.10 Pay</w:t>
            </w:r>
            <w:r w:rsidRPr="00F119F4">
              <w:rPr>
                <w:rFonts w:ascii="Times New Roman" w:hAnsi="Times New Roman" w:cs="Times New Roman"/>
                <w:sz w:val="24"/>
                <w:szCs w:val="24"/>
              </w:rPr>
              <w:t xml:space="preserve"> of </w:t>
            </w:r>
            <w:r>
              <w:rPr>
                <w:rFonts w:ascii="Times New Roman" w:hAnsi="Times New Roman" w:cs="Times New Roman"/>
                <w:sz w:val="24"/>
                <w:szCs w:val="24"/>
              </w:rPr>
              <w:t>employees</w:t>
            </w:r>
            <w:r w:rsidRPr="00F119F4">
              <w:rPr>
                <w:rFonts w:ascii="Times New Roman" w:hAnsi="Times New Roman" w:cs="Times New Roman"/>
                <w:sz w:val="24"/>
                <w:szCs w:val="24"/>
              </w:rPr>
              <w:t xml:space="preserve"> earning above £100</w:t>
            </w:r>
            <w:r>
              <w:rPr>
                <w:rFonts w:ascii="Times New Roman" w:hAnsi="Times New Roman" w:cs="Times New Roman"/>
                <w:sz w:val="24"/>
                <w:szCs w:val="24"/>
              </w:rPr>
              <w:t>,000</w:t>
            </w:r>
          </w:p>
        </w:tc>
        <w:tc>
          <w:tcPr>
            <w:tcW w:w="2408" w:type="dxa"/>
          </w:tcPr>
          <w:p w14:paraId="2B61A5F1"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HEFCE (2001a, 2005)</w:t>
            </w:r>
          </w:p>
        </w:tc>
        <w:tc>
          <w:tcPr>
            <w:tcW w:w="852" w:type="dxa"/>
          </w:tcPr>
          <w:p w14:paraId="5C27C9D1"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7D764AC3" w14:textId="77777777" w:rsidR="00837DA7" w:rsidRPr="00F119F4" w:rsidRDefault="00837DA7" w:rsidP="00353A9A">
            <w:pPr>
              <w:rPr>
                <w:rFonts w:ascii="Times New Roman" w:hAnsi="Times New Roman" w:cs="Times New Roman"/>
                <w:sz w:val="24"/>
                <w:szCs w:val="24"/>
              </w:rPr>
            </w:pPr>
          </w:p>
        </w:tc>
      </w:tr>
      <w:tr w:rsidR="00837DA7" w:rsidRPr="00F119F4" w14:paraId="589ABA99" w14:textId="77777777" w:rsidTr="00353A9A">
        <w:trPr>
          <w:gridAfter w:val="1"/>
          <w:wAfter w:w="8" w:type="dxa"/>
        </w:trPr>
        <w:tc>
          <w:tcPr>
            <w:tcW w:w="1556" w:type="dxa"/>
            <w:vMerge/>
          </w:tcPr>
          <w:p w14:paraId="494F12E6"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7994E5A8"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1.11 </w:t>
            </w:r>
            <w:r w:rsidRPr="001F212A">
              <w:rPr>
                <w:rFonts w:ascii="Times New Roman" w:hAnsi="Times New Roman" w:cs="Times New Roman"/>
                <w:sz w:val="24"/>
                <w:szCs w:val="24"/>
              </w:rPr>
              <w:t>Senior management remuneration/bonus/employee pension commitments</w:t>
            </w:r>
            <w:r>
              <w:rPr>
                <w:rFonts w:ascii="Times New Roman" w:hAnsi="Times New Roman" w:cs="Times New Roman"/>
                <w:sz w:val="24"/>
                <w:szCs w:val="24"/>
              </w:rPr>
              <w:t>.</w:t>
            </w:r>
          </w:p>
        </w:tc>
        <w:tc>
          <w:tcPr>
            <w:tcW w:w="2408" w:type="dxa"/>
          </w:tcPr>
          <w:p w14:paraId="603B51A5"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Ntim</w:t>
            </w:r>
            <w:r>
              <w:rPr>
                <w:rFonts w:ascii="Times New Roman" w:hAnsi="Times New Roman" w:cs="Times New Roman"/>
                <w:sz w:val="24"/>
                <w:szCs w:val="24"/>
              </w:rPr>
              <w:t xml:space="preserve"> et al. (2013)</w:t>
            </w:r>
          </w:p>
        </w:tc>
        <w:tc>
          <w:tcPr>
            <w:tcW w:w="852" w:type="dxa"/>
          </w:tcPr>
          <w:p w14:paraId="5EB80B45"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55953839" w14:textId="77777777" w:rsidR="00837DA7" w:rsidRPr="00F119F4" w:rsidRDefault="00837DA7" w:rsidP="00353A9A">
            <w:pPr>
              <w:rPr>
                <w:rFonts w:ascii="Times New Roman" w:hAnsi="Times New Roman" w:cs="Times New Roman"/>
                <w:sz w:val="24"/>
                <w:szCs w:val="24"/>
              </w:rPr>
            </w:pPr>
          </w:p>
        </w:tc>
      </w:tr>
      <w:tr w:rsidR="00837DA7" w:rsidRPr="00F119F4" w14:paraId="10C1ADE8" w14:textId="77777777" w:rsidTr="00353A9A">
        <w:trPr>
          <w:gridAfter w:val="1"/>
          <w:wAfter w:w="8" w:type="dxa"/>
        </w:trPr>
        <w:tc>
          <w:tcPr>
            <w:tcW w:w="1556" w:type="dxa"/>
            <w:vMerge/>
          </w:tcPr>
          <w:p w14:paraId="42F55BE5"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59D331A3"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1.12 HEFCE/g</w:t>
            </w:r>
            <w:r w:rsidRPr="00F119F4">
              <w:rPr>
                <w:rFonts w:ascii="Times New Roman" w:hAnsi="Times New Roman" w:cs="Times New Roman"/>
                <w:sz w:val="24"/>
                <w:szCs w:val="24"/>
              </w:rPr>
              <w:t>overnment</w:t>
            </w:r>
            <w:r>
              <w:rPr>
                <w:rFonts w:ascii="Times New Roman" w:hAnsi="Times New Roman" w:cs="Times New Roman"/>
                <w:sz w:val="24"/>
                <w:szCs w:val="24"/>
              </w:rPr>
              <w:t xml:space="preserve"> funding policy/real income.</w:t>
            </w:r>
          </w:p>
        </w:tc>
        <w:tc>
          <w:tcPr>
            <w:tcW w:w="2408" w:type="dxa"/>
          </w:tcPr>
          <w:p w14:paraId="16242511"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HEFCE (2001b)</w:t>
            </w:r>
          </w:p>
        </w:tc>
        <w:tc>
          <w:tcPr>
            <w:tcW w:w="852" w:type="dxa"/>
          </w:tcPr>
          <w:p w14:paraId="03AEB168"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5FD8870C" w14:textId="77777777" w:rsidR="00837DA7" w:rsidRPr="00F119F4" w:rsidRDefault="00837DA7" w:rsidP="00353A9A">
            <w:pPr>
              <w:rPr>
                <w:rFonts w:ascii="Times New Roman" w:hAnsi="Times New Roman" w:cs="Times New Roman"/>
                <w:sz w:val="24"/>
                <w:szCs w:val="24"/>
              </w:rPr>
            </w:pPr>
          </w:p>
        </w:tc>
      </w:tr>
      <w:tr w:rsidR="00837DA7" w:rsidRPr="00F119F4" w14:paraId="3DF10FA2" w14:textId="77777777" w:rsidTr="00353A9A">
        <w:trPr>
          <w:gridAfter w:val="1"/>
          <w:wAfter w:w="8" w:type="dxa"/>
        </w:trPr>
        <w:tc>
          <w:tcPr>
            <w:tcW w:w="1556" w:type="dxa"/>
            <w:vMerge/>
          </w:tcPr>
          <w:p w14:paraId="713948E3"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3DAE21BA"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1.13 Diversification of F</w:t>
            </w:r>
            <w:r w:rsidRPr="00F119F4">
              <w:rPr>
                <w:rFonts w:ascii="Times New Roman" w:hAnsi="Times New Roman" w:cs="Times New Roman"/>
                <w:sz w:val="24"/>
                <w:szCs w:val="24"/>
              </w:rPr>
              <w:t xml:space="preserve">unding sources </w:t>
            </w:r>
            <w:r>
              <w:rPr>
                <w:rFonts w:ascii="Times New Roman" w:hAnsi="Times New Roman" w:cs="Times New Roman"/>
                <w:sz w:val="24"/>
                <w:szCs w:val="24"/>
              </w:rPr>
              <w:t>div</w:t>
            </w:r>
          </w:p>
        </w:tc>
        <w:tc>
          <w:tcPr>
            <w:tcW w:w="2408" w:type="dxa"/>
          </w:tcPr>
          <w:p w14:paraId="5C50C0BF"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HEFCE (2001b)</w:t>
            </w:r>
          </w:p>
        </w:tc>
        <w:tc>
          <w:tcPr>
            <w:tcW w:w="852" w:type="dxa"/>
          </w:tcPr>
          <w:p w14:paraId="20FF59F9"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7F2B5F39" w14:textId="77777777" w:rsidR="00837DA7" w:rsidRPr="00F119F4" w:rsidRDefault="00837DA7" w:rsidP="00353A9A">
            <w:pPr>
              <w:rPr>
                <w:rFonts w:ascii="Times New Roman" w:hAnsi="Times New Roman" w:cs="Times New Roman"/>
                <w:sz w:val="24"/>
                <w:szCs w:val="24"/>
              </w:rPr>
            </w:pPr>
          </w:p>
        </w:tc>
      </w:tr>
      <w:tr w:rsidR="00837DA7" w:rsidRPr="00F119F4" w14:paraId="19617D5E" w14:textId="77777777" w:rsidTr="00353A9A">
        <w:trPr>
          <w:gridAfter w:val="1"/>
          <w:wAfter w:w="8" w:type="dxa"/>
        </w:trPr>
        <w:tc>
          <w:tcPr>
            <w:tcW w:w="1556" w:type="dxa"/>
            <w:vMerge/>
          </w:tcPr>
          <w:p w14:paraId="63F1927D"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458DC10B"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1.14 </w:t>
            </w:r>
            <w:r w:rsidRPr="00F119F4">
              <w:rPr>
                <w:rFonts w:ascii="Times New Roman" w:hAnsi="Times New Roman" w:cs="Times New Roman"/>
                <w:sz w:val="24"/>
                <w:szCs w:val="24"/>
              </w:rPr>
              <w:t xml:space="preserve">Meeting </w:t>
            </w:r>
            <w:r>
              <w:rPr>
                <w:rFonts w:ascii="Times New Roman" w:hAnsi="Times New Roman" w:cs="Times New Roman"/>
                <w:sz w:val="24"/>
                <w:szCs w:val="24"/>
              </w:rPr>
              <w:t>HEFCE contract targets.</w:t>
            </w:r>
          </w:p>
        </w:tc>
        <w:tc>
          <w:tcPr>
            <w:tcW w:w="2408" w:type="dxa"/>
          </w:tcPr>
          <w:p w14:paraId="6A339198"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HEFCE (2001b)</w:t>
            </w:r>
          </w:p>
        </w:tc>
        <w:tc>
          <w:tcPr>
            <w:tcW w:w="852" w:type="dxa"/>
          </w:tcPr>
          <w:p w14:paraId="576562D0"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678CA34C" w14:textId="77777777" w:rsidR="00837DA7" w:rsidRPr="00F119F4" w:rsidRDefault="00837DA7" w:rsidP="00353A9A">
            <w:pPr>
              <w:rPr>
                <w:rFonts w:ascii="Times New Roman" w:hAnsi="Times New Roman" w:cs="Times New Roman"/>
                <w:sz w:val="24"/>
                <w:szCs w:val="24"/>
              </w:rPr>
            </w:pPr>
          </w:p>
        </w:tc>
      </w:tr>
      <w:tr w:rsidR="00837DA7" w:rsidRPr="00F119F4" w14:paraId="2F5929DC" w14:textId="77777777" w:rsidTr="00353A9A">
        <w:trPr>
          <w:gridAfter w:val="1"/>
          <w:wAfter w:w="8" w:type="dxa"/>
        </w:trPr>
        <w:tc>
          <w:tcPr>
            <w:tcW w:w="1556" w:type="dxa"/>
            <w:vMerge/>
          </w:tcPr>
          <w:p w14:paraId="4C13420F"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19DA1B29"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1.15 </w:t>
            </w:r>
            <w:r w:rsidRPr="00F119F4">
              <w:rPr>
                <w:rFonts w:ascii="Times New Roman" w:hAnsi="Times New Roman" w:cs="Times New Roman"/>
                <w:sz w:val="24"/>
                <w:szCs w:val="24"/>
              </w:rPr>
              <w:t xml:space="preserve">Budgetary </w:t>
            </w:r>
            <w:r>
              <w:rPr>
                <w:rFonts w:ascii="Times New Roman" w:hAnsi="Times New Roman" w:cs="Times New Roman"/>
                <w:sz w:val="24"/>
                <w:szCs w:val="24"/>
              </w:rPr>
              <w:t>control mechanism.</w:t>
            </w:r>
          </w:p>
        </w:tc>
        <w:tc>
          <w:tcPr>
            <w:tcW w:w="2408" w:type="dxa"/>
          </w:tcPr>
          <w:p w14:paraId="5F50A1F9"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HEFCE (2001b)</w:t>
            </w:r>
          </w:p>
        </w:tc>
        <w:tc>
          <w:tcPr>
            <w:tcW w:w="852" w:type="dxa"/>
          </w:tcPr>
          <w:p w14:paraId="3362C27F"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6ECC5155" w14:textId="77777777" w:rsidR="00837DA7" w:rsidRPr="00F119F4" w:rsidRDefault="00837DA7" w:rsidP="00353A9A">
            <w:pPr>
              <w:rPr>
                <w:rFonts w:ascii="Times New Roman" w:hAnsi="Times New Roman" w:cs="Times New Roman"/>
                <w:sz w:val="24"/>
                <w:szCs w:val="24"/>
              </w:rPr>
            </w:pPr>
          </w:p>
        </w:tc>
      </w:tr>
      <w:tr w:rsidR="00837DA7" w:rsidRPr="00F119F4" w14:paraId="6563F3D5" w14:textId="77777777" w:rsidTr="00353A9A">
        <w:trPr>
          <w:gridAfter w:val="1"/>
          <w:wAfter w:w="8" w:type="dxa"/>
        </w:trPr>
        <w:tc>
          <w:tcPr>
            <w:tcW w:w="1556" w:type="dxa"/>
            <w:vMerge/>
          </w:tcPr>
          <w:p w14:paraId="0AA799B1"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5ABFDAB0" w14:textId="77777777" w:rsidR="00837DA7" w:rsidRPr="00F119F4" w:rsidRDefault="00837DA7" w:rsidP="00353A9A">
            <w:pPr>
              <w:autoSpaceDE w:val="0"/>
              <w:autoSpaceDN w:val="0"/>
              <w:adjustRightInd w:val="0"/>
              <w:rPr>
                <w:rFonts w:ascii="Times New Roman" w:hAnsi="Times New Roman" w:cs="Times New Roman"/>
                <w:sz w:val="24"/>
                <w:szCs w:val="24"/>
                <w:highlight w:val="yellow"/>
              </w:rPr>
            </w:pPr>
            <w:r>
              <w:rPr>
                <w:rFonts w:ascii="Times New Roman" w:hAnsi="Times New Roman" w:cs="Times New Roman"/>
                <w:sz w:val="24"/>
                <w:szCs w:val="24"/>
              </w:rPr>
              <w:t xml:space="preserve">1.16 </w:t>
            </w:r>
            <w:r w:rsidRPr="00F119F4">
              <w:rPr>
                <w:rFonts w:ascii="Times New Roman" w:hAnsi="Times New Roman" w:cs="Times New Roman"/>
                <w:sz w:val="24"/>
                <w:szCs w:val="24"/>
              </w:rPr>
              <w:t>Liabilities</w:t>
            </w:r>
            <w:r>
              <w:rPr>
                <w:rFonts w:ascii="Times New Roman" w:hAnsi="Times New Roman" w:cs="Times New Roman"/>
                <w:sz w:val="24"/>
                <w:szCs w:val="24"/>
              </w:rPr>
              <w:t>.</w:t>
            </w:r>
          </w:p>
        </w:tc>
        <w:tc>
          <w:tcPr>
            <w:tcW w:w="2408" w:type="dxa"/>
          </w:tcPr>
          <w:p w14:paraId="0D358568"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HEFCE (2001b)</w:t>
            </w:r>
          </w:p>
        </w:tc>
        <w:tc>
          <w:tcPr>
            <w:tcW w:w="852" w:type="dxa"/>
          </w:tcPr>
          <w:p w14:paraId="594B96BC"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43E28DBA" w14:textId="77777777" w:rsidR="00837DA7" w:rsidRPr="00F119F4" w:rsidRDefault="00837DA7" w:rsidP="00353A9A">
            <w:pPr>
              <w:rPr>
                <w:rFonts w:ascii="Times New Roman" w:hAnsi="Times New Roman" w:cs="Times New Roman"/>
                <w:sz w:val="24"/>
                <w:szCs w:val="24"/>
              </w:rPr>
            </w:pPr>
          </w:p>
        </w:tc>
      </w:tr>
      <w:tr w:rsidR="00837DA7" w:rsidRPr="00F119F4" w14:paraId="06A24783" w14:textId="77777777" w:rsidTr="00353A9A">
        <w:trPr>
          <w:gridAfter w:val="1"/>
          <w:wAfter w:w="8" w:type="dxa"/>
        </w:trPr>
        <w:tc>
          <w:tcPr>
            <w:tcW w:w="1556" w:type="dxa"/>
            <w:vMerge/>
          </w:tcPr>
          <w:p w14:paraId="468E155C"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53D6423D" w14:textId="77777777" w:rsidR="00837DA7" w:rsidRPr="00F119F4" w:rsidRDefault="00837DA7" w:rsidP="00353A9A">
            <w:pPr>
              <w:autoSpaceDE w:val="0"/>
              <w:autoSpaceDN w:val="0"/>
              <w:adjustRightInd w:val="0"/>
              <w:rPr>
                <w:rFonts w:ascii="Times New Roman" w:hAnsi="Times New Roman" w:cs="Times New Roman"/>
                <w:sz w:val="24"/>
                <w:szCs w:val="24"/>
                <w:highlight w:val="yellow"/>
              </w:rPr>
            </w:pPr>
            <w:r>
              <w:rPr>
                <w:rFonts w:ascii="Times New Roman" w:hAnsi="Times New Roman" w:cs="Times New Roman"/>
                <w:sz w:val="24"/>
                <w:szCs w:val="24"/>
              </w:rPr>
              <w:t xml:space="preserve">1.17 </w:t>
            </w:r>
            <w:r w:rsidRPr="00F119F4">
              <w:rPr>
                <w:rFonts w:ascii="Times New Roman" w:hAnsi="Times New Roman" w:cs="Times New Roman"/>
                <w:sz w:val="24"/>
                <w:szCs w:val="24"/>
              </w:rPr>
              <w:t xml:space="preserve">Major </w:t>
            </w:r>
            <w:r>
              <w:rPr>
                <w:rFonts w:ascii="Times New Roman" w:hAnsi="Times New Roman" w:cs="Times New Roman"/>
                <w:sz w:val="24"/>
                <w:szCs w:val="24"/>
              </w:rPr>
              <w:t>c</w:t>
            </w:r>
            <w:r w:rsidRPr="00F119F4">
              <w:rPr>
                <w:rFonts w:ascii="Times New Roman" w:hAnsi="Times New Roman" w:cs="Times New Roman"/>
                <w:sz w:val="24"/>
                <w:szCs w:val="24"/>
              </w:rPr>
              <w:t>ontracts</w:t>
            </w:r>
            <w:r>
              <w:rPr>
                <w:rFonts w:ascii="Times New Roman" w:hAnsi="Times New Roman" w:cs="Times New Roman"/>
                <w:sz w:val="24"/>
                <w:szCs w:val="24"/>
              </w:rPr>
              <w:t xml:space="preserve"> (i.e., NHS).</w:t>
            </w:r>
          </w:p>
        </w:tc>
        <w:tc>
          <w:tcPr>
            <w:tcW w:w="2408" w:type="dxa"/>
          </w:tcPr>
          <w:p w14:paraId="5DB7F381"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HEFCE (2001b)</w:t>
            </w:r>
          </w:p>
        </w:tc>
        <w:tc>
          <w:tcPr>
            <w:tcW w:w="852" w:type="dxa"/>
          </w:tcPr>
          <w:p w14:paraId="7505716E"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6CDD736E" w14:textId="77777777" w:rsidR="00837DA7" w:rsidRPr="00F119F4" w:rsidRDefault="00837DA7" w:rsidP="00353A9A">
            <w:pPr>
              <w:rPr>
                <w:rFonts w:ascii="Times New Roman" w:hAnsi="Times New Roman" w:cs="Times New Roman"/>
                <w:sz w:val="24"/>
                <w:szCs w:val="24"/>
              </w:rPr>
            </w:pPr>
          </w:p>
        </w:tc>
      </w:tr>
      <w:tr w:rsidR="00837DA7" w:rsidRPr="00F119F4" w14:paraId="30298337" w14:textId="77777777" w:rsidTr="00353A9A">
        <w:trPr>
          <w:gridAfter w:val="1"/>
          <w:wAfter w:w="8" w:type="dxa"/>
        </w:trPr>
        <w:tc>
          <w:tcPr>
            <w:tcW w:w="1556" w:type="dxa"/>
            <w:vMerge/>
          </w:tcPr>
          <w:p w14:paraId="1A9E2C82"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411E2861"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1.18 </w:t>
            </w:r>
            <w:r w:rsidRPr="00F119F4">
              <w:rPr>
                <w:rFonts w:ascii="Times New Roman" w:hAnsi="Times New Roman" w:cs="Times New Roman"/>
                <w:sz w:val="24"/>
                <w:szCs w:val="24"/>
              </w:rPr>
              <w:t xml:space="preserve">Financial </w:t>
            </w:r>
            <w:r>
              <w:rPr>
                <w:rFonts w:ascii="Times New Roman" w:hAnsi="Times New Roman" w:cs="Times New Roman"/>
                <w:sz w:val="24"/>
                <w:szCs w:val="24"/>
              </w:rPr>
              <w:t>l</w:t>
            </w:r>
            <w:r w:rsidRPr="00F119F4">
              <w:rPr>
                <w:rFonts w:ascii="Times New Roman" w:hAnsi="Times New Roman" w:cs="Times New Roman"/>
                <w:sz w:val="24"/>
                <w:szCs w:val="24"/>
              </w:rPr>
              <w:t>oss</w:t>
            </w:r>
            <w:r>
              <w:rPr>
                <w:rFonts w:ascii="Times New Roman" w:hAnsi="Times New Roman" w:cs="Times New Roman"/>
                <w:sz w:val="24"/>
                <w:szCs w:val="24"/>
              </w:rPr>
              <w:t>.</w:t>
            </w:r>
          </w:p>
        </w:tc>
        <w:tc>
          <w:tcPr>
            <w:tcW w:w="2408" w:type="dxa"/>
          </w:tcPr>
          <w:p w14:paraId="3CFFF112"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HEFCE (2001b)</w:t>
            </w:r>
          </w:p>
        </w:tc>
        <w:tc>
          <w:tcPr>
            <w:tcW w:w="852" w:type="dxa"/>
          </w:tcPr>
          <w:p w14:paraId="41D02597"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693EFAD4" w14:textId="77777777" w:rsidR="00837DA7" w:rsidRPr="00F119F4" w:rsidRDefault="00837DA7" w:rsidP="00353A9A">
            <w:pPr>
              <w:rPr>
                <w:rFonts w:ascii="Times New Roman" w:hAnsi="Times New Roman" w:cs="Times New Roman"/>
                <w:sz w:val="24"/>
                <w:szCs w:val="24"/>
              </w:rPr>
            </w:pPr>
          </w:p>
        </w:tc>
      </w:tr>
      <w:tr w:rsidR="00837DA7" w:rsidRPr="00F119F4" w14:paraId="7C33E379" w14:textId="77777777" w:rsidTr="00353A9A">
        <w:trPr>
          <w:gridAfter w:val="1"/>
          <w:wAfter w:w="8" w:type="dxa"/>
        </w:trPr>
        <w:tc>
          <w:tcPr>
            <w:tcW w:w="1556" w:type="dxa"/>
            <w:vMerge/>
          </w:tcPr>
          <w:p w14:paraId="439B938C"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42782F09"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1.19 </w:t>
            </w:r>
            <w:r w:rsidRPr="00F119F4">
              <w:rPr>
                <w:rFonts w:ascii="Times New Roman" w:hAnsi="Times New Roman" w:cs="Times New Roman"/>
                <w:sz w:val="24"/>
                <w:szCs w:val="24"/>
              </w:rPr>
              <w:t xml:space="preserve">Financial </w:t>
            </w:r>
            <w:r>
              <w:rPr>
                <w:rFonts w:ascii="Times New Roman" w:hAnsi="Times New Roman" w:cs="Times New Roman"/>
                <w:sz w:val="24"/>
                <w:szCs w:val="24"/>
              </w:rPr>
              <w:t>f</w:t>
            </w:r>
            <w:r w:rsidRPr="00F119F4">
              <w:rPr>
                <w:rFonts w:ascii="Times New Roman" w:hAnsi="Times New Roman" w:cs="Times New Roman"/>
                <w:sz w:val="24"/>
                <w:szCs w:val="24"/>
              </w:rPr>
              <w:t xml:space="preserve">raud </w:t>
            </w:r>
            <w:r>
              <w:rPr>
                <w:rFonts w:ascii="Times New Roman" w:hAnsi="Times New Roman" w:cs="Times New Roman"/>
                <w:sz w:val="24"/>
                <w:szCs w:val="24"/>
              </w:rPr>
              <w:t>p</w:t>
            </w:r>
            <w:r w:rsidRPr="00F119F4">
              <w:rPr>
                <w:rFonts w:ascii="Times New Roman" w:hAnsi="Times New Roman" w:cs="Times New Roman"/>
                <w:sz w:val="24"/>
                <w:szCs w:val="24"/>
              </w:rPr>
              <w:t>olicy</w:t>
            </w:r>
            <w:r>
              <w:rPr>
                <w:rFonts w:ascii="Times New Roman" w:hAnsi="Times New Roman" w:cs="Times New Roman"/>
                <w:sz w:val="24"/>
                <w:szCs w:val="24"/>
              </w:rPr>
              <w:t>.</w:t>
            </w:r>
          </w:p>
        </w:tc>
        <w:tc>
          <w:tcPr>
            <w:tcW w:w="2408" w:type="dxa"/>
          </w:tcPr>
          <w:p w14:paraId="17B1498F"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HEFCE (2001b)</w:t>
            </w:r>
          </w:p>
        </w:tc>
        <w:tc>
          <w:tcPr>
            <w:tcW w:w="852" w:type="dxa"/>
          </w:tcPr>
          <w:p w14:paraId="075FABE6"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7C524BD3" w14:textId="77777777" w:rsidR="00837DA7" w:rsidRPr="00F119F4" w:rsidRDefault="00837DA7" w:rsidP="00353A9A">
            <w:pPr>
              <w:rPr>
                <w:rFonts w:ascii="Times New Roman" w:hAnsi="Times New Roman" w:cs="Times New Roman"/>
                <w:sz w:val="24"/>
                <w:szCs w:val="24"/>
              </w:rPr>
            </w:pPr>
          </w:p>
        </w:tc>
      </w:tr>
      <w:tr w:rsidR="00837DA7" w:rsidRPr="00F119F4" w14:paraId="61BA9BAD" w14:textId="77777777" w:rsidTr="00353A9A">
        <w:trPr>
          <w:gridAfter w:val="1"/>
          <w:wAfter w:w="8" w:type="dxa"/>
        </w:trPr>
        <w:tc>
          <w:tcPr>
            <w:tcW w:w="1556" w:type="dxa"/>
            <w:vMerge/>
          </w:tcPr>
          <w:p w14:paraId="6DAA82AE"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41643270" w14:textId="77777777" w:rsidR="00837DA7" w:rsidRPr="00F119F4" w:rsidRDefault="00837DA7" w:rsidP="00353A9A">
            <w:pPr>
              <w:autoSpaceDE w:val="0"/>
              <w:autoSpaceDN w:val="0"/>
              <w:adjustRightInd w:val="0"/>
              <w:rPr>
                <w:rFonts w:ascii="Times New Roman" w:hAnsi="Times New Roman" w:cs="Times New Roman"/>
                <w:sz w:val="24"/>
                <w:szCs w:val="24"/>
                <w:highlight w:val="yellow"/>
              </w:rPr>
            </w:pPr>
            <w:r>
              <w:rPr>
                <w:rFonts w:ascii="Times New Roman" w:hAnsi="Times New Roman" w:cs="Times New Roman"/>
                <w:sz w:val="24"/>
                <w:szCs w:val="24"/>
              </w:rPr>
              <w:t xml:space="preserve">1.20 </w:t>
            </w:r>
            <w:r w:rsidRPr="00F119F4">
              <w:rPr>
                <w:rFonts w:ascii="Times New Roman" w:hAnsi="Times New Roman" w:cs="Times New Roman"/>
                <w:sz w:val="24"/>
                <w:szCs w:val="24"/>
              </w:rPr>
              <w:t>Audit Committee</w:t>
            </w:r>
            <w:r>
              <w:rPr>
                <w:rFonts w:ascii="Times New Roman" w:hAnsi="Times New Roman" w:cs="Times New Roman"/>
                <w:sz w:val="24"/>
                <w:szCs w:val="24"/>
              </w:rPr>
              <w:t>.</w:t>
            </w:r>
            <w:r w:rsidRPr="00F119F4">
              <w:rPr>
                <w:rFonts w:ascii="Times New Roman" w:hAnsi="Times New Roman" w:cs="Times New Roman"/>
                <w:sz w:val="24"/>
                <w:szCs w:val="24"/>
              </w:rPr>
              <w:t xml:space="preserve"> </w:t>
            </w:r>
          </w:p>
        </w:tc>
        <w:tc>
          <w:tcPr>
            <w:tcW w:w="2408" w:type="dxa"/>
          </w:tcPr>
          <w:p w14:paraId="3BEFDBD0"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CUC (2008); HEFCE (2001b)</w:t>
            </w:r>
          </w:p>
        </w:tc>
        <w:tc>
          <w:tcPr>
            <w:tcW w:w="852" w:type="dxa"/>
          </w:tcPr>
          <w:p w14:paraId="7BD08E54"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0AF12F92" w14:textId="77777777" w:rsidR="00837DA7" w:rsidRPr="00F119F4" w:rsidRDefault="00837DA7" w:rsidP="00353A9A">
            <w:pPr>
              <w:rPr>
                <w:rFonts w:ascii="Times New Roman" w:hAnsi="Times New Roman" w:cs="Times New Roman"/>
                <w:sz w:val="24"/>
                <w:szCs w:val="24"/>
              </w:rPr>
            </w:pPr>
          </w:p>
        </w:tc>
      </w:tr>
      <w:tr w:rsidR="00837DA7" w:rsidRPr="00F119F4" w14:paraId="1FEE0BBC" w14:textId="77777777" w:rsidTr="00353A9A">
        <w:trPr>
          <w:gridAfter w:val="1"/>
          <w:wAfter w:w="8" w:type="dxa"/>
        </w:trPr>
        <w:tc>
          <w:tcPr>
            <w:tcW w:w="1556" w:type="dxa"/>
            <w:vMerge/>
          </w:tcPr>
          <w:p w14:paraId="4EF3190F"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5F152CCA"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1.21 </w:t>
            </w:r>
            <w:r w:rsidRPr="00F119F4">
              <w:rPr>
                <w:rFonts w:ascii="Times New Roman" w:hAnsi="Times New Roman" w:cs="Times New Roman"/>
                <w:sz w:val="24"/>
                <w:szCs w:val="24"/>
              </w:rPr>
              <w:t>Finance Committee</w:t>
            </w:r>
            <w:r>
              <w:rPr>
                <w:rFonts w:ascii="Times New Roman" w:hAnsi="Times New Roman" w:cs="Times New Roman"/>
                <w:sz w:val="24"/>
                <w:szCs w:val="24"/>
              </w:rPr>
              <w:t>.</w:t>
            </w:r>
          </w:p>
        </w:tc>
        <w:tc>
          <w:tcPr>
            <w:tcW w:w="2408" w:type="dxa"/>
          </w:tcPr>
          <w:p w14:paraId="4A642124"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HEFCE (2001b)</w:t>
            </w:r>
          </w:p>
        </w:tc>
        <w:tc>
          <w:tcPr>
            <w:tcW w:w="852" w:type="dxa"/>
          </w:tcPr>
          <w:p w14:paraId="7E584129"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1AC8AEFE" w14:textId="77777777" w:rsidR="00837DA7" w:rsidRPr="00F119F4" w:rsidRDefault="00837DA7" w:rsidP="00353A9A">
            <w:pPr>
              <w:rPr>
                <w:rFonts w:ascii="Times New Roman" w:hAnsi="Times New Roman" w:cs="Times New Roman"/>
                <w:sz w:val="24"/>
                <w:szCs w:val="24"/>
              </w:rPr>
            </w:pPr>
          </w:p>
        </w:tc>
      </w:tr>
      <w:tr w:rsidR="00837DA7" w:rsidRPr="00F119F4" w14:paraId="49309111" w14:textId="77777777" w:rsidTr="00353A9A">
        <w:trPr>
          <w:gridAfter w:val="1"/>
          <w:wAfter w:w="8" w:type="dxa"/>
        </w:trPr>
        <w:tc>
          <w:tcPr>
            <w:tcW w:w="1556" w:type="dxa"/>
            <w:vMerge/>
          </w:tcPr>
          <w:p w14:paraId="0A44ED63"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1153AA63"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1.22 </w:t>
            </w:r>
            <w:r w:rsidRPr="00F119F4">
              <w:rPr>
                <w:rFonts w:ascii="Times New Roman" w:hAnsi="Times New Roman" w:cs="Times New Roman"/>
                <w:sz w:val="24"/>
                <w:szCs w:val="24"/>
              </w:rPr>
              <w:t>Bidding ability</w:t>
            </w:r>
            <w:r>
              <w:rPr>
                <w:rFonts w:ascii="Times New Roman" w:hAnsi="Times New Roman" w:cs="Times New Roman"/>
                <w:sz w:val="24"/>
                <w:szCs w:val="24"/>
              </w:rPr>
              <w:t>.</w:t>
            </w:r>
          </w:p>
        </w:tc>
        <w:tc>
          <w:tcPr>
            <w:tcW w:w="2408" w:type="dxa"/>
          </w:tcPr>
          <w:p w14:paraId="51BC4D03"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HEFCE (2001b)</w:t>
            </w:r>
          </w:p>
        </w:tc>
        <w:tc>
          <w:tcPr>
            <w:tcW w:w="852" w:type="dxa"/>
          </w:tcPr>
          <w:p w14:paraId="3FE35D02"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1073E54E" w14:textId="77777777" w:rsidR="00837DA7" w:rsidRPr="00F119F4" w:rsidRDefault="00837DA7" w:rsidP="00353A9A">
            <w:pPr>
              <w:rPr>
                <w:rFonts w:ascii="Times New Roman" w:hAnsi="Times New Roman" w:cs="Times New Roman"/>
                <w:sz w:val="24"/>
                <w:szCs w:val="24"/>
              </w:rPr>
            </w:pPr>
          </w:p>
        </w:tc>
      </w:tr>
      <w:tr w:rsidR="00837DA7" w:rsidRPr="00F119F4" w14:paraId="507FE8B5" w14:textId="77777777" w:rsidTr="00353A9A">
        <w:trPr>
          <w:gridAfter w:val="1"/>
          <w:wAfter w:w="8" w:type="dxa"/>
        </w:trPr>
        <w:tc>
          <w:tcPr>
            <w:tcW w:w="1556" w:type="dxa"/>
            <w:vMerge/>
          </w:tcPr>
          <w:p w14:paraId="673A07B3"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384645A7"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1.23 </w:t>
            </w:r>
            <w:r w:rsidRPr="00F119F4">
              <w:rPr>
                <w:rFonts w:ascii="Times New Roman" w:hAnsi="Times New Roman" w:cs="Times New Roman"/>
                <w:sz w:val="24"/>
                <w:szCs w:val="24"/>
              </w:rPr>
              <w:t>Staff costs</w:t>
            </w:r>
            <w:r>
              <w:rPr>
                <w:rFonts w:ascii="Times New Roman" w:hAnsi="Times New Roman" w:cs="Times New Roman"/>
                <w:sz w:val="24"/>
                <w:szCs w:val="24"/>
              </w:rPr>
              <w:t>.</w:t>
            </w:r>
          </w:p>
        </w:tc>
        <w:tc>
          <w:tcPr>
            <w:tcW w:w="2408" w:type="dxa"/>
          </w:tcPr>
          <w:p w14:paraId="7AEAF985"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HEFCE (2001b)</w:t>
            </w:r>
          </w:p>
        </w:tc>
        <w:tc>
          <w:tcPr>
            <w:tcW w:w="852" w:type="dxa"/>
          </w:tcPr>
          <w:p w14:paraId="23736C10"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1E056853" w14:textId="77777777" w:rsidR="00837DA7" w:rsidRPr="00F119F4" w:rsidRDefault="00837DA7" w:rsidP="00353A9A">
            <w:pPr>
              <w:rPr>
                <w:rFonts w:ascii="Times New Roman" w:hAnsi="Times New Roman" w:cs="Times New Roman"/>
                <w:sz w:val="24"/>
                <w:szCs w:val="24"/>
              </w:rPr>
            </w:pPr>
          </w:p>
        </w:tc>
      </w:tr>
      <w:tr w:rsidR="00837DA7" w:rsidRPr="00F119F4" w14:paraId="6E3F94F1" w14:textId="77777777" w:rsidTr="00353A9A">
        <w:trPr>
          <w:gridAfter w:val="1"/>
          <w:wAfter w:w="8" w:type="dxa"/>
        </w:trPr>
        <w:tc>
          <w:tcPr>
            <w:tcW w:w="1556" w:type="dxa"/>
            <w:vMerge/>
          </w:tcPr>
          <w:p w14:paraId="560F3634"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209F498D"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1.24 </w:t>
            </w:r>
            <w:r w:rsidRPr="00F119F4">
              <w:rPr>
                <w:rFonts w:ascii="Times New Roman" w:hAnsi="Times New Roman" w:cs="Times New Roman"/>
                <w:sz w:val="24"/>
                <w:szCs w:val="24"/>
              </w:rPr>
              <w:t>Expenditure</w:t>
            </w:r>
            <w:r>
              <w:rPr>
                <w:rFonts w:ascii="Times New Roman" w:hAnsi="Times New Roman" w:cs="Times New Roman"/>
                <w:sz w:val="24"/>
                <w:szCs w:val="24"/>
              </w:rPr>
              <w:t>.</w:t>
            </w:r>
          </w:p>
        </w:tc>
        <w:tc>
          <w:tcPr>
            <w:tcW w:w="2408" w:type="dxa"/>
          </w:tcPr>
          <w:p w14:paraId="19D565D7"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HEFCE (2001b)</w:t>
            </w:r>
          </w:p>
        </w:tc>
        <w:tc>
          <w:tcPr>
            <w:tcW w:w="852" w:type="dxa"/>
          </w:tcPr>
          <w:p w14:paraId="2AB0A4C0"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55AD23B4" w14:textId="77777777" w:rsidR="00837DA7" w:rsidRPr="00F119F4" w:rsidRDefault="00837DA7" w:rsidP="00353A9A">
            <w:pPr>
              <w:rPr>
                <w:rFonts w:ascii="Times New Roman" w:hAnsi="Times New Roman" w:cs="Times New Roman"/>
                <w:sz w:val="24"/>
                <w:szCs w:val="24"/>
              </w:rPr>
            </w:pPr>
          </w:p>
        </w:tc>
      </w:tr>
      <w:tr w:rsidR="00837DA7" w:rsidRPr="00F119F4" w14:paraId="2C36A577" w14:textId="77777777" w:rsidTr="00353A9A">
        <w:trPr>
          <w:gridAfter w:val="1"/>
          <w:wAfter w:w="8" w:type="dxa"/>
        </w:trPr>
        <w:tc>
          <w:tcPr>
            <w:tcW w:w="1556" w:type="dxa"/>
            <w:vMerge/>
          </w:tcPr>
          <w:p w14:paraId="1841D89D"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311FCAA4" w14:textId="77777777" w:rsidR="00837DA7" w:rsidRPr="00F119F4" w:rsidRDefault="00837DA7" w:rsidP="00353A9A">
            <w:pPr>
              <w:autoSpaceDE w:val="0"/>
              <w:autoSpaceDN w:val="0"/>
              <w:adjustRightInd w:val="0"/>
              <w:rPr>
                <w:rFonts w:ascii="Times New Roman" w:hAnsi="Times New Roman" w:cs="Times New Roman"/>
                <w:sz w:val="24"/>
                <w:szCs w:val="24"/>
                <w:highlight w:val="yellow"/>
              </w:rPr>
            </w:pPr>
            <w:r>
              <w:rPr>
                <w:rFonts w:ascii="Times New Roman" w:hAnsi="Times New Roman" w:cs="Times New Roman"/>
                <w:sz w:val="24"/>
                <w:szCs w:val="24"/>
              </w:rPr>
              <w:t xml:space="preserve">1.25 </w:t>
            </w:r>
            <w:r w:rsidRPr="00F119F4">
              <w:rPr>
                <w:rFonts w:ascii="Times New Roman" w:hAnsi="Times New Roman" w:cs="Times New Roman"/>
                <w:sz w:val="24"/>
                <w:szCs w:val="24"/>
              </w:rPr>
              <w:t>Insurance</w:t>
            </w:r>
            <w:r>
              <w:rPr>
                <w:rFonts w:ascii="Times New Roman" w:hAnsi="Times New Roman" w:cs="Times New Roman"/>
                <w:sz w:val="24"/>
                <w:szCs w:val="24"/>
              </w:rPr>
              <w:t>.</w:t>
            </w:r>
          </w:p>
        </w:tc>
        <w:tc>
          <w:tcPr>
            <w:tcW w:w="2408" w:type="dxa"/>
          </w:tcPr>
          <w:p w14:paraId="2BADB39F"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HEFCE (2001b)</w:t>
            </w:r>
          </w:p>
        </w:tc>
        <w:tc>
          <w:tcPr>
            <w:tcW w:w="852" w:type="dxa"/>
          </w:tcPr>
          <w:p w14:paraId="41D09D86"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7B37F172" w14:textId="77777777" w:rsidR="00837DA7" w:rsidRPr="00F119F4" w:rsidRDefault="00837DA7" w:rsidP="00353A9A">
            <w:pPr>
              <w:rPr>
                <w:rFonts w:ascii="Times New Roman" w:hAnsi="Times New Roman" w:cs="Times New Roman"/>
                <w:sz w:val="24"/>
                <w:szCs w:val="24"/>
              </w:rPr>
            </w:pPr>
          </w:p>
        </w:tc>
      </w:tr>
      <w:tr w:rsidR="00837DA7" w:rsidRPr="00F119F4" w14:paraId="52DA1273" w14:textId="77777777" w:rsidTr="00353A9A">
        <w:trPr>
          <w:gridAfter w:val="1"/>
          <w:wAfter w:w="8" w:type="dxa"/>
        </w:trPr>
        <w:tc>
          <w:tcPr>
            <w:tcW w:w="1556" w:type="dxa"/>
            <w:vMerge/>
          </w:tcPr>
          <w:p w14:paraId="4776943B"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2B2178A5"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1.26 </w:t>
            </w:r>
            <w:r w:rsidRPr="00F119F4">
              <w:rPr>
                <w:rFonts w:ascii="Times New Roman" w:hAnsi="Times New Roman" w:cs="Times New Roman"/>
                <w:sz w:val="24"/>
                <w:szCs w:val="24"/>
              </w:rPr>
              <w:t xml:space="preserve">Income </w:t>
            </w:r>
            <w:r>
              <w:rPr>
                <w:rFonts w:ascii="Times New Roman" w:hAnsi="Times New Roman" w:cs="Times New Roman"/>
                <w:sz w:val="24"/>
                <w:szCs w:val="24"/>
              </w:rPr>
              <w:t>g</w:t>
            </w:r>
            <w:r w:rsidRPr="00F119F4">
              <w:rPr>
                <w:rFonts w:ascii="Times New Roman" w:hAnsi="Times New Roman" w:cs="Times New Roman"/>
                <w:sz w:val="24"/>
                <w:szCs w:val="24"/>
              </w:rPr>
              <w:t>eneration</w:t>
            </w:r>
            <w:r>
              <w:rPr>
                <w:rFonts w:ascii="Times New Roman" w:hAnsi="Times New Roman" w:cs="Times New Roman"/>
                <w:sz w:val="24"/>
                <w:szCs w:val="24"/>
              </w:rPr>
              <w:t>.</w:t>
            </w:r>
          </w:p>
        </w:tc>
        <w:tc>
          <w:tcPr>
            <w:tcW w:w="2408" w:type="dxa"/>
          </w:tcPr>
          <w:p w14:paraId="3E1E2A48"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LFHE (2009)</w:t>
            </w:r>
          </w:p>
        </w:tc>
        <w:tc>
          <w:tcPr>
            <w:tcW w:w="852" w:type="dxa"/>
          </w:tcPr>
          <w:p w14:paraId="2648EBEB"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568F4F17" w14:textId="77777777" w:rsidR="00837DA7" w:rsidRPr="00F119F4" w:rsidRDefault="00837DA7" w:rsidP="00353A9A">
            <w:pPr>
              <w:rPr>
                <w:rFonts w:ascii="Times New Roman" w:hAnsi="Times New Roman" w:cs="Times New Roman"/>
                <w:sz w:val="24"/>
                <w:szCs w:val="24"/>
              </w:rPr>
            </w:pPr>
          </w:p>
        </w:tc>
      </w:tr>
      <w:tr w:rsidR="00837DA7" w:rsidRPr="00F119F4" w14:paraId="5F447BD3" w14:textId="77777777" w:rsidTr="00353A9A">
        <w:trPr>
          <w:gridAfter w:val="1"/>
          <w:wAfter w:w="8" w:type="dxa"/>
        </w:trPr>
        <w:tc>
          <w:tcPr>
            <w:tcW w:w="1556" w:type="dxa"/>
            <w:vMerge/>
          </w:tcPr>
          <w:p w14:paraId="1302B19A"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69642308"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1.27 </w:t>
            </w:r>
            <w:r w:rsidRPr="00F119F4">
              <w:rPr>
                <w:rFonts w:ascii="Times New Roman" w:hAnsi="Times New Roman" w:cs="Times New Roman"/>
                <w:sz w:val="24"/>
                <w:szCs w:val="24"/>
              </w:rPr>
              <w:t>Understanding of financial parameters by managers</w:t>
            </w:r>
            <w:r>
              <w:rPr>
                <w:rFonts w:ascii="Times New Roman" w:hAnsi="Times New Roman" w:cs="Times New Roman"/>
                <w:sz w:val="24"/>
                <w:szCs w:val="24"/>
              </w:rPr>
              <w:t>/</w:t>
            </w:r>
            <w:r w:rsidRPr="00F119F4">
              <w:rPr>
                <w:rFonts w:ascii="Times New Roman" w:hAnsi="Times New Roman" w:cs="Times New Roman"/>
                <w:sz w:val="24"/>
                <w:szCs w:val="24"/>
              </w:rPr>
              <w:t>governors</w:t>
            </w:r>
            <w:r>
              <w:rPr>
                <w:rFonts w:ascii="Times New Roman" w:hAnsi="Times New Roman" w:cs="Times New Roman"/>
                <w:sz w:val="24"/>
                <w:szCs w:val="24"/>
              </w:rPr>
              <w:t>.</w:t>
            </w:r>
          </w:p>
        </w:tc>
        <w:tc>
          <w:tcPr>
            <w:tcW w:w="2408" w:type="dxa"/>
          </w:tcPr>
          <w:p w14:paraId="41A0CBB0"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LFHE (2009)</w:t>
            </w:r>
          </w:p>
        </w:tc>
        <w:tc>
          <w:tcPr>
            <w:tcW w:w="852" w:type="dxa"/>
          </w:tcPr>
          <w:p w14:paraId="50B2FA59"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7D3B193F" w14:textId="77777777" w:rsidR="00837DA7" w:rsidRPr="00F119F4" w:rsidRDefault="00837DA7" w:rsidP="00353A9A">
            <w:pPr>
              <w:rPr>
                <w:rFonts w:ascii="Times New Roman" w:hAnsi="Times New Roman" w:cs="Times New Roman"/>
                <w:sz w:val="24"/>
                <w:szCs w:val="24"/>
              </w:rPr>
            </w:pPr>
          </w:p>
        </w:tc>
      </w:tr>
      <w:tr w:rsidR="00837DA7" w:rsidRPr="00F119F4" w14:paraId="571B8125" w14:textId="77777777" w:rsidTr="00353A9A">
        <w:trPr>
          <w:gridAfter w:val="1"/>
          <w:wAfter w:w="8" w:type="dxa"/>
        </w:trPr>
        <w:tc>
          <w:tcPr>
            <w:tcW w:w="1556" w:type="dxa"/>
            <w:vMerge/>
          </w:tcPr>
          <w:p w14:paraId="614F23E5"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3420E4A7"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1.28 </w:t>
            </w:r>
            <w:r w:rsidRPr="00F119F4">
              <w:rPr>
                <w:rFonts w:ascii="Times New Roman" w:hAnsi="Times New Roman" w:cs="Times New Roman"/>
                <w:sz w:val="24"/>
                <w:szCs w:val="24"/>
              </w:rPr>
              <w:t>Value-for-money: effectiveness, efficiency and economy.</w:t>
            </w:r>
          </w:p>
        </w:tc>
        <w:tc>
          <w:tcPr>
            <w:tcW w:w="2408" w:type="dxa"/>
          </w:tcPr>
          <w:p w14:paraId="6CF0BA0D"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LFHE (2009)</w:t>
            </w:r>
          </w:p>
        </w:tc>
        <w:tc>
          <w:tcPr>
            <w:tcW w:w="852" w:type="dxa"/>
          </w:tcPr>
          <w:p w14:paraId="6A1E6753"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2B6EDCDB" w14:textId="77777777" w:rsidR="00837DA7" w:rsidRPr="00F119F4" w:rsidRDefault="00837DA7" w:rsidP="00353A9A">
            <w:pPr>
              <w:rPr>
                <w:rFonts w:ascii="Times New Roman" w:hAnsi="Times New Roman" w:cs="Times New Roman"/>
                <w:sz w:val="24"/>
                <w:szCs w:val="24"/>
              </w:rPr>
            </w:pPr>
          </w:p>
        </w:tc>
      </w:tr>
      <w:tr w:rsidR="00837DA7" w:rsidRPr="00F119F4" w14:paraId="3D72C355" w14:textId="77777777" w:rsidTr="00353A9A">
        <w:trPr>
          <w:gridAfter w:val="1"/>
          <w:wAfter w:w="8" w:type="dxa"/>
        </w:trPr>
        <w:tc>
          <w:tcPr>
            <w:tcW w:w="1556" w:type="dxa"/>
            <w:vMerge/>
          </w:tcPr>
          <w:p w14:paraId="55363C23"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Borders>
              <w:bottom w:val="single" w:sz="4" w:space="0" w:color="auto"/>
            </w:tcBorders>
          </w:tcPr>
          <w:p w14:paraId="1CADE06F"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1.29 </w:t>
            </w:r>
            <w:r w:rsidRPr="00F119F4">
              <w:rPr>
                <w:rFonts w:ascii="Times New Roman" w:hAnsi="Times New Roman" w:cs="Times New Roman"/>
                <w:sz w:val="24"/>
                <w:szCs w:val="24"/>
              </w:rPr>
              <w:t>Pension costs</w:t>
            </w:r>
            <w:r>
              <w:rPr>
                <w:rFonts w:ascii="Times New Roman" w:hAnsi="Times New Roman" w:cs="Times New Roman"/>
                <w:sz w:val="24"/>
                <w:szCs w:val="24"/>
              </w:rPr>
              <w:t>.</w:t>
            </w:r>
          </w:p>
        </w:tc>
        <w:tc>
          <w:tcPr>
            <w:tcW w:w="2408" w:type="dxa"/>
            <w:tcBorders>
              <w:bottom w:val="single" w:sz="4" w:space="0" w:color="auto"/>
            </w:tcBorders>
          </w:tcPr>
          <w:p w14:paraId="5587D45F"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LFHE (2009)</w:t>
            </w:r>
          </w:p>
        </w:tc>
        <w:tc>
          <w:tcPr>
            <w:tcW w:w="852" w:type="dxa"/>
            <w:tcBorders>
              <w:bottom w:val="single" w:sz="4" w:space="0" w:color="auto"/>
            </w:tcBorders>
          </w:tcPr>
          <w:p w14:paraId="56EB1661"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Borders>
              <w:bottom w:val="single" w:sz="4" w:space="0" w:color="auto"/>
            </w:tcBorders>
          </w:tcPr>
          <w:p w14:paraId="13C66739" w14:textId="77777777" w:rsidR="00837DA7" w:rsidRPr="00F119F4" w:rsidRDefault="00837DA7" w:rsidP="00353A9A">
            <w:pPr>
              <w:rPr>
                <w:rFonts w:ascii="Times New Roman" w:hAnsi="Times New Roman" w:cs="Times New Roman"/>
                <w:sz w:val="24"/>
                <w:szCs w:val="24"/>
              </w:rPr>
            </w:pPr>
          </w:p>
        </w:tc>
      </w:tr>
      <w:tr w:rsidR="00837DA7" w:rsidRPr="00F119F4" w14:paraId="425D986F" w14:textId="77777777" w:rsidTr="00353A9A">
        <w:tc>
          <w:tcPr>
            <w:tcW w:w="1556" w:type="dxa"/>
            <w:vMerge w:val="restart"/>
            <w:tcBorders>
              <w:top w:val="single" w:sz="4" w:space="0" w:color="auto"/>
              <w:bottom w:val="single" w:sz="2" w:space="0" w:color="auto"/>
            </w:tcBorders>
          </w:tcPr>
          <w:p w14:paraId="76BC749C" w14:textId="77777777" w:rsidR="00837DA7" w:rsidRPr="00F119F4" w:rsidRDefault="00837DA7" w:rsidP="00353A9A">
            <w:pPr>
              <w:autoSpaceDE w:val="0"/>
              <w:autoSpaceDN w:val="0"/>
              <w:adjustRightInd w:val="0"/>
              <w:ind w:left="-112" w:right="-110"/>
              <w:rPr>
                <w:rFonts w:ascii="Times New Roman" w:hAnsi="Times New Roman" w:cs="Times New Roman"/>
                <w:sz w:val="24"/>
                <w:szCs w:val="24"/>
              </w:rPr>
            </w:pPr>
            <w:r w:rsidRPr="00A4778B">
              <w:rPr>
                <w:rFonts w:ascii="Times New Roman" w:hAnsi="Times New Roman" w:cs="Times New Roman"/>
                <w:b/>
                <w:bCs/>
                <w:sz w:val="24"/>
                <w:szCs w:val="24"/>
              </w:rPr>
              <w:lastRenderedPageBreak/>
              <w:t xml:space="preserve">2. Operational </w:t>
            </w:r>
            <w:r>
              <w:rPr>
                <w:rFonts w:ascii="Times New Roman" w:hAnsi="Times New Roman" w:cs="Times New Roman"/>
                <w:b/>
                <w:bCs/>
                <w:sz w:val="24"/>
                <w:szCs w:val="24"/>
              </w:rPr>
              <w:t>r</w:t>
            </w:r>
            <w:r w:rsidRPr="00A4778B">
              <w:rPr>
                <w:rFonts w:ascii="Times New Roman" w:hAnsi="Times New Roman" w:cs="Times New Roman"/>
                <w:b/>
                <w:bCs/>
                <w:sz w:val="24"/>
                <w:szCs w:val="24"/>
              </w:rPr>
              <w:t>isks (</w:t>
            </w:r>
            <w:r>
              <w:rPr>
                <w:rFonts w:ascii="Times New Roman" w:hAnsi="Times New Roman" w:cs="Times New Roman"/>
                <w:b/>
                <w:bCs/>
                <w:i/>
                <w:iCs/>
                <w:sz w:val="24"/>
                <w:szCs w:val="24"/>
              </w:rPr>
              <w:t>HEORD</w:t>
            </w:r>
            <w:r w:rsidRPr="00A4778B">
              <w:rPr>
                <w:rFonts w:ascii="Times New Roman" w:hAnsi="Times New Roman" w:cs="Times New Roman"/>
                <w:b/>
                <w:bCs/>
                <w:sz w:val="24"/>
                <w:szCs w:val="24"/>
              </w:rPr>
              <w:t>)</w:t>
            </w:r>
          </w:p>
        </w:tc>
        <w:tc>
          <w:tcPr>
            <w:tcW w:w="9493" w:type="dxa"/>
            <w:gridSpan w:val="6"/>
            <w:tcBorders>
              <w:top w:val="single" w:sz="4" w:space="0" w:color="auto"/>
            </w:tcBorders>
          </w:tcPr>
          <w:p w14:paraId="36D2719E" w14:textId="77777777" w:rsidR="00837DA7" w:rsidRPr="00A4778B" w:rsidRDefault="00837DA7" w:rsidP="00353A9A">
            <w:pPr>
              <w:rPr>
                <w:rFonts w:ascii="Times New Roman" w:hAnsi="Times New Roman" w:cs="Times New Roman"/>
                <w:b/>
                <w:bCs/>
                <w:i/>
                <w:iCs/>
                <w:sz w:val="24"/>
                <w:szCs w:val="24"/>
              </w:rPr>
            </w:pPr>
            <w:r w:rsidRPr="00A4778B">
              <w:rPr>
                <w:rFonts w:ascii="Times New Roman" w:hAnsi="Times New Roman" w:cs="Times New Roman"/>
                <w:b/>
                <w:bCs/>
                <w:i/>
                <w:iCs/>
                <w:sz w:val="24"/>
                <w:szCs w:val="24"/>
              </w:rPr>
              <w:t xml:space="preserve">2.1 Business </w:t>
            </w:r>
            <w:r>
              <w:rPr>
                <w:rFonts w:ascii="Times New Roman" w:hAnsi="Times New Roman" w:cs="Times New Roman"/>
                <w:b/>
                <w:bCs/>
                <w:i/>
                <w:iCs/>
                <w:sz w:val="24"/>
                <w:szCs w:val="24"/>
              </w:rPr>
              <w:t>e</w:t>
            </w:r>
            <w:r w:rsidRPr="00A4778B">
              <w:rPr>
                <w:rFonts w:ascii="Times New Roman" w:hAnsi="Times New Roman" w:cs="Times New Roman"/>
                <w:b/>
                <w:bCs/>
                <w:i/>
                <w:iCs/>
                <w:sz w:val="24"/>
                <w:szCs w:val="24"/>
              </w:rPr>
              <w:t xml:space="preserve">nvironment </w:t>
            </w:r>
            <w:r>
              <w:rPr>
                <w:rFonts w:ascii="Times New Roman" w:hAnsi="Times New Roman" w:cs="Times New Roman"/>
                <w:b/>
                <w:bCs/>
                <w:i/>
                <w:iCs/>
                <w:sz w:val="24"/>
                <w:szCs w:val="24"/>
              </w:rPr>
              <w:t>risks</w:t>
            </w:r>
          </w:p>
        </w:tc>
      </w:tr>
      <w:tr w:rsidR="00837DA7" w:rsidRPr="00F119F4" w14:paraId="3BA32651" w14:textId="77777777" w:rsidTr="00353A9A">
        <w:trPr>
          <w:gridAfter w:val="1"/>
          <w:wAfter w:w="8" w:type="dxa"/>
        </w:trPr>
        <w:tc>
          <w:tcPr>
            <w:tcW w:w="1556" w:type="dxa"/>
            <w:vMerge/>
            <w:tcBorders>
              <w:top w:val="single" w:sz="2" w:space="0" w:color="auto"/>
              <w:bottom w:val="single" w:sz="2" w:space="0" w:color="auto"/>
            </w:tcBorders>
          </w:tcPr>
          <w:p w14:paraId="1BADB298"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71A923A5"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2.1.1 </w:t>
            </w:r>
            <w:r w:rsidRPr="00F119F4">
              <w:rPr>
                <w:rFonts w:ascii="Times New Roman" w:hAnsi="Times New Roman" w:cs="Times New Roman"/>
                <w:sz w:val="24"/>
                <w:szCs w:val="24"/>
              </w:rPr>
              <w:t>management</w:t>
            </w:r>
            <w:r>
              <w:rPr>
                <w:rFonts w:ascii="Times New Roman" w:hAnsi="Times New Roman" w:cs="Times New Roman"/>
                <w:sz w:val="24"/>
                <w:szCs w:val="24"/>
              </w:rPr>
              <w:t>/leadership and g</w:t>
            </w:r>
            <w:r w:rsidRPr="00F119F4">
              <w:rPr>
                <w:rFonts w:ascii="Times New Roman" w:hAnsi="Times New Roman" w:cs="Times New Roman"/>
                <w:sz w:val="24"/>
                <w:szCs w:val="24"/>
              </w:rPr>
              <w:t>overnance</w:t>
            </w:r>
            <w:r>
              <w:rPr>
                <w:rFonts w:ascii="Times New Roman" w:hAnsi="Times New Roman" w:cs="Times New Roman"/>
                <w:sz w:val="24"/>
                <w:szCs w:val="24"/>
              </w:rPr>
              <w:t>.</w:t>
            </w:r>
          </w:p>
        </w:tc>
        <w:tc>
          <w:tcPr>
            <w:tcW w:w="2408" w:type="dxa"/>
          </w:tcPr>
          <w:p w14:paraId="00C95427"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LFHE (2009)</w:t>
            </w:r>
          </w:p>
        </w:tc>
        <w:tc>
          <w:tcPr>
            <w:tcW w:w="852" w:type="dxa"/>
          </w:tcPr>
          <w:p w14:paraId="46ADFC2A"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val="restart"/>
            <w:vAlign w:val="center"/>
          </w:tcPr>
          <w:p w14:paraId="1BAFA03E" w14:textId="77777777" w:rsidR="00837DA7" w:rsidRPr="00F119F4" w:rsidRDefault="00837DA7" w:rsidP="00353A9A">
            <w:pPr>
              <w:jc w:val="center"/>
              <w:rPr>
                <w:rFonts w:ascii="Times New Roman" w:hAnsi="Times New Roman" w:cs="Times New Roman"/>
                <w:sz w:val="24"/>
                <w:szCs w:val="24"/>
              </w:rPr>
            </w:pPr>
            <w:r>
              <w:rPr>
                <w:rFonts w:ascii="Times New Roman" w:hAnsi="Times New Roman" w:cs="Times New Roman"/>
                <w:sz w:val="24"/>
                <w:szCs w:val="24"/>
              </w:rPr>
              <w:t>108</w:t>
            </w:r>
          </w:p>
        </w:tc>
      </w:tr>
      <w:tr w:rsidR="00837DA7" w:rsidRPr="00F119F4" w14:paraId="7B204763" w14:textId="77777777" w:rsidTr="00353A9A">
        <w:trPr>
          <w:gridAfter w:val="1"/>
          <w:wAfter w:w="8" w:type="dxa"/>
        </w:trPr>
        <w:tc>
          <w:tcPr>
            <w:tcW w:w="1556" w:type="dxa"/>
            <w:vMerge/>
            <w:tcBorders>
              <w:top w:val="single" w:sz="2" w:space="0" w:color="auto"/>
              <w:bottom w:val="single" w:sz="2" w:space="0" w:color="auto"/>
            </w:tcBorders>
          </w:tcPr>
          <w:p w14:paraId="7D01C950"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489504BD"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2.1.2 </w:t>
            </w:r>
            <w:r w:rsidRPr="00F119F4">
              <w:rPr>
                <w:rFonts w:ascii="Times New Roman" w:hAnsi="Times New Roman" w:cs="Times New Roman"/>
                <w:sz w:val="24"/>
                <w:szCs w:val="24"/>
              </w:rPr>
              <w:t>Business ethics/corruption</w:t>
            </w:r>
            <w:r>
              <w:rPr>
                <w:rFonts w:ascii="Times New Roman" w:hAnsi="Times New Roman" w:cs="Times New Roman"/>
                <w:sz w:val="24"/>
                <w:szCs w:val="24"/>
              </w:rPr>
              <w:t>.</w:t>
            </w:r>
          </w:p>
        </w:tc>
        <w:tc>
          <w:tcPr>
            <w:tcW w:w="2408" w:type="dxa"/>
          </w:tcPr>
          <w:p w14:paraId="17E3981C"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HEFCE (2001b)</w:t>
            </w:r>
          </w:p>
        </w:tc>
        <w:tc>
          <w:tcPr>
            <w:tcW w:w="852" w:type="dxa"/>
          </w:tcPr>
          <w:p w14:paraId="114F2EA9"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25BDBD9F" w14:textId="77777777" w:rsidR="00837DA7" w:rsidRPr="00F119F4" w:rsidRDefault="00837DA7" w:rsidP="00353A9A">
            <w:pPr>
              <w:rPr>
                <w:rFonts w:ascii="Times New Roman" w:hAnsi="Times New Roman" w:cs="Times New Roman"/>
                <w:sz w:val="24"/>
                <w:szCs w:val="24"/>
              </w:rPr>
            </w:pPr>
          </w:p>
        </w:tc>
      </w:tr>
      <w:tr w:rsidR="00837DA7" w:rsidRPr="00F119F4" w14:paraId="1B89F52C" w14:textId="77777777" w:rsidTr="00353A9A">
        <w:trPr>
          <w:gridAfter w:val="1"/>
          <w:wAfter w:w="8" w:type="dxa"/>
        </w:trPr>
        <w:tc>
          <w:tcPr>
            <w:tcW w:w="1556" w:type="dxa"/>
            <w:vMerge/>
            <w:tcBorders>
              <w:top w:val="single" w:sz="2" w:space="0" w:color="auto"/>
              <w:bottom w:val="single" w:sz="2" w:space="0" w:color="auto"/>
            </w:tcBorders>
          </w:tcPr>
          <w:p w14:paraId="205F9DDF"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0F384610"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2.1.3 </w:t>
            </w:r>
            <w:r w:rsidRPr="00F119F4">
              <w:rPr>
                <w:rFonts w:ascii="Times New Roman" w:hAnsi="Times New Roman" w:cs="Times New Roman"/>
                <w:sz w:val="24"/>
                <w:szCs w:val="24"/>
              </w:rPr>
              <w:t>Off balance sheet/contingent assets and liabilities</w:t>
            </w:r>
            <w:r>
              <w:rPr>
                <w:rFonts w:ascii="Times New Roman" w:hAnsi="Times New Roman" w:cs="Times New Roman"/>
                <w:sz w:val="24"/>
                <w:szCs w:val="24"/>
              </w:rPr>
              <w:t>.</w:t>
            </w:r>
          </w:p>
        </w:tc>
        <w:tc>
          <w:tcPr>
            <w:tcW w:w="2408" w:type="dxa"/>
          </w:tcPr>
          <w:p w14:paraId="7CE48350"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HEFCE (2001b)</w:t>
            </w:r>
          </w:p>
        </w:tc>
        <w:tc>
          <w:tcPr>
            <w:tcW w:w="852" w:type="dxa"/>
          </w:tcPr>
          <w:p w14:paraId="658E9A68"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2AC67BD9" w14:textId="77777777" w:rsidR="00837DA7" w:rsidRPr="00F119F4" w:rsidRDefault="00837DA7" w:rsidP="00353A9A">
            <w:pPr>
              <w:rPr>
                <w:rFonts w:ascii="Times New Roman" w:hAnsi="Times New Roman" w:cs="Times New Roman"/>
                <w:sz w:val="24"/>
                <w:szCs w:val="24"/>
              </w:rPr>
            </w:pPr>
          </w:p>
        </w:tc>
      </w:tr>
      <w:tr w:rsidR="00837DA7" w:rsidRPr="00F119F4" w14:paraId="7A44AB88" w14:textId="77777777" w:rsidTr="00353A9A">
        <w:trPr>
          <w:gridAfter w:val="1"/>
          <w:wAfter w:w="8" w:type="dxa"/>
        </w:trPr>
        <w:tc>
          <w:tcPr>
            <w:tcW w:w="1556" w:type="dxa"/>
            <w:vMerge/>
            <w:tcBorders>
              <w:top w:val="single" w:sz="2" w:space="0" w:color="auto"/>
              <w:bottom w:val="single" w:sz="2" w:space="0" w:color="auto"/>
            </w:tcBorders>
          </w:tcPr>
          <w:p w14:paraId="168F5B73"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14B402AD" w14:textId="77777777" w:rsidR="00837DA7" w:rsidRPr="00F119F4" w:rsidRDefault="00837DA7" w:rsidP="00353A9A">
            <w:pPr>
              <w:autoSpaceDE w:val="0"/>
              <w:autoSpaceDN w:val="0"/>
              <w:adjustRightInd w:val="0"/>
              <w:ind w:right="-111"/>
              <w:rPr>
                <w:rFonts w:ascii="Times New Roman" w:hAnsi="Times New Roman" w:cs="Times New Roman"/>
                <w:sz w:val="24"/>
                <w:szCs w:val="24"/>
              </w:rPr>
            </w:pPr>
            <w:r>
              <w:rPr>
                <w:rFonts w:ascii="Times New Roman" w:hAnsi="Times New Roman" w:cs="Times New Roman"/>
                <w:sz w:val="24"/>
                <w:szCs w:val="24"/>
              </w:rPr>
              <w:t xml:space="preserve">2.1.4 </w:t>
            </w:r>
            <w:r w:rsidRPr="00F119F4">
              <w:rPr>
                <w:rFonts w:ascii="Times New Roman" w:hAnsi="Times New Roman" w:cs="Times New Roman"/>
                <w:sz w:val="24"/>
                <w:szCs w:val="24"/>
              </w:rPr>
              <w:t>Stock/service obsolescence</w:t>
            </w:r>
            <w:r>
              <w:rPr>
                <w:rFonts w:ascii="Times New Roman" w:hAnsi="Times New Roman" w:cs="Times New Roman"/>
                <w:sz w:val="24"/>
                <w:szCs w:val="24"/>
              </w:rPr>
              <w:t>/</w:t>
            </w:r>
            <w:r w:rsidRPr="00F119F4">
              <w:rPr>
                <w:rFonts w:ascii="Times New Roman" w:hAnsi="Times New Roman" w:cs="Times New Roman"/>
                <w:sz w:val="24"/>
                <w:szCs w:val="24"/>
              </w:rPr>
              <w:t>shrinkage</w:t>
            </w:r>
            <w:r>
              <w:rPr>
                <w:rFonts w:ascii="Times New Roman" w:hAnsi="Times New Roman" w:cs="Times New Roman"/>
                <w:sz w:val="24"/>
                <w:szCs w:val="24"/>
              </w:rPr>
              <w:t>.</w:t>
            </w:r>
          </w:p>
        </w:tc>
        <w:tc>
          <w:tcPr>
            <w:tcW w:w="2408" w:type="dxa"/>
          </w:tcPr>
          <w:p w14:paraId="58D76DA7"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LFHE (2009)</w:t>
            </w:r>
          </w:p>
        </w:tc>
        <w:tc>
          <w:tcPr>
            <w:tcW w:w="852" w:type="dxa"/>
          </w:tcPr>
          <w:p w14:paraId="5B969275"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3A7D76D5" w14:textId="77777777" w:rsidR="00837DA7" w:rsidRPr="00F119F4" w:rsidRDefault="00837DA7" w:rsidP="00353A9A">
            <w:pPr>
              <w:rPr>
                <w:rFonts w:ascii="Times New Roman" w:hAnsi="Times New Roman" w:cs="Times New Roman"/>
                <w:sz w:val="24"/>
                <w:szCs w:val="24"/>
              </w:rPr>
            </w:pPr>
          </w:p>
        </w:tc>
      </w:tr>
      <w:tr w:rsidR="00837DA7" w:rsidRPr="00F119F4" w14:paraId="31DF811A" w14:textId="77777777" w:rsidTr="00353A9A">
        <w:trPr>
          <w:gridAfter w:val="1"/>
          <w:wAfter w:w="8" w:type="dxa"/>
        </w:trPr>
        <w:tc>
          <w:tcPr>
            <w:tcW w:w="1556" w:type="dxa"/>
            <w:vMerge/>
            <w:tcBorders>
              <w:top w:val="single" w:sz="2" w:space="0" w:color="auto"/>
              <w:bottom w:val="single" w:sz="2" w:space="0" w:color="auto"/>
            </w:tcBorders>
          </w:tcPr>
          <w:p w14:paraId="37757EA9"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3188F5C8"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2.1.5 </w:t>
            </w:r>
            <w:r w:rsidRPr="00F119F4">
              <w:rPr>
                <w:rFonts w:ascii="Times New Roman" w:hAnsi="Times New Roman" w:cs="Times New Roman"/>
                <w:sz w:val="24"/>
                <w:szCs w:val="24"/>
              </w:rPr>
              <w:t>Sourcing/raw material</w:t>
            </w:r>
            <w:r>
              <w:rPr>
                <w:rFonts w:ascii="Times New Roman" w:hAnsi="Times New Roman" w:cs="Times New Roman"/>
                <w:sz w:val="24"/>
                <w:szCs w:val="24"/>
              </w:rPr>
              <w:t>.</w:t>
            </w:r>
          </w:p>
        </w:tc>
        <w:tc>
          <w:tcPr>
            <w:tcW w:w="2408" w:type="dxa"/>
          </w:tcPr>
          <w:p w14:paraId="6E49D212"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Ntim</w:t>
            </w:r>
            <w:r>
              <w:rPr>
                <w:rFonts w:ascii="Times New Roman" w:hAnsi="Times New Roman" w:cs="Times New Roman"/>
                <w:sz w:val="24"/>
                <w:szCs w:val="24"/>
              </w:rPr>
              <w:t xml:space="preserve"> et al. (2013)</w:t>
            </w:r>
          </w:p>
        </w:tc>
        <w:tc>
          <w:tcPr>
            <w:tcW w:w="852" w:type="dxa"/>
          </w:tcPr>
          <w:p w14:paraId="210CE345"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Borders>
              <w:bottom w:val="single" w:sz="2" w:space="0" w:color="auto"/>
            </w:tcBorders>
          </w:tcPr>
          <w:p w14:paraId="067782BF" w14:textId="77777777" w:rsidR="00837DA7" w:rsidRPr="00F119F4" w:rsidRDefault="00837DA7" w:rsidP="00353A9A">
            <w:pPr>
              <w:rPr>
                <w:rFonts w:ascii="Times New Roman" w:hAnsi="Times New Roman" w:cs="Times New Roman"/>
                <w:sz w:val="24"/>
                <w:szCs w:val="24"/>
              </w:rPr>
            </w:pPr>
          </w:p>
        </w:tc>
      </w:tr>
      <w:tr w:rsidR="00837DA7" w:rsidRPr="00F119F4" w14:paraId="7C3281A6" w14:textId="77777777" w:rsidTr="00353A9A">
        <w:trPr>
          <w:gridAfter w:val="1"/>
          <w:wAfter w:w="8" w:type="dxa"/>
        </w:trPr>
        <w:tc>
          <w:tcPr>
            <w:tcW w:w="1556" w:type="dxa"/>
            <w:vMerge/>
            <w:tcBorders>
              <w:top w:val="single" w:sz="2" w:space="0" w:color="auto"/>
              <w:bottom w:val="single" w:sz="2" w:space="0" w:color="auto"/>
            </w:tcBorders>
          </w:tcPr>
          <w:p w14:paraId="66688042"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520D5E8F"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2.1.6 </w:t>
            </w:r>
            <w:r w:rsidRPr="00F119F4">
              <w:rPr>
                <w:rFonts w:ascii="Times New Roman" w:hAnsi="Times New Roman" w:cs="Times New Roman"/>
                <w:sz w:val="24"/>
                <w:szCs w:val="24"/>
              </w:rPr>
              <w:t>Production/product development</w:t>
            </w:r>
            <w:r>
              <w:rPr>
                <w:rFonts w:ascii="Times New Roman" w:hAnsi="Times New Roman" w:cs="Times New Roman"/>
                <w:sz w:val="24"/>
                <w:szCs w:val="24"/>
              </w:rPr>
              <w:t>.</w:t>
            </w:r>
          </w:p>
        </w:tc>
        <w:tc>
          <w:tcPr>
            <w:tcW w:w="2408" w:type="dxa"/>
          </w:tcPr>
          <w:p w14:paraId="65F17415"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HEFCE (2001b)</w:t>
            </w:r>
          </w:p>
        </w:tc>
        <w:tc>
          <w:tcPr>
            <w:tcW w:w="852" w:type="dxa"/>
          </w:tcPr>
          <w:p w14:paraId="7AFF2530"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Borders>
              <w:top w:val="single" w:sz="2" w:space="0" w:color="auto"/>
              <w:bottom w:val="single" w:sz="2" w:space="0" w:color="auto"/>
            </w:tcBorders>
          </w:tcPr>
          <w:p w14:paraId="2942A14B" w14:textId="77777777" w:rsidR="00837DA7" w:rsidRPr="00F119F4" w:rsidRDefault="00837DA7" w:rsidP="00353A9A">
            <w:pPr>
              <w:rPr>
                <w:rFonts w:ascii="Times New Roman" w:hAnsi="Times New Roman" w:cs="Times New Roman"/>
                <w:sz w:val="24"/>
                <w:szCs w:val="24"/>
              </w:rPr>
            </w:pPr>
          </w:p>
        </w:tc>
      </w:tr>
      <w:tr w:rsidR="00837DA7" w:rsidRPr="00F119F4" w14:paraId="1692B867" w14:textId="77777777" w:rsidTr="00353A9A">
        <w:trPr>
          <w:gridAfter w:val="1"/>
          <w:wAfter w:w="8" w:type="dxa"/>
        </w:trPr>
        <w:tc>
          <w:tcPr>
            <w:tcW w:w="1556" w:type="dxa"/>
            <w:vMerge/>
            <w:tcBorders>
              <w:top w:val="single" w:sz="2" w:space="0" w:color="auto"/>
              <w:bottom w:val="single" w:sz="2" w:space="0" w:color="auto"/>
            </w:tcBorders>
          </w:tcPr>
          <w:p w14:paraId="38A4C17B"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239F4F0C"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2.1.7 </w:t>
            </w:r>
            <w:r w:rsidRPr="00F119F4">
              <w:rPr>
                <w:rFonts w:ascii="Times New Roman" w:hAnsi="Times New Roman" w:cs="Times New Roman"/>
                <w:sz w:val="24"/>
                <w:szCs w:val="24"/>
              </w:rPr>
              <w:t>Product/service failure</w:t>
            </w:r>
            <w:r>
              <w:rPr>
                <w:rFonts w:ascii="Times New Roman" w:hAnsi="Times New Roman" w:cs="Times New Roman"/>
                <w:sz w:val="24"/>
                <w:szCs w:val="24"/>
              </w:rPr>
              <w:t>.</w:t>
            </w:r>
          </w:p>
        </w:tc>
        <w:tc>
          <w:tcPr>
            <w:tcW w:w="2408" w:type="dxa"/>
          </w:tcPr>
          <w:p w14:paraId="31A83E27"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HEFCE (2001b)</w:t>
            </w:r>
          </w:p>
        </w:tc>
        <w:tc>
          <w:tcPr>
            <w:tcW w:w="852" w:type="dxa"/>
          </w:tcPr>
          <w:p w14:paraId="1E6519E3"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Borders>
              <w:top w:val="single" w:sz="2" w:space="0" w:color="auto"/>
            </w:tcBorders>
          </w:tcPr>
          <w:p w14:paraId="279EEA64" w14:textId="77777777" w:rsidR="00837DA7" w:rsidRPr="00F119F4" w:rsidRDefault="00837DA7" w:rsidP="00353A9A">
            <w:pPr>
              <w:rPr>
                <w:rFonts w:ascii="Times New Roman" w:hAnsi="Times New Roman" w:cs="Times New Roman"/>
                <w:sz w:val="24"/>
                <w:szCs w:val="24"/>
              </w:rPr>
            </w:pPr>
          </w:p>
        </w:tc>
      </w:tr>
      <w:tr w:rsidR="00837DA7" w:rsidRPr="00F119F4" w14:paraId="67C5D2F4" w14:textId="77777777" w:rsidTr="00353A9A">
        <w:trPr>
          <w:gridAfter w:val="1"/>
          <w:wAfter w:w="8" w:type="dxa"/>
        </w:trPr>
        <w:tc>
          <w:tcPr>
            <w:tcW w:w="1556" w:type="dxa"/>
            <w:vMerge/>
            <w:tcBorders>
              <w:top w:val="single" w:sz="2" w:space="0" w:color="auto"/>
              <w:bottom w:val="single" w:sz="2" w:space="0" w:color="auto"/>
            </w:tcBorders>
          </w:tcPr>
          <w:p w14:paraId="15B8F221"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732DA3FE"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2.1.8 </w:t>
            </w:r>
            <w:r w:rsidRPr="00F119F4">
              <w:rPr>
                <w:rFonts w:ascii="Times New Roman" w:hAnsi="Times New Roman" w:cs="Times New Roman"/>
                <w:sz w:val="24"/>
                <w:szCs w:val="24"/>
              </w:rPr>
              <w:t>League table</w:t>
            </w:r>
            <w:r>
              <w:rPr>
                <w:rFonts w:ascii="Times New Roman" w:hAnsi="Times New Roman" w:cs="Times New Roman"/>
                <w:sz w:val="24"/>
                <w:szCs w:val="24"/>
              </w:rPr>
              <w:t>.</w:t>
            </w:r>
          </w:p>
        </w:tc>
        <w:tc>
          <w:tcPr>
            <w:tcW w:w="2408" w:type="dxa"/>
          </w:tcPr>
          <w:p w14:paraId="38F93678"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HEFCE (2001b)</w:t>
            </w:r>
          </w:p>
        </w:tc>
        <w:tc>
          <w:tcPr>
            <w:tcW w:w="852" w:type="dxa"/>
          </w:tcPr>
          <w:p w14:paraId="4BAB6259"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08E8D87C" w14:textId="77777777" w:rsidR="00837DA7" w:rsidRPr="00F119F4" w:rsidRDefault="00837DA7" w:rsidP="00353A9A">
            <w:pPr>
              <w:rPr>
                <w:rFonts w:ascii="Times New Roman" w:hAnsi="Times New Roman" w:cs="Times New Roman"/>
                <w:sz w:val="24"/>
                <w:szCs w:val="24"/>
              </w:rPr>
            </w:pPr>
          </w:p>
        </w:tc>
      </w:tr>
      <w:tr w:rsidR="00837DA7" w:rsidRPr="00F119F4" w14:paraId="0E213B34" w14:textId="77777777" w:rsidTr="00353A9A">
        <w:trPr>
          <w:gridAfter w:val="1"/>
          <w:wAfter w:w="8" w:type="dxa"/>
        </w:trPr>
        <w:tc>
          <w:tcPr>
            <w:tcW w:w="1556" w:type="dxa"/>
            <w:vMerge/>
            <w:tcBorders>
              <w:top w:val="single" w:sz="2" w:space="0" w:color="auto"/>
              <w:bottom w:val="single" w:sz="2" w:space="0" w:color="auto"/>
            </w:tcBorders>
          </w:tcPr>
          <w:p w14:paraId="2B3AC68A"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08DF6531"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2.1.9 </w:t>
            </w:r>
            <w:r w:rsidRPr="00F119F4">
              <w:rPr>
                <w:rFonts w:ascii="Times New Roman" w:hAnsi="Times New Roman" w:cs="Times New Roman"/>
                <w:sz w:val="24"/>
                <w:szCs w:val="24"/>
              </w:rPr>
              <w:t xml:space="preserve">Student </w:t>
            </w:r>
            <w:r>
              <w:rPr>
                <w:rFonts w:ascii="Times New Roman" w:hAnsi="Times New Roman" w:cs="Times New Roman"/>
                <w:sz w:val="24"/>
                <w:szCs w:val="24"/>
              </w:rPr>
              <w:t>c</w:t>
            </w:r>
            <w:r w:rsidRPr="00F119F4">
              <w:rPr>
                <w:rFonts w:ascii="Times New Roman" w:hAnsi="Times New Roman" w:cs="Times New Roman"/>
                <w:sz w:val="24"/>
                <w:szCs w:val="24"/>
              </w:rPr>
              <w:t xml:space="preserve">areer </w:t>
            </w:r>
            <w:r>
              <w:rPr>
                <w:rFonts w:ascii="Times New Roman" w:hAnsi="Times New Roman" w:cs="Times New Roman"/>
                <w:sz w:val="24"/>
                <w:szCs w:val="24"/>
              </w:rPr>
              <w:t>p</w:t>
            </w:r>
            <w:r w:rsidRPr="00F119F4">
              <w:rPr>
                <w:rFonts w:ascii="Times New Roman" w:hAnsi="Times New Roman" w:cs="Times New Roman"/>
                <w:sz w:val="24"/>
                <w:szCs w:val="24"/>
              </w:rPr>
              <w:t>aths/</w:t>
            </w:r>
            <w:r>
              <w:rPr>
                <w:rFonts w:ascii="Times New Roman" w:hAnsi="Times New Roman" w:cs="Times New Roman"/>
                <w:sz w:val="24"/>
                <w:szCs w:val="24"/>
              </w:rPr>
              <w:t>d</w:t>
            </w:r>
            <w:r w:rsidRPr="00F119F4">
              <w:rPr>
                <w:rFonts w:ascii="Times New Roman" w:hAnsi="Times New Roman" w:cs="Times New Roman"/>
                <w:sz w:val="24"/>
                <w:szCs w:val="24"/>
              </w:rPr>
              <w:t>estinations</w:t>
            </w:r>
            <w:r>
              <w:rPr>
                <w:rFonts w:ascii="Times New Roman" w:hAnsi="Times New Roman" w:cs="Times New Roman"/>
                <w:sz w:val="24"/>
                <w:szCs w:val="24"/>
              </w:rPr>
              <w:t>.</w:t>
            </w:r>
            <w:r w:rsidRPr="00F119F4">
              <w:rPr>
                <w:rFonts w:ascii="Times New Roman" w:hAnsi="Times New Roman" w:cs="Times New Roman"/>
                <w:sz w:val="24"/>
                <w:szCs w:val="24"/>
              </w:rPr>
              <w:t xml:space="preserve"> </w:t>
            </w:r>
          </w:p>
        </w:tc>
        <w:tc>
          <w:tcPr>
            <w:tcW w:w="2408" w:type="dxa"/>
          </w:tcPr>
          <w:p w14:paraId="7D39C018"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HEFCE (2001b)</w:t>
            </w:r>
          </w:p>
        </w:tc>
        <w:tc>
          <w:tcPr>
            <w:tcW w:w="852" w:type="dxa"/>
          </w:tcPr>
          <w:p w14:paraId="2B8B5ADF"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1C29E41F" w14:textId="77777777" w:rsidR="00837DA7" w:rsidRPr="00F119F4" w:rsidRDefault="00837DA7" w:rsidP="00353A9A">
            <w:pPr>
              <w:rPr>
                <w:rFonts w:ascii="Times New Roman" w:hAnsi="Times New Roman" w:cs="Times New Roman"/>
                <w:sz w:val="24"/>
                <w:szCs w:val="24"/>
              </w:rPr>
            </w:pPr>
          </w:p>
        </w:tc>
      </w:tr>
      <w:tr w:rsidR="00837DA7" w:rsidRPr="00F119F4" w14:paraId="263FD484" w14:textId="77777777" w:rsidTr="00353A9A">
        <w:trPr>
          <w:gridAfter w:val="1"/>
          <w:wAfter w:w="8" w:type="dxa"/>
        </w:trPr>
        <w:tc>
          <w:tcPr>
            <w:tcW w:w="1556" w:type="dxa"/>
            <w:vMerge/>
            <w:tcBorders>
              <w:top w:val="single" w:sz="2" w:space="0" w:color="auto"/>
              <w:bottom w:val="single" w:sz="2" w:space="0" w:color="auto"/>
            </w:tcBorders>
          </w:tcPr>
          <w:p w14:paraId="2BE8E760"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21010B2B"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2.1.10 </w:t>
            </w:r>
            <w:r w:rsidRPr="00F119F4">
              <w:rPr>
                <w:rFonts w:ascii="Times New Roman" w:hAnsi="Times New Roman" w:cs="Times New Roman"/>
                <w:sz w:val="24"/>
                <w:szCs w:val="24"/>
              </w:rPr>
              <w:t>Commercial contacts</w:t>
            </w:r>
            <w:r>
              <w:rPr>
                <w:rFonts w:ascii="Times New Roman" w:hAnsi="Times New Roman" w:cs="Times New Roman"/>
                <w:sz w:val="24"/>
                <w:szCs w:val="24"/>
              </w:rPr>
              <w:t>.</w:t>
            </w:r>
          </w:p>
        </w:tc>
        <w:tc>
          <w:tcPr>
            <w:tcW w:w="2408" w:type="dxa"/>
          </w:tcPr>
          <w:p w14:paraId="40163A6D"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HEFCE (2001b)</w:t>
            </w:r>
          </w:p>
        </w:tc>
        <w:tc>
          <w:tcPr>
            <w:tcW w:w="852" w:type="dxa"/>
          </w:tcPr>
          <w:p w14:paraId="2FCC3E37"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497B9CEC" w14:textId="77777777" w:rsidR="00837DA7" w:rsidRPr="00F119F4" w:rsidRDefault="00837DA7" w:rsidP="00353A9A">
            <w:pPr>
              <w:rPr>
                <w:rFonts w:ascii="Times New Roman" w:hAnsi="Times New Roman" w:cs="Times New Roman"/>
                <w:sz w:val="24"/>
                <w:szCs w:val="24"/>
              </w:rPr>
            </w:pPr>
          </w:p>
        </w:tc>
      </w:tr>
      <w:tr w:rsidR="00837DA7" w:rsidRPr="00F119F4" w14:paraId="0D0BD28F" w14:textId="77777777" w:rsidTr="00353A9A">
        <w:trPr>
          <w:gridAfter w:val="1"/>
          <w:wAfter w:w="8" w:type="dxa"/>
        </w:trPr>
        <w:tc>
          <w:tcPr>
            <w:tcW w:w="1556" w:type="dxa"/>
            <w:vMerge/>
            <w:tcBorders>
              <w:top w:val="single" w:sz="2" w:space="0" w:color="auto"/>
              <w:bottom w:val="single" w:sz="2" w:space="0" w:color="auto"/>
            </w:tcBorders>
          </w:tcPr>
          <w:p w14:paraId="79C88A11"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1D659E45"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2.1.11 </w:t>
            </w:r>
            <w:r w:rsidRPr="00F119F4">
              <w:rPr>
                <w:rFonts w:ascii="Times New Roman" w:hAnsi="Times New Roman" w:cs="Times New Roman"/>
                <w:sz w:val="24"/>
                <w:szCs w:val="24"/>
              </w:rPr>
              <w:t xml:space="preserve">Risk </w:t>
            </w:r>
            <w:r>
              <w:rPr>
                <w:rFonts w:ascii="Times New Roman" w:hAnsi="Times New Roman" w:cs="Times New Roman"/>
                <w:sz w:val="24"/>
                <w:szCs w:val="24"/>
              </w:rPr>
              <w:t>management</w:t>
            </w:r>
            <w:r w:rsidRPr="00F119F4">
              <w:rPr>
                <w:rFonts w:ascii="Times New Roman" w:hAnsi="Times New Roman" w:cs="Times New Roman"/>
                <w:sz w:val="24"/>
                <w:szCs w:val="24"/>
              </w:rPr>
              <w:t xml:space="preserve"> training for consulting staff</w:t>
            </w:r>
            <w:r>
              <w:rPr>
                <w:rFonts w:ascii="Times New Roman" w:hAnsi="Times New Roman" w:cs="Times New Roman"/>
                <w:sz w:val="24"/>
                <w:szCs w:val="24"/>
              </w:rPr>
              <w:t>.</w:t>
            </w:r>
          </w:p>
        </w:tc>
        <w:tc>
          <w:tcPr>
            <w:tcW w:w="2408" w:type="dxa"/>
          </w:tcPr>
          <w:p w14:paraId="5E758CB7"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HEFCE (2001b)</w:t>
            </w:r>
          </w:p>
        </w:tc>
        <w:tc>
          <w:tcPr>
            <w:tcW w:w="852" w:type="dxa"/>
          </w:tcPr>
          <w:p w14:paraId="5EA4258A"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5A410FE6" w14:textId="77777777" w:rsidR="00837DA7" w:rsidRPr="00F119F4" w:rsidRDefault="00837DA7" w:rsidP="00353A9A">
            <w:pPr>
              <w:rPr>
                <w:rFonts w:ascii="Times New Roman" w:hAnsi="Times New Roman" w:cs="Times New Roman"/>
                <w:sz w:val="24"/>
                <w:szCs w:val="24"/>
              </w:rPr>
            </w:pPr>
          </w:p>
        </w:tc>
      </w:tr>
      <w:tr w:rsidR="00837DA7" w:rsidRPr="00F119F4" w14:paraId="6456234D" w14:textId="77777777" w:rsidTr="00353A9A">
        <w:trPr>
          <w:gridAfter w:val="1"/>
          <w:wAfter w:w="8" w:type="dxa"/>
        </w:trPr>
        <w:tc>
          <w:tcPr>
            <w:tcW w:w="1556" w:type="dxa"/>
            <w:vMerge/>
            <w:tcBorders>
              <w:top w:val="single" w:sz="2" w:space="0" w:color="auto"/>
              <w:bottom w:val="single" w:sz="2" w:space="0" w:color="auto"/>
            </w:tcBorders>
          </w:tcPr>
          <w:p w14:paraId="19996FEC"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2E677E83"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2.1.12 </w:t>
            </w:r>
            <w:r w:rsidRPr="00F119F4">
              <w:rPr>
                <w:rFonts w:ascii="Times New Roman" w:hAnsi="Times New Roman" w:cs="Times New Roman"/>
                <w:sz w:val="24"/>
                <w:szCs w:val="24"/>
              </w:rPr>
              <w:t xml:space="preserve">Internal </w:t>
            </w:r>
            <w:r>
              <w:rPr>
                <w:rFonts w:ascii="Times New Roman" w:hAnsi="Times New Roman" w:cs="Times New Roman"/>
                <w:sz w:val="24"/>
                <w:szCs w:val="24"/>
              </w:rPr>
              <w:t>e</w:t>
            </w:r>
            <w:r w:rsidRPr="00F119F4">
              <w:rPr>
                <w:rFonts w:ascii="Times New Roman" w:hAnsi="Times New Roman" w:cs="Times New Roman"/>
                <w:sz w:val="24"/>
                <w:szCs w:val="24"/>
              </w:rPr>
              <w:t>nvironment</w:t>
            </w:r>
            <w:r>
              <w:rPr>
                <w:rFonts w:ascii="Times New Roman" w:hAnsi="Times New Roman" w:cs="Times New Roman"/>
                <w:sz w:val="24"/>
                <w:szCs w:val="24"/>
              </w:rPr>
              <w:t>.</w:t>
            </w:r>
          </w:p>
        </w:tc>
        <w:tc>
          <w:tcPr>
            <w:tcW w:w="2408" w:type="dxa"/>
          </w:tcPr>
          <w:p w14:paraId="536D2FE5"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LFHE (2009)</w:t>
            </w:r>
          </w:p>
        </w:tc>
        <w:tc>
          <w:tcPr>
            <w:tcW w:w="852" w:type="dxa"/>
          </w:tcPr>
          <w:p w14:paraId="1ED348E6"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2AA057D4" w14:textId="77777777" w:rsidR="00837DA7" w:rsidRPr="00F119F4" w:rsidRDefault="00837DA7" w:rsidP="00353A9A">
            <w:pPr>
              <w:rPr>
                <w:rFonts w:ascii="Times New Roman" w:hAnsi="Times New Roman" w:cs="Times New Roman"/>
                <w:sz w:val="24"/>
                <w:szCs w:val="24"/>
              </w:rPr>
            </w:pPr>
          </w:p>
        </w:tc>
      </w:tr>
      <w:tr w:rsidR="00837DA7" w:rsidRPr="00F119F4" w14:paraId="62A1B024" w14:textId="77777777" w:rsidTr="00353A9A">
        <w:trPr>
          <w:gridAfter w:val="1"/>
          <w:wAfter w:w="8" w:type="dxa"/>
        </w:trPr>
        <w:tc>
          <w:tcPr>
            <w:tcW w:w="1556" w:type="dxa"/>
            <w:vMerge/>
            <w:tcBorders>
              <w:top w:val="single" w:sz="2" w:space="0" w:color="auto"/>
              <w:bottom w:val="single" w:sz="2" w:space="0" w:color="auto"/>
            </w:tcBorders>
          </w:tcPr>
          <w:p w14:paraId="57951F28"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0ED927BD"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2.1.13 </w:t>
            </w:r>
            <w:r w:rsidRPr="00F119F4">
              <w:rPr>
                <w:rFonts w:ascii="Times New Roman" w:hAnsi="Times New Roman" w:cs="Times New Roman"/>
                <w:sz w:val="24"/>
                <w:szCs w:val="24"/>
              </w:rPr>
              <w:t>External environment</w:t>
            </w:r>
            <w:r>
              <w:rPr>
                <w:rFonts w:ascii="Times New Roman" w:hAnsi="Times New Roman" w:cs="Times New Roman"/>
                <w:sz w:val="24"/>
                <w:szCs w:val="24"/>
              </w:rPr>
              <w:t>.</w:t>
            </w:r>
          </w:p>
        </w:tc>
        <w:tc>
          <w:tcPr>
            <w:tcW w:w="2408" w:type="dxa"/>
          </w:tcPr>
          <w:p w14:paraId="3BD627D8"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LFHE (2009)</w:t>
            </w:r>
          </w:p>
        </w:tc>
        <w:tc>
          <w:tcPr>
            <w:tcW w:w="852" w:type="dxa"/>
          </w:tcPr>
          <w:p w14:paraId="21C36D6D"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6149ADE9" w14:textId="77777777" w:rsidR="00837DA7" w:rsidRPr="00F119F4" w:rsidRDefault="00837DA7" w:rsidP="00353A9A">
            <w:pPr>
              <w:rPr>
                <w:rFonts w:ascii="Times New Roman" w:hAnsi="Times New Roman" w:cs="Times New Roman"/>
                <w:sz w:val="24"/>
                <w:szCs w:val="24"/>
              </w:rPr>
            </w:pPr>
          </w:p>
        </w:tc>
      </w:tr>
      <w:tr w:rsidR="00837DA7" w:rsidRPr="00F119F4" w14:paraId="7CC3B038" w14:textId="77777777" w:rsidTr="00353A9A">
        <w:trPr>
          <w:gridAfter w:val="1"/>
          <w:wAfter w:w="8" w:type="dxa"/>
        </w:trPr>
        <w:tc>
          <w:tcPr>
            <w:tcW w:w="1556" w:type="dxa"/>
            <w:vMerge/>
            <w:tcBorders>
              <w:top w:val="single" w:sz="2" w:space="0" w:color="auto"/>
              <w:bottom w:val="single" w:sz="2" w:space="0" w:color="auto"/>
            </w:tcBorders>
          </w:tcPr>
          <w:p w14:paraId="6FEF2F84"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45FEBE02"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2.1.14 </w:t>
            </w:r>
            <w:r w:rsidRPr="00F119F4">
              <w:rPr>
                <w:rFonts w:ascii="Times New Roman" w:hAnsi="Times New Roman" w:cs="Times New Roman"/>
                <w:sz w:val="24"/>
                <w:szCs w:val="24"/>
              </w:rPr>
              <w:t xml:space="preserve">Business processes </w:t>
            </w:r>
            <w:r>
              <w:rPr>
                <w:rFonts w:ascii="Times New Roman" w:hAnsi="Times New Roman" w:cs="Times New Roman"/>
                <w:sz w:val="24"/>
                <w:szCs w:val="24"/>
              </w:rPr>
              <w:t>&amp;</w:t>
            </w:r>
            <w:r w:rsidRPr="00F119F4">
              <w:rPr>
                <w:rFonts w:ascii="Times New Roman" w:hAnsi="Times New Roman" w:cs="Times New Roman"/>
                <w:sz w:val="24"/>
                <w:szCs w:val="24"/>
              </w:rPr>
              <w:t xml:space="preserve"> procedures/operations</w:t>
            </w:r>
            <w:r>
              <w:rPr>
                <w:rFonts w:ascii="Times New Roman" w:hAnsi="Times New Roman" w:cs="Times New Roman"/>
                <w:sz w:val="24"/>
                <w:szCs w:val="24"/>
              </w:rPr>
              <w:t>.</w:t>
            </w:r>
          </w:p>
        </w:tc>
        <w:tc>
          <w:tcPr>
            <w:tcW w:w="2408" w:type="dxa"/>
          </w:tcPr>
          <w:p w14:paraId="58CC31A9"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LFHE (2009)</w:t>
            </w:r>
          </w:p>
        </w:tc>
        <w:tc>
          <w:tcPr>
            <w:tcW w:w="852" w:type="dxa"/>
          </w:tcPr>
          <w:p w14:paraId="2C99FF8E"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2AEDB84A" w14:textId="77777777" w:rsidR="00837DA7" w:rsidRPr="00F119F4" w:rsidRDefault="00837DA7" w:rsidP="00353A9A">
            <w:pPr>
              <w:rPr>
                <w:rFonts w:ascii="Times New Roman" w:hAnsi="Times New Roman" w:cs="Times New Roman"/>
                <w:sz w:val="24"/>
                <w:szCs w:val="24"/>
              </w:rPr>
            </w:pPr>
          </w:p>
        </w:tc>
      </w:tr>
      <w:tr w:rsidR="00837DA7" w:rsidRPr="00F119F4" w14:paraId="7490A760" w14:textId="77777777" w:rsidTr="00353A9A">
        <w:trPr>
          <w:gridAfter w:val="1"/>
          <w:wAfter w:w="8" w:type="dxa"/>
        </w:trPr>
        <w:tc>
          <w:tcPr>
            <w:tcW w:w="1556" w:type="dxa"/>
            <w:vMerge/>
            <w:tcBorders>
              <w:top w:val="single" w:sz="2" w:space="0" w:color="auto"/>
              <w:bottom w:val="single" w:sz="2" w:space="0" w:color="auto"/>
            </w:tcBorders>
          </w:tcPr>
          <w:p w14:paraId="7A4C3D2A"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59D378F4"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2.1.15 </w:t>
            </w:r>
            <w:r w:rsidRPr="00F119F4">
              <w:rPr>
                <w:rFonts w:ascii="Times New Roman" w:hAnsi="Times New Roman" w:cs="Times New Roman"/>
                <w:sz w:val="24"/>
                <w:szCs w:val="24"/>
              </w:rPr>
              <w:t>Equal opportunities</w:t>
            </w:r>
            <w:r>
              <w:rPr>
                <w:rFonts w:ascii="Times New Roman" w:hAnsi="Times New Roman" w:cs="Times New Roman"/>
                <w:sz w:val="24"/>
                <w:szCs w:val="24"/>
              </w:rPr>
              <w:t>.</w:t>
            </w:r>
          </w:p>
        </w:tc>
        <w:tc>
          <w:tcPr>
            <w:tcW w:w="2408" w:type="dxa"/>
          </w:tcPr>
          <w:p w14:paraId="20D41CDB"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Ntim</w:t>
            </w:r>
            <w:r>
              <w:rPr>
                <w:rFonts w:ascii="Times New Roman" w:hAnsi="Times New Roman" w:cs="Times New Roman"/>
                <w:sz w:val="24"/>
                <w:szCs w:val="24"/>
              </w:rPr>
              <w:t xml:space="preserve"> et al. (2013)</w:t>
            </w:r>
          </w:p>
        </w:tc>
        <w:tc>
          <w:tcPr>
            <w:tcW w:w="852" w:type="dxa"/>
          </w:tcPr>
          <w:p w14:paraId="0463CCD6"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03B5E7F7" w14:textId="77777777" w:rsidR="00837DA7" w:rsidRPr="00F119F4" w:rsidRDefault="00837DA7" w:rsidP="00353A9A">
            <w:pPr>
              <w:rPr>
                <w:rFonts w:ascii="Times New Roman" w:hAnsi="Times New Roman" w:cs="Times New Roman"/>
                <w:sz w:val="24"/>
                <w:szCs w:val="24"/>
              </w:rPr>
            </w:pPr>
          </w:p>
        </w:tc>
      </w:tr>
      <w:tr w:rsidR="00837DA7" w:rsidRPr="00F119F4" w14:paraId="49CBE1A6" w14:textId="77777777" w:rsidTr="00353A9A">
        <w:trPr>
          <w:gridAfter w:val="1"/>
          <w:wAfter w:w="8" w:type="dxa"/>
        </w:trPr>
        <w:tc>
          <w:tcPr>
            <w:tcW w:w="1556" w:type="dxa"/>
            <w:vMerge/>
            <w:tcBorders>
              <w:top w:val="single" w:sz="2" w:space="0" w:color="auto"/>
              <w:bottom w:val="single" w:sz="2" w:space="0" w:color="auto"/>
            </w:tcBorders>
          </w:tcPr>
          <w:p w14:paraId="6C71F400"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6AAA9404"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2.1.16 </w:t>
            </w:r>
            <w:r w:rsidRPr="00F119F4">
              <w:rPr>
                <w:rFonts w:ascii="Times New Roman" w:hAnsi="Times New Roman" w:cs="Times New Roman"/>
                <w:sz w:val="24"/>
                <w:szCs w:val="24"/>
              </w:rPr>
              <w:t>Compliance</w:t>
            </w:r>
            <w:r>
              <w:rPr>
                <w:rFonts w:ascii="Times New Roman" w:hAnsi="Times New Roman" w:cs="Times New Roman"/>
                <w:sz w:val="24"/>
                <w:szCs w:val="24"/>
              </w:rPr>
              <w:t>.</w:t>
            </w:r>
          </w:p>
        </w:tc>
        <w:tc>
          <w:tcPr>
            <w:tcW w:w="2408" w:type="dxa"/>
          </w:tcPr>
          <w:p w14:paraId="2CFD4C93"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HEFCE (2001b)</w:t>
            </w:r>
          </w:p>
        </w:tc>
        <w:tc>
          <w:tcPr>
            <w:tcW w:w="852" w:type="dxa"/>
          </w:tcPr>
          <w:p w14:paraId="0C6F6531"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2889CEB6" w14:textId="77777777" w:rsidR="00837DA7" w:rsidRPr="00F119F4" w:rsidRDefault="00837DA7" w:rsidP="00353A9A">
            <w:pPr>
              <w:rPr>
                <w:rFonts w:ascii="Times New Roman" w:hAnsi="Times New Roman" w:cs="Times New Roman"/>
                <w:sz w:val="24"/>
                <w:szCs w:val="24"/>
              </w:rPr>
            </w:pPr>
          </w:p>
        </w:tc>
      </w:tr>
      <w:tr w:rsidR="00837DA7" w:rsidRPr="00F119F4" w14:paraId="51E6B350" w14:textId="77777777" w:rsidTr="00353A9A">
        <w:trPr>
          <w:gridAfter w:val="1"/>
          <w:wAfter w:w="8" w:type="dxa"/>
        </w:trPr>
        <w:tc>
          <w:tcPr>
            <w:tcW w:w="1556" w:type="dxa"/>
            <w:vMerge/>
            <w:tcBorders>
              <w:top w:val="single" w:sz="2" w:space="0" w:color="auto"/>
              <w:bottom w:val="single" w:sz="2" w:space="0" w:color="auto"/>
            </w:tcBorders>
          </w:tcPr>
          <w:p w14:paraId="2D9C8CB9"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69CF72DD"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2.1.17 </w:t>
            </w:r>
            <w:r w:rsidRPr="00F119F4">
              <w:rPr>
                <w:rFonts w:ascii="Times New Roman" w:hAnsi="Times New Roman" w:cs="Times New Roman"/>
                <w:sz w:val="24"/>
                <w:szCs w:val="24"/>
              </w:rPr>
              <w:t>Non/financial reporting/disclosure/communication</w:t>
            </w:r>
            <w:r>
              <w:rPr>
                <w:rFonts w:ascii="Times New Roman" w:hAnsi="Times New Roman" w:cs="Times New Roman"/>
                <w:sz w:val="24"/>
                <w:szCs w:val="24"/>
              </w:rPr>
              <w:t>.</w:t>
            </w:r>
          </w:p>
        </w:tc>
        <w:tc>
          <w:tcPr>
            <w:tcW w:w="2408" w:type="dxa"/>
          </w:tcPr>
          <w:p w14:paraId="56768A6F"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LFHE (2009)</w:t>
            </w:r>
          </w:p>
        </w:tc>
        <w:tc>
          <w:tcPr>
            <w:tcW w:w="852" w:type="dxa"/>
          </w:tcPr>
          <w:p w14:paraId="1CA9B1B9"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3513C12D" w14:textId="77777777" w:rsidR="00837DA7" w:rsidRPr="00F119F4" w:rsidRDefault="00837DA7" w:rsidP="00353A9A">
            <w:pPr>
              <w:rPr>
                <w:rFonts w:ascii="Times New Roman" w:hAnsi="Times New Roman" w:cs="Times New Roman"/>
                <w:sz w:val="24"/>
                <w:szCs w:val="24"/>
              </w:rPr>
            </w:pPr>
          </w:p>
        </w:tc>
      </w:tr>
      <w:tr w:rsidR="00837DA7" w:rsidRPr="00F119F4" w14:paraId="7B80B5CF" w14:textId="77777777" w:rsidTr="00353A9A">
        <w:trPr>
          <w:gridAfter w:val="1"/>
          <w:wAfter w:w="8" w:type="dxa"/>
        </w:trPr>
        <w:tc>
          <w:tcPr>
            <w:tcW w:w="1556" w:type="dxa"/>
            <w:vMerge/>
            <w:tcBorders>
              <w:top w:val="single" w:sz="2" w:space="0" w:color="auto"/>
              <w:bottom w:val="single" w:sz="2" w:space="0" w:color="auto"/>
            </w:tcBorders>
          </w:tcPr>
          <w:p w14:paraId="1A79E758"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51ACE84B"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2.1.18 </w:t>
            </w:r>
            <w:r w:rsidRPr="00F119F4">
              <w:rPr>
                <w:rFonts w:ascii="Times New Roman" w:hAnsi="Times New Roman" w:cs="Times New Roman"/>
                <w:sz w:val="24"/>
                <w:szCs w:val="24"/>
              </w:rPr>
              <w:t xml:space="preserve">Internal audit </w:t>
            </w:r>
            <w:r>
              <w:rPr>
                <w:rFonts w:ascii="Times New Roman" w:hAnsi="Times New Roman" w:cs="Times New Roman"/>
                <w:sz w:val="24"/>
                <w:szCs w:val="24"/>
              </w:rPr>
              <w:t>&amp;</w:t>
            </w:r>
            <w:r w:rsidRPr="00F119F4">
              <w:rPr>
                <w:rFonts w:ascii="Times New Roman" w:hAnsi="Times New Roman" w:cs="Times New Roman"/>
                <w:sz w:val="24"/>
                <w:szCs w:val="24"/>
              </w:rPr>
              <w:t xml:space="preserve"> control</w:t>
            </w:r>
            <w:r>
              <w:rPr>
                <w:rFonts w:ascii="Times New Roman" w:hAnsi="Times New Roman" w:cs="Times New Roman"/>
                <w:sz w:val="24"/>
                <w:szCs w:val="24"/>
              </w:rPr>
              <w:t>.</w:t>
            </w:r>
          </w:p>
        </w:tc>
        <w:tc>
          <w:tcPr>
            <w:tcW w:w="2408" w:type="dxa"/>
          </w:tcPr>
          <w:p w14:paraId="71587077"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LFHE (2009)</w:t>
            </w:r>
          </w:p>
        </w:tc>
        <w:tc>
          <w:tcPr>
            <w:tcW w:w="852" w:type="dxa"/>
          </w:tcPr>
          <w:p w14:paraId="68DF82A9"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61A469EE" w14:textId="77777777" w:rsidR="00837DA7" w:rsidRPr="00F119F4" w:rsidRDefault="00837DA7" w:rsidP="00353A9A">
            <w:pPr>
              <w:rPr>
                <w:rFonts w:ascii="Times New Roman" w:hAnsi="Times New Roman" w:cs="Times New Roman"/>
                <w:sz w:val="24"/>
                <w:szCs w:val="24"/>
              </w:rPr>
            </w:pPr>
          </w:p>
        </w:tc>
      </w:tr>
      <w:tr w:rsidR="00837DA7" w:rsidRPr="00F119F4" w14:paraId="1136E3D7" w14:textId="77777777" w:rsidTr="00353A9A">
        <w:tc>
          <w:tcPr>
            <w:tcW w:w="1556" w:type="dxa"/>
            <w:vMerge/>
            <w:tcBorders>
              <w:top w:val="single" w:sz="2" w:space="0" w:color="auto"/>
              <w:bottom w:val="single" w:sz="2" w:space="0" w:color="auto"/>
            </w:tcBorders>
          </w:tcPr>
          <w:p w14:paraId="13CBCB0D"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9493" w:type="dxa"/>
            <w:gridSpan w:val="6"/>
          </w:tcPr>
          <w:p w14:paraId="0C396726" w14:textId="77777777" w:rsidR="00837DA7" w:rsidRDefault="00837DA7" w:rsidP="00353A9A">
            <w:pPr>
              <w:rPr>
                <w:rFonts w:ascii="Times New Roman" w:hAnsi="Times New Roman" w:cs="Times New Roman"/>
                <w:b/>
                <w:bCs/>
                <w:i/>
                <w:iCs/>
                <w:sz w:val="24"/>
                <w:szCs w:val="24"/>
              </w:rPr>
            </w:pPr>
            <w:r>
              <w:rPr>
                <w:rFonts w:ascii="Times New Roman" w:hAnsi="Times New Roman" w:cs="Times New Roman"/>
                <w:b/>
                <w:bCs/>
                <w:i/>
                <w:iCs/>
                <w:sz w:val="24"/>
                <w:szCs w:val="24"/>
              </w:rPr>
              <w:t>2.2 G</w:t>
            </w:r>
            <w:r w:rsidRPr="00A4778B">
              <w:rPr>
                <w:rFonts w:ascii="Times New Roman" w:hAnsi="Times New Roman" w:cs="Times New Roman"/>
                <w:b/>
                <w:bCs/>
                <w:i/>
                <w:iCs/>
                <w:sz w:val="24"/>
                <w:szCs w:val="24"/>
              </w:rPr>
              <w:t>overnance</w:t>
            </w:r>
            <w:r>
              <w:rPr>
                <w:rFonts w:ascii="Times New Roman" w:hAnsi="Times New Roman" w:cs="Times New Roman"/>
                <w:b/>
                <w:bCs/>
                <w:i/>
                <w:iCs/>
                <w:sz w:val="24"/>
                <w:szCs w:val="24"/>
              </w:rPr>
              <w:t xml:space="preserve"> risks</w:t>
            </w:r>
          </w:p>
        </w:tc>
      </w:tr>
      <w:tr w:rsidR="00837DA7" w:rsidRPr="00F119F4" w14:paraId="259EE2FD" w14:textId="77777777" w:rsidTr="00353A9A">
        <w:trPr>
          <w:gridAfter w:val="1"/>
          <w:wAfter w:w="8" w:type="dxa"/>
        </w:trPr>
        <w:tc>
          <w:tcPr>
            <w:tcW w:w="1556" w:type="dxa"/>
            <w:vMerge/>
            <w:tcBorders>
              <w:top w:val="single" w:sz="2" w:space="0" w:color="auto"/>
              <w:bottom w:val="single" w:sz="2" w:space="0" w:color="auto"/>
            </w:tcBorders>
          </w:tcPr>
          <w:p w14:paraId="01CF6A14"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0D2532DF"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2.2.1 </w:t>
            </w:r>
            <w:r w:rsidRPr="00F119F4">
              <w:rPr>
                <w:rFonts w:ascii="Times New Roman" w:hAnsi="Times New Roman" w:cs="Times New Roman"/>
                <w:sz w:val="24"/>
                <w:szCs w:val="24"/>
              </w:rPr>
              <w:t xml:space="preserve">Disclosure of risk </w:t>
            </w:r>
            <w:r>
              <w:rPr>
                <w:rFonts w:ascii="Times New Roman" w:hAnsi="Times New Roman" w:cs="Times New Roman"/>
                <w:sz w:val="24"/>
                <w:szCs w:val="24"/>
              </w:rPr>
              <w:t>management</w:t>
            </w:r>
            <w:r w:rsidRPr="00F119F4">
              <w:rPr>
                <w:rFonts w:ascii="Times New Roman" w:hAnsi="Times New Roman" w:cs="Times New Roman"/>
                <w:sz w:val="24"/>
                <w:szCs w:val="24"/>
              </w:rPr>
              <w:t xml:space="preserve"> policies/board statement/responsibilities</w:t>
            </w:r>
            <w:r>
              <w:rPr>
                <w:rFonts w:ascii="Times New Roman" w:hAnsi="Times New Roman" w:cs="Times New Roman"/>
                <w:sz w:val="24"/>
                <w:szCs w:val="24"/>
              </w:rPr>
              <w:t>.</w:t>
            </w:r>
          </w:p>
        </w:tc>
        <w:tc>
          <w:tcPr>
            <w:tcW w:w="2408" w:type="dxa"/>
          </w:tcPr>
          <w:p w14:paraId="671D51EE"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HEFCE (2001b)</w:t>
            </w:r>
          </w:p>
        </w:tc>
        <w:tc>
          <w:tcPr>
            <w:tcW w:w="852" w:type="dxa"/>
          </w:tcPr>
          <w:p w14:paraId="6ADCFBC7"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val="restart"/>
            <w:vAlign w:val="center"/>
          </w:tcPr>
          <w:p w14:paraId="3AB3FA87" w14:textId="77777777" w:rsidR="00837DA7" w:rsidRPr="00F119F4" w:rsidRDefault="00837DA7" w:rsidP="00353A9A">
            <w:pPr>
              <w:jc w:val="center"/>
              <w:rPr>
                <w:rFonts w:ascii="Times New Roman" w:hAnsi="Times New Roman" w:cs="Times New Roman"/>
                <w:sz w:val="24"/>
                <w:szCs w:val="24"/>
              </w:rPr>
            </w:pPr>
            <w:r>
              <w:rPr>
                <w:rFonts w:ascii="Times New Roman" w:hAnsi="Times New Roman" w:cs="Times New Roman"/>
                <w:sz w:val="24"/>
                <w:szCs w:val="24"/>
              </w:rPr>
              <w:t>48</w:t>
            </w:r>
          </w:p>
        </w:tc>
      </w:tr>
      <w:tr w:rsidR="00837DA7" w:rsidRPr="00F119F4" w14:paraId="7F250C27" w14:textId="77777777" w:rsidTr="00353A9A">
        <w:trPr>
          <w:gridAfter w:val="1"/>
          <w:wAfter w:w="8" w:type="dxa"/>
        </w:trPr>
        <w:tc>
          <w:tcPr>
            <w:tcW w:w="1556" w:type="dxa"/>
            <w:vMerge/>
            <w:tcBorders>
              <w:top w:val="single" w:sz="2" w:space="0" w:color="auto"/>
              <w:bottom w:val="single" w:sz="2" w:space="0" w:color="auto"/>
            </w:tcBorders>
          </w:tcPr>
          <w:p w14:paraId="5B76C47F"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765D2C00"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2.2.2 </w:t>
            </w:r>
            <w:r w:rsidRPr="00F119F4">
              <w:rPr>
                <w:rFonts w:ascii="Times New Roman" w:hAnsi="Times New Roman" w:cs="Times New Roman"/>
                <w:sz w:val="24"/>
                <w:szCs w:val="24"/>
              </w:rPr>
              <w:t>Disclosure of risk governance/committee existence</w:t>
            </w:r>
            <w:r>
              <w:rPr>
                <w:rFonts w:ascii="Times New Roman" w:hAnsi="Times New Roman" w:cs="Times New Roman"/>
                <w:sz w:val="24"/>
                <w:szCs w:val="24"/>
              </w:rPr>
              <w:t>.</w:t>
            </w:r>
          </w:p>
        </w:tc>
        <w:tc>
          <w:tcPr>
            <w:tcW w:w="2408" w:type="dxa"/>
          </w:tcPr>
          <w:p w14:paraId="6F6E0378"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HEFCE (2001b); LFHE (2009)</w:t>
            </w:r>
          </w:p>
        </w:tc>
        <w:tc>
          <w:tcPr>
            <w:tcW w:w="852" w:type="dxa"/>
          </w:tcPr>
          <w:p w14:paraId="6A87FC04"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7DDC152B" w14:textId="77777777" w:rsidR="00837DA7" w:rsidRPr="00F119F4" w:rsidRDefault="00837DA7" w:rsidP="00353A9A">
            <w:pPr>
              <w:rPr>
                <w:rFonts w:ascii="Times New Roman" w:hAnsi="Times New Roman" w:cs="Times New Roman"/>
                <w:sz w:val="24"/>
                <w:szCs w:val="24"/>
              </w:rPr>
            </w:pPr>
          </w:p>
        </w:tc>
      </w:tr>
      <w:tr w:rsidR="00837DA7" w:rsidRPr="00F119F4" w14:paraId="6E92DE49" w14:textId="77777777" w:rsidTr="00353A9A">
        <w:trPr>
          <w:gridAfter w:val="1"/>
          <w:wAfter w:w="8" w:type="dxa"/>
          <w:trHeight w:val="70"/>
        </w:trPr>
        <w:tc>
          <w:tcPr>
            <w:tcW w:w="1556" w:type="dxa"/>
            <w:vMerge/>
            <w:tcBorders>
              <w:top w:val="single" w:sz="2" w:space="0" w:color="auto"/>
              <w:bottom w:val="single" w:sz="2" w:space="0" w:color="auto"/>
            </w:tcBorders>
          </w:tcPr>
          <w:p w14:paraId="4B5025FC"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5CCE0B16"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2.2.3 </w:t>
            </w:r>
            <w:r w:rsidRPr="00F119F4">
              <w:rPr>
                <w:rFonts w:ascii="Times New Roman" w:hAnsi="Times New Roman" w:cs="Times New Roman"/>
                <w:sz w:val="24"/>
                <w:szCs w:val="24"/>
              </w:rPr>
              <w:t>Disclosure of risk committee composition</w:t>
            </w:r>
            <w:r>
              <w:rPr>
                <w:rFonts w:ascii="Times New Roman" w:hAnsi="Times New Roman" w:cs="Times New Roman"/>
                <w:sz w:val="24"/>
                <w:szCs w:val="24"/>
              </w:rPr>
              <w:t>.</w:t>
            </w:r>
          </w:p>
        </w:tc>
        <w:tc>
          <w:tcPr>
            <w:tcW w:w="2408" w:type="dxa"/>
          </w:tcPr>
          <w:p w14:paraId="678C4353"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Ntim</w:t>
            </w:r>
            <w:r>
              <w:rPr>
                <w:rFonts w:ascii="Times New Roman" w:hAnsi="Times New Roman" w:cs="Times New Roman"/>
                <w:sz w:val="24"/>
                <w:szCs w:val="24"/>
              </w:rPr>
              <w:t xml:space="preserve"> et al. (2013)</w:t>
            </w:r>
          </w:p>
        </w:tc>
        <w:tc>
          <w:tcPr>
            <w:tcW w:w="852" w:type="dxa"/>
          </w:tcPr>
          <w:p w14:paraId="0AFFBC6B"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0FEC129E" w14:textId="77777777" w:rsidR="00837DA7" w:rsidRPr="00F119F4" w:rsidRDefault="00837DA7" w:rsidP="00353A9A">
            <w:pPr>
              <w:rPr>
                <w:rFonts w:ascii="Times New Roman" w:hAnsi="Times New Roman" w:cs="Times New Roman"/>
                <w:sz w:val="24"/>
                <w:szCs w:val="24"/>
              </w:rPr>
            </w:pPr>
          </w:p>
        </w:tc>
      </w:tr>
      <w:tr w:rsidR="00837DA7" w:rsidRPr="00F119F4" w14:paraId="25058CE9" w14:textId="77777777" w:rsidTr="00353A9A">
        <w:trPr>
          <w:gridAfter w:val="1"/>
          <w:wAfter w:w="8" w:type="dxa"/>
        </w:trPr>
        <w:tc>
          <w:tcPr>
            <w:tcW w:w="1556" w:type="dxa"/>
            <w:vMerge/>
            <w:tcBorders>
              <w:top w:val="single" w:sz="2" w:space="0" w:color="auto"/>
              <w:bottom w:val="single" w:sz="2" w:space="0" w:color="auto"/>
            </w:tcBorders>
          </w:tcPr>
          <w:p w14:paraId="13667AC7"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5D80D944"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2.2.4 </w:t>
            </w:r>
            <w:r w:rsidRPr="00F119F4">
              <w:rPr>
                <w:rFonts w:ascii="Times New Roman" w:hAnsi="Times New Roman" w:cs="Times New Roman"/>
                <w:sz w:val="24"/>
                <w:szCs w:val="24"/>
              </w:rPr>
              <w:t>Risk committee chairperson independence</w:t>
            </w:r>
            <w:r>
              <w:rPr>
                <w:rFonts w:ascii="Times New Roman" w:hAnsi="Times New Roman" w:cs="Times New Roman"/>
                <w:sz w:val="24"/>
                <w:szCs w:val="24"/>
              </w:rPr>
              <w:t>.</w:t>
            </w:r>
          </w:p>
        </w:tc>
        <w:tc>
          <w:tcPr>
            <w:tcW w:w="2408" w:type="dxa"/>
          </w:tcPr>
          <w:p w14:paraId="331BEFA7"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Ntim</w:t>
            </w:r>
            <w:r>
              <w:rPr>
                <w:rFonts w:ascii="Times New Roman" w:hAnsi="Times New Roman" w:cs="Times New Roman"/>
                <w:sz w:val="24"/>
                <w:szCs w:val="24"/>
              </w:rPr>
              <w:t xml:space="preserve"> et al. (2013)</w:t>
            </w:r>
          </w:p>
        </w:tc>
        <w:tc>
          <w:tcPr>
            <w:tcW w:w="852" w:type="dxa"/>
          </w:tcPr>
          <w:p w14:paraId="51C5AD5D"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27989E81" w14:textId="77777777" w:rsidR="00837DA7" w:rsidRPr="00F119F4" w:rsidRDefault="00837DA7" w:rsidP="00353A9A">
            <w:pPr>
              <w:rPr>
                <w:rFonts w:ascii="Times New Roman" w:hAnsi="Times New Roman" w:cs="Times New Roman"/>
                <w:sz w:val="24"/>
                <w:szCs w:val="24"/>
              </w:rPr>
            </w:pPr>
          </w:p>
        </w:tc>
      </w:tr>
      <w:tr w:rsidR="00837DA7" w:rsidRPr="00F119F4" w14:paraId="0346BDC4" w14:textId="77777777" w:rsidTr="00353A9A">
        <w:trPr>
          <w:gridAfter w:val="1"/>
          <w:wAfter w:w="8" w:type="dxa"/>
        </w:trPr>
        <w:tc>
          <w:tcPr>
            <w:tcW w:w="1556" w:type="dxa"/>
            <w:vMerge/>
            <w:tcBorders>
              <w:top w:val="single" w:sz="2" w:space="0" w:color="auto"/>
              <w:bottom w:val="single" w:sz="2" w:space="0" w:color="auto"/>
            </w:tcBorders>
          </w:tcPr>
          <w:p w14:paraId="60FB9C83"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2FB02D93"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2.2.5 </w:t>
            </w:r>
            <w:r w:rsidRPr="00F119F4">
              <w:rPr>
                <w:rFonts w:ascii="Times New Roman" w:hAnsi="Times New Roman" w:cs="Times New Roman"/>
                <w:sz w:val="24"/>
                <w:szCs w:val="24"/>
              </w:rPr>
              <w:t>Disclosure of risk committee members' meetings attendance</w:t>
            </w:r>
            <w:r>
              <w:rPr>
                <w:rFonts w:ascii="Times New Roman" w:hAnsi="Times New Roman" w:cs="Times New Roman"/>
                <w:sz w:val="24"/>
                <w:szCs w:val="24"/>
              </w:rPr>
              <w:t>.</w:t>
            </w:r>
          </w:p>
        </w:tc>
        <w:tc>
          <w:tcPr>
            <w:tcW w:w="2408" w:type="dxa"/>
          </w:tcPr>
          <w:p w14:paraId="14D12E08"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Ntim</w:t>
            </w:r>
            <w:r>
              <w:rPr>
                <w:rFonts w:ascii="Times New Roman" w:hAnsi="Times New Roman" w:cs="Times New Roman"/>
                <w:sz w:val="24"/>
                <w:szCs w:val="24"/>
              </w:rPr>
              <w:t xml:space="preserve"> et al. (2013)</w:t>
            </w:r>
          </w:p>
        </w:tc>
        <w:tc>
          <w:tcPr>
            <w:tcW w:w="852" w:type="dxa"/>
          </w:tcPr>
          <w:p w14:paraId="37DFA347"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1987A161" w14:textId="77777777" w:rsidR="00837DA7" w:rsidRPr="00F119F4" w:rsidRDefault="00837DA7" w:rsidP="00353A9A">
            <w:pPr>
              <w:rPr>
                <w:rFonts w:ascii="Times New Roman" w:hAnsi="Times New Roman" w:cs="Times New Roman"/>
                <w:sz w:val="24"/>
                <w:szCs w:val="24"/>
              </w:rPr>
            </w:pPr>
          </w:p>
        </w:tc>
      </w:tr>
      <w:tr w:rsidR="00837DA7" w:rsidRPr="00F119F4" w14:paraId="2F9791B5" w14:textId="77777777" w:rsidTr="00353A9A">
        <w:trPr>
          <w:gridAfter w:val="1"/>
          <w:wAfter w:w="8" w:type="dxa"/>
        </w:trPr>
        <w:tc>
          <w:tcPr>
            <w:tcW w:w="1556" w:type="dxa"/>
            <w:vMerge/>
            <w:tcBorders>
              <w:top w:val="single" w:sz="2" w:space="0" w:color="auto"/>
              <w:bottom w:val="single" w:sz="2" w:space="0" w:color="auto"/>
            </w:tcBorders>
          </w:tcPr>
          <w:p w14:paraId="4BEAAC2B"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04DBCEA9"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2.2.6 </w:t>
            </w:r>
            <w:r w:rsidRPr="00F119F4">
              <w:rPr>
                <w:rFonts w:ascii="Times New Roman" w:hAnsi="Times New Roman" w:cs="Times New Roman"/>
                <w:sz w:val="24"/>
                <w:szCs w:val="24"/>
              </w:rPr>
              <w:t>Disclosure of risk committee remit</w:t>
            </w:r>
            <w:r>
              <w:rPr>
                <w:rFonts w:ascii="Times New Roman" w:hAnsi="Times New Roman" w:cs="Times New Roman"/>
                <w:sz w:val="24"/>
                <w:szCs w:val="24"/>
              </w:rPr>
              <w:t>.</w:t>
            </w:r>
          </w:p>
        </w:tc>
        <w:tc>
          <w:tcPr>
            <w:tcW w:w="2408" w:type="dxa"/>
          </w:tcPr>
          <w:p w14:paraId="7F93D620"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HEFCE (2005)</w:t>
            </w:r>
          </w:p>
        </w:tc>
        <w:tc>
          <w:tcPr>
            <w:tcW w:w="852" w:type="dxa"/>
          </w:tcPr>
          <w:p w14:paraId="658A7452"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0B9D60CF" w14:textId="77777777" w:rsidR="00837DA7" w:rsidRPr="00F119F4" w:rsidRDefault="00837DA7" w:rsidP="00353A9A">
            <w:pPr>
              <w:rPr>
                <w:rFonts w:ascii="Times New Roman" w:hAnsi="Times New Roman" w:cs="Times New Roman"/>
                <w:sz w:val="24"/>
                <w:szCs w:val="24"/>
              </w:rPr>
            </w:pPr>
          </w:p>
        </w:tc>
      </w:tr>
      <w:tr w:rsidR="00837DA7" w:rsidRPr="00F119F4" w14:paraId="750A7284" w14:textId="77777777" w:rsidTr="00353A9A">
        <w:trPr>
          <w:gridAfter w:val="1"/>
          <w:wAfter w:w="8" w:type="dxa"/>
        </w:trPr>
        <w:tc>
          <w:tcPr>
            <w:tcW w:w="1556" w:type="dxa"/>
            <w:vMerge/>
            <w:tcBorders>
              <w:top w:val="single" w:sz="2" w:space="0" w:color="auto"/>
              <w:bottom w:val="single" w:sz="2" w:space="0" w:color="auto"/>
            </w:tcBorders>
          </w:tcPr>
          <w:p w14:paraId="64BDA28B"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5A11ADDF"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2.2.7 </w:t>
            </w:r>
            <w:r w:rsidRPr="00F119F4">
              <w:rPr>
                <w:rFonts w:ascii="Times New Roman" w:hAnsi="Times New Roman" w:cs="Times New Roman"/>
                <w:sz w:val="24"/>
                <w:szCs w:val="24"/>
              </w:rPr>
              <w:t>Risk register</w:t>
            </w:r>
            <w:r>
              <w:rPr>
                <w:rFonts w:ascii="Times New Roman" w:hAnsi="Times New Roman" w:cs="Times New Roman"/>
                <w:sz w:val="24"/>
                <w:szCs w:val="24"/>
              </w:rPr>
              <w:t>.</w:t>
            </w:r>
          </w:p>
        </w:tc>
        <w:tc>
          <w:tcPr>
            <w:tcW w:w="2408" w:type="dxa"/>
          </w:tcPr>
          <w:p w14:paraId="73483C1E"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HEFCE (2001a, 2005)</w:t>
            </w:r>
          </w:p>
        </w:tc>
        <w:tc>
          <w:tcPr>
            <w:tcW w:w="852" w:type="dxa"/>
          </w:tcPr>
          <w:p w14:paraId="3537519F"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26430B04" w14:textId="77777777" w:rsidR="00837DA7" w:rsidRPr="00F119F4" w:rsidRDefault="00837DA7" w:rsidP="00353A9A">
            <w:pPr>
              <w:rPr>
                <w:rFonts w:ascii="Times New Roman" w:hAnsi="Times New Roman" w:cs="Times New Roman"/>
                <w:sz w:val="24"/>
                <w:szCs w:val="24"/>
              </w:rPr>
            </w:pPr>
          </w:p>
        </w:tc>
      </w:tr>
      <w:tr w:rsidR="00837DA7" w:rsidRPr="00F119F4" w14:paraId="338B3967" w14:textId="77777777" w:rsidTr="00353A9A">
        <w:trPr>
          <w:gridAfter w:val="1"/>
          <w:wAfter w:w="8" w:type="dxa"/>
        </w:trPr>
        <w:tc>
          <w:tcPr>
            <w:tcW w:w="1556" w:type="dxa"/>
            <w:vMerge/>
            <w:tcBorders>
              <w:top w:val="single" w:sz="2" w:space="0" w:color="auto"/>
              <w:bottom w:val="single" w:sz="2" w:space="0" w:color="auto"/>
            </w:tcBorders>
          </w:tcPr>
          <w:p w14:paraId="2CD81888"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7931E681" w14:textId="77777777" w:rsidR="00837DA7" w:rsidRPr="009A42BF" w:rsidRDefault="00837DA7" w:rsidP="00353A9A">
            <w:pPr>
              <w:autoSpaceDE w:val="0"/>
              <w:autoSpaceDN w:val="0"/>
              <w:adjustRightInd w:val="0"/>
              <w:rPr>
                <w:rFonts w:ascii="Times New Roman" w:hAnsi="Times New Roman" w:cs="Times New Roman"/>
                <w:sz w:val="24"/>
                <w:szCs w:val="24"/>
              </w:rPr>
            </w:pPr>
            <w:r w:rsidRPr="009A42BF">
              <w:rPr>
                <w:rFonts w:ascii="Times New Roman" w:hAnsi="Times New Roman" w:cs="Times New Roman"/>
                <w:sz w:val="24"/>
                <w:szCs w:val="24"/>
              </w:rPr>
              <w:t>2.2.8 Disclosure of risk committee membership.</w:t>
            </w:r>
          </w:p>
        </w:tc>
        <w:tc>
          <w:tcPr>
            <w:tcW w:w="2408" w:type="dxa"/>
          </w:tcPr>
          <w:p w14:paraId="0A64DF8C" w14:textId="77777777" w:rsidR="00837DA7" w:rsidRPr="009A42BF" w:rsidRDefault="00837DA7" w:rsidP="00353A9A">
            <w:pPr>
              <w:rPr>
                <w:rFonts w:ascii="Times New Roman" w:hAnsi="Times New Roman" w:cs="Times New Roman"/>
                <w:sz w:val="24"/>
                <w:szCs w:val="24"/>
              </w:rPr>
            </w:pPr>
            <w:r w:rsidRPr="009A42BF">
              <w:rPr>
                <w:rFonts w:ascii="Times New Roman" w:hAnsi="Times New Roman" w:cs="Times New Roman"/>
                <w:sz w:val="24"/>
                <w:szCs w:val="24"/>
              </w:rPr>
              <w:t>Ntim et al. (2013)</w:t>
            </w:r>
          </w:p>
        </w:tc>
        <w:tc>
          <w:tcPr>
            <w:tcW w:w="852" w:type="dxa"/>
          </w:tcPr>
          <w:p w14:paraId="5AE0BAED"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7A6FF15B" w14:textId="77777777" w:rsidR="00837DA7" w:rsidRPr="00F119F4" w:rsidRDefault="00837DA7" w:rsidP="00353A9A">
            <w:pPr>
              <w:rPr>
                <w:rFonts w:ascii="Times New Roman" w:hAnsi="Times New Roman" w:cs="Times New Roman"/>
                <w:sz w:val="24"/>
                <w:szCs w:val="24"/>
              </w:rPr>
            </w:pPr>
          </w:p>
        </w:tc>
      </w:tr>
      <w:tr w:rsidR="00837DA7" w:rsidRPr="00F119F4" w14:paraId="0177278B" w14:textId="77777777" w:rsidTr="00353A9A">
        <w:tc>
          <w:tcPr>
            <w:tcW w:w="1556" w:type="dxa"/>
            <w:vMerge/>
            <w:tcBorders>
              <w:top w:val="single" w:sz="2" w:space="0" w:color="auto"/>
              <w:bottom w:val="single" w:sz="2" w:space="0" w:color="auto"/>
            </w:tcBorders>
          </w:tcPr>
          <w:p w14:paraId="7F25FC4E"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9493" w:type="dxa"/>
            <w:gridSpan w:val="6"/>
          </w:tcPr>
          <w:p w14:paraId="6F4D3F02" w14:textId="77777777" w:rsidR="00837DA7" w:rsidRDefault="00837DA7" w:rsidP="00353A9A">
            <w:pPr>
              <w:rPr>
                <w:rFonts w:ascii="Times New Roman" w:hAnsi="Times New Roman" w:cs="Times New Roman"/>
                <w:b/>
                <w:bCs/>
                <w:i/>
                <w:iCs/>
                <w:sz w:val="24"/>
                <w:szCs w:val="24"/>
              </w:rPr>
            </w:pPr>
            <w:r>
              <w:rPr>
                <w:rFonts w:ascii="Times New Roman" w:hAnsi="Times New Roman" w:cs="Times New Roman"/>
                <w:b/>
                <w:bCs/>
                <w:i/>
                <w:iCs/>
                <w:sz w:val="24"/>
                <w:szCs w:val="24"/>
              </w:rPr>
              <w:t xml:space="preserve">2.3 </w:t>
            </w:r>
            <w:r w:rsidRPr="00976DBF">
              <w:rPr>
                <w:rFonts w:ascii="Times New Roman" w:hAnsi="Times New Roman" w:cs="Times New Roman"/>
                <w:b/>
                <w:bCs/>
                <w:i/>
                <w:iCs/>
                <w:sz w:val="24"/>
                <w:szCs w:val="24"/>
              </w:rPr>
              <w:t xml:space="preserve">Student </w:t>
            </w:r>
            <w:r>
              <w:rPr>
                <w:rFonts w:ascii="Times New Roman" w:hAnsi="Times New Roman" w:cs="Times New Roman"/>
                <w:b/>
                <w:bCs/>
                <w:i/>
                <w:iCs/>
                <w:sz w:val="24"/>
                <w:szCs w:val="24"/>
              </w:rPr>
              <w:t>e</w:t>
            </w:r>
            <w:r w:rsidRPr="00976DBF">
              <w:rPr>
                <w:rFonts w:ascii="Times New Roman" w:hAnsi="Times New Roman" w:cs="Times New Roman"/>
                <w:b/>
                <w:bCs/>
                <w:i/>
                <w:iCs/>
                <w:sz w:val="24"/>
                <w:szCs w:val="24"/>
              </w:rPr>
              <w:t>xperience</w:t>
            </w:r>
            <w:r>
              <w:rPr>
                <w:rFonts w:ascii="Times New Roman" w:hAnsi="Times New Roman" w:cs="Times New Roman"/>
                <w:b/>
                <w:bCs/>
                <w:i/>
                <w:iCs/>
                <w:sz w:val="24"/>
                <w:szCs w:val="24"/>
              </w:rPr>
              <w:t xml:space="preserve"> risks</w:t>
            </w:r>
          </w:p>
        </w:tc>
      </w:tr>
      <w:tr w:rsidR="00837DA7" w:rsidRPr="00F119F4" w14:paraId="211A5426" w14:textId="77777777" w:rsidTr="00353A9A">
        <w:trPr>
          <w:gridAfter w:val="1"/>
          <w:wAfter w:w="8" w:type="dxa"/>
        </w:trPr>
        <w:tc>
          <w:tcPr>
            <w:tcW w:w="1556" w:type="dxa"/>
            <w:vMerge/>
            <w:tcBorders>
              <w:top w:val="single" w:sz="2" w:space="0" w:color="auto"/>
              <w:bottom w:val="single" w:sz="2" w:space="0" w:color="auto"/>
            </w:tcBorders>
          </w:tcPr>
          <w:p w14:paraId="53349DB1"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249270DC"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2.3.1 </w:t>
            </w:r>
            <w:r w:rsidRPr="00F119F4">
              <w:rPr>
                <w:rFonts w:ascii="Times New Roman" w:hAnsi="Times New Roman" w:cs="Times New Roman"/>
                <w:sz w:val="24"/>
                <w:szCs w:val="24"/>
              </w:rPr>
              <w:t>Range and structure of offered courses</w:t>
            </w:r>
            <w:r>
              <w:rPr>
                <w:rFonts w:ascii="Times New Roman" w:hAnsi="Times New Roman" w:cs="Times New Roman"/>
                <w:sz w:val="24"/>
                <w:szCs w:val="24"/>
              </w:rPr>
              <w:t>.</w:t>
            </w:r>
          </w:p>
        </w:tc>
        <w:tc>
          <w:tcPr>
            <w:tcW w:w="2408" w:type="dxa"/>
          </w:tcPr>
          <w:p w14:paraId="210079E5"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HEFCE (2001b)</w:t>
            </w:r>
          </w:p>
        </w:tc>
        <w:tc>
          <w:tcPr>
            <w:tcW w:w="852" w:type="dxa"/>
          </w:tcPr>
          <w:p w14:paraId="2A511518"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val="restart"/>
            <w:vAlign w:val="center"/>
          </w:tcPr>
          <w:p w14:paraId="03A2F777" w14:textId="77777777" w:rsidR="00837DA7" w:rsidRDefault="00837DA7" w:rsidP="00353A9A">
            <w:pPr>
              <w:jc w:val="center"/>
              <w:rPr>
                <w:rFonts w:ascii="Times New Roman" w:hAnsi="Times New Roman" w:cs="Times New Roman"/>
                <w:sz w:val="24"/>
                <w:szCs w:val="24"/>
              </w:rPr>
            </w:pPr>
          </w:p>
          <w:p w14:paraId="1DFC371F" w14:textId="77777777" w:rsidR="00837DA7" w:rsidRDefault="00837DA7" w:rsidP="00353A9A">
            <w:pPr>
              <w:jc w:val="center"/>
              <w:rPr>
                <w:rFonts w:ascii="Times New Roman" w:hAnsi="Times New Roman" w:cs="Times New Roman"/>
                <w:sz w:val="24"/>
                <w:szCs w:val="24"/>
              </w:rPr>
            </w:pPr>
          </w:p>
          <w:p w14:paraId="6FDB5E26" w14:textId="77777777" w:rsidR="00837DA7" w:rsidRDefault="00837DA7" w:rsidP="00353A9A">
            <w:pPr>
              <w:jc w:val="center"/>
              <w:rPr>
                <w:rFonts w:ascii="Times New Roman" w:hAnsi="Times New Roman" w:cs="Times New Roman"/>
                <w:sz w:val="24"/>
                <w:szCs w:val="24"/>
              </w:rPr>
            </w:pPr>
          </w:p>
          <w:p w14:paraId="4DB7D95B" w14:textId="77777777" w:rsidR="00837DA7" w:rsidRPr="00F119F4" w:rsidRDefault="00837DA7" w:rsidP="00353A9A">
            <w:pPr>
              <w:jc w:val="center"/>
              <w:rPr>
                <w:rFonts w:ascii="Times New Roman" w:hAnsi="Times New Roman" w:cs="Times New Roman"/>
                <w:sz w:val="24"/>
                <w:szCs w:val="24"/>
              </w:rPr>
            </w:pPr>
            <w:r>
              <w:rPr>
                <w:rFonts w:ascii="Times New Roman" w:hAnsi="Times New Roman" w:cs="Times New Roman"/>
                <w:sz w:val="24"/>
                <w:szCs w:val="24"/>
              </w:rPr>
              <w:t>36</w:t>
            </w:r>
          </w:p>
        </w:tc>
      </w:tr>
      <w:tr w:rsidR="00837DA7" w:rsidRPr="00F119F4" w14:paraId="0ADC6C58" w14:textId="77777777" w:rsidTr="00353A9A">
        <w:trPr>
          <w:gridAfter w:val="1"/>
          <w:wAfter w:w="8" w:type="dxa"/>
        </w:trPr>
        <w:tc>
          <w:tcPr>
            <w:tcW w:w="1556" w:type="dxa"/>
            <w:vMerge/>
            <w:tcBorders>
              <w:top w:val="single" w:sz="2" w:space="0" w:color="auto"/>
              <w:bottom w:val="single" w:sz="2" w:space="0" w:color="auto"/>
            </w:tcBorders>
          </w:tcPr>
          <w:p w14:paraId="0A1AF25A"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46D0112E"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2.3.2 </w:t>
            </w:r>
            <w:r w:rsidRPr="00F119F4">
              <w:rPr>
                <w:rFonts w:ascii="Times New Roman" w:hAnsi="Times New Roman" w:cs="Times New Roman"/>
                <w:sz w:val="24"/>
                <w:szCs w:val="24"/>
              </w:rPr>
              <w:t xml:space="preserve">Teaching </w:t>
            </w:r>
            <w:r>
              <w:rPr>
                <w:rFonts w:ascii="Times New Roman" w:hAnsi="Times New Roman" w:cs="Times New Roman"/>
                <w:sz w:val="24"/>
                <w:szCs w:val="24"/>
              </w:rPr>
              <w:t>q</w:t>
            </w:r>
            <w:r w:rsidRPr="00F119F4">
              <w:rPr>
                <w:rFonts w:ascii="Times New Roman" w:hAnsi="Times New Roman" w:cs="Times New Roman"/>
                <w:sz w:val="24"/>
                <w:szCs w:val="24"/>
              </w:rPr>
              <w:t>uality</w:t>
            </w:r>
            <w:r>
              <w:rPr>
                <w:rFonts w:ascii="Times New Roman" w:hAnsi="Times New Roman" w:cs="Times New Roman"/>
                <w:sz w:val="24"/>
                <w:szCs w:val="24"/>
              </w:rPr>
              <w:t>.</w:t>
            </w:r>
          </w:p>
        </w:tc>
        <w:tc>
          <w:tcPr>
            <w:tcW w:w="2408" w:type="dxa"/>
          </w:tcPr>
          <w:p w14:paraId="372FEB2D"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HEFCE (2001b)</w:t>
            </w:r>
          </w:p>
        </w:tc>
        <w:tc>
          <w:tcPr>
            <w:tcW w:w="852" w:type="dxa"/>
          </w:tcPr>
          <w:p w14:paraId="445DF28B"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632E8620" w14:textId="77777777" w:rsidR="00837DA7" w:rsidRPr="00F119F4" w:rsidRDefault="00837DA7" w:rsidP="00353A9A">
            <w:pPr>
              <w:rPr>
                <w:rFonts w:ascii="Times New Roman" w:hAnsi="Times New Roman" w:cs="Times New Roman"/>
                <w:sz w:val="24"/>
                <w:szCs w:val="24"/>
              </w:rPr>
            </w:pPr>
          </w:p>
        </w:tc>
      </w:tr>
      <w:tr w:rsidR="00837DA7" w:rsidRPr="00F119F4" w14:paraId="0EE41226" w14:textId="77777777" w:rsidTr="00353A9A">
        <w:trPr>
          <w:gridAfter w:val="1"/>
          <w:wAfter w:w="8" w:type="dxa"/>
        </w:trPr>
        <w:tc>
          <w:tcPr>
            <w:tcW w:w="1556" w:type="dxa"/>
            <w:vMerge/>
            <w:tcBorders>
              <w:top w:val="single" w:sz="2" w:space="0" w:color="auto"/>
              <w:bottom w:val="single" w:sz="2" w:space="0" w:color="auto"/>
            </w:tcBorders>
          </w:tcPr>
          <w:p w14:paraId="453522F7"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228B4402"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2.3.3 </w:t>
            </w:r>
            <w:r w:rsidRPr="00F119F4">
              <w:rPr>
                <w:rFonts w:ascii="Times New Roman" w:hAnsi="Times New Roman" w:cs="Times New Roman"/>
                <w:sz w:val="24"/>
                <w:szCs w:val="24"/>
              </w:rPr>
              <w:t xml:space="preserve">Students </w:t>
            </w:r>
            <w:r>
              <w:rPr>
                <w:rFonts w:ascii="Times New Roman" w:hAnsi="Times New Roman" w:cs="Times New Roman"/>
                <w:sz w:val="24"/>
                <w:szCs w:val="24"/>
              </w:rPr>
              <w:t>q</w:t>
            </w:r>
            <w:r w:rsidRPr="00F119F4">
              <w:rPr>
                <w:rFonts w:ascii="Times New Roman" w:hAnsi="Times New Roman" w:cs="Times New Roman"/>
                <w:sz w:val="24"/>
                <w:szCs w:val="24"/>
              </w:rPr>
              <w:t>uality</w:t>
            </w:r>
            <w:r>
              <w:rPr>
                <w:rFonts w:ascii="Times New Roman" w:hAnsi="Times New Roman" w:cs="Times New Roman"/>
                <w:sz w:val="24"/>
                <w:szCs w:val="24"/>
              </w:rPr>
              <w:t>.</w:t>
            </w:r>
          </w:p>
        </w:tc>
        <w:tc>
          <w:tcPr>
            <w:tcW w:w="2408" w:type="dxa"/>
          </w:tcPr>
          <w:p w14:paraId="53BCD83E"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HEFCE (2001b)</w:t>
            </w:r>
          </w:p>
        </w:tc>
        <w:tc>
          <w:tcPr>
            <w:tcW w:w="852" w:type="dxa"/>
          </w:tcPr>
          <w:p w14:paraId="0EC0A25C"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0F21631D" w14:textId="77777777" w:rsidR="00837DA7" w:rsidRPr="00F119F4" w:rsidRDefault="00837DA7" w:rsidP="00353A9A">
            <w:pPr>
              <w:rPr>
                <w:rFonts w:ascii="Times New Roman" w:hAnsi="Times New Roman" w:cs="Times New Roman"/>
                <w:sz w:val="24"/>
                <w:szCs w:val="24"/>
              </w:rPr>
            </w:pPr>
          </w:p>
        </w:tc>
      </w:tr>
      <w:tr w:rsidR="00837DA7" w:rsidRPr="00F119F4" w14:paraId="757B429B" w14:textId="77777777" w:rsidTr="00353A9A">
        <w:trPr>
          <w:gridAfter w:val="1"/>
          <w:wAfter w:w="8" w:type="dxa"/>
        </w:trPr>
        <w:tc>
          <w:tcPr>
            <w:tcW w:w="1556" w:type="dxa"/>
            <w:vMerge/>
            <w:tcBorders>
              <w:top w:val="single" w:sz="2" w:space="0" w:color="auto"/>
              <w:bottom w:val="single" w:sz="2" w:space="0" w:color="auto"/>
            </w:tcBorders>
          </w:tcPr>
          <w:p w14:paraId="5E9901A3"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2EE0AF25"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2.3.4 </w:t>
            </w:r>
            <w:r w:rsidRPr="00F119F4">
              <w:rPr>
                <w:rFonts w:ascii="Times New Roman" w:hAnsi="Times New Roman" w:cs="Times New Roman"/>
                <w:sz w:val="24"/>
                <w:szCs w:val="24"/>
              </w:rPr>
              <w:t xml:space="preserve">Student academic assessment </w:t>
            </w:r>
            <w:r>
              <w:rPr>
                <w:rFonts w:ascii="Times New Roman" w:hAnsi="Times New Roman" w:cs="Times New Roman"/>
                <w:sz w:val="24"/>
                <w:szCs w:val="24"/>
              </w:rPr>
              <w:t>p</w:t>
            </w:r>
            <w:r w:rsidRPr="00F119F4">
              <w:rPr>
                <w:rFonts w:ascii="Times New Roman" w:hAnsi="Times New Roman" w:cs="Times New Roman"/>
                <w:sz w:val="24"/>
                <w:szCs w:val="24"/>
              </w:rPr>
              <w:t>rocedures</w:t>
            </w:r>
            <w:r>
              <w:rPr>
                <w:rFonts w:ascii="Times New Roman" w:hAnsi="Times New Roman" w:cs="Times New Roman"/>
                <w:sz w:val="24"/>
                <w:szCs w:val="24"/>
              </w:rPr>
              <w:t>.</w:t>
            </w:r>
          </w:p>
        </w:tc>
        <w:tc>
          <w:tcPr>
            <w:tcW w:w="2408" w:type="dxa"/>
          </w:tcPr>
          <w:p w14:paraId="7CABEB9D"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HEFCE (2001b)</w:t>
            </w:r>
          </w:p>
        </w:tc>
        <w:tc>
          <w:tcPr>
            <w:tcW w:w="852" w:type="dxa"/>
          </w:tcPr>
          <w:p w14:paraId="6A7AE9AF"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0863BDF6" w14:textId="77777777" w:rsidR="00837DA7" w:rsidRPr="00F119F4" w:rsidRDefault="00837DA7" w:rsidP="00353A9A">
            <w:pPr>
              <w:rPr>
                <w:rFonts w:ascii="Times New Roman" w:hAnsi="Times New Roman" w:cs="Times New Roman"/>
                <w:sz w:val="24"/>
                <w:szCs w:val="24"/>
              </w:rPr>
            </w:pPr>
          </w:p>
        </w:tc>
      </w:tr>
      <w:tr w:rsidR="00837DA7" w:rsidRPr="00F119F4" w14:paraId="382FD7C8" w14:textId="77777777" w:rsidTr="00353A9A">
        <w:trPr>
          <w:gridAfter w:val="1"/>
          <w:wAfter w:w="8" w:type="dxa"/>
        </w:trPr>
        <w:tc>
          <w:tcPr>
            <w:tcW w:w="1556" w:type="dxa"/>
            <w:vMerge/>
            <w:tcBorders>
              <w:top w:val="single" w:sz="2" w:space="0" w:color="auto"/>
              <w:bottom w:val="single" w:sz="2" w:space="0" w:color="auto"/>
            </w:tcBorders>
          </w:tcPr>
          <w:p w14:paraId="14B73603"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539FD4C0"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2.3.5 </w:t>
            </w:r>
            <w:r w:rsidRPr="00F119F4">
              <w:rPr>
                <w:rFonts w:ascii="Times New Roman" w:hAnsi="Times New Roman" w:cs="Times New Roman"/>
                <w:sz w:val="24"/>
                <w:szCs w:val="24"/>
              </w:rPr>
              <w:t>Local community/campus location</w:t>
            </w:r>
            <w:r>
              <w:rPr>
                <w:rFonts w:ascii="Times New Roman" w:hAnsi="Times New Roman" w:cs="Times New Roman"/>
                <w:sz w:val="24"/>
                <w:szCs w:val="24"/>
              </w:rPr>
              <w:t>.</w:t>
            </w:r>
          </w:p>
        </w:tc>
        <w:tc>
          <w:tcPr>
            <w:tcW w:w="2408" w:type="dxa"/>
          </w:tcPr>
          <w:p w14:paraId="35B1A46A"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HEFCE (2001b)</w:t>
            </w:r>
          </w:p>
        </w:tc>
        <w:tc>
          <w:tcPr>
            <w:tcW w:w="852" w:type="dxa"/>
          </w:tcPr>
          <w:p w14:paraId="7AFD481A"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61C4063A" w14:textId="77777777" w:rsidR="00837DA7" w:rsidRPr="00F119F4" w:rsidRDefault="00837DA7" w:rsidP="00353A9A">
            <w:pPr>
              <w:rPr>
                <w:rFonts w:ascii="Times New Roman" w:hAnsi="Times New Roman" w:cs="Times New Roman"/>
                <w:sz w:val="24"/>
                <w:szCs w:val="24"/>
              </w:rPr>
            </w:pPr>
          </w:p>
        </w:tc>
      </w:tr>
      <w:tr w:rsidR="00837DA7" w:rsidRPr="00F119F4" w14:paraId="412BA6A3" w14:textId="77777777" w:rsidTr="00353A9A">
        <w:trPr>
          <w:gridAfter w:val="1"/>
          <w:wAfter w:w="8" w:type="dxa"/>
        </w:trPr>
        <w:tc>
          <w:tcPr>
            <w:tcW w:w="1556" w:type="dxa"/>
            <w:vMerge/>
            <w:tcBorders>
              <w:top w:val="single" w:sz="2" w:space="0" w:color="auto"/>
              <w:bottom w:val="single" w:sz="2" w:space="0" w:color="auto"/>
            </w:tcBorders>
          </w:tcPr>
          <w:p w14:paraId="1E75DF09"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2AFA2BC5"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2.3.6 </w:t>
            </w:r>
            <w:r w:rsidRPr="00F119F4">
              <w:rPr>
                <w:rFonts w:ascii="Times New Roman" w:hAnsi="Times New Roman" w:cs="Times New Roman"/>
                <w:sz w:val="24"/>
                <w:szCs w:val="24"/>
              </w:rPr>
              <w:t xml:space="preserve">Meeting changing </w:t>
            </w:r>
            <w:r>
              <w:rPr>
                <w:rFonts w:ascii="Times New Roman" w:hAnsi="Times New Roman" w:cs="Times New Roman"/>
                <w:sz w:val="24"/>
                <w:szCs w:val="24"/>
              </w:rPr>
              <w:t xml:space="preserve">expectations/needs </w:t>
            </w:r>
            <w:r w:rsidRPr="00F119F4">
              <w:rPr>
                <w:rFonts w:ascii="Times New Roman" w:hAnsi="Times New Roman" w:cs="Times New Roman"/>
                <w:sz w:val="24"/>
                <w:szCs w:val="24"/>
              </w:rPr>
              <w:t>of students</w:t>
            </w:r>
            <w:r>
              <w:rPr>
                <w:rFonts w:ascii="Times New Roman" w:hAnsi="Times New Roman" w:cs="Times New Roman"/>
                <w:sz w:val="24"/>
                <w:szCs w:val="24"/>
              </w:rPr>
              <w:t>.</w:t>
            </w:r>
            <w:r w:rsidRPr="00F119F4">
              <w:rPr>
                <w:rFonts w:ascii="Times New Roman" w:hAnsi="Times New Roman" w:cs="Times New Roman"/>
                <w:sz w:val="24"/>
                <w:szCs w:val="24"/>
              </w:rPr>
              <w:t xml:space="preserve"> </w:t>
            </w:r>
          </w:p>
        </w:tc>
        <w:tc>
          <w:tcPr>
            <w:tcW w:w="2408" w:type="dxa"/>
          </w:tcPr>
          <w:p w14:paraId="5A6DF3B0"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HEFCE (2001b)</w:t>
            </w:r>
          </w:p>
        </w:tc>
        <w:tc>
          <w:tcPr>
            <w:tcW w:w="852" w:type="dxa"/>
          </w:tcPr>
          <w:p w14:paraId="472A9FF2"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4946EE2A" w14:textId="77777777" w:rsidR="00837DA7" w:rsidRPr="00F119F4" w:rsidRDefault="00837DA7" w:rsidP="00353A9A">
            <w:pPr>
              <w:rPr>
                <w:rFonts w:ascii="Times New Roman" w:hAnsi="Times New Roman" w:cs="Times New Roman"/>
                <w:sz w:val="24"/>
                <w:szCs w:val="24"/>
              </w:rPr>
            </w:pPr>
          </w:p>
        </w:tc>
      </w:tr>
      <w:tr w:rsidR="00837DA7" w:rsidRPr="00F119F4" w14:paraId="2AB60A51" w14:textId="77777777" w:rsidTr="00353A9A">
        <w:tc>
          <w:tcPr>
            <w:tcW w:w="1556" w:type="dxa"/>
            <w:vMerge/>
            <w:tcBorders>
              <w:top w:val="single" w:sz="2" w:space="0" w:color="auto"/>
              <w:bottom w:val="single" w:sz="2" w:space="0" w:color="auto"/>
            </w:tcBorders>
          </w:tcPr>
          <w:p w14:paraId="42A48BD6"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9493" w:type="dxa"/>
            <w:gridSpan w:val="6"/>
          </w:tcPr>
          <w:p w14:paraId="3D957BAA" w14:textId="77777777" w:rsidR="00837DA7" w:rsidRDefault="00837DA7" w:rsidP="00353A9A">
            <w:pPr>
              <w:rPr>
                <w:rFonts w:ascii="Times New Roman" w:hAnsi="Times New Roman" w:cs="Times New Roman"/>
                <w:b/>
                <w:bCs/>
                <w:i/>
                <w:iCs/>
                <w:sz w:val="24"/>
                <w:szCs w:val="24"/>
              </w:rPr>
            </w:pPr>
            <w:r>
              <w:rPr>
                <w:rFonts w:ascii="Times New Roman" w:hAnsi="Times New Roman" w:cs="Times New Roman"/>
                <w:b/>
                <w:bCs/>
                <w:i/>
                <w:iCs/>
                <w:sz w:val="24"/>
                <w:szCs w:val="24"/>
              </w:rPr>
              <w:t xml:space="preserve">2.4 </w:t>
            </w:r>
            <w:r w:rsidRPr="00703A47">
              <w:rPr>
                <w:rFonts w:ascii="Times New Roman" w:hAnsi="Times New Roman" w:cs="Times New Roman"/>
                <w:b/>
                <w:bCs/>
                <w:i/>
                <w:iCs/>
                <w:sz w:val="24"/>
                <w:szCs w:val="24"/>
              </w:rPr>
              <w:t>IT</w:t>
            </w:r>
            <w:r>
              <w:rPr>
                <w:rFonts w:ascii="Times New Roman" w:hAnsi="Times New Roman" w:cs="Times New Roman"/>
                <w:b/>
                <w:bCs/>
                <w:i/>
                <w:iCs/>
                <w:sz w:val="24"/>
                <w:szCs w:val="24"/>
              </w:rPr>
              <w:t xml:space="preserve"> and i</w:t>
            </w:r>
            <w:r w:rsidRPr="00703A47">
              <w:rPr>
                <w:rFonts w:ascii="Times New Roman" w:hAnsi="Times New Roman" w:cs="Times New Roman"/>
                <w:b/>
                <w:bCs/>
                <w:i/>
                <w:iCs/>
                <w:sz w:val="24"/>
                <w:szCs w:val="24"/>
              </w:rPr>
              <w:t xml:space="preserve">nformation </w:t>
            </w:r>
            <w:r>
              <w:rPr>
                <w:rFonts w:ascii="Times New Roman" w:hAnsi="Times New Roman" w:cs="Times New Roman"/>
                <w:b/>
                <w:bCs/>
                <w:i/>
                <w:iCs/>
                <w:sz w:val="24"/>
                <w:szCs w:val="24"/>
              </w:rPr>
              <w:t>risks</w:t>
            </w:r>
          </w:p>
        </w:tc>
      </w:tr>
      <w:tr w:rsidR="00837DA7" w:rsidRPr="00F119F4" w14:paraId="048BF490" w14:textId="77777777" w:rsidTr="00353A9A">
        <w:trPr>
          <w:gridAfter w:val="1"/>
          <w:wAfter w:w="8" w:type="dxa"/>
        </w:trPr>
        <w:tc>
          <w:tcPr>
            <w:tcW w:w="1556" w:type="dxa"/>
            <w:vMerge/>
            <w:tcBorders>
              <w:top w:val="single" w:sz="2" w:space="0" w:color="auto"/>
              <w:bottom w:val="single" w:sz="2" w:space="0" w:color="auto"/>
            </w:tcBorders>
          </w:tcPr>
          <w:p w14:paraId="24B68BEF"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0A2326BF"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2.4.1 </w:t>
            </w:r>
            <w:r w:rsidRPr="00F119F4">
              <w:rPr>
                <w:rFonts w:ascii="Times New Roman" w:hAnsi="Times New Roman" w:cs="Times New Roman"/>
                <w:sz w:val="24"/>
                <w:szCs w:val="24"/>
              </w:rPr>
              <w:t>Quality of the IT infrastructure</w:t>
            </w:r>
            <w:r>
              <w:rPr>
                <w:rFonts w:ascii="Times New Roman" w:hAnsi="Times New Roman" w:cs="Times New Roman"/>
                <w:sz w:val="24"/>
                <w:szCs w:val="24"/>
              </w:rPr>
              <w:t>.</w:t>
            </w:r>
            <w:r w:rsidRPr="00F119F4">
              <w:rPr>
                <w:rFonts w:ascii="Times New Roman" w:hAnsi="Times New Roman" w:cs="Times New Roman"/>
                <w:sz w:val="24"/>
                <w:szCs w:val="24"/>
              </w:rPr>
              <w:t xml:space="preserve"> </w:t>
            </w:r>
          </w:p>
        </w:tc>
        <w:tc>
          <w:tcPr>
            <w:tcW w:w="2408" w:type="dxa"/>
          </w:tcPr>
          <w:p w14:paraId="0192157A"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LFHE (2009)</w:t>
            </w:r>
          </w:p>
        </w:tc>
        <w:tc>
          <w:tcPr>
            <w:tcW w:w="852" w:type="dxa"/>
          </w:tcPr>
          <w:p w14:paraId="5C4EA39D"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val="restart"/>
            <w:vAlign w:val="center"/>
          </w:tcPr>
          <w:p w14:paraId="4FE7A403" w14:textId="77777777" w:rsidR="00837DA7" w:rsidRPr="00F119F4" w:rsidRDefault="00837DA7" w:rsidP="00353A9A">
            <w:pPr>
              <w:jc w:val="center"/>
              <w:rPr>
                <w:rFonts w:ascii="Times New Roman" w:hAnsi="Times New Roman" w:cs="Times New Roman"/>
                <w:sz w:val="24"/>
                <w:szCs w:val="24"/>
              </w:rPr>
            </w:pPr>
            <w:r>
              <w:rPr>
                <w:rFonts w:ascii="Times New Roman" w:hAnsi="Times New Roman" w:cs="Times New Roman"/>
                <w:sz w:val="24"/>
                <w:szCs w:val="24"/>
              </w:rPr>
              <w:t>30</w:t>
            </w:r>
          </w:p>
        </w:tc>
      </w:tr>
      <w:tr w:rsidR="00837DA7" w:rsidRPr="00F119F4" w14:paraId="4147EF20" w14:textId="77777777" w:rsidTr="00353A9A">
        <w:trPr>
          <w:gridAfter w:val="1"/>
          <w:wAfter w:w="8" w:type="dxa"/>
        </w:trPr>
        <w:tc>
          <w:tcPr>
            <w:tcW w:w="1556" w:type="dxa"/>
            <w:vMerge/>
            <w:tcBorders>
              <w:top w:val="single" w:sz="2" w:space="0" w:color="auto"/>
              <w:bottom w:val="single" w:sz="2" w:space="0" w:color="auto"/>
            </w:tcBorders>
          </w:tcPr>
          <w:p w14:paraId="0831FA41"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005A3D19"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2.4.2 </w:t>
            </w:r>
            <w:r w:rsidRPr="00F119F4">
              <w:rPr>
                <w:rFonts w:ascii="Times New Roman" w:hAnsi="Times New Roman" w:cs="Times New Roman"/>
                <w:sz w:val="24"/>
                <w:szCs w:val="24"/>
              </w:rPr>
              <w:t xml:space="preserve">IT </w:t>
            </w:r>
            <w:r>
              <w:rPr>
                <w:rFonts w:ascii="Times New Roman" w:hAnsi="Times New Roman" w:cs="Times New Roman"/>
                <w:sz w:val="24"/>
                <w:szCs w:val="24"/>
              </w:rPr>
              <w:t>d</w:t>
            </w:r>
            <w:r w:rsidRPr="00F119F4">
              <w:rPr>
                <w:rFonts w:ascii="Times New Roman" w:hAnsi="Times New Roman" w:cs="Times New Roman"/>
                <w:sz w:val="24"/>
                <w:szCs w:val="24"/>
              </w:rPr>
              <w:t>isaster</w:t>
            </w:r>
            <w:r>
              <w:rPr>
                <w:rFonts w:ascii="Times New Roman" w:hAnsi="Times New Roman" w:cs="Times New Roman"/>
                <w:sz w:val="24"/>
                <w:szCs w:val="24"/>
              </w:rPr>
              <w:t>.</w:t>
            </w:r>
          </w:p>
        </w:tc>
        <w:tc>
          <w:tcPr>
            <w:tcW w:w="2408" w:type="dxa"/>
          </w:tcPr>
          <w:p w14:paraId="20E6A560"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HEFCE (2001b)</w:t>
            </w:r>
          </w:p>
        </w:tc>
        <w:tc>
          <w:tcPr>
            <w:tcW w:w="852" w:type="dxa"/>
          </w:tcPr>
          <w:p w14:paraId="4B631DAE"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34768137" w14:textId="77777777" w:rsidR="00837DA7" w:rsidRPr="00F119F4" w:rsidRDefault="00837DA7" w:rsidP="00353A9A">
            <w:pPr>
              <w:rPr>
                <w:rFonts w:ascii="Times New Roman" w:hAnsi="Times New Roman" w:cs="Times New Roman"/>
                <w:sz w:val="24"/>
                <w:szCs w:val="24"/>
              </w:rPr>
            </w:pPr>
          </w:p>
        </w:tc>
      </w:tr>
      <w:tr w:rsidR="00837DA7" w:rsidRPr="00F119F4" w14:paraId="0501D539" w14:textId="77777777" w:rsidTr="00353A9A">
        <w:trPr>
          <w:gridAfter w:val="1"/>
          <w:wAfter w:w="8" w:type="dxa"/>
        </w:trPr>
        <w:tc>
          <w:tcPr>
            <w:tcW w:w="1556" w:type="dxa"/>
            <w:vMerge/>
            <w:tcBorders>
              <w:top w:val="single" w:sz="2" w:space="0" w:color="auto"/>
              <w:bottom w:val="single" w:sz="2" w:space="0" w:color="auto"/>
            </w:tcBorders>
          </w:tcPr>
          <w:p w14:paraId="7FAD77C9"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3CD96011"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2.4.3 </w:t>
            </w:r>
            <w:r w:rsidRPr="00F119F4">
              <w:rPr>
                <w:rFonts w:ascii="Times New Roman" w:hAnsi="Times New Roman" w:cs="Times New Roman"/>
                <w:sz w:val="24"/>
                <w:szCs w:val="24"/>
              </w:rPr>
              <w:t xml:space="preserve">Student </w:t>
            </w:r>
            <w:r>
              <w:rPr>
                <w:rFonts w:ascii="Times New Roman" w:hAnsi="Times New Roman" w:cs="Times New Roman"/>
                <w:sz w:val="24"/>
                <w:szCs w:val="24"/>
              </w:rPr>
              <w:t>management</w:t>
            </w:r>
            <w:r w:rsidRPr="00F119F4">
              <w:rPr>
                <w:rFonts w:ascii="Times New Roman" w:hAnsi="Times New Roman" w:cs="Times New Roman"/>
                <w:sz w:val="24"/>
                <w:szCs w:val="24"/>
              </w:rPr>
              <w:t xml:space="preserve"> information</w:t>
            </w:r>
            <w:r>
              <w:rPr>
                <w:rFonts w:ascii="Times New Roman" w:hAnsi="Times New Roman" w:cs="Times New Roman"/>
                <w:sz w:val="24"/>
                <w:szCs w:val="24"/>
              </w:rPr>
              <w:t>.</w:t>
            </w:r>
            <w:r w:rsidRPr="00F119F4">
              <w:rPr>
                <w:rFonts w:ascii="Times New Roman" w:hAnsi="Times New Roman" w:cs="Times New Roman"/>
                <w:sz w:val="24"/>
                <w:szCs w:val="24"/>
              </w:rPr>
              <w:t xml:space="preserve"> </w:t>
            </w:r>
          </w:p>
        </w:tc>
        <w:tc>
          <w:tcPr>
            <w:tcW w:w="2408" w:type="dxa"/>
          </w:tcPr>
          <w:p w14:paraId="7A47445D"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HEFCE (2001b)</w:t>
            </w:r>
          </w:p>
        </w:tc>
        <w:tc>
          <w:tcPr>
            <w:tcW w:w="852" w:type="dxa"/>
          </w:tcPr>
          <w:p w14:paraId="1B169BF9"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4D6A606B" w14:textId="77777777" w:rsidR="00837DA7" w:rsidRPr="00F119F4" w:rsidRDefault="00837DA7" w:rsidP="00353A9A">
            <w:pPr>
              <w:rPr>
                <w:rFonts w:ascii="Times New Roman" w:hAnsi="Times New Roman" w:cs="Times New Roman"/>
                <w:sz w:val="24"/>
                <w:szCs w:val="24"/>
              </w:rPr>
            </w:pPr>
          </w:p>
        </w:tc>
      </w:tr>
      <w:tr w:rsidR="00837DA7" w:rsidRPr="00F119F4" w14:paraId="08C6692D" w14:textId="77777777" w:rsidTr="00353A9A">
        <w:trPr>
          <w:gridAfter w:val="1"/>
          <w:wAfter w:w="8" w:type="dxa"/>
        </w:trPr>
        <w:tc>
          <w:tcPr>
            <w:tcW w:w="1556" w:type="dxa"/>
            <w:vMerge/>
            <w:tcBorders>
              <w:top w:val="single" w:sz="2" w:space="0" w:color="auto"/>
              <w:bottom w:val="single" w:sz="2" w:space="0" w:color="auto"/>
            </w:tcBorders>
          </w:tcPr>
          <w:p w14:paraId="325D91D9"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4AB0F6C4"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2.4.4 </w:t>
            </w:r>
            <w:r w:rsidRPr="00F119F4">
              <w:rPr>
                <w:rFonts w:ascii="Times New Roman" w:hAnsi="Times New Roman" w:cs="Times New Roman"/>
                <w:sz w:val="24"/>
                <w:szCs w:val="24"/>
              </w:rPr>
              <w:t xml:space="preserve">Network </w:t>
            </w:r>
            <w:r>
              <w:rPr>
                <w:rFonts w:ascii="Times New Roman" w:hAnsi="Times New Roman" w:cs="Times New Roman"/>
                <w:sz w:val="24"/>
                <w:szCs w:val="24"/>
              </w:rPr>
              <w:t>s</w:t>
            </w:r>
            <w:r w:rsidRPr="00F119F4">
              <w:rPr>
                <w:rFonts w:ascii="Times New Roman" w:hAnsi="Times New Roman" w:cs="Times New Roman"/>
                <w:sz w:val="24"/>
                <w:szCs w:val="24"/>
              </w:rPr>
              <w:t>afety</w:t>
            </w:r>
            <w:r>
              <w:rPr>
                <w:rFonts w:ascii="Times New Roman" w:hAnsi="Times New Roman" w:cs="Times New Roman"/>
                <w:sz w:val="24"/>
                <w:szCs w:val="24"/>
              </w:rPr>
              <w:t>/s</w:t>
            </w:r>
            <w:r w:rsidRPr="00F119F4">
              <w:rPr>
                <w:rFonts w:ascii="Times New Roman" w:hAnsi="Times New Roman" w:cs="Times New Roman"/>
                <w:sz w:val="24"/>
                <w:szCs w:val="24"/>
              </w:rPr>
              <w:t>ecurity</w:t>
            </w:r>
            <w:r>
              <w:rPr>
                <w:rFonts w:ascii="Times New Roman" w:hAnsi="Times New Roman" w:cs="Times New Roman"/>
                <w:sz w:val="24"/>
                <w:szCs w:val="24"/>
              </w:rPr>
              <w:t>.</w:t>
            </w:r>
            <w:r w:rsidRPr="00F119F4">
              <w:rPr>
                <w:rFonts w:ascii="Times New Roman" w:hAnsi="Times New Roman" w:cs="Times New Roman"/>
                <w:sz w:val="24"/>
                <w:szCs w:val="24"/>
              </w:rPr>
              <w:t xml:space="preserve"> </w:t>
            </w:r>
          </w:p>
        </w:tc>
        <w:tc>
          <w:tcPr>
            <w:tcW w:w="2408" w:type="dxa"/>
          </w:tcPr>
          <w:p w14:paraId="01F79B3E"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HEFCE (2001b)</w:t>
            </w:r>
          </w:p>
        </w:tc>
        <w:tc>
          <w:tcPr>
            <w:tcW w:w="852" w:type="dxa"/>
          </w:tcPr>
          <w:p w14:paraId="130B4B6E"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33596D64" w14:textId="77777777" w:rsidR="00837DA7" w:rsidRPr="00F119F4" w:rsidRDefault="00837DA7" w:rsidP="00353A9A">
            <w:pPr>
              <w:rPr>
                <w:rFonts w:ascii="Times New Roman" w:hAnsi="Times New Roman" w:cs="Times New Roman"/>
                <w:sz w:val="24"/>
                <w:szCs w:val="24"/>
              </w:rPr>
            </w:pPr>
          </w:p>
        </w:tc>
      </w:tr>
      <w:tr w:rsidR="00837DA7" w:rsidRPr="00F119F4" w14:paraId="5061C716" w14:textId="77777777" w:rsidTr="00353A9A">
        <w:trPr>
          <w:gridAfter w:val="1"/>
          <w:wAfter w:w="8" w:type="dxa"/>
        </w:trPr>
        <w:tc>
          <w:tcPr>
            <w:tcW w:w="1556" w:type="dxa"/>
            <w:vMerge/>
            <w:tcBorders>
              <w:top w:val="single" w:sz="2" w:space="0" w:color="auto"/>
              <w:bottom w:val="single" w:sz="2" w:space="0" w:color="auto"/>
            </w:tcBorders>
          </w:tcPr>
          <w:p w14:paraId="3EBDA0A4"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0BC87D63" w14:textId="77777777" w:rsidR="00837DA7" w:rsidRPr="00F119F4" w:rsidRDefault="00837DA7" w:rsidP="00353A9A">
            <w:pPr>
              <w:autoSpaceDE w:val="0"/>
              <w:autoSpaceDN w:val="0"/>
              <w:adjustRightInd w:val="0"/>
              <w:ind w:right="-111"/>
              <w:rPr>
                <w:rFonts w:ascii="Times New Roman" w:hAnsi="Times New Roman" w:cs="Times New Roman"/>
                <w:sz w:val="24"/>
                <w:szCs w:val="24"/>
              </w:rPr>
            </w:pPr>
            <w:r>
              <w:rPr>
                <w:rFonts w:ascii="Times New Roman" w:hAnsi="Times New Roman" w:cs="Times New Roman"/>
                <w:sz w:val="24"/>
                <w:szCs w:val="24"/>
              </w:rPr>
              <w:t xml:space="preserve">2.4.5 </w:t>
            </w:r>
            <w:r w:rsidRPr="00F119F4">
              <w:rPr>
                <w:rFonts w:ascii="Times New Roman" w:hAnsi="Times New Roman" w:cs="Times New Roman"/>
                <w:sz w:val="24"/>
                <w:szCs w:val="24"/>
              </w:rPr>
              <w:t xml:space="preserve">Compliance with </w:t>
            </w:r>
            <w:r>
              <w:rPr>
                <w:rFonts w:ascii="Times New Roman" w:hAnsi="Times New Roman" w:cs="Times New Roman"/>
                <w:sz w:val="24"/>
                <w:szCs w:val="24"/>
              </w:rPr>
              <w:t>d</w:t>
            </w:r>
            <w:r w:rsidRPr="00F119F4">
              <w:rPr>
                <w:rFonts w:ascii="Times New Roman" w:hAnsi="Times New Roman" w:cs="Times New Roman"/>
                <w:sz w:val="24"/>
                <w:szCs w:val="24"/>
              </w:rPr>
              <w:t xml:space="preserve">ata </w:t>
            </w:r>
            <w:r>
              <w:rPr>
                <w:rFonts w:ascii="Times New Roman" w:hAnsi="Times New Roman" w:cs="Times New Roman"/>
                <w:sz w:val="24"/>
                <w:szCs w:val="24"/>
              </w:rPr>
              <w:t>p</w:t>
            </w:r>
            <w:r w:rsidRPr="00F119F4">
              <w:rPr>
                <w:rFonts w:ascii="Times New Roman" w:hAnsi="Times New Roman" w:cs="Times New Roman"/>
                <w:sz w:val="24"/>
                <w:szCs w:val="24"/>
              </w:rPr>
              <w:t xml:space="preserve">rotection </w:t>
            </w:r>
            <w:r>
              <w:rPr>
                <w:rFonts w:ascii="Times New Roman" w:hAnsi="Times New Roman" w:cs="Times New Roman"/>
                <w:sz w:val="24"/>
                <w:szCs w:val="24"/>
              </w:rPr>
              <w:t>a</w:t>
            </w:r>
            <w:r w:rsidRPr="00F119F4">
              <w:rPr>
                <w:rFonts w:ascii="Times New Roman" w:hAnsi="Times New Roman" w:cs="Times New Roman"/>
                <w:sz w:val="24"/>
                <w:szCs w:val="24"/>
              </w:rPr>
              <w:t>ct</w:t>
            </w:r>
            <w:r>
              <w:rPr>
                <w:rFonts w:ascii="Times New Roman" w:hAnsi="Times New Roman" w:cs="Times New Roman"/>
                <w:sz w:val="24"/>
                <w:szCs w:val="24"/>
              </w:rPr>
              <w:t>.</w:t>
            </w:r>
            <w:r w:rsidRPr="00F119F4">
              <w:rPr>
                <w:rFonts w:ascii="Times New Roman" w:hAnsi="Times New Roman" w:cs="Times New Roman"/>
                <w:sz w:val="24"/>
                <w:szCs w:val="24"/>
              </w:rPr>
              <w:t xml:space="preserve"> </w:t>
            </w:r>
          </w:p>
        </w:tc>
        <w:tc>
          <w:tcPr>
            <w:tcW w:w="2408" w:type="dxa"/>
          </w:tcPr>
          <w:p w14:paraId="257EEF38"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HEFCE (2001b)</w:t>
            </w:r>
          </w:p>
        </w:tc>
        <w:tc>
          <w:tcPr>
            <w:tcW w:w="852" w:type="dxa"/>
          </w:tcPr>
          <w:p w14:paraId="11AC1049"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10F98B4D" w14:textId="77777777" w:rsidR="00837DA7" w:rsidRPr="00F119F4" w:rsidRDefault="00837DA7" w:rsidP="00353A9A">
            <w:pPr>
              <w:rPr>
                <w:rFonts w:ascii="Times New Roman" w:hAnsi="Times New Roman" w:cs="Times New Roman"/>
                <w:sz w:val="24"/>
                <w:szCs w:val="24"/>
              </w:rPr>
            </w:pPr>
          </w:p>
        </w:tc>
      </w:tr>
      <w:tr w:rsidR="00837DA7" w:rsidRPr="00F119F4" w14:paraId="4E6D3EA3" w14:textId="77777777" w:rsidTr="00353A9A">
        <w:tc>
          <w:tcPr>
            <w:tcW w:w="1556" w:type="dxa"/>
            <w:vMerge/>
            <w:tcBorders>
              <w:top w:val="single" w:sz="2" w:space="0" w:color="auto"/>
              <w:bottom w:val="single" w:sz="2" w:space="0" w:color="auto"/>
            </w:tcBorders>
          </w:tcPr>
          <w:p w14:paraId="521F8716"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9493" w:type="dxa"/>
            <w:gridSpan w:val="6"/>
          </w:tcPr>
          <w:p w14:paraId="1E8E26A5" w14:textId="77777777" w:rsidR="00837DA7" w:rsidRDefault="00837DA7" w:rsidP="00353A9A">
            <w:pPr>
              <w:rPr>
                <w:rFonts w:ascii="Times New Roman" w:hAnsi="Times New Roman" w:cs="Times New Roman"/>
                <w:b/>
                <w:bCs/>
                <w:i/>
                <w:iCs/>
                <w:sz w:val="24"/>
                <w:szCs w:val="24"/>
              </w:rPr>
            </w:pPr>
            <w:r>
              <w:rPr>
                <w:rFonts w:ascii="Times New Roman" w:hAnsi="Times New Roman" w:cs="Times New Roman"/>
                <w:b/>
                <w:bCs/>
                <w:i/>
                <w:iCs/>
                <w:sz w:val="24"/>
                <w:szCs w:val="24"/>
              </w:rPr>
              <w:t xml:space="preserve">2.5 </w:t>
            </w:r>
            <w:r w:rsidRPr="005C3003">
              <w:rPr>
                <w:rFonts w:ascii="Times New Roman" w:hAnsi="Times New Roman" w:cs="Times New Roman"/>
                <w:b/>
                <w:bCs/>
                <w:i/>
                <w:iCs/>
                <w:sz w:val="24"/>
                <w:szCs w:val="24"/>
              </w:rPr>
              <w:t>Facilitie</w:t>
            </w:r>
            <w:r>
              <w:rPr>
                <w:rFonts w:ascii="Times New Roman" w:hAnsi="Times New Roman" w:cs="Times New Roman"/>
                <w:b/>
                <w:bCs/>
                <w:i/>
                <w:iCs/>
                <w:sz w:val="24"/>
                <w:szCs w:val="24"/>
              </w:rPr>
              <w:t>s and estate risks</w:t>
            </w:r>
          </w:p>
        </w:tc>
      </w:tr>
      <w:tr w:rsidR="00837DA7" w:rsidRPr="00F119F4" w14:paraId="65FFF381" w14:textId="77777777" w:rsidTr="00353A9A">
        <w:trPr>
          <w:gridAfter w:val="1"/>
          <w:wAfter w:w="8" w:type="dxa"/>
        </w:trPr>
        <w:tc>
          <w:tcPr>
            <w:tcW w:w="1556" w:type="dxa"/>
            <w:vMerge/>
            <w:tcBorders>
              <w:top w:val="single" w:sz="2" w:space="0" w:color="auto"/>
              <w:bottom w:val="single" w:sz="2" w:space="0" w:color="auto"/>
            </w:tcBorders>
          </w:tcPr>
          <w:p w14:paraId="5008E3FB"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Borders>
              <w:bottom w:val="single" w:sz="2" w:space="0" w:color="auto"/>
            </w:tcBorders>
          </w:tcPr>
          <w:p w14:paraId="001EFC30"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2.5.1 </w:t>
            </w:r>
            <w:r w:rsidRPr="00F119F4">
              <w:rPr>
                <w:rFonts w:ascii="Times New Roman" w:hAnsi="Times New Roman" w:cs="Times New Roman"/>
                <w:sz w:val="24"/>
                <w:szCs w:val="24"/>
              </w:rPr>
              <w:t>Use of existing space</w:t>
            </w:r>
            <w:r>
              <w:rPr>
                <w:rFonts w:ascii="Times New Roman" w:hAnsi="Times New Roman" w:cs="Times New Roman"/>
                <w:sz w:val="24"/>
                <w:szCs w:val="24"/>
              </w:rPr>
              <w:t>.</w:t>
            </w:r>
          </w:p>
        </w:tc>
        <w:tc>
          <w:tcPr>
            <w:tcW w:w="2408" w:type="dxa"/>
            <w:tcBorders>
              <w:bottom w:val="single" w:sz="2" w:space="0" w:color="auto"/>
            </w:tcBorders>
          </w:tcPr>
          <w:p w14:paraId="3FBD7569"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HEFCE (2001b)</w:t>
            </w:r>
          </w:p>
        </w:tc>
        <w:tc>
          <w:tcPr>
            <w:tcW w:w="852" w:type="dxa"/>
            <w:tcBorders>
              <w:bottom w:val="single" w:sz="2" w:space="0" w:color="auto"/>
            </w:tcBorders>
          </w:tcPr>
          <w:p w14:paraId="624E0AEB"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val="restart"/>
            <w:tcBorders>
              <w:bottom w:val="single" w:sz="2" w:space="0" w:color="auto"/>
            </w:tcBorders>
            <w:vAlign w:val="center"/>
          </w:tcPr>
          <w:p w14:paraId="6705D66D" w14:textId="77777777" w:rsidR="00837DA7" w:rsidRPr="00F119F4" w:rsidRDefault="00837DA7" w:rsidP="00353A9A">
            <w:pPr>
              <w:jc w:val="center"/>
              <w:rPr>
                <w:rFonts w:ascii="Times New Roman" w:hAnsi="Times New Roman" w:cs="Times New Roman"/>
                <w:sz w:val="24"/>
                <w:szCs w:val="24"/>
              </w:rPr>
            </w:pPr>
            <w:r>
              <w:rPr>
                <w:rFonts w:ascii="Times New Roman" w:hAnsi="Times New Roman" w:cs="Times New Roman"/>
                <w:sz w:val="24"/>
                <w:szCs w:val="24"/>
              </w:rPr>
              <w:t>36</w:t>
            </w:r>
          </w:p>
        </w:tc>
      </w:tr>
      <w:tr w:rsidR="00837DA7" w:rsidRPr="00F119F4" w14:paraId="1F7D04B2" w14:textId="77777777" w:rsidTr="00353A9A">
        <w:trPr>
          <w:gridAfter w:val="1"/>
          <w:wAfter w:w="8" w:type="dxa"/>
        </w:trPr>
        <w:tc>
          <w:tcPr>
            <w:tcW w:w="1556" w:type="dxa"/>
            <w:vMerge/>
            <w:tcBorders>
              <w:top w:val="single" w:sz="2" w:space="0" w:color="auto"/>
              <w:bottom w:val="single" w:sz="2" w:space="0" w:color="auto"/>
            </w:tcBorders>
          </w:tcPr>
          <w:p w14:paraId="272D88E3"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Borders>
              <w:top w:val="single" w:sz="2" w:space="0" w:color="auto"/>
            </w:tcBorders>
          </w:tcPr>
          <w:p w14:paraId="18E92AF5"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2.5.2 </w:t>
            </w:r>
            <w:r w:rsidRPr="00F119F4">
              <w:rPr>
                <w:rFonts w:ascii="Times New Roman" w:hAnsi="Times New Roman" w:cs="Times New Roman"/>
                <w:sz w:val="24"/>
                <w:szCs w:val="24"/>
              </w:rPr>
              <w:t>E&amp;F safety and security</w:t>
            </w:r>
            <w:r>
              <w:rPr>
                <w:rFonts w:ascii="Times New Roman" w:hAnsi="Times New Roman" w:cs="Times New Roman"/>
                <w:sz w:val="24"/>
                <w:szCs w:val="24"/>
              </w:rPr>
              <w:t>.</w:t>
            </w:r>
            <w:r w:rsidRPr="00F119F4">
              <w:rPr>
                <w:rFonts w:ascii="Times New Roman" w:hAnsi="Times New Roman" w:cs="Times New Roman"/>
                <w:sz w:val="24"/>
                <w:szCs w:val="24"/>
              </w:rPr>
              <w:t xml:space="preserve"> </w:t>
            </w:r>
          </w:p>
        </w:tc>
        <w:tc>
          <w:tcPr>
            <w:tcW w:w="2408" w:type="dxa"/>
            <w:tcBorders>
              <w:top w:val="single" w:sz="2" w:space="0" w:color="auto"/>
            </w:tcBorders>
          </w:tcPr>
          <w:p w14:paraId="4421BF36"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HEFCE (2001b)</w:t>
            </w:r>
          </w:p>
        </w:tc>
        <w:tc>
          <w:tcPr>
            <w:tcW w:w="852" w:type="dxa"/>
            <w:tcBorders>
              <w:top w:val="single" w:sz="2" w:space="0" w:color="auto"/>
            </w:tcBorders>
          </w:tcPr>
          <w:p w14:paraId="5DB15C06"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Borders>
              <w:top w:val="single" w:sz="2" w:space="0" w:color="auto"/>
            </w:tcBorders>
          </w:tcPr>
          <w:p w14:paraId="7824311C" w14:textId="77777777" w:rsidR="00837DA7" w:rsidRPr="00F119F4" w:rsidRDefault="00837DA7" w:rsidP="00353A9A">
            <w:pPr>
              <w:rPr>
                <w:rFonts w:ascii="Times New Roman" w:hAnsi="Times New Roman" w:cs="Times New Roman"/>
                <w:sz w:val="24"/>
                <w:szCs w:val="24"/>
              </w:rPr>
            </w:pPr>
          </w:p>
        </w:tc>
      </w:tr>
      <w:tr w:rsidR="00837DA7" w:rsidRPr="00F119F4" w14:paraId="2EF3C967" w14:textId="77777777" w:rsidTr="00353A9A">
        <w:trPr>
          <w:gridAfter w:val="1"/>
          <w:wAfter w:w="8" w:type="dxa"/>
        </w:trPr>
        <w:tc>
          <w:tcPr>
            <w:tcW w:w="1556" w:type="dxa"/>
            <w:vMerge/>
            <w:tcBorders>
              <w:top w:val="single" w:sz="2" w:space="0" w:color="auto"/>
              <w:bottom w:val="single" w:sz="2" w:space="0" w:color="auto"/>
            </w:tcBorders>
          </w:tcPr>
          <w:p w14:paraId="1A29EE84"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55B00D3A"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2.5.3 </w:t>
            </w:r>
            <w:r w:rsidRPr="00F119F4">
              <w:rPr>
                <w:rFonts w:ascii="Times New Roman" w:hAnsi="Times New Roman" w:cs="Times New Roman"/>
                <w:sz w:val="24"/>
                <w:szCs w:val="24"/>
              </w:rPr>
              <w:t xml:space="preserve">E&amp;F project </w:t>
            </w:r>
            <w:r>
              <w:rPr>
                <w:rFonts w:ascii="Times New Roman" w:hAnsi="Times New Roman" w:cs="Times New Roman"/>
                <w:sz w:val="24"/>
                <w:szCs w:val="24"/>
              </w:rPr>
              <w:t>management.</w:t>
            </w:r>
          </w:p>
        </w:tc>
        <w:tc>
          <w:tcPr>
            <w:tcW w:w="2408" w:type="dxa"/>
          </w:tcPr>
          <w:p w14:paraId="5DF84AA7"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HEFCE (2001b)</w:t>
            </w:r>
          </w:p>
        </w:tc>
        <w:tc>
          <w:tcPr>
            <w:tcW w:w="852" w:type="dxa"/>
          </w:tcPr>
          <w:p w14:paraId="1954C7AE"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647D1DF9" w14:textId="77777777" w:rsidR="00837DA7" w:rsidRPr="00F119F4" w:rsidRDefault="00837DA7" w:rsidP="00353A9A">
            <w:pPr>
              <w:rPr>
                <w:rFonts w:ascii="Times New Roman" w:hAnsi="Times New Roman" w:cs="Times New Roman"/>
                <w:sz w:val="24"/>
                <w:szCs w:val="24"/>
              </w:rPr>
            </w:pPr>
          </w:p>
        </w:tc>
      </w:tr>
      <w:tr w:rsidR="00837DA7" w:rsidRPr="00F119F4" w14:paraId="3CF92220" w14:textId="77777777" w:rsidTr="00353A9A">
        <w:trPr>
          <w:gridAfter w:val="1"/>
          <w:wAfter w:w="8" w:type="dxa"/>
        </w:trPr>
        <w:tc>
          <w:tcPr>
            <w:tcW w:w="1556" w:type="dxa"/>
            <w:vMerge/>
            <w:tcBorders>
              <w:top w:val="single" w:sz="2" w:space="0" w:color="auto"/>
              <w:bottom w:val="single" w:sz="2" w:space="0" w:color="auto"/>
            </w:tcBorders>
          </w:tcPr>
          <w:p w14:paraId="59823621"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7363754A"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2.5.4 </w:t>
            </w:r>
            <w:r w:rsidRPr="00F119F4">
              <w:rPr>
                <w:rFonts w:ascii="Times New Roman" w:hAnsi="Times New Roman" w:cs="Times New Roman"/>
                <w:sz w:val="24"/>
                <w:szCs w:val="24"/>
              </w:rPr>
              <w:t>Compliance with statutory requirements</w:t>
            </w:r>
            <w:r>
              <w:rPr>
                <w:rFonts w:ascii="Times New Roman" w:hAnsi="Times New Roman" w:cs="Times New Roman"/>
                <w:sz w:val="24"/>
                <w:szCs w:val="24"/>
              </w:rPr>
              <w:t>.</w:t>
            </w:r>
          </w:p>
        </w:tc>
        <w:tc>
          <w:tcPr>
            <w:tcW w:w="2408" w:type="dxa"/>
          </w:tcPr>
          <w:p w14:paraId="499787E6"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HEFCE (2001b)</w:t>
            </w:r>
          </w:p>
        </w:tc>
        <w:tc>
          <w:tcPr>
            <w:tcW w:w="852" w:type="dxa"/>
          </w:tcPr>
          <w:p w14:paraId="554571AC"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6426BBA2" w14:textId="77777777" w:rsidR="00837DA7" w:rsidRPr="00F119F4" w:rsidRDefault="00837DA7" w:rsidP="00353A9A">
            <w:pPr>
              <w:rPr>
                <w:rFonts w:ascii="Times New Roman" w:hAnsi="Times New Roman" w:cs="Times New Roman"/>
                <w:sz w:val="24"/>
                <w:szCs w:val="24"/>
              </w:rPr>
            </w:pPr>
          </w:p>
        </w:tc>
      </w:tr>
      <w:tr w:rsidR="00837DA7" w:rsidRPr="00F119F4" w14:paraId="75CB11FD" w14:textId="77777777" w:rsidTr="00353A9A">
        <w:trPr>
          <w:gridAfter w:val="1"/>
          <w:wAfter w:w="8" w:type="dxa"/>
        </w:trPr>
        <w:tc>
          <w:tcPr>
            <w:tcW w:w="1556" w:type="dxa"/>
            <w:vMerge/>
            <w:tcBorders>
              <w:top w:val="single" w:sz="2" w:space="0" w:color="auto"/>
              <w:bottom w:val="single" w:sz="2" w:space="0" w:color="auto"/>
            </w:tcBorders>
          </w:tcPr>
          <w:p w14:paraId="3C9EEB29"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37B04CF3"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2.5.5 </w:t>
            </w:r>
            <w:r w:rsidRPr="00F119F4">
              <w:rPr>
                <w:rFonts w:ascii="Times New Roman" w:hAnsi="Times New Roman" w:cs="Times New Roman"/>
                <w:sz w:val="24"/>
                <w:szCs w:val="24"/>
              </w:rPr>
              <w:t>Student accommodation</w:t>
            </w:r>
            <w:r>
              <w:rPr>
                <w:rFonts w:ascii="Times New Roman" w:hAnsi="Times New Roman" w:cs="Times New Roman"/>
                <w:sz w:val="24"/>
                <w:szCs w:val="24"/>
              </w:rPr>
              <w:t>.</w:t>
            </w:r>
          </w:p>
        </w:tc>
        <w:tc>
          <w:tcPr>
            <w:tcW w:w="2408" w:type="dxa"/>
          </w:tcPr>
          <w:p w14:paraId="0184E3F1"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HEFCE (2001b)</w:t>
            </w:r>
          </w:p>
        </w:tc>
        <w:tc>
          <w:tcPr>
            <w:tcW w:w="852" w:type="dxa"/>
          </w:tcPr>
          <w:p w14:paraId="622949F9"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6507C2DA" w14:textId="77777777" w:rsidR="00837DA7" w:rsidRPr="00F119F4" w:rsidRDefault="00837DA7" w:rsidP="00353A9A">
            <w:pPr>
              <w:rPr>
                <w:rFonts w:ascii="Times New Roman" w:hAnsi="Times New Roman" w:cs="Times New Roman"/>
                <w:sz w:val="24"/>
                <w:szCs w:val="24"/>
              </w:rPr>
            </w:pPr>
          </w:p>
        </w:tc>
      </w:tr>
      <w:tr w:rsidR="00837DA7" w:rsidRPr="00F119F4" w14:paraId="71ACFE92" w14:textId="77777777" w:rsidTr="00353A9A">
        <w:trPr>
          <w:gridAfter w:val="1"/>
          <w:wAfter w:w="8" w:type="dxa"/>
        </w:trPr>
        <w:tc>
          <w:tcPr>
            <w:tcW w:w="1556" w:type="dxa"/>
            <w:vMerge/>
            <w:tcBorders>
              <w:top w:val="single" w:sz="2" w:space="0" w:color="auto"/>
              <w:bottom w:val="single" w:sz="2" w:space="0" w:color="auto"/>
            </w:tcBorders>
          </w:tcPr>
          <w:p w14:paraId="0A7E0D3A"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20CE165B"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2.5.6 </w:t>
            </w:r>
            <w:r w:rsidRPr="00F119F4">
              <w:rPr>
                <w:rFonts w:ascii="Times New Roman" w:hAnsi="Times New Roman" w:cs="Times New Roman"/>
                <w:sz w:val="24"/>
                <w:szCs w:val="24"/>
              </w:rPr>
              <w:t xml:space="preserve">Property </w:t>
            </w:r>
            <w:r>
              <w:rPr>
                <w:rFonts w:ascii="Times New Roman" w:hAnsi="Times New Roman" w:cs="Times New Roman"/>
                <w:sz w:val="24"/>
                <w:szCs w:val="24"/>
              </w:rPr>
              <w:t>d</w:t>
            </w:r>
            <w:r w:rsidRPr="00F119F4">
              <w:rPr>
                <w:rFonts w:ascii="Times New Roman" w:hAnsi="Times New Roman" w:cs="Times New Roman"/>
                <w:sz w:val="24"/>
                <w:szCs w:val="24"/>
              </w:rPr>
              <w:t>eterioration</w:t>
            </w:r>
            <w:r>
              <w:rPr>
                <w:rFonts w:ascii="Times New Roman" w:hAnsi="Times New Roman" w:cs="Times New Roman"/>
                <w:sz w:val="24"/>
                <w:szCs w:val="24"/>
              </w:rPr>
              <w:t>.</w:t>
            </w:r>
          </w:p>
        </w:tc>
        <w:tc>
          <w:tcPr>
            <w:tcW w:w="2408" w:type="dxa"/>
          </w:tcPr>
          <w:p w14:paraId="1D3C61F3"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HEFCE (2001b)</w:t>
            </w:r>
          </w:p>
        </w:tc>
        <w:tc>
          <w:tcPr>
            <w:tcW w:w="852" w:type="dxa"/>
          </w:tcPr>
          <w:p w14:paraId="3086664B"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2F0F1BDF" w14:textId="77777777" w:rsidR="00837DA7" w:rsidRPr="00F119F4" w:rsidRDefault="00837DA7" w:rsidP="00353A9A">
            <w:pPr>
              <w:rPr>
                <w:rFonts w:ascii="Times New Roman" w:hAnsi="Times New Roman" w:cs="Times New Roman"/>
                <w:sz w:val="24"/>
                <w:szCs w:val="24"/>
              </w:rPr>
            </w:pPr>
          </w:p>
        </w:tc>
      </w:tr>
      <w:tr w:rsidR="00837DA7" w:rsidRPr="00F119F4" w14:paraId="321BB504" w14:textId="77777777" w:rsidTr="00353A9A">
        <w:tc>
          <w:tcPr>
            <w:tcW w:w="1556" w:type="dxa"/>
            <w:vMerge/>
            <w:tcBorders>
              <w:top w:val="single" w:sz="2" w:space="0" w:color="auto"/>
              <w:bottom w:val="single" w:sz="2" w:space="0" w:color="auto"/>
            </w:tcBorders>
          </w:tcPr>
          <w:p w14:paraId="14AF0899"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9493" w:type="dxa"/>
            <w:gridSpan w:val="6"/>
          </w:tcPr>
          <w:p w14:paraId="19E99C3E" w14:textId="77777777" w:rsidR="00837DA7" w:rsidRDefault="00837DA7" w:rsidP="00353A9A">
            <w:pPr>
              <w:rPr>
                <w:rFonts w:ascii="Times New Roman" w:hAnsi="Times New Roman" w:cs="Times New Roman"/>
                <w:b/>
                <w:bCs/>
                <w:i/>
                <w:iCs/>
                <w:sz w:val="24"/>
                <w:szCs w:val="24"/>
              </w:rPr>
            </w:pPr>
            <w:r>
              <w:rPr>
                <w:rFonts w:ascii="Times New Roman" w:hAnsi="Times New Roman" w:cs="Times New Roman"/>
                <w:b/>
                <w:bCs/>
                <w:i/>
                <w:iCs/>
                <w:sz w:val="24"/>
                <w:szCs w:val="24"/>
              </w:rPr>
              <w:t>2.6 Staffing risks</w:t>
            </w:r>
          </w:p>
        </w:tc>
      </w:tr>
      <w:tr w:rsidR="00837DA7" w:rsidRPr="00F119F4" w14:paraId="0996B8B2" w14:textId="77777777" w:rsidTr="00353A9A">
        <w:trPr>
          <w:gridAfter w:val="1"/>
          <w:wAfter w:w="8" w:type="dxa"/>
        </w:trPr>
        <w:tc>
          <w:tcPr>
            <w:tcW w:w="1556" w:type="dxa"/>
            <w:vMerge/>
            <w:tcBorders>
              <w:top w:val="single" w:sz="2" w:space="0" w:color="auto"/>
              <w:bottom w:val="single" w:sz="2" w:space="0" w:color="auto"/>
            </w:tcBorders>
          </w:tcPr>
          <w:p w14:paraId="6BFC20A9"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427DD4CD"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2.6.1 </w:t>
            </w:r>
            <w:r w:rsidRPr="00F119F4">
              <w:rPr>
                <w:rFonts w:ascii="Times New Roman" w:hAnsi="Times New Roman" w:cs="Times New Roman"/>
                <w:sz w:val="24"/>
                <w:szCs w:val="24"/>
              </w:rPr>
              <w:t>Staff intake and retention</w:t>
            </w:r>
            <w:r>
              <w:rPr>
                <w:rFonts w:ascii="Times New Roman" w:hAnsi="Times New Roman" w:cs="Times New Roman"/>
                <w:sz w:val="24"/>
                <w:szCs w:val="24"/>
              </w:rPr>
              <w:t>.</w:t>
            </w:r>
          </w:p>
        </w:tc>
        <w:tc>
          <w:tcPr>
            <w:tcW w:w="2408" w:type="dxa"/>
          </w:tcPr>
          <w:p w14:paraId="70599B67"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HEFCE (2001b)</w:t>
            </w:r>
          </w:p>
        </w:tc>
        <w:tc>
          <w:tcPr>
            <w:tcW w:w="852" w:type="dxa"/>
          </w:tcPr>
          <w:p w14:paraId="38ABC3F1"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val="restart"/>
            <w:vAlign w:val="center"/>
          </w:tcPr>
          <w:p w14:paraId="3088C267" w14:textId="77777777" w:rsidR="00837DA7" w:rsidRPr="00F119F4" w:rsidRDefault="00837DA7" w:rsidP="00353A9A">
            <w:pPr>
              <w:jc w:val="center"/>
              <w:rPr>
                <w:rFonts w:ascii="Times New Roman" w:hAnsi="Times New Roman" w:cs="Times New Roman"/>
                <w:sz w:val="24"/>
                <w:szCs w:val="24"/>
              </w:rPr>
            </w:pPr>
            <w:r>
              <w:rPr>
                <w:rFonts w:ascii="Times New Roman" w:hAnsi="Times New Roman" w:cs="Times New Roman"/>
                <w:sz w:val="24"/>
                <w:szCs w:val="24"/>
              </w:rPr>
              <w:t>48</w:t>
            </w:r>
          </w:p>
        </w:tc>
      </w:tr>
      <w:tr w:rsidR="00837DA7" w:rsidRPr="00F119F4" w14:paraId="590DE3E9" w14:textId="77777777" w:rsidTr="00353A9A">
        <w:trPr>
          <w:gridAfter w:val="1"/>
          <w:wAfter w:w="8" w:type="dxa"/>
        </w:trPr>
        <w:tc>
          <w:tcPr>
            <w:tcW w:w="1556" w:type="dxa"/>
            <w:vMerge/>
            <w:tcBorders>
              <w:top w:val="single" w:sz="2" w:space="0" w:color="auto"/>
              <w:bottom w:val="single" w:sz="2" w:space="0" w:color="auto"/>
            </w:tcBorders>
          </w:tcPr>
          <w:p w14:paraId="76383EE1"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66D1431C"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2.6.2 </w:t>
            </w:r>
            <w:r w:rsidRPr="00F119F4">
              <w:rPr>
                <w:rFonts w:ascii="Times New Roman" w:hAnsi="Times New Roman" w:cs="Times New Roman"/>
                <w:sz w:val="24"/>
                <w:szCs w:val="24"/>
              </w:rPr>
              <w:t>Intake and retention of specialist non-academic staff</w:t>
            </w:r>
            <w:r>
              <w:rPr>
                <w:rFonts w:ascii="Times New Roman" w:hAnsi="Times New Roman" w:cs="Times New Roman"/>
                <w:sz w:val="24"/>
                <w:szCs w:val="24"/>
              </w:rPr>
              <w:t>.</w:t>
            </w:r>
          </w:p>
        </w:tc>
        <w:tc>
          <w:tcPr>
            <w:tcW w:w="2408" w:type="dxa"/>
          </w:tcPr>
          <w:p w14:paraId="05086F4E"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HEFCE (2001b)</w:t>
            </w:r>
          </w:p>
        </w:tc>
        <w:tc>
          <w:tcPr>
            <w:tcW w:w="852" w:type="dxa"/>
          </w:tcPr>
          <w:p w14:paraId="2FA2A68E"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0DDC574D" w14:textId="77777777" w:rsidR="00837DA7" w:rsidRPr="00F119F4" w:rsidRDefault="00837DA7" w:rsidP="00353A9A">
            <w:pPr>
              <w:rPr>
                <w:rFonts w:ascii="Times New Roman" w:hAnsi="Times New Roman" w:cs="Times New Roman"/>
                <w:sz w:val="24"/>
                <w:szCs w:val="24"/>
              </w:rPr>
            </w:pPr>
          </w:p>
        </w:tc>
      </w:tr>
      <w:tr w:rsidR="00837DA7" w:rsidRPr="00F119F4" w14:paraId="4530732F" w14:textId="77777777" w:rsidTr="00353A9A">
        <w:trPr>
          <w:gridAfter w:val="1"/>
          <w:wAfter w:w="8" w:type="dxa"/>
        </w:trPr>
        <w:tc>
          <w:tcPr>
            <w:tcW w:w="1556" w:type="dxa"/>
            <w:vMerge/>
            <w:tcBorders>
              <w:top w:val="single" w:sz="2" w:space="0" w:color="auto"/>
              <w:bottom w:val="single" w:sz="2" w:space="0" w:color="auto"/>
            </w:tcBorders>
          </w:tcPr>
          <w:p w14:paraId="04ED51AB"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1F62AF71"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2.6.3 </w:t>
            </w:r>
            <w:r w:rsidRPr="00F119F4">
              <w:rPr>
                <w:rFonts w:ascii="Times New Roman" w:hAnsi="Times New Roman" w:cs="Times New Roman"/>
                <w:sz w:val="24"/>
                <w:szCs w:val="24"/>
              </w:rPr>
              <w:t>Integrity/</w:t>
            </w:r>
            <w:r>
              <w:rPr>
                <w:rFonts w:ascii="Times New Roman" w:hAnsi="Times New Roman" w:cs="Times New Roman"/>
                <w:sz w:val="24"/>
                <w:szCs w:val="24"/>
              </w:rPr>
              <w:t xml:space="preserve"> management &amp; </w:t>
            </w:r>
            <w:r w:rsidRPr="00F119F4">
              <w:rPr>
                <w:rFonts w:ascii="Times New Roman" w:hAnsi="Times New Roman" w:cs="Times New Roman"/>
                <w:sz w:val="24"/>
                <w:szCs w:val="24"/>
              </w:rPr>
              <w:t>employee fraud</w:t>
            </w:r>
            <w:r>
              <w:rPr>
                <w:rFonts w:ascii="Times New Roman" w:hAnsi="Times New Roman" w:cs="Times New Roman"/>
                <w:sz w:val="24"/>
                <w:szCs w:val="24"/>
              </w:rPr>
              <w:t>.</w:t>
            </w:r>
          </w:p>
        </w:tc>
        <w:tc>
          <w:tcPr>
            <w:tcW w:w="2408" w:type="dxa"/>
          </w:tcPr>
          <w:p w14:paraId="27F13CDF"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HEFCE (2001b)</w:t>
            </w:r>
          </w:p>
        </w:tc>
        <w:tc>
          <w:tcPr>
            <w:tcW w:w="852" w:type="dxa"/>
          </w:tcPr>
          <w:p w14:paraId="6CB9010A"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1069C828" w14:textId="77777777" w:rsidR="00837DA7" w:rsidRPr="00F119F4" w:rsidRDefault="00837DA7" w:rsidP="00353A9A">
            <w:pPr>
              <w:rPr>
                <w:rFonts w:ascii="Times New Roman" w:hAnsi="Times New Roman" w:cs="Times New Roman"/>
                <w:sz w:val="24"/>
                <w:szCs w:val="24"/>
              </w:rPr>
            </w:pPr>
          </w:p>
        </w:tc>
      </w:tr>
      <w:tr w:rsidR="00837DA7" w:rsidRPr="00F119F4" w14:paraId="203FF68B" w14:textId="77777777" w:rsidTr="00353A9A">
        <w:trPr>
          <w:gridAfter w:val="1"/>
          <w:wAfter w:w="8" w:type="dxa"/>
        </w:trPr>
        <w:tc>
          <w:tcPr>
            <w:tcW w:w="1556" w:type="dxa"/>
            <w:vMerge/>
            <w:tcBorders>
              <w:top w:val="single" w:sz="2" w:space="0" w:color="auto"/>
              <w:bottom w:val="single" w:sz="2" w:space="0" w:color="auto"/>
            </w:tcBorders>
          </w:tcPr>
          <w:p w14:paraId="6EBFA4F1"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4927ADB5"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2.6.4 </w:t>
            </w:r>
            <w:r w:rsidRPr="00F119F4">
              <w:rPr>
                <w:rFonts w:ascii="Times New Roman" w:hAnsi="Times New Roman" w:cs="Times New Roman"/>
                <w:sz w:val="24"/>
                <w:szCs w:val="24"/>
              </w:rPr>
              <w:t>Adherence with employment legislation and standards of good practices</w:t>
            </w:r>
            <w:r>
              <w:rPr>
                <w:rFonts w:ascii="Times New Roman" w:hAnsi="Times New Roman" w:cs="Times New Roman"/>
                <w:sz w:val="24"/>
                <w:szCs w:val="24"/>
              </w:rPr>
              <w:t>.</w:t>
            </w:r>
            <w:r w:rsidRPr="00F119F4">
              <w:rPr>
                <w:rFonts w:ascii="Times New Roman" w:hAnsi="Times New Roman" w:cs="Times New Roman"/>
                <w:sz w:val="24"/>
                <w:szCs w:val="24"/>
              </w:rPr>
              <w:t xml:space="preserve"> </w:t>
            </w:r>
          </w:p>
        </w:tc>
        <w:tc>
          <w:tcPr>
            <w:tcW w:w="2408" w:type="dxa"/>
          </w:tcPr>
          <w:p w14:paraId="123FD1D9"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HEFCE (2001b)</w:t>
            </w:r>
          </w:p>
        </w:tc>
        <w:tc>
          <w:tcPr>
            <w:tcW w:w="852" w:type="dxa"/>
          </w:tcPr>
          <w:p w14:paraId="3562242F"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1112FB50" w14:textId="77777777" w:rsidR="00837DA7" w:rsidRPr="00F119F4" w:rsidRDefault="00837DA7" w:rsidP="00353A9A">
            <w:pPr>
              <w:rPr>
                <w:rFonts w:ascii="Times New Roman" w:hAnsi="Times New Roman" w:cs="Times New Roman"/>
                <w:sz w:val="24"/>
                <w:szCs w:val="24"/>
              </w:rPr>
            </w:pPr>
          </w:p>
        </w:tc>
      </w:tr>
      <w:tr w:rsidR="00837DA7" w:rsidRPr="00F119F4" w14:paraId="6C446C23" w14:textId="77777777" w:rsidTr="00353A9A">
        <w:trPr>
          <w:gridAfter w:val="1"/>
          <w:wAfter w:w="8" w:type="dxa"/>
        </w:trPr>
        <w:tc>
          <w:tcPr>
            <w:tcW w:w="1556" w:type="dxa"/>
            <w:vMerge/>
            <w:tcBorders>
              <w:top w:val="single" w:sz="2" w:space="0" w:color="auto"/>
              <w:bottom w:val="single" w:sz="2" w:space="0" w:color="auto"/>
            </w:tcBorders>
          </w:tcPr>
          <w:p w14:paraId="50E1FB1A"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086AEEAA"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2.6.5 </w:t>
            </w:r>
            <w:r w:rsidRPr="00F119F4">
              <w:rPr>
                <w:rFonts w:ascii="Times New Roman" w:hAnsi="Times New Roman" w:cs="Times New Roman"/>
                <w:sz w:val="24"/>
                <w:szCs w:val="24"/>
              </w:rPr>
              <w:t>Staff capability</w:t>
            </w:r>
            <w:r>
              <w:rPr>
                <w:rFonts w:ascii="Times New Roman" w:hAnsi="Times New Roman" w:cs="Times New Roman"/>
                <w:sz w:val="24"/>
                <w:szCs w:val="24"/>
              </w:rPr>
              <w:t>.</w:t>
            </w:r>
          </w:p>
        </w:tc>
        <w:tc>
          <w:tcPr>
            <w:tcW w:w="2408" w:type="dxa"/>
          </w:tcPr>
          <w:p w14:paraId="0952978C"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LFHE (2009)</w:t>
            </w:r>
          </w:p>
        </w:tc>
        <w:tc>
          <w:tcPr>
            <w:tcW w:w="852" w:type="dxa"/>
          </w:tcPr>
          <w:p w14:paraId="408C9AA5"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6D157C0A" w14:textId="77777777" w:rsidR="00837DA7" w:rsidRPr="00F119F4" w:rsidRDefault="00837DA7" w:rsidP="00353A9A">
            <w:pPr>
              <w:rPr>
                <w:rFonts w:ascii="Times New Roman" w:hAnsi="Times New Roman" w:cs="Times New Roman"/>
                <w:sz w:val="24"/>
                <w:szCs w:val="24"/>
              </w:rPr>
            </w:pPr>
          </w:p>
        </w:tc>
      </w:tr>
      <w:tr w:rsidR="00837DA7" w:rsidRPr="00F119F4" w14:paraId="45A7E62D" w14:textId="77777777" w:rsidTr="00353A9A">
        <w:trPr>
          <w:gridAfter w:val="1"/>
          <w:wAfter w:w="8" w:type="dxa"/>
        </w:trPr>
        <w:tc>
          <w:tcPr>
            <w:tcW w:w="1556" w:type="dxa"/>
            <w:vMerge/>
            <w:tcBorders>
              <w:top w:val="single" w:sz="2" w:space="0" w:color="auto"/>
              <w:bottom w:val="single" w:sz="2" w:space="0" w:color="auto"/>
            </w:tcBorders>
          </w:tcPr>
          <w:p w14:paraId="17F5791F"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3F345E39"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2.6.6 </w:t>
            </w:r>
            <w:r w:rsidRPr="00F119F4">
              <w:rPr>
                <w:rFonts w:ascii="Times New Roman" w:hAnsi="Times New Roman" w:cs="Times New Roman"/>
                <w:sz w:val="24"/>
                <w:szCs w:val="24"/>
              </w:rPr>
              <w:t>Staff appraisal</w:t>
            </w:r>
            <w:r>
              <w:rPr>
                <w:rFonts w:ascii="Times New Roman" w:hAnsi="Times New Roman" w:cs="Times New Roman"/>
                <w:sz w:val="24"/>
                <w:szCs w:val="24"/>
              </w:rPr>
              <w:t>.</w:t>
            </w:r>
          </w:p>
        </w:tc>
        <w:tc>
          <w:tcPr>
            <w:tcW w:w="2408" w:type="dxa"/>
          </w:tcPr>
          <w:p w14:paraId="570F80E1"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LFHE (2009)</w:t>
            </w:r>
          </w:p>
        </w:tc>
        <w:tc>
          <w:tcPr>
            <w:tcW w:w="852" w:type="dxa"/>
          </w:tcPr>
          <w:p w14:paraId="08D01F38"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334A54E7" w14:textId="77777777" w:rsidR="00837DA7" w:rsidRPr="00F119F4" w:rsidRDefault="00837DA7" w:rsidP="00353A9A">
            <w:pPr>
              <w:rPr>
                <w:rFonts w:ascii="Times New Roman" w:hAnsi="Times New Roman" w:cs="Times New Roman"/>
                <w:sz w:val="24"/>
                <w:szCs w:val="24"/>
              </w:rPr>
            </w:pPr>
          </w:p>
        </w:tc>
      </w:tr>
      <w:tr w:rsidR="00837DA7" w:rsidRPr="00F119F4" w14:paraId="623A11B5" w14:textId="77777777" w:rsidTr="00353A9A">
        <w:trPr>
          <w:gridAfter w:val="1"/>
          <w:wAfter w:w="8" w:type="dxa"/>
        </w:trPr>
        <w:tc>
          <w:tcPr>
            <w:tcW w:w="1556" w:type="dxa"/>
            <w:vMerge/>
            <w:tcBorders>
              <w:top w:val="single" w:sz="2" w:space="0" w:color="auto"/>
              <w:bottom w:val="single" w:sz="2" w:space="0" w:color="auto"/>
            </w:tcBorders>
          </w:tcPr>
          <w:p w14:paraId="55363865"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1C1E51B0"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2.6.7 </w:t>
            </w:r>
            <w:r w:rsidRPr="00F119F4">
              <w:rPr>
                <w:rFonts w:ascii="Times New Roman" w:hAnsi="Times New Roman" w:cs="Times New Roman"/>
                <w:sz w:val="24"/>
                <w:szCs w:val="24"/>
              </w:rPr>
              <w:t>Staff development system</w:t>
            </w:r>
            <w:r>
              <w:rPr>
                <w:rFonts w:ascii="Times New Roman" w:hAnsi="Times New Roman" w:cs="Times New Roman"/>
                <w:sz w:val="24"/>
                <w:szCs w:val="24"/>
              </w:rPr>
              <w:t>.</w:t>
            </w:r>
            <w:r w:rsidRPr="00F119F4">
              <w:rPr>
                <w:rFonts w:ascii="Times New Roman" w:hAnsi="Times New Roman" w:cs="Times New Roman"/>
                <w:sz w:val="24"/>
                <w:szCs w:val="24"/>
              </w:rPr>
              <w:t xml:space="preserve"> </w:t>
            </w:r>
          </w:p>
        </w:tc>
        <w:tc>
          <w:tcPr>
            <w:tcW w:w="2408" w:type="dxa"/>
          </w:tcPr>
          <w:p w14:paraId="52307BFE"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LFHE (2009)</w:t>
            </w:r>
          </w:p>
        </w:tc>
        <w:tc>
          <w:tcPr>
            <w:tcW w:w="852" w:type="dxa"/>
          </w:tcPr>
          <w:p w14:paraId="29119BD0"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23933A8E" w14:textId="77777777" w:rsidR="00837DA7" w:rsidRPr="00F119F4" w:rsidRDefault="00837DA7" w:rsidP="00353A9A">
            <w:pPr>
              <w:rPr>
                <w:rFonts w:ascii="Times New Roman" w:hAnsi="Times New Roman" w:cs="Times New Roman"/>
                <w:sz w:val="24"/>
                <w:szCs w:val="24"/>
              </w:rPr>
            </w:pPr>
          </w:p>
        </w:tc>
      </w:tr>
      <w:tr w:rsidR="00837DA7" w:rsidRPr="00F119F4" w14:paraId="4674B854" w14:textId="77777777" w:rsidTr="00353A9A">
        <w:trPr>
          <w:gridAfter w:val="1"/>
          <w:wAfter w:w="8" w:type="dxa"/>
        </w:trPr>
        <w:tc>
          <w:tcPr>
            <w:tcW w:w="1556" w:type="dxa"/>
            <w:vMerge/>
            <w:tcBorders>
              <w:top w:val="single" w:sz="2" w:space="0" w:color="auto"/>
              <w:bottom w:val="single" w:sz="2" w:space="0" w:color="auto"/>
            </w:tcBorders>
          </w:tcPr>
          <w:p w14:paraId="68C62877"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150B43A9"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2.6.8 </w:t>
            </w:r>
            <w:r w:rsidRPr="00F119F4">
              <w:rPr>
                <w:rFonts w:ascii="Times New Roman" w:hAnsi="Times New Roman" w:cs="Times New Roman"/>
                <w:sz w:val="24"/>
                <w:szCs w:val="24"/>
              </w:rPr>
              <w:t>Staff Support mechanisms</w:t>
            </w:r>
            <w:r>
              <w:rPr>
                <w:rFonts w:ascii="Times New Roman" w:hAnsi="Times New Roman" w:cs="Times New Roman"/>
                <w:sz w:val="24"/>
                <w:szCs w:val="24"/>
              </w:rPr>
              <w:t>.</w:t>
            </w:r>
          </w:p>
        </w:tc>
        <w:tc>
          <w:tcPr>
            <w:tcW w:w="2408" w:type="dxa"/>
          </w:tcPr>
          <w:p w14:paraId="6C2F697B"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LFHE (2009)</w:t>
            </w:r>
          </w:p>
        </w:tc>
        <w:tc>
          <w:tcPr>
            <w:tcW w:w="852" w:type="dxa"/>
          </w:tcPr>
          <w:p w14:paraId="71EE91A3"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68560117" w14:textId="77777777" w:rsidR="00837DA7" w:rsidRPr="00F119F4" w:rsidRDefault="00837DA7" w:rsidP="00353A9A">
            <w:pPr>
              <w:rPr>
                <w:rFonts w:ascii="Times New Roman" w:hAnsi="Times New Roman" w:cs="Times New Roman"/>
                <w:sz w:val="24"/>
                <w:szCs w:val="24"/>
              </w:rPr>
            </w:pPr>
          </w:p>
        </w:tc>
      </w:tr>
      <w:tr w:rsidR="00837DA7" w:rsidRPr="00F119F4" w14:paraId="3FCF7F0F" w14:textId="77777777" w:rsidTr="00353A9A">
        <w:trPr>
          <w:gridAfter w:val="2"/>
          <w:wAfter w:w="24" w:type="dxa"/>
        </w:trPr>
        <w:tc>
          <w:tcPr>
            <w:tcW w:w="1556" w:type="dxa"/>
            <w:vMerge/>
            <w:tcBorders>
              <w:top w:val="single" w:sz="2" w:space="0" w:color="auto"/>
              <w:bottom w:val="single" w:sz="2" w:space="0" w:color="auto"/>
            </w:tcBorders>
          </w:tcPr>
          <w:p w14:paraId="06D05AB7"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8645" w:type="dxa"/>
            <w:gridSpan w:val="3"/>
          </w:tcPr>
          <w:p w14:paraId="0234DD0D"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b/>
                <w:bCs/>
                <w:i/>
                <w:iCs/>
                <w:sz w:val="24"/>
                <w:szCs w:val="24"/>
              </w:rPr>
              <w:t xml:space="preserve">2.7 </w:t>
            </w:r>
            <w:r w:rsidRPr="00A62313">
              <w:rPr>
                <w:rFonts w:ascii="Times New Roman" w:hAnsi="Times New Roman" w:cs="Times New Roman"/>
                <w:b/>
                <w:bCs/>
                <w:i/>
                <w:iCs/>
                <w:sz w:val="24"/>
                <w:szCs w:val="24"/>
              </w:rPr>
              <w:t xml:space="preserve">Major </w:t>
            </w:r>
            <w:r>
              <w:rPr>
                <w:rFonts w:ascii="Times New Roman" w:hAnsi="Times New Roman" w:cs="Times New Roman"/>
                <w:b/>
                <w:bCs/>
                <w:i/>
                <w:iCs/>
                <w:sz w:val="24"/>
                <w:szCs w:val="24"/>
              </w:rPr>
              <w:t>p</w:t>
            </w:r>
            <w:r w:rsidRPr="00A62313">
              <w:rPr>
                <w:rFonts w:ascii="Times New Roman" w:hAnsi="Times New Roman" w:cs="Times New Roman"/>
                <w:b/>
                <w:bCs/>
                <w:i/>
                <w:iCs/>
                <w:sz w:val="24"/>
                <w:szCs w:val="24"/>
              </w:rPr>
              <w:t xml:space="preserve">roject </w:t>
            </w:r>
            <w:r>
              <w:rPr>
                <w:rFonts w:ascii="Times New Roman" w:hAnsi="Times New Roman" w:cs="Times New Roman"/>
                <w:b/>
                <w:bCs/>
                <w:i/>
                <w:iCs/>
                <w:sz w:val="24"/>
                <w:szCs w:val="24"/>
              </w:rPr>
              <w:t>r</w:t>
            </w:r>
            <w:r w:rsidRPr="00A62313">
              <w:rPr>
                <w:rFonts w:ascii="Times New Roman" w:hAnsi="Times New Roman" w:cs="Times New Roman"/>
                <w:b/>
                <w:bCs/>
                <w:i/>
                <w:iCs/>
                <w:sz w:val="24"/>
                <w:szCs w:val="24"/>
              </w:rPr>
              <w:t>isks</w:t>
            </w:r>
          </w:p>
        </w:tc>
        <w:tc>
          <w:tcPr>
            <w:tcW w:w="824" w:type="dxa"/>
          </w:tcPr>
          <w:p w14:paraId="4110E289" w14:textId="77777777" w:rsidR="00837DA7" w:rsidRDefault="00837DA7" w:rsidP="00353A9A">
            <w:pPr>
              <w:rPr>
                <w:rFonts w:ascii="Times New Roman" w:hAnsi="Times New Roman" w:cs="Times New Roman"/>
                <w:b/>
                <w:bCs/>
                <w:i/>
                <w:iCs/>
                <w:sz w:val="24"/>
                <w:szCs w:val="24"/>
              </w:rPr>
            </w:pPr>
          </w:p>
        </w:tc>
      </w:tr>
      <w:tr w:rsidR="00837DA7" w:rsidRPr="00F119F4" w14:paraId="73ED9DDC" w14:textId="77777777" w:rsidTr="00353A9A">
        <w:trPr>
          <w:gridAfter w:val="1"/>
          <w:wAfter w:w="8" w:type="dxa"/>
        </w:trPr>
        <w:tc>
          <w:tcPr>
            <w:tcW w:w="1556" w:type="dxa"/>
            <w:vMerge/>
            <w:tcBorders>
              <w:top w:val="single" w:sz="2" w:space="0" w:color="auto"/>
              <w:bottom w:val="single" w:sz="2" w:space="0" w:color="auto"/>
            </w:tcBorders>
          </w:tcPr>
          <w:p w14:paraId="164A3267"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377C45A0" w14:textId="77777777" w:rsidR="00837DA7" w:rsidRPr="00F119F4" w:rsidRDefault="00837DA7" w:rsidP="00353A9A">
            <w:pPr>
              <w:autoSpaceDE w:val="0"/>
              <w:autoSpaceDN w:val="0"/>
              <w:adjustRightInd w:val="0"/>
              <w:ind w:right="-111"/>
              <w:rPr>
                <w:rFonts w:ascii="Times New Roman" w:hAnsi="Times New Roman" w:cs="Times New Roman"/>
                <w:sz w:val="24"/>
                <w:szCs w:val="24"/>
              </w:rPr>
            </w:pPr>
            <w:r>
              <w:rPr>
                <w:rFonts w:ascii="Times New Roman" w:hAnsi="Times New Roman" w:cs="Times New Roman"/>
                <w:sz w:val="24"/>
                <w:szCs w:val="24"/>
              </w:rPr>
              <w:t xml:space="preserve">2.7.1 </w:t>
            </w:r>
            <w:r w:rsidRPr="00F119F4">
              <w:rPr>
                <w:rFonts w:ascii="Times New Roman" w:hAnsi="Times New Roman" w:cs="Times New Roman"/>
                <w:sz w:val="24"/>
                <w:szCs w:val="24"/>
              </w:rPr>
              <w:t>Project appraisal and approval system</w:t>
            </w:r>
            <w:r>
              <w:rPr>
                <w:rFonts w:ascii="Times New Roman" w:hAnsi="Times New Roman" w:cs="Times New Roman"/>
                <w:sz w:val="24"/>
                <w:szCs w:val="24"/>
              </w:rPr>
              <w:t>.</w:t>
            </w:r>
            <w:r w:rsidRPr="00F119F4">
              <w:rPr>
                <w:rFonts w:ascii="Times New Roman" w:hAnsi="Times New Roman" w:cs="Times New Roman"/>
                <w:sz w:val="24"/>
                <w:szCs w:val="24"/>
              </w:rPr>
              <w:t xml:space="preserve"> </w:t>
            </w:r>
          </w:p>
        </w:tc>
        <w:tc>
          <w:tcPr>
            <w:tcW w:w="2408" w:type="dxa"/>
          </w:tcPr>
          <w:p w14:paraId="3587EB69" w14:textId="77777777" w:rsidR="00837DA7" w:rsidRPr="00F119F4" w:rsidRDefault="00837DA7" w:rsidP="00353A9A">
            <w:pPr>
              <w:rPr>
                <w:rFonts w:ascii="Times New Roman" w:hAnsi="Times New Roman" w:cs="Times New Roman"/>
                <w:sz w:val="24"/>
                <w:szCs w:val="24"/>
              </w:rPr>
            </w:pPr>
            <w:r w:rsidRPr="0017336E">
              <w:rPr>
                <w:rFonts w:ascii="Times New Roman" w:hAnsi="Times New Roman" w:cs="Times New Roman"/>
                <w:sz w:val="24"/>
                <w:szCs w:val="24"/>
              </w:rPr>
              <w:t>LFHE (2009)</w:t>
            </w:r>
          </w:p>
        </w:tc>
        <w:tc>
          <w:tcPr>
            <w:tcW w:w="852" w:type="dxa"/>
          </w:tcPr>
          <w:p w14:paraId="3A5EDE48"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val="restart"/>
            <w:vAlign w:val="center"/>
          </w:tcPr>
          <w:p w14:paraId="64824067" w14:textId="77777777" w:rsidR="00837DA7" w:rsidRPr="00F119F4" w:rsidRDefault="00837DA7" w:rsidP="00353A9A">
            <w:pPr>
              <w:jc w:val="center"/>
              <w:rPr>
                <w:rFonts w:ascii="Times New Roman" w:hAnsi="Times New Roman" w:cs="Times New Roman"/>
                <w:sz w:val="24"/>
                <w:szCs w:val="24"/>
              </w:rPr>
            </w:pPr>
            <w:r>
              <w:rPr>
                <w:rFonts w:ascii="Times New Roman" w:hAnsi="Times New Roman" w:cs="Times New Roman"/>
                <w:sz w:val="24"/>
                <w:szCs w:val="24"/>
              </w:rPr>
              <w:t>36</w:t>
            </w:r>
          </w:p>
        </w:tc>
      </w:tr>
      <w:tr w:rsidR="00837DA7" w:rsidRPr="00F119F4" w14:paraId="260CA1BE" w14:textId="77777777" w:rsidTr="00353A9A">
        <w:trPr>
          <w:gridAfter w:val="1"/>
          <w:wAfter w:w="8" w:type="dxa"/>
        </w:trPr>
        <w:tc>
          <w:tcPr>
            <w:tcW w:w="1556" w:type="dxa"/>
            <w:vMerge/>
            <w:tcBorders>
              <w:top w:val="single" w:sz="2" w:space="0" w:color="auto"/>
              <w:bottom w:val="single" w:sz="2" w:space="0" w:color="auto"/>
            </w:tcBorders>
          </w:tcPr>
          <w:p w14:paraId="7DCDF715"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618CCBB3"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2.7.2 </w:t>
            </w:r>
            <w:r w:rsidRPr="00F119F4">
              <w:rPr>
                <w:rFonts w:ascii="Times New Roman" w:hAnsi="Times New Roman" w:cs="Times New Roman"/>
                <w:sz w:val="24"/>
                <w:szCs w:val="24"/>
              </w:rPr>
              <w:t xml:space="preserve">Project </w:t>
            </w:r>
            <w:r>
              <w:rPr>
                <w:rFonts w:ascii="Times New Roman" w:hAnsi="Times New Roman" w:cs="Times New Roman"/>
                <w:sz w:val="24"/>
                <w:szCs w:val="24"/>
              </w:rPr>
              <w:t>d</w:t>
            </w:r>
            <w:r w:rsidRPr="00F119F4">
              <w:rPr>
                <w:rFonts w:ascii="Times New Roman" w:hAnsi="Times New Roman" w:cs="Times New Roman"/>
                <w:sz w:val="24"/>
                <w:szCs w:val="24"/>
              </w:rPr>
              <w:t>elivery</w:t>
            </w:r>
            <w:r>
              <w:rPr>
                <w:rFonts w:ascii="Times New Roman" w:hAnsi="Times New Roman" w:cs="Times New Roman"/>
                <w:sz w:val="24"/>
                <w:szCs w:val="24"/>
              </w:rPr>
              <w:t>.</w:t>
            </w:r>
          </w:p>
        </w:tc>
        <w:tc>
          <w:tcPr>
            <w:tcW w:w="2408" w:type="dxa"/>
          </w:tcPr>
          <w:p w14:paraId="716F8198" w14:textId="77777777" w:rsidR="00837DA7" w:rsidRPr="00F119F4" w:rsidRDefault="00837DA7" w:rsidP="00353A9A">
            <w:pPr>
              <w:rPr>
                <w:rFonts w:ascii="Times New Roman" w:hAnsi="Times New Roman" w:cs="Times New Roman"/>
                <w:sz w:val="24"/>
                <w:szCs w:val="24"/>
              </w:rPr>
            </w:pPr>
            <w:r w:rsidRPr="0017336E">
              <w:rPr>
                <w:rFonts w:ascii="Times New Roman" w:hAnsi="Times New Roman" w:cs="Times New Roman"/>
                <w:sz w:val="24"/>
                <w:szCs w:val="24"/>
              </w:rPr>
              <w:t>LFHE (2009)</w:t>
            </w:r>
          </w:p>
        </w:tc>
        <w:tc>
          <w:tcPr>
            <w:tcW w:w="852" w:type="dxa"/>
          </w:tcPr>
          <w:p w14:paraId="5DCB8FD0"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65591878" w14:textId="77777777" w:rsidR="00837DA7" w:rsidRPr="00F119F4" w:rsidRDefault="00837DA7" w:rsidP="00353A9A">
            <w:pPr>
              <w:rPr>
                <w:rFonts w:ascii="Times New Roman" w:hAnsi="Times New Roman" w:cs="Times New Roman"/>
                <w:sz w:val="24"/>
                <w:szCs w:val="24"/>
              </w:rPr>
            </w:pPr>
          </w:p>
        </w:tc>
      </w:tr>
      <w:tr w:rsidR="00837DA7" w:rsidRPr="00F119F4" w14:paraId="4F9971F1" w14:textId="77777777" w:rsidTr="00353A9A">
        <w:trPr>
          <w:gridAfter w:val="1"/>
          <w:wAfter w:w="8" w:type="dxa"/>
        </w:trPr>
        <w:tc>
          <w:tcPr>
            <w:tcW w:w="1556" w:type="dxa"/>
            <w:vMerge/>
            <w:tcBorders>
              <w:top w:val="single" w:sz="2" w:space="0" w:color="auto"/>
              <w:bottom w:val="single" w:sz="2" w:space="0" w:color="auto"/>
            </w:tcBorders>
          </w:tcPr>
          <w:p w14:paraId="4DA5A9F3"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6775A465"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2.7.3 </w:t>
            </w:r>
            <w:r w:rsidRPr="00F119F4">
              <w:rPr>
                <w:rFonts w:ascii="Times New Roman" w:hAnsi="Times New Roman" w:cs="Times New Roman"/>
                <w:sz w:val="24"/>
                <w:szCs w:val="24"/>
              </w:rPr>
              <w:t>Programme management</w:t>
            </w:r>
            <w:r>
              <w:rPr>
                <w:rFonts w:ascii="Times New Roman" w:hAnsi="Times New Roman" w:cs="Times New Roman"/>
                <w:sz w:val="24"/>
                <w:szCs w:val="24"/>
              </w:rPr>
              <w:t>.</w:t>
            </w:r>
          </w:p>
        </w:tc>
        <w:tc>
          <w:tcPr>
            <w:tcW w:w="2408" w:type="dxa"/>
          </w:tcPr>
          <w:p w14:paraId="27309DB8" w14:textId="77777777" w:rsidR="00837DA7" w:rsidRPr="00F119F4" w:rsidRDefault="00837DA7" w:rsidP="00353A9A">
            <w:pPr>
              <w:rPr>
                <w:rFonts w:ascii="Times New Roman" w:hAnsi="Times New Roman" w:cs="Times New Roman"/>
                <w:sz w:val="24"/>
                <w:szCs w:val="24"/>
              </w:rPr>
            </w:pPr>
            <w:r w:rsidRPr="0017336E">
              <w:rPr>
                <w:rFonts w:ascii="Times New Roman" w:hAnsi="Times New Roman" w:cs="Times New Roman"/>
                <w:sz w:val="24"/>
                <w:szCs w:val="24"/>
              </w:rPr>
              <w:t>LFHE (2009)</w:t>
            </w:r>
          </w:p>
        </w:tc>
        <w:tc>
          <w:tcPr>
            <w:tcW w:w="852" w:type="dxa"/>
          </w:tcPr>
          <w:p w14:paraId="0F1F6C52"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438B3C69" w14:textId="77777777" w:rsidR="00837DA7" w:rsidRPr="00F119F4" w:rsidRDefault="00837DA7" w:rsidP="00353A9A">
            <w:pPr>
              <w:rPr>
                <w:rFonts w:ascii="Times New Roman" w:hAnsi="Times New Roman" w:cs="Times New Roman"/>
                <w:sz w:val="24"/>
                <w:szCs w:val="24"/>
              </w:rPr>
            </w:pPr>
          </w:p>
        </w:tc>
      </w:tr>
      <w:tr w:rsidR="00837DA7" w:rsidRPr="00F119F4" w14:paraId="319A3AC1" w14:textId="77777777" w:rsidTr="00353A9A">
        <w:trPr>
          <w:gridAfter w:val="1"/>
          <w:wAfter w:w="8" w:type="dxa"/>
        </w:trPr>
        <w:tc>
          <w:tcPr>
            <w:tcW w:w="1556" w:type="dxa"/>
            <w:vMerge/>
            <w:tcBorders>
              <w:top w:val="single" w:sz="2" w:space="0" w:color="auto"/>
              <w:bottom w:val="single" w:sz="2" w:space="0" w:color="auto"/>
            </w:tcBorders>
          </w:tcPr>
          <w:p w14:paraId="4CB516AC"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5A33A271"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2.7.4 </w:t>
            </w:r>
            <w:r w:rsidRPr="00F119F4">
              <w:rPr>
                <w:rFonts w:ascii="Times New Roman" w:hAnsi="Times New Roman" w:cs="Times New Roman"/>
                <w:sz w:val="24"/>
                <w:szCs w:val="24"/>
              </w:rPr>
              <w:t>Post project evaluation</w:t>
            </w:r>
            <w:r>
              <w:rPr>
                <w:rFonts w:ascii="Times New Roman" w:hAnsi="Times New Roman" w:cs="Times New Roman"/>
                <w:sz w:val="24"/>
                <w:szCs w:val="24"/>
              </w:rPr>
              <w:t>.</w:t>
            </w:r>
            <w:r w:rsidRPr="00F119F4">
              <w:rPr>
                <w:rFonts w:ascii="Times New Roman" w:hAnsi="Times New Roman" w:cs="Times New Roman"/>
                <w:sz w:val="24"/>
                <w:szCs w:val="24"/>
              </w:rPr>
              <w:t xml:space="preserve"> </w:t>
            </w:r>
          </w:p>
        </w:tc>
        <w:tc>
          <w:tcPr>
            <w:tcW w:w="2408" w:type="dxa"/>
          </w:tcPr>
          <w:p w14:paraId="09EBC0B7" w14:textId="77777777" w:rsidR="00837DA7" w:rsidRPr="00F119F4" w:rsidRDefault="00837DA7" w:rsidP="00353A9A">
            <w:pPr>
              <w:rPr>
                <w:rFonts w:ascii="Times New Roman" w:hAnsi="Times New Roman" w:cs="Times New Roman"/>
                <w:sz w:val="24"/>
                <w:szCs w:val="24"/>
              </w:rPr>
            </w:pPr>
            <w:r w:rsidRPr="0017336E">
              <w:rPr>
                <w:rFonts w:ascii="Times New Roman" w:hAnsi="Times New Roman" w:cs="Times New Roman"/>
                <w:sz w:val="24"/>
                <w:szCs w:val="24"/>
              </w:rPr>
              <w:t>LFHE (2009)</w:t>
            </w:r>
          </w:p>
        </w:tc>
        <w:tc>
          <w:tcPr>
            <w:tcW w:w="852" w:type="dxa"/>
          </w:tcPr>
          <w:p w14:paraId="344CE308"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04AE6661" w14:textId="77777777" w:rsidR="00837DA7" w:rsidRPr="00F119F4" w:rsidRDefault="00837DA7" w:rsidP="00353A9A">
            <w:pPr>
              <w:rPr>
                <w:rFonts w:ascii="Times New Roman" w:hAnsi="Times New Roman" w:cs="Times New Roman"/>
                <w:sz w:val="24"/>
                <w:szCs w:val="24"/>
              </w:rPr>
            </w:pPr>
          </w:p>
        </w:tc>
      </w:tr>
      <w:tr w:rsidR="00837DA7" w:rsidRPr="00F119F4" w14:paraId="1D682338" w14:textId="77777777" w:rsidTr="00353A9A">
        <w:trPr>
          <w:gridAfter w:val="1"/>
          <w:wAfter w:w="8" w:type="dxa"/>
        </w:trPr>
        <w:tc>
          <w:tcPr>
            <w:tcW w:w="1556" w:type="dxa"/>
            <w:vMerge/>
            <w:tcBorders>
              <w:top w:val="single" w:sz="2" w:space="0" w:color="auto"/>
              <w:bottom w:val="single" w:sz="2" w:space="0" w:color="auto"/>
            </w:tcBorders>
          </w:tcPr>
          <w:p w14:paraId="04CCDBB4"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421536D9"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2.7.5 </w:t>
            </w:r>
            <w:r w:rsidRPr="00F119F4">
              <w:rPr>
                <w:rFonts w:ascii="Times New Roman" w:hAnsi="Times New Roman" w:cs="Times New Roman"/>
                <w:sz w:val="24"/>
                <w:szCs w:val="24"/>
              </w:rPr>
              <w:t xml:space="preserve">Academic research misconduct: </w:t>
            </w:r>
            <w:r>
              <w:rPr>
                <w:rFonts w:ascii="Times New Roman" w:hAnsi="Times New Roman" w:cs="Times New Roman"/>
                <w:sz w:val="24"/>
                <w:szCs w:val="24"/>
              </w:rPr>
              <w:t>a</w:t>
            </w:r>
            <w:r w:rsidRPr="00F119F4">
              <w:rPr>
                <w:rFonts w:ascii="Times New Roman" w:hAnsi="Times New Roman" w:cs="Times New Roman"/>
                <w:sz w:val="24"/>
                <w:szCs w:val="24"/>
              </w:rPr>
              <w:t>cademic dishonesty</w:t>
            </w:r>
            <w:r>
              <w:rPr>
                <w:rFonts w:ascii="Times New Roman" w:hAnsi="Times New Roman" w:cs="Times New Roman"/>
                <w:sz w:val="24"/>
                <w:szCs w:val="24"/>
              </w:rPr>
              <w:t>.</w:t>
            </w:r>
          </w:p>
        </w:tc>
        <w:tc>
          <w:tcPr>
            <w:tcW w:w="2408" w:type="dxa"/>
          </w:tcPr>
          <w:p w14:paraId="42E5EDFC" w14:textId="77777777" w:rsidR="00837DA7" w:rsidRPr="00F119F4" w:rsidRDefault="00837DA7" w:rsidP="00353A9A">
            <w:pPr>
              <w:rPr>
                <w:rFonts w:ascii="Times New Roman" w:hAnsi="Times New Roman" w:cs="Times New Roman"/>
                <w:sz w:val="24"/>
                <w:szCs w:val="24"/>
              </w:rPr>
            </w:pPr>
            <w:r w:rsidRPr="0017336E">
              <w:rPr>
                <w:rFonts w:ascii="Times New Roman" w:hAnsi="Times New Roman" w:cs="Times New Roman"/>
                <w:sz w:val="24"/>
                <w:szCs w:val="24"/>
              </w:rPr>
              <w:t>LFHE (2009)</w:t>
            </w:r>
            <w:r>
              <w:rPr>
                <w:rFonts w:ascii="Times New Roman" w:hAnsi="Times New Roman" w:cs="Times New Roman"/>
                <w:sz w:val="24"/>
                <w:szCs w:val="24"/>
              </w:rPr>
              <w:t>; HECFE (2001a, 2005)</w:t>
            </w:r>
          </w:p>
        </w:tc>
        <w:tc>
          <w:tcPr>
            <w:tcW w:w="852" w:type="dxa"/>
          </w:tcPr>
          <w:p w14:paraId="09E7BD82"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1A5DD95A" w14:textId="77777777" w:rsidR="00837DA7" w:rsidRPr="00F119F4" w:rsidRDefault="00837DA7" w:rsidP="00353A9A">
            <w:pPr>
              <w:rPr>
                <w:rFonts w:ascii="Times New Roman" w:hAnsi="Times New Roman" w:cs="Times New Roman"/>
                <w:sz w:val="24"/>
                <w:szCs w:val="24"/>
              </w:rPr>
            </w:pPr>
          </w:p>
        </w:tc>
      </w:tr>
      <w:tr w:rsidR="00837DA7" w:rsidRPr="00F119F4" w14:paraId="1A8C477B" w14:textId="77777777" w:rsidTr="00353A9A">
        <w:trPr>
          <w:gridAfter w:val="1"/>
          <w:wAfter w:w="8" w:type="dxa"/>
        </w:trPr>
        <w:tc>
          <w:tcPr>
            <w:tcW w:w="1556" w:type="dxa"/>
            <w:vMerge/>
            <w:tcBorders>
              <w:top w:val="single" w:sz="2" w:space="0" w:color="auto"/>
              <w:bottom w:val="single" w:sz="2" w:space="0" w:color="auto"/>
            </w:tcBorders>
          </w:tcPr>
          <w:p w14:paraId="3F1BE6CC"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2C71F694"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2.7.6 </w:t>
            </w:r>
            <w:r w:rsidRPr="00F119F4">
              <w:rPr>
                <w:rFonts w:ascii="Times New Roman" w:hAnsi="Times New Roman" w:cs="Times New Roman"/>
                <w:sz w:val="24"/>
                <w:szCs w:val="24"/>
              </w:rPr>
              <w:t>Academic research misconduct: unethical research</w:t>
            </w:r>
            <w:r>
              <w:rPr>
                <w:rFonts w:ascii="Times New Roman" w:hAnsi="Times New Roman" w:cs="Times New Roman"/>
                <w:sz w:val="24"/>
                <w:szCs w:val="24"/>
              </w:rPr>
              <w:t>.</w:t>
            </w:r>
          </w:p>
        </w:tc>
        <w:tc>
          <w:tcPr>
            <w:tcW w:w="2408" w:type="dxa"/>
          </w:tcPr>
          <w:p w14:paraId="2B0D56C5" w14:textId="77777777" w:rsidR="00837DA7" w:rsidRPr="00F119F4" w:rsidRDefault="00837DA7" w:rsidP="00353A9A">
            <w:pPr>
              <w:rPr>
                <w:rFonts w:ascii="Times New Roman" w:hAnsi="Times New Roman" w:cs="Times New Roman"/>
                <w:sz w:val="24"/>
                <w:szCs w:val="24"/>
              </w:rPr>
            </w:pPr>
            <w:r w:rsidRPr="0017336E">
              <w:rPr>
                <w:rFonts w:ascii="Times New Roman" w:hAnsi="Times New Roman" w:cs="Times New Roman"/>
                <w:sz w:val="24"/>
                <w:szCs w:val="24"/>
              </w:rPr>
              <w:t>LFHE (2009)</w:t>
            </w:r>
            <w:r>
              <w:rPr>
                <w:rFonts w:ascii="Times New Roman" w:hAnsi="Times New Roman" w:cs="Times New Roman"/>
                <w:sz w:val="24"/>
                <w:szCs w:val="24"/>
              </w:rPr>
              <w:t>; HECFE (2001a, 2005)</w:t>
            </w:r>
          </w:p>
        </w:tc>
        <w:tc>
          <w:tcPr>
            <w:tcW w:w="852" w:type="dxa"/>
          </w:tcPr>
          <w:p w14:paraId="39C69696"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128BDC3A" w14:textId="77777777" w:rsidR="00837DA7" w:rsidRPr="00F119F4" w:rsidRDefault="00837DA7" w:rsidP="00353A9A">
            <w:pPr>
              <w:rPr>
                <w:rFonts w:ascii="Times New Roman" w:hAnsi="Times New Roman" w:cs="Times New Roman"/>
                <w:sz w:val="24"/>
                <w:szCs w:val="24"/>
              </w:rPr>
            </w:pPr>
          </w:p>
        </w:tc>
      </w:tr>
      <w:tr w:rsidR="00837DA7" w:rsidRPr="00F119F4" w14:paraId="5E2A45CC" w14:textId="77777777" w:rsidTr="00353A9A">
        <w:tc>
          <w:tcPr>
            <w:tcW w:w="1556" w:type="dxa"/>
            <w:vMerge/>
            <w:tcBorders>
              <w:top w:val="single" w:sz="2" w:space="0" w:color="auto"/>
              <w:bottom w:val="single" w:sz="2" w:space="0" w:color="auto"/>
            </w:tcBorders>
          </w:tcPr>
          <w:p w14:paraId="129F0C2F"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9493" w:type="dxa"/>
            <w:gridSpan w:val="6"/>
          </w:tcPr>
          <w:p w14:paraId="7AA31A06" w14:textId="77777777" w:rsidR="00837DA7" w:rsidRDefault="00837DA7" w:rsidP="00353A9A">
            <w:pPr>
              <w:rPr>
                <w:rFonts w:ascii="Times New Roman" w:hAnsi="Times New Roman" w:cs="Times New Roman"/>
                <w:b/>
                <w:bCs/>
                <w:i/>
                <w:iCs/>
                <w:sz w:val="24"/>
                <w:szCs w:val="24"/>
              </w:rPr>
            </w:pPr>
            <w:r>
              <w:rPr>
                <w:rFonts w:ascii="Times New Roman" w:hAnsi="Times New Roman" w:cs="Times New Roman"/>
                <w:b/>
                <w:bCs/>
                <w:i/>
                <w:iCs/>
                <w:sz w:val="24"/>
                <w:szCs w:val="24"/>
              </w:rPr>
              <w:t xml:space="preserve">2.8 </w:t>
            </w:r>
            <w:r w:rsidRPr="00A62313">
              <w:rPr>
                <w:rFonts w:ascii="Times New Roman" w:hAnsi="Times New Roman" w:cs="Times New Roman"/>
                <w:b/>
                <w:bCs/>
                <w:i/>
                <w:iCs/>
                <w:sz w:val="24"/>
                <w:szCs w:val="24"/>
              </w:rPr>
              <w:t xml:space="preserve">Legal </w:t>
            </w:r>
            <w:r>
              <w:rPr>
                <w:rFonts w:ascii="Times New Roman" w:hAnsi="Times New Roman" w:cs="Times New Roman"/>
                <w:b/>
                <w:bCs/>
                <w:i/>
                <w:iCs/>
                <w:sz w:val="24"/>
                <w:szCs w:val="24"/>
              </w:rPr>
              <w:t>r</w:t>
            </w:r>
            <w:r w:rsidRPr="00A62313">
              <w:rPr>
                <w:rFonts w:ascii="Times New Roman" w:hAnsi="Times New Roman" w:cs="Times New Roman"/>
                <w:b/>
                <w:bCs/>
                <w:i/>
                <w:iCs/>
                <w:sz w:val="24"/>
                <w:szCs w:val="24"/>
              </w:rPr>
              <w:t>isks</w:t>
            </w:r>
          </w:p>
        </w:tc>
      </w:tr>
      <w:tr w:rsidR="00837DA7" w:rsidRPr="00F119F4" w14:paraId="54FB666B" w14:textId="77777777" w:rsidTr="00353A9A">
        <w:trPr>
          <w:gridAfter w:val="1"/>
          <w:wAfter w:w="8" w:type="dxa"/>
        </w:trPr>
        <w:tc>
          <w:tcPr>
            <w:tcW w:w="1556" w:type="dxa"/>
            <w:vMerge/>
            <w:tcBorders>
              <w:top w:val="single" w:sz="2" w:space="0" w:color="auto"/>
              <w:bottom w:val="single" w:sz="2" w:space="0" w:color="auto"/>
            </w:tcBorders>
          </w:tcPr>
          <w:p w14:paraId="16C4996D"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0F3E96CF"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2.8.1 </w:t>
            </w:r>
            <w:r w:rsidRPr="00F119F4">
              <w:rPr>
                <w:rFonts w:ascii="Times New Roman" w:hAnsi="Times New Roman" w:cs="Times New Roman"/>
                <w:sz w:val="24"/>
                <w:szCs w:val="24"/>
              </w:rPr>
              <w:t>‘for Profit’ activities</w:t>
            </w:r>
            <w:r>
              <w:rPr>
                <w:rFonts w:ascii="Times New Roman" w:hAnsi="Times New Roman" w:cs="Times New Roman"/>
                <w:sz w:val="24"/>
                <w:szCs w:val="24"/>
              </w:rPr>
              <w:t>.</w:t>
            </w:r>
            <w:r w:rsidRPr="00F119F4">
              <w:rPr>
                <w:rFonts w:ascii="Times New Roman" w:hAnsi="Times New Roman" w:cs="Times New Roman"/>
                <w:sz w:val="24"/>
                <w:szCs w:val="24"/>
              </w:rPr>
              <w:t xml:space="preserve"> </w:t>
            </w:r>
          </w:p>
        </w:tc>
        <w:tc>
          <w:tcPr>
            <w:tcW w:w="2408" w:type="dxa"/>
          </w:tcPr>
          <w:p w14:paraId="6F2C3D1E" w14:textId="77777777" w:rsidR="00837DA7" w:rsidRPr="00F119F4" w:rsidRDefault="00837DA7" w:rsidP="00353A9A">
            <w:pPr>
              <w:rPr>
                <w:rFonts w:ascii="Times New Roman" w:hAnsi="Times New Roman" w:cs="Times New Roman"/>
                <w:sz w:val="24"/>
                <w:szCs w:val="24"/>
              </w:rPr>
            </w:pPr>
            <w:r w:rsidRPr="007F6A4A">
              <w:rPr>
                <w:rFonts w:ascii="Times New Roman" w:hAnsi="Times New Roman" w:cs="Times New Roman"/>
                <w:sz w:val="24"/>
                <w:szCs w:val="24"/>
              </w:rPr>
              <w:t>LFHE (2009)</w:t>
            </w:r>
          </w:p>
        </w:tc>
        <w:tc>
          <w:tcPr>
            <w:tcW w:w="852" w:type="dxa"/>
          </w:tcPr>
          <w:p w14:paraId="0F319167"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val="restart"/>
            <w:vAlign w:val="center"/>
          </w:tcPr>
          <w:p w14:paraId="7BA3C64D" w14:textId="77777777" w:rsidR="00837DA7" w:rsidRPr="00F119F4" w:rsidRDefault="00837DA7" w:rsidP="00353A9A">
            <w:pPr>
              <w:jc w:val="center"/>
              <w:rPr>
                <w:rFonts w:ascii="Times New Roman" w:hAnsi="Times New Roman" w:cs="Times New Roman"/>
                <w:sz w:val="24"/>
                <w:szCs w:val="24"/>
              </w:rPr>
            </w:pPr>
            <w:r>
              <w:rPr>
                <w:rFonts w:ascii="Times New Roman" w:hAnsi="Times New Roman" w:cs="Times New Roman"/>
                <w:sz w:val="24"/>
                <w:szCs w:val="24"/>
              </w:rPr>
              <w:t>30</w:t>
            </w:r>
          </w:p>
        </w:tc>
      </w:tr>
      <w:tr w:rsidR="00837DA7" w:rsidRPr="00F119F4" w14:paraId="33FDF5D9" w14:textId="77777777" w:rsidTr="00353A9A">
        <w:trPr>
          <w:gridAfter w:val="1"/>
          <w:wAfter w:w="8" w:type="dxa"/>
        </w:trPr>
        <w:tc>
          <w:tcPr>
            <w:tcW w:w="1556" w:type="dxa"/>
            <w:vMerge/>
            <w:tcBorders>
              <w:top w:val="single" w:sz="2" w:space="0" w:color="auto"/>
              <w:bottom w:val="single" w:sz="2" w:space="0" w:color="auto"/>
            </w:tcBorders>
          </w:tcPr>
          <w:p w14:paraId="4B94E6D2"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2A67D8DD"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2.8.2 </w:t>
            </w:r>
            <w:r w:rsidRPr="00F119F4">
              <w:rPr>
                <w:rFonts w:ascii="Times New Roman" w:hAnsi="Times New Roman" w:cs="Times New Roman"/>
                <w:sz w:val="24"/>
                <w:szCs w:val="24"/>
              </w:rPr>
              <w:t xml:space="preserve">Autonomy of </w:t>
            </w:r>
            <w:r>
              <w:rPr>
                <w:rFonts w:ascii="Times New Roman" w:hAnsi="Times New Roman" w:cs="Times New Roman"/>
                <w:sz w:val="24"/>
                <w:szCs w:val="24"/>
              </w:rPr>
              <w:t>a</w:t>
            </w:r>
            <w:r w:rsidRPr="00F119F4">
              <w:rPr>
                <w:rFonts w:ascii="Times New Roman" w:hAnsi="Times New Roman" w:cs="Times New Roman"/>
                <w:sz w:val="24"/>
                <w:szCs w:val="24"/>
              </w:rPr>
              <w:t>cademic staff</w:t>
            </w:r>
            <w:r>
              <w:rPr>
                <w:rFonts w:ascii="Times New Roman" w:hAnsi="Times New Roman" w:cs="Times New Roman"/>
                <w:sz w:val="24"/>
                <w:szCs w:val="24"/>
              </w:rPr>
              <w:t>.</w:t>
            </w:r>
          </w:p>
        </w:tc>
        <w:tc>
          <w:tcPr>
            <w:tcW w:w="2408" w:type="dxa"/>
          </w:tcPr>
          <w:p w14:paraId="6CF75034" w14:textId="77777777" w:rsidR="00837DA7" w:rsidRPr="00F119F4" w:rsidRDefault="00837DA7" w:rsidP="00353A9A">
            <w:pPr>
              <w:rPr>
                <w:rFonts w:ascii="Times New Roman" w:hAnsi="Times New Roman" w:cs="Times New Roman"/>
                <w:sz w:val="24"/>
                <w:szCs w:val="24"/>
              </w:rPr>
            </w:pPr>
            <w:r w:rsidRPr="007F6A4A">
              <w:rPr>
                <w:rFonts w:ascii="Times New Roman" w:hAnsi="Times New Roman" w:cs="Times New Roman"/>
                <w:sz w:val="24"/>
                <w:szCs w:val="24"/>
              </w:rPr>
              <w:t>LFHE (2009)</w:t>
            </w:r>
          </w:p>
        </w:tc>
        <w:tc>
          <w:tcPr>
            <w:tcW w:w="852" w:type="dxa"/>
          </w:tcPr>
          <w:p w14:paraId="66CCC463"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58970093" w14:textId="77777777" w:rsidR="00837DA7" w:rsidRPr="00F119F4" w:rsidRDefault="00837DA7" w:rsidP="00353A9A">
            <w:pPr>
              <w:rPr>
                <w:rFonts w:ascii="Times New Roman" w:hAnsi="Times New Roman" w:cs="Times New Roman"/>
                <w:sz w:val="24"/>
                <w:szCs w:val="24"/>
              </w:rPr>
            </w:pPr>
          </w:p>
        </w:tc>
      </w:tr>
      <w:tr w:rsidR="00837DA7" w:rsidRPr="00F119F4" w14:paraId="2B20D1DA" w14:textId="77777777" w:rsidTr="00353A9A">
        <w:trPr>
          <w:gridAfter w:val="1"/>
          <w:wAfter w:w="8" w:type="dxa"/>
        </w:trPr>
        <w:tc>
          <w:tcPr>
            <w:tcW w:w="1556" w:type="dxa"/>
            <w:vMerge/>
            <w:tcBorders>
              <w:top w:val="single" w:sz="2" w:space="0" w:color="auto"/>
              <w:bottom w:val="single" w:sz="2" w:space="0" w:color="auto"/>
            </w:tcBorders>
          </w:tcPr>
          <w:p w14:paraId="30CD55A2"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505AEC7C"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2.8.3 </w:t>
            </w:r>
            <w:r w:rsidRPr="00F119F4">
              <w:rPr>
                <w:rFonts w:ascii="Times New Roman" w:hAnsi="Times New Roman" w:cs="Times New Roman"/>
                <w:sz w:val="24"/>
                <w:szCs w:val="24"/>
              </w:rPr>
              <w:t>Subsidiary companies</w:t>
            </w:r>
            <w:r>
              <w:rPr>
                <w:rFonts w:ascii="Times New Roman" w:hAnsi="Times New Roman" w:cs="Times New Roman"/>
                <w:sz w:val="24"/>
                <w:szCs w:val="24"/>
              </w:rPr>
              <w:t>.</w:t>
            </w:r>
          </w:p>
        </w:tc>
        <w:tc>
          <w:tcPr>
            <w:tcW w:w="2408" w:type="dxa"/>
          </w:tcPr>
          <w:p w14:paraId="4B2F3992" w14:textId="77777777" w:rsidR="00837DA7" w:rsidRPr="00F119F4" w:rsidRDefault="00837DA7" w:rsidP="00353A9A">
            <w:pPr>
              <w:rPr>
                <w:rFonts w:ascii="Times New Roman" w:hAnsi="Times New Roman" w:cs="Times New Roman"/>
                <w:sz w:val="24"/>
                <w:szCs w:val="24"/>
              </w:rPr>
            </w:pPr>
            <w:r w:rsidRPr="007F6A4A">
              <w:rPr>
                <w:rFonts w:ascii="Times New Roman" w:hAnsi="Times New Roman" w:cs="Times New Roman"/>
                <w:sz w:val="24"/>
                <w:szCs w:val="24"/>
              </w:rPr>
              <w:t>LFHE (2009)</w:t>
            </w:r>
          </w:p>
        </w:tc>
        <w:tc>
          <w:tcPr>
            <w:tcW w:w="852" w:type="dxa"/>
          </w:tcPr>
          <w:p w14:paraId="6DC07EC9"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0CCCE2AD" w14:textId="77777777" w:rsidR="00837DA7" w:rsidRPr="00F119F4" w:rsidRDefault="00837DA7" w:rsidP="00353A9A">
            <w:pPr>
              <w:rPr>
                <w:rFonts w:ascii="Times New Roman" w:hAnsi="Times New Roman" w:cs="Times New Roman"/>
                <w:sz w:val="24"/>
                <w:szCs w:val="24"/>
              </w:rPr>
            </w:pPr>
          </w:p>
        </w:tc>
      </w:tr>
      <w:tr w:rsidR="00837DA7" w:rsidRPr="00F119F4" w14:paraId="61FB5AD9" w14:textId="77777777" w:rsidTr="00353A9A">
        <w:trPr>
          <w:gridAfter w:val="1"/>
          <w:wAfter w:w="8" w:type="dxa"/>
        </w:trPr>
        <w:tc>
          <w:tcPr>
            <w:tcW w:w="1556" w:type="dxa"/>
            <w:vMerge/>
            <w:tcBorders>
              <w:top w:val="single" w:sz="2" w:space="0" w:color="auto"/>
              <w:bottom w:val="single" w:sz="2" w:space="0" w:color="auto"/>
            </w:tcBorders>
          </w:tcPr>
          <w:p w14:paraId="251F6B38"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416100B6"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2.8.4 </w:t>
            </w:r>
            <w:r w:rsidRPr="00F119F4">
              <w:rPr>
                <w:rFonts w:ascii="Times New Roman" w:hAnsi="Times New Roman" w:cs="Times New Roman"/>
                <w:sz w:val="24"/>
                <w:szCs w:val="24"/>
              </w:rPr>
              <w:t>Competition/proprietary/copyright</w:t>
            </w:r>
            <w:r>
              <w:rPr>
                <w:rFonts w:ascii="Times New Roman" w:hAnsi="Times New Roman" w:cs="Times New Roman"/>
                <w:sz w:val="24"/>
                <w:szCs w:val="24"/>
              </w:rPr>
              <w:t>.</w:t>
            </w:r>
          </w:p>
        </w:tc>
        <w:tc>
          <w:tcPr>
            <w:tcW w:w="2408" w:type="dxa"/>
          </w:tcPr>
          <w:p w14:paraId="416516E4" w14:textId="77777777" w:rsidR="00837DA7" w:rsidRPr="00F119F4" w:rsidRDefault="00837DA7" w:rsidP="00353A9A">
            <w:pPr>
              <w:rPr>
                <w:rFonts w:ascii="Times New Roman" w:hAnsi="Times New Roman" w:cs="Times New Roman"/>
                <w:sz w:val="24"/>
                <w:szCs w:val="24"/>
              </w:rPr>
            </w:pPr>
            <w:r w:rsidRPr="000E1023">
              <w:rPr>
                <w:rFonts w:ascii="Times New Roman" w:hAnsi="Times New Roman" w:cs="Times New Roman"/>
                <w:sz w:val="24"/>
                <w:szCs w:val="24"/>
              </w:rPr>
              <w:t>HEFCE (2001b)</w:t>
            </w:r>
          </w:p>
        </w:tc>
        <w:tc>
          <w:tcPr>
            <w:tcW w:w="852" w:type="dxa"/>
          </w:tcPr>
          <w:p w14:paraId="5E2BFB53"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58557877" w14:textId="77777777" w:rsidR="00837DA7" w:rsidRPr="00F119F4" w:rsidRDefault="00837DA7" w:rsidP="00353A9A">
            <w:pPr>
              <w:rPr>
                <w:rFonts w:ascii="Times New Roman" w:hAnsi="Times New Roman" w:cs="Times New Roman"/>
                <w:sz w:val="24"/>
                <w:szCs w:val="24"/>
              </w:rPr>
            </w:pPr>
          </w:p>
        </w:tc>
      </w:tr>
      <w:tr w:rsidR="00837DA7" w:rsidRPr="00F119F4" w14:paraId="574CBE36" w14:textId="77777777" w:rsidTr="00353A9A">
        <w:trPr>
          <w:gridAfter w:val="1"/>
          <w:wAfter w:w="8" w:type="dxa"/>
        </w:trPr>
        <w:tc>
          <w:tcPr>
            <w:tcW w:w="1556" w:type="dxa"/>
            <w:vMerge/>
            <w:tcBorders>
              <w:top w:val="single" w:sz="2" w:space="0" w:color="auto"/>
              <w:bottom w:val="single" w:sz="2" w:space="0" w:color="auto"/>
            </w:tcBorders>
          </w:tcPr>
          <w:p w14:paraId="02D92D13"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60A2D724"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2.8.5 </w:t>
            </w:r>
            <w:r w:rsidRPr="00F119F4">
              <w:rPr>
                <w:rFonts w:ascii="Times New Roman" w:hAnsi="Times New Roman" w:cs="Times New Roman"/>
                <w:sz w:val="24"/>
                <w:szCs w:val="24"/>
              </w:rPr>
              <w:t>Disclosure of Intellectual property</w:t>
            </w:r>
            <w:r>
              <w:rPr>
                <w:rFonts w:ascii="Times New Roman" w:hAnsi="Times New Roman" w:cs="Times New Roman"/>
                <w:sz w:val="24"/>
                <w:szCs w:val="24"/>
              </w:rPr>
              <w:t>.</w:t>
            </w:r>
          </w:p>
        </w:tc>
        <w:tc>
          <w:tcPr>
            <w:tcW w:w="2408" w:type="dxa"/>
          </w:tcPr>
          <w:p w14:paraId="6224647C" w14:textId="77777777" w:rsidR="00837DA7" w:rsidRPr="00F119F4" w:rsidRDefault="00837DA7" w:rsidP="00353A9A">
            <w:pPr>
              <w:rPr>
                <w:rFonts w:ascii="Times New Roman" w:hAnsi="Times New Roman" w:cs="Times New Roman"/>
                <w:sz w:val="24"/>
                <w:szCs w:val="24"/>
              </w:rPr>
            </w:pPr>
            <w:r w:rsidRPr="000E1023">
              <w:rPr>
                <w:rFonts w:ascii="Times New Roman" w:hAnsi="Times New Roman" w:cs="Times New Roman"/>
                <w:sz w:val="24"/>
                <w:szCs w:val="24"/>
              </w:rPr>
              <w:t>HEFCE (2001b)</w:t>
            </w:r>
          </w:p>
        </w:tc>
        <w:tc>
          <w:tcPr>
            <w:tcW w:w="852" w:type="dxa"/>
          </w:tcPr>
          <w:p w14:paraId="292FC2D0"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28517045" w14:textId="77777777" w:rsidR="00837DA7" w:rsidRPr="00F119F4" w:rsidRDefault="00837DA7" w:rsidP="00353A9A">
            <w:pPr>
              <w:rPr>
                <w:rFonts w:ascii="Times New Roman" w:hAnsi="Times New Roman" w:cs="Times New Roman"/>
                <w:sz w:val="24"/>
                <w:szCs w:val="24"/>
              </w:rPr>
            </w:pPr>
          </w:p>
        </w:tc>
      </w:tr>
      <w:tr w:rsidR="00837DA7" w:rsidRPr="00F119F4" w14:paraId="6295D240" w14:textId="77777777" w:rsidTr="00353A9A">
        <w:tc>
          <w:tcPr>
            <w:tcW w:w="1556" w:type="dxa"/>
            <w:vMerge/>
            <w:tcBorders>
              <w:top w:val="single" w:sz="2" w:space="0" w:color="auto"/>
              <w:bottom w:val="single" w:sz="2" w:space="0" w:color="auto"/>
            </w:tcBorders>
          </w:tcPr>
          <w:p w14:paraId="362A11D5"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9493" w:type="dxa"/>
            <w:gridSpan w:val="6"/>
          </w:tcPr>
          <w:p w14:paraId="06FAE7A8" w14:textId="77777777" w:rsidR="00837DA7" w:rsidRDefault="00837DA7" w:rsidP="00353A9A">
            <w:pPr>
              <w:rPr>
                <w:rFonts w:ascii="Times New Roman" w:hAnsi="Times New Roman" w:cs="Times New Roman"/>
                <w:b/>
                <w:bCs/>
                <w:i/>
                <w:iCs/>
                <w:sz w:val="24"/>
                <w:szCs w:val="24"/>
              </w:rPr>
            </w:pPr>
            <w:r>
              <w:rPr>
                <w:rFonts w:ascii="Times New Roman" w:hAnsi="Times New Roman" w:cs="Times New Roman"/>
                <w:b/>
                <w:bCs/>
                <w:i/>
                <w:iCs/>
                <w:sz w:val="24"/>
                <w:szCs w:val="24"/>
              </w:rPr>
              <w:t xml:space="preserve">2.9 </w:t>
            </w:r>
            <w:r w:rsidRPr="007A3C8D">
              <w:rPr>
                <w:rFonts w:ascii="Times New Roman" w:hAnsi="Times New Roman" w:cs="Times New Roman"/>
                <w:b/>
                <w:bCs/>
                <w:i/>
                <w:iCs/>
                <w:sz w:val="24"/>
                <w:szCs w:val="24"/>
              </w:rPr>
              <w:t xml:space="preserve">Reputational </w:t>
            </w:r>
            <w:r>
              <w:rPr>
                <w:rFonts w:ascii="Times New Roman" w:hAnsi="Times New Roman" w:cs="Times New Roman"/>
                <w:b/>
                <w:bCs/>
                <w:i/>
                <w:iCs/>
                <w:sz w:val="24"/>
                <w:szCs w:val="24"/>
              </w:rPr>
              <w:t>r</w:t>
            </w:r>
            <w:r w:rsidRPr="007A3C8D">
              <w:rPr>
                <w:rFonts w:ascii="Times New Roman" w:hAnsi="Times New Roman" w:cs="Times New Roman"/>
                <w:b/>
                <w:bCs/>
                <w:i/>
                <w:iCs/>
                <w:sz w:val="24"/>
                <w:szCs w:val="24"/>
              </w:rPr>
              <w:t>isks</w:t>
            </w:r>
          </w:p>
        </w:tc>
      </w:tr>
      <w:tr w:rsidR="00837DA7" w:rsidRPr="00F119F4" w14:paraId="762FE99F" w14:textId="77777777" w:rsidTr="00353A9A">
        <w:trPr>
          <w:gridAfter w:val="1"/>
          <w:wAfter w:w="8" w:type="dxa"/>
        </w:trPr>
        <w:tc>
          <w:tcPr>
            <w:tcW w:w="1556" w:type="dxa"/>
            <w:vMerge/>
            <w:tcBorders>
              <w:top w:val="single" w:sz="2" w:space="0" w:color="auto"/>
              <w:bottom w:val="single" w:sz="2" w:space="0" w:color="auto"/>
            </w:tcBorders>
          </w:tcPr>
          <w:p w14:paraId="28AFC043"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796F8A1A"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2.9.1 </w:t>
            </w:r>
            <w:r w:rsidRPr="00F119F4">
              <w:rPr>
                <w:rFonts w:ascii="Times New Roman" w:hAnsi="Times New Roman" w:cs="Times New Roman"/>
                <w:sz w:val="24"/>
                <w:szCs w:val="24"/>
              </w:rPr>
              <w:t>Reputation/goodwill/image/brand name</w:t>
            </w:r>
            <w:r>
              <w:rPr>
                <w:rFonts w:ascii="Times New Roman" w:hAnsi="Times New Roman" w:cs="Times New Roman"/>
                <w:sz w:val="24"/>
                <w:szCs w:val="24"/>
              </w:rPr>
              <w:t>.</w:t>
            </w:r>
          </w:p>
        </w:tc>
        <w:tc>
          <w:tcPr>
            <w:tcW w:w="2408" w:type="dxa"/>
          </w:tcPr>
          <w:p w14:paraId="4711F763" w14:textId="77777777" w:rsidR="00837DA7" w:rsidRPr="00F119F4" w:rsidRDefault="00837DA7" w:rsidP="00353A9A">
            <w:pPr>
              <w:rPr>
                <w:rFonts w:ascii="Times New Roman" w:hAnsi="Times New Roman" w:cs="Times New Roman"/>
                <w:sz w:val="24"/>
                <w:szCs w:val="24"/>
              </w:rPr>
            </w:pPr>
            <w:r w:rsidRPr="000E1023">
              <w:rPr>
                <w:rFonts w:ascii="Times New Roman" w:hAnsi="Times New Roman" w:cs="Times New Roman"/>
                <w:sz w:val="24"/>
                <w:szCs w:val="24"/>
              </w:rPr>
              <w:t>HEFCE (2001b)</w:t>
            </w:r>
          </w:p>
        </w:tc>
        <w:tc>
          <w:tcPr>
            <w:tcW w:w="852" w:type="dxa"/>
          </w:tcPr>
          <w:p w14:paraId="174C7931"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val="restart"/>
            <w:vAlign w:val="center"/>
          </w:tcPr>
          <w:p w14:paraId="6BD219AD" w14:textId="77777777" w:rsidR="00837DA7" w:rsidRPr="00F119F4" w:rsidRDefault="00837DA7" w:rsidP="00353A9A">
            <w:pPr>
              <w:jc w:val="center"/>
              <w:rPr>
                <w:rFonts w:ascii="Times New Roman" w:hAnsi="Times New Roman" w:cs="Times New Roman"/>
                <w:sz w:val="24"/>
                <w:szCs w:val="24"/>
              </w:rPr>
            </w:pPr>
            <w:r>
              <w:rPr>
                <w:rFonts w:ascii="Times New Roman" w:hAnsi="Times New Roman" w:cs="Times New Roman"/>
                <w:sz w:val="24"/>
                <w:szCs w:val="24"/>
              </w:rPr>
              <w:t>96</w:t>
            </w:r>
          </w:p>
        </w:tc>
      </w:tr>
      <w:tr w:rsidR="00837DA7" w:rsidRPr="00F119F4" w14:paraId="37893397" w14:textId="77777777" w:rsidTr="00353A9A">
        <w:trPr>
          <w:gridAfter w:val="1"/>
          <w:wAfter w:w="8" w:type="dxa"/>
        </w:trPr>
        <w:tc>
          <w:tcPr>
            <w:tcW w:w="1556" w:type="dxa"/>
            <w:vMerge/>
            <w:tcBorders>
              <w:top w:val="single" w:sz="2" w:space="0" w:color="auto"/>
              <w:bottom w:val="single" w:sz="2" w:space="0" w:color="auto"/>
            </w:tcBorders>
          </w:tcPr>
          <w:p w14:paraId="272268A2"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6E14C9AB" w14:textId="77777777" w:rsidR="00837DA7" w:rsidRPr="00F119F4" w:rsidRDefault="00837DA7" w:rsidP="00353A9A">
            <w:pPr>
              <w:autoSpaceDE w:val="0"/>
              <w:autoSpaceDN w:val="0"/>
              <w:adjustRightInd w:val="0"/>
              <w:rPr>
                <w:rFonts w:ascii="Times New Roman" w:hAnsi="Times New Roman" w:cs="Times New Roman"/>
                <w:sz w:val="24"/>
                <w:szCs w:val="24"/>
                <w:highlight w:val="yellow"/>
              </w:rPr>
            </w:pPr>
            <w:r>
              <w:rPr>
                <w:rFonts w:ascii="Times New Roman" w:hAnsi="Times New Roman" w:cs="Times New Roman"/>
                <w:sz w:val="24"/>
                <w:szCs w:val="24"/>
              </w:rPr>
              <w:t xml:space="preserve">2.9.2 </w:t>
            </w:r>
            <w:r w:rsidRPr="00F119F4">
              <w:rPr>
                <w:rFonts w:ascii="Times New Roman" w:hAnsi="Times New Roman" w:cs="Times New Roman"/>
                <w:sz w:val="24"/>
                <w:szCs w:val="24"/>
              </w:rPr>
              <w:t>Consideration to student feedback/ national student survey</w:t>
            </w:r>
            <w:r>
              <w:rPr>
                <w:rFonts w:ascii="Times New Roman" w:hAnsi="Times New Roman" w:cs="Times New Roman"/>
                <w:sz w:val="24"/>
                <w:szCs w:val="24"/>
              </w:rPr>
              <w:t>.</w:t>
            </w:r>
          </w:p>
        </w:tc>
        <w:tc>
          <w:tcPr>
            <w:tcW w:w="2408" w:type="dxa"/>
          </w:tcPr>
          <w:p w14:paraId="2E899584" w14:textId="77777777" w:rsidR="00837DA7" w:rsidRPr="00F119F4" w:rsidRDefault="00837DA7" w:rsidP="00353A9A">
            <w:pPr>
              <w:rPr>
                <w:rFonts w:ascii="Times New Roman" w:hAnsi="Times New Roman" w:cs="Times New Roman"/>
                <w:sz w:val="24"/>
                <w:szCs w:val="24"/>
              </w:rPr>
            </w:pPr>
            <w:r w:rsidRPr="000E1023">
              <w:rPr>
                <w:rFonts w:ascii="Times New Roman" w:hAnsi="Times New Roman" w:cs="Times New Roman"/>
                <w:sz w:val="24"/>
                <w:szCs w:val="24"/>
              </w:rPr>
              <w:t>HEFCE (2001b)</w:t>
            </w:r>
          </w:p>
        </w:tc>
        <w:tc>
          <w:tcPr>
            <w:tcW w:w="852" w:type="dxa"/>
          </w:tcPr>
          <w:p w14:paraId="6F39AE1C"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12D95B1D" w14:textId="77777777" w:rsidR="00837DA7" w:rsidRPr="00F119F4" w:rsidRDefault="00837DA7" w:rsidP="00353A9A">
            <w:pPr>
              <w:rPr>
                <w:rFonts w:ascii="Times New Roman" w:hAnsi="Times New Roman" w:cs="Times New Roman"/>
                <w:sz w:val="24"/>
                <w:szCs w:val="24"/>
              </w:rPr>
            </w:pPr>
          </w:p>
        </w:tc>
      </w:tr>
      <w:tr w:rsidR="00837DA7" w:rsidRPr="00F119F4" w14:paraId="1D4E4E34" w14:textId="77777777" w:rsidTr="00353A9A">
        <w:trPr>
          <w:gridAfter w:val="1"/>
          <w:wAfter w:w="8" w:type="dxa"/>
        </w:trPr>
        <w:tc>
          <w:tcPr>
            <w:tcW w:w="1556" w:type="dxa"/>
            <w:vMerge/>
            <w:tcBorders>
              <w:top w:val="single" w:sz="2" w:space="0" w:color="auto"/>
              <w:bottom w:val="single" w:sz="2" w:space="0" w:color="auto"/>
            </w:tcBorders>
          </w:tcPr>
          <w:p w14:paraId="258CE958"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29E0A55E"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2.9.3 </w:t>
            </w:r>
            <w:r w:rsidRPr="00F119F4">
              <w:rPr>
                <w:rFonts w:ascii="Times New Roman" w:hAnsi="Times New Roman" w:cs="Times New Roman"/>
                <w:sz w:val="24"/>
                <w:szCs w:val="24"/>
              </w:rPr>
              <w:t>Link with unions</w:t>
            </w:r>
            <w:r>
              <w:rPr>
                <w:rFonts w:ascii="Times New Roman" w:hAnsi="Times New Roman" w:cs="Times New Roman"/>
                <w:sz w:val="24"/>
                <w:szCs w:val="24"/>
              </w:rPr>
              <w:t>.</w:t>
            </w:r>
          </w:p>
        </w:tc>
        <w:tc>
          <w:tcPr>
            <w:tcW w:w="2408" w:type="dxa"/>
          </w:tcPr>
          <w:p w14:paraId="2A34DD2B" w14:textId="77777777" w:rsidR="00837DA7" w:rsidRPr="00F119F4" w:rsidRDefault="00837DA7" w:rsidP="00353A9A">
            <w:pPr>
              <w:rPr>
                <w:rFonts w:ascii="Times New Roman" w:hAnsi="Times New Roman" w:cs="Times New Roman"/>
                <w:sz w:val="24"/>
                <w:szCs w:val="24"/>
              </w:rPr>
            </w:pPr>
            <w:r w:rsidRPr="007D56D6">
              <w:rPr>
                <w:rFonts w:ascii="Times New Roman" w:hAnsi="Times New Roman" w:cs="Times New Roman"/>
                <w:sz w:val="24"/>
                <w:szCs w:val="24"/>
              </w:rPr>
              <w:t>HEFCE (2001b)</w:t>
            </w:r>
          </w:p>
        </w:tc>
        <w:tc>
          <w:tcPr>
            <w:tcW w:w="852" w:type="dxa"/>
          </w:tcPr>
          <w:p w14:paraId="4915822D"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592FE418" w14:textId="77777777" w:rsidR="00837DA7" w:rsidRPr="00F119F4" w:rsidRDefault="00837DA7" w:rsidP="00353A9A">
            <w:pPr>
              <w:rPr>
                <w:rFonts w:ascii="Times New Roman" w:hAnsi="Times New Roman" w:cs="Times New Roman"/>
                <w:sz w:val="24"/>
                <w:szCs w:val="24"/>
              </w:rPr>
            </w:pPr>
          </w:p>
        </w:tc>
      </w:tr>
      <w:tr w:rsidR="00837DA7" w:rsidRPr="00F119F4" w14:paraId="4BCE2443" w14:textId="77777777" w:rsidTr="00353A9A">
        <w:trPr>
          <w:gridAfter w:val="1"/>
          <w:wAfter w:w="8" w:type="dxa"/>
        </w:trPr>
        <w:tc>
          <w:tcPr>
            <w:tcW w:w="1556" w:type="dxa"/>
            <w:vMerge/>
            <w:tcBorders>
              <w:top w:val="single" w:sz="2" w:space="0" w:color="auto"/>
              <w:bottom w:val="single" w:sz="2" w:space="0" w:color="auto"/>
            </w:tcBorders>
          </w:tcPr>
          <w:p w14:paraId="601AE06E"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0220B701"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2.9.4 </w:t>
            </w:r>
            <w:r w:rsidRPr="00F119F4">
              <w:rPr>
                <w:rFonts w:ascii="Times New Roman" w:hAnsi="Times New Roman" w:cs="Times New Roman"/>
                <w:sz w:val="24"/>
                <w:szCs w:val="24"/>
              </w:rPr>
              <w:t>Links with overseas institutions</w:t>
            </w:r>
            <w:r>
              <w:rPr>
                <w:rFonts w:ascii="Times New Roman" w:hAnsi="Times New Roman" w:cs="Times New Roman"/>
                <w:sz w:val="24"/>
                <w:szCs w:val="24"/>
              </w:rPr>
              <w:t>.</w:t>
            </w:r>
            <w:r w:rsidRPr="00F119F4">
              <w:rPr>
                <w:rFonts w:ascii="Times New Roman" w:hAnsi="Times New Roman" w:cs="Times New Roman"/>
                <w:sz w:val="24"/>
                <w:szCs w:val="24"/>
              </w:rPr>
              <w:t xml:space="preserve"> </w:t>
            </w:r>
          </w:p>
        </w:tc>
        <w:tc>
          <w:tcPr>
            <w:tcW w:w="2408" w:type="dxa"/>
          </w:tcPr>
          <w:p w14:paraId="3C194913" w14:textId="77777777" w:rsidR="00837DA7" w:rsidRPr="00F119F4" w:rsidRDefault="00837DA7" w:rsidP="00353A9A">
            <w:pPr>
              <w:rPr>
                <w:rFonts w:ascii="Times New Roman" w:hAnsi="Times New Roman" w:cs="Times New Roman"/>
                <w:sz w:val="24"/>
                <w:szCs w:val="24"/>
              </w:rPr>
            </w:pPr>
            <w:r w:rsidRPr="007D56D6">
              <w:rPr>
                <w:rFonts w:ascii="Times New Roman" w:hAnsi="Times New Roman" w:cs="Times New Roman"/>
                <w:sz w:val="24"/>
                <w:szCs w:val="24"/>
              </w:rPr>
              <w:t>HEFCE (2001b)</w:t>
            </w:r>
          </w:p>
        </w:tc>
        <w:tc>
          <w:tcPr>
            <w:tcW w:w="852" w:type="dxa"/>
          </w:tcPr>
          <w:p w14:paraId="31154216"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17950ADB" w14:textId="77777777" w:rsidR="00837DA7" w:rsidRPr="00F119F4" w:rsidRDefault="00837DA7" w:rsidP="00353A9A">
            <w:pPr>
              <w:rPr>
                <w:rFonts w:ascii="Times New Roman" w:hAnsi="Times New Roman" w:cs="Times New Roman"/>
                <w:sz w:val="24"/>
                <w:szCs w:val="24"/>
              </w:rPr>
            </w:pPr>
          </w:p>
        </w:tc>
      </w:tr>
      <w:tr w:rsidR="00837DA7" w:rsidRPr="00F119F4" w14:paraId="3C5F2227" w14:textId="77777777" w:rsidTr="00353A9A">
        <w:trPr>
          <w:gridAfter w:val="1"/>
          <w:wAfter w:w="8" w:type="dxa"/>
        </w:trPr>
        <w:tc>
          <w:tcPr>
            <w:tcW w:w="1556" w:type="dxa"/>
            <w:vMerge/>
            <w:tcBorders>
              <w:top w:val="single" w:sz="2" w:space="0" w:color="auto"/>
              <w:bottom w:val="single" w:sz="2" w:space="0" w:color="auto"/>
            </w:tcBorders>
          </w:tcPr>
          <w:p w14:paraId="3E51FABA"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6A0C89FC"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2.9.5 </w:t>
            </w:r>
            <w:r w:rsidRPr="00F119F4">
              <w:rPr>
                <w:rFonts w:ascii="Times New Roman" w:hAnsi="Times New Roman" w:cs="Times New Roman"/>
                <w:sz w:val="24"/>
                <w:szCs w:val="24"/>
              </w:rPr>
              <w:t xml:space="preserve">Research </w:t>
            </w:r>
            <w:r>
              <w:rPr>
                <w:rFonts w:ascii="Times New Roman" w:hAnsi="Times New Roman" w:cs="Times New Roman"/>
                <w:sz w:val="24"/>
                <w:szCs w:val="24"/>
              </w:rPr>
              <w:t>o</w:t>
            </w:r>
            <w:r w:rsidRPr="00F119F4">
              <w:rPr>
                <w:rFonts w:ascii="Times New Roman" w:hAnsi="Times New Roman" w:cs="Times New Roman"/>
                <w:sz w:val="24"/>
                <w:szCs w:val="24"/>
              </w:rPr>
              <w:t>utput</w:t>
            </w:r>
            <w:r>
              <w:rPr>
                <w:rFonts w:ascii="Times New Roman" w:hAnsi="Times New Roman" w:cs="Times New Roman"/>
                <w:sz w:val="24"/>
                <w:szCs w:val="24"/>
              </w:rPr>
              <w:t>.</w:t>
            </w:r>
          </w:p>
        </w:tc>
        <w:tc>
          <w:tcPr>
            <w:tcW w:w="2408" w:type="dxa"/>
          </w:tcPr>
          <w:p w14:paraId="7E166F45" w14:textId="77777777" w:rsidR="00837DA7" w:rsidRPr="00F119F4" w:rsidRDefault="00837DA7" w:rsidP="00353A9A">
            <w:pPr>
              <w:rPr>
                <w:rFonts w:ascii="Times New Roman" w:hAnsi="Times New Roman" w:cs="Times New Roman"/>
                <w:sz w:val="24"/>
                <w:szCs w:val="24"/>
              </w:rPr>
            </w:pPr>
            <w:r w:rsidRPr="007D56D6">
              <w:rPr>
                <w:rFonts w:ascii="Times New Roman" w:hAnsi="Times New Roman" w:cs="Times New Roman"/>
                <w:sz w:val="24"/>
                <w:szCs w:val="24"/>
              </w:rPr>
              <w:t>HEFCE (2001b)</w:t>
            </w:r>
          </w:p>
        </w:tc>
        <w:tc>
          <w:tcPr>
            <w:tcW w:w="852" w:type="dxa"/>
          </w:tcPr>
          <w:p w14:paraId="3DB7AB65"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4A3708F3" w14:textId="77777777" w:rsidR="00837DA7" w:rsidRPr="00F119F4" w:rsidRDefault="00837DA7" w:rsidP="00353A9A">
            <w:pPr>
              <w:rPr>
                <w:rFonts w:ascii="Times New Roman" w:hAnsi="Times New Roman" w:cs="Times New Roman"/>
                <w:sz w:val="24"/>
                <w:szCs w:val="24"/>
              </w:rPr>
            </w:pPr>
          </w:p>
        </w:tc>
      </w:tr>
      <w:tr w:rsidR="00837DA7" w:rsidRPr="00F119F4" w14:paraId="46CAA260" w14:textId="77777777" w:rsidTr="00353A9A">
        <w:trPr>
          <w:gridAfter w:val="1"/>
          <w:wAfter w:w="8" w:type="dxa"/>
        </w:trPr>
        <w:tc>
          <w:tcPr>
            <w:tcW w:w="1556" w:type="dxa"/>
            <w:vMerge/>
            <w:tcBorders>
              <w:top w:val="single" w:sz="2" w:space="0" w:color="auto"/>
              <w:bottom w:val="single" w:sz="2" w:space="0" w:color="auto"/>
            </w:tcBorders>
          </w:tcPr>
          <w:p w14:paraId="28ADFDC6"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35ED52F9"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2.9.6 </w:t>
            </w:r>
            <w:r w:rsidRPr="00F119F4">
              <w:rPr>
                <w:rFonts w:ascii="Times New Roman" w:hAnsi="Times New Roman" w:cs="Times New Roman"/>
                <w:sz w:val="24"/>
                <w:szCs w:val="24"/>
              </w:rPr>
              <w:t>Research Assessment Exercise</w:t>
            </w:r>
            <w:r>
              <w:rPr>
                <w:rFonts w:ascii="Times New Roman" w:hAnsi="Times New Roman" w:cs="Times New Roman"/>
                <w:sz w:val="24"/>
                <w:szCs w:val="24"/>
              </w:rPr>
              <w:t>.</w:t>
            </w:r>
          </w:p>
        </w:tc>
        <w:tc>
          <w:tcPr>
            <w:tcW w:w="2408" w:type="dxa"/>
          </w:tcPr>
          <w:p w14:paraId="6C94DD37" w14:textId="77777777" w:rsidR="00837DA7" w:rsidRPr="00F119F4" w:rsidRDefault="00837DA7" w:rsidP="00353A9A">
            <w:pPr>
              <w:rPr>
                <w:rFonts w:ascii="Times New Roman" w:hAnsi="Times New Roman" w:cs="Times New Roman"/>
                <w:sz w:val="24"/>
                <w:szCs w:val="24"/>
              </w:rPr>
            </w:pPr>
            <w:r w:rsidRPr="007D56D6">
              <w:rPr>
                <w:rFonts w:ascii="Times New Roman" w:hAnsi="Times New Roman" w:cs="Times New Roman"/>
                <w:sz w:val="24"/>
                <w:szCs w:val="24"/>
              </w:rPr>
              <w:t>HEFCE (2001b)</w:t>
            </w:r>
          </w:p>
        </w:tc>
        <w:tc>
          <w:tcPr>
            <w:tcW w:w="852" w:type="dxa"/>
          </w:tcPr>
          <w:p w14:paraId="25F7811E"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23211260" w14:textId="77777777" w:rsidR="00837DA7" w:rsidRPr="00F119F4" w:rsidRDefault="00837DA7" w:rsidP="00353A9A">
            <w:pPr>
              <w:rPr>
                <w:rFonts w:ascii="Times New Roman" w:hAnsi="Times New Roman" w:cs="Times New Roman"/>
                <w:sz w:val="24"/>
                <w:szCs w:val="24"/>
              </w:rPr>
            </w:pPr>
          </w:p>
        </w:tc>
      </w:tr>
      <w:tr w:rsidR="00837DA7" w:rsidRPr="00F119F4" w14:paraId="39D81535" w14:textId="77777777" w:rsidTr="00353A9A">
        <w:trPr>
          <w:gridAfter w:val="1"/>
          <w:wAfter w:w="8" w:type="dxa"/>
        </w:trPr>
        <w:tc>
          <w:tcPr>
            <w:tcW w:w="1556" w:type="dxa"/>
            <w:vMerge/>
            <w:tcBorders>
              <w:top w:val="single" w:sz="2" w:space="0" w:color="auto"/>
              <w:bottom w:val="single" w:sz="2" w:space="0" w:color="auto"/>
            </w:tcBorders>
          </w:tcPr>
          <w:p w14:paraId="66C40AE0"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09E21097"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2.9.7 </w:t>
            </w:r>
            <w:r w:rsidRPr="00F119F4">
              <w:rPr>
                <w:rFonts w:ascii="Times New Roman" w:hAnsi="Times New Roman" w:cs="Times New Roman"/>
                <w:sz w:val="24"/>
                <w:szCs w:val="24"/>
              </w:rPr>
              <w:t>Research Supervision Procedures</w:t>
            </w:r>
            <w:r>
              <w:rPr>
                <w:rFonts w:ascii="Times New Roman" w:hAnsi="Times New Roman" w:cs="Times New Roman"/>
                <w:sz w:val="24"/>
                <w:szCs w:val="24"/>
              </w:rPr>
              <w:t>.</w:t>
            </w:r>
          </w:p>
        </w:tc>
        <w:tc>
          <w:tcPr>
            <w:tcW w:w="2408" w:type="dxa"/>
          </w:tcPr>
          <w:p w14:paraId="40A322D5" w14:textId="77777777" w:rsidR="00837DA7" w:rsidRPr="00F119F4" w:rsidRDefault="00837DA7" w:rsidP="00353A9A">
            <w:pPr>
              <w:rPr>
                <w:rFonts w:ascii="Times New Roman" w:hAnsi="Times New Roman" w:cs="Times New Roman"/>
                <w:sz w:val="24"/>
                <w:szCs w:val="24"/>
              </w:rPr>
            </w:pPr>
            <w:r w:rsidRPr="007D56D6">
              <w:rPr>
                <w:rFonts w:ascii="Times New Roman" w:hAnsi="Times New Roman" w:cs="Times New Roman"/>
                <w:sz w:val="24"/>
                <w:szCs w:val="24"/>
              </w:rPr>
              <w:t>HEFCE (2001b)</w:t>
            </w:r>
          </w:p>
        </w:tc>
        <w:tc>
          <w:tcPr>
            <w:tcW w:w="852" w:type="dxa"/>
          </w:tcPr>
          <w:p w14:paraId="4D7C2523"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2EA98ECD" w14:textId="77777777" w:rsidR="00837DA7" w:rsidRPr="00F119F4" w:rsidRDefault="00837DA7" w:rsidP="00353A9A">
            <w:pPr>
              <w:rPr>
                <w:rFonts w:ascii="Times New Roman" w:hAnsi="Times New Roman" w:cs="Times New Roman"/>
                <w:sz w:val="24"/>
                <w:szCs w:val="24"/>
              </w:rPr>
            </w:pPr>
          </w:p>
        </w:tc>
      </w:tr>
      <w:tr w:rsidR="00837DA7" w:rsidRPr="00F119F4" w14:paraId="0A9490AD" w14:textId="77777777" w:rsidTr="00353A9A">
        <w:trPr>
          <w:gridAfter w:val="1"/>
          <w:wAfter w:w="8" w:type="dxa"/>
        </w:trPr>
        <w:tc>
          <w:tcPr>
            <w:tcW w:w="1556" w:type="dxa"/>
            <w:vMerge/>
            <w:tcBorders>
              <w:top w:val="single" w:sz="2" w:space="0" w:color="auto"/>
              <w:bottom w:val="single" w:sz="2" w:space="0" w:color="auto"/>
            </w:tcBorders>
          </w:tcPr>
          <w:p w14:paraId="31B257B7"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21DBC992"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2.9.8 </w:t>
            </w:r>
            <w:r w:rsidRPr="00F119F4">
              <w:rPr>
                <w:rFonts w:ascii="Times New Roman" w:hAnsi="Times New Roman" w:cs="Times New Roman"/>
                <w:sz w:val="24"/>
                <w:szCs w:val="24"/>
              </w:rPr>
              <w:t xml:space="preserve">Quality </w:t>
            </w:r>
            <w:r>
              <w:rPr>
                <w:rFonts w:ascii="Times New Roman" w:hAnsi="Times New Roman" w:cs="Times New Roman"/>
                <w:sz w:val="24"/>
                <w:szCs w:val="24"/>
              </w:rPr>
              <w:t>c</w:t>
            </w:r>
            <w:r w:rsidRPr="00F119F4">
              <w:rPr>
                <w:rFonts w:ascii="Times New Roman" w:hAnsi="Times New Roman" w:cs="Times New Roman"/>
                <w:sz w:val="24"/>
                <w:szCs w:val="24"/>
              </w:rPr>
              <w:t>ontrol procedures</w:t>
            </w:r>
            <w:r>
              <w:rPr>
                <w:rFonts w:ascii="Times New Roman" w:hAnsi="Times New Roman" w:cs="Times New Roman"/>
                <w:sz w:val="24"/>
                <w:szCs w:val="24"/>
              </w:rPr>
              <w:t>.</w:t>
            </w:r>
          </w:p>
        </w:tc>
        <w:tc>
          <w:tcPr>
            <w:tcW w:w="2408" w:type="dxa"/>
          </w:tcPr>
          <w:p w14:paraId="07D0A176" w14:textId="77777777" w:rsidR="00837DA7" w:rsidRPr="00F119F4" w:rsidRDefault="00837DA7" w:rsidP="00353A9A">
            <w:pPr>
              <w:rPr>
                <w:rFonts w:ascii="Times New Roman" w:hAnsi="Times New Roman" w:cs="Times New Roman"/>
                <w:sz w:val="24"/>
                <w:szCs w:val="24"/>
              </w:rPr>
            </w:pPr>
            <w:r w:rsidRPr="007D56D6">
              <w:rPr>
                <w:rFonts w:ascii="Times New Roman" w:hAnsi="Times New Roman" w:cs="Times New Roman"/>
                <w:sz w:val="24"/>
                <w:szCs w:val="24"/>
              </w:rPr>
              <w:t>HEFCE (2001b)</w:t>
            </w:r>
          </w:p>
        </w:tc>
        <w:tc>
          <w:tcPr>
            <w:tcW w:w="852" w:type="dxa"/>
          </w:tcPr>
          <w:p w14:paraId="69CEE0EA"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409761ED" w14:textId="77777777" w:rsidR="00837DA7" w:rsidRPr="00F119F4" w:rsidRDefault="00837DA7" w:rsidP="00353A9A">
            <w:pPr>
              <w:rPr>
                <w:rFonts w:ascii="Times New Roman" w:hAnsi="Times New Roman" w:cs="Times New Roman"/>
                <w:sz w:val="24"/>
                <w:szCs w:val="24"/>
              </w:rPr>
            </w:pPr>
          </w:p>
        </w:tc>
      </w:tr>
      <w:tr w:rsidR="00837DA7" w:rsidRPr="00F119F4" w14:paraId="720562CD" w14:textId="77777777" w:rsidTr="00353A9A">
        <w:trPr>
          <w:gridAfter w:val="1"/>
          <w:wAfter w:w="8" w:type="dxa"/>
        </w:trPr>
        <w:tc>
          <w:tcPr>
            <w:tcW w:w="1556" w:type="dxa"/>
            <w:vMerge/>
            <w:tcBorders>
              <w:top w:val="single" w:sz="2" w:space="0" w:color="auto"/>
              <w:bottom w:val="single" w:sz="2" w:space="0" w:color="auto"/>
            </w:tcBorders>
          </w:tcPr>
          <w:p w14:paraId="007EEC95"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2046B84B"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2.9.9 </w:t>
            </w:r>
            <w:r w:rsidRPr="00F119F4">
              <w:rPr>
                <w:rFonts w:ascii="Times New Roman" w:hAnsi="Times New Roman" w:cs="Times New Roman"/>
                <w:sz w:val="24"/>
                <w:szCs w:val="24"/>
              </w:rPr>
              <w:t xml:space="preserve">Securing </w:t>
            </w:r>
            <w:r>
              <w:rPr>
                <w:rFonts w:ascii="Times New Roman" w:hAnsi="Times New Roman" w:cs="Times New Roman"/>
                <w:sz w:val="24"/>
                <w:szCs w:val="24"/>
              </w:rPr>
              <w:t>r</w:t>
            </w:r>
            <w:r w:rsidRPr="00F119F4">
              <w:rPr>
                <w:rFonts w:ascii="Times New Roman" w:hAnsi="Times New Roman" w:cs="Times New Roman"/>
                <w:sz w:val="24"/>
                <w:szCs w:val="24"/>
              </w:rPr>
              <w:t>esearch funding</w:t>
            </w:r>
            <w:r>
              <w:rPr>
                <w:rFonts w:ascii="Times New Roman" w:hAnsi="Times New Roman" w:cs="Times New Roman"/>
                <w:sz w:val="24"/>
                <w:szCs w:val="24"/>
              </w:rPr>
              <w:t>.</w:t>
            </w:r>
          </w:p>
        </w:tc>
        <w:tc>
          <w:tcPr>
            <w:tcW w:w="2408" w:type="dxa"/>
          </w:tcPr>
          <w:p w14:paraId="5418D682" w14:textId="77777777" w:rsidR="00837DA7" w:rsidRPr="00F119F4" w:rsidRDefault="00837DA7" w:rsidP="00353A9A">
            <w:pPr>
              <w:rPr>
                <w:rFonts w:ascii="Times New Roman" w:hAnsi="Times New Roman" w:cs="Times New Roman"/>
                <w:sz w:val="24"/>
                <w:szCs w:val="24"/>
              </w:rPr>
            </w:pPr>
            <w:r w:rsidRPr="007D56D6">
              <w:rPr>
                <w:rFonts w:ascii="Times New Roman" w:hAnsi="Times New Roman" w:cs="Times New Roman"/>
                <w:sz w:val="24"/>
                <w:szCs w:val="24"/>
              </w:rPr>
              <w:t>HEFCE (2001b)</w:t>
            </w:r>
          </w:p>
        </w:tc>
        <w:tc>
          <w:tcPr>
            <w:tcW w:w="852" w:type="dxa"/>
          </w:tcPr>
          <w:p w14:paraId="57EA2695"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4CD7131F" w14:textId="77777777" w:rsidR="00837DA7" w:rsidRPr="00F119F4" w:rsidRDefault="00837DA7" w:rsidP="00353A9A">
            <w:pPr>
              <w:rPr>
                <w:rFonts w:ascii="Times New Roman" w:hAnsi="Times New Roman" w:cs="Times New Roman"/>
                <w:sz w:val="24"/>
                <w:szCs w:val="24"/>
              </w:rPr>
            </w:pPr>
          </w:p>
        </w:tc>
      </w:tr>
      <w:tr w:rsidR="00837DA7" w:rsidRPr="00F119F4" w14:paraId="5A81C8BA" w14:textId="77777777" w:rsidTr="00353A9A">
        <w:trPr>
          <w:gridAfter w:val="1"/>
          <w:wAfter w:w="8" w:type="dxa"/>
        </w:trPr>
        <w:tc>
          <w:tcPr>
            <w:tcW w:w="1556" w:type="dxa"/>
            <w:vMerge/>
            <w:tcBorders>
              <w:top w:val="single" w:sz="2" w:space="0" w:color="auto"/>
              <w:bottom w:val="single" w:sz="2" w:space="0" w:color="auto"/>
            </w:tcBorders>
          </w:tcPr>
          <w:p w14:paraId="53AC4ACE"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13BEB640" w14:textId="77777777" w:rsidR="00837DA7" w:rsidRPr="00F119F4" w:rsidRDefault="00837DA7" w:rsidP="00353A9A">
            <w:pPr>
              <w:autoSpaceDE w:val="0"/>
              <w:autoSpaceDN w:val="0"/>
              <w:adjustRightInd w:val="0"/>
              <w:rPr>
                <w:rFonts w:ascii="Times New Roman" w:hAnsi="Times New Roman" w:cs="Times New Roman"/>
                <w:b/>
                <w:sz w:val="24"/>
                <w:szCs w:val="24"/>
              </w:rPr>
            </w:pPr>
            <w:r>
              <w:rPr>
                <w:rFonts w:ascii="Times New Roman" w:hAnsi="Times New Roman" w:cs="Times New Roman"/>
                <w:sz w:val="24"/>
                <w:szCs w:val="24"/>
              </w:rPr>
              <w:t xml:space="preserve">2.9.10 </w:t>
            </w:r>
            <w:r w:rsidRPr="00F119F4">
              <w:rPr>
                <w:rFonts w:ascii="Times New Roman" w:hAnsi="Times New Roman" w:cs="Times New Roman"/>
                <w:sz w:val="24"/>
                <w:szCs w:val="24"/>
              </w:rPr>
              <w:t>Student intake</w:t>
            </w:r>
            <w:r>
              <w:rPr>
                <w:rFonts w:ascii="Times New Roman" w:hAnsi="Times New Roman" w:cs="Times New Roman"/>
                <w:sz w:val="24"/>
                <w:szCs w:val="24"/>
              </w:rPr>
              <w:t>.</w:t>
            </w:r>
          </w:p>
        </w:tc>
        <w:tc>
          <w:tcPr>
            <w:tcW w:w="2408" w:type="dxa"/>
          </w:tcPr>
          <w:p w14:paraId="166280EE" w14:textId="77777777" w:rsidR="00837DA7" w:rsidRPr="00F119F4" w:rsidRDefault="00837DA7" w:rsidP="00353A9A">
            <w:pPr>
              <w:rPr>
                <w:rFonts w:ascii="Times New Roman" w:hAnsi="Times New Roman" w:cs="Times New Roman"/>
                <w:b/>
                <w:sz w:val="24"/>
                <w:szCs w:val="24"/>
              </w:rPr>
            </w:pPr>
            <w:r w:rsidRPr="007D56D6">
              <w:rPr>
                <w:rFonts w:ascii="Times New Roman" w:hAnsi="Times New Roman" w:cs="Times New Roman"/>
                <w:sz w:val="24"/>
                <w:szCs w:val="24"/>
              </w:rPr>
              <w:t>HEFCE (2001b)</w:t>
            </w:r>
          </w:p>
        </w:tc>
        <w:tc>
          <w:tcPr>
            <w:tcW w:w="852" w:type="dxa"/>
          </w:tcPr>
          <w:p w14:paraId="5BF8EF78" w14:textId="77777777" w:rsidR="00837DA7" w:rsidRPr="00F119F4" w:rsidRDefault="00837DA7" w:rsidP="00353A9A">
            <w:pPr>
              <w:rPr>
                <w:rFonts w:ascii="Times New Roman" w:hAnsi="Times New Roman" w:cs="Times New Roman"/>
                <w:b/>
                <w:sz w:val="24"/>
                <w:szCs w:val="24"/>
              </w:rPr>
            </w:pPr>
            <w:r w:rsidRPr="00F119F4">
              <w:rPr>
                <w:rFonts w:ascii="Times New Roman" w:hAnsi="Times New Roman" w:cs="Times New Roman"/>
                <w:sz w:val="24"/>
                <w:szCs w:val="24"/>
              </w:rPr>
              <w:t>0-6</w:t>
            </w:r>
          </w:p>
        </w:tc>
        <w:tc>
          <w:tcPr>
            <w:tcW w:w="840" w:type="dxa"/>
            <w:gridSpan w:val="2"/>
            <w:vMerge/>
          </w:tcPr>
          <w:p w14:paraId="7807B398" w14:textId="77777777" w:rsidR="00837DA7" w:rsidRPr="00F119F4" w:rsidRDefault="00837DA7" w:rsidP="00353A9A">
            <w:pPr>
              <w:rPr>
                <w:rFonts w:ascii="Times New Roman" w:hAnsi="Times New Roman" w:cs="Times New Roman"/>
                <w:sz w:val="24"/>
                <w:szCs w:val="24"/>
              </w:rPr>
            </w:pPr>
          </w:p>
        </w:tc>
      </w:tr>
      <w:tr w:rsidR="00837DA7" w:rsidRPr="00F119F4" w14:paraId="0691280A" w14:textId="77777777" w:rsidTr="00353A9A">
        <w:trPr>
          <w:gridAfter w:val="1"/>
          <w:wAfter w:w="8" w:type="dxa"/>
        </w:trPr>
        <w:tc>
          <w:tcPr>
            <w:tcW w:w="1556" w:type="dxa"/>
            <w:vMerge/>
            <w:tcBorders>
              <w:top w:val="single" w:sz="2" w:space="0" w:color="auto"/>
              <w:bottom w:val="single" w:sz="2" w:space="0" w:color="auto"/>
            </w:tcBorders>
          </w:tcPr>
          <w:p w14:paraId="3FFE60CF"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1CD4CBDA"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2.9.11 </w:t>
            </w:r>
            <w:r w:rsidRPr="00F119F4">
              <w:rPr>
                <w:rFonts w:ascii="Times New Roman" w:hAnsi="Times New Roman" w:cs="Times New Roman"/>
                <w:sz w:val="24"/>
                <w:szCs w:val="24"/>
              </w:rPr>
              <w:t>Policy/procedure to manage publicity</w:t>
            </w:r>
            <w:r>
              <w:rPr>
                <w:rFonts w:ascii="Times New Roman" w:hAnsi="Times New Roman" w:cs="Times New Roman"/>
                <w:sz w:val="24"/>
                <w:szCs w:val="24"/>
              </w:rPr>
              <w:t>.</w:t>
            </w:r>
          </w:p>
        </w:tc>
        <w:tc>
          <w:tcPr>
            <w:tcW w:w="2408" w:type="dxa"/>
          </w:tcPr>
          <w:p w14:paraId="2A9D3E31" w14:textId="77777777" w:rsidR="00837DA7" w:rsidRPr="00F119F4" w:rsidRDefault="00837DA7" w:rsidP="00353A9A">
            <w:pPr>
              <w:rPr>
                <w:rFonts w:ascii="Times New Roman" w:hAnsi="Times New Roman" w:cs="Times New Roman"/>
                <w:sz w:val="24"/>
                <w:szCs w:val="24"/>
              </w:rPr>
            </w:pPr>
            <w:r w:rsidRPr="007D56D6">
              <w:rPr>
                <w:rFonts w:ascii="Times New Roman" w:hAnsi="Times New Roman" w:cs="Times New Roman"/>
                <w:sz w:val="24"/>
                <w:szCs w:val="24"/>
              </w:rPr>
              <w:t>HEFCE (2001b)</w:t>
            </w:r>
          </w:p>
        </w:tc>
        <w:tc>
          <w:tcPr>
            <w:tcW w:w="852" w:type="dxa"/>
          </w:tcPr>
          <w:p w14:paraId="6D67A907"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3CCC5978" w14:textId="77777777" w:rsidR="00837DA7" w:rsidRPr="00F119F4" w:rsidRDefault="00837DA7" w:rsidP="00353A9A">
            <w:pPr>
              <w:rPr>
                <w:rFonts w:ascii="Times New Roman" w:hAnsi="Times New Roman" w:cs="Times New Roman"/>
                <w:sz w:val="24"/>
                <w:szCs w:val="24"/>
              </w:rPr>
            </w:pPr>
          </w:p>
        </w:tc>
      </w:tr>
      <w:tr w:rsidR="00837DA7" w:rsidRPr="00F119F4" w14:paraId="5F8D584B" w14:textId="77777777" w:rsidTr="00353A9A">
        <w:trPr>
          <w:gridAfter w:val="1"/>
          <w:wAfter w:w="8" w:type="dxa"/>
        </w:trPr>
        <w:tc>
          <w:tcPr>
            <w:tcW w:w="1556" w:type="dxa"/>
            <w:vMerge/>
            <w:tcBorders>
              <w:top w:val="single" w:sz="2" w:space="0" w:color="auto"/>
              <w:bottom w:val="single" w:sz="2" w:space="0" w:color="auto"/>
            </w:tcBorders>
          </w:tcPr>
          <w:p w14:paraId="09B9BA23"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35269487"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2.9.12 </w:t>
            </w:r>
            <w:r w:rsidRPr="00F119F4">
              <w:rPr>
                <w:rFonts w:ascii="Times New Roman" w:hAnsi="Times New Roman" w:cs="Times New Roman"/>
                <w:sz w:val="24"/>
                <w:szCs w:val="24"/>
              </w:rPr>
              <w:t>Policy to respond press comments</w:t>
            </w:r>
            <w:r>
              <w:rPr>
                <w:rFonts w:ascii="Times New Roman" w:hAnsi="Times New Roman" w:cs="Times New Roman"/>
                <w:sz w:val="24"/>
                <w:szCs w:val="24"/>
              </w:rPr>
              <w:t>.</w:t>
            </w:r>
          </w:p>
        </w:tc>
        <w:tc>
          <w:tcPr>
            <w:tcW w:w="2408" w:type="dxa"/>
          </w:tcPr>
          <w:p w14:paraId="241CC148" w14:textId="77777777" w:rsidR="00837DA7" w:rsidRPr="00F119F4" w:rsidRDefault="00837DA7" w:rsidP="00353A9A">
            <w:pPr>
              <w:rPr>
                <w:rFonts w:ascii="Times New Roman" w:hAnsi="Times New Roman" w:cs="Times New Roman"/>
                <w:sz w:val="24"/>
                <w:szCs w:val="24"/>
              </w:rPr>
            </w:pPr>
            <w:r w:rsidRPr="008F5925">
              <w:rPr>
                <w:rFonts w:ascii="Times New Roman" w:hAnsi="Times New Roman" w:cs="Times New Roman"/>
                <w:sz w:val="24"/>
                <w:szCs w:val="24"/>
              </w:rPr>
              <w:t>HEFCE (2001b)</w:t>
            </w:r>
          </w:p>
        </w:tc>
        <w:tc>
          <w:tcPr>
            <w:tcW w:w="852" w:type="dxa"/>
          </w:tcPr>
          <w:p w14:paraId="7E2FB082"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Borders>
              <w:bottom w:val="single" w:sz="2" w:space="0" w:color="auto"/>
            </w:tcBorders>
          </w:tcPr>
          <w:p w14:paraId="069364C4" w14:textId="77777777" w:rsidR="00837DA7" w:rsidRPr="00F119F4" w:rsidRDefault="00837DA7" w:rsidP="00353A9A">
            <w:pPr>
              <w:rPr>
                <w:rFonts w:ascii="Times New Roman" w:hAnsi="Times New Roman" w:cs="Times New Roman"/>
                <w:sz w:val="24"/>
                <w:szCs w:val="24"/>
              </w:rPr>
            </w:pPr>
          </w:p>
        </w:tc>
      </w:tr>
      <w:tr w:rsidR="00837DA7" w:rsidRPr="00F119F4" w14:paraId="14E83175" w14:textId="77777777" w:rsidTr="00353A9A">
        <w:trPr>
          <w:gridAfter w:val="1"/>
          <w:wAfter w:w="8" w:type="dxa"/>
        </w:trPr>
        <w:tc>
          <w:tcPr>
            <w:tcW w:w="1556" w:type="dxa"/>
            <w:vMerge/>
            <w:tcBorders>
              <w:top w:val="single" w:sz="2" w:space="0" w:color="auto"/>
              <w:bottom w:val="single" w:sz="2" w:space="0" w:color="auto"/>
            </w:tcBorders>
          </w:tcPr>
          <w:p w14:paraId="4C810BB7"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0DAB367D"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2.9.13 </w:t>
            </w:r>
            <w:r w:rsidRPr="00F119F4">
              <w:rPr>
                <w:rFonts w:ascii="Times New Roman" w:hAnsi="Times New Roman" w:cs="Times New Roman"/>
                <w:sz w:val="24"/>
                <w:szCs w:val="24"/>
              </w:rPr>
              <w:t xml:space="preserve">Regular </w:t>
            </w:r>
            <w:r>
              <w:rPr>
                <w:rFonts w:ascii="Times New Roman" w:hAnsi="Times New Roman" w:cs="Times New Roman"/>
                <w:sz w:val="24"/>
                <w:szCs w:val="24"/>
              </w:rPr>
              <w:t>p</w:t>
            </w:r>
            <w:r w:rsidRPr="00F119F4">
              <w:rPr>
                <w:rFonts w:ascii="Times New Roman" w:hAnsi="Times New Roman" w:cs="Times New Roman"/>
                <w:sz w:val="24"/>
                <w:szCs w:val="24"/>
              </w:rPr>
              <w:t xml:space="preserve">ress </w:t>
            </w:r>
            <w:r>
              <w:rPr>
                <w:rFonts w:ascii="Times New Roman" w:hAnsi="Times New Roman" w:cs="Times New Roman"/>
                <w:sz w:val="24"/>
                <w:szCs w:val="24"/>
              </w:rPr>
              <w:t>r</w:t>
            </w:r>
            <w:r w:rsidRPr="00F119F4">
              <w:rPr>
                <w:rFonts w:ascii="Times New Roman" w:hAnsi="Times New Roman" w:cs="Times New Roman"/>
                <w:sz w:val="24"/>
                <w:szCs w:val="24"/>
              </w:rPr>
              <w:t>eview</w:t>
            </w:r>
            <w:r>
              <w:rPr>
                <w:rFonts w:ascii="Times New Roman" w:hAnsi="Times New Roman" w:cs="Times New Roman"/>
                <w:sz w:val="24"/>
                <w:szCs w:val="24"/>
              </w:rPr>
              <w:t>.</w:t>
            </w:r>
          </w:p>
        </w:tc>
        <w:tc>
          <w:tcPr>
            <w:tcW w:w="2408" w:type="dxa"/>
          </w:tcPr>
          <w:p w14:paraId="7C560610" w14:textId="77777777" w:rsidR="00837DA7" w:rsidRPr="00F119F4" w:rsidRDefault="00837DA7" w:rsidP="00353A9A">
            <w:pPr>
              <w:rPr>
                <w:rFonts w:ascii="Times New Roman" w:hAnsi="Times New Roman" w:cs="Times New Roman"/>
                <w:sz w:val="24"/>
                <w:szCs w:val="24"/>
              </w:rPr>
            </w:pPr>
            <w:r w:rsidRPr="008F5925">
              <w:rPr>
                <w:rFonts w:ascii="Times New Roman" w:hAnsi="Times New Roman" w:cs="Times New Roman"/>
                <w:sz w:val="24"/>
                <w:szCs w:val="24"/>
              </w:rPr>
              <w:t>HEFCE (2001b)</w:t>
            </w:r>
          </w:p>
        </w:tc>
        <w:tc>
          <w:tcPr>
            <w:tcW w:w="852" w:type="dxa"/>
          </w:tcPr>
          <w:p w14:paraId="0B339DE9"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Borders>
              <w:top w:val="single" w:sz="2" w:space="0" w:color="auto"/>
            </w:tcBorders>
          </w:tcPr>
          <w:p w14:paraId="563D9E21" w14:textId="77777777" w:rsidR="00837DA7" w:rsidRPr="00F119F4" w:rsidRDefault="00837DA7" w:rsidP="00353A9A">
            <w:pPr>
              <w:rPr>
                <w:rFonts w:ascii="Times New Roman" w:hAnsi="Times New Roman" w:cs="Times New Roman"/>
                <w:sz w:val="24"/>
                <w:szCs w:val="24"/>
              </w:rPr>
            </w:pPr>
          </w:p>
        </w:tc>
      </w:tr>
      <w:tr w:rsidR="00837DA7" w:rsidRPr="00F119F4" w14:paraId="4AB8652D" w14:textId="77777777" w:rsidTr="00353A9A">
        <w:trPr>
          <w:gridAfter w:val="1"/>
          <w:wAfter w:w="8" w:type="dxa"/>
        </w:trPr>
        <w:tc>
          <w:tcPr>
            <w:tcW w:w="1556" w:type="dxa"/>
            <w:vMerge/>
            <w:tcBorders>
              <w:top w:val="single" w:sz="2" w:space="0" w:color="auto"/>
              <w:bottom w:val="single" w:sz="2" w:space="0" w:color="auto"/>
            </w:tcBorders>
          </w:tcPr>
          <w:p w14:paraId="2ABE0456"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56B91EDF"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2.9.14 </w:t>
            </w:r>
            <w:r w:rsidRPr="00F119F4">
              <w:rPr>
                <w:rFonts w:ascii="Times New Roman" w:hAnsi="Times New Roman" w:cs="Times New Roman"/>
                <w:sz w:val="24"/>
                <w:szCs w:val="24"/>
              </w:rPr>
              <w:t>Public relations staff</w:t>
            </w:r>
            <w:r>
              <w:rPr>
                <w:rFonts w:ascii="Times New Roman" w:hAnsi="Times New Roman" w:cs="Times New Roman"/>
                <w:sz w:val="24"/>
                <w:szCs w:val="24"/>
              </w:rPr>
              <w:t>.</w:t>
            </w:r>
          </w:p>
        </w:tc>
        <w:tc>
          <w:tcPr>
            <w:tcW w:w="2408" w:type="dxa"/>
          </w:tcPr>
          <w:p w14:paraId="16E243BB" w14:textId="77777777" w:rsidR="00837DA7" w:rsidRPr="00F119F4" w:rsidRDefault="00837DA7" w:rsidP="00353A9A">
            <w:pPr>
              <w:rPr>
                <w:rFonts w:ascii="Times New Roman" w:hAnsi="Times New Roman" w:cs="Times New Roman"/>
                <w:sz w:val="24"/>
                <w:szCs w:val="24"/>
              </w:rPr>
            </w:pPr>
            <w:r w:rsidRPr="008F5925">
              <w:rPr>
                <w:rFonts w:ascii="Times New Roman" w:hAnsi="Times New Roman" w:cs="Times New Roman"/>
                <w:sz w:val="24"/>
                <w:szCs w:val="24"/>
              </w:rPr>
              <w:t>HEFCE (2001b)</w:t>
            </w:r>
          </w:p>
        </w:tc>
        <w:tc>
          <w:tcPr>
            <w:tcW w:w="852" w:type="dxa"/>
          </w:tcPr>
          <w:p w14:paraId="014D13EF"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050277BE" w14:textId="77777777" w:rsidR="00837DA7" w:rsidRPr="00F119F4" w:rsidRDefault="00837DA7" w:rsidP="00353A9A">
            <w:pPr>
              <w:rPr>
                <w:rFonts w:ascii="Times New Roman" w:hAnsi="Times New Roman" w:cs="Times New Roman"/>
                <w:sz w:val="24"/>
                <w:szCs w:val="24"/>
              </w:rPr>
            </w:pPr>
          </w:p>
        </w:tc>
      </w:tr>
      <w:tr w:rsidR="00837DA7" w:rsidRPr="00F119F4" w14:paraId="30C6DC38" w14:textId="77777777" w:rsidTr="00353A9A">
        <w:trPr>
          <w:gridAfter w:val="1"/>
          <w:wAfter w:w="8" w:type="dxa"/>
        </w:trPr>
        <w:tc>
          <w:tcPr>
            <w:tcW w:w="1556" w:type="dxa"/>
            <w:vMerge/>
            <w:tcBorders>
              <w:top w:val="single" w:sz="2" w:space="0" w:color="auto"/>
              <w:bottom w:val="single" w:sz="2" w:space="0" w:color="auto"/>
            </w:tcBorders>
          </w:tcPr>
          <w:p w14:paraId="1F0E5AAE"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04B98BF2"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2.9.15 </w:t>
            </w:r>
            <w:r w:rsidRPr="00F119F4">
              <w:rPr>
                <w:rFonts w:ascii="Times New Roman" w:hAnsi="Times New Roman" w:cs="Times New Roman"/>
                <w:sz w:val="24"/>
                <w:szCs w:val="24"/>
              </w:rPr>
              <w:t>Marketing/customer satisfaction/boycott</w:t>
            </w:r>
            <w:r>
              <w:rPr>
                <w:rFonts w:ascii="Times New Roman" w:hAnsi="Times New Roman" w:cs="Times New Roman"/>
                <w:sz w:val="24"/>
                <w:szCs w:val="24"/>
              </w:rPr>
              <w:t>.</w:t>
            </w:r>
          </w:p>
        </w:tc>
        <w:tc>
          <w:tcPr>
            <w:tcW w:w="2408" w:type="dxa"/>
          </w:tcPr>
          <w:p w14:paraId="5D3A885F" w14:textId="77777777" w:rsidR="00837DA7" w:rsidRPr="00F119F4" w:rsidRDefault="00837DA7" w:rsidP="00353A9A">
            <w:pPr>
              <w:rPr>
                <w:rFonts w:ascii="Times New Roman" w:hAnsi="Times New Roman" w:cs="Times New Roman"/>
                <w:sz w:val="24"/>
                <w:szCs w:val="24"/>
              </w:rPr>
            </w:pPr>
            <w:r w:rsidRPr="008F5925">
              <w:rPr>
                <w:rFonts w:ascii="Times New Roman" w:hAnsi="Times New Roman" w:cs="Times New Roman"/>
                <w:sz w:val="24"/>
                <w:szCs w:val="24"/>
              </w:rPr>
              <w:t>HEFCE (2001b)</w:t>
            </w:r>
          </w:p>
        </w:tc>
        <w:tc>
          <w:tcPr>
            <w:tcW w:w="852" w:type="dxa"/>
          </w:tcPr>
          <w:p w14:paraId="298E8CF7"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5CC29B26" w14:textId="77777777" w:rsidR="00837DA7" w:rsidRPr="00F119F4" w:rsidRDefault="00837DA7" w:rsidP="00353A9A">
            <w:pPr>
              <w:rPr>
                <w:rFonts w:ascii="Times New Roman" w:hAnsi="Times New Roman" w:cs="Times New Roman"/>
                <w:sz w:val="24"/>
                <w:szCs w:val="24"/>
              </w:rPr>
            </w:pPr>
          </w:p>
        </w:tc>
      </w:tr>
      <w:tr w:rsidR="00837DA7" w:rsidRPr="00F119F4" w14:paraId="2D51359B" w14:textId="77777777" w:rsidTr="00353A9A">
        <w:trPr>
          <w:gridAfter w:val="1"/>
          <w:wAfter w:w="8" w:type="dxa"/>
        </w:trPr>
        <w:tc>
          <w:tcPr>
            <w:tcW w:w="1556" w:type="dxa"/>
            <w:vMerge/>
            <w:tcBorders>
              <w:top w:val="single" w:sz="2" w:space="0" w:color="auto"/>
              <w:bottom w:val="single" w:sz="2" w:space="0" w:color="auto"/>
            </w:tcBorders>
          </w:tcPr>
          <w:p w14:paraId="57FB1AE5"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Borders>
              <w:bottom w:val="single" w:sz="4" w:space="0" w:color="auto"/>
            </w:tcBorders>
          </w:tcPr>
          <w:p w14:paraId="5743B921"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2.9.16 </w:t>
            </w:r>
            <w:r w:rsidRPr="00F119F4">
              <w:rPr>
                <w:rFonts w:ascii="Times New Roman" w:hAnsi="Times New Roman" w:cs="Times New Roman"/>
                <w:sz w:val="24"/>
                <w:szCs w:val="24"/>
              </w:rPr>
              <w:t>Social contribution/community support</w:t>
            </w:r>
            <w:r>
              <w:rPr>
                <w:rFonts w:ascii="Times New Roman" w:hAnsi="Times New Roman" w:cs="Times New Roman"/>
                <w:sz w:val="24"/>
                <w:szCs w:val="24"/>
              </w:rPr>
              <w:t>.</w:t>
            </w:r>
          </w:p>
        </w:tc>
        <w:tc>
          <w:tcPr>
            <w:tcW w:w="2408" w:type="dxa"/>
            <w:tcBorders>
              <w:bottom w:val="single" w:sz="4" w:space="0" w:color="auto"/>
            </w:tcBorders>
          </w:tcPr>
          <w:p w14:paraId="5C21FD14" w14:textId="77777777" w:rsidR="00837DA7" w:rsidRPr="00F119F4" w:rsidRDefault="00837DA7" w:rsidP="00353A9A">
            <w:pPr>
              <w:rPr>
                <w:rFonts w:ascii="Times New Roman" w:hAnsi="Times New Roman" w:cs="Times New Roman"/>
                <w:sz w:val="24"/>
                <w:szCs w:val="24"/>
              </w:rPr>
            </w:pPr>
            <w:r w:rsidRPr="008F5925">
              <w:rPr>
                <w:rFonts w:ascii="Times New Roman" w:hAnsi="Times New Roman" w:cs="Times New Roman"/>
                <w:sz w:val="24"/>
                <w:szCs w:val="24"/>
              </w:rPr>
              <w:t>HEFCE (2001b)</w:t>
            </w:r>
          </w:p>
        </w:tc>
        <w:tc>
          <w:tcPr>
            <w:tcW w:w="852" w:type="dxa"/>
            <w:tcBorders>
              <w:bottom w:val="single" w:sz="4" w:space="0" w:color="auto"/>
            </w:tcBorders>
          </w:tcPr>
          <w:p w14:paraId="1EF6DD28"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Borders>
              <w:bottom w:val="single" w:sz="4" w:space="0" w:color="auto"/>
            </w:tcBorders>
          </w:tcPr>
          <w:p w14:paraId="7F8F08CA" w14:textId="77777777" w:rsidR="00837DA7" w:rsidRPr="00F119F4" w:rsidRDefault="00837DA7" w:rsidP="00353A9A">
            <w:pPr>
              <w:rPr>
                <w:rFonts w:ascii="Times New Roman" w:hAnsi="Times New Roman" w:cs="Times New Roman"/>
                <w:sz w:val="24"/>
                <w:szCs w:val="24"/>
              </w:rPr>
            </w:pPr>
          </w:p>
        </w:tc>
      </w:tr>
      <w:tr w:rsidR="00837DA7" w:rsidRPr="00F119F4" w14:paraId="7C74A901" w14:textId="77777777" w:rsidTr="00353A9A">
        <w:tc>
          <w:tcPr>
            <w:tcW w:w="1556" w:type="dxa"/>
            <w:vMerge/>
            <w:tcBorders>
              <w:top w:val="single" w:sz="2" w:space="0" w:color="auto"/>
              <w:bottom w:val="single" w:sz="2" w:space="0" w:color="auto"/>
            </w:tcBorders>
          </w:tcPr>
          <w:p w14:paraId="1F82377A"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9493" w:type="dxa"/>
            <w:gridSpan w:val="6"/>
            <w:tcBorders>
              <w:top w:val="single" w:sz="4" w:space="0" w:color="auto"/>
            </w:tcBorders>
          </w:tcPr>
          <w:p w14:paraId="619717B0" w14:textId="77777777" w:rsidR="00837DA7" w:rsidRDefault="00837DA7" w:rsidP="00353A9A">
            <w:pPr>
              <w:rPr>
                <w:rFonts w:ascii="Times New Roman" w:hAnsi="Times New Roman" w:cs="Times New Roman"/>
                <w:b/>
                <w:bCs/>
                <w:i/>
                <w:iCs/>
                <w:sz w:val="24"/>
                <w:szCs w:val="24"/>
              </w:rPr>
            </w:pPr>
            <w:r>
              <w:rPr>
                <w:rFonts w:ascii="Times New Roman" w:hAnsi="Times New Roman" w:cs="Times New Roman"/>
                <w:b/>
                <w:bCs/>
                <w:i/>
                <w:iCs/>
                <w:sz w:val="24"/>
                <w:szCs w:val="24"/>
              </w:rPr>
              <w:t xml:space="preserve">2.10 </w:t>
            </w:r>
            <w:r w:rsidRPr="007A3C8D">
              <w:rPr>
                <w:rFonts w:ascii="Times New Roman" w:hAnsi="Times New Roman" w:cs="Times New Roman"/>
                <w:b/>
                <w:bCs/>
                <w:i/>
                <w:iCs/>
                <w:sz w:val="24"/>
                <w:szCs w:val="24"/>
              </w:rPr>
              <w:t>Health and safety</w:t>
            </w:r>
          </w:p>
        </w:tc>
      </w:tr>
      <w:tr w:rsidR="00837DA7" w:rsidRPr="00F119F4" w14:paraId="3B5CE962" w14:textId="77777777" w:rsidTr="00353A9A">
        <w:trPr>
          <w:gridAfter w:val="1"/>
          <w:wAfter w:w="8" w:type="dxa"/>
        </w:trPr>
        <w:tc>
          <w:tcPr>
            <w:tcW w:w="1556" w:type="dxa"/>
            <w:vMerge/>
            <w:tcBorders>
              <w:top w:val="single" w:sz="2" w:space="0" w:color="auto"/>
              <w:bottom w:val="single" w:sz="2" w:space="0" w:color="auto"/>
            </w:tcBorders>
          </w:tcPr>
          <w:p w14:paraId="2284850D"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50F0F699"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2.10.1 Health and safety</w:t>
            </w:r>
            <w:r w:rsidRPr="00F119F4">
              <w:rPr>
                <w:rFonts w:ascii="Times New Roman" w:hAnsi="Times New Roman" w:cs="Times New Roman"/>
                <w:sz w:val="24"/>
                <w:szCs w:val="24"/>
              </w:rPr>
              <w:t xml:space="preserve"> policies</w:t>
            </w:r>
            <w:r>
              <w:rPr>
                <w:rFonts w:ascii="Times New Roman" w:hAnsi="Times New Roman" w:cs="Times New Roman"/>
                <w:sz w:val="24"/>
                <w:szCs w:val="24"/>
              </w:rPr>
              <w:t>/</w:t>
            </w:r>
            <w:r w:rsidRPr="00F119F4">
              <w:rPr>
                <w:rFonts w:ascii="Times New Roman" w:hAnsi="Times New Roman" w:cs="Times New Roman"/>
                <w:sz w:val="24"/>
                <w:szCs w:val="24"/>
              </w:rPr>
              <w:t>procedures</w:t>
            </w:r>
            <w:r>
              <w:rPr>
                <w:rFonts w:ascii="Times New Roman" w:hAnsi="Times New Roman" w:cs="Times New Roman"/>
                <w:sz w:val="24"/>
                <w:szCs w:val="24"/>
              </w:rPr>
              <w:t>.</w:t>
            </w:r>
          </w:p>
        </w:tc>
        <w:tc>
          <w:tcPr>
            <w:tcW w:w="2408" w:type="dxa"/>
          </w:tcPr>
          <w:p w14:paraId="4731323C" w14:textId="77777777" w:rsidR="00837DA7" w:rsidRPr="00F119F4" w:rsidRDefault="00837DA7" w:rsidP="00353A9A">
            <w:pPr>
              <w:rPr>
                <w:rFonts w:ascii="Times New Roman" w:hAnsi="Times New Roman" w:cs="Times New Roman"/>
                <w:sz w:val="24"/>
                <w:szCs w:val="24"/>
              </w:rPr>
            </w:pPr>
            <w:r w:rsidRPr="009C4D7D">
              <w:rPr>
                <w:rFonts w:ascii="Times New Roman" w:hAnsi="Times New Roman" w:cs="Times New Roman"/>
                <w:sz w:val="24"/>
                <w:szCs w:val="24"/>
              </w:rPr>
              <w:t>HEFCE (2001b)</w:t>
            </w:r>
          </w:p>
        </w:tc>
        <w:tc>
          <w:tcPr>
            <w:tcW w:w="852" w:type="dxa"/>
          </w:tcPr>
          <w:p w14:paraId="4560FBCB"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val="restart"/>
            <w:vAlign w:val="center"/>
          </w:tcPr>
          <w:p w14:paraId="34A865FA" w14:textId="77777777" w:rsidR="00837DA7" w:rsidRPr="00F119F4" w:rsidRDefault="00837DA7" w:rsidP="00353A9A">
            <w:pPr>
              <w:jc w:val="center"/>
              <w:rPr>
                <w:rFonts w:ascii="Times New Roman" w:hAnsi="Times New Roman" w:cs="Times New Roman"/>
                <w:sz w:val="24"/>
                <w:szCs w:val="24"/>
              </w:rPr>
            </w:pPr>
            <w:r>
              <w:rPr>
                <w:rFonts w:ascii="Times New Roman" w:hAnsi="Times New Roman" w:cs="Times New Roman"/>
                <w:sz w:val="24"/>
                <w:szCs w:val="24"/>
              </w:rPr>
              <w:t>30</w:t>
            </w:r>
          </w:p>
        </w:tc>
      </w:tr>
      <w:tr w:rsidR="00837DA7" w:rsidRPr="00F119F4" w14:paraId="4F179FE9" w14:textId="77777777" w:rsidTr="00353A9A">
        <w:trPr>
          <w:gridAfter w:val="1"/>
          <w:wAfter w:w="8" w:type="dxa"/>
        </w:trPr>
        <w:tc>
          <w:tcPr>
            <w:tcW w:w="1556" w:type="dxa"/>
            <w:vMerge/>
            <w:tcBorders>
              <w:top w:val="single" w:sz="2" w:space="0" w:color="auto"/>
              <w:bottom w:val="single" w:sz="2" w:space="0" w:color="auto"/>
            </w:tcBorders>
          </w:tcPr>
          <w:p w14:paraId="76722BF7"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150D9AFE"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2.10.2 Health and safety</w:t>
            </w:r>
            <w:r w:rsidRPr="00F119F4">
              <w:rPr>
                <w:rFonts w:ascii="Times New Roman" w:hAnsi="Times New Roman" w:cs="Times New Roman"/>
                <w:sz w:val="24"/>
                <w:szCs w:val="24"/>
              </w:rPr>
              <w:t xml:space="preserve"> </w:t>
            </w:r>
            <w:r>
              <w:rPr>
                <w:rFonts w:ascii="Times New Roman" w:hAnsi="Times New Roman" w:cs="Times New Roman"/>
                <w:sz w:val="24"/>
                <w:szCs w:val="24"/>
              </w:rPr>
              <w:t>c</w:t>
            </w:r>
            <w:r w:rsidRPr="00F119F4">
              <w:rPr>
                <w:rFonts w:ascii="Times New Roman" w:hAnsi="Times New Roman" w:cs="Times New Roman"/>
                <w:sz w:val="24"/>
                <w:szCs w:val="24"/>
              </w:rPr>
              <w:t>ommittee</w:t>
            </w:r>
            <w:r>
              <w:rPr>
                <w:rFonts w:ascii="Times New Roman" w:hAnsi="Times New Roman" w:cs="Times New Roman"/>
                <w:sz w:val="24"/>
                <w:szCs w:val="24"/>
              </w:rPr>
              <w:t>.</w:t>
            </w:r>
          </w:p>
        </w:tc>
        <w:tc>
          <w:tcPr>
            <w:tcW w:w="2408" w:type="dxa"/>
          </w:tcPr>
          <w:p w14:paraId="45FFCA48" w14:textId="77777777" w:rsidR="00837DA7" w:rsidRPr="00F119F4" w:rsidRDefault="00837DA7" w:rsidP="00353A9A">
            <w:pPr>
              <w:rPr>
                <w:rFonts w:ascii="Times New Roman" w:hAnsi="Times New Roman" w:cs="Times New Roman"/>
                <w:sz w:val="24"/>
                <w:szCs w:val="24"/>
              </w:rPr>
            </w:pPr>
            <w:r w:rsidRPr="009C4D7D">
              <w:rPr>
                <w:rFonts w:ascii="Times New Roman" w:hAnsi="Times New Roman" w:cs="Times New Roman"/>
                <w:sz w:val="24"/>
                <w:szCs w:val="24"/>
              </w:rPr>
              <w:t>HEFCE (2001b)</w:t>
            </w:r>
          </w:p>
        </w:tc>
        <w:tc>
          <w:tcPr>
            <w:tcW w:w="852" w:type="dxa"/>
          </w:tcPr>
          <w:p w14:paraId="00FFF4FE"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766656AA" w14:textId="77777777" w:rsidR="00837DA7" w:rsidRPr="00F119F4" w:rsidRDefault="00837DA7" w:rsidP="00353A9A">
            <w:pPr>
              <w:rPr>
                <w:rFonts w:ascii="Times New Roman" w:hAnsi="Times New Roman" w:cs="Times New Roman"/>
                <w:sz w:val="24"/>
                <w:szCs w:val="24"/>
              </w:rPr>
            </w:pPr>
          </w:p>
        </w:tc>
      </w:tr>
      <w:tr w:rsidR="00837DA7" w:rsidRPr="00F119F4" w14:paraId="7DE92D5A" w14:textId="77777777" w:rsidTr="00353A9A">
        <w:trPr>
          <w:gridAfter w:val="1"/>
          <w:wAfter w:w="8" w:type="dxa"/>
        </w:trPr>
        <w:tc>
          <w:tcPr>
            <w:tcW w:w="1556" w:type="dxa"/>
            <w:vMerge/>
            <w:tcBorders>
              <w:top w:val="single" w:sz="2" w:space="0" w:color="auto"/>
              <w:bottom w:val="single" w:sz="2" w:space="0" w:color="auto"/>
            </w:tcBorders>
          </w:tcPr>
          <w:p w14:paraId="585E7F17"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3C3E8034"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2.10.3 Health and safety</w:t>
            </w:r>
            <w:r w:rsidRPr="00F119F4">
              <w:rPr>
                <w:rFonts w:ascii="Times New Roman" w:hAnsi="Times New Roman" w:cs="Times New Roman"/>
                <w:sz w:val="24"/>
                <w:szCs w:val="24"/>
              </w:rPr>
              <w:t xml:space="preserve"> compliance</w:t>
            </w:r>
            <w:r>
              <w:rPr>
                <w:rFonts w:ascii="Times New Roman" w:hAnsi="Times New Roman" w:cs="Times New Roman"/>
                <w:sz w:val="24"/>
                <w:szCs w:val="24"/>
              </w:rPr>
              <w:t>.</w:t>
            </w:r>
            <w:r w:rsidRPr="00F119F4">
              <w:rPr>
                <w:rFonts w:ascii="Times New Roman" w:hAnsi="Times New Roman" w:cs="Times New Roman"/>
                <w:sz w:val="24"/>
                <w:szCs w:val="24"/>
              </w:rPr>
              <w:t xml:space="preserve"> </w:t>
            </w:r>
          </w:p>
        </w:tc>
        <w:tc>
          <w:tcPr>
            <w:tcW w:w="2408" w:type="dxa"/>
          </w:tcPr>
          <w:p w14:paraId="44C9257B" w14:textId="77777777" w:rsidR="00837DA7" w:rsidRPr="00F119F4" w:rsidRDefault="00837DA7" w:rsidP="00353A9A">
            <w:pPr>
              <w:rPr>
                <w:rFonts w:ascii="Times New Roman" w:hAnsi="Times New Roman" w:cs="Times New Roman"/>
                <w:sz w:val="24"/>
                <w:szCs w:val="24"/>
              </w:rPr>
            </w:pPr>
            <w:r w:rsidRPr="009C4D7D">
              <w:rPr>
                <w:rFonts w:ascii="Times New Roman" w:hAnsi="Times New Roman" w:cs="Times New Roman"/>
                <w:sz w:val="24"/>
                <w:szCs w:val="24"/>
              </w:rPr>
              <w:t>HEFCE (2001b)</w:t>
            </w:r>
          </w:p>
        </w:tc>
        <w:tc>
          <w:tcPr>
            <w:tcW w:w="852" w:type="dxa"/>
          </w:tcPr>
          <w:p w14:paraId="73AFAA4F"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3525959B" w14:textId="77777777" w:rsidR="00837DA7" w:rsidRPr="00F119F4" w:rsidRDefault="00837DA7" w:rsidP="00353A9A">
            <w:pPr>
              <w:rPr>
                <w:rFonts w:ascii="Times New Roman" w:hAnsi="Times New Roman" w:cs="Times New Roman"/>
                <w:sz w:val="24"/>
                <w:szCs w:val="24"/>
              </w:rPr>
            </w:pPr>
          </w:p>
        </w:tc>
      </w:tr>
      <w:tr w:rsidR="00837DA7" w:rsidRPr="00F119F4" w14:paraId="55EC71B9" w14:textId="77777777" w:rsidTr="00353A9A">
        <w:trPr>
          <w:gridAfter w:val="1"/>
          <w:wAfter w:w="8" w:type="dxa"/>
        </w:trPr>
        <w:tc>
          <w:tcPr>
            <w:tcW w:w="1556" w:type="dxa"/>
            <w:vMerge/>
            <w:tcBorders>
              <w:top w:val="single" w:sz="2" w:space="0" w:color="auto"/>
              <w:bottom w:val="single" w:sz="2" w:space="0" w:color="auto"/>
            </w:tcBorders>
          </w:tcPr>
          <w:p w14:paraId="757DD1EC"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76EB513A"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2.10.4 Health and safety</w:t>
            </w:r>
            <w:r w:rsidRPr="00F119F4">
              <w:rPr>
                <w:rFonts w:ascii="Times New Roman" w:hAnsi="Times New Roman" w:cs="Times New Roman"/>
                <w:sz w:val="24"/>
                <w:szCs w:val="24"/>
              </w:rPr>
              <w:t xml:space="preserve"> training schemes</w:t>
            </w:r>
            <w:r>
              <w:rPr>
                <w:rFonts w:ascii="Times New Roman" w:hAnsi="Times New Roman" w:cs="Times New Roman"/>
                <w:sz w:val="24"/>
                <w:szCs w:val="24"/>
              </w:rPr>
              <w:t>.</w:t>
            </w:r>
            <w:r w:rsidRPr="00F119F4">
              <w:rPr>
                <w:rFonts w:ascii="Times New Roman" w:hAnsi="Times New Roman" w:cs="Times New Roman"/>
                <w:sz w:val="24"/>
                <w:szCs w:val="24"/>
              </w:rPr>
              <w:t xml:space="preserve"> </w:t>
            </w:r>
          </w:p>
        </w:tc>
        <w:tc>
          <w:tcPr>
            <w:tcW w:w="2408" w:type="dxa"/>
          </w:tcPr>
          <w:p w14:paraId="3C982012" w14:textId="77777777" w:rsidR="00837DA7" w:rsidRPr="00F119F4" w:rsidRDefault="00837DA7" w:rsidP="00353A9A">
            <w:pPr>
              <w:rPr>
                <w:rFonts w:ascii="Times New Roman" w:hAnsi="Times New Roman" w:cs="Times New Roman"/>
                <w:sz w:val="24"/>
                <w:szCs w:val="24"/>
              </w:rPr>
            </w:pPr>
            <w:r w:rsidRPr="009C4D7D">
              <w:rPr>
                <w:rFonts w:ascii="Times New Roman" w:hAnsi="Times New Roman" w:cs="Times New Roman"/>
                <w:sz w:val="24"/>
                <w:szCs w:val="24"/>
              </w:rPr>
              <w:t>HEFCE (2001b)</w:t>
            </w:r>
          </w:p>
        </w:tc>
        <w:tc>
          <w:tcPr>
            <w:tcW w:w="852" w:type="dxa"/>
          </w:tcPr>
          <w:p w14:paraId="33133213"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0274CD16" w14:textId="77777777" w:rsidR="00837DA7" w:rsidRPr="00F119F4" w:rsidRDefault="00837DA7" w:rsidP="00353A9A">
            <w:pPr>
              <w:rPr>
                <w:rFonts w:ascii="Times New Roman" w:hAnsi="Times New Roman" w:cs="Times New Roman"/>
                <w:sz w:val="24"/>
                <w:szCs w:val="24"/>
              </w:rPr>
            </w:pPr>
          </w:p>
        </w:tc>
      </w:tr>
      <w:tr w:rsidR="00837DA7" w:rsidRPr="00F119F4" w14:paraId="1C53A4C1" w14:textId="77777777" w:rsidTr="00353A9A">
        <w:trPr>
          <w:gridAfter w:val="1"/>
          <w:wAfter w:w="8" w:type="dxa"/>
        </w:trPr>
        <w:tc>
          <w:tcPr>
            <w:tcW w:w="1556" w:type="dxa"/>
            <w:vMerge/>
            <w:tcBorders>
              <w:top w:val="single" w:sz="2" w:space="0" w:color="auto"/>
              <w:bottom w:val="single" w:sz="2" w:space="0" w:color="auto"/>
            </w:tcBorders>
          </w:tcPr>
          <w:p w14:paraId="6AD3B0E8"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563697EF"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2.10.5 Health and safety</w:t>
            </w:r>
            <w:r w:rsidRPr="00F119F4">
              <w:rPr>
                <w:rFonts w:ascii="Times New Roman" w:hAnsi="Times New Roman" w:cs="Times New Roman"/>
                <w:sz w:val="24"/>
                <w:szCs w:val="24"/>
              </w:rPr>
              <w:t xml:space="preserve"> expertise</w:t>
            </w:r>
            <w:r>
              <w:rPr>
                <w:rFonts w:ascii="Times New Roman" w:hAnsi="Times New Roman" w:cs="Times New Roman"/>
                <w:sz w:val="24"/>
                <w:szCs w:val="24"/>
              </w:rPr>
              <w:t>.</w:t>
            </w:r>
          </w:p>
        </w:tc>
        <w:tc>
          <w:tcPr>
            <w:tcW w:w="2408" w:type="dxa"/>
          </w:tcPr>
          <w:p w14:paraId="076F9C25" w14:textId="77777777" w:rsidR="00837DA7" w:rsidRPr="00F119F4" w:rsidRDefault="00837DA7" w:rsidP="00353A9A">
            <w:pPr>
              <w:rPr>
                <w:rFonts w:ascii="Times New Roman" w:hAnsi="Times New Roman" w:cs="Times New Roman"/>
                <w:sz w:val="24"/>
                <w:szCs w:val="24"/>
              </w:rPr>
            </w:pPr>
            <w:r w:rsidRPr="009C4D7D">
              <w:rPr>
                <w:rFonts w:ascii="Times New Roman" w:hAnsi="Times New Roman" w:cs="Times New Roman"/>
                <w:sz w:val="24"/>
                <w:szCs w:val="24"/>
              </w:rPr>
              <w:t>HEFCE (2001b)</w:t>
            </w:r>
          </w:p>
        </w:tc>
        <w:tc>
          <w:tcPr>
            <w:tcW w:w="852" w:type="dxa"/>
          </w:tcPr>
          <w:p w14:paraId="5FC5F5A1"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486D188D" w14:textId="77777777" w:rsidR="00837DA7" w:rsidRPr="00F119F4" w:rsidRDefault="00837DA7" w:rsidP="00353A9A">
            <w:pPr>
              <w:rPr>
                <w:rFonts w:ascii="Times New Roman" w:hAnsi="Times New Roman" w:cs="Times New Roman"/>
                <w:sz w:val="24"/>
                <w:szCs w:val="24"/>
              </w:rPr>
            </w:pPr>
          </w:p>
        </w:tc>
      </w:tr>
      <w:tr w:rsidR="00837DA7" w:rsidRPr="00F119F4" w14:paraId="0125F353" w14:textId="77777777" w:rsidTr="00353A9A">
        <w:tc>
          <w:tcPr>
            <w:tcW w:w="11049" w:type="dxa"/>
            <w:gridSpan w:val="7"/>
          </w:tcPr>
          <w:p w14:paraId="4FE4372F" w14:textId="77777777" w:rsidR="00837DA7" w:rsidRDefault="00837DA7" w:rsidP="00353A9A">
            <w:pPr>
              <w:jc w:val="center"/>
              <w:rPr>
                <w:rFonts w:ascii="Times New Roman" w:hAnsi="Times New Roman" w:cs="Times New Roman"/>
                <w:sz w:val="24"/>
                <w:szCs w:val="24"/>
              </w:rPr>
            </w:pPr>
          </w:p>
        </w:tc>
      </w:tr>
      <w:tr w:rsidR="00837DA7" w:rsidRPr="00F119F4" w14:paraId="5269BA2C" w14:textId="77777777" w:rsidTr="00353A9A">
        <w:trPr>
          <w:gridAfter w:val="1"/>
          <w:wAfter w:w="8" w:type="dxa"/>
        </w:trPr>
        <w:tc>
          <w:tcPr>
            <w:tcW w:w="1556" w:type="dxa"/>
            <w:vMerge w:val="restart"/>
          </w:tcPr>
          <w:p w14:paraId="27F46430"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 xml:space="preserve">3. </w:t>
            </w:r>
            <w:r w:rsidRPr="00822FDB">
              <w:rPr>
                <w:rFonts w:ascii="Times New Roman" w:hAnsi="Times New Roman" w:cs="Times New Roman"/>
                <w:b/>
                <w:bCs/>
                <w:sz w:val="24"/>
                <w:szCs w:val="24"/>
              </w:rPr>
              <w:t>Strategic</w:t>
            </w:r>
            <w:r>
              <w:rPr>
                <w:rFonts w:ascii="Times New Roman" w:hAnsi="Times New Roman" w:cs="Times New Roman"/>
                <w:b/>
                <w:bCs/>
                <w:sz w:val="24"/>
                <w:szCs w:val="24"/>
              </w:rPr>
              <w:t xml:space="preserve"> risks (</w:t>
            </w:r>
            <w:r w:rsidRPr="00772CE9">
              <w:rPr>
                <w:rFonts w:ascii="Times New Roman" w:hAnsi="Times New Roman" w:cs="Times New Roman"/>
                <w:b/>
                <w:bCs/>
                <w:i/>
                <w:iCs/>
                <w:sz w:val="24"/>
                <w:szCs w:val="24"/>
              </w:rPr>
              <w:t>HESRD</w:t>
            </w:r>
            <w:r>
              <w:rPr>
                <w:rFonts w:ascii="Times New Roman" w:hAnsi="Times New Roman" w:cs="Times New Roman"/>
                <w:b/>
                <w:bCs/>
                <w:sz w:val="24"/>
                <w:szCs w:val="24"/>
              </w:rPr>
              <w:t>)</w:t>
            </w:r>
          </w:p>
        </w:tc>
        <w:tc>
          <w:tcPr>
            <w:tcW w:w="5385" w:type="dxa"/>
          </w:tcPr>
          <w:p w14:paraId="65B43F48"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3.1 </w:t>
            </w:r>
            <w:r w:rsidRPr="00F119F4">
              <w:rPr>
                <w:rFonts w:ascii="Times New Roman" w:hAnsi="Times New Roman" w:cs="Times New Roman"/>
                <w:sz w:val="24"/>
                <w:szCs w:val="24"/>
              </w:rPr>
              <w:t>Sovereign/politics</w:t>
            </w:r>
            <w:r>
              <w:rPr>
                <w:rFonts w:ascii="Times New Roman" w:hAnsi="Times New Roman" w:cs="Times New Roman"/>
                <w:sz w:val="24"/>
                <w:szCs w:val="24"/>
              </w:rPr>
              <w:t>.</w:t>
            </w:r>
          </w:p>
        </w:tc>
        <w:tc>
          <w:tcPr>
            <w:tcW w:w="2408" w:type="dxa"/>
          </w:tcPr>
          <w:p w14:paraId="4EEC9B30" w14:textId="77777777" w:rsidR="00837DA7" w:rsidRPr="00F119F4" w:rsidRDefault="00837DA7" w:rsidP="00353A9A">
            <w:pPr>
              <w:rPr>
                <w:rFonts w:ascii="Times New Roman" w:hAnsi="Times New Roman" w:cs="Times New Roman"/>
                <w:sz w:val="24"/>
                <w:szCs w:val="24"/>
              </w:rPr>
            </w:pPr>
            <w:r w:rsidRPr="009C4D7D">
              <w:rPr>
                <w:rFonts w:ascii="Times New Roman" w:hAnsi="Times New Roman" w:cs="Times New Roman"/>
                <w:sz w:val="24"/>
                <w:szCs w:val="24"/>
              </w:rPr>
              <w:t>HEFCE (2001b)</w:t>
            </w:r>
          </w:p>
        </w:tc>
        <w:tc>
          <w:tcPr>
            <w:tcW w:w="852" w:type="dxa"/>
          </w:tcPr>
          <w:p w14:paraId="660A637E"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val="restart"/>
            <w:vAlign w:val="center"/>
          </w:tcPr>
          <w:p w14:paraId="3797B78F" w14:textId="77777777" w:rsidR="00837DA7" w:rsidRPr="00F119F4" w:rsidRDefault="00837DA7" w:rsidP="00353A9A">
            <w:pPr>
              <w:jc w:val="center"/>
              <w:rPr>
                <w:rFonts w:ascii="Times New Roman" w:hAnsi="Times New Roman" w:cs="Times New Roman"/>
                <w:sz w:val="24"/>
                <w:szCs w:val="24"/>
              </w:rPr>
            </w:pPr>
            <w:r>
              <w:rPr>
                <w:rFonts w:ascii="Times New Roman" w:hAnsi="Times New Roman" w:cs="Times New Roman"/>
                <w:sz w:val="24"/>
                <w:szCs w:val="24"/>
              </w:rPr>
              <w:t>90</w:t>
            </w:r>
          </w:p>
        </w:tc>
      </w:tr>
      <w:tr w:rsidR="00837DA7" w:rsidRPr="00F119F4" w14:paraId="070ADC37" w14:textId="77777777" w:rsidTr="00353A9A">
        <w:trPr>
          <w:gridAfter w:val="1"/>
          <w:wAfter w:w="8" w:type="dxa"/>
        </w:trPr>
        <w:tc>
          <w:tcPr>
            <w:tcW w:w="1556" w:type="dxa"/>
            <w:vMerge/>
            <w:vAlign w:val="center"/>
          </w:tcPr>
          <w:p w14:paraId="3D17FFED" w14:textId="77777777" w:rsidR="00837DA7" w:rsidRPr="00F119F4" w:rsidRDefault="00837DA7" w:rsidP="00353A9A">
            <w:pPr>
              <w:autoSpaceDE w:val="0"/>
              <w:autoSpaceDN w:val="0"/>
              <w:adjustRightInd w:val="0"/>
              <w:jc w:val="center"/>
              <w:rPr>
                <w:rFonts w:ascii="Times New Roman" w:hAnsi="Times New Roman" w:cs="Times New Roman"/>
                <w:sz w:val="24"/>
                <w:szCs w:val="24"/>
              </w:rPr>
            </w:pPr>
          </w:p>
        </w:tc>
        <w:tc>
          <w:tcPr>
            <w:tcW w:w="5385" w:type="dxa"/>
          </w:tcPr>
          <w:p w14:paraId="5CC20E0C" w14:textId="77777777" w:rsidR="00837DA7" w:rsidRPr="00822FDB"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3.2 </w:t>
            </w:r>
            <w:r w:rsidRPr="00F119F4">
              <w:rPr>
                <w:rFonts w:ascii="Times New Roman" w:hAnsi="Times New Roman" w:cs="Times New Roman"/>
                <w:sz w:val="24"/>
                <w:szCs w:val="24"/>
              </w:rPr>
              <w:t>Regulation</w:t>
            </w:r>
            <w:r>
              <w:rPr>
                <w:rFonts w:ascii="Times New Roman" w:hAnsi="Times New Roman" w:cs="Times New Roman"/>
                <w:sz w:val="24"/>
                <w:szCs w:val="24"/>
              </w:rPr>
              <w:t>.</w:t>
            </w:r>
          </w:p>
        </w:tc>
        <w:tc>
          <w:tcPr>
            <w:tcW w:w="2408" w:type="dxa"/>
          </w:tcPr>
          <w:p w14:paraId="1BA1D23B" w14:textId="77777777" w:rsidR="00837DA7" w:rsidRPr="00F119F4" w:rsidRDefault="00837DA7" w:rsidP="00353A9A">
            <w:pPr>
              <w:rPr>
                <w:rFonts w:ascii="Times New Roman" w:hAnsi="Times New Roman" w:cs="Times New Roman"/>
                <w:sz w:val="24"/>
                <w:szCs w:val="24"/>
              </w:rPr>
            </w:pPr>
            <w:r w:rsidRPr="009C4D7D">
              <w:rPr>
                <w:rFonts w:ascii="Times New Roman" w:hAnsi="Times New Roman" w:cs="Times New Roman"/>
                <w:sz w:val="24"/>
                <w:szCs w:val="24"/>
              </w:rPr>
              <w:t>HEFCE (2001b)</w:t>
            </w:r>
          </w:p>
        </w:tc>
        <w:tc>
          <w:tcPr>
            <w:tcW w:w="852" w:type="dxa"/>
          </w:tcPr>
          <w:p w14:paraId="2A0ADC2E"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7DAD93C5" w14:textId="77777777" w:rsidR="00837DA7" w:rsidRPr="00F119F4" w:rsidRDefault="00837DA7" w:rsidP="00353A9A">
            <w:pPr>
              <w:rPr>
                <w:rFonts w:ascii="Times New Roman" w:hAnsi="Times New Roman" w:cs="Times New Roman"/>
                <w:sz w:val="24"/>
                <w:szCs w:val="24"/>
              </w:rPr>
            </w:pPr>
          </w:p>
        </w:tc>
      </w:tr>
      <w:tr w:rsidR="00837DA7" w:rsidRPr="00F119F4" w14:paraId="0A7FDB2A" w14:textId="77777777" w:rsidTr="00353A9A">
        <w:trPr>
          <w:gridAfter w:val="1"/>
          <w:wAfter w:w="8" w:type="dxa"/>
        </w:trPr>
        <w:tc>
          <w:tcPr>
            <w:tcW w:w="1556" w:type="dxa"/>
            <w:vMerge/>
          </w:tcPr>
          <w:p w14:paraId="46AECFF8"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3B6D3A74" w14:textId="77777777" w:rsidR="00837DA7" w:rsidRPr="00822FDB"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3.3 </w:t>
            </w:r>
            <w:r w:rsidRPr="00F119F4">
              <w:rPr>
                <w:rFonts w:ascii="Times New Roman" w:hAnsi="Times New Roman" w:cs="Times New Roman"/>
                <w:sz w:val="24"/>
                <w:szCs w:val="24"/>
              </w:rPr>
              <w:t>Taxation</w:t>
            </w:r>
            <w:r>
              <w:rPr>
                <w:rFonts w:ascii="Times New Roman" w:hAnsi="Times New Roman" w:cs="Times New Roman"/>
                <w:sz w:val="24"/>
                <w:szCs w:val="24"/>
              </w:rPr>
              <w:t>.</w:t>
            </w:r>
          </w:p>
        </w:tc>
        <w:tc>
          <w:tcPr>
            <w:tcW w:w="2408" w:type="dxa"/>
          </w:tcPr>
          <w:p w14:paraId="68685A6A" w14:textId="77777777" w:rsidR="00837DA7" w:rsidRPr="00F119F4" w:rsidRDefault="00837DA7" w:rsidP="00353A9A">
            <w:pPr>
              <w:rPr>
                <w:rFonts w:ascii="Times New Roman" w:hAnsi="Times New Roman" w:cs="Times New Roman"/>
                <w:sz w:val="24"/>
                <w:szCs w:val="24"/>
              </w:rPr>
            </w:pPr>
            <w:r w:rsidRPr="00722F10">
              <w:rPr>
                <w:rFonts w:ascii="Times New Roman" w:hAnsi="Times New Roman" w:cs="Times New Roman"/>
                <w:sz w:val="24"/>
                <w:szCs w:val="24"/>
              </w:rPr>
              <w:t>LFHE (2009)</w:t>
            </w:r>
          </w:p>
        </w:tc>
        <w:tc>
          <w:tcPr>
            <w:tcW w:w="852" w:type="dxa"/>
          </w:tcPr>
          <w:p w14:paraId="06619264"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6839BFCC" w14:textId="77777777" w:rsidR="00837DA7" w:rsidRPr="00F119F4" w:rsidRDefault="00837DA7" w:rsidP="00353A9A">
            <w:pPr>
              <w:rPr>
                <w:rFonts w:ascii="Times New Roman" w:hAnsi="Times New Roman" w:cs="Times New Roman"/>
                <w:sz w:val="24"/>
                <w:szCs w:val="24"/>
              </w:rPr>
            </w:pPr>
          </w:p>
        </w:tc>
      </w:tr>
      <w:tr w:rsidR="00837DA7" w:rsidRPr="00F119F4" w14:paraId="10EEC6F9" w14:textId="77777777" w:rsidTr="00353A9A">
        <w:trPr>
          <w:gridAfter w:val="1"/>
          <w:wAfter w:w="8" w:type="dxa"/>
        </w:trPr>
        <w:tc>
          <w:tcPr>
            <w:tcW w:w="1556" w:type="dxa"/>
            <w:vMerge/>
          </w:tcPr>
          <w:p w14:paraId="66079CDE"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4D19DCD8"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3.4 </w:t>
            </w:r>
            <w:r w:rsidRPr="00F119F4">
              <w:rPr>
                <w:rFonts w:ascii="Times New Roman" w:hAnsi="Times New Roman" w:cs="Times New Roman"/>
                <w:sz w:val="24"/>
                <w:szCs w:val="24"/>
              </w:rPr>
              <w:t>GDP growth/market demand/aggregate demand</w:t>
            </w:r>
            <w:r>
              <w:rPr>
                <w:rFonts w:ascii="Times New Roman" w:hAnsi="Times New Roman" w:cs="Times New Roman"/>
                <w:sz w:val="24"/>
                <w:szCs w:val="24"/>
              </w:rPr>
              <w:t>.</w:t>
            </w:r>
          </w:p>
        </w:tc>
        <w:tc>
          <w:tcPr>
            <w:tcW w:w="2408" w:type="dxa"/>
          </w:tcPr>
          <w:p w14:paraId="743A2F65" w14:textId="77777777" w:rsidR="00837DA7" w:rsidRPr="00F119F4" w:rsidRDefault="00837DA7" w:rsidP="00353A9A">
            <w:pPr>
              <w:rPr>
                <w:rFonts w:ascii="Times New Roman" w:hAnsi="Times New Roman" w:cs="Times New Roman"/>
                <w:sz w:val="24"/>
                <w:szCs w:val="24"/>
              </w:rPr>
            </w:pPr>
            <w:r w:rsidRPr="00722F10">
              <w:rPr>
                <w:rFonts w:ascii="Times New Roman" w:hAnsi="Times New Roman" w:cs="Times New Roman"/>
                <w:sz w:val="24"/>
                <w:szCs w:val="24"/>
              </w:rPr>
              <w:t>LFHE (2009)</w:t>
            </w:r>
          </w:p>
        </w:tc>
        <w:tc>
          <w:tcPr>
            <w:tcW w:w="852" w:type="dxa"/>
          </w:tcPr>
          <w:p w14:paraId="7739293A"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66EF99DE" w14:textId="77777777" w:rsidR="00837DA7" w:rsidRPr="00F119F4" w:rsidRDefault="00837DA7" w:rsidP="00353A9A">
            <w:pPr>
              <w:rPr>
                <w:rFonts w:ascii="Times New Roman" w:hAnsi="Times New Roman" w:cs="Times New Roman"/>
                <w:sz w:val="24"/>
                <w:szCs w:val="24"/>
              </w:rPr>
            </w:pPr>
          </w:p>
        </w:tc>
      </w:tr>
      <w:tr w:rsidR="00837DA7" w:rsidRPr="00F119F4" w14:paraId="21FC479D" w14:textId="77777777" w:rsidTr="00353A9A">
        <w:trPr>
          <w:gridAfter w:val="1"/>
          <w:wAfter w:w="8" w:type="dxa"/>
        </w:trPr>
        <w:tc>
          <w:tcPr>
            <w:tcW w:w="1556" w:type="dxa"/>
            <w:vMerge/>
          </w:tcPr>
          <w:p w14:paraId="3353F275"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36894E97"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3.5 </w:t>
            </w:r>
            <w:r w:rsidRPr="00F119F4">
              <w:rPr>
                <w:rFonts w:ascii="Times New Roman" w:hAnsi="Times New Roman" w:cs="Times New Roman"/>
                <w:sz w:val="24"/>
                <w:szCs w:val="24"/>
              </w:rPr>
              <w:t>Unemployment rate</w:t>
            </w:r>
            <w:r>
              <w:rPr>
                <w:rFonts w:ascii="Times New Roman" w:hAnsi="Times New Roman" w:cs="Times New Roman"/>
                <w:sz w:val="24"/>
                <w:szCs w:val="24"/>
              </w:rPr>
              <w:t>.</w:t>
            </w:r>
          </w:p>
        </w:tc>
        <w:tc>
          <w:tcPr>
            <w:tcW w:w="2408" w:type="dxa"/>
          </w:tcPr>
          <w:p w14:paraId="4C98D9C3"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Ntim</w:t>
            </w:r>
            <w:r>
              <w:rPr>
                <w:rFonts w:ascii="Times New Roman" w:hAnsi="Times New Roman" w:cs="Times New Roman"/>
                <w:sz w:val="24"/>
                <w:szCs w:val="24"/>
              </w:rPr>
              <w:t xml:space="preserve"> et al. (2013)</w:t>
            </w:r>
          </w:p>
        </w:tc>
        <w:tc>
          <w:tcPr>
            <w:tcW w:w="852" w:type="dxa"/>
          </w:tcPr>
          <w:p w14:paraId="1EE6DEB1"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19F9DF68" w14:textId="77777777" w:rsidR="00837DA7" w:rsidRPr="00F119F4" w:rsidRDefault="00837DA7" w:rsidP="00353A9A">
            <w:pPr>
              <w:rPr>
                <w:rFonts w:ascii="Times New Roman" w:hAnsi="Times New Roman" w:cs="Times New Roman"/>
                <w:sz w:val="24"/>
                <w:szCs w:val="24"/>
              </w:rPr>
            </w:pPr>
          </w:p>
        </w:tc>
      </w:tr>
      <w:tr w:rsidR="00837DA7" w:rsidRPr="00F119F4" w14:paraId="62AF911D" w14:textId="77777777" w:rsidTr="00353A9A">
        <w:trPr>
          <w:gridAfter w:val="1"/>
          <w:wAfter w:w="8" w:type="dxa"/>
        </w:trPr>
        <w:tc>
          <w:tcPr>
            <w:tcW w:w="1556" w:type="dxa"/>
            <w:vMerge/>
          </w:tcPr>
          <w:p w14:paraId="665419AA"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43698179"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3.6 </w:t>
            </w:r>
            <w:r w:rsidRPr="00F119F4">
              <w:rPr>
                <w:rFonts w:ascii="Times New Roman" w:hAnsi="Times New Roman" w:cs="Times New Roman"/>
                <w:sz w:val="24"/>
                <w:szCs w:val="24"/>
              </w:rPr>
              <w:t>Money supply/quantitative easing</w:t>
            </w:r>
            <w:r>
              <w:rPr>
                <w:rFonts w:ascii="Times New Roman" w:hAnsi="Times New Roman" w:cs="Times New Roman"/>
                <w:sz w:val="24"/>
                <w:szCs w:val="24"/>
              </w:rPr>
              <w:t>.</w:t>
            </w:r>
          </w:p>
        </w:tc>
        <w:tc>
          <w:tcPr>
            <w:tcW w:w="2408" w:type="dxa"/>
          </w:tcPr>
          <w:p w14:paraId="4198DC51" w14:textId="77777777" w:rsidR="00837DA7" w:rsidRPr="00F119F4" w:rsidRDefault="00837DA7" w:rsidP="00353A9A">
            <w:pPr>
              <w:rPr>
                <w:rFonts w:ascii="Times New Roman" w:hAnsi="Times New Roman" w:cs="Times New Roman"/>
                <w:sz w:val="24"/>
                <w:szCs w:val="24"/>
              </w:rPr>
            </w:pPr>
            <w:r w:rsidRPr="007F6A4A">
              <w:rPr>
                <w:rFonts w:ascii="Times New Roman" w:hAnsi="Times New Roman" w:cs="Times New Roman"/>
                <w:sz w:val="24"/>
                <w:szCs w:val="24"/>
              </w:rPr>
              <w:t>LFHE (2009)</w:t>
            </w:r>
          </w:p>
        </w:tc>
        <w:tc>
          <w:tcPr>
            <w:tcW w:w="852" w:type="dxa"/>
          </w:tcPr>
          <w:p w14:paraId="2048F5B5"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2A06D1E9" w14:textId="77777777" w:rsidR="00837DA7" w:rsidRPr="00F119F4" w:rsidRDefault="00837DA7" w:rsidP="00353A9A">
            <w:pPr>
              <w:rPr>
                <w:rFonts w:ascii="Times New Roman" w:hAnsi="Times New Roman" w:cs="Times New Roman"/>
                <w:sz w:val="24"/>
                <w:szCs w:val="24"/>
              </w:rPr>
            </w:pPr>
          </w:p>
        </w:tc>
      </w:tr>
      <w:tr w:rsidR="00837DA7" w:rsidRPr="00F119F4" w14:paraId="6197DAA1" w14:textId="77777777" w:rsidTr="00353A9A">
        <w:trPr>
          <w:gridAfter w:val="1"/>
          <w:wAfter w:w="8" w:type="dxa"/>
        </w:trPr>
        <w:tc>
          <w:tcPr>
            <w:tcW w:w="1556" w:type="dxa"/>
            <w:vMerge/>
          </w:tcPr>
          <w:p w14:paraId="045EEB97"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4880C277"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3.7 </w:t>
            </w:r>
            <w:r w:rsidRPr="00F119F4">
              <w:rPr>
                <w:rFonts w:ascii="Times New Roman" w:hAnsi="Times New Roman" w:cs="Times New Roman"/>
                <w:sz w:val="24"/>
                <w:szCs w:val="24"/>
              </w:rPr>
              <w:t>Economic changes/impact (e.g., Oil price changes, financial crisis, Inflation rate)</w:t>
            </w:r>
            <w:r>
              <w:rPr>
                <w:rFonts w:ascii="Times New Roman" w:hAnsi="Times New Roman" w:cs="Times New Roman"/>
                <w:sz w:val="24"/>
                <w:szCs w:val="24"/>
              </w:rPr>
              <w:t>.</w:t>
            </w:r>
          </w:p>
        </w:tc>
        <w:tc>
          <w:tcPr>
            <w:tcW w:w="2408" w:type="dxa"/>
          </w:tcPr>
          <w:p w14:paraId="0EB13B6E" w14:textId="77777777" w:rsidR="00837DA7" w:rsidRPr="00F119F4" w:rsidRDefault="00837DA7" w:rsidP="00353A9A">
            <w:pPr>
              <w:rPr>
                <w:rFonts w:ascii="Times New Roman" w:hAnsi="Times New Roman" w:cs="Times New Roman"/>
                <w:sz w:val="24"/>
                <w:szCs w:val="24"/>
              </w:rPr>
            </w:pPr>
            <w:r w:rsidRPr="0087350E">
              <w:rPr>
                <w:rFonts w:ascii="Times New Roman" w:hAnsi="Times New Roman" w:cs="Times New Roman"/>
                <w:sz w:val="24"/>
                <w:szCs w:val="24"/>
              </w:rPr>
              <w:t>HEFCE (2001b)</w:t>
            </w:r>
          </w:p>
        </w:tc>
        <w:tc>
          <w:tcPr>
            <w:tcW w:w="852" w:type="dxa"/>
          </w:tcPr>
          <w:p w14:paraId="4041A987"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32116D38" w14:textId="77777777" w:rsidR="00837DA7" w:rsidRPr="00F119F4" w:rsidRDefault="00837DA7" w:rsidP="00353A9A">
            <w:pPr>
              <w:rPr>
                <w:rFonts w:ascii="Times New Roman" w:hAnsi="Times New Roman" w:cs="Times New Roman"/>
                <w:sz w:val="24"/>
                <w:szCs w:val="24"/>
              </w:rPr>
            </w:pPr>
          </w:p>
        </w:tc>
      </w:tr>
      <w:tr w:rsidR="00837DA7" w:rsidRPr="00F119F4" w14:paraId="6FA2C2F0" w14:textId="77777777" w:rsidTr="00353A9A">
        <w:trPr>
          <w:gridAfter w:val="1"/>
          <w:wAfter w:w="8" w:type="dxa"/>
        </w:trPr>
        <w:tc>
          <w:tcPr>
            <w:tcW w:w="1556" w:type="dxa"/>
            <w:vMerge/>
          </w:tcPr>
          <w:p w14:paraId="19AB31CD"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57A23ABF"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3.8 </w:t>
            </w:r>
            <w:r w:rsidRPr="00F119F4">
              <w:rPr>
                <w:rFonts w:ascii="Times New Roman" w:hAnsi="Times New Roman" w:cs="Times New Roman"/>
                <w:sz w:val="24"/>
                <w:szCs w:val="24"/>
              </w:rPr>
              <w:t>Public/budget deficit</w:t>
            </w:r>
            <w:r>
              <w:rPr>
                <w:rFonts w:ascii="Times New Roman" w:hAnsi="Times New Roman" w:cs="Times New Roman"/>
                <w:sz w:val="24"/>
                <w:szCs w:val="24"/>
              </w:rPr>
              <w:t>.</w:t>
            </w:r>
          </w:p>
        </w:tc>
        <w:tc>
          <w:tcPr>
            <w:tcW w:w="2408" w:type="dxa"/>
          </w:tcPr>
          <w:p w14:paraId="05B490D9" w14:textId="77777777" w:rsidR="00837DA7" w:rsidRPr="00F119F4" w:rsidRDefault="00837DA7" w:rsidP="00353A9A">
            <w:pPr>
              <w:rPr>
                <w:rFonts w:ascii="Times New Roman" w:hAnsi="Times New Roman" w:cs="Times New Roman"/>
                <w:sz w:val="24"/>
                <w:szCs w:val="24"/>
              </w:rPr>
            </w:pPr>
            <w:r w:rsidRPr="0087350E">
              <w:rPr>
                <w:rFonts w:ascii="Times New Roman" w:hAnsi="Times New Roman" w:cs="Times New Roman"/>
                <w:sz w:val="24"/>
                <w:szCs w:val="24"/>
              </w:rPr>
              <w:t>HEFCE (2001b)</w:t>
            </w:r>
          </w:p>
        </w:tc>
        <w:tc>
          <w:tcPr>
            <w:tcW w:w="852" w:type="dxa"/>
          </w:tcPr>
          <w:p w14:paraId="7B25980A"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6C46B536" w14:textId="77777777" w:rsidR="00837DA7" w:rsidRPr="00F119F4" w:rsidRDefault="00837DA7" w:rsidP="00353A9A">
            <w:pPr>
              <w:rPr>
                <w:rFonts w:ascii="Times New Roman" w:hAnsi="Times New Roman" w:cs="Times New Roman"/>
                <w:sz w:val="24"/>
                <w:szCs w:val="24"/>
              </w:rPr>
            </w:pPr>
          </w:p>
        </w:tc>
      </w:tr>
      <w:tr w:rsidR="00837DA7" w:rsidRPr="00F119F4" w14:paraId="4B5DA1CC" w14:textId="77777777" w:rsidTr="00353A9A">
        <w:trPr>
          <w:gridAfter w:val="1"/>
          <w:wAfter w:w="8" w:type="dxa"/>
        </w:trPr>
        <w:tc>
          <w:tcPr>
            <w:tcW w:w="1556" w:type="dxa"/>
            <w:vMerge/>
          </w:tcPr>
          <w:p w14:paraId="521D67CC"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4D23EBA1"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3.9 </w:t>
            </w:r>
            <w:r w:rsidRPr="00F119F4">
              <w:rPr>
                <w:rFonts w:ascii="Times New Roman" w:hAnsi="Times New Roman" w:cs="Times New Roman"/>
                <w:sz w:val="24"/>
                <w:szCs w:val="24"/>
              </w:rPr>
              <w:t>Interest rate</w:t>
            </w:r>
            <w:r>
              <w:rPr>
                <w:rFonts w:ascii="Times New Roman" w:hAnsi="Times New Roman" w:cs="Times New Roman"/>
                <w:sz w:val="24"/>
                <w:szCs w:val="24"/>
              </w:rPr>
              <w:t>.</w:t>
            </w:r>
          </w:p>
        </w:tc>
        <w:tc>
          <w:tcPr>
            <w:tcW w:w="2408" w:type="dxa"/>
          </w:tcPr>
          <w:p w14:paraId="76135641"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Nti</w:t>
            </w:r>
            <w:r>
              <w:rPr>
                <w:rFonts w:ascii="Times New Roman" w:hAnsi="Times New Roman" w:cs="Times New Roman"/>
                <w:sz w:val="24"/>
                <w:szCs w:val="24"/>
              </w:rPr>
              <w:t>m et al. (2013)</w:t>
            </w:r>
          </w:p>
        </w:tc>
        <w:tc>
          <w:tcPr>
            <w:tcW w:w="852" w:type="dxa"/>
          </w:tcPr>
          <w:p w14:paraId="5EE0E27D"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745DBE62" w14:textId="77777777" w:rsidR="00837DA7" w:rsidRPr="00F119F4" w:rsidRDefault="00837DA7" w:rsidP="00353A9A">
            <w:pPr>
              <w:rPr>
                <w:rFonts w:ascii="Times New Roman" w:hAnsi="Times New Roman" w:cs="Times New Roman"/>
                <w:sz w:val="24"/>
                <w:szCs w:val="24"/>
              </w:rPr>
            </w:pPr>
          </w:p>
        </w:tc>
      </w:tr>
      <w:tr w:rsidR="00837DA7" w:rsidRPr="00F119F4" w14:paraId="6912C01F" w14:textId="77777777" w:rsidTr="00353A9A">
        <w:trPr>
          <w:gridAfter w:val="1"/>
          <w:wAfter w:w="8" w:type="dxa"/>
        </w:trPr>
        <w:tc>
          <w:tcPr>
            <w:tcW w:w="1556" w:type="dxa"/>
            <w:vMerge/>
          </w:tcPr>
          <w:p w14:paraId="6214F409"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58E2F0CF"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3.10 N</w:t>
            </w:r>
            <w:r w:rsidRPr="00822FDB">
              <w:rPr>
                <w:rFonts w:ascii="Times New Roman" w:hAnsi="Times New Roman" w:cs="Times New Roman"/>
                <w:sz w:val="24"/>
                <w:szCs w:val="24"/>
              </w:rPr>
              <w:t>ational and international terrorism</w:t>
            </w:r>
          </w:p>
        </w:tc>
        <w:tc>
          <w:tcPr>
            <w:tcW w:w="2408" w:type="dxa"/>
          </w:tcPr>
          <w:p w14:paraId="153D127D" w14:textId="77777777" w:rsidR="00837DA7" w:rsidRPr="00F119F4" w:rsidRDefault="00837DA7" w:rsidP="00353A9A">
            <w:pPr>
              <w:rPr>
                <w:rFonts w:ascii="Times New Roman" w:hAnsi="Times New Roman" w:cs="Times New Roman"/>
                <w:sz w:val="24"/>
                <w:szCs w:val="24"/>
              </w:rPr>
            </w:pPr>
            <w:r>
              <w:rPr>
                <w:rFonts w:ascii="Times New Roman" w:hAnsi="Times New Roman" w:cs="Times New Roman"/>
                <w:sz w:val="24"/>
                <w:szCs w:val="24"/>
              </w:rPr>
              <w:t>Ntim et al. (2013)</w:t>
            </w:r>
          </w:p>
        </w:tc>
        <w:tc>
          <w:tcPr>
            <w:tcW w:w="852" w:type="dxa"/>
          </w:tcPr>
          <w:p w14:paraId="62FAFE5B"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51FCC4B2" w14:textId="77777777" w:rsidR="00837DA7" w:rsidRPr="00F119F4" w:rsidRDefault="00837DA7" w:rsidP="00353A9A">
            <w:pPr>
              <w:rPr>
                <w:rFonts w:ascii="Times New Roman" w:hAnsi="Times New Roman" w:cs="Times New Roman"/>
                <w:sz w:val="24"/>
                <w:szCs w:val="24"/>
              </w:rPr>
            </w:pPr>
          </w:p>
        </w:tc>
      </w:tr>
      <w:tr w:rsidR="00837DA7" w:rsidRPr="00F119F4" w14:paraId="66495A6D" w14:textId="77777777" w:rsidTr="00353A9A">
        <w:trPr>
          <w:gridAfter w:val="1"/>
          <w:wAfter w:w="8" w:type="dxa"/>
        </w:trPr>
        <w:tc>
          <w:tcPr>
            <w:tcW w:w="1556" w:type="dxa"/>
            <w:vMerge/>
          </w:tcPr>
          <w:p w14:paraId="0F614ED7"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231A3EF6"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3.11 </w:t>
            </w:r>
            <w:r w:rsidRPr="00F119F4">
              <w:rPr>
                <w:rFonts w:ascii="Times New Roman" w:hAnsi="Times New Roman" w:cs="Times New Roman"/>
                <w:sz w:val="24"/>
                <w:szCs w:val="24"/>
              </w:rPr>
              <w:t>Disaster</w:t>
            </w:r>
            <w:r>
              <w:rPr>
                <w:rFonts w:ascii="Times New Roman" w:hAnsi="Times New Roman" w:cs="Times New Roman"/>
                <w:sz w:val="24"/>
                <w:szCs w:val="24"/>
              </w:rPr>
              <w:t>.</w:t>
            </w:r>
          </w:p>
        </w:tc>
        <w:tc>
          <w:tcPr>
            <w:tcW w:w="2408" w:type="dxa"/>
          </w:tcPr>
          <w:p w14:paraId="40EE2754" w14:textId="77777777" w:rsidR="00837DA7" w:rsidRPr="00F119F4" w:rsidRDefault="00837DA7" w:rsidP="00353A9A">
            <w:pPr>
              <w:rPr>
                <w:rFonts w:ascii="Times New Roman" w:hAnsi="Times New Roman" w:cs="Times New Roman"/>
                <w:sz w:val="24"/>
                <w:szCs w:val="24"/>
              </w:rPr>
            </w:pPr>
            <w:r w:rsidRPr="00AA2E46">
              <w:rPr>
                <w:rFonts w:ascii="Times New Roman" w:hAnsi="Times New Roman" w:cs="Times New Roman"/>
                <w:sz w:val="24"/>
                <w:szCs w:val="24"/>
              </w:rPr>
              <w:t>HEFCE (2001b)</w:t>
            </w:r>
          </w:p>
        </w:tc>
        <w:tc>
          <w:tcPr>
            <w:tcW w:w="852" w:type="dxa"/>
          </w:tcPr>
          <w:p w14:paraId="0B6791B1"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1F4CF46A" w14:textId="77777777" w:rsidR="00837DA7" w:rsidRPr="00F119F4" w:rsidRDefault="00837DA7" w:rsidP="00353A9A">
            <w:pPr>
              <w:rPr>
                <w:rFonts w:ascii="Times New Roman" w:hAnsi="Times New Roman" w:cs="Times New Roman"/>
                <w:sz w:val="24"/>
                <w:szCs w:val="24"/>
              </w:rPr>
            </w:pPr>
          </w:p>
        </w:tc>
      </w:tr>
      <w:tr w:rsidR="00837DA7" w:rsidRPr="00F119F4" w14:paraId="461B74BC" w14:textId="77777777" w:rsidTr="00353A9A">
        <w:trPr>
          <w:gridAfter w:val="1"/>
          <w:wAfter w:w="8" w:type="dxa"/>
        </w:trPr>
        <w:tc>
          <w:tcPr>
            <w:tcW w:w="1556" w:type="dxa"/>
            <w:vMerge/>
          </w:tcPr>
          <w:p w14:paraId="271EF239"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693F3A63"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3.12 </w:t>
            </w:r>
            <w:r w:rsidRPr="00F119F4">
              <w:rPr>
                <w:rFonts w:ascii="Times New Roman" w:hAnsi="Times New Roman" w:cs="Times New Roman"/>
                <w:sz w:val="24"/>
                <w:szCs w:val="24"/>
              </w:rPr>
              <w:t>Governance changes/regulations</w:t>
            </w:r>
            <w:r>
              <w:rPr>
                <w:rFonts w:ascii="Times New Roman" w:hAnsi="Times New Roman" w:cs="Times New Roman"/>
                <w:sz w:val="24"/>
                <w:szCs w:val="24"/>
              </w:rPr>
              <w:t>.</w:t>
            </w:r>
          </w:p>
        </w:tc>
        <w:tc>
          <w:tcPr>
            <w:tcW w:w="2408" w:type="dxa"/>
          </w:tcPr>
          <w:p w14:paraId="39AFE552" w14:textId="77777777" w:rsidR="00837DA7" w:rsidRPr="00F119F4" w:rsidRDefault="00837DA7" w:rsidP="00353A9A">
            <w:pPr>
              <w:rPr>
                <w:rFonts w:ascii="Times New Roman" w:hAnsi="Times New Roman" w:cs="Times New Roman"/>
                <w:sz w:val="24"/>
                <w:szCs w:val="24"/>
              </w:rPr>
            </w:pPr>
            <w:r w:rsidRPr="00AA2E46">
              <w:rPr>
                <w:rFonts w:ascii="Times New Roman" w:hAnsi="Times New Roman" w:cs="Times New Roman"/>
                <w:sz w:val="24"/>
                <w:szCs w:val="24"/>
              </w:rPr>
              <w:t>HEFCE (2001b)</w:t>
            </w:r>
          </w:p>
        </w:tc>
        <w:tc>
          <w:tcPr>
            <w:tcW w:w="852" w:type="dxa"/>
          </w:tcPr>
          <w:p w14:paraId="2BFD5035"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vAlign w:val="center"/>
          </w:tcPr>
          <w:p w14:paraId="2FFADDCB" w14:textId="77777777" w:rsidR="00837DA7" w:rsidRPr="00F119F4" w:rsidRDefault="00837DA7" w:rsidP="00353A9A">
            <w:pPr>
              <w:jc w:val="center"/>
              <w:rPr>
                <w:rFonts w:ascii="Times New Roman" w:hAnsi="Times New Roman" w:cs="Times New Roman"/>
                <w:sz w:val="24"/>
                <w:szCs w:val="24"/>
              </w:rPr>
            </w:pPr>
          </w:p>
        </w:tc>
      </w:tr>
      <w:tr w:rsidR="00837DA7" w:rsidRPr="00F119F4" w14:paraId="139B4980" w14:textId="77777777" w:rsidTr="00353A9A">
        <w:trPr>
          <w:gridAfter w:val="1"/>
          <w:wAfter w:w="8" w:type="dxa"/>
        </w:trPr>
        <w:tc>
          <w:tcPr>
            <w:tcW w:w="1556" w:type="dxa"/>
            <w:vMerge/>
          </w:tcPr>
          <w:p w14:paraId="265A2EC9"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6CC18A5E"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3.13 </w:t>
            </w:r>
            <w:r w:rsidRPr="00F119F4">
              <w:rPr>
                <w:rFonts w:ascii="Times New Roman" w:hAnsi="Times New Roman" w:cs="Times New Roman"/>
                <w:sz w:val="24"/>
                <w:szCs w:val="24"/>
              </w:rPr>
              <w:t xml:space="preserve">Growth </w:t>
            </w:r>
            <w:r>
              <w:rPr>
                <w:rFonts w:ascii="Times New Roman" w:hAnsi="Times New Roman" w:cs="Times New Roman"/>
                <w:sz w:val="24"/>
                <w:szCs w:val="24"/>
              </w:rPr>
              <w:t>s</w:t>
            </w:r>
            <w:r w:rsidRPr="00F119F4">
              <w:rPr>
                <w:rFonts w:ascii="Times New Roman" w:hAnsi="Times New Roman" w:cs="Times New Roman"/>
                <w:sz w:val="24"/>
                <w:szCs w:val="24"/>
              </w:rPr>
              <w:t>trategy</w:t>
            </w:r>
            <w:r>
              <w:rPr>
                <w:rFonts w:ascii="Times New Roman" w:hAnsi="Times New Roman" w:cs="Times New Roman"/>
                <w:sz w:val="24"/>
                <w:szCs w:val="24"/>
              </w:rPr>
              <w:t>.</w:t>
            </w:r>
          </w:p>
        </w:tc>
        <w:tc>
          <w:tcPr>
            <w:tcW w:w="2408" w:type="dxa"/>
          </w:tcPr>
          <w:p w14:paraId="57E61E93" w14:textId="77777777" w:rsidR="00837DA7" w:rsidRPr="00F119F4" w:rsidRDefault="00837DA7" w:rsidP="00353A9A">
            <w:pPr>
              <w:rPr>
                <w:rFonts w:ascii="Times New Roman" w:hAnsi="Times New Roman" w:cs="Times New Roman"/>
                <w:sz w:val="24"/>
                <w:szCs w:val="24"/>
              </w:rPr>
            </w:pPr>
            <w:r w:rsidRPr="00DA3980">
              <w:rPr>
                <w:rFonts w:ascii="Times New Roman" w:hAnsi="Times New Roman" w:cs="Times New Roman"/>
                <w:sz w:val="24"/>
                <w:szCs w:val="24"/>
              </w:rPr>
              <w:t>LFHE (2009)</w:t>
            </w:r>
          </w:p>
        </w:tc>
        <w:tc>
          <w:tcPr>
            <w:tcW w:w="852" w:type="dxa"/>
          </w:tcPr>
          <w:p w14:paraId="322FD2EE"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6FBBD305" w14:textId="77777777" w:rsidR="00837DA7" w:rsidRPr="00F119F4" w:rsidRDefault="00837DA7" w:rsidP="00353A9A">
            <w:pPr>
              <w:rPr>
                <w:rFonts w:ascii="Times New Roman" w:hAnsi="Times New Roman" w:cs="Times New Roman"/>
                <w:sz w:val="24"/>
                <w:szCs w:val="24"/>
              </w:rPr>
            </w:pPr>
          </w:p>
        </w:tc>
      </w:tr>
      <w:tr w:rsidR="00837DA7" w:rsidRPr="00F119F4" w14:paraId="35C3ADC9" w14:textId="77777777" w:rsidTr="00353A9A">
        <w:trPr>
          <w:gridAfter w:val="1"/>
          <w:wAfter w:w="8" w:type="dxa"/>
        </w:trPr>
        <w:tc>
          <w:tcPr>
            <w:tcW w:w="1556" w:type="dxa"/>
            <w:vMerge/>
          </w:tcPr>
          <w:p w14:paraId="475F6F84"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334607C0"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3.14 </w:t>
            </w:r>
            <w:r w:rsidRPr="00F119F4">
              <w:rPr>
                <w:rFonts w:ascii="Times New Roman" w:hAnsi="Times New Roman" w:cs="Times New Roman"/>
                <w:sz w:val="24"/>
                <w:szCs w:val="24"/>
              </w:rPr>
              <w:t xml:space="preserve">Investment </w:t>
            </w:r>
            <w:r>
              <w:rPr>
                <w:rFonts w:ascii="Times New Roman" w:hAnsi="Times New Roman" w:cs="Times New Roman"/>
                <w:sz w:val="24"/>
                <w:szCs w:val="24"/>
              </w:rPr>
              <w:t>s</w:t>
            </w:r>
            <w:r w:rsidRPr="00F119F4">
              <w:rPr>
                <w:rFonts w:ascii="Times New Roman" w:hAnsi="Times New Roman" w:cs="Times New Roman"/>
                <w:sz w:val="24"/>
                <w:szCs w:val="24"/>
              </w:rPr>
              <w:t>trategy</w:t>
            </w:r>
            <w:r>
              <w:rPr>
                <w:rFonts w:ascii="Times New Roman" w:hAnsi="Times New Roman" w:cs="Times New Roman"/>
                <w:sz w:val="24"/>
                <w:szCs w:val="24"/>
              </w:rPr>
              <w:t>.</w:t>
            </w:r>
          </w:p>
        </w:tc>
        <w:tc>
          <w:tcPr>
            <w:tcW w:w="2408" w:type="dxa"/>
          </w:tcPr>
          <w:p w14:paraId="20A420B3" w14:textId="77777777" w:rsidR="00837DA7" w:rsidRPr="00F119F4" w:rsidRDefault="00837DA7" w:rsidP="00353A9A">
            <w:pPr>
              <w:rPr>
                <w:rFonts w:ascii="Times New Roman" w:hAnsi="Times New Roman" w:cs="Times New Roman"/>
                <w:sz w:val="24"/>
                <w:szCs w:val="24"/>
              </w:rPr>
            </w:pPr>
            <w:r w:rsidRPr="00DA3980">
              <w:rPr>
                <w:rFonts w:ascii="Times New Roman" w:hAnsi="Times New Roman" w:cs="Times New Roman"/>
                <w:sz w:val="24"/>
                <w:szCs w:val="24"/>
              </w:rPr>
              <w:t>LFHE (2009)</w:t>
            </w:r>
          </w:p>
        </w:tc>
        <w:tc>
          <w:tcPr>
            <w:tcW w:w="852" w:type="dxa"/>
          </w:tcPr>
          <w:p w14:paraId="53874599"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0785DEDE" w14:textId="77777777" w:rsidR="00837DA7" w:rsidRPr="00F119F4" w:rsidRDefault="00837DA7" w:rsidP="00353A9A">
            <w:pPr>
              <w:rPr>
                <w:rFonts w:ascii="Times New Roman" w:hAnsi="Times New Roman" w:cs="Times New Roman"/>
                <w:sz w:val="24"/>
                <w:szCs w:val="24"/>
              </w:rPr>
            </w:pPr>
          </w:p>
        </w:tc>
      </w:tr>
      <w:tr w:rsidR="00837DA7" w:rsidRPr="00F119F4" w14:paraId="7EF859B9" w14:textId="77777777" w:rsidTr="00353A9A">
        <w:trPr>
          <w:gridAfter w:val="1"/>
          <w:wAfter w:w="8" w:type="dxa"/>
        </w:trPr>
        <w:tc>
          <w:tcPr>
            <w:tcW w:w="1556" w:type="dxa"/>
            <w:vMerge/>
          </w:tcPr>
          <w:p w14:paraId="2EEEC845" w14:textId="77777777" w:rsidR="00837DA7" w:rsidRPr="00F119F4" w:rsidRDefault="00837DA7" w:rsidP="00353A9A">
            <w:pPr>
              <w:autoSpaceDE w:val="0"/>
              <w:autoSpaceDN w:val="0"/>
              <w:adjustRightInd w:val="0"/>
              <w:rPr>
                <w:rFonts w:ascii="Times New Roman" w:hAnsi="Times New Roman" w:cs="Times New Roman"/>
                <w:sz w:val="24"/>
                <w:szCs w:val="24"/>
              </w:rPr>
            </w:pPr>
          </w:p>
        </w:tc>
        <w:tc>
          <w:tcPr>
            <w:tcW w:w="5385" w:type="dxa"/>
          </w:tcPr>
          <w:p w14:paraId="1985C726" w14:textId="77777777" w:rsidR="00837DA7" w:rsidRPr="00F119F4" w:rsidRDefault="00837DA7" w:rsidP="00353A9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3.15 </w:t>
            </w:r>
            <w:r w:rsidRPr="00F119F4">
              <w:rPr>
                <w:rFonts w:ascii="Times New Roman" w:hAnsi="Times New Roman" w:cs="Times New Roman"/>
                <w:sz w:val="24"/>
                <w:szCs w:val="24"/>
              </w:rPr>
              <w:t>Opportunity cost of non-choices</w:t>
            </w:r>
            <w:r>
              <w:rPr>
                <w:rFonts w:ascii="Times New Roman" w:hAnsi="Times New Roman" w:cs="Times New Roman"/>
                <w:sz w:val="24"/>
                <w:szCs w:val="24"/>
              </w:rPr>
              <w:t>.</w:t>
            </w:r>
          </w:p>
        </w:tc>
        <w:tc>
          <w:tcPr>
            <w:tcW w:w="2408" w:type="dxa"/>
          </w:tcPr>
          <w:p w14:paraId="3C35CC9B" w14:textId="77777777" w:rsidR="00837DA7" w:rsidRPr="00F119F4" w:rsidRDefault="00837DA7" w:rsidP="00353A9A">
            <w:pPr>
              <w:rPr>
                <w:rFonts w:ascii="Times New Roman" w:hAnsi="Times New Roman" w:cs="Times New Roman"/>
                <w:sz w:val="24"/>
                <w:szCs w:val="24"/>
              </w:rPr>
            </w:pPr>
            <w:r w:rsidRPr="00DA3980">
              <w:rPr>
                <w:rFonts w:ascii="Times New Roman" w:hAnsi="Times New Roman" w:cs="Times New Roman"/>
                <w:sz w:val="24"/>
                <w:szCs w:val="24"/>
              </w:rPr>
              <w:t>LFHE (2009)</w:t>
            </w:r>
          </w:p>
        </w:tc>
        <w:tc>
          <w:tcPr>
            <w:tcW w:w="852" w:type="dxa"/>
          </w:tcPr>
          <w:p w14:paraId="76F71AF1" w14:textId="77777777" w:rsidR="00837DA7" w:rsidRPr="00F119F4"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0-6</w:t>
            </w:r>
          </w:p>
        </w:tc>
        <w:tc>
          <w:tcPr>
            <w:tcW w:w="840" w:type="dxa"/>
            <w:gridSpan w:val="2"/>
            <w:vMerge/>
          </w:tcPr>
          <w:p w14:paraId="00D17814" w14:textId="77777777" w:rsidR="00837DA7" w:rsidRPr="00F119F4" w:rsidRDefault="00837DA7" w:rsidP="00353A9A">
            <w:pPr>
              <w:rPr>
                <w:rFonts w:ascii="Times New Roman" w:hAnsi="Times New Roman" w:cs="Times New Roman"/>
                <w:sz w:val="24"/>
                <w:szCs w:val="24"/>
              </w:rPr>
            </w:pPr>
          </w:p>
        </w:tc>
      </w:tr>
      <w:tr w:rsidR="00837DA7" w:rsidRPr="00F119F4" w14:paraId="39DFBAED" w14:textId="77777777" w:rsidTr="00353A9A">
        <w:trPr>
          <w:gridAfter w:val="1"/>
          <w:wAfter w:w="8" w:type="dxa"/>
        </w:trPr>
        <w:tc>
          <w:tcPr>
            <w:tcW w:w="1556" w:type="dxa"/>
            <w:tcBorders>
              <w:top w:val="single" w:sz="2" w:space="0" w:color="auto"/>
              <w:bottom w:val="single" w:sz="2" w:space="0" w:color="auto"/>
            </w:tcBorders>
          </w:tcPr>
          <w:p w14:paraId="189712D6" w14:textId="77777777" w:rsidR="00837DA7" w:rsidRPr="00927D62" w:rsidRDefault="00837DA7" w:rsidP="00353A9A">
            <w:pPr>
              <w:autoSpaceDE w:val="0"/>
              <w:autoSpaceDN w:val="0"/>
              <w:adjustRightInd w:val="0"/>
              <w:rPr>
                <w:rFonts w:ascii="Times New Roman" w:hAnsi="Times New Roman" w:cs="Times New Roman"/>
                <w:b/>
                <w:bCs/>
                <w:sz w:val="24"/>
                <w:szCs w:val="24"/>
              </w:rPr>
            </w:pPr>
            <w:r w:rsidRPr="00927D62">
              <w:rPr>
                <w:rFonts w:ascii="Times New Roman" w:hAnsi="Times New Roman" w:cs="Times New Roman"/>
                <w:b/>
                <w:bCs/>
                <w:sz w:val="24"/>
                <w:szCs w:val="24"/>
              </w:rPr>
              <w:t xml:space="preserve">Total </w:t>
            </w:r>
          </w:p>
        </w:tc>
        <w:tc>
          <w:tcPr>
            <w:tcW w:w="8645" w:type="dxa"/>
            <w:gridSpan w:val="3"/>
            <w:tcBorders>
              <w:top w:val="single" w:sz="2" w:space="0" w:color="auto"/>
              <w:bottom w:val="single" w:sz="2" w:space="0" w:color="auto"/>
            </w:tcBorders>
          </w:tcPr>
          <w:p w14:paraId="76BA47B9" w14:textId="77777777" w:rsidR="00837DA7" w:rsidRPr="00927D62" w:rsidRDefault="00837DA7" w:rsidP="00353A9A">
            <w:pPr>
              <w:jc w:val="center"/>
              <w:rPr>
                <w:rFonts w:ascii="Times New Roman" w:hAnsi="Times New Roman" w:cs="Times New Roman"/>
                <w:b/>
                <w:bCs/>
                <w:sz w:val="24"/>
                <w:szCs w:val="24"/>
              </w:rPr>
            </w:pPr>
            <w:r w:rsidRPr="00927D62">
              <w:rPr>
                <w:rFonts w:ascii="Times New Roman" w:hAnsi="Times New Roman" w:cs="Times New Roman"/>
                <w:b/>
                <w:bCs/>
                <w:sz w:val="24"/>
                <w:szCs w:val="24"/>
              </w:rPr>
              <w:t>127 Risk Disclosure Items</w:t>
            </w:r>
          </w:p>
        </w:tc>
        <w:tc>
          <w:tcPr>
            <w:tcW w:w="840" w:type="dxa"/>
            <w:gridSpan w:val="2"/>
            <w:tcBorders>
              <w:top w:val="single" w:sz="2" w:space="0" w:color="auto"/>
              <w:bottom w:val="single" w:sz="2" w:space="0" w:color="auto"/>
            </w:tcBorders>
          </w:tcPr>
          <w:p w14:paraId="635E75F2" w14:textId="77777777" w:rsidR="00837DA7" w:rsidRPr="00927D62" w:rsidRDefault="00837DA7" w:rsidP="00353A9A">
            <w:pPr>
              <w:rPr>
                <w:rFonts w:ascii="Times New Roman" w:hAnsi="Times New Roman" w:cs="Times New Roman"/>
                <w:b/>
                <w:bCs/>
                <w:sz w:val="24"/>
                <w:szCs w:val="24"/>
              </w:rPr>
            </w:pPr>
            <w:r w:rsidRPr="00927D62">
              <w:rPr>
                <w:rFonts w:ascii="Times New Roman" w:hAnsi="Times New Roman" w:cs="Times New Roman"/>
                <w:b/>
                <w:bCs/>
                <w:sz w:val="24"/>
                <w:szCs w:val="24"/>
              </w:rPr>
              <w:t>762</w:t>
            </w:r>
          </w:p>
        </w:tc>
      </w:tr>
      <w:tr w:rsidR="00837DA7" w:rsidRPr="00F119F4" w14:paraId="2A0F554F" w14:textId="77777777" w:rsidTr="00353A9A">
        <w:tc>
          <w:tcPr>
            <w:tcW w:w="11049" w:type="dxa"/>
            <w:gridSpan w:val="7"/>
            <w:tcBorders>
              <w:top w:val="single" w:sz="2" w:space="0" w:color="auto"/>
            </w:tcBorders>
          </w:tcPr>
          <w:p w14:paraId="5712F328" w14:textId="77777777" w:rsidR="00837DA7" w:rsidRDefault="00837DA7" w:rsidP="00353A9A">
            <w:pPr>
              <w:rPr>
                <w:rFonts w:ascii="Times New Roman" w:hAnsi="Times New Roman" w:cs="Times New Roman"/>
                <w:sz w:val="24"/>
                <w:szCs w:val="24"/>
              </w:rPr>
            </w:pPr>
            <w:r w:rsidRPr="00F119F4">
              <w:rPr>
                <w:rFonts w:ascii="Times New Roman" w:hAnsi="Times New Roman" w:cs="Times New Roman"/>
                <w:sz w:val="24"/>
                <w:szCs w:val="24"/>
              </w:rPr>
              <w:t>Procedure</w:t>
            </w:r>
            <w:r>
              <w:rPr>
                <w:rFonts w:ascii="Times New Roman" w:hAnsi="Times New Roman" w:cs="Times New Roman"/>
                <w:sz w:val="24"/>
                <w:szCs w:val="24"/>
              </w:rPr>
              <w:t xml:space="preserve"> of scoring: </w:t>
            </w:r>
          </w:p>
          <w:p w14:paraId="0D07364D" w14:textId="77777777" w:rsidR="00837DA7" w:rsidRDefault="00837DA7" w:rsidP="00353A9A">
            <w:pPr>
              <w:jc w:val="both"/>
              <w:rPr>
                <w:rFonts w:ascii="Times New Roman" w:hAnsi="Times New Roman" w:cs="Times New Roman"/>
                <w:sz w:val="24"/>
                <w:szCs w:val="24"/>
              </w:rPr>
            </w:pPr>
            <w:r w:rsidRPr="003B4CEF">
              <w:rPr>
                <w:rFonts w:ascii="Times New Roman" w:hAnsi="Times New Roman" w:cs="Times New Roman"/>
                <w:sz w:val="24"/>
                <w:szCs w:val="24"/>
              </w:rPr>
              <w:t>Score will be incremented with the addition of following bits of information:</w:t>
            </w:r>
          </w:p>
          <w:p w14:paraId="68BAE99C" w14:textId="77777777" w:rsidR="00837DA7" w:rsidRPr="003B4CEF" w:rsidRDefault="00837DA7" w:rsidP="00353A9A">
            <w:pPr>
              <w:jc w:val="both"/>
              <w:rPr>
                <w:rFonts w:ascii="Times New Roman" w:hAnsi="Times New Roman" w:cs="Times New Roman"/>
                <w:sz w:val="24"/>
                <w:szCs w:val="24"/>
              </w:rPr>
            </w:pPr>
            <w:r>
              <w:rPr>
                <w:rFonts w:ascii="Times New Roman" w:hAnsi="Times New Roman" w:cs="Times New Roman"/>
                <w:sz w:val="24"/>
                <w:szCs w:val="24"/>
              </w:rPr>
              <w:t xml:space="preserve">0: No risk disclosures. </w:t>
            </w:r>
          </w:p>
          <w:p w14:paraId="65A0E401" w14:textId="77777777" w:rsidR="00837DA7" w:rsidRPr="003B4CEF" w:rsidRDefault="00837DA7" w:rsidP="00353A9A">
            <w:pPr>
              <w:jc w:val="both"/>
              <w:rPr>
                <w:rFonts w:ascii="Times New Roman" w:hAnsi="Times New Roman" w:cs="Times New Roman"/>
                <w:sz w:val="24"/>
                <w:szCs w:val="24"/>
              </w:rPr>
            </w:pPr>
            <w:r w:rsidRPr="003B4CEF">
              <w:rPr>
                <w:rFonts w:ascii="Times New Roman" w:hAnsi="Times New Roman" w:cs="Times New Roman"/>
                <w:sz w:val="24"/>
                <w:szCs w:val="24"/>
              </w:rPr>
              <w:t xml:space="preserve">1: Past/backward looking/historical information. </w:t>
            </w:r>
          </w:p>
          <w:p w14:paraId="6857EE80" w14:textId="77777777" w:rsidR="00837DA7" w:rsidRPr="003B4CEF" w:rsidRDefault="00837DA7" w:rsidP="00353A9A">
            <w:pPr>
              <w:jc w:val="both"/>
              <w:rPr>
                <w:rFonts w:ascii="Times New Roman" w:hAnsi="Times New Roman" w:cs="Times New Roman"/>
                <w:sz w:val="24"/>
                <w:szCs w:val="24"/>
              </w:rPr>
            </w:pPr>
            <w:r w:rsidRPr="003B4CEF">
              <w:rPr>
                <w:rFonts w:ascii="Times New Roman" w:hAnsi="Times New Roman" w:cs="Times New Roman"/>
                <w:sz w:val="24"/>
                <w:szCs w:val="24"/>
              </w:rPr>
              <w:t>2: Future/forward looking information.</w:t>
            </w:r>
          </w:p>
          <w:p w14:paraId="1065932C" w14:textId="77777777" w:rsidR="00837DA7" w:rsidRPr="003B4CEF" w:rsidRDefault="00837DA7" w:rsidP="00353A9A">
            <w:pPr>
              <w:jc w:val="both"/>
              <w:rPr>
                <w:rFonts w:ascii="Times New Roman" w:hAnsi="Times New Roman" w:cs="Times New Roman"/>
                <w:sz w:val="24"/>
                <w:szCs w:val="24"/>
              </w:rPr>
            </w:pPr>
            <w:r w:rsidRPr="003B4CEF">
              <w:rPr>
                <w:rFonts w:ascii="Times New Roman" w:hAnsi="Times New Roman" w:cs="Times New Roman"/>
                <w:sz w:val="24"/>
                <w:szCs w:val="24"/>
              </w:rPr>
              <w:t>3: Bad/negative news information</w:t>
            </w:r>
            <w:r>
              <w:rPr>
                <w:rFonts w:ascii="Times New Roman" w:hAnsi="Times New Roman" w:cs="Times New Roman"/>
                <w:sz w:val="24"/>
                <w:szCs w:val="24"/>
              </w:rPr>
              <w:t>.</w:t>
            </w:r>
          </w:p>
          <w:p w14:paraId="23CBBD54" w14:textId="77777777" w:rsidR="00837DA7" w:rsidRPr="003B4CEF" w:rsidRDefault="00837DA7" w:rsidP="00353A9A">
            <w:pPr>
              <w:jc w:val="both"/>
              <w:rPr>
                <w:rFonts w:ascii="Times New Roman" w:hAnsi="Times New Roman" w:cs="Times New Roman"/>
                <w:sz w:val="24"/>
                <w:szCs w:val="24"/>
              </w:rPr>
            </w:pPr>
            <w:r w:rsidRPr="003B4CEF">
              <w:rPr>
                <w:rFonts w:ascii="Times New Roman" w:hAnsi="Times New Roman" w:cs="Times New Roman"/>
                <w:sz w:val="24"/>
                <w:szCs w:val="24"/>
              </w:rPr>
              <w:t xml:space="preserve">4: Good/positive news information. </w:t>
            </w:r>
          </w:p>
          <w:p w14:paraId="5A2AF7C9" w14:textId="77777777" w:rsidR="00837DA7" w:rsidRPr="003B4CEF" w:rsidRDefault="00837DA7" w:rsidP="00353A9A">
            <w:pPr>
              <w:jc w:val="both"/>
              <w:rPr>
                <w:rFonts w:ascii="Times New Roman" w:hAnsi="Times New Roman" w:cs="Times New Roman"/>
                <w:sz w:val="24"/>
                <w:szCs w:val="24"/>
              </w:rPr>
            </w:pPr>
            <w:r w:rsidRPr="003B4CEF">
              <w:rPr>
                <w:rFonts w:ascii="Times New Roman" w:hAnsi="Times New Roman" w:cs="Times New Roman"/>
                <w:sz w:val="24"/>
                <w:szCs w:val="24"/>
              </w:rPr>
              <w:t xml:space="preserve">5: Qualitative/non-monetary information. </w:t>
            </w:r>
          </w:p>
          <w:p w14:paraId="3D70C3AB" w14:textId="77777777" w:rsidR="00837DA7" w:rsidRPr="00F119F4" w:rsidRDefault="00837DA7" w:rsidP="00353A9A">
            <w:pPr>
              <w:jc w:val="both"/>
              <w:rPr>
                <w:rFonts w:ascii="Times New Roman" w:hAnsi="Times New Roman" w:cs="Times New Roman"/>
                <w:sz w:val="24"/>
                <w:szCs w:val="24"/>
              </w:rPr>
            </w:pPr>
            <w:r w:rsidRPr="003B4CEF">
              <w:rPr>
                <w:rFonts w:ascii="Times New Roman" w:hAnsi="Times New Roman" w:cs="Times New Roman"/>
                <w:sz w:val="24"/>
                <w:szCs w:val="24"/>
              </w:rPr>
              <w:t>6: Quantitative/monetary information.</w:t>
            </w:r>
          </w:p>
        </w:tc>
      </w:tr>
    </w:tbl>
    <w:p w14:paraId="2948778A" w14:textId="77777777" w:rsidR="00837DA7" w:rsidRPr="00233EC8" w:rsidRDefault="00837DA7" w:rsidP="00837DA7"/>
    <w:p w14:paraId="5C1EB9AE" w14:textId="77777777" w:rsidR="00837DA7" w:rsidRPr="00233EC8" w:rsidRDefault="00837DA7" w:rsidP="00837DA7"/>
    <w:p w14:paraId="21C62C2B" w14:textId="77777777" w:rsidR="00837DA7" w:rsidRDefault="00837DA7" w:rsidP="00837DA7"/>
    <w:p w14:paraId="4A992CEF" w14:textId="77777777" w:rsidR="00837DA7" w:rsidRDefault="00837DA7" w:rsidP="00837DA7"/>
    <w:p w14:paraId="715DB951" w14:textId="77777777" w:rsidR="00837DA7" w:rsidRDefault="00837DA7" w:rsidP="00837DA7"/>
    <w:p w14:paraId="339B593B" w14:textId="77777777" w:rsidR="00837DA7" w:rsidRDefault="00837DA7" w:rsidP="00837DA7"/>
    <w:p w14:paraId="69BAE933" w14:textId="77777777" w:rsidR="00837DA7" w:rsidRDefault="00837DA7" w:rsidP="00837DA7"/>
    <w:p w14:paraId="42912F48" w14:textId="77777777" w:rsidR="00837DA7" w:rsidRDefault="00837DA7" w:rsidP="00837DA7"/>
    <w:p w14:paraId="56CFAA42" w14:textId="77777777" w:rsidR="00837DA7" w:rsidRDefault="00837DA7" w:rsidP="00837DA7"/>
    <w:p w14:paraId="77C37C4A" w14:textId="77777777" w:rsidR="00837DA7" w:rsidRDefault="00837DA7" w:rsidP="00837DA7"/>
    <w:p w14:paraId="21842CAE" w14:textId="77777777" w:rsidR="00837DA7" w:rsidRDefault="00837DA7" w:rsidP="00837DA7"/>
    <w:tbl>
      <w:tblPr>
        <w:tblW w:w="10623" w:type="dxa"/>
        <w:tblInd w:w="-567" w:type="dxa"/>
        <w:tblBorders>
          <w:bottom w:val="single" w:sz="8" w:space="0" w:color="auto"/>
        </w:tblBorders>
        <w:tblLook w:val="01E0" w:firstRow="1" w:lastRow="1" w:firstColumn="1" w:lastColumn="1" w:noHBand="0" w:noVBand="0"/>
      </w:tblPr>
      <w:tblGrid>
        <w:gridCol w:w="2694"/>
        <w:gridCol w:w="4819"/>
        <w:gridCol w:w="1484"/>
        <w:gridCol w:w="804"/>
        <w:gridCol w:w="822"/>
      </w:tblGrid>
      <w:tr w:rsidR="00837DA7" w:rsidRPr="006D56FB" w14:paraId="731D2905" w14:textId="77777777" w:rsidTr="00353A9A">
        <w:tc>
          <w:tcPr>
            <w:tcW w:w="10623" w:type="dxa"/>
            <w:gridSpan w:val="5"/>
            <w:tcBorders>
              <w:bottom w:val="single" w:sz="8" w:space="0" w:color="auto"/>
            </w:tcBorders>
            <w:shd w:val="clear" w:color="auto" w:fill="auto"/>
          </w:tcPr>
          <w:p w14:paraId="66B2C42F" w14:textId="77777777" w:rsidR="00837DA7" w:rsidRPr="006D56FB" w:rsidRDefault="00837DA7" w:rsidP="00353A9A">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Online </w:t>
            </w:r>
            <w:r w:rsidRPr="006D56FB">
              <w:rPr>
                <w:rFonts w:ascii="Times New Roman" w:hAnsi="Times New Roman" w:cs="Times New Roman"/>
                <w:b/>
                <w:sz w:val="24"/>
                <w:szCs w:val="24"/>
              </w:rPr>
              <w:t xml:space="preserve">Appendix </w:t>
            </w:r>
            <w:r>
              <w:rPr>
                <w:rFonts w:ascii="Times New Roman" w:hAnsi="Times New Roman" w:cs="Times New Roman"/>
                <w:b/>
                <w:sz w:val="24"/>
                <w:szCs w:val="24"/>
              </w:rPr>
              <w:t>5</w:t>
            </w:r>
            <w:r w:rsidRPr="006D56FB">
              <w:rPr>
                <w:rFonts w:ascii="Times New Roman" w:hAnsi="Times New Roman" w:cs="Times New Roman"/>
                <w:b/>
                <w:sz w:val="24"/>
                <w:szCs w:val="24"/>
              </w:rPr>
              <w:t xml:space="preserve">. </w:t>
            </w:r>
            <w:r w:rsidRPr="006D56FB">
              <w:rPr>
                <w:rFonts w:ascii="Times New Roman" w:hAnsi="Times New Roman" w:cs="Times New Roman"/>
                <w:bCs/>
                <w:sz w:val="24"/>
                <w:szCs w:val="24"/>
              </w:rPr>
              <w:t xml:space="preserve">HEIs </w:t>
            </w:r>
            <w:r>
              <w:rPr>
                <w:rFonts w:ascii="Times New Roman" w:hAnsi="Times New Roman" w:cs="Times New Roman"/>
                <w:bCs/>
                <w:sz w:val="24"/>
                <w:szCs w:val="24"/>
              </w:rPr>
              <w:t>g</w:t>
            </w:r>
            <w:r w:rsidRPr="006D56FB">
              <w:rPr>
                <w:rFonts w:ascii="Times New Roman" w:hAnsi="Times New Roman" w:cs="Times New Roman"/>
                <w:bCs/>
                <w:sz w:val="24"/>
                <w:szCs w:val="24"/>
              </w:rPr>
              <w:t xml:space="preserve">overnance </w:t>
            </w:r>
            <w:r>
              <w:rPr>
                <w:rFonts w:ascii="Times New Roman" w:hAnsi="Times New Roman" w:cs="Times New Roman"/>
                <w:bCs/>
                <w:sz w:val="24"/>
                <w:szCs w:val="24"/>
              </w:rPr>
              <w:t>q</w:t>
            </w:r>
            <w:r w:rsidRPr="006D56FB">
              <w:rPr>
                <w:rFonts w:ascii="Times New Roman" w:hAnsi="Times New Roman" w:cs="Times New Roman"/>
                <w:bCs/>
                <w:sz w:val="24"/>
                <w:szCs w:val="24"/>
              </w:rPr>
              <w:t xml:space="preserve">uality </w:t>
            </w:r>
            <w:r>
              <w:rPr>
                <w:rFonts w:ascii="Times New Roman" w:hAnsi="Times New Roman" w:cs="Times New Roman"/>
                <w:bCs/>
                <w:sz w:val="24"/>
                <w:szCs w:val="24"/>
              </w:rPr>
              <w:t>i</w:t>
            </w:r>
            <w:r w:rsidRPr="006D56FB">
              <w:rPr>
                <w:rFonts w:ascii="Times New Roman" w:hAnsi="Times New Roman" w:cs="Times New Roman"/>
                <w:bCs/>
                <w:sz w:val="24"/>
                <w:szCs w:val="24"/>
              </w:rPr>
              <w:t>ndex (</w:t>
            </w:r>
            <w:r w:rsidRPr="00772CE9">
              <w:rPr>
                <w:rFonts w:ascii="Times New Roman" w:hAnsi="Times New Roman" w:cs="Times New Roman"/>
                <w:bCs/>
                <w:i/>
                <w:iCs/>
                <w:sz w:val="24"/>
                <w:szCs w:val="24"/>
              </w:rPr>
              <w:t>HEGQI</w:t>
            </w:r>
            <w:r w:rsidRPr="006D56FB">
              <w:rPr>
                <w:rFonts w:ascii="Times New Roman" w:hAnsi="Times New Roman" w:cs="Times New Roman"/>
                <w:bCs/>
                <w:sz w:val="24"/>
                <w:szCs w:val="24"/>
              </w:rPr>
              <w:t>)</w:t>
            </w:r>
          </w:p>
        </w:tc>
      </w:tr>
      <w:tr w:rsidR="00837DA7" w:rsidRPr="006D56FB" w14:paraId="5C88CFAC" w14:textId="77777777" w:rsidTr="00353A9A">
        <w:tc>
          <w:tcPr>
            <w:tcW w:w="2694" w:type="dxa"/>
            <w:tcBorders>
              <w:top w:val="single" w:sz="8" w:space="0" w:color="auto"/>
              <w:bottom w:val="single" w:sz="2" w:space="0" w:color="auto"/>
            </w:tcBorders>
            <w:shd w:val="clear" w:color="auto" w:fill="auto"/>
          </w:tcPr>
          <w:p w14:paraId="40BB9EE0" w14:textId="77777777" w:rsidR="00837DA7" w:rsidRPr="006D56FB" w:rsidRDefault="00837DA7" w:rsidP="00353A9A">
            <w:pPr>
              <w:autoSpaceDE w:val="0"/>
              <w:autoSpaceDN w:val="0"/>
              <w:adjustRightInd w:val="0"/>
              <w:spacing w:after="0" w:line="240" w:lineRule="auto"/>
              <w:rPr>
                <w:rFonts w:ascii="Times New Roman" w:hAnsi="Times New Roman" w:cs="Times New Roman"/>
                <w:b/>
                <w:sz w:val="24"/>
                <w:szCs w:val="24"/>
              </w:rPr>
            </w:pPr>
            <w:r w:rsidRPr="006D56FB">
              <w:rPr>
                <w:rFonts w:ascii="Times New Roman" w:hAnsi="Times New Roman" w:cs="Times New Roman"/>
                <w:b/>
                <w:sz w:val="24"/>
                <w:szCs w:val="24"/>
              </w:rPr>
              <w:t>Theme</w:t>
            </w:r>
          </w:p>
        </w:tc>
        <w:tc>
          <w:tcPr>
            <w:tcW w:w="4819" w:type="dxa"/>
            <w:tcBorders>
              <w:top w:val="single" w:sz="8" w:space="0" w:color="auto"/>
              <w:bottom w:val="single" w:sz="2" w:space="0" w:color="auto"/>
            </w:tcBorders>
            <w:shd w:val="clear" w:color="auto" w:fill="auto"/>
          </w:tcPr>
          <w:p w14:paraId="78CACD2A" w14:textId="77777777" w:rsidR="00837DA7" w:rsidRPr="006D56FB" w:rsidRDefault="00837DA7" w:rsidP="00353A9A">
            <w:pPr>
              <w:autoSpaceDE w:val="0"/>
              <w:autoSpaceDN w:val="0"/>
              <w:adjustRightInd w:val="0"/>
              <w:spacing w:after="0" w:line="240" w:lineRule="auto"/>
              <w:rPr>
                <w:rFonts w:ascii="Times New Roman" w:hAnsi="Times New Roman" w:cs="Times New Roman"/>
                <w:b/>
                <w:sz w:val="24"/>
                <w:szCs w:val="24"/>
              </w:rPr>
            </w:pPr>
            <w:r w:rsidRPr="006D56FB">
              <w:rPr>
                <w:rFonts w:ascii="Times New Roman" w:hAnsi="Times New Roman" w:cs="Times New Roman"/>
                <w:b/>
                <w:sz w:val="24"/>
                <w:szCs w:val="24"/>
              </w:rPr>
              <w:t xml:space="preserve">Item: </w:t>
            </w:r>
            <w:r>
              <w:rPr>
                <w:rFonts w:ascii="Times New Roman" w:hAnsi="Times New Roman" w:cs="Times New Roman"/>
                <w:b/>
                <w:sz w:val="24"/>
                <w:szCs w:val="24"/>
              </w:rPr>
              <w:t>disclosure/information on</w:t>
            </w:r>
          </w:p>
        </w:tc>
        <w:tc>
          <w:tcPr>
            <w:tcW w:w="1484" w:type="dxa"/>
            <w:tcBorders>
              <w:top w:val="single" w:sz="8" w:space="0" w:color="auto"/>
              <w:bottom w:val="single" w:sz="2" w:space="0" w:color="auto"/>
            </w:tcBorders>
          </w:tcPr>
          <w:p w14:paraId="172DC3A4" w14:textId="77777777" w:rsidR="00837DA7" w:rsidRPr="006D56FB" w:rsidRDefault="00837DA7" w:rsidP="00353A9A">
            <w:pPr>
              <w:autoSpaceDE w:val="0"/>
              <w:autoSpaceDN w:val="0"/>
              <w:adjustRightInd w:val="0"/>
              <w:spacing w:after="0" w:line="240" w:lineRule="auto"/>
              <w:rPr>
                <w:rFonts w:ascii="Times New Roman" w:hAnsi="Times New Roman" w:cs="Times New Roman"/>
                <w:b/>
                <w:sz w:val="24"/>
                <w:szCs w:val="24"/>
              </w:rPr>
            </w:pPr>
            <w:r w:rsidRPr="006D56FB">
              <w:rPr>
                <w:rFonts w:ascii="Times New Roman" w:hAnsi="Times New Roman" w:cs="Times New Roman"/>
                <w:b/>
                <w:sz w:val="24"/>
                <w:szCs w:val="24"/>
              </w:rPr>
              <w:t>Items source(s)</w:t>
            </w:r>
          </w:p>
        </w:tc>
        <w:tc>
          <w:tcPr>
            <w:tcW w:w="804" w:type="dxa"/>
            <w:tcBorders>
              <w:top w:val="single" w:sz="8" w:space="0" w:color="auto"/>
              <w:bottom w:val="single" w:sz="2" w:space="0" w:color="auto"/>
            </w:tcBorders>
            <w:shd w:val="clear" w:color="auto" w:fill="auto"/>
          </w:tcPr>
          <w:p w14:paraId="51B715F6" w14:textId="77777777" w:rsidR="00837DA7" w:rsidRPr="006D56FB" w:rsidRDefault="00837DA7" w:rsidP="00353A9A">
            <w:pPr>
              <w:autoSpaceDE w:val="0"/>
              <w:autoSpaceDN w:val="0"/>
              <w:adjustRightInd w:val="0"/>
              <w:spacing w:after="0" w:line="240" w:lineRule="auto"/>
              <w:rPr>
                <w:rFonts w:ascii="Times New Roman" w:hAnsi="Times New Roman" w:cs="Times New Roman"/>
                <w:b/>
                <w:sz w:val="24"/>
                <w:szCs w:val="24"/>
              </w:rPr>
            </w:pPr>
            <w:r w:rsidRPr="006D56FB">
              <w:rPr>
                <w:rFonts w:ascii="Times New Roman" w:hAnsi="Times New Roman" w:cs="Times New Roman"/>
                <w:b/>
                <w:sz w:val="24"/>
                <w:szCs w:val="24"/>
              </w:rPr>
              <w:t>Score range</w:t>
            </w:r>
          </w:p>
        </w:tc>
        <w:tc>
          <w:tcPr>
            <w:tcW w:w="822" w:type="dxa"/>
            <w:tcBorders>
              <w:top w:val="single" w:sz="8" w:space="0" w:color="auto"/>
              <w:bottom w:val="single" w:sz="2" w:space="0" w:color="auto"/>
            </w:tcBorders>
            <w:shd w:val="clear" w:color="auto" w:fill="auto"/>
          </w:tcPr>
          <w:p w14:paraId="77D25EB9" w14:textId="77777777" w:rsidR="00837DA7" w:rsidRPr="006D56FB" w:rsidRDefault="00837DA7" w:rsidP="00353A9A">
            <w:pPr>
              <w:autoSpaceDE w:val="0"/>
              <w:autoSpaceDN w:val="0"/>
              <w:adjustRightInd w:val="0"/>
              <w:spacing w:after="0" w:line="240" w:lineRule="auto"/>
              <w:rPr>
                <w:rFonts w:ascii="Times New Roman" w:hAnsi="Times New Roman" w:cs="Times New Roman"/>
                <w:b/>
                <w:sz w:val="24"/>
                <w:szCs w:val="24"/>
              </w:rPr>
            </w:pPr>
            <w:r w:rsidRPr="006D56FB">
              <w:rPr>
                <w:rFonts w:ascii="Times New Roman" w:hAnsi="Times New Roman" w:cs="Times New Roman"/>
                <w:b/>
                <w:sz w:val="24"/>
                <w:szCs w:val="24"/>
              </w:rPr>
              <w:t>Total Score</w:t>
            </w:r>
          </w:p>
        </w:tc>
      </w:tr>
      <w:tr w:rsidR="00837DA7" w:rsidRPr="006D56FB" w14:paraId="1146816B" w14:textId="77777777" w:rsidTr="00353A9A">
        <w:tc>
          <w:tcPr>
            <w:tcW w:w="2694" w:type="dxa"/>
            <w:vMerge w:val="restart"/>
            <w:tcBorders>
              <w:top w:val="single" w:sz="2" w:space="0" w:color="auto"/>
            </w:tcBorders>
            <w:shd w:val="clear" w:color="auto" w:fill="auto"/>
          </w:tcPr>
          <w:p w14:paraId="0793EC0E" w14:textId="77777777" w:rsidR="00837DA7" w:rsidRPr="006D56FB" w:rsidRDefault="00837DA7" w:rsidP="00353A9A">
            <w:pPr>
              <w:spacing w:after="0"/>
              <w:rPr>
                <w:rFonts w:ascii="Times New Roman" w:hAnsi="Times New Roman" w:cs="Times New Roman"/>
                <w:b/>
                <w:bCs/>
                <w:sz w:val="24"/>
                <w:szCs w:val="24"/>
              </w:rPr>
            </w:pPr>
            <w:r w:rsidRPr="006D56FB">
              <w:rPr>
                <w:rFonts w:ascii="Times New Roman" w:hAnsi="Times New Roman" w:cs="Times New Roman"/>
                <w:b/>
                <w:bCs/>
                <w:sz w:val="24"/>
                <w:szCs w:val="24"/>
              </w:rPr>
              <w:t>1. Governing board (</w:t>
            </w:r>
            <w:r w:rsidRPr="006D56FB">
              <w:rPr>
                <w:rFonts w:ascii="Times New Roman" w:hAnsi="Times New Roman" w:cs="Times New Roman"/>
                <w:b/>
                <w:bCs/>
                <w:i/>
                <w:iCs/>
                <w:sz w:val="24"/>
                <w:szCs w:val="24"/>
              </w:rPr>
              <w:t>GOVB</w:t>
            </w:r>
            <w:r w:rsidRPr="006D56FB">
              <w:rPr>
                <w:rFonts w:ascii="Times New Roman" w:hAnsi="Times New Roman" w:cs="Times New Roman"/>
                <w:b/>
                <w:bCs/>
                <w:sz w:val="24"/>
                <w:szCs w:val="24"/>
              </w:rPr>
              <w:t>)</w:t>
            </w:r>
          </w:p>
        </w:tc>
        <w:tc>
          <w:tcPr>
            <w:tcW w:w="4819" w:type="dxa"/>
            <w:tcBorders>
              <w:top w:val="single" w:sz="2" w:space="0" w:color="auto"/>
            </w:tcBorders>
            <w:shd w:val="clear" w:color="auto" w:fill="auto"/>
          </w:tcPr>
          <w:p w14:paraId="50D37E25"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1.1 Board meetings (at least four times in a financial year).</w:t>
            </w:r>
          </w:p>
        </w:tc>
        <w:tc>
          <w:tcPr>
            <w:tcW w:w="1484" w:type="dxa"/>
            <w:tcBorders>
              <w:top w:val="single" w:sz="2" w:space="0" w:color="auto"/>
            </w:tcBorders>
          </w:tcPr>
          <w:p w14:paraId="5C9B3FF6"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(2009); CSC (2013)</w:t>
            </w:r>
          </w:p>
        </w:tc>
        <w:tc>
          <w:tcPr>
            <w:tcW w:w="804" w:type="dxa"/>
            <w:tcBorders>
              <w:top w:val="single" w:sz="2" w:space="0" w:color="auto"/>
            </w:tcBorders>
            <w:shd w:val="clear" w:color="auto" w:fill="auto"/>
          </w:tcPr>
          <w:p w14:paraId="4AF19722"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val="restart"/>
            <w:tcBorders>
              <w:top w:val="single" w:sz="2" w:space="0" w:color="auto"/>
            </w:tcBorders>
            <w:shd w:val="clear" w:color="auto" w:fill="auto"/>
          </w:tcPr>
          <w:p w14:paraId="313FDA3B" w14:textId="77777777" w:rsidR="00837DA7" w:rsidRPr="006D56FB" w:rsidRDefault="00837DA7" w:rsidP="00353A9A">
            <w:pPr>
              <w:spacing w:after="0"/>
              <w:jc w:val="center"/>
              <w:rPr>
                <w:rFonts w:ascii="Times New Roman" w:hAnsi="Times New Roman" w:cs="Times New Roman"/>
                <w:sz w:val="24"/>
                <w:szCs w:val="24"/>
              </w:rPr>
            </w:pPr>
          </w:p>
          <w:p w14:paraId="79A3CBF7" w14:textId="77777777" w:rsidR="00837DA7" w:rsidRPr="006D56FB" w:rsidRDefault="00837DA7" w:rsidP="00353A9A">
            <w:pPr>
              <w:spacing w:after="0"/>
              <w:jc w:val="center"/>
              <w:rPr>
                <w:rFonts w:ascii="Times New Roman" w:hAnsi="Times New Roman" w:cs="Times New Roman"/>
                <w:sz w:val="24"/>
                <w:szCs w:val="24"/>
              </w:rPr>
            </w:pPr>
          </w:p>
          <w:p w14:paraId="1BD4CE53" w14:textId="77777777" w:rsidR="00837DA7" w:rsidRPr="006D56FB" w:rsidRDefault="00837DA7" w:rsidP="00353A9A">
            <w:pPr>
              <w:spacing w:after="0"/>
              <w:jc w:val="center"/>
              <w:rPr>
                <w:rFonts w:ascii="Times New Roman" w:hAnsi="Times New Roman" w:cs="Times New Roman"/>
                <w:sz w:val="24"/>
                <w:szCs w:val="24"/>
              </w:rPr>
            </w:pPr>
          </w:p>
          <w:p w14:paraId="4DFC08EA" w14:textId="77777777" w:rsidR="00837DA7" w:rsidRPr="006D56FB" w:rsidRDefault="00837DA7" w:rsidP="00353A9A">
            <w:pPr>
              <w:spacing w:after="0"/>
              <w:jc w:val="center"/>
              <w:rPr>
                <w:rFonts w:ascii="Times New Roman" w:hAnsi="Times New Roman" w:cs="Times New Roman"/>
                <w:sz w:val="24"/>
                <w:szCs w:val="24"/>
              </w:rPr>
            </w:pPr>
          </w:p>
          <w:p w14:paraId="58EECCC7" w14:textId="77777777" w:rsidR="00837DA7" w:rsidRPr="006D56FB" w:rsidRDefault="00837DA7" w:rsidP="00353A9A">
            <w:pPr>
              <w:spacing w:after="0"/>
              <w:jc w:val="center"/>
              <w:rPr>
                <w:rFonts w:ascii="Times New Roman" w:hAnsi="Times New Roman" w:cs="Times New Roman"/>
                <w:sz w:val="24"/>
                <w:szCs w:val="24"/>
              </w:rPr>
            </w:pPr>
          </w:p>
          <w:p w14:paraId="5C32CAFA" w14:textId="77777777" w:rsidR="00837DA7" w:rsidRPr="006D56FB" w:rsidRDefault="00837DA7" w:rsidP="00353A9A">
            <w:pPr>
              <w:spacing w:after="0"/>
              <w:jc w:val="center"/>
              <w:rPr>
                <w:rFonts w:ascii="Times New Roman" w:hAnsi="Times New Roman" w:cs="Times New Roman"/>
                <w:sz w:val="24"/>
                <w:szCs w:val="24"/>
              </w:rPr>
            </w:pPr>
          </w:p>
          <w:p w14:paraId="23A1CD1C"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27</w:t>
            </w:r>
          </w:p>
        </w:tc>
      </w:tr>
      <w:tr w:rsidR="00837DA7" w:rsidRPr="006D56FB" w14:paraId="12764E00" w14:textId="77777777" w:rsidTr="00353A9A">
        <w:tc>
          <w:tcPr>
            <w:tcW w:w="2694" w:type="dxa"/>
            <w:vMerge/>
            <w:shd w:val="clear" w:color="auto" w:fill="auto"/>
          </w:tcPr>
          <w:p w14:paraId="58DF9BF8"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156F587B"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1.2 Statement</w:t>
            </w:r>
            <w:r w:rsidRPr="006D56FB">
              <w:rPr>
                <w:rFonts w:ascii="Times New Roman" w:hAnsi="Times New Roman" w:cs="Times New Roman"/>
                <w:sz w:val="24"/>
                <w:szCs w:val="24"/>
              </w:rPr>
              <w:t xml:space="preserve"> of </w:t>
            </w:r>
            <w:r>
              <w:rPr>
                <w:rFonts w:ascii="Times New Roman" w:hAnsi="Times New Roman" w:cs="Times New Roman"/>
                <w:sz w:val="24"/>
                <w:szCs w:val="24"/>
              </w:rPr>
              <w:t xml:space="preserve">board </w:t>
            </w:r>
            <w:r w:rsidRPr="006D56FB">
              <w:rPr>
                <w:rFonts w:ascii="Times New Roman" w:hAnsi="Times New Roman" w:cs="Times New Roman"/>
                <w:sz w:val="24"/>
                <w:szCs w:val="24"/>
              </w:rPr>
              <w:t>primary responsibility</w:t>
            </w:r>
            <w:r>
              <w:rPr>
                <w:rFonts w:ascii="Times New Roman" w:hAnsi="Times New Roman" w:cs="Times New Roman"/>
                <w:sz w:val="24"/>
                <w:szCs w:val="24"/>
              </w:rPr>
              <w:t>.</w:t>
            </w:r>
          </w:p>
        </w:tc>
        <w:tc>
          <w:tcPr>
            <w:tcW w:w="1484" w:type="dxa"/>
          </w:tcPr>
          <w:p w14:paraId="6BA222EC"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(2009); CSC (2013)</w:t>
            </w:r>
          </w:p>
        </w:tc>
        <w:tc>
          <w:tcPr>
            <w:tcW w:w="804" w:type="dxa"/>
            <w:shd w:val="clear" w:color="auto" w:fill="auto"/>
          </w:tcPr>
          <w:p w14:paraId="4622B96F"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3D30C159"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09DA5310" w14:textId="77777777" w:rsidTr="00353A9A">
        <w:tc>
          <w:tcPr>
            <w:tcW w:w="2694" w:type="dxa"/>
            <w:vMerge/>
            <w:shd w:val="clear" w:color="auto" w:fill="auto"/>
          </w:tcPr>
          <w:p w14:paraId="5F9B013B"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588B2D38"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1.3 C</w:t>
            </w:r>
            <w:r w:rsidRPr="006D56FB">
              <w:rPr>
                <w:rFonts w:ascii="Times New Roman" w:hAnsi="Times New Roman" w:cs="Times New Roman"/>
                <w:sz w:val="24"/>
                <w:szCs w:val="24"/>
              </w:rPr>
              <w:t xml:space="preserve">hairperson </w:t>
            </w:r>
            <w:r>
              <w:rPr>
                <w:rFonts w:ascii="Times New Roman" w:hAnsi="Times New Roman" w:cs="Times New Roman"/>
                <w:sz w:val="24"/>
                <w:szCs w:val="24"/>
              </w:rPr>
              <w:t>independence.</w:t>
            </w:r>
          </w:p>
        </w:tc>
        <w:tc>
          <w:tcPr>
            <w:tcW w:w="1484" w:type="dxa"/>
          </w:tcPr>
          <w:p w14:paraId="6E528FB0"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(2009); CSC (2013)</w:t>
            </w:r>
          </w:p>
        </w:tc>
        <w:tc>
          <w:tcPr>
            <w:tcW w:w="804" w:type="dxa"/>
            <w:shd w:val="clear" w:color="auto" w:fill="auto"/>
          </w:tcPr>
          <w:p w14:paraId="705F44AD"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11DA96DD"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7ED34915" w14:textId="77777777" w:rsidTr="00353A9A">
        <w:tc>
          <w:tcPr>
            <w:tcW w:w="2694" w:type="dxa"/>
            <w:vMerge/>
            <w:shd w:val="clear" w:color="auto" w:fill="auto"/>
          </w:tcPr>
          <w:p w14:paraId="17B137D3"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04B7572C"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1.4 Board members are sensitive to views of others, question intelligently, discuss constructively and make decisions for the best of their instructions.</w:t>
            </w:r>
          </w:p>
        </w:tc>
        <w:tc>
          <w:tcPr>
            <w:tcW w:w="1484" w:type="dxa"/>
          </w:tcPr>
          <w:p w14:paraId="0897EB56"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(2014)</w:t>
            </w:r>
          </w:p>
        </w:tc>
        <w:tc>
          <w:tcPr>
            <w:tcW w:w="804" w:type="dxa"/>
            <w:shd w:val="clear" w:color="auto" w:fill="auto"/>
          </w:tcPr>
          <w:p w14:paraId="472BE622"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7A28806A"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0087F179" w14:textId="77777777" w:rsidTr="00353A9A">
        <w:tc>
          <w:tcPr>
            <w:tcW w:w="2694" w:type="dxa"/>
            <w:vMerge/>
            <w:shd w:val="clear" w:color="auto" w:fill="auto"/>
          </w:tcPr>
          <w:p w14:paraId="0AA79E19"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5B68D51C"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 xml:space="preserve">1.5 </w:t>
            </w:r>
            <w:r w:rsidRPr="006D56FB">
              <w:rPr>
                <w:rFonts w:ascii="Times New Roman" w:hAnsi="Times New Roman" w:cs="Times New Roman"/>
                <w:sz w:val="24"/>
                <w:szCs w:val="24"/>
              </w:rPr>
              <w:t>Compliance with</w:t>
            </w:r>
            <w:r>
              <w:rPr>
                <w:rFonts w:ascii="Times New Roman" w:hAnsi="Times New Roman" w:cs="Times New Roman"/>
                <w:sz w:val="24"/>
                <w:szCs w:val="24"/>
              </w:rPr>
              <w:t xml:space="preserve"> the good governance guideline/code issued by the </w:t>
            </w:r>
            <w:r w:rsidRPr="006D56FB">
              <w:rPr>
                <w:rFonts w:ascii="Times New Roman" w:hAnsi="Times New Roman" w:cs="Times New Roman"/>
                <w:sz w:val="24"/>
                <w:szCs w:val="24"/>
              </w:rPr>
              <w:t>committee of university chairs</w:t>
            </w:r>
            <w:r>
              <w:rPr>
                <w:rFonts w:ascii="Times New Roman" w:hAnsi="Times New Roman" w:cs="Times New Roman"/>
                <w:sz w:val="24"/>
                <w:szCs w:val="24"/>
              </w:rPr>
              <w:t>.</w:t>
            </w:r>
          </w:p>
        </w:tc>
        <w:tc>
          <w:tcPr>
            <w:tcW w:w="1484" w:type="dxa"/>
          </w:tcPr>
          <w:p w14:paraId="5FC47D92"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(2009); CSC (2013)</w:t>
            </w:r>
          </w:p>
        </w:tc>
        <w:tc>
          <w:tcPr>
            <w:tcW w:w="804" w:type="dxa"/>
            <w:shd w:val="clear" w:color="auto" w:fill="auto"/>
          </w:tcPr>
          <w:p w14:paraId="1012212F"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228FC511"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23725324" w14:textId="77777777" w:rsidTr="00353A9A">
        <w:tc>
          <w:tcPr>
            <w:tcW w:w="2694" w:type="dxa"/>
            <w:vMerge/>
            <w:shd w:val="clear" w:color="auto" w:fill="auto"/>
          </w:tcPr>
          <w:p w14:paraId="7A476FB1"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2194D71C"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1.6 Governors’ c</w:t>
            </w:r>
            <w:r w:rsidRPr="006D56FB">
              <w:rPr>
                <w:rFonts w:ascii="Times New Roman" w:hAnsi="Times New Roman" w:cs="Times New Roman"/>
                <w:sz w:val="24"/>
                <w:szCs w:val="24"/>
              </w:rPr>
              <w:t xml:space="preserve">lassification into </w:t>
            </w:r>
            <w:r>
              <w:rPr>
                <w:rFonts w:ascii="Times New Roman" w:hAnsi="Times New Roman" w:cs="Times New Roman"/>
                <w:sz w:val="24"/>
                <w:szCs w:val="24"/>
              </w:rPr>
              <w:t>independent(lay) and non-independent (non-lay) members.</w:t>
            </w:r>
          </w:p>
        </w:tc>
        <w:tc>
          <w:tcPr>
            <w:tcW w:w="1484" w:type="dxa"/>
          </w:tcPr>
          <w:p w14:paraId="660D0B49"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(2009); CSC (2013)</w:t>
            </w:r>
          </w:p>
        </w:tc>
        <w:tc>
          <w:tcPr>
            <w:tcW w:w="804" w:type="dxa"/>
            <w:shd w:val="clear" w:color="auto" w:fill="auto"/>
          </w:tcPr>
          <w:p w14:paraId="1D76DF9D"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p w14:paraId="746D59AE" w14:textId="77777777" w:rsidR="00837DA7" w:rsidRPr="006D56FB" w:rsidRDefault="00837DA7" w:rsidP="00353A9A">
            <w:pPr>
              <w:spacing w:after="0"/>
              <w:jc w:val="center"/>
              <w:rPr>
                <w:rFonts w:ascii="Times New Roman" w:hAnsi="Times New Roman" w:cs="Times New Roman"/>
                <w:sz w:val="24"/>
                <w:szCs w:val="24"/>
              </w:rPr>
            </w:pPr>
          </w:p>
          <w:p w14:paraId="22166BA3" w14:textId="77777777" w:rsidR="00837DA7" w:rsidRPr="006D56FB" w:rsidRDefault="00837DA7" w:rsidP="00353A9A">
            <w:pPr>
              <w:spacing w:after="0"/>
              <w:jc w:val="center"/>
              <w:rPr>
                <w:rFonts w:ascii="Times New Roman" w:hAnsi="Times New Roman" w:cs="Times New Roman"/>
                <w:sz w:val="24"/>
                <w:szCs w:val="24"/>
              </w:rPr>
            </w:pPr>
          </w:p>
        </w:tc>
        <w:tc>
          <w:tcPr>
            <w:tcW w:w="822" w:type="dxa"/>
            <w:vMerge/>
            <w:shd w:val="clear" w:color="auto" w:fill="auto"/>
          </w:tcPr>
          <w:p w14:paraId="512C16C5"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16D591FC" w14:textId="77777777" w:rsidTr="00353A9A">
        <w:tc>
          <w:tcPr>
            <w:tcW w:w="2694" w:type="dxa"/>
            <w:vMerge/>
            <w:shd w:val="clear" w:color="auto" w:fill="auto"/>
          </w:tcPr>
          <w:p w14:paraId="73EC622B"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4E7F0082"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1.7 Ethnic and gender diversity of the board.</w:t>
            </w:r>
          </w:p>
        </w:tc>
        <w:tc>
          <w:tcPr>
            <w:tcW w:w="1484" w:type="dxa"/>
          </w:tcPr>
          <w:p w14:paraId="794362D9"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CSC (2013)</w:t>
            </w:r>
          </w:p>
        </w:tc>
        <w:tc>
          <w:tcPr>
            <w:tcW w:w="804" w:type="dxa"/>
            <w:shd w:val="clear" w:color="auto" w:fill="auto"/>
          </w:tcPr>
          <w:p w14:paraId="2934270E"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50CB0041"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781C0709" w14:textId="77777777" w:rsidTr="00353A9A">
        <w:tc>
          <w:tcPr>
            <w:tcW w:w="2694" w:type="dxa"/>
            <w:vMerge/>
            <w:shd w:val="clear" w:color="auto" w:fill="auto"/>
          </w:tcPr>
          <w:p w14:paraId="1A4E3842"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45D0E8EF"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 xml:space="preserve">1.8 Diversity among governors (e.g., age, experience, educational background, expertise) to </w:t>
            </w:r>
            <w:r w:rsidRPr="006D56FB">
              <w:rPr>
                <w:rFonts w:ascii="Times New Roman" w:hAnsi="Times New Roman" w:cs="Times New Roman"/>
                <w:sz w:val="24"/>
                <w:szCs w:val="24"/>
              </w:rPr>
              <w:t>avoid groupthink along legal</w:t>
            </w:r>
            <w:r>
              <w:rPr>
                <w:rFonts w:ascii="Times New Roman" w:hAnsi="Times New Roman" w:cs="Times New Roman"/>
                <w:sz w:val="24"/>
                <w:szCs w:val="24"/>
              </w:rPr>
              <w:t>/</w:t>
            </w:r>
            <w:r w:rsidRPr="006D56FB">
              <w:rPr>
                <w:rFonts w:ascii="Times New Roman" w:hAnsi="Times New Roman" w:cs="Times New Roman"/>
                <w:sz w:val="24"/>
                <w:szCs w:val="24"/>
              </w:rPr>
              <w:t>moral expectation</w:t>
            </w:r>
            <w:r>
              <w:rPr>
                <w:rFonts w:ascii="Times New Roman" w:hAnsi="Times New Roman" w:cs="Times New Roman"/>
                <w:sz w:val="24"/>
                <w:szCs w:val="24"/>
              </w:rPr>
              <w:t>.</w:t>
            </w:r>
          </w:p>
        </w:tc>
        <w:tc>
          <w:tcPr>
            <w:tcW w:w="1484" w:type="dxa"/>
          </w:tcPr>
          <w:p w14:paraId="7A84F210"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(2014)</w:t>
            </w:r>
          </w:p>
        </w:tc>
        <w:tc>
          <w:tcPr>
            <w:tcW w:w="804" w:type="dxa"/>
            <w:shd w:val="clear" w:color="auto" w:fill="auto"/>
          </w:tcPr>
          <w:p w14:paraId="59473677"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1C014761"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35CD8F19" w14:textId="77777777" w:rsidTr="00353A9A">
        <w:tc>
          <w:tcPr>
            <w:tcW w:w="2694" w:type="dxa"/>
            <w:vMerge/>
            <w:shd w:val="clear" w:color="auto" w:fill="auto"/>
          </w:tcPr>
          <w:p w14:paraId="6646EA50"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4997FD9E"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1.9 Regular participation of staff members and students.</w:t>
            </w:r>
          </w:p>
        </w:tc>
        <w:tc>
          <w:tcPr>
            <w:tcW w:w="1484" w:type="dxa"/>
          </w:tcPr>
          <w:p w14:paraId="66E96838"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(2014)</w:t>
            </w:r>
          </w:p>
        </w:tc>
        <w:tc>
          <w:tcPr>
            <w:tcW w:w="804" w:type="dxa"/>
            <w:shd w:val="clear" w:color="auto" w:fill="auto"/>
          </w:tcPr>
          <w:p w14:paraId="235013AC"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520F7377"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213EE398" w14:textId="77777777" w:rsidTr="00353A9A">
        <w:tc>
          <w:tcPr>
            <w:tcW w:w="2694" w:type="dxa"/>
            <w:vMerge/>
            <w:shd w:val="clear" w:color="auto" w:fill="auto"/>
          </w:tcPr>
          <w:p w14:paraId="29F77705"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159DB27E"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1.10 The positions of governing board chairperson and VC and separated.</w:t>
            </w:r>
          </w:p>
        </w:tc>
        <w:tc>
          <w:tcPr>
            <w:tcW w:w="1484" w:type="dxa"/>
          </w:tcPr>
          <w:p w14:paraId="5DD53DAD"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(2009); CSC (2013)</w:t>
            </w:r>
          </w:p>
        </w:tc>
        <w:tc>
          <w:tcPr>
            <w:tcW w:w="804" w:type="dxa"/>
            <w:shd w:val="clear" w:color="auto" w:fill="auto"/>
          </w:tcPr>
          <w:p w14:paraId="58ABEEA3"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56EEC66B"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5AEDAEF5" w14:textId="77777777" w:rsidTr="00353A9A">
        <w:tc>
          <w:tcPr>
            <w:tcW w:w="2694" w:type="dxa"/>
            <w:vMerge/>
            <w:shd w:val="clear" w:color="auto" w:fill="auto"/>
          </w:tcPr>
          <w:p w14:paraId="04AE0734"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23570639"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1.11 Governing board size (not more than 25 members).</w:t>
            </w:r>
          </w:p>
        </w:tc>
        <w:tc>
          <w:tcPr>
            <w:tcW w:w="1484" w:type="dxa"/>
          </w:tcPr>
          <w:p w14:paraId="5C967240"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(2009); CSC (2013)</w:t>
            </w:r>
          </w:p>
        </w:tc>
        <w:tc>
          <w:tcPr>
            <w:tcW w:w="804" w:type="dxa"/>
            <w:shd w:val="clear" w:color="auto" w:fill="auto"/>
          </w:tcPr>
          <w:p w14:paraId="12A9EE46"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p w14:paraId="1C26B1EC" w14:textId="77777777" w:rsidR="00837DA7" w:rsidRPr="006D56FB" w:rsidRDefault="00837DA7" w:rsidP="00353A9A">
            <w:pPr>
              <w:spacing w:after="0"/>
              <w:jc w:val="center"/>
              <w:rPr>
                <w:rFonts w:ascii="Times New Roman" w:hAnsi="Times New Roman" w:cs="Times New Roman"/>
                <w:sz w:val="24"/>
                <w:szCs w:val="24"/>
              </w:rPr>
            </w:pPr>
          </w:p>
        </w:tc>
        <w:tc>
          <w:tcPr>
            <w:tcW w:w="822" w:type="dxa"/>
            <w:vMerge/>
            <w:shd w:val="clear" w:color="auto" w:fill="auto"/>
          </w:tcPr>
          <w:p w14:paraId="138470F2"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61C61104" w14:textId="77777777" w:rsidTr="00353A9A">
        <w:tc>
          <w:tcPr>
            <w:tcW w:w="2694" w:type="dxa"/>
            <w:vMerge/>
            <w:shd w:val="clear" w:color="auto" w:fill="auto"/>
          </w:tcPr>
          <w:p w14:paraId="6B5DCBF0"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0865955A"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1.12 Governing board independence (majority of members are independent (lay) governors).</w:t>
            </w:r>
          </w:p>
        </w:tc>
        <w:tc>
          <w:tcPr>
            <w:tcW w:w="1484" w:type="dxa"/>
          </w:tcPr>
          <w:p w14:paraId="3C1F452F"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(2009); CSC (2013)</w:t>
            </w:r>
          </w:p>
        </w:tc>
        <w:tc>
          <w:tcPr>
            <w:tcW w:w="804" w:type="dxa"/>
            <w:shd w:val="clear" w:color="auto" w:fill="auto"/>
          </w:tcPr>
          <w:p w14:paraId="16ADEB5A"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292A95EB"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621F4B18" w14:textId="77777777" w:rsidTr="00353A9A">
        <w:tc>
          <w:tcPr>
            <w:tcW w:w="2694" w:type="dxa"/>
            <w:vMerge/>
            <w:shd w:val="clear" w:color="auto" w:fill="auto"/>
          </w:tcPr>
          <w:p w14:paraId="0687AC96"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1DF499B6"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1.13 Membership of the governing board.</w:t>
            </w:r>
          </w:p>
        </w:tc>
        <w:tc>
          <w:tcPr>
            <w:tcW w:w="1484" w:type="dxa"/>
          </w:tcPr>
          <w:p w14:paraId="4BB99CD4"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(2009); CSC (2013)</w:t>
            </w:r>
          </w:p>
        </w:tc>
        <w:tc>
          <w:tcPr>
            <w:tcW w:w="804" w:type="dxa"/>
            <w:shd w:val="clear" w:color="auto" w:fill="auto"/>
          </w:tcPr>
          <w:p w14:paraId="2AC25652"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7C765171"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5B1FE6ED" w14:textId="77777777" w:rsidTr="00353A9A">
        <w:tc>
          <w:tcPr>
            <w:tcW w:w="2694" w:type="dxa"/>
            <w:vMerge/>
            <w:shd w:val="clear" w:color="auto" w:fill="auto"/>
          </w:tcPr>
          <w:p w14:paraId="6590B90C"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7C17FFAF"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1.14 Record of meetings’ attendance for board members.</w:t>
            </w:r>
          </w:p>
        </w:tc>
        <w:tc>
          <w:tcPr>
            <w:tcW w:w="1484" w:type="dxa"/>
          </w:tcPr>
          <w:p w14:paraId="3FB8E638"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(2009); CSC (2013)</w:t>
            </w:r>
          </w:p>
        </w:tc>
        <w:tc>
          <w:tcPr>
            <w:tcW w:w="804" w:type="dxa"/>
            <w:shd w:val="clear" w:color="auto" w:fill="auto"/>
          </w:tcPr>
          <w:p w14:paraId="3364BFBF"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3B1CCE37"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311D23BF" w14:textId="77777777" w:rsidTr="00353A9A">
        <w:tc>
          <w:tcPr>
            <w:tcW w:w="2694" w:type="dxa"/>
            <w:vMerge/>
            <w:shd w:val="clear" w:color="auto" w:fill="auto"/>
          </w:tcPr>
          <w:p w14:paraId="71EAEEDB" w14:textId="77777777" w:rsidR="00837DA7" w:rsidRPr="006D56FB" w:rsidRDefault="00837DA7" w:rsidP="00353A9A">
            <w:pPr>
              <w:rPr>
                <w:rFonts w:ascii="Times New Roman" w:hAnsi="Times New Roman" w:cs="Times New Roman"/>
                <w:sz w:val="24"/>
                <w:szCs w:val="24"/>
              </w:rPr>
            </w:pPr>
          </w:p>
        </w:tc>
        <w:tc>
          <w:tcPr>
            <w:tcW w:w="4819" w:type="dxa"/>
            <w:shd w:val="clear" w:color="auto" w:fill="auto"/>
          </w:tcPr>
          <w:p w14:paraId="5CDA42D0" w14:textId="77777777" w:rsidR="00837DA7" w:rsidRPr="006D56FB" w:rsidRDefault="00837DA7" w:rsidP="00353A9A">
            <w:pPr>
              <w:rPr>
                <w:rFonts w:ascii="Times New Roman" w:hAnsi="Times New Roman" w:cs="Times New Roman"/>
                <w:sz w:val="24"/>
                <w:szCs w:val="24"/>
              </w:rPr>
            </w:pPr>
            <w:r>
              <w:rPr>
                <w:rFonts w:ascii="Times New Roman" w:hAnsi="Times New Roman" w:cs="Times New Roman"/>
                <w:sz w:val="24"/>
                <w:szCs w:val="24"/>
              </w:rPr>
              <w:t xml:space="preserve">1.15 </w:t>
            </w:r>
            <w:r w:rsidRPr="006D56FB">
              <w:rPr>
                <w:rFonts w:ascii="Times New Roman" w:hAnsi="Times New Roman" w:cs="Times New Roman"/>
                <w:sz w:val="24"/>
                <w:szCs w:val="24"/>
              </w:rPr>
              <w:t>Quorum requirements</w:t>
            </w:r>
            <w:r>
              <w:rPr>
                <w:rFonts w:ascii="Times New Roman" w:hAnsi="Times New Roman" w:cs="Times New Roman"/>
                <w:sz w:val="24"/>
                <w:szCs w:val="24"/>
              </w:rPr>
              <w:t xml:space="preserve"> for meetings.</w:t>
            </w:r>
          </w:p>
        </w:tc>
        <w:tc>
          <w:tcPr>
            <w:tcW w:w="1484" w:type="dxa"/>
          </w:tcPr>
          <w:p w14:paraId="3C421E1F" w14:textId="77777777" w:rsidR="00837DA7" w:rsidRPr="006D56FB" w:rsidRDefault="00837DA7" w:rsidP="00353A9A">
            <w:pPr>
              <w:rPr>
                <w:rFonts w:ascii="Times New Roman" w:hAnsi="Times New Roman" w:cs="Times New Roman"/>
                <w:sz w:val="24"/>
                <w:szCs w:val="24"/>
              </w:rPr>
            </w:pPr>
            <w:r w:rsidRPr="006D56FB">
              <w:rPr>
                <w:rFonts w:ascii="Times New Roman" w:hAnsi="Times New Roman" w:cs="Times New Roman"/>
                <w:sz w:val="24"/>
                <w:szCs w:val="24"/>
              </w:rPr>
              <w:t>CUC (2008)</w:t>
            </w:r>
          </w:p>
        </w:tc>
        <w:tc>
          <w:tcPr>
            <w:tcW w:w="804" w:type="dxa"/>
            <w:shd w:val="clear" w:color="auto" w:fill="auto"/>
          </w:tcPr>
          <w:p w14:paraId="4F8A6F11" w14:textId="77777777" w:rsidR="00837DA7" w:rsidRPr="006D56FB" w:rsidRDefault="00837DA7" w:rsidP="00353A9A">
            <w:pPr>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0CD3B6EC" w14:textId="77777777" w:rsidR="00837DA7" w:rsidRPr="006D56FB" w:rsidRDefault="00837DA7" w:rsidP="00353A9A">
            <w:pPr>
              <w:jc w:val="center"/>
              <w:rPr>
                <w:rFonts w:ascii="Times New Roman" w:hAnsi="Times New Roman" w:cs="Times New Roman"/>
                <w:sz w:val="24"/>
                <w:szCs w:val="24"/>
              </w:rPr>
            </w:pPr>
          </w:p>
        </w:tc>
      </w:tr>
      <w:tr w:rsidR="00837DA7" w:rsidRPr="006D56FB" w14:paraId="2DAFACE3" w14:textId="77777777" w:rsidTr="00353A9A">
        <w:tc>
          <w:tcPr>
            <w:tcW w:w="2694" w:type="dxa"/>
            <w:vMerge/>
            <w:shd w:val="clear" w:color="auto" w:fill="auto"/>
          </w:tcPr>
          <w:p w14:paraId="45F13013" w14:textId="77777777" w:rsidR="00837DA7" w:rsidRPr="006D56FB" w:rsidRDefault="00837DA7" w:rsidP="00353A9A">
            <w:pPr>
              <w:rPr>
                <w:rFonts w:ascii="Times New Roman" w:hAnsi="Times New Roman" w:cs="Times New Roman"/>
                <w:sz w:val="24"/>
                <w:szCs w:val="24"/>
              </w:rPr>
            </w:pPr>
          </w:p>
        </w:tc>
        <w:tc>
          <w:tcPr>
            <w:tcW w:w="4819" w:type="dxa"/>
            <w:shd w:val="clear" w:color="auto" w:fill="auto"/>
          </w:tcPr>
          <w:p w14:paraId="50CE3300" w14:textId="77777777" w:rsidR="00837DA7" w:rsidRPr="006D56FB" w:rsidRDefault="00837DA7" w:rsidP="00353A9A">
            <w:pPr>
              <w:rPr>
                <w:rFonts w:ascii="Times New Roman" w:hAnsi="Times New Roman" w:cs="Times New Roman"/>
                <w:sz w:val="24"/>
                <w:szCs w:val="24"/>
              </w:rPr>
            </w:pPr>
            <w:r>
              <w:rPr>
                <w:rFonts w:ascii="Times New Roman" w:hAnsi="Times New Roman" w:cs="Times New Roman"/>
                <w:sz w:val="24"/>
                <w:szCs w:val="24"/>
              </w:rPr>
              <w:t>1.16 N</w:t>
            </w:r>
            <w:r w:rsidRPr="006D56FB">
              <w:rPr>
                <w:rFonts w:ascii="Times New Roman" w:hAnsi="Times New Roman" w:cs="Times New Roman"/>
                <w:sz w:val="24"/>
                <w:szCs w:val="24"/>
              </w:rPr>
              <w:t>on-quoration</w:t>
            </w:r>
            <w:r>
              <w:rPr>
                <w:rFonts w:ascii="Times New Roman" w:hAnsi="Times New Roman" w:cs="Times New Roman"/>
                <w:sz w:val="24"/>
                <w:szCs w:val="24"/>
              </w:rPr>
              <w:t xml:space="preserve"> meeting procedures.</w:t>
            </w:r>
          </w:p>
        </w:tc>
        <w:tc>
          <w:tcPr>
            <w:tcW w:w="1484" w:type="dxa"/>
          </w:tcPr>
          <w:p w14:paraId="118768A2" w14:textId="77777777" w:rsidR="00837DA7" w:rsidRPr="006D56FB" w:rsidRDefault="00837DA7" w:rsidP="00353A9A">
            <w:pPr>
              <w:rPr>
                <w:rFonts w:ascii="Times New Roman" w:hAnsi="Times New Roman" w:cs="Times New Roman"/>
                <w:sz w:val="24"/>
                <w:szCs w:val="24"/>
              </w:rPr>
            </w:pPr>
            <w:r w:rsidRPr="006D56FB">
              <w:rPr>
                <w:rFonts w:ascii="Times New Roman" w:hAnsi="Times New Roman" w:cs="Times New Roman"/>
                <w:sz w:val="24"/>
                <w:szCs w:val="24"/>
              </w:rPr>
              <w:t>CUC (2008)</w:t>
            </w:r>
          </w:p>
        </w:tc>
        <w:tc>
          <w:tcPr>
            <w:tcW w:w="804" w:type="dxa"/>
            <w:shd w:val="clear" w:color="auto" w:fill="auto"/>
          </w:tcPr>
          <w:p w14:paraId="12C5DC55" w14:textId="77777777" w:rsidR="00837DA7" w:rsidRPr="006D56FB" w:rsidRDefault="00837DA7" w:rsidP="00353A9A">
            <w:pPr>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4BA25550" w14:textId="77777777" w:rsidR="00837DA7" w:rsidRPr="006D56FB" w:rsidRDefault="00837DA7" w:rsidP="00353A9A">
            <w:pPr>
              <w:jc w:val="center"/>
              <w:rPr>
                <w:rFonts w:ascii="Times New Roman" w:hAnsi="Times New Roman" w:cs="Times New Roman"/>
                <w:sz w:val="24"/>
                <w:szCs w:val="24"/>
              </w:rPr>
            </w:pPr>
          </w:p>
        </w:tc>
      </w:tr>
      <w:tr w:rsidR="00837DA7" w:rsidRPr="006D56FB" w14:paraId="59805719" w14:textId="77777777" w:rsidTr="00353A9A">
        <w:tc>
          <w:tcPr>
            <w:tcW w:w="2694" w:type="dxa"/>
            <w:vMerge/>
            <w:shd w:val="clear" w:color="auto" w:fill="auto"/>
          </w:tcPr>
          <w:p w14:paraId="47885D9A"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557BAE51"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1.17 Sharing accountability and responsibility for institutional success among board members.</w:t>
            </w:r>
          </w:p>
        </w:tc>
        <w:tc>
          <w:tcPr>
            <w:tcW w:w="1484" w:type="dxa"/>
          </w:tcPr>
          <w:p w14:paraId="04DB3D4F"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(2008)</w:t>
            </w:r>
          </w:p>
        </w:tc>
        <w:tc>
          <w:tcPr>
            <w:tcW w:w="804" w:type="dxa"/>
            <w:shd w:val="clear" w:color="auto" w:fill="auto"/>
          </w:tcPr>
          <w:p w14:paraId="69CBB80B"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47606E9D"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43958453" w14:textId="77777777" w:rsidTr="00353A9A">
        <w:tc>
          <w:tcPr>
            <w:tcW w:w="2694" w:type="dxa"/>
            <w:vMerge/>
            <w:shd w:val="clear" w:color="auto" w:fill="auto"/>
          </w:tcPr>
          <w:p w14:paraId="2B9A40A9"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57AF606B"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 xml:space="preserve">1.18 Sharing accountability and responsibility for governance, internal control and risk management among board members. </w:t>
            </w:r>
          </w:p>
        </w:tc>
        <w:tc>
          <w:tcPr>
            <w:tcW w:w="1484" w:type="dxa"/>
          </w:tcPr>
          <w:p w14:paraId="7E12DE94"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(2008)</w:t>
            </w:r>
          </w:p>
        </w:tc>
        <w:tc>
          <w:tcPr>
            <w:tcW w:w="804" w:type="dxa"/>
            <w:shd w:val="clear" w:color="auto" w:fill="auto"/>
          </w:tcPr>
          <w:p w14:paraId="34F1E1AE"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3E6BAB40"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7EB9F23D" w14:textId="77777777" w:rsidTr="00353A9A">
        <w:tc>
          <w:tcPr>
            <w:tcW w:w="2694" w:type="dxa"/>
            <w:vMerge/>
            <w:shd w:val="clear" w:color="auto" w:fill="auto"/>
          </w:tcPr>
          <w:p w14:paraId="5A024855" w14:textId="77777777" w:rsidR="00837DA7" w:rsidRPr="006D56FB" w:rsidRDefault="00837DA7" w:rsidP="00353A9A">
            <w:pPr>
              <w:spacing w:after="0"/>
              <w:rPr>
                <w:rFonts w:ascii="Times New Roman" w:hAnsi="Times New Roman" w:cs="Times New Roman"/>
                <w:sz w:val="24"/>
                <w:szCs w:val="24"/>
              </w:rPr>
            </w:pPr>
          </w:p>
        </w:tc>
        <w:tc>
          <w:tcPr>
            <w:tcW w:w="4819" w:type="dxa"/>
            <w:tcBorders>
              <w:bottom w:val="single" w:sz="4" w:space="0" w:color="auto"/>
            </w:tcBorders>
            <w:shd w:val="clear" w:color="auto" w:fill="auto"/>
          </w:tcPr>
          <w:p w14:paraId="249DB91A"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 xml:space="preserve">1.19 Frequent review of the </w:t>
            </w:r>
            <w:r w:rsidRPr="006D56FB">
              <w:rPr>
                <w:rFonts w:ascii="Times New Roman" w:hAnsi="Times New Roman" w:cs="Times New Roman"/>
                <w:sz w:val="24"/>
                <w:szCs w:val="24"/>
              </w:rPr>
              <w:t>delegated authority of the accountable officer</w:t>
            </w:r>
            <w:r>
              <w:rPr>
                <w:rFonts w:ascii="Times New Roman" w:hAnsi="Times New Roman" w:cs="Times New Roman"/>
                <w:sz w:val="24"/>
                <w:szCs w:val="24"/>
              </w:rPr>
              <w:t xml:space="preserve"> by the board.</w:t>
            </w:r>
          </w:p>
        </w:tc>
        <w:tc>
          <w:tcPr>
            <w:tcW w:w="1484" w:type="dxa"/>
            <w:tcBorders>
              <w:bottom w:val="single" w:sz="4" w:space="0" w:color="auto"/>
            </w:tcBorders>
          </w:tcPr>
          <w:p w14:paraId="51D2D437"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(2014)</w:t>
            </w:r>
          </w:p>
        </w:tc>
        <w:tc>
          <w:tcPr>
            <w:tcW w:w="804" w:type="dxa"/>
            <w:tcBorders>
              <w:bottom w:val="single" w:sz="4" w:space="0" w:color="auto"/>
            </w:tcBorders>
            <w:shd w:val="clear" w:color="auto" w:fill="auto"/>
          </w:tcPr>
          <w:p w14:paraId="20241D8C"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248E35FD"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6D34F036" w14:textId="77777777" w:rsidTr="00353A9A">
        <w:tc>
          <w:tcPr>
            <w:tcW w:w="2694" w:type="dxa"/>
            <w:vMerge/>
            <w:shd w:val="clear" w:color="auto" w:fill="auto"/>
          </w:tcPr>
          <w:p w14:paraId="3E8F0B5E" w14:textId="77777777" w:rsidR="00837DA7" w:rsidRPr="006D56FB" w:rsidRDefault="00837DA7" w:rsidP="00353A9A">
            <w:pPr>
              <w:spacing w:after="0"/>
              <w:rPr>
                <w:rFonts w:ascii="Times New Roman" w:hAnsi="Times New Roman" w:cs="Times New Roman"/>
                <w:sz w:val="24"/>
                <w:szCs w:val="24"/>
              </w:rPr>
            </w:pPr>
          </w:p>
        </w:tc>
        <w:tc>
          <w:tcPr>
            <w:tcW w:w="4819" w:type="dxa"/>
            <w:tcBorders>
              <w:top w:val="single" w:sz="4" w:space="0" w:color="auto"/>
              <w:bottom w:val="nil"/>
            </w:tcBorders>
            <w:shd w:val="clear" w:color="auto" w:fill="auto"/>
          </w:tcPr>
          <w:p w14:paraId="10B3DCB5"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1.20 Ethical policy.</w:t>
            </w:r>
          </w:p>
        </w:tc>
        <w:tc>
          <w:tcPr>
            <w:tcW w:w="1484" w:type="dxa"/>
            <w:tcBorders>
              <w:top w:val="single" w:sz="4" w:space="0" w:color="auto"/>
              <w:bottom w:val="nil"/>
            </w:tcBorders>
          </w:tcPr>
          <w:p w14:paraId="5F26D123"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(2014)</w:t>
            </w:r>
          </w:p>
        </w:tc>
        <w:tc>
          <w:tcPr>
            <w:tcW w:w="804" w:type="dxa"/>
            <w:tcBorders>
              <w:top w:val="single" w:sz="4" w:space="0" w:color="auto"/>
              <w:bottom w:val="nil"/>
            </w:tcBorders>
            <w:shd w:val="clear" w:color="auto" w:fill="auto"/>
          </w:tcPr>
          <w:p w14:paraId="6F320D32"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6E311D10"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1225902B" w14:textId="77777777" w:rsidTr="00353A9A">
        <w:tc>
          <w:tcPr>
            <w:tcW w:w="2694" w:type="dxa"/>
            <w:vMerge/>
            <w:shd w:val="clear" w:color="auto" w:fill="auto"/>
          </w:tcPr>
          <w:p w14:paraId="22F03C22" w14:textId="77777777" w:rsidR="00837DA7" w:rsidRPr="006D56FB" w:rsidRDefault="00837DA7" w:rsidP="00353A9A">
            <w:pPr>
              <w:spacing w:after="0"/>
              <w:rPr>
                <w:rFonts w:ascii="Times New Roman" w:hAnsi="Times New Roman" w:cs="Times New Roman"/>
                <w:sz w:val="24"/>
                <w:szCs w:val="24"/>
              </w:rPr>
            </w:pPr>
          </w:p>
        </w:tc>
        <w:tc>
          <w:tcPr>
            <w:tcW w:w="4819" w:type="dxa"/>
            <w:tcBorders>
              <w:top w:val="nil"/>
            </w:tcBorders>
            <w:shd w:val="clear" w:color="auto" w:fill="auto"/>
          </w:tcPr>
          <w:p w14:paraId="753FA935"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1.21 W</w:t>
            </w:r>
            <w:r w:rsidRPr="006D56FB">
              <w:rPr>
                <w:rFonts w:ascii="Times New Roman" w:hAnsi="Times New Roman" w:cs="Times New Roman"/>
                <w:sz w:val="24"/>
                <w:szCs w:val="24"/>
              </w:rPr>
              <w:t>histleblowing policy</w:t>
            </w:r>
            <w:r>
              <w:rPr>
                <w:rFonts w:ascii="Times New Roman" w:hAnsi="Times New Roman" w:cs="Times New Roman"/>
                <w:sz w:val="24"/>
                <w:szCs w:val="24"/>
              </w:rPr>
              <w:t>.</w:t>
            </w:r>
          </w:p>
        </w:tc>
        <w:tc>
          <w:tcPr>
            <w:tcW w:w="1484" w:type="dxa"/>
            <w:tcBorders>
              <w:top w:val="nil"/>
            </w:tcBorders>
          </w:tcPr>
          <w:p w14:paraId="264B53B0"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(2014)</w:t>
            </w:r>
          </w:p>
        </w:tc>
        <w:tc>
          <w:tcPr>
            <w:tcW w:w="804" w:type="dxa"/>
            <w:tcBorders>
              <w:top w:val="nil"/>
            </w:tcBorders>
            <w:shd w:val="clear" w:color="auto" w:fill="auto"/>
          </w:tcPr>
          <w:p w14:paraId="32D63D1D"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5FF34186"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39F941D0" w14:textId="77777777" w:rsidTr="00353A9A">
        <w:tc>
          <w:tcPr>
            <w:tcW w:w="2694" w:type="dxa"/>
            <w:vMerge/>
            <w:shd w:val="clear" w:color="auto" w:fill="auto"/>
          </w:tcPr>
          <w:p w14:paraId="461876F8"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3398EE86"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 xml:space="preserve">1.22 Institutional practices and policies are measured against the sector and external benchmarks. </w:t>
            </w:r>
          </w:p>
        </w:tc>
        <w:tc>
          <w:tcPr>
            <w:tcW w:w="1484" w:type="dxa"/>
          </w:tcPr>
          <w:p w14:paraId="0D0349C6"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(2014)</w:t>
            </w:r>
          </w:p>
        </w:tc>
        <w:tc>
          <w:tcPr>
            <w:tcW w:w="804" w:type="dxa"/>
            <w:shd w:val="clear" w:color="auto" w:fill="auto"/>
          </w:tcPr>
          <w:p w14:paraId="5231E228"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5EBDFF55"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5D683BE5" w14:textId="77777777" w:rsidTr="00353A9A">
        <w:tc>
          <w:tcPr>
            <w:tcW w:w="2694" w:type="dxa"/>
            <w:vMerge/>
            <w:shd w:val="clear" w:color="auto" w:fill="auto"/>
          </w:tcPr>
          <w:p w14:paraId="2A5E8B8D"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081C628A"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1.23 Strategic plan.</w:t>
            </w:r>
          </w:p>
        </w:tc>
        <w:tc>
          <w:tcPr>
            <w:tcW w:w="1484" w:type="dxa"/>
          </w:tcPr>
          <w:p w14:paraId="43FCF218"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(2014)</w:t>
            </w:r>
          </w:p>
        </w:tc>
        <w:tc>
          <w:tcPr>
            <w:tcW w:w="804" w:type="dxa"/>
            <w:shd w:val="clear" w:color="auto" w:fill="auto"/>
          </w:tcPr>
          <w:p w14:paraId="59E051C4"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0DADBE3F"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4B245BE7" w14:textId="77777777" w:rsidTr="00353A9A">
        <w:tc>
          <w:tcPr>
            <w:tcW w:w="2694" w:type="dxa"/>
            <w:vMerge/>
            <w:shd w:val="clear" w:color="auto" w:fill="auto"/>
          </w:tcPr>
          <w:p w14:paraId="02CEA533"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4CA4434F"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1.24 Governing board evaluation of a HEI sustainability, including KPIs on external impact and financial sustainability.</w:t>
            </w:r>
          </w:p>
        </w:tc>
        <w:tc>
          <w:tcPr>
            <w:tcW w:w="1484" w:type="dxa"/>
          </w:tcPr>
          <w:p w14:paraId="54B706DE"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(2014)</w:t>
            </w:r>
          </w:p>
        </w:tc>
        <w:tc>
          <w:tcPr>
            <w:tcW w:w="804" w:type="dxa"/>
            <w:shd w:val="clear" w:color="auto" w:fill="auto"/>
          </w:tcPr>
          <w:p w14:paraId="0C8F42FA"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6F091981"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71DEDC86" w14:textId="77777777" w:rsidTr="00353A9A">
        <w:tc>
          <w:tcPr>
            <w:tcW w:w="2694" w:type="dxa"/>
            <w:vMerge/>
            <w:shd w:val="clear" w:color="auto" w:fill="auto"/>
          </w:tcPr>
          <w:p w14:paraId="4CE69871"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4572F3A1"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1.25 Understanding/respecting academic freedom principles by the board.</w:t>
            </w:r>
          </w:p>
        </w:tc>
        <w:tc>
          <w:tcPr>
            <w:tcW w:w="1484" w:type="dxa"/>
          </w:tcPr>
          <w:p w14:paraId="65F93363"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(2014)</w:t>
            </w:r>
          </w:p>
        </w:tc>
        <w:tc>
          <w:tcPr>
            <w:tcW w:w="804" w:type="dxa"/>
            <w:shd w:val="clear" w:color="auto" w:fill="auto"/>
          </w:tcPr>
          <w:p w14:paraId="24355D3E"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2E46EC2A"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722761A2" w14:textId="77777777" w:rsidTr="00353A9A">
        <w:tc>
          <w:tcPr>
            <w:tcW w:w="2694" w:type="dxa"/>
            <w:vMerge/>
            <w:shd w:val="clear" w:color="auto" w:fill="auto"/>
          </w:tcPr>
          <w:p w14:paraId="0DBEF5A5"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71E2833F"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1.26 Diversity and equality policy.</w:t>
            </w:r>
          </w:p>
        </w:tc>
        <w:tc>
          <w:tcPr>
            <w:tcW w:w="1484" w:type="dxa"/>
          </w:tcPr>
          <w:p w14:paraId="19D1EC98"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(2014)</w:t>
            </w:r>
          </w:p>
        </w:tc>
        <w:tc>
          <w:tcPr>
            <w:tcW w:w="804" w:type="dxa"/>
            <w:shd w:val="clear" w:color="auto" w:fill="auto"/>
          </w:tcPr>
          <w:p w14:paraId="256E3B7E"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10ED1410"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22EEDD60" w14:textId="77777777" w:rsidTr="00353A9A">
        <w:tc>
          <w:tcPr>
            <w:tcW w:w="2694" w:type="dxa"/>
            <w:vMerge/>
            <w:shd w:val="clear" w:color="auto" w:fill="auto"/>
          </w:tcPr>
          <w:p w14:paraId="6BD96A0D"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0EC66BA3"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1.27 Governors’ responsibilities, experience and biographical details.</w:t>
            </w:r>
          </w:p>
        </w:tc>
        <w:tc>
          <w:tcPr>
            <w:tcW w:w="1484" w:type="dxa"/>
          </w:tcPr>
          <w:p w14:paraId="6D1C09E1"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(2014)</w:t>
            </w:r>
          </w:p>
        </w:tc>
        <w:tc>
          <w:tcPr>
            <w:tcW w:w="804" w:type="dxa"/>
            <w:shd w:val="clear" w:color="auto" w:fill="auto"/>
          </w:tcPr>
          <w:p w14:paraId="67B3E962"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7C0D3D20"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72A6C66A" w14:textId="77777777" w:rsidTr="00353A9A">
        <w:tc>
          <w:tcPr>
            <w:tcW w:w="2694" w:type="dxa"/>
            <w:vMerge w:val="restart"/>
            <w:shd w:val="clear" w:color="auto" w:fill="auto"/>
          </w:tcPr>
          <w:p w14:paraId="40AF8351" w14:textId="77777777" w:rsidR="00837DA7" w:rsidRPr="006D56FB" w:rsidRDefault="00837DA7" w:rsidP="00353A9A">
            <w:pPr>
              <w:spacing w:after="0"/>
              <w:ind w:right="-34"/>
              <w:rPr>
                <w:rFonts w:ascii="Times New Roman" w:hAnsi="Times New Roman" w:cs="Times New Roman"/>
                <w:sz w:val="24"/>
                <w:szCs w:val="24"/>
              </w:rPr>
            </w:pPr>
            <w:r w:rsidRPr="006D56FB">
              <w:rPr>
                <w:rFonts w:ascii="Times New Roman" w:hAnsi="Times New Roman" w:cs="Times New Roman"/>
                <w:b/>
                <w:bCs/>
                <w:sz w:val="24"/>
                <w:szCs w:val="24"/>
              </w:rPr>
              <w:t>2.</w:t>
            </w:r>
            <w:r>
              <w:rPr>
                <w:rFonts w:ascii="Times New Roman" w:hAnsi="Times New Roman" w:cs="Times New Roman"/>
                <w:b/>
                <w:bCs/>
                <w:sz w:val="24"/>
                <w:szCs w:val="24"/>
              </w:rPr>
              <w:t xml:space="preserve"> P</w:t>
            </w:r>
            <w:r w:rsidRPr="006D56FB">
              <w:rPr>
                <w:rFonts w:ascii="Times New Roman" w:hAnsi="Times New Roman" w:cs="Times New Roman"/>
                <w:b/>
                <w:bCs/>
                <w:sz w:val="24"/>
                <w:szCs w:val="24"/>
              </w:rPr>
              <w:t>rocedures/structures (</w:t>
            </w:r>
            <w:r w:rsidRPr="006D56FB">
              <w:rPr>
                <w:rFonts w:ascii="Times New Roman" w:hAnsi="Times New Roman" w:cs="Times New Roman"/>
                <w:b/>
                <w:bCs/>
                <w:i/>
                <w:iCs/>
                <w:sz w:val="24"/>
                <w:szCs w:val="24"/>
              </w:rPr>
              <w:t>PR</w:t>
            </w:r>
            <w:r>
              <w:rPr>
                <w:rFonts w:ascii="Times New Roman" w:hAnsi="Times New Roman" w:cs="Times New Roman"/>
                <w:b/>
                <w:bCs/>
                <w:i/>
                <w:iCs/>
                <w:sz w:val="24"/>
                <w:szCs w:val="24"/>
              </w:rPr>
              <w:t>O</w:t>
            </w:r>
            <w:r w:rsidRPr="006D56FB">
              <w:rPr>
                <w:rFonts w:ascii="Times New Roman" w:hAnsi="Times New Roman" w:cs="Times New Roman"/>
                <w:b/>
                <w:bCs/>
                <w:i/>
                <w:iCs/>
                <w:sz w:val="24"/>
                <w:szCs w:val="24"/>
              </w:rPr>
              <w:t>S</w:t>
            </w:r>
            <w:r w:rsidRPr="006D56FB">
              <w:rPr>
                <w:rFonts w:ascii="Times New Roman" w:hAnsi="Times New Roman" w:cs="Times New Roman"/>
                <w:b/>
                <w:bCs/>
                <w:sz w:val="24"/>
                <w:szCs w:val="24"/>
              </w:rPr>
              <w:t>)</w:t>
            </w:r>
          </w:p>
        </w:tc>
        <w:tc>
          <w:tcPr>
            <w:tcW w:w="4819" w:type="dxa"/>
            <w:shd w:val="clear" w:color="auto" w:fill="auto"/>
          </w:tcPr>
          <w:p w14:paraId="284D934B"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2.1 Review of procedures to ensure that the institution comply with regulations/laws.</w:t>
            </w:r>
          </w:p>
        </w:tc>
        <w:tc>
          <w:tcPr>
            <w:tcW w:w="1484" w:type="dxa"/>
          </w:tcPr>
          <w:p w14:paraId="4318680E"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(2008)</w:t>
            </w:r>
          </w:p>
        </w:tc>
        <w:tc>
          <w:tcPr>
            <w:tcW w:w="804" w:type="dxa"/>
            <w:shd w:val="clear" w:color="auto" w:fill="auto"/>
          </w:tcPr>
          <w:p w14:paraId="1A5CC9B0"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val="restart"/>
            <w:shd w:val="clear" w:color="auto" w:fill="auto"/>
          </w:tcPr>
          <w:p w14:paraId="74B22E4A"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24</w:t>
            </w:r>
          </w:p>
        </w:tc>
      </w:tr>
      <w:tr w:rsidR="00837DA7" w:rsidRPr="006D56FB" w14:paraId="04D47B44" w14:textId="77777777" w:rsidTr="00353A9A">
        <w:tc>
          <w:tcPr>
            <w:tcW w:w="2694" w:type="dxa"/>
            <w:vMerge/>
            <w:shd w:val="clear" w:color="auto" w:fill="auto"/>
          </w:tcPr>
          <w:p w14:paraId="0316C254"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1B29C0B2"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2.2 Review of procedures to ensure that public resources/fund are effectively used.</w:t>
            </w:r>
          </w:p>
        </w:tc>
        <w:tc>
          <w:tcPr>
            <w:tcW w:w="1484" w:type="dxa"/>
          </w:tcPr>
          <w:p w14:paraId="2BD23EA4"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(2008)</w:t>
            </w:r>
          </w:p>
        </w:tc>
        <w:tc>
          <w:tcPr>
            <w:tcW w:w="804" w:type="dxa"/>
            <w:shd w:val="clear" w:color="auto" w:fill="auto"/>
          </w:tcPr>
          <w:p w14:paraId="3BB9D91E"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63CB2EEF"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11330FAF" w14:textId="77777777" w:rsidTr="00353A9A">
        <w:tc>
          <w:tcPr>
            <w:tcW w:w="2694" w:type="dxa"/>
            <w:vMerge/>
            <w:shd w:val="clear" w:color="auto" w:fill="auto"/>
          </w:tcPr>
          <w:p w14:paraId="66899D84"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486CCB89"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 xml:space="preserve">2.3 Review of procedures to manage conflicts of interests and </w:t>
            </w:r>
            <w:r w:rsidRPr="006D56FB">
              <w:rPr>
                <w:rFonts w:ascii="Times New Roman" w:hAnsi="Times New Roman" w:cs="Times New Roman"/>
                <w:sz w:val="24"/>
                <w:szCs w:val="24"/>
              </w:rPr>
              <w:t>ensure high standard behaviour</w:t>
            </w:r>
            <w:r>
              <w:rPr>
                <w:rFonts w:ascii="Times New Roman" w:hAnsi="Times New Roman" w:cs="Times New Roman"/>
                <w:sz w:val="24"/>
                <w:szCs w:val="24"/>
              </w:rPr>
              <w:t xml:space="preserve"> among members.</w:t>
            </w:r>
          </w:p>
        </w:tc>
        <w:tc>
          <w:tcPr>
            <w:tcW w:w="1484" w:type="dxa"/>
          </w:tcPr>
          <w:p w14:paraId="10C926E8"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(2008)</w:t>
            </w:r>
          </w:p>
        </w:tc>
        <w:tc>
          <w:tcPr>
            <w:tcW w:w="804" w:type="dxa"/>
            <w:shd w:val="clear" w:color="auto" w:fill="auto"/>
          </w:tcPr>
          <w:p w14:paraId="0FE6477C"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1051122D"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2E1B9930" w14:textId="77777777" w:rsidTr="00353A9A">
        <w:tc>
          <w:tcPr>
            <w:tcW w:w="2694" w:type="dxa"/>
            <w:vMerge/>
            <w:shd w:val="clear" w:color="auto" w:fill="auto"/>
          </w:tcPr>
          <w:p w14:paraId="6EED5D0D"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2317A992"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2.4 S</w:t>
            </w:r>
            <w:r w:rsidRPr="00E76043">
              <w:rPr>
                <w:rFonts w:ascii="Times New Roman" w:hAnsi="Times New Roman" w:cs="Times New Roman"/>
                <w:sz w:val="24"/>
                <w:szCs w:val="24"/>
              </w:rPr>
              <w:t>uccession planning policy</w:t>
            </w:r>
            <w:r>
              <w:rPr>
                <w:rFonts w:ascii="Times New Roman" w:hAnsi="Times New Roman" w:cs="Times New Roman"/>
                <w:sz w:val="24"/>
                <w:szCs w:val="24"/>
              </w:rPr>
              <w:t xml:space="preserve"> </w:t>
            </w:r>
            <w:r w:rsidRPr="006D56FB">
              <w:rPr>
                <w:rFonts w:ascii="Times New Roman" w:hAnsi="Times New Roman" w:cs="Times New Roman"/>
                <w:sz w:val="24"/>
                <w:szCs w:val="24"/>
              </w:rPr>
              <w:t>for the orderly succession of members</w:t>
            </w:r>
            <w:r>
              <w:rPr>
                <w:rFonts w:ascii="Times New Roman" w:hAnsi="Times New Roman" w:cs="Times New Roman"/>
                <w:sz w:val="24"/>
                <w:szCs w:val="24"/>
              </w:rPr>
              <w:t>.</w:t>
            </w:r>
          </w:p>
        </w:tc>
        <w:tc>
          <w:tcPr>
            <w:tcW w:w="1484" w:type="dxa"/>
          </w:tcPr>
          <w:p w14:paraId="5DD1049A"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(2008)</w:t>
            </w:r>
          </w:p>
        </w:tc>
        <w:tc>
          <w:tcPr>
            <w:tcW w:w="804" w:type="dxa"/>
            <w:shd w:val="clear" w:color="auto" w:fill="auto"/>
          </w:tcPr>
          <w:p w14:paraId="36AA7B7C"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45502155"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12A560E6" w14:textId="77777777" w:rsidTr="00353A9A">
        <w:tc>
          <w:tcPr>
            <w:tcW w:w="2694" w:type="dxa"/>
            <w:vMerge/>
            <w:shd w:val="clear" w:color="auto" w:fill="auto"/>
          </w:tcPr>
          <w:p w14:paraId="73D0A212"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25E6925D"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 xml:space="preserve">2.5 Re-elections of members are based on </w:t>
            </w:r>
            <w:r w:rsidRPr="006D56FB">
              <w:rPr>
                <w:rFonts w:ascii="Times New Roman" w:hAnsi="Times New Roman" w:cs="Times New Roman"/>
                <w:sz w:val="24"/>
                <w:szCs w:val="24"/>
              </w:rPr>
              <w:t>satisfactory performance</w:t>
            </w:r>
            <w:r>
              <w:rPr>
                <w:rFonts w:ascii="Times New Roman" w:hAnsi="Times New Roman" w:cs="Times New Roman"/>
                <w:sz w:val="24"/>
                <w:szCs w:val="24"/>
              </w:rPr>
              <w:t>.</w:t>
            </w:r>
          </w:p>
        </w:tc>
        <w:tc>
          <w:tcPr>
            <w:tcW w:w="1484" w:type="dxa"/>
          </w:tcPr>
          <w:p w14:paraId="1989BD26"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(2008)</w:t>
            </w:r>
          </w:p>
        </w:tc>
        <w:tc>
          <w:tcPr>
            <w:tcW w:w="804" w:type="dxa"/>
            <w:shd w:val="clear" w:color="auto" w:fill="auto"/>
          </w:tcPr>
          <w:p w14:paraId="542A1998"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6E24BE4C"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6CF6ABA8" w14:textId="77777777" w:rsidTr="00353A9A">
        <w:tc>
          <w:tcPr>
            <w:tcW w:w="2694" w:type="dxa"/>
            <w:vMerge/>
            <w:shd w:val="clear" w:color="auto" w:fill="auto"/>
          </w:tcPr>
          <w:p w14:paraId="6D83119F"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5847F832"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2.6 Term of office of members.</w:t>
            </w:r>
          </w:p>
        </w:tc>
        <w:tc>
          <w:tcPr>
            <w:tcW w:w="1484" w:type="dxa"/>
          </w:tcPr>
          <w:p w14:paraId="5C0984AF"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(2008)</w:t>
            </w:r>
          </w:p>
        </w:tc>
        <w:tc>
          <w:tcPr>
            <w:tcW w:w="804" w:type="dxa"/>
            <w:shd w:val="clear" w:color="auto" w:fill="auto"/>
          </w:tcPr>
          <w:p w14:paraId="74340457"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0A97647C"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6712D088" w14:textId="77777777" w:rsidTr="00353A9A">
        <w:tc>
          <w:tcPr>
            <w:tcW w:w="2694" w:type="dxa"/>
            <w:vMerge/>
            <w:shd w:val="clear" w:color="auto" w:fill="auto"/>
          </w:tcPr>
          <w:p w14:paraId="4E24383A"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5E8DEDFF"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2.7 Pay packages of senior offices (e.g., VC).</w:t>
            </w:r>
          </w:p>
        </w:tc>
        <w:tc>
          <w:tcPr>
            <w:tcW w:w="1484" w:type="dxa"/>
          </w:tcPr>
          <w:p w14:paraId="05F0432E"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(2008)</w:t>
            </w:r>
          </w:p>
        </w:tc>
        <w:tc>
          <w:tcPr>
            <w:tcW w:w="804" w:type="dxa"/>
            <w:shd w:val="clear" w:color="auto" w:fill="auto"/>
          </w:tcPr>
          <w:p w14:paraId="6D4DF2A2"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62621029"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463FFC50" w14:textId="77777777" w:rsidTr="00353A9A">
        <w:tc>
          <w:tcPr>
            <w:tcW w:w="2694" w:type="dxa"/>
            <w:vMerge/>
            <w:shd w:val="clear" w:color="auto" w:fill="auto"/>
          </w:tcPr>
          <w:p w14:paraId="57D6D0DD"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671797DB"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 xml:space="preserve">2.8 Review of procedures to ensure that governing board and committees are supplied with timely and relevant information. </w:t>
            </w:r>
          </w:p>
        </w:tc>
        <w:tc>
          <w:tcPr>
            <w:tcW w:w="1484" w:type="dxa"/>
          </w:tcPr>
          <w:p w14:paraId="0F29AA24"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(2008)</w:t>
            </w:r>
          </w:p>
        </w:tc>
        <w:tc>
          <w:tcPr>
            <w:tcW w:w="804" w:type="dxa"/>
            <w:shd w:val="clear" w:color="auto" w:fill="auto"/>
          </w:tcPr>
          <w:p w14:paraId="4C70EB0A"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22F5AECF"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569F8340" w14:textId="77777777" w:rsidTr="00353A9A">
        <w:tc>
          <w:tcPr>
            <w:tcW w:w="2694" w:type="dxa"/>
            <w:vMerge/>
            <w:shd w:val="clear" w:color="auto" w:fill="auto"/>
          </w:tcPr>
          <w:p w14:paraId="1FBF5CFC"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0B5EF3CF"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 xml:space="preserve">2.9 Review of procedures to ensure that new members are provided with appropriate trainings. </w:t>
            </w:r>
          </w:p>
        </w:tc>
        <w:tc>
          <w:tcPr>
            <w:tcW w:w="1484" w:type="dxa"/>
          </w:tcPr>
          <w:p w14:paraId="54BC11E2"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(2008)</w:t>
            </w:r>
          </w:p>
        </w:tc>
        <w:tc>
          <w:tcPr>
            <w:tcW w:w="804" w:type="dxa"/>
            <w:shd w:val="clear" w:color="auto" w:fill="auto"/>
          </w:tcPr>
          <w:p w14:paraId="4E06E218"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791C8822"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42F13E94" w14:textId="77777777" w:rsidTr="00353A9A">
        <w:tc>
          <w:tcPr>
            <w:tcW w:w="2694" w:type="dxa"/>
            <w:vMerge/>
            <w:shd w:val="clear" w:color="auto" w:fill="auto"/>
          </w:tcPr>
          <w:p w14:paraId="407B14AD"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4CD5164D"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2.10 The existence of formal procedures that allow members to access independent legal advice.</w:t>
            </w:r>
          </w:p>
        </w:tc>
        <w:tc>
          <w:tcPr>
            <w:tcW w:w="1484" w:type="dxa"/>
          </w:tcPr>
          <w:p w14:paraId="25C55F91"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(2008)</w:t>
            </w:r>
          </w:p>
        </w:tc>
        <w:tc>
          <w:tcPr>
            <w:tcW w:w="804" w:type="dxa"/>
            <w:shd w:val="clear" w:color="auto" w:fill="auto"/>
          </w:tcPr>
          <w:p w14:paraId="1FEFFE1E"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54F48077"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7DC0A0F9" w14:textId="77777777" w:rsidTr="00353A9A">
        <w:tc>
          <w:tcPr>
            <w:tcW w:w="2694" w:type="dxa"/>
            <w:vMerge/>
            <w:shd w:val="clear" w:color="auto" w:fill="auto"/>
          </w:tcPr>
          <w:p w14:paraId="3BFA9C71"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18506B60" w14:textId="77777777" w:rsidR="00837DA7" w:rsidRPr="006D56FB" w:rsidRDefault="00837DA7" w:rsidP="00353A9A">
            <w:pPr>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2.11 </w:t>
            </w:r>
            <w:r w:rsidRPr="006D56FB">
              <w:rPr>
                <w:rFonts w:ascii="Times New Roman" w:eastAsia="Times New Roman" w:hAnsi="Times New Roman" w:cs="Times New Roman"/>
                <w:sz w:val="24"/>
                <w:szCs w:val="24"/>
              </w:rPr>
              <w:t xml:space="preserve">The existence of the office of </w:t>
            </w:r>
            <w:r>
              <w:rPr>
                <w:rFonts w:ascii="Times New Roman" w:eastAsia="Times New Roman" w:hAnsi="Times New Roman" w:cs="Times New Roman"/>
                <w:sz w:val="24"/>
                <w:szCs w:val="24"/>
              </w:rPr>
              <w:t xml:space="preserve">HEI/board </w:t>
            </w:r>
            <w:r w:rsidRPr="006D56FB">
              <w:rPr>
                <w:rFonts w:ascii="Times New Roman" w:eastAsia="Times New Roman" w:hAnsi="Times New Roman" w:cs="Times New Roman"/>
                <w:sz w:val="24"/>
                <w:szCs w:val="24"/>
              </w:rPr>
              <w:t>secretary</w:t>
            </w:r>
            <w:r>
              <w:rPr>
                <w:rFonts w:ascii="Times New Roman" w:eastAsia="Times New Roman" w:hAnsi="Times New Roman" w:cs="Times New Roman"/>
                <w:sz w:val="24"/>
                <w:szCs w:val="24"/>
              </w:rPr>
              <w:t>.</w:t>
            </w:r>
          </w:p>
        </w:tc>
        <w:tc>
          <w:tcPr>
            <w:tcW w:w="1484" w:type="dxa"/>
          </w:tcPr>
          <w:p w14:paraId="603410EC"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(2014)</w:t>
            </w:r>
          </w:p>
        </w:tc>
        <w:tc>
          <w:tcPr>
            <w:tcW w:w="804" w:type="dxa"/>
            <w:shd w:val="clear" w:color="auto" w:fill="auto"/>
          </w:tcPr>
          <w:p w14:paraId="487A1FC6"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1021DA4E"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2C1F57F1" w14:textId="77777777" w:rsidTr="00353A9A">
        <w:tc>
          <w:tcPr>
            <w:tcW w:w="2694" w:type="dxa"/>
            <w:vMerge/>
            <w:shd w:val="clear" w:color="auto" w:fill="auto"/>
          </w:tcPr>
          <w:p w14:paraId="61EC6AF7"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45D05EF8"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2.12 Procedures to ensure the operation of student associations/unions in accountable, fair and financially sustainable manner.</w:t>
            </w:r>
          </w:p>
        </w:tc>
        <w:tc>
          <w:tcPr>
            <w:tcW w:w="1484" w:type="dxa"/>
          </w:tcPr>
          <w:p w14:paraId="65D836BE"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(2014)</w:t>
            </w:r>
          </w:p>
        </w:tc>
        <w:tc>
          <w:tcPr>
            <w:tcW w:w="804" w:type="dxa"/>
            <w:shd w:val="clear" w:color="auto" w:fill="auto"/>
          </w:tcPr>
          <w:p w14:paraId="32B91162"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00DCA7D5"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67FE970F" w14:textId="77777777" w:rsidTr="00353A9A">
        <w:tc>
          <w:tcPr>
            <w:tcW w:w="2694" w:type="dxa"/>
            <w:vMerge/>
            <w:shd w:val="clear" w:color="auto" w:fill="auto"/>
          </w:tcPr>
          <w:p w14:paraId="497D8FEB"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710707C4"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 xml:space="preserve">2.13 Appropriate procedures are in place to ensure the continuation </w:t>
            </w:r>
            <w:r w:rsidRPr="006D56FB">
              <w:rPr>
                <w:rFonts w:ascii="Times New Roman" w:hAnsi="Times New Roman" w:cs="Times New Roman"/>
                <w:sz w:val="24"/>
                <w:szCs w:val="24"/>
              </w:rPr>
              <w:t xml:space="preserve">of </w:t>
            </w:r>
            <w:r>
              <w:rPr>
                <w:rFonts w:ascii="Times New Roman" w:hAnsi="Times New Roman" w:cs="Times New Roman"/>
                <w:sz w:val="24"/>
                <w:szCs w:val="24"/>
              </w:rPr>
              <w:t xml:space="preserve">the </w:t>
            </w:r>
            <w:r w:rsidRPr="006D56FB">
              <w:rPr>
                <w:rFonts w:ascii="Times New Roman" w:hAnsi="Times New Roman" w:cs="Times New Roman"/>
                <w:sz w:val="24"/>
                <w:szCs w:val="24"/>
              </w:rPr>
              <w:t>business in the absence of the chair</w:t>
            </w:r>
            <w:r>
              <w:rPr>
                <w:rFonts w:ascii="Times New Roman" w:hAnsi="Times New Roman" w:cs="Times New Roman"/>
                <w:sz w:val="24"/>
                <w:szCs w:val="24"/>
              </w:rPr>
              <w:t>person.</w:t>
            </w:r>
          </w:p>
        </w:tc>
        <w:tc>
          <w:tcPr>
            <w:tcW w:w="1484" w:type="dxa"/>
          </w:tcPr>
          <w:p w14:paraId="35C1E72F"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(2014)</w:t>
            </w:r>
          </w:p>
        </w:tc>
        <w:tc>
          <w:tcPr>
            <w:tcW w:w="804" w:type="dxa"/>
            <w:shd w:val="clear" w:color="auto" w:fill="auto"/>
          </w:tcPr>
          <w:p w14:paraId="6ACECF03"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1AE8973C"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09B49133" w14:textId="77777777" w:rsidTr="00353A9A">
        <w:tc>
          <w:tcPr>
            <w:tcW w:w="2694" w:type="dxa"/>
            <w:vMerge/>
            <w:shd w:val="clear" w:color="auto" w:fill="auto"/>
          </w:tcPr>
          <w:p w14:paraId="2CF6187B" w14:textId="77777777" w:rsidR="00837DA7" w:rsidRPr="006D56FB" w:rsidRDefault="00837DA7" w:rsidP="00353A9A">
            <w:pPr>
              <w:spacing w:after="0"/>
              <w:rPr>
                <w:rFonts w:ascii="Times New Roman" w:hAnsi="Times New Roman" w:cs="Times New Roman"/>
                <w:sz w:val="24"/>
                <w:szCs w:val="24"/>
              </w:rPr>
            </w:pPr>
          </w:p>
        </w:tc>
        <w:tc>
          <w:tcPr>
            <w:tcW w:w="4819" w:type="dxa"/>
            <w:tcBorders>
              <w:bottom w:val="single" w:sz="4" w:space="0" w:color="auto"/>
            </w:tcBorders>
            <w:shd w:val="clear" w:color="auto" w:fill="auto"/>
          </w:tcPr>
          <w:p w14:paraId="7815EE16"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2.14 Students play integral role in teaching quality enhancement.</w:t>
            </w:r>
          </w:p>
        </w:tc>
        <w:tc>
          <w:tcPr>
            <w:tcW w:w="1484" w:type="dxa"/>
            <w:tcBorders>
              <w:bottom w:val="single" w:sz="4" w:space="0" w:color="auto"/>
            </w:tcBorders>
          </w:tcPr>
          <w:p w14:paraId="7C5BC62A"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CSC (2013)</w:t>
            </w:r>
          </w:p>
        </w:tc>
        <w:tc>
          <w:tcPr>
            <w:tcW w:w="804" w:type="dxa"/>
            <w:shd w:val="clear" w:color="auto" w:fill="auto"/>
          </w:tcPr>
          <w:p w14:paraId="67CE22FB"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6A20DC69"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3970D936" w14:textId="77777777" w:rsidTr="00353A9A">
        <w:tc>
          <w:tcPr>
            <w:tcW w:w="2694" w:type="dxa"/>
            <w:vMerge/>
            <w:shd w:val="clear" w:color="auto" w:fill="auto"/>
          </w:tcPr>
          <w:p w14:paraId="6F32F7F7" w14:textId="77777777" w:rsidR="00837DA7" w:rsidRPr="006D56FB" w:rsidRDefault="00837DA7" w:rsidP="00353A9A">
            <w:pPr>
              <w:spacing w:after="0"/>
              <w:rPr>
                <w:rFonts w:ascii="Times New Roman" w:hAnsi="Times New Roman" w:cs="Times New Roman"/>
                <w:sz w:val="24"/>
                <w:szCs w:val="24"/>
              </w:rPr>
            </w:pPr>
          </w:p>
        </w:tc>
        <w:tc>
          <w:tcPr>
            <w:tcW w:w="4819" w:type="dxa"/>
            <w:tcBorders>
              <w:top w:val="single" w:sz="4" w:space="0" w:color="auto"/>
              <w:bottom w:val="nil"/>
            </w:tcBorders>
            <w:shd w:val="clear" w:color="auto" w:fill="auto"/>
          </w:tcPr>
          <w:p w14:paraId="115F9F8A"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 xml:space="preserve">2.15 Responsibilities/duties/roles of governing board and its committees. </w:t>
            </w:r>
          </w:p>
        </w:tc>
        <w:tc>
          <w:tcPr>
            <w:tcW w:w="1484" w:type="dxa"/>
            <w:tcBorders>
              <w:top w:val="single" w:sz="4" w:space="0" w:color="auto"/>
              <w:bottom w:val="nil"/>
            </w:tcBorders>
          </w:tcPr>
          <w:p w14:paraId="1C783EB0"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(2008)</w:t>
            </w:r>
          </w:p>
        </w:tc>
        <w:tc>
          <w:tcPr>
            <w:tcW w:w="804" w:type="dxa"/>
            <w:shd w:val="clear" w:color="auto" w:fill="auto"/>
          </w:tcPr>
          <w:p w14:paraId="4C099957"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274C6950"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1F17611C" w14:textId="77777777" w:rsidTr="00353A9A">
        <w:tc>
          <w:tcPr>
            <w:tcW w:w="2694" w:type="dxa"/>
            <w:vMerge/>
            <w:shd w:val="clear" w:color="auto" w:fill="auto"/>
          </w:tcPr>
          <w:p w14:paraId="3949BA78" w14:textId="77777777" w:rsidR="00837DA7" w:rsidRPr="006D56FB" w:rsidRDefault="00837DA7" w:rsidP="00353A9A">
            <w:pPr>
              <w:spacing w:after="0"/>
              <w:rPr>
                <w:rFonts w:ascii="Times New Roman" w:hAnsi="Times New Roman" w:cs="Times New Roman"/>
                <w:sz w:val="24"/>
                <w:szCs w:val="24"/>
              </w:rPr>
            </w:pPr>
          </w:p>
        </w:tc>
        <w:tc>
          <w:tcPr>
            <w:tcW w:w="4819" w:type="dxa"/>
            <w:tcBorders>
              <w:top w:val="nil"/>
            </w:tcBorders>
            <w:shd w:val="clear" w:color="auto" w:fill="auto"/>
          </w:tcPr>
          <w:p w14:paraId="5C835CDE" w14:textId="77777777" w:rsidR="00837DA7"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 xml:space="preserve">2.16 Nomination committee existence. </w:t>
            </w:r>
          </w:p>
          <w:p w14:paraId="368E913B" w14:textId="77777777" w:rsidR="00837DA7" w:rsidRPr="006D56FB" w:rsidRDefault="00837DA7" w:rsidP="00353A9A">
            <w:pPr>
              <w:spacing w:after="0"/>
              <w:rPr>
                <w:rFonts w:ascii="Times New Roman" w:hAnsi="Times New Roman" w:cs="Times New Roman"/>
                <w:sz w:val="24"/>
                <w:szCs w:val="24"/>
              </w:rPr>
            </w:pPr>
          </w:p>
        </w:tc>
        <w:tc>
          <w:tcPr>
            <w:tcW w:w="1484" w:type="dxa"/>
            <w:tcBorders>
              <w:top w:val="nil"/>
            </w:tcBorders>
          </w:tcPr>
          <w:p w14:paraId="16666372"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(2009); CSC (2013)</w:t>
            </w:r>
          </w:p>
        </w:tc>
        <w:tc>
          <w:tcPr>
            <w:tcW w:w="804" w:type="dxa"/>
            <w:shd w:val="clear" w:color="auto" w:fill="auto"/>
          </w:tcPr>
          <w:p w14:paraId="7101CC2D"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6D02CA4A"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281E7909" w14:textId="77777777" w:rsidTr="00353A9A">
        <w:tc>
          <w:tcPr>
            <w:tcW w:w="2694" w:type="dxa"/>
            <w:vMerge/>
            <w:shd w:val="clear" w:color="auto" w:fill="auto"/>
          </w:tcPr>
          <w:p w14:paraId="5EF53C1F"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01106003"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 xml:space="preserve">2.17 Nomination committee composition (consists of at least three independent (lay) members, board chairperson, senior academic and the head of institution). </w:t>
            </w:r>
          </w:p>
        </w:tc>
        <w:tc>
          <w:tcPr>
            <w:tcW w:w="1484" w:type="dxa"/>
          </w:tcPr>
          <w:p w14:paraId="6C3FF208"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(2009); CSC (2013)</w:t>
            </w:r>
          </w:p>
        </w:tc>
        <w:tc>
          <w:tcPr>
            <w:tcW w:w="804" w:type="dxa"/>
            <w:shd w:val="clear" w:color="auto" w:fill="auto"/>
          </w:tcPr>
          <w:p w14:paraId="6C351DC8"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4CC47738"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4C876D66" w14:textId="77777777" w:rsidTr="00353A9A">
        <w:tc>
          <w:tcPr>
            <w:tcW w:w="2694" w:type="dxa"/>
            <w:vMerge/>
            <w:shd w:val="clear" w:color="auto" w:fill="auto"/>
          </w:tcPr>
          <w:p w14:paraId="34161201"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4DBD91FF"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 xml:space="preserve">2.18 Independent (lay) board member chairs the nomination committee. </w:t>
            </w:r>
          </w:p>
        </w:tc>
        <w:tc>
          <w:tcPr>
            <w:tcW w:w="1484" w:type="dxa"/>
          </w:tcPr>
          <w:p w14:paraId="7C96B11C"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(2009); CSC (2013)</w:t>
            </w:r>
          </w:p>
        </w:tc>
        <w:tc>
          <w:tcPr>
            <w:tcW w:w="804" w:type="dxa"/>
            <w:shd w:val="clear" w:color="auto" w:fill="auto"/>
          </w:tcPr>
          <w:p w14:paraId="3C157855"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1EB623C8"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4D04B6F2" w14:textId="77777777" w:rsidTr="00353A9A">
        <w:tc>
          <w:tcPr>
            <w:tcW w:w="2694" w:type="dxa"/>
            <w:vMerge/>
            <w:shd w:val="clear" w:color="auto" w:fill="auto"/>
          </w:tcPr>
          <w:p w14:paraId="027CAF4F"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045E2798"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2.19 M</w:t>
            </w:r>
            <w:r w:rsidRPr="006D56FB">
              <w:rPr>
                <w:rFonts w:ascii="Times New Roman" w:hAnsi="Times New Roman" w:cs="Times New Roman"/>
                <w:sz w:val="24"/>
                <w:szCs w:val="24"/>
              </w:rPr>
              <w:t xml:space="preserve">embership of nomination </w:t>
            </w:r>
            <w:r>
              <w:rPr>
                <w:rFonts w:ascii="Times New Roman" w:hAnsi="Times New Roman" w:cs="Times New Roman"/>
                <w:sz w:val="24"/>
                <w:szCs w:val="24"/>
              </w:rPr>
              <w:t>committee.</w:t>
            </w:r>
          </w:p>
        </w:tc>
        <w:tc>
          <w:tcPr>
            <w:tcW w:w="1484" w:type="dxa"/>
          </w:tcPr>
          <w:p w14:paraId="2B21A70C"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(2009); CSC (2013)</w:t>
            </w:r>
          </w:p>
        </w:tc>
        <w:tc>
          <w:tcPr>
            <w:tcW w:w="804" w:type="dxa"/>
            <w:shd w:val="clear" w:color="auto" w:fill="auto"/>
          </w:tcPr>
          <w:p w14:paraId="45124400"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68C79DFC"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12431259" w14:textId="77777777" w:rsidTr="00353A9A">
        <w:tc>
          <w:tcPr>
            <w:tcW w:w="2694" w:type="dxa"/>
            <w:vMerge/>
            <w:shd w:val="clear" w:color="auto" w:fill="auto"/>
          </w:tcPr>
          <w:p w14:paraId="48EB390E"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02F8B172"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 xml:space="preserve">2.20 Record of </w:t>
            </w:r>
            <w:r w:rsidRPr="006D56FB">
              <w:rPr>
                <w:rFonts w:ascii="Times New Roman" w:hAnsi="Times New Roman" w:cs="Times New Roman"/>
                <w:sz w:val="24"/>
                <w:szCs w:val="24"/>
              </w:rPr>
              <w:t>meetings</w:t>
            </w:r>
            <w:r>
              <w:rPr>
                <w:rFonts w:ascii="Times New Roman" w:hAnsi="Times New Roman" w:cs="Times New Roman"/>
                <w:sz w:val="24"/>
                <w:szCs w:val="24"/>
              </w:rPr>
              <w:t>’</w:t>
            </w:r>
            <w:r w:rsidRPr="006D56FB">
              <w:rPr>
                <w:rFonts w:ascii="Times New Roman" w:hAnsi="Times New Roman" w:cs="Times New Roman"/>
                <w:sz w:val="24"/>
                <w:szCs w:val="24"/>
              </w:rPr>
              <w:t xml:space="preserve"> attendance for nomination committee</w:t>
            </w:r>
            <w:r>
              <w:rPr>
                <w:rFonts w:ascii="Times New Roman" w:hAnsi="Times New Roman" w:cs="Times New Roman"/>
                <w:sz w:val="24"/>
                <w:szCs w:val="24"/>
              </w:rPr>
              <w:t xml:space="preserve"> members.</w:t>
            </w:r>
          </w:p>
        </w:tc>
        <w:tc>
          <w:tcPr>
            <w:tcW w:w="1484" w:type="dxa"/>
          </w:tcPr>
          <w:p w14:paraId="19BC1059"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(2009); CSC (2013)</w:t>
            </w:r>
          </w:p>
        </w:tc>
        <w:tc>
          <w:tcPr>
            <w:tcW w:w="804" w:type="dxa"/>
            <w:shd w:val="clear" w:color="auto" w:fill="auto"/>
          </w:tcPr>
          <w:p w14:paraId="5ECBE712"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4F6C8BFC"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32068917" w14:textId="77777777" w:rsidTr="00353A9A">
        <w:tc>
          <w:tcPr>
            <w:tcW w:w="2694" w:type="dxa"/>
            <w:vMerge/>
            <w:shd w:val="clear" w:color="auto" w:fill="auto"/>
          </w:tcPr>
          <w:p w14:paraId="3223A4F8"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1C7C8042"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 xml:space="preserve">2.21 Terms of references of the nomination </w:t>
            </w:r>
            <w:r w:rsidRPr="006D56FB">
              <w:rPr>
                <w:rFonts w:ascii="Times New Roman" w:hAnsi="Times New Roman" w:cs="Times New Roman"/>
                <w:sz w:val="24"/>
                <w:szCs w:val="24"/>
              </w:rPr>
              <w:t>committee</w:t>
            </w:r>
            <w:r>
              <w:rPr>
                <w:rFonts w:ascii="Times New Roman" w:hAnsi="Times New Roman" w:cs="Times New Roman"/>
                <w:sz w:val="24"/>
                <w:szCs w:val="24"/>
              </w:rPr>
              <w:t>.</w:t>
            </w:r>
          </w:p>
        </w:tc>
        <w:tc>
          <w:tcPr>
            <w:tcW w:w="1484" w:type="dxa"/>
          </w:tcPr>
          <w:p w14:paraId="6F51265C"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(2009); CSC (2013)</w:t>
            </w:r>
          </w:p>
        </w:tc>
        <w:tc>
          <w:tcPr>
            <w:tcW w:w="804" w:type="dxa"/>
            <w:shd w:val="clear" w:color="auto" w:fill="auto"/>
          </w:tcPr>
          <w:p w14:paraId="17399514"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1718EB46"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468B47EC" w14:textId="77777777" w:rsidTr="00353A9A">
        <w:tc>
          <w:tcPr>
            <w:tcW w:w="2694" w:type="dxa"/>
            <w:vMerge/>
            <w:shd w:val="clear" w:color="auto" w:fill="auto"/>
          </w:tcPr>
          <w:p w14:paraId="3FC5F4B9"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284A2DFB"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2.22 Evaluation of the committee performance and effectiveness.</w:t>
            </w:r>
          </w:p>
        </w:tc>
        <w:tc>
          <w:tcPr>
            <w:tcW w:w="1484" w:type="dxa"/>
          </w:tcPr>
          <w:p w14:paraId="40D2C8AE"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(2009); CSC (2013)</w:t>
            </w:r>
          </w:p>
        </w:tc>
        <w:tc>
          <w:tcPr>
            <w:tcW w:w="804" w:type="dxa"/>
            <w:shd w:val="clear" w:color="auto" w:fill="auto"/>
          </w:tcPr>
          <w:p w14:paraId="71699486"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7A73C64C"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54AA3414" w14:textId="77777777" w:rsidTr="00353A9A">
        <w:tc>
          <w:tcPr>
            <w:tcW w:w="2694" w:type="dxa"/>
            <w:vMerge/>
            <w:shd w:val="clear" w:color="auto" w:fill="auto"/>
          </w:tcPr>
          <w:p w14:paraId="6852FB61"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52829F7D"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2.23 Nomination committee meetings (at least four times in a financial year).</w:t>
            </w:r>
          </w:p>
        </w:tc>
        <w:tc>
          <w:tcPr>
            <w:tcW w:w="1484" w:type="dxa"/>
          </w:tcPr>
          <w:p w14:paraId="782D63C9"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(2009); CSC (2013)</w:t>
            </w:r>
          </w:p>
        </w:tc>
        <w:tc>
          <w:tcPr>
            <w:tcW w:w="804" w:type="dxa"/>
            <w:shd w:val="clear" w:color="auto" w:fill="auto"/>
          </w:tcPr>
          <w:p w14:paraId="005A0D03"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19B1CA4A"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51E2404A" w14:textId="77777777" w:rsidTr="00353A9A">
        <w:tc>
          <w:tcPr>
            <w:tcW w:w="2694" w:type="dxa"/>
            <w:vMerge/>
            <w:shd w:val="clear" w:color="auto" w:fill="auto"/>
          </w:tcPr>
          <w:p w14:paraId="209CB825"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37511711"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2.24 Staff members and students are represented in the committee.</w:t>
            </w:r>
          </w:p>
        </w:tc>
        <w:tc>
          <w:tcPr>
            <w:tcW w:w="1484" w:type="dxa"/>
          </w:tcPr>
          <w:p w14:paraId="3CEEC6C9"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CSC (2013)</w:t>
            </w:r>
          </w:p>
        </w:tc>
        <w:tc>
          <w:tcPr>
            <w:tcW w:w="804" w:type="dxa"/>
            <w:shd w:val="clear" w:color="auto" w:fill="auto"/>
          </w:tcPr>
          <w:p w14:paraId="2F4CDE2B"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32F3E699"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21289F3A" w14:textId="77777777" w:rsidTr="00353A9A">
        <w:trPr>
          <w:trHeight w:val="702"/>
        </w:trPr>
        <w:tc>
          <w:tcPr>
            <w:tcW w:w="2694" w:type="dxa"/>
            <w:vMerge w:val="restart"/>
            <w:shd w:val="clear" w:color="auto" w:fill="auto"/>
          </w:tcPr>
          <w:p w14:paraId="6FC94660" w14:textId="77777777" w:rsidR="00837DA7" w:rsidRPr="006D56FB" w:rsidRDefault="00837DA7" w:rsidP="00353A9A">
            <w:pPr>
              <w:spacing w:after="0"/>
              <w:rPr>
                <w:rFonts w:ascii="Times New Roman" w:hAnsi="Times New Roman" w:cs="Times New Roman"/>
                <w:b/>
                <w:bCs/>
                <w:sz w:val="24"/>
                <w:szCs w:val="24"/>
              </w:rPr>
            </w:pPr>
            <w:r w:rsidRPr="006D56FB">
              <w:rPr>
                <w:rFonts w:ascii="Times New Roman" w:hAnsi="Times New Roman" w:cs="Times New Roman"/>
                <w:b/>
                <w:bCs/>
                <w:sz w:val="24"/>
                <w:szCs w:val="24"/>
              </w:rPr>
              <w:t>3. Performance evaluation, rewards &amp; pay (</w:t>
            </w:r>
            <w:r w:rsidRPr="006D56FB">
              <w:rPr>
                <w:rFonts w:ascii="Times New Roman" w:hAnsi="Times New Roman" w:cs="Times New Roman"/>
                <w:b/>
                <w:bCs/>
                <w:i/>
                <w:iCs/>
                <w:sz w:val="24"/>
                <w:szCs w:val="24"/>
              </w:rPr>
              <w:t>PERP</w:t>
            </w:r>
            <w:r w:rsidRPr="006D56FB">
              <w:rPr>
                <w:rFonts w:ascii="Times New Roman" w:hAnsi="Times New Roman" w:cs="Times New Roman"/>
                <w:b/>
                <w:bCs/>
                <w:sz w:val="24"/>
                <w:szCs w:val="24"/>
              </w:rPr>
              <w:t xml:space="preserve">) </w:t>
            </w:r>
          </w:p>
          <w:p w14:paraId="179DB582"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 xml:space="preserve"> </w:t>
            </w:r>
          </w:p>
        </w:tc>
        <w:tc>
          <w:tcPr>
            <w:tcW w:w="4819" w:type="dxa"/>
            <w:shd w:val="clear" w:color="auto" w:fill="auto"/>
          </w:tcPr>
          <w:p w14:paraId="1848ED9B"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 xml:space="preserve">3.1 Evaluation of VC/principal/provost performance and effectiveness. </w:t>
            </w:r>
          </w:p>
        </w:tc>
        <w:tc>
          <w:tcPr>
            <w:tcW w:w="1484" w:type="dxa"/>
          </w:tcPr>
          <w:p w14:paraId="40D021AF"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(2009); CSC (2013)</w:t>
            </w:r>
          </w:p>
        </w:tc>
        <w:tc>
          <w:tcPr>
            <w:tcW w:w="804" w:type="dxa"/>
            <w:shd w:val="clear" w:color="auto" w:fill="auto"/>
          </w:tcPr>
          <w:p w14:paraId="0BA91044"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val="restart"/>
            <w:shd w:val="clear" w:color="auto" w:fill="auto"/>
          </w:tcPr>
          <w:p w14:paraId="6FE1C470" w14:textId="77777777" w:rsidR="00837DA7" w:rsidRPr="006D56FB" w:rsidRDefault="00837DA7" w:rsidP="00353A9A">
            <w:pPr>
              <w:spacing w:after="0"/>
              <w:jc w:val="center"/>
              <w:rPr>
                <w:rFonts w:ascii="Times New Roman" w:hAnsi="Times New Roman" w:cs="Times New Roman"/>
                <w:sz w:val="24"/>
                <w:szCs w:val="24"/>
              </w:rPr>
            </w:pPr>
          </w:p>
          <w:p w14:paraId="4339DE52" w14:textId="77777777" w:rsidR="00837DA7" w:rsidRPr="006D56FB" w:rsidRDefault="00837DA7" w:rsidP="00353A9A">
            <w:pPr>
              <w:spacing w:after="0"/>
              <w:jc w:val="center"/>
              <w:rPr>
                <w:rFonts w:ascii="Times New Roman" w:hAnsi="Times New Roman" w:cs="Times New Roman"/>
                <w:sz w:val="24"/>
                <w:szCs w:val="24"/>
              </w:rPr>
            </w:pPr>
          </w:p>
          <w:p w14:paraId="1E12BD58"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22</w:t>
            </w:r>
          </w:p>
          <w:p w14:paraId="4FF68C5E" w14:textId="77777777" w:rsidR="00837DA7" w:rsidRPr="006D56FB" w:rsidRDefault="00837DA7" w:rsidP="00353A9A">
            <w:pPr>
              <w:spacing w:after="0"/>
              <w:jc w:val="center"/>
              <w:rPr>
                <w:rFonts w:ascii="Times New Roman" w:hAnsi="Times New Roman" w:cs="Times New Roman"/>
                <w:sz w:val="24"/>
                <w:szCs w:val="24"/>
              </w:rPr>
            </w:pPr>
          </w:p>
          <w:p w14:paraId="4073E337" w14:textId="77777777" w:rsidR="00837DA7" w:rsidRPr="006D56FB" w:rsidRDefault="00837DA7" w:rsidP="00353A9A">
            <w:pPr>
              <w:spacing w:after="0"/>
              <w:jc w:val="center"/>
              <w:rPr>
                <w:rFonts w:ascii="Times New Roman" w:hAnsi="Times New Roman" w:cs="Times New Roman"/>
                <w:sz w:val="24"/>
                <w:szCs w:val="24"/>
              </w:rPr>
            </w:pPr>
          </w:p>
          <w:p w14:paraId="38E0927E" w14:textId="77777777" w:rsidR="00837DA7" w:rsidRPr="006D56FB" w:rsidRDefault="00837DA7" w:rsidP="00353A9A">
            <w:pPr>
              <w:spacing w:after="0"/>
              <w:jc w:val="center"/>
              <w:rPr>
                <w:rFonts w:ascii="Times New Roman" w:hAnsi="Times New Roman" w:cs="Times New Roman"/>
                <w:sz w:val="24"/>
                <w:szCs w:val="24"/>
              </w:rPr>
            </w:pPr>
          </w:p>
          <w:p w14:paraId="1A60B9A0" w14:textId="77777777" w:rsidR="00837DA7" w:rsidRPr="006D56FB" w:rsidRDefault="00837DA7" w:rsidP="00353A9A">
            <w:pPr>
              <w:spacing w:after="0"/>
              <w:jc w:val="center"/>
              <w:rPr>
                <w:rFonts w:ascii="Times New Roman" w:hAnsi="Times New Roman" w:cs="Times New Roman"/>
                <w:sz w:val="24"/>
                <w:szCs w:val="24"/>
              </w:rPr>
            </w:pPr>
          </w:p>
          <w:p w14:paraId="0BBDFE67" w14:textId="77777777" w:rsidR="00837DA7" w:rsidRPr="006D56FB" w:rsidRDefault="00837DA7" w:rsidP="00353A9A">
            <w:pPr>
              <w:spacing w:after="0"/>
              <w:jc w:val="center"/>
              <w:rPr>
                <w:rFonts w:ascii="Times New Roman" w:hAnsi="Times New Roman" w:cs="Times New Roman"/>
                <w:sz w:val="24"/>
                <w:szCs w:val="24"/>
              </w:rPr>
            </w:pPr>
          </w:p>
          <w:p w14:paraId="12D56FA4"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43D33E45" w14:textId="77777777" w:rsidTr="00353A9A">
        <w:tc>
          <w:tcPr>
            <w:tcW w:w="2694" w:type="dxa"/>
            <w:vMerge/>
            <w:shd w:val="clear" w:color="auto" w:fill="auto"/>
          </w:tcPr>
          <w:p w14:paraId="2E7133D6"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47DE6252"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 xml:space="preserve">3.2 Evaluation of board’s chairperson performance and effectiveness. </w:t>
            </w:r>
          </w:p>
        </w:tc>
        <w:tc>
          <w:tcPr>
            <w:tcW w:w="1484" w:type="dxa"/>
          </w:tcPr>
          <w:p w14:paraId="396ECBDD"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(2009); CSC (2013)</w:t>
            </w:r>
          </w:p>
        </w:tc>
        <w:tc>
          <w:tcPr>
            <w:tcW w:w="804" w:type="dxa"/>
            <w:shd w:val="clear" w:color="auto" w:fill="auto"/>
          </w:tcPr>
          <w:p w14:paraId="6A8FC296"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2828E483"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4E9B065C" w14:textId="77777777" w:rsidTr="00353A9A">
        <w:tc>
          <w:tcPr>
            <w:tcW w:w="2694" w:type="dxa"/>
            <w:vMerge/>
            <w:shd w:val="clear" w:color="auto" w:fill="auto"/>
          </w:tcPr>
          <w:p w14:paraId="1A08BE40"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5C776747"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3.3 Evaluation</w:t>
            </w:r>
            <w:r w:rsidRPr="00D7122B">
              <w:rPr>
                <w:rFonts w:ascii="Times New Roman" w:hAnsi="Times New Roman" w:cs="Times New Roman"/>
                <w:sz w:val="24"/>
                <w:szCs w:val="24"/>
              </w:rPr>
              <w:t xml:space="preserve"> of board</w:t>
            </w:r>
            <w:r>
              <w:rPr>
                <w:rFonts w:ascii="Times New Roman" w:hAnsi="Times New Roman" w:cs="Times New Roman"/>
                <w:sz w:val="24"/>
                <w:szCs w:val="24"/>
              </w:rPr>
              <w:t>/individual members</w:t>
            </w:r>
            <w:r w:rsidRPr="00D7122B">
              <w:rPr>
                <w:rFonts w:ascii="Times New Roman" w:hAnsi="Times New Roman" w:cs="Times New Roman"/>
                <w:sz w:val="24"/>
                <w:szCs w:val="24"/>
              </w:rPr>
              <w:t xml:space="preserve"> performance and effectiveness.</w:t>
            </w:r>
          </w:p>
        </w:tc>
        <w:tc>
          <w:tcPr>
            <w:tcW w:w="1484" w:type="dxa"/>
          </w:tcPr>
          <w:p w14:paraId="6BC1FA50"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(2009); CSC (2013)</w:t>
            </w:r>
          </w:p>
        </w:tc>
        <w:tc>
          <w:tcPr>
            <w:tcW w:w="804" w:type="dxa"/>
            <w:shd w:val="clear" w:color="auto" w:fill="auto"/>
          </w:tcPr>
          <w:p w14:paraId="0BACC202"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7D9B6C69"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2DEF7BA2" w14:textId="77777777" w:rsidTr="00353A9A">
        <w:tc>
          <w:tcPr>
            <w:tcW w:w="2694" w:type="dxa"/>
            <w:vMerge/>
            <w:shd w:val="clear" w:color="auto" w:fill="auto"/>
          </w:tcPr>
          <w:p w14:paraId="2C4FC7F9"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0BB7590D"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3.4 Evaluation</w:t>
            </w:r>
            <w:r w:rsidRPr="00D7122B">
              <w:rPr>
                <w:rFonts w:ascii="Times New Roman" w:hAnsi="Times New Roman" w:cs="Times New Roman"/>
                <w:sz w:val="24"/>
                <w:szCs w:val="24"/>
              </w:rPr>
              <w:t xml:space="preserve"> of </w:t>
            </w:r>
            <w:r>
              <w:rPr>
                <w:rFonts w:ascii="Times New Roman" w:hAnsi="Times New Roman" w:cs="Times New Roman"/>
                <w:sz w:val="24"/>
                <w:szCs w:val="24"/>
              </w:rPr>
              <w:t>board</w:t>
            </w:r>
            <w:r w:rsidRPr="006D56FB">
              <w:rPr>
                <w:rFonts w:ascii="Times New Roman" w:hAnsi="Times New Roman" w:cs="Times New Roman"/>
                <w:sz w:val="24"/>
                <w:szCs w:val="24"/>
              </w:rPr>
              <w:t xml:space="preserve"> committees</w:t>
            </w:r>
            <w:r>
              <w:rPr>
                <w:rFonts w:ascii="Times New Roman" w:hAnsi="Times New Roman" w:cs="Times New Roman"/>
                <w:sz w:val="24"/>
                <w:szCs w:val="24"/>
              </w:rPr>
              <w:t>’ performance and effectiveness.</w:t>
            </w:r>
          </w:p>
        </w:tc>
        <w:tc>
          <w:tcPr>
            <w:tcW w:w="1484" w:type="dxa"/>
          </w:tcPr>
          <w:p w14:paraId="13E0070A"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(2008)</w:t>
            </w:r>
          </w:p>
        </w:tc>
        <w:tc>
          <w:tcPr>
            <w:tcW w:w="804" w:type="dxa"/>
            <w:shd w:val="clear" w:color="auto" w:fill="auto"/>
          </w:tcPr>
          <w:p w14:paraId="147AD0C5"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46A7C9A4"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0DBB77B2" w14:textId="77777777" w:rsidTr="00353A9A">
        <w:tc>
          <w:tcPr>
            <w:tcW w:w="2694" w:type="dxa"/>
            <w:vMerge/>
            <w:shd w:val="clear" w:color="auto" w:fill="auto"/>
          </w:tcPr>
          <w:p w14:paraId="5766D4A2"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1EF84271"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 xml:space="preserve">3.5 Institutional performance and effectiveness are measured against the HE code </w:t>
            </w:r>
            <w:r w:rsidRPr="006D56FB">
              <w:rPr>
                <w:rFonts w:ascii="Times New Roman" w:hAnsi="Times New Roman" w:cs="Times New Roman"/>
                <w:sz w:val="24"/>
                <w:szCs w:val="24"/>
              </w:rPr>
              <w:t>and the statutory responsibility</w:t>
            </w:r>
            <w:r>
              <w:rPr>
                <w:rFonts w:ascii="Times New Roman" w:hAnsi="Times New Roman" w:cs="Times New Roman"/>
                <w:sz w:val="24"/>
                <w:szCs w:val="24"/>
              </w:rPr>
              <w:t>.</w:t>
            </w:r>
          </w:p>
        </w:tc>
        <w:tc>
          <w:tcPr>
            <w:tcW w:w="1484" w:type="dxa"/>
          </w:tcPr>
          <w:p w14:paraId="351998A2"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(2014)</w:t>
            </w:r>
          </w:p>
        </w:tc>
        <w:tc>
          <w:tcPr>
            <w:tcW w:w="804" w:type="dxa"/>
            <w:shd w:val="clear" w:color="auto" w:fill="auto"/>
          </w:tcPr>
          <w:p w14:paraId="32013F71"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74EB9B8D"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3C900247" w14:textId="77777777" w:rsidTr="00353A9A">
        <w:tc>
          <w:tcPr>
            <w:tcW w:w="2694" w:type="dxa"/>
            <w:vMerge/>
            <w:shd w:val="clear" w:color="auto" w:fill="auto"/>
          </w:tcPr>
          <w:p w14:paraId="6BEBAAB9"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4B016ADA"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3.6 Annual review of the governance structures along with intuitions KPIs.</w:t>
            </w:r>
          </w:p>
        </w:tc>
        <w:tc>
          <w:tcPr>
            <w:tcW w:w="1484" w:type="dxa"/>
          </w:tcPr>
          <w:p w14:paraId="106CF98D"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CSC (2013)</w:t>
            </w:r>
          </w:p>
        </w:tc>
        <w:tc>
          <w:tcPr>
            <w:tcW w:w="804" w:type="dxa"/>
            <w:shd w:val="clear" w:color="auto" w:fill="auto"/>
          </w:tcPr>
          <w:p w14:paraId="3FAE4D38"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1CD543A0"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54B7F6E7" w14:textId="77777777" w:rsidTr="00353A9A">
        <w:tc>
          <w:tcPr>
            <w:tcW w:w="2694" w:type="dxa"/>
            <w:vMerge/>
            <w:shd w:val="clear" w:color="auto" w:fill="auto"/>
          </w:tcPr>
          <w:p w14:paraId="7BB43D9F"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4CAD092D"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3.7 Evaluation of governance structures’ performance/effectiveness is externally facilitated at least once every five years.</w:t>
            </w:r>
          </w:p>
        </w:tc>
        <w:tc>
          <w:tcPr>
            <w:tcW w:w="1484" w:type="dxa"/>
          </w:tcPr>
          <w:p w14:paraId="2545EC79"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CSC (2013)</w:t>
            </w:r>
          </w:p>
        </w:tc>
        <w:tc>
          <w:tcPr>
            <w:tcW w:w="804" w:type="dxa"/>
            <w:shd w:val="clear" w:color="auto" w:fill="auto"/>
          </w:tcPr>
          <w:p w14:paraId="068DB1BB"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04E80943"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04C6C61A" w14:textId="77777777" w:rsidTr="00353A9A">
        <w:tc>
          <w:tcPr>
            <w:tcW w:w="2694" w:type="dxa"/>
            <w:vMerge/>
            <w:shd w:val="clear" w:color="auto" w:fill="auto"/>
          </w:tcPr>
          <w:p w14:paraId="3087D229"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65964B5B"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3.8 R</w:t>
            </w:r>
            <w:r w:rsidRPr="006D56FB">
              <w:rPr>
                <w:rFonts w:ascii="Times New Roman" w:hAnsi="Times New Roman" w:cs="Times New Roman"/>
                <w:sz w:val="24"/>
                <w:szCs w:val="24"/>
              </w:rPr>
              <w:t xml:space="preserve">emuneration committee </w:t>
            </w:r>
            <w:r>
              <w:rPr>
                <w:rFonts w:ascii="Times New Roman" w:hAnsi="Times New Roman" w:cs="Times New Roman"/>
                <w:sz w:val="24"/>
                <w:szCs w:val="24"/>
              </w:rPr>
              <w:t>existence.</w:t>
            </w:r>
          </w:p>
        </w:tc>
        <w:tc>
          <w:tcPr>
            <w:tcW w:w="1484" w:type="dxa"/>
          </w:tcPr>
          <w:p w14:paraId="51D5C171"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(2009); CSC (2013)</w:t>
            </w:r>
          </w:p>
        </w:tc>
        <w:tc>
          <w:tcPr>
            <w:tcW w:w="804" w:type="dxa"/>
            <w:shd w:val="clear" w:color="auto" w:fill="auto"/>
          </w:tcPr>
          <w:p w14:paraId="106AEEA9"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71527E5E"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2EC344FA" w14:textId="77777777" w:rsidTr="00353A9A">
        <w:tc>
          <w:tcPr>
            <w:tcW w:w="2694" w:type="dxa"/>
            <w:vMerge/>
            <w:shd w:val="clear" w:color="auto" w:fill="auto"/>
          </w:tcPr>
          <w:p w14:paraId="58AA80ED"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2020E7C1"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3.9 Remuneration</w:t>
            </w:r>
            <w:r w:rsidRPr="00CA4FB3">
              <w:rPr>
                <w:rFonts w:ascii="Times New Roman" w:hAnsi="Times New Roman" w:cs="Times New Roman"/>
                <w:sz w:val="24"/>
                <w:szCs w:val="24"/>
              </w:rPr>
              <w:t xml:space="preserve"> committee composition (consists of at least three independent (lay) members, board chairperson</w:t>
            </w:r>
            <w:r>
              <w:rPr>
                <w:rFonts w:ascii="Times New Roman" w:hAnsi="Times New Roman" w:cs="Times New Roman"/>
                <w:sz w:val="24"/>
                <w:szCs w:val="24"/>
              </w:rPr>
              <w:t xml:space="preserve"> and independent (lay) </w:t>
            </w:r>
            <w:r w:rsidRPr="006D56FB">
              <w:rPr>
                <w:rFonts w:ascii="Times New Roman" w:hAnsi="Times New Roman" w:cs="Times New Roman"/>
                <w:sz w:val="24"/>
                <w:szCs w:val="24"/>
              </w:rPr>
              <w:t>lay treasurer</w:t>
            </w:r>
            <w:r w:rsidRPr="00CA4FB3">
              <w:rPr>
                <w:rFonts w:ascii="Times New Roman" w:hAnsi="Times New Roman" w:cs="Times New Roman"/>
                <w:sz w:val="24"/>
                <w:szCs w:val="24"/>
              </w:rPr>
              <w:t>).</w:t>
            </w:r>
          </w:p>
        </w:tc>
        <w:tc>
          <w:tcPr>
            <w:tcW w:w="1484" w:type="dxa"/>
          </w:tcPr>
          <w:p w14:paraId="2967A0EB"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(2009); CSC (2013)</w:t>
            </w:r>
          </w:p>
        </w:tc>
        <w:tc>
          <w:tcPr>
            <w:tcW w:w="804" w:type="dxa"/>
            <w:shd w:val="clear" w:color="auto" w:fill="auto"/>
          </w:tcPr>
          <w:p w14:paraId="07952DFE"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01121BDB"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1C024128" w14:textId="77777777" w:rsidTr="00353A9A">
        <w:tc>
          <w:tcPr>
            <w:tcW w:w="2694" w:type="dxa"/>
            <w:vMerge/>
            <w:shd w:val="clear" w:color="auto" w:fill="auto"/>
          </w:tcPr>
          <w:p w14:paraId="1439E8F1" w14:textId="77777777" w:rsidR="00837DA7" w:rsidRPr="006D56FB" w:rsidRDefault="00837DA7" w:rsidP="00353A9A">
            <w:pPr>
              <w:spacing w:after="0"/>
              <w:rPr>
                <w:rFonts w:ascii="Times New Roman" w:hAnsi="Times New Roman" w:cs="Times New Roman"/>
                <w:sz w:val="24"/>
                <w:szCs w:val="24"/>
              </w:rPr>
            </w:pPr>
          </w:p>
        </w:tc>
        <w:tc>
          <w:tcPr>
            <w:tcW w:w="4819" w:type="dxa"/>
            <w:tcBorders>
              <w:bottom w:val="single" w:sz="4" w:space="0" w:color="auto"/>
            </w:tcBorders>
            <w:shd w:val="clear" w:color="auto" w:fill="auto"/>
          </w:tcPr>
          <w:p w14:paraId="0CAA146C"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 xml:space="preserve">3.10 </w:t>
            </w:r>
            <w:r w:rsidRPr="00CA4FB3">
              <w:rPr>
                <w:rFonts w:ascii="Times New Roman" w:hAnsi="Times New Roman" w:cs="Times New Roman"/>
                <w:sz w:val="24"/>
                <w:szCs w:val="24"/>
              </w:rPr>
              <w:t xml:space="preserve">Independent (lay) board </w:t>
            </w:r>
            <w:r>
              <w:rPr>
                <w:rFonts w:ascii="Times New Roman" w:hAnsi="Times New Roman" w:cs="Times New Roman"/>
                <w:sz w:val="24"/>
                <w:szCs w:val="24"/>
              </w:rPr>
              <w:t>member</w:t>
            </w:r>
            <w:r w:rsidRPr="00CA4FB3">
              <w:rPr>
                <w:rFonts w:ascii="Times New Roman" w:hAnsi="Times New Roman" w:cs="Times New Roman"/>
                <w:sz w:val="24"/>
                <w:szCs w:val="24"/>
              </w:rPr>
              <w:t xml:space="preserve"> chairs the </w:t>
            </w:r>
            <w:r>
              <w:rPr>
                <w:rFonts w:ascii="Times New Roman" w:hAnsi="Times New Roman" w:cs="Times New Roman"/>
                <w:sz w:val="24"/>
                <w:szCs w:val="24"/>
              </w:rPr>
              <w:t>remuneration</w:t>
            </w:r>
            <w:r w:rsidRPr="00CA4FB3">
              <w:rPr>
                <w:rFonts w:ascii="Times New Roman" w:hAnsi="Times New Roman" w:cs="Times New Roman"/>
                <w:sz w:val="24"/>
                <w:szCs w:val="24"/>
              </w:rPr>
              <w:t xml:space="preserve"> committee.</w:t>
            </w:r>
          </w:p>
        </w:tc>
        <w:tc>
          <w:tcPr>
            <w:tcW w:w="1484" w:type="dxa"/>
            <w:tcBorders>
              <w:bottom w:val="single" w:sz="4" w:space="0" w:color="auto"/>
            </w:tcBorders>
          </w:tcPr>
          <w:p w14:paraId="73DE2B2A"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(2009); CSC (2013)</w:t>
            </w:r>
          </w:p>
        </w:tc>
        <w:tc>
          <w:tcPr>
            <w:tcW w:w="804" w:type="dxa"/>
            <w:tcBorders>
              <w:bottom w:val="single" w:sz="4" w:space="0" w:color="auto"/>
            </w:tcBorders>
            <w:shd w:val="clear" w:color="auto" w:fill="auto"/>
          </w:tcPr>
          <w:p w14:paraId="2D2AEE18"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62FCEC4D"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5C03284A" w14:textId="77777777" w:rsidTr="00353A9A">
        <w:tc>
          <w:tcPr>
            <w:tcW w:w="2694" w:type="dxa"/>
            <w:vMerge/>
            <w:shd w:val="clear" w:color="auto" w:fill="auto"/>
          </w:tcPr>
          <w:p w14:paraId="1D8A66B0" w14:textId="77777777" w:rsidR="00837DA7" w:rsidRPr="006D56FB" w:rsidRDefault="00837DA7" w:rsidP="00353A9A">
            <w:pPr>
              <w:spacing w:after="0"/>
              <w:rPr>
                <w:rFonts w:ascii="Times New Roman" w:hAnsi="Times New Roman" w:cs="Times New Roman"/>
                <w:sz w:val="24"/>
                <w:szCs w:val="24"/>
              </w:rPr>
            </w:pPr>
          </w:p>
        </w:tc>
        <w:tc>
          <w:tcPr>
            <w:tcW w:w="4819" w:type="dxa"/>
            <w:tcBorders>
              <w:top w:val="single" w:sz="4" w:space="0" w:color="auto"/>
              <w:bottom w:val="nil"/>
            </w:tcBorders>
            <w:shd w:val="clear" w:color="auto" w:fill="auto"/>
          </w:tcPr>
          <w:p w14:paraId="61922888"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3.11 M</w:t>
            </w:r>
            <w:r w:rsidRPr="006D56FB">
              <w:rPr>
                <w:rFonts w:ascii="Times New Roman" w:hAnsi="Times New Roman" w:cs="Times New Roman"/>
                <w:sz w:val="24"/>
                <w:szCs w:val="24"/>
              </w:rPr>
              <w:t xml:space="preserve">embership of </w:t>
            </w:r>
            <w:r>
              <w:rPr>
                <w:rFonts w:ascii="Times New Roman" w:hAnsi="Times New Roman" w:cs="Times New Roman"/>
                <w:sz w:val="24"/>
                <w:szCs w:val="24"/>
              </w:rPr>
              <w:t>r</w:t>
            </w:r>
            <w:r w:rsidRPr="006D56FB">
              <w:rPr>
                <w:rFonts w:ascii="Times New Roman" w:hAnsi="Times New Roman" w:cs="Times New Roman"/>
                <w:sz w:val="24"/>
                <w:szCs w:val="24"/>
              </w:rPr>
              <w:t>emuneration committee</w:t>
            </w:r>
            <w:r>
              <w:rPr>
                <w:rFonts w:ascii="Times New Roman" w:hAnsi="Times New Roman" w:cs="Times New Roman"/>
                <w:sz w:val="24"/>
                <w:szCs w:val="24"/>
              </w:rPr>
              <w:t>.</w:t>
            </w:r>
          </w:p>
        </w:tc>
        <w:tc>
          <w:tcPr>
            <w:tcW w:w="1484" w:type="dxa"/>
            <w:tcBorders>
              <w:top w:val="single" w:sz="4" w:space="0" w:color="auto"/>
              <w:bottom w:val="nil"/>
            </w:tcBorders>
          </w:tcPr>
          <w:p w14:paraId="3F29C4E5"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(2009); CSC (2013)</w:t>
            </w:r>
          </w:p>
        </w:tc>
        <w:tc>
          <w:tcPr>
            <w:tcW w:w="804" w:type="dxa"/>
            <w:tcBorders>
              <w:top w:val="single" w:sz="4" w:space="0" w:color="auto"/>
              <w:bottom w:val="nil"/>
            </w:tcBorders>
            <w:shd w:val="clear" w:color="auto" w:fill="auto"/>
          </w:tcPr>
          <w:p w14:paraId="407356B7"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23D275EF"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636159AA" w14:textId="77777777" w:rsidTr="00353A9A">
        <w:tc>
          <w:tcPr>
            <w:tcW w:w="2694" w:type="dxa"/>
            <w:vMerge/>
            <w:shd w:val="clear" w:color="auto" w:fill="auto"/>
          </w:tcPr>
          <w:p w14:paraId="002D9041" w14:textId="77777777" w:rsidR="00837DA7" w:rsidRPr="006D56FB" w:rsidRDefault="00837DA7" w:rsidP="00353A9A">
            <w:pPr>
              <w:spacing w:after="0"/>
              <w:rPr>
                <w:rFonts w:ascii="Times New Roman" w:hAnsi="Times New Roman" w:cs="Times New Roman"/>
                <w:sz w:val="24"/>
                <w:szCs w:val="24"/>
              </w:rPr>
            </w:pPr>
          </w:p>
        </w:tc>
        <w:tc>
          <w:tcPr>
            <w:tcW w:w="4819" w:type="dxa"/>
            <w:tcBorders>
              <w:top w:val="nil"/>
            </w:tcBorders>
            <w:shd w:val="clear" w:color="auto" w:fill="auto"/>
          </w:tcPr>
          <w:p w14:paraId="6F03BA45"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3.12 R</w:t>
            </w:r>
            <w:r w:rsidRPr="006D56FB">
              <w:rPr>
                <w:rFonts w:ascii="Times New Roman" w:hAnsi="Times New Roman" w:cs="Times New Roman"/>
                <w:sz w:val="24"/>
                <w:szCs w:val="24"/>
              </w:rPr>
              <w:t>ecord of</w:t>
            </w:r>
            <w:r>
              <w:rPr>
                <w:rFonts w:ascii="Times New Roman" w:hAnsi="Times New Roman" w:cs="Times New Roman"/>
                <w:sz w:val="24"/>
                <w:szCs w:val="24"/>
              </w:rPr>
              <w:t xml:space="preserve"> meetings’ attendance for r</w:t>
            </w:r>
            <w:r w:rsidRPr="006D56FB">
              <w:rPr>
                <w:rFonts w:ascii="Times New Roman" w:hAnsi="Times New Roman" w:cs="Times New Roman"/>
                <w:sz w:val="24"/>
                <w:szCs w:val="24"/>
              </w:rPr>
              <w:t>emuneration committee</w:t>
            </w:r>
            <w:r>
              <w:rPr>
                <w:rFonts w:ascii="Times New Roman" w:hAnsi="Times New Roman" w:cs="Times New Roman"/>
                <w:sz w:val="24"/>
                <w:szCs w:val="24"/>
              </w:rPr>
              <w:t xml:space="preserve"> members.</w:t>
            </w:r>
          </w:p>
        </w:tc>
        <w:tc>
          <w:tcPr>
            <w:tcW w:w="1484" w:type="dxa"/>
            <w:tcBorders>
              <w:top w:val="nil"/>
            </w:tcBorders>
          </w:tcPr>
          <w:p w14:paraId="7D0DCCCB"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(2009); CSC (2013)</w:t>
            </w:r>
          </w:p>
        </w:tc>
        <w:tc>
          <w:tcPr>
            <w:tcW w:w="804" w:type="dxa"/>
            <w:tcBorders>
              <w:top w:val="nil"/>
            </w:tcBorders>
            <w:shd w:val="clear" w:color="auto" w:fill="auto"/>
          </w:tcPr>
          <w:p w14:paraId="15768D59"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00193DB8"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6A9621A9" w14:textId="77777777" w:rsidTr="00353A9A">
        <w:tc>
          <w:tcPr>
            <w:tcW w:w="2694" w:type="dxa"/>
            <w:vMerge/>
            <w:shd w:val="clear" w:color="auto" w:fill="auto"/>
          </w:tcPr>
          <w:p w14:paraId="28B9B3D7"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7735017D"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3.13 T</w:t>
            </w:r>
            <w:r w:rsidRPr="006D56FB">
              <w:rPr>
                <w:rFonts w:ascii="Times New Roman" w:hAnsi="Times New Roman" w:cs="Times New Roman"/>
                <w:sz w:val="24"/>
                <w:szCs w:val="24"/>
              </w:rPr>
              <w:t xml:space="preserve">erms of reference </w:t>
            </w:r>
            <w:r>
              <w:rPr>
                <w:rFonts w:ascii="Times New Roman" w:hAnsi="Times New Roman" w:cs="Times New Roman"/>
                <w:sz w:val="24"/>
                <w:szCs w:val="24"/>
              </w:rPr>
              <w:t>of remuneration committee.</w:t>
            </w:r>
          </w:p>
        </w:tc>
        <w:tc>
          <w:tcPr>
            <w:tcW w:w="1484" w:type="dxa"/>
          </w:tcPr>
          <w:p w14:paraId="47871611"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(2009); CSC (2013)</w:t>
            </w:r>
          </w:p>
        </w:tc>
        <w:tc>
          <w:tcPr>
            <w:tcW w:w="804" w:type="dxa"/>
            <w:shd w:val="clear" w:color="auto" w:fill="auto"/>
          </w:tcPr>
          <w:p w14:paraId="2466552E"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04DE98BC"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205D4EF9" w14:textId="77777777" w:rsidTr="00353A9A">
        <w:tc>
          <w:tcPr>
            <w:tcW w:w="2694" w:type="dxa"/>
            <w:vMerge/>
            <w:shd w:val="clear" w:color="auto" w:fill="auto"/>
          </w:tcPr>
          <w:p w14:paraId="1C964788"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4C42FEE7"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3.14 Remuneration committee meetings (at least two times in a financial year).</w:t>
            </w:r>
          </w:p>
        </w:tc>
        <w:tc>
          <w:tcPr>
            <w:tcW w:w="1484" w:type="dxa"/>
          </w:tcPr>
          <w:p w14:paraId="4139BD3C"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(2009); CSC (2013)</w:t>
            </w:r>
          </w:p>
        </w:tc>
        <w:tc>
          <w:tcPr>
            <w:tcW w:w="804" w:type="dxa"/>
            <w:shd w:val="clear" w:color="auto" w:fill="auto"/>
          </w:tcPr>
          <w:p w14:paraId="5F1D6E0D"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0713DEF7"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7FCE9512" w14:textId="77777777" w:rsidTr="00353A9A">
        <w:tc>
          <w:tcPr>
            <w:tcW w:w="2694" w:type="dxa"/>
            <w:vMerge/>
            <w:shd w:val="clear" w:color="auto" w:fill="auto"/>
          </w:tcPr>
          <w:p w14:paraId="36AB6480"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683B4542"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3.15 Evaluation of the committee performance and effectiveness.</w:t>
            </w:r>
          </w:p>
        </w:tc>
        <w:tc>
          <w:tcPr>
            <w:tcW w:w="1484" w:type="dxa"/>
          </w:tcPr>
          <w:p w14:paraId="44DCEF1C"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(2009); CSC (2013)</w:t>
            </w:r>
          </w:p>
        </w:tc>
        <w:tc>
          <w:tcPr>
            <w:tcW w:w="804" w:type="dxa"/>
            <w:shd w:val="clear" w:color="auto" w:fill="auto"/>
          </w:tcPr>
          <w:p w14:paraId="6ACDE1DB"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775E82D8"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1F8DA3C7" w14:textId="77777777" w:rsidTr="00353A9A">
        <w:tc>
          <w:tcPr>
            <w:tcW w:w="2694" w:type="dxa"/>
            <w:vMerge/>
            <w:shd w:val="clear" w:color="auto" w:fill="auto"/>
          </w:tcPr>
          <w:p w14:paraId="3339D671"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4CE46D1D"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3.16 Reviewing of committee members’ capability.</w:t>
            </w:r>
          </w:p>
        </w:tc>
        <w:tc>
          <w:tcPr>
            <w:tcW w:w="1484" w:type="dxa"/>
          </w:tcPr>
          <w:p w14:paraId="723AD6FC"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(2008)</w:t>
            </w:r>
          </w:p>
        </w:tc>
        <w:tc>
          <w:tcPr>
            <w:tcW w:w="804" w:type="dxa"/>
            <w:shd w:val="clear" w:color="auto" w:fill="auto"/>
          </w:tcPr>
          <w:p w14:paraId="56567F80"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4F663860"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03D91D2B" w14:textId="77777777" w:rsidTr="00353A9A">
        <w:tc>
          <w:tcPr>
            <w:tcW w:w="2694" w:type="dxa"/>
            <w:vMerge/>
            <w:shd w:val="clear" w:color="auto" w:fill="auto"/>
          </w:tcPr>
          <w:p w14:paraId="17D0C829"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3F9B8F95"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3.17 Independent review of senior management pay and terms of employment.</w:t>
            </w:r>
          </w:p>
        </w:tc>
        <w:tc>
          <w:tcPr>
            <w:tcW w:w="1484" w:type="dxa"/>
          </w:tcPr>
          <w:p w14:paraId="4DE013EE"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(2008)</w:t>
            </w:r>
          </w:p>
        </w:tc>
        <w:tc>
          <w:tcPr>
            <w:tcW w:w="804" w:type="dxa"/>
            <w:shd w:val="clear" w:color="auto" w:fill="auto"/>
          </w:tcPr>
          <w:p w14:paraId="28697245"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70518E9D"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563138DC" w14:textId="77777777" w:rsidTr="00353A9A">
        <w:tc>
          <w:tcPr>
            <w:tcW w:w="2694" w:type="dxa"/>
            <w:vMerge/>
            <w:shd w:val="clear" w:color="auto" w:fill="auto"/>
          </w:tcPr>
          <w:p w14:paraId="3B409F1D"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3924E09F"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3.18 Regular review of procedures/structures that</w:t>
            </w:r>
            <w:r w:rsidRPr="006D56FB">
              <w:rPr>
                <w:rFonts w:ascii="Times New Roman" w:hAnsi="Times New Roman" w:cs="Times New Roman"/>
                <w:sz w:val="24"/>
                <w:szCs w:val="24"/>
              </w:rPr>
              <w:t xml:space="preserve"> ensure</w:t>
            </w:r>
            <w:r>
              <w:rPr>
                <w:rFonts w:ascii="Times New Roman" w:hAnsi="Times New Roman" w:cs="Times New Roman"/>
                <w:sz w:val="24"/>
                <w:szCs w:val="24"/>
              </w:rPr>
              <w:t xml:space="preserve"> </w:t>
            </w:r>
            <w:r w:rsidRPr="006D56FB">
              <w:rPr>
                <w:rFonts w:ascii="Times New Roman" w:hAnsi="Times New Roman" w:cs="Times New Roman"/>
                <w:sz w:val="24"/>
                <w:szCs w:val="24"/>
              </w:rPr>
              <w:t xml:space="preserve">appropriate </w:t>
            </w:r>
            <w:r>
              <w:rPr>
                <w:rFonts w:ascii="Times New Roman" w:hAnsi="Times New Roman" w:cs="Times New Roman"/>
                <w:sz w:val="24"/>
                <w:szCs w:val="24"/>
              </w:rPr>
              <w:t xml:space="preserve">pay to staff and management. </w:t>
            </w:r>
          </w:p>
        </w:tc>
        <w:tc>
          <w:tcPr>
            <w:tcW w:w="1484" w:type="dxa"/>
          </w:tcPr>
          <w:p w14:paraId="56C9F95E"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(2008)</w:t>
            </w:r>
          </w:p>
        </w:tc>
        <w:tc>
          <w:tcPr>
            <w:tcW w:w="804" w:type="dxa"/>
            <w:shd w:val="clear" w:color="auto" w:fill="auto"/>
          </w:tcPr>
          <w:p w14:paraId="1D70818A"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00263E50"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40C8475C" w14:textId="77777777" w:rsidTr="00353A9A">
        <w:tc>
          <w:tcPr>
            <w:tcW w:w="2694" w:type="dxa"/>
            <w:vMerge/>
            <w:shd w:val="clear" w:color="auto" w:fill="auto"/>
          </w:tcPr>
          <w:p w14:paraId="395F39CC"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1539223A"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 xml:space="preserve">3.19 Institutional goals/interests are considered alongside the </w:t>
            </w:r>
            <w:r w:rsidRPr="006D56FB">
              <w:rPr>
                <w:rFonts w:ascii="Times New Roman" w:hAnsi="Times New Roman" w:cs="Times New Roman"/>
                <w:sz w:val="24"/>
                <w:szCs w:val="24"/>
              </w:rPr>
              <w:t>safeguarding of public funds</w:t>
            </w:r>
            <w:r>
              <w:rPr>
                <w:rFonts w:ascii="Times New Roman" w:hAnsi="Times New Roman" w:cs="Times New Roman"/>
                <w:sz w:val="24"/>
                <w:szCs w:val="24"/>
              </w:rPr>
              <w:t xml:space="preserve"> and public interest.</w:t>
            </w:r>
          </w:p>
        </w:tc>
        <w:tc>
          <w:tcPr>
            <w:tcW w:w="1484" w:type="dxa"/>
          </w:tcPr>
          <w:p w14:paraId="4BE2B9C0"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(2014)</w:t>
            </w:r>
          </w:p>
        </w:tc>
        <w:tc>
          <w:tcPr>
            <w:tcW w:w="804" w:type="dxa"/>
            <w:shd w:val="clear" w:color="auto" w:fill="auto"/>
          </w:tcPr>
          <w:p w14:paraId="53FCDACF"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26630BCC"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2B0960AF" w14:textId="77777777" w:rsidTr="00353A9A">
        <w:tc>
          <w:tcPr>
            <w:tcW w:w="2694" w:type="dxa"/>
            <w:vMerge/>
            <w:shd w:val="clear" w:color="auto" w:fill="auto"/>
          </w:tcPr>
          <w:p w14:paraId="5E665B61"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17CC729B"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3.20 Policy framework on remunerations is set based on the funding bodies’ guidance.</w:t>
            </w:r>
          </w:p>
        </w:tc>
        <w:tc>
          <w:tcPr>
            <w:tcW w:w="1484" w:type="dxa"/>
          </w:tcPr>
          <w:p w14:paraId="19555A09"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(2015)</w:t>
            </w:r>
          </w:p>
        </w:tc>
        <w:tc>
          <w:tcPr>
            <w:tcW w:w="804" w:type="dxa"/>
            <w:shd w:val="clear" w:color="auto" w:fill="auto"/>
          </w:tcPr>
          <w:p w14:paraId="7A6BC7CF"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13DD476A"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4523403D" w14:textId="77777777" w:rsidTr="00353A9A">
        <w:tc>
          <w:tcPr>
            <w:tcW w:w="2694" w:type="dxa"/>
            <w:vMerge/>
            <w:shd w:val="clear" w:color="auto" w:fill="auto"/>
          </w:tcPr>
          <w:p w14:paraId="21CEF5BD"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1BB6172C"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3.21 Governing body annually evaluate the performance of their institutions in achieving long- and short-term objectives of their institutions.</w:t>
            </w:r>
          </w:p>
        </w:tc>
        <w:tc>
          <w:tcPr>
            <w:tcW w:w="1484" w:type="dxa"/>
          </w:tcPr>
          <w:p w14:paraId="33A3BFB6"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CSC (2013)</w:t>
            </w:r>
          </w:p>
        </w:tc>
        <w:tc>
          <w:tcPr>
            <w:tcW w:w="804" w:type="dxa"/>
            <w:shd w:val="clear" w:color="auto" w:fill="auto"/>
          </w:tcPr>
          <w:p w14:paraId="2BFE82F5"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5DF2C2AD"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0D1328B6" w14:textId="77777777" w:rsidTr="00353A9A">
        <w:tc>
          <w:tcPr>
            <w:tcW w:w="2694" w:type="dxa"/>
            <w:vMerge/>
            <w:shd w:val="clear" w:color="auto" w:fill="auto"/>
          </w:tcPr>
          <w:p w14:paraId="74643262"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42EDCBB8" w14:textId="77777777" w:rsidR="00837DA7" w:rsidRPr="00BF11E6" w:rsidRDefault="00837DA7" w:rsidP="00353A9A">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3.22 Philosophy and procedures of senior management pay.</w:t>
            </w:r>
          </w:p>
        </w:tc>
        <w:tc>
          <w:tcPr>
            <w:tcW w:w="1484" w:type="dxa"/>
          </w:tcPr>
          <w:p w14:paraId="37AD1DE6"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CSC (2013)</w:t>
            </w:r>
          </w:p>
        </w:tc>
        <w:tc>
          <w:tcPr>
            <w:tcW w:w="804" w:type="dxa"/>
            <w:shd w:val="clear" w:color="auto" w:fill="auto"/>
          </w:tcPr>
          <w:p w14:paraId="0760C20C"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2600F065"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2CB4749A" w14:textId="77777777" w:rsidTr="00353A9A">
        <w:tc>
          <w:tcPr>
            <w:tcW w:w="2694" w:type="dxa"/>
            <w:vMerge w:val="restart"/>
            <w:shd w:val="clear" w:color="auto" w:fill="auto"/>
          </w:tcPr>
          <w:p w14:paraId="330D95AD" w14:textId="77777777" w:rsidR="00837DA7" w:rsidRPr="006D56FB" w:rsidRDefault="00837DA7" w:rsidP="00353A9A">
            <w:pPr>
              <w:spacing w:after="0"/>
              <w:rPr>
                <w:rFonts w:ascii="Times New Roman" w:hAnsi="Times New Roman" w:cs="Times New Roman"/>
                <w:b/>
                <w:bCs/>
                <w:sz w:val="24"/>
                <w:szCs w:val="24"/>
              </w:rPr>
            </w:pPr>
            <w:r w:rsidRPr="006D56FB">
              <w:rPr>
                <w:rFonts w:ascii="Times New Roman" w:hAnsi="Times New Roman" w:cs="Times New Roman"/>
                <w:b/>
                <w:bCs/>
                <w:sz w:val="24"/>
                <w:szCs w:val="24"/>
              </w:rPr>
              <w:t>4. Accounting, auditing and accountability (</w:t>
            </w:r>
            <w:r w:rsidRPr="006D56FB">
              <w:rPr>
                <w:rFonts w:ascii="Times New Roman" w:hAnsi="Times New Roman" w:cs="Times New Roman"/>
                <w:b/>
                <w:bCs/>
                <w:i/>
                <w:iCs/>
                <w:sz w:val="24"/>
                <w:szCs w:val="24"/>
              </w:rPr>
              <w:t>A</w:t>
            </w:r>
            <w:r>
              <w:rPr>
                <w:rFonts w:ascii="Times New Roman" w:hAnsi="Times New Roman" w:cs="Times New Roman"/>
                <w:b/>
                <w:bCs/>
                <w:i/>
                <w:iCs/>
                <w:sz w:val="24"/>
                <w:szCs w:val="24"/>
              </w:rPr>
              <w:t>AA</w:t>
            </w:r>
            <w:r w:rsidRPr="006D56FB">
              <w:rPr>
                <w:rFonts w:ascii="Times New Roman" w:hAnsi="Times New Roman" w:cs="Times New Roman"/>
                <w:b/>
                <w:bCs/>
                <w:i/>
                <w:iCs/>
                <w:sz w:val="24"/>
                <w:szCs w:val="24"/>
              </w:rPr>
              <w:t>C</w:t>
            </w:r>
            <w:r w:rsidRPr="006D56FB">
              <w:rPr>
                <w:rFonts w:ascii="Times New Roman" w:hAnsi="Times New Roman" w:cs="Times New Roman"/>
                <w:b/>
                <w:bCs/>
                <w:sz w:val="24"/>
                <w:szCs w:val="24"/>
              </w:rPr>
              <w:t>)</w:t>
            </w:r>
          </w:p>
          <w:p w14:paraId="2B33D33C" w14:textId="77777777" w:rsidR="00837DA7" w:rsidRPr="006D56FB" w:rsidRDefault="00837DA7" w:rsidP="00353A9A">
            <w:pPr>
              <w:spacing w:after="0"/>
              <w:rPr>
                <w:rFonts w:ascii="Times New Roman" w:hAnsi="Times New Roman" w:cs="Times New Roman"/>
                <w:sz w:val="24"/>
                <w:szCs w:val="24"/>
              </w:rPr>
            </w:pPr>
          </w:p>
          <w:p w14:paraId="7E3B5FE9" w14:textId="77777777" w:rsidR="00837DA7" w:rsidRPr="006D56FB" w:rsidRDefault="00837DA7" w:rsidP="00353A9A">
            <w:pPr>
              <w:spacing w:after="0"/>
              <w:rPr>
                <w:rFonts w:ascii="Times New Roman" w:hAnsi="Times New Roman" w:cs="Times New Roman"/>
                <w:sz w:val="24"/>
                <w:szCs w:val="24"/>
              </w:rPr>
            </w:pPr>
          </w:p>
          <w:p w14:paraId="46DB79E9"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6CE0BAAE"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4.1 A</w:t>
            </w:r>
            <w:r w:rsidRPr="006D56FB">
              <w:rPr>
                <w:rFonts w:ascii="Times New Roman" w:hAnsi="Times New Roman" w:cs="Times New Roman"/>
                <w:sz w:val="24"/>
                <w:szCs w:val="24"/>
              </w:rPr>
              <w:t xml:space="preserve">udit committee </w:t>
            </w:r>
            <w:r>
              <w:rPr>
                <w:rFonts w:ascii="Times New Roman" w:hAnsi="Times New Roman" w:cs="Times New Roman"/>
                <w:sz w:val="24"/>
                <w:szCs w:val="24"/>
              </w:rPr>
              <w:t>existence.</w:t>
            </w:r>
          </w:p>
        </w:tc>
        <w:tc>
          <w:tcPr>
            <w:tcW w:w="1484" w:type="dxa"/>
          </w:tcPr>
          <w:p w14:paraId="046699A7"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(2009); CSC (2013)</w:t>
            </w:r>
          </w:p>
        </w:tc>
        <w:tc>
          <w:tcPr>
            <w:tcW w:w="804" w:type="dxa"/>
            <w:shd w:val="clear" w:color="auto" w:fill="auto"/>
          </w:tcPr>
          <w:p w14:paraId="6F2159A2"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val="restart"/>
            <w:shd w:val="clear" w:color="auto" w:fill="auto"/>
          </w:tcPr>
          <w:p w14:paraId="6D787E01" w14:textId="77777777" w:rsidR="00837DA7" w:rsidRPr="006D56FB" w:rsidRDefault="00837DA7" w:rsidP="00353A9A">
            <w:pPr>
              <w:spacing w:after="0"/>
              <w:jc w:val="center"/>
              <w:rPr>
                <w:rFonts w:ascii="Times New Roman" w:hAnsi="Times New Roman" w:cs="Times New Roman"/>
                <w:sz w:val="24"/>
                <w:szCs w:val="24"/>
              </w:rPr>
            </w:pPr>
          </w:p>
          <w:p w14:paraId="4286EAC4" w14:textId="77777777" w:rsidR="00837DA7" w:rsidRPr="006D56FB" w:rsidRDefault="00837DA7" w:rsidP="00353A9A">
            <w:pPr>
              <w:spacing w:after="0"/>
              <w:jc w:val="center"/>
              <w:rPr>
                <w:rFonts w:ascii="Times New Roman" w:hAnsi="Times New Roman" w:cs="Times New Roman"/>
                <w:sz w:val="24"/>
                <w:szCs w:val="24"/>
              </w:rPr>
            </w:pPr>
          </w:p>
          <w:p w14:paraId="4CE94B87" w14:textId="77777777" w:rsidR="00837DA7" w:rsidRPr="006D56FB" w:rsidRDefault="00837DA7" w:rsidP="00353A9A">
            <w:pPr>
              <w:spacing w:after="0"/>
              <w:jc w:val="center"/>
              <w:rPr>
                <w:rFonts w:ascii="Times New Roman" w:hAnsi="Times New Roman" w:cs="Times New Roman"/>
                <w:sz w:val="24"/>
                <w:szCs w:val="24"/>
              </w:rPr>
            </w:pPr>
          </w:p>
          <w:p w14:paraId="2D034A38" w14:textId="77777777" w:rsidR="00837DA7" w:rsidRPr="006D56FB" w:rsidRDefault="00837DA7" w:rsidP="00353A9A">
            <w:pPr>
              <w:spacing w:after="0"/>
              <w:jc w:val="center"/>
              <w:rPr>
                <w:rFonts w:ascii="Times New Roman" w:hAnsi="Times New Roman" w:cs="Times New Roman"/>
                <w:sz w:val="24"/>
                <w:szCs w:val="24"/>
              </w:rPr>
            </w:pPr>
          </w:p>
          <w:p w14:paraId="72430774" w14:textId="77777777" w:rsidR="00837DA7" w:rsidRPr="006D56FB" w:rsidRDefault="00837DA7" w:rsidP="00353A9A">
            <w:pPr>
              <w:spacing w:after="0"/>
              <w:jc w:val="center"/>
              <w:rPr>
                <w:rFonts w:ascii="Times New Roman" w:hAnsi="Times New Roman" w:cs="Times New Roman"/>
                <w:sz w:val="24"/>
                <w:szCs w:val="24"/>
              </w:rPr>
            </w:pPr>
          </w:p>
          <w:p w14:paraId="1081E76D" w14:textId="77777777" w:rsidR="00837DA7" w:rsidRPr="006D56FB" w:rsidRDefault="00837DA7" w:rsidP="00353A9A">
            <w:pPr>
              <w:spacing w:after="0"/>
              <w:jc w:val="center"/>
              <w:rPr>
                <w:rFonts w:ascii="Times New Roman" w:hAnsi="Times New Roman" w:cs="Times New Roman"/>
                <w:sz w:val="24"/>
                <w:szCs w:val="24"/>
              </w:rPr>
            </w:pPr>
          </w:p>
          <w:p w14:paraId="629804DB" w14:textId="77777777" w:rsidR="00837DA7" w:rsidRPr="006D56FB" w:rsidRDefault="00837DA7" w:rsidP="00353A9A">
            <w:pPr>
              <w:spacing w:after="0"/>
              <w:jc w:val="center"/>
              <w:rPr>
                <w:rFonts w:ascii="Times New Roman" w:hAnsi="Times New Roman" w:cs="Times New Roman"/>
                <w:sz w:val="24"/>
                <w:szCs w:val="24"/>
              </w:rPr>
            </w:pPr>
          </w:p>
          <w:p w14:paraId="7CFF319A" w14:textId="77777777" w:rsidR="00837DA7" w:rsidRPr="006D56FB" w:rsidRDefault="00837DA7" w:rsidP="00353A9A">
            <w:pPr>
              <w:spacing w:after="0"/>
              <w:jc w:val="center"/>
              <w:rPr>
                <w:rFonts w:ascii="Times New Roman" w:hAnsi="Times New Roman" w:cs="Times New Roman"/>
                <w:sz w:val="24"/>
                <w:szCs w:val="24"/>
              </w:rPr>
            </w:pPr>
          </w:p>
          <w:p w14:paraId="651EDE4C" w14:textId="77777777" w:rsidR="00837DA7" w:rsidRPr="006D56FB" w:rsidRDefault="00837DA7" w:rsidP="00353A9A">
            <w:pPr>
              <w:spacing w:after="0"/>
              <w:jc w:val="center"/>
              <w:rPr>
                <w:rFonts w:ascii="Times New Roman" w:hAnsi="Times New Roman" w:cs="Times New Roman"/>
                <w:sz w:val="24"/>
                <w:szCs w:val="24"/>
              </w:rPr>
            </w:pPr>
          </w:p>
          <w:p w14:paraId="6C430577" w14:textId="77777777" w:rsidR="00837DA7" w:rsidRPr="006D56FB" w:rsidRDefault="00837DA7" w:rsidP="00353A9A">
            <w:pPr>
              <w:spacing w:after="0"/>
              <w:jc w:val="center"/>
              <w:rPr>
                <w:rFonts w:ascii="Times New Roman" w:hAnsi="Times New Roman" w:cs="Times New Roman"/>
                <w:sz w:val="24"/>
                <w:szCs w:val="24"/>
              </w:rPr>
            </w:pPr>
          </w:p>
          <w:p w14:paraId="623589BC" w14:textId="77777777" w:rsidR="00837DA7" w:rsidRPr="006D56FB" w:rsidRDefault="00837DA7" w:rsidP="00353A9A">
            <w:pPr>
              <w:spacing w:after="0"/>
              <w:jc w:val="center"/>
              <w:rPr>
                <w:rFonts w:ascii="Times New Roman" w:hAnsi="Times New Roman" w:cs="Times New Roman"/>
                <w:sz w:val="24"/>
                <w:szCs w:val="24"/>
              </w:rPr>
            </w:pPr>
          </w:p>
          <w:p w14:paraId="3AF1D387" w14:textId="77777777" w:rsidR="00837DA7" w:rsidRPr="006D56FB" w:rsidRDefault="00837DA7" w:rsidP="00353A9A">
            <w:pPr>
              <w:spacing w:after="0"/>
              <w:jc w:val="center"/>
              <w:rPr>
                <w:rFonts w:ascii="Times New Roman" w:hAnsi="Times New Roman" w:cs="Times New Roman"/>
                <w:sz w:val="24"/>
                <w:szCs w:val="24"/>
              </w:rPr>
            </w:pPr>
          </w:p>
          <w:p w14:paraId="6A4CC0E6" w14:textId="77777777" w:rsidR="00837DA7" w:rsidRPr="006D56FB" w:rsidRDefault="00837DA7" w:rsidP="00353A9A">
            <w:pPr>
              <w:spacing w:after="0"/>
              <w:jc w:val="center"/>
              <w:rPr>
                <w:rFonts w:ascii="Times New Roman" w:hAnsi="Times New Roman" w:cs="Times New Roman"/>
                <w:sz w:val="24"/>
                <w:szCs w:val="24"/>
              </w:rPr>
            </w:pPr>
          </w:p>
          <w:p w14:paraId="1D91361C" w14:textId="77777777" w:rsidR="00837DA7" w:rsidRPr="006D56FB" w:rsidRDefault="00837DA7" w:rsidP="00353A9A">
            <w:pPr>
              <w:spacing w:after="0"/>
              <w:jc w:val="center"/>
              <w:rPr>
                <w:rFonts w:ascii="Times New Roman" w:hAnsi="Times New Roman" w:cs="Times New Roman"/>
                <w:sz w:val="24"/>
                <w:szCs w:val="24"/>
              </w:rPr>
            </w:pPr>
          </w:p>
          <w:p w14:paraId="66D5A1FE"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20</w:t>
            </w:r>
          </w:p>
        </w:tc>
      </w:tr>
      <w:tr w:rsidR="00837DA7" w:rsidRPr="006D56FB" w14:paraId="55E0C5E1" w14:textId="77777777" w:rsidTr="00353A9A">
        <w:tc>
          <w:tcPr>
            <w:tcW w:w="2694" w:type="dxa"/>
            <w:vMerge/>
            <w:shd w:val="clear" w:color="auto" w:fill="auto"/>
          </w:tcPr>
          <w:p w14:paraId="21E9FDEE"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28BF5FF7"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4.2 Audit</w:t>
            </w:r>
            <w:r w:rsidRPr="005F0447">
              <w:rPr>
                <w:rFonts w:ascii="Times New Roman" w:hAnsi="Times New Roman" w:cs="Times New Roman"/>
                <w:sz w:val="24"/>
                <w:szCs w:val="24"/>
              </w:rPr>
              <w:t xml:space="preserve"> committee composition (consists of at least three independent (lay) members</w:t>
            </w:r>
            <w:r>
              <w:rPr>
                <w:rFonts w:ascii="Times New Roman" w:hAnsi="Times New Roman" w:cs="Times New Roman"/>
                <w:sz w:val="24"/>
                <w:szCs w:val="24"/>
              </w:rPr>
              <w:t>).</w:t>
            </w:r>
          </w:p>
        </w:tc>
        <w:tc>
          <w:tcPr>
            <w:tcW w:w="1484" w:type="dxa"/>
          </w:tcPr>
          <w:p w14:paraId="50D14BAA"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(2009); CSC (2013)</w:t>
            </w:r>
          </w:p>
        </w:tc>
        <w:tc>
          <w:tcPr>
            <w:tcW w:w="804" w:type="dxa"/>
            <w:shd w:val="clear" w:color="auto" w:fill="auto"/>
          </w:tcPr>
          <w:p w14:paraId="085096CC"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16B5C204"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76EB5353" w14:textId="77777777" w:rsidTr="00353A9A">
        <w:tc>
          <w:tcPr>
            <w:tcW w:w="2694" w:type="dxa"/>
            <w:vMerge/>
            <w:shd w:val="clear" w:color="auto" w:fill="auto"/>
          </w:tcPr>
          <w:p w14:paraId="2B142BF2"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3FE6A946"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 xml:space="preserve">4.3 </w:t>
            </w:r>
            <w:r w:rsidRPr="00CA4FB3">
              <w:rPr>
                <w:rFonts w:ascii="Times New Roman" w:hAnsi="Times New Roman" w:cs="Times New Roman"/>
                <w:sz w:val="24"/>
                <w:szCs w:val="24"/>
              </w:rPr>
              <w:t xml:space="preserve">Independent (lay) board </w:t>
            </w:r>
            <w:r>
              <w:rPr>
                <w:rFonts w:ascii="Times New Roman" w:hAnsi="Times New Roman" w:cs="Times New Roman"/>
                <w:sz w:val="24"/>
                <w:szCs w:val="24"/>
              </w:rPr>
              <w:t>member</w:t>
            </w:r>
            <w:r w:rsidRPr="00CA4FB3">
              <w:rPr>
                <w:rFonts w:ascii="Times New Roman" w:hAnsi="Times New Roman" w:cs="Times New Roman"/>
                <w:sz w:val="24"/>
                <w:szCs w:val="24"/>
              </w:rPr>
              <w:t xml:space="preserve"> chairs the </w:t>
            </w:r>
            <w:r>
              <w:rPr>
                <w:rFonts w:ascii="Times New Roman" w:hAnsi="Times New Roman" w:cs="Times New Roman"/>
                <w:sz w:val="24"/>
                <w:szCs w:val="24"/>
              </w:rPr>
              <w:t>audit</w:t>
            </w:r>
            <w:r w:rsidRPr="00CA4FB3">
              <w:rPr>
                <w:rFonts w:ascii="Times New Roman" w:hAnsi="Times New Roman" w:cs="Times New Roman"/>
                <w:sz w:val="24"/>
                <w:szCs w:val="24"/>
              </w:rPr>
              <w:t xml:space="preserve"> committee.</w:t>
            </w:r>
          </w:p>
        </w:tc>
        <w:tc>
          <w:tcPr>
            <w:tcW w:w="1484" w:type="dxa"/>
          </w:tcPr>
          <w:p w14:paraId="0EF8AB6A"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(2009); CSC (2013)</w:t>
            </w:r>
          </w:p>
        </w:tc>
        <w:tc>
          <w:tcPr>
            <w:tcW w:w="804" w:type="dxa"/>
            <w:shd w:val="clear" w:color="auto" w:fill="auto"/>
          </w:tcPr>
          <w:p w14:paraId="74D4B1D5"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1EB73EA7"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5E253223" w14:textId="77777777" w:rsidTr="00353A9A">
        <w:tc>
          <w:tcPr>
            <w:tcW w:w="2694" w:type="dxa"/>
            <w:vMerge/>
            <w:shd w:val="clear" w:color="auto" w:fill="auto"/>
          </w:tcPr>
          <w:p w14:paraId="3CE87C02"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3DEA1F16"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4.4 M</w:t>
            </w:r>
            <w:r w:rsidRPr="006D56FB">
              <w:rPr>
                <w:rFonts w:ascii="Times New Roman" w:hAnsi="Times New Roman" w:cs="Times New Roman"/>
                <w:sz w:val="24"/>
                <w:szCs w:val="24"/>
              </w:rPr>
              <w:t xml:space="preserve">embership </w:t>
            </w:r>
            <w:r>
              <w:rPr>
                <w:rFonts w:ascii="Times New Roman" w:hAnsi="Times New Roman" w:cs="Times New Roman"/>
                <w:sz w:val="24"/>
                <w:szCs w:val="24"/>
              </w:rPr>
              <w:t>of audit committee.</w:t>
            </w:r>
          </w:p>
        </w:tc>
        <w:tc>
          <w:tcPr>
            <w:tcW w:w="1484" w:type="dxa"/>
          </w:tcPr>
          <w:p w14:paraId="59B757F9"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(2009); CSC (2013)</w:t>
            </w:r>
          </w:p>
        </w:tc>
        <w:tc>
          <w:tcPr>
            <w:tcW w:w="804" w:type="dxa"/>
            <w:shd w:val="clear" w:color="auto" w:fill="auto"/>
          </w:tcPr>
          <w:p w14:paraId="69B6C226"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23430BB7"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6CA62595" w14:textId="77777777" w:rsidTr="00353A9A">
        <w:tc>
          <w:tcPr>
            <w:tcW w:w="2694" w:type="dxa"/>
            <w:vMerge/>
            <w:shd w:val="clear" w:color="auto" w:fill="auto"/>
          </w:tcPr>
          <w:p w14:paraId="54014D91"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5109A03F"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4.5 R</w:t>
            </w:r>
            <w:r w:rsidRPr="006D56FB">
              <w:rPr>
                <w:rFonts w:ascii="Times New Roman" w:hAnsi="Times New Roman" w:cs="Times New Roman"/>
                <w:sz w:val="24"/>
                <w:szCs w:val="24"/>
              </w:rPr>
              <w:t xml:space="preserve">ecord </w:t>
            </w:r>
            <w:r>
              <w:rPr>
                <w:rFonts w:ascii="Times New Roman" w:hAnsi="Times New Roman" w:cs="Times New Roman"/>
                <w:sz w:val="24"/>
                <w:szCs w:val="24"/>
              </w:rPr>
              <w:t>of meetings’ attendance for audit committee members.</w:t>
            </w:r>
          </w:p>
        </w:tc>
        <w:tc>
          <w:tcPr>
            <w:tcW w:w="1484" w:type="dxa"/>
          </w:tcPr>
          <w:p w14:paraId="7955724A"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(2009); CSC (2013)</w:t>
            </w:r>
          </w:p>
        </w:tc>
        <w:tc>
          <w:tcPr>
            <w:tcW w:w="804" w:type="dxa"/>
            <w:shd w:val="clear" w:color="auto" w:fill="auto"/>
          </w:tcPr>
          <w:p w14:paraId="5E0E862E"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6E3E71F1"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37E4979E" w14:textId="77777777" w:rsidTr="00353A9A">
        <w:tc>
          <w:tcPr>
            <w:tcW w:w="2694" w:type="dxa"/>
            <w:vMerge/>
            <w:shd w:val="clear" w:color="auto" w:fill="auto"/>
          </w:tcPr>
          <w:p w14:paraId="3CFCA8DC"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43E6D0C5"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4.6 T</w:t>
            </w:r>
            <w:r w:rsidRPr="006D56FB">
              <w:rPr>
                <w:rFonts w:ascii="Times New Roman" w:hAnsi="Times New Roman" w:cs="Times New Roman"/>
                <w:sz w:val="24"/>
                <w:szCs w:val="24"/>
              </w:rPr>
              <w:t xml:space="preserve">erms of reference </w:t>
            </w:r>
            <w:r>
              <w:rPr>
                <w:rFonts w:ascii="Times New Roman" w:hAnsi="Times New Roman" w:cs="Times New Roman"/>
                <w:sz w:val="24"/>
                <w:szCs w:val="24"/>
              </w:rPr>
              <w:t>of audit committee.</w:t>
            </w:r>
          </w:p>
        </w:tc>
        <w:tc>
          <w:tcPr>
            <w:tcW w:w="1484" w:type="dxa"/>
          </w:tcPr>
          <w:p w14:paraId="08E3EF09"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(2009); CSC (2013)</w:t>
            </w:r>
          </w:p>
        </w:tc>
        <w:tc>
          <w:tcPr>
            <w:tcW w:w="804" w:type="dxa"/>
            <w:shd w:val="clear" w:color="auto" w:fill="auto"/>
          </w:tcPr>
          <w:p w14:paraId="2B55DB1A"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17C33C14"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27BCFC15" w14:textId="77777777" w:rsidTr="00353A9A">
        <w:tc>
          <w:tcPr>
            <w:tcW w:w="2694" w:type="dxa"/>
            <w:vMerge/>
            <w:shd w:val="clear" w:color="auto" w:fill="auto"/>
          </w:tcPr>
          <w:p w14:paraId="579965C2"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32E1A9C1"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4.7 Evaluation of the committee performance and effectiveness.</w:t>
            </w:r>
          </w:p>
        </w:tc>
        <w:tc>
          <w:tcPr>
            <w:tcW w:w="1484" w:type="dxa"/>
          </w:tcPr>
          <w:p w14:paraId="163A28A2"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(2009); CSC (2013)</w:t>
            </w:r>
          </w:p>
        </w:tc>
        <w:tc>
          <w:tcPr>
            <w:tcW w:w="804" w:type="dxa"/>
            <w:shd w:val="clear" w:color="auto" w:fill="auto"/>
          </w:tcPr>
          <w:p w14:paraId="50358852"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30BB97D8"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1DE74AF4" w14:textId="77777777" w:rsidTr="00353A9A">
        <w:tc>
          <w:tcPr>
            <w:tcW w:w="2694" w:type="dxa"/>
            <w:vMerge/>
            <w:shd w:val="clear" w:color="auto" w:fill="auto"/>
          </w:tcPr>
          <w:p w14:paraId="181F7777"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0A36CECD"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4.8 Existence of sound/</w:t>
            </w:r>
            <w:r w:rsidRPr="006D56FB">
              <w:rPr>
                <w:rFonts w:ascii="Times New Roman" w:hAnsi="Times New Roman" w:cs="Times New Roman"/>
                <w:sz w:val="24"/>
                <w:szCs w:val="24"/>
              </w:rPr>
              <w:t>sufficient internal control</w:t>
            </w:r>
            <w:r>
              <w:rPr>
                <w:rFonts w:ascii="Times New Roman" w:hAnsi="Times New Roman" w:cs="Times New Roman"/>
                <w:sz w:val="24"/>
                <w:szCs w:val="24"/>
              </w:rPr>
              <w:t xml:space="preserve"> system.</w:t>
            </w:r>
          </w:p>
        </w:tc>
        <w:tc>
          <w:tcPr>
            <w:tcW w:w="1484" w:type="dxa"/>
          </w:tcPr>
          <w:p w14:paraId="73A83548"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(2009); CSC (2013)</w:t>
            </w:r>
          </w:p>
        </w:tc>
        <w:tc>
          <w:tcPr>
            <w:tcW w:w="804" w:type="dxa"/>
            <w:shd w:val="clear" w:color="auto" w:fill="auto"/>
          </w:tcPr>
          <w:p w14:paraId="17110ECF"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0471D439"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141580E9" w14:textId="77777777" w:rsidTr="00353A9A">
        <w:tc>
          <w:tcPr>
            <w:tcW w:w="2694" w:type="dxa"/>
            <w:vMerge/>
            <w:shd w:val="clear" w:color="auto" w:fill="auto"/>
          </w:tcPr>
          <w:p w14:paraId="4D33279D" w14:textId="77777777" w:rsidR="00837DA7" w:rsidRPr="006D56FB" w:rsidRDefault="00837DA7" w:rsidP="00353A9A">
            <w:pPr>
              <w:spacing w:after="0"/>
              <w:rPr>
                <w:rFonts w:ascii="Times New Roman" w:hAnsi="Times New Roman" w:cs="Times New Roman"/>
                <w:sz w:val="24"/>
                <w:szCs w:val="24"/>
              </w:rPr>
            </w:pPr>
          </w:p>
        </w:tc>
        <w:tc>
          <w:tcPr>
            <w:tcW w:w="4819" w:type="dxa"/>
            <w:tcBorders>
              <w:bottom w:val="single" w:sz="4" w:space="0" w:color="auto"/>
            </w:tcBorders>
            <w:shd w:val="clear" w:color="auto" w:fill="auto"/>
          </w:tcPr>
          <w:p w14:paraId="3E839BFC"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 xml:space="preserve">4.9 Risk management/governance procedures and principles. </w:t>
            </w:r>
          </w:p>
        </w:tc>
        <w:tc>
          <w:tcPr>
            <w:tcW w:w="1484" w:type="dxa"/>
            <w:tcBorders>
              <w:bottom w:val="single" w:sz="4" w:space="0" w:color="auto"/>
            </w:tcBorders>
          </w:tcPr>
          <w:p w14:paraId="5A03E63E"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(2009); CSC (2013)</w:t>
            </w:r>
          </w:p>
        </w:tc>
        <w:tc>
          <w:tcPr>
            <w:tcW w:w="804" w:type="dxa"/>
            <w:tcBorders>
              <w:bottom w:val="single" w:sz="4" w:space="0" w:color="auto"/>
            </w:tcBorders>
            <w:shd w:val="clear" w:color="auto" w:fill="auto"/>
          </w:tcPr>
          <w:p w14:paraId="62A4AE3D"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62BD5291"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7782C9D8" w14:textId="77777777" w:rsidTr="00353A9A">
        <w:tc>
          <w:tcPr>
            <w:tcW w:w="2694" w:type="dxa"/>
            <w:vMerge/>
            <w:shd w:val="clear" w:color="auto" w:fill="auto"/>
          </w:tcPr>
          <w:p w14:paraId="17FF2444" w14:textId="77777777" w:rsidR="00837DA7" w:rsidRPr="006D56FB" w:rsidRDefault="00837DA7" w:rsidP="00353A9A">
            <w:pPr>
              <w:spacing w:after="0"/>
              <w:rPr>
                <w:rFonts w:ascii="Times New Roman" w:hAnsi="Times New Roman" w:cs="Times New Roman"/>
                <w:sz w:val="24"/>
                <w:szCs w:val="24"/>
              </w:rPr>
            </w:pPr>
          </w:p>
        </w:tc>
        <w:tc>
          <w:tcPr>
            <w:tcW w:w="4819" w:type="dxa"/>
            <w:tcBorders>
              <w:top w:val="single" w:sz="4" w:space="0" w:color="auto"/>
              <w:bottom w:val="nil"/>
            </w:tcBorders>
            <w:shd w:val="clear" w:color="auto" w:fill="auto"/>
          </w:tcPr>
          <w:p w14:paraId="321F1254"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4.10 Existence of sound and we-re-sourced internal audit unit.</w:t>
            </w:r>
          </w:p>
        </w:tc>
        <w:tc>
          <w:tcPr>
            <w:tcW w:w="1484" w:type="dxa"/>
            <w:tcBorders>
              <w:top w:val="single" w:sz="4" w:space="0" w:color="auto"/>
              <w:bottom w:val="nil"/>
            </w:tcBorders>
          </w:tcPr>
          <w:p w14:paraId="6D0F013F"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(2009); CSC (2013)</w:t>
            </w:r>
          </w:p>
        </w:tc>
        <w:tc>
          <w:tcPr>
            <w:tcW w:w="804" w:type="dxa"/>
            <w:tcBorders>
              <w:top w:val="single" w:sz="4" w:space="0" w:color="auto"/>
              <w:bottom w:val="nil"/>
            </w:tcBorders>
            <w:shd w:val="clear" w:color="auto" w:fill="auto"/>
          </w:tcPr>
          <w:p w14:paraId="73AFBAD4"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379F5B6A"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20FD2FCA" w14:textId="77777777" w:rsidTr="00353A9A">
        <w:tc>
          <w:tcPr>
            <w:tcW w:w="2694" w:type="dxa"/>
            <w:vMerge/>
            <w:shd w:val="clear" w:color="auto" w:fill="auto"/>
          </w:tcPr>
          <w:p w14:paraId="6F866996" w14:textId="77777777" w:rsidR="00837DA7" w:rsidRPr="006D56FB" w:rsidRDefault="00837DA7" w:rsidP="00353A9A">
            <w:pPr>
              <w:spacing w:after="0"/>
              <w:rPr>
                <w:rFonts w:ascii="Times New Roman" w:hAnsi="Times New Roman" w:cs="Times New Roman"/>
                <w:sz w:val="24"/>
                <w:szCs w:val="24"/>
              </w:rPr>
            </w:pPr>
          </w:p>
        </w:tc>
        <w:tc>
          <w:tcPr>
            <w:tcW w:w="4819" w:type="dxa"/>
            <w:tcBorders>
              <w:top w:val="nil"/>
            </w:tcBorders>
            <w:shd w:val="clear" w:color="auto" w:fill="auto"/>
          </w:tcPr>
          <w:p w14:paraId="128DA518" w14:textId="77777777" w:rsidR="00837DA7" w:rsidRPr="006D56FB" w:rsidRDefault="00837DA7" w:rsidP="00353A9A">
            <w:pPr>
              <w:spacing w:after="0"/>
              <w:rPr>
                <w:rFonts w:ascii="Times New Roman" w:hAnsi="Times New Roman" w:cs="Times New Roman"/>
                <w:bCs/>
                <w:sz w:val="24"/>
                <w:szCs w:val="24"/>
              </w:rPr>
            </w:pPr>
            <w:r>
              <w:rPr>
                <w:rFonts w:ascii="Times New Roman" w:hAnsi="Times New Roman" w:cs="Times New Roman"/>
                <w:bCs/>
                <w:sz w:val="24"/>
                <w:szCs w:val="24"/>
              </w:rPr>
              <w:t xml:space="preserve">4.11 </w:t>
            </w:r>
            <w:r w:rsidRPr="006D56FB">
              <w:rPr>
                <w:rFonts w:ascii="Times New Roman" w:hAnsi="Times New Roman" w:cs="Times New Roman"/>
                <w:bCs/>
                <w:sz w:val="24"/>
                <w:szCs w:val="24"/>
              </w:rPr>
              <w:t xml:space="preserve">Internal </w:t>
            </w:r>
            <w:r>
              <w:rPr>
                <w:rFonts w:ascii="Times New Roman" w:hAnsi="Times New Roman" w:cs="Times New Roman"/>
                <w:bCs/>
                <w:sz w:val="24"/>
                <w:szCs w:val="24"/>
              </w:rPr>
              <w:t>a</w:t>
            </w:r>
            <w:r w:rsidRPr="006D56FB">
              <w:rPr>
                <w:rFonts w:ascii="Times New Roman" w:hAnsi="Times New Roman" w:cs="Times New Roman"/>
                <w:bCs/>
                <w:sz w:val="24"/>
                <w:szCs w:val="24"/>
              </w:rPr>
              <w:t xml:space="preserve">udit </w:t>
            </w:r>
            <w:r>
              <w:rPr>
                <w:rFonts w:ascii="Times New Roman" w:hAnsi="Times New Roman" w:cs="Times New Roman"/>
                <w:bCs/>
                <w:sz w:val="24"/>
                <w:szCs w:val="24"/>
              </w:rPr>
              <w:t>function.</w:t>
            </w:r>
          </w:p>
        </w:tc>
        <w:tc>
          <w:tcPr>
            <w:tcW w:w="1484" w:type="dxa"/>
            <w:tcBorders>
              <w:top w:val="nil"/>
            </w:tcBorders>
          </w:tcPr>
          <w:p w14:paraId="5F033819"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(2008)</w:t>
            </w:r>
          </w:p>
        </w:tc>
        <w:tc>
          <w:tcPr>
            <w:tcW w:w="804" w:type="dxa"/>
            <w:tcBorders>
              <w:top w:val="nil"/>
            </w:tcBorders>
            <w:shd w:val="clear" w:color="auto" w:fill="auto"/>
          </w:tcPr>
          <w:p w14:paraId="198C01A2"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2B276291"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214C95C4" w14:textId="77777777" w:rsidTr="00353A9A">
        <w:tc>
          <w:tcPr>
            <w:tcW w:w="2694" w:type="dxa"/>
            <w:vMerge/>
            <w:shd w:val="clear" w:color="auto" w:fill="auto"/>
          </w:tcPr>
          <w:p w14:paraId="2C1F2D6E"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431E8EA8"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 xml:space="preserve">4.12 </w:t>
            </w:r>
            <w:r w:rsidRPr="006D56FB">
              <w:rPr>
                <w:rFonts w:ascii="Times New Roman" w:hAnsi="Times New Roman" w:cs="Times New Roman"/>
                <w:sz w:val="24"/>
                <w:szCs w:val="24"/>
              </w:rPr>
              <w:t xml:space="preserve">Statement </w:t>
            </w:r>
            <w:r>
              <w:rPr>
                <w:rFonts w:ascii="Times New Roman" w:hAnsi="Times New Roman" w:cs="Times New Roman"/>
                <w:sz w:val="24"/>
                <w:szCs w:val="24"/>
              </w:rPr>
              <w:t>on the status of an intuition’ going concern</w:t>
            </w:r>
          </w:p>
        </w:tc>
        <w:tc>
          <w:tcPr>
            <w:tcW w:w="1484" w:type="dxa"/>
          </w:tcPr>
          <w:p w14:paraId="065397A1"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(2009); CSC (2013)</w:t>
            </w:r>
          </w:p>
        </w:tc>
        <w:tc>
          <w:tcPr>
            <w:tcW w:w="804" w:type="dxa"/>
            <w:shd w:val="clear" w:color="auto" w:fill="auto"/>
          </w:tcPr>
          <w:p w14:paraId="4FECB1BC"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466B669E"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27D16C49" w14:textId="77777777" w:rsidTr="00353A9A">
        <w:tc>
          <w:tcPr>
            <w:tcW w:w="2694" w:type="dxa"/>
            <w:vMerge/>
            <w:shd w:val="clear" w:color="auto" w:fill="auto"/>
          </w:tcPr>
          <w:p w14:paraId="121A35EE"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1293A802"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4.13 Financial expertise (at least 1 member of the audit committee has relevant and recent experience in auditing, accounting or finance).</w:t>
            </w:r>
          </w:p>
        </w:tc>
        <w:tc>
          <w:tcPr>
            <w:tcW w:w="1484" w:type="dxa"/>
          </w:tcPr>
          <w:p w14:paraId="45A0FF36"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(2009); CSC (2013)</w:t>
            </w:r>
          </w:p>
        </w:tc>
        <w:tc>
          <w:tcPr>
            <w:tcW w:w="804" w:type="dxa"/>
            <w:shd w:val="clear" w:color="auto" w:fill="auto"/>
          </w:tcPr>
          <w:p w14:paraId="4C6B9415"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561CBED2"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7F18C6E8" w14:textId="77777777" w:rsidTr="00353A9A">
        <w:tc>
          <w:tcPr>
            <w:tcW w:w="2694" w:type="dxa"/>
            <w:vMerge/>
            <w:shd w:val="clear" w:color="auto" w:fill="auto"/>
          </w:tcPr>
          <w:p w14:paraId="2833F8E0" w14:textId="77777777" w:rsidR="00837DA7" w:rsidRPr="006D56FB" w:rsidRDefault="00837DA7" w:rsidP="00353A9A">
            <w:pPr>
              <w:spacing w:after="0"/>
              <w:rPr>
                <w:rFonts w:ascii="Times New Roman" w:hAnsi="Times New Roman" w:cs="Times New Roman"/>
                <w:sz w:val="24"/>
                <w:szCs w:val="24"/>
              </w:rPr>
            </w:pPr>
          </w:p>
        </w:tc>
        <w:tc>
          <w:tcPr>
            <w:tcW w:w="4819" w:type="dxa"/>
            <w:shd w:val="clear" w:color="auto" w:fill="auto"/>
          </w:tcPr>
          <w:p w14:paraId="6CDF605F"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4.14 Audit committee meetings (at least four times in a financial year).</w:t>
            </w:r>
          </w:p>
        </w:tc>
        <w:tc>
          <w:tcPr>
            <w:tcW w:w="1484" w:type="dxa"/>
          </w:tcPr>
          <w:p w14:paraId="508102CA"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(2009); CSC (2013)</w:t>
            </w:r>
          </w:p>
        </w:tc>
        <w:tc>
          <w:tcPr>
            <w:tcW w:w="804" w:type="dxa"/>
            <w:shd w:val="clear" w:color="auto" w:fill="auto"/>
          </w:tcPr>
          <w:p w14:paraId="0054D6FA"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51C7F542" w14:textId="77777777" w:rsidR="00837DA7" w:rsidRPr="006D56FB" w:rsidRDefault="00837DA7" w:rsidP="00353A9A">
            <w:pPr>
              <w:spacing w:after="0"/>
              <w:jc w:val="center"/>
              <w:rPr>
                <w:rFonts w:ascii="Times New Roman" w:hAnsi="Times New Roman" w:cs="Times New Roman"/>
                <w:sz w:val="24"/>
                <w:szCs w:val="24"/>
              </w:rPr>
            </w:pPr>
          </w:p>
        </w:tc>
      </w:tr>
      <w:tr w:rsidR="00837DA7" w:rsidRPr="006D56FB" w14:paraId="28DDB851" w14:textId="77777777" w:rsidTr="00353A9A">
        <w:tc>
          <w:tcPr>
            <w:tcW w:w="2694" w:type="dxa"/>
            <w:vMerge/>
            <w:shd w:val="clear" w:color="auto" w:fill="auto"/>
          </w:tcPr>
          <w:p w14:paraId="7493AA04" w14:textId="77777777" w:rsidR="00837DA7" w:rsidRPr="006D56FB" w:rsidRDefault="00837DA7" w:rsidP="00353A9A">
            <w:pPr>
              <w:spacing w:after="0"/>
              <w:rPr>
                <w:rFonts w:ascii="Times New Roman" w:hAnsi="Times New Roman" w:cs="Times New Roman"/>
                <w:b/>
                <w:bCs/>
                <w:sz w:val="24"/>
                <w:szCs w:val="24"/>
              </w:rPr>
            </w:pPr>
          </w:p>
        </w:tc>
        <w:tc>
          <w:tcPr>
            <w:tcW w:w="4819" w:type="dxa"/>
            <w:shd w:val="clear" w:color="auto" w:fill="auto"/>
          </w:tcPr>
          <w:p w14:paraId="5FEE3F7B"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4.15 Annual reports present balanced and understandable information.</w:t>
            </w:r>
          </w:p>
        </w:tc>
        <w:tc>
          <w:tcPr>
            <w:tcW w:w="1484" w:type="dxa"/>
          </w:tcPr>
          <w:p w14:paraId="52063E67"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(2008)</w:t>
            </w:r>
          </w:p>
        </w:tc>
        <w:tc>
          <w:tcPr>
            <w:tcW w:w="804" w:type="dxa"/>
            <w:shd w:val="clear" w:color="auto" w:fill="auto"/>
          </w:tcPr>
          <w:p w14:paraId="5494E4C3"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6F18E388" w14:textId="77777777" w:rsidR="00837DA7" w:rsidRPr="006D56FB" w:rsidRDefault="00837DA7" w:rsidP="00353A9A">
            <w:pPr>
              <w:spacing w:after="0"/>
              <w:jc w:val="center"/>
              <w:rPr>
                <w:rFonts w:ascii="Times New Roman" w:hAnsi="Times New Roman" w:cs="Times New Roman"/>
                <w:b/>
                <w:bCs/>
                <w:sz w:val="24"/>
                <w:szCs w:val="24"/>
              </w:rPr>
            </w:pPr>
          </w:p>
        </w:tc>
      </w:tr>
      <w:tr w:rsidR="00837DA7" w:rsidRPr="006D56FB" w14:paraId="0A986CEA" w14:textId="77777777" w:rsidTr="00353A9A">
        <w:tc>
          <w:tcPr>
            <w:tcW w:w="2694" w:type="dxa"/>
            <w:vMerge/>
            <w:shd w:val="clear" w:color="auto" w:fill="auto"/>
          </w:tcPr>
          <w:p w14:paraId="5CF4C215" w14:textId="77777777" w:rsidR="00837DA7" w:rsidRPr="006D56FB" w:rsidRDefault="00837DA7" w:rsidP="00353A9A">
            <w:pPr>
              <w:spacing w:after="0"/>
              <w:rPr>
                <w:rFonts w:ascii="Times New Roman" w:hAnsi="Times New Roman" w:cs="Times New Roman"/>
                <w:b/>
                <w:bCs/>
                <w:sz w:val="24"/>
                <w:szCs w:val="24"/>
              </w:rPr>
            </w:pPr>
          </w:p>
        </w:tc>
        <w:tc>
          <w:tcPr>
            <w:tcW w:w="4819" w:type="dxa"/>
            <w:shd w:val="clear" w:color="auto" w:fill="auto"/>
          </w:tcPr>
          <w:p w14:paraId="34C6847C"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4.16 Governing board responsibility for preparing institutional accounts and reports.</w:t>
            </w:r>
          </w:p>
        </w:tc>
        <w:tc>
          <w:tcPr>
            <w:tcW w:w="1484" w:type="dxa"/>
          </w:tcPr>
          <w:p w14:paraId="3ED54F41"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(2008)</w:t>
            </w:r>
          </w:p>
        </w:tc>
        <w:tc>
          <w:tcPr>
            <w:tcW w:w="804" w:type="dxa"/>
            <w:shd w:val="clear" w:color="auto" w:fill="auto"/>
          </w:tcPr>
          <w:p w14:paraId="184E5206"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0FAD68C1" w14:textId="77777777" w:rsidR="00837DA7" w:rsidRPr="006D56FB" w:rsidRDefault="00837DA7" w:rsidP="00353A9A">
            <w:pPr>
              <w:spacing w:after="0"/>
              <w:jc w:val="center"/>
              <w:rPr>
                <w:rFonts w:ascii="Times New Roman" w:hAnsi="Times New Roman" w:cs="Times New Roman"/>
                <w:b/>
                <w:bCs/>
                <w:sz w:val="24"/>
                <w:szCs w:val="24"/>
              </w:rPr>
            </w:pPr>
          </w:p>
        </w:tc>
      </w:tr>
      <w:tr w:rsidR="00837DA7" w:rsidRPr="006D56FB" w14:paraId="3F5D6AB8" w14:textId="77777777" w:rsidTr="00353A9A">
        <w:tc>
          <w:tcPr>
            <w:tcW w:w="2694" w:type="dxa"/>
            <w:vMerge/>
            <w:shd w:val="clear" w:color="auto" w:fill="auto"/>
          </w:tcPr>
          <w:p w14:paraId="1496F459" w14:textId="77777777" w:rsidR="00837DA7" w:rsidRPr="006D56FB" w:rsidRDefault="00837DA7" w:rsidP="00353A9A">
            <w:pPr>
              <w:spacing w:after="0"/>
              <w:rPr>
                <w:rFonts w:ascii="Times New Roman" w:hAnsi="Times New Roman" w:cs="Times New Roman"/>
                <w:b/>
                <w:bCs/>
                <w:sz w:val="24"/>
                <w:szCs w:val="24"/>
              </w:rPr>
            </w:pPr>
          </w:p>
        </w:tc>
        <w:tc>
          <w:tcPr>
            <w:tcW w:w="4819" w:type="dxa"/>
            <w:shd w:val="clear" w:color="auto" w:fill="auto"/>
          </w:tcPr>
          <w:p w14:paraId="7E28BBAB"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 xml:space="preserve">4.17 </w:t>
            </w:r>
            <w:r w:rsidRPr="006D56FB">
              <w:rPr>
                <w:rFonts w:ascii="Times New Roman" w:hAnsi="Times New Roman" w:cs="Times New Roman"/>
                <w:sz w:val="24"/>
                <w:szCs w:val="24"/>
              </w:rPr>
              <w:t xml:space="preserve">Compliance with </w:t>
            </w:r>
            <w:r>
              <w:rPr>
                <w:rFonts w:ascii="Times New Roman" w:hAnsi="Times New Roman" w:cs="Times New Roman"/>
                <w:sz w:val="24"/>
                <w:szCs w:val="24"/>
              </w:rPr>
              <w:t>good governance principles (</w:t>
            </w:r>
            <w:r w:rsidRPr="006D56FB">
              <w:rPr>
                <w:rFonts w:ascii="Times New Roman" w:hAnsi="Times New Roman" w:cs="Times New Roman"/>
                <w:sz w:val="24"/>
                <w:szCs w:val="24"/>
              </w:rPr>
              <w:t>Nolan Principle</w:t>
            </w:r>
            <w:r>
              <w:rPr>
                <w:rFonts w:ascii="Times New Roman" w:hAnsi="Times New Roman" w:cs="Times New Roman"/>
                <w:sz w:val="24"/>
                <w:szCs w:val="24"/>
              </w:rPr>
              <w:t>s).</w:t>
            </w:r>
          </w:p>
        </w:tc>
        <w:tc>
          <w:tcPr>
            <w:tcW w:w="1484" w:type="dxa"/>
          </w:tcPr>
          <w:p w14:paraId="7BB477F1"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(2008)</w:t>
            </w:r>
          </w:p>
        </w:tc>
        <w:tc>
          <w:tcPr>
            <w:tcW w:w="804" w:type="dxa"/>
            <w:shd w:val="clear" w:color="auto" w:fill="auto"/>
          </w:tcPr>
          <w:p w14:paraId="556A5D3F"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6C882E19" w14:textId="77777777" w:rsidR="00837DA7" w:rsidRPr="006D56FB" w:rsidRDefault="00837DA7" w:rsidP="00353A9A">
            <w:pPr>
              <w:spacing w:after="0"/>
              <w:jc w:val="center"/>
              <w:rPr>
                <w:rFonts w:ascii="Times New Roman" w:hAnsi="Times New Roman" w:cs="Times New Roman"/>
                <w:b/>
                <w:bCs/>
                <w:sz w:val="24"/>
                <w:szCs w:val="24"/>
              </w:rPr>
            </w:pPr>
          </w:p>
        </w:tc>
      </w:tr>
      <w:tr w:rsidR="00837DA7" w:rsidRPr="006D56FB" w14:paraId="33231CE4" w14:textId="77777777" w:rsidTr="00353A9A">
        <w:tc>
          <w:tcPr>
            <w:tcW w:w="2694" w:type="dxa"/>
            <w:vMerge/>
            <w:shd w:val="clear" w:color="auto" w:fill="auto"/>
          </w:tcPr>
          <w:p w14:paraId="7DD3F593" w14:textId="77777777" w:rsidR="00837DA7" w:rsidRPr="006D56FB" w:rsidRDefault="00837DA7" w:rsidP="00353A9A">
            <w:pPr>
              <w:spacing w:after="0"/>
              <w:rPr>
                <w:rFonts w:ascii="Times New Roman" w:hAnsi="Times New Roman" w:cs="Times New Roman"/>
                <w:b/>
                <w:bCs/>
                <w:sz w:val="24"/>
                <w:szCs w:val="24"/>
              </w:rPr>
            </w:pPr>
          </w:p>
        </w:tc>
        <w:tc>
          <w:tcPr>
            <w:tcW w:w="4819" w:type="dxa"/>
            <w:shd w:val="clear" w:color="auto" w:fill="auto"/>
          </w:tcPr>
          <w:p w14:paraId="4780F559" w14:textId="77777777" w:rsidR="00837DA7" w:rsidRPr="006D56FB" w:rsidRDefault="00837DA7" w:rsidP="00353A9A">
            <w:pPr>
              <w:spacing w:after="0"/>
              <w:rPr>
                <w:rFonts w:ascii="Times New Roman" w:hAnsi="Times New Roman" w:cs="Times New Roman"/>
                <w:bCs/>
                <w:sz w:val="24"/>
                <w:szCs w:val="24"/>
              </w:rPr>
            </w:pPr>
            <w:r>
              <w:rPr>
                <w:rFonts w:ascii="Times New Roman" w:hAnsi="Times New Roman" w:cs="Times New Roman"/>
                <w:bCs/>
                <w:sz w:val="24"/>
                <w:szCs w:val="24"/>
              </w:rPr>
              <w:t>4.18 Compliance and fulfilment of funding council requirements</w:t>
            </w:r>
          </w:p>
        </w:tc>
        <w:tc>
          <w:tcPr>
            <w:tcW w:w="1484" w:type="dxa"/>
          </w:tcPr>
          <w:p w14:paraId="3951355E"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(2008)</w:t>
            </w:r>
          </w:p>
        </w:tc>
        <w:tc>
          <w:tcPr>
            <w:tcW w:w="804" w:type="dxa"/>
            <w:shd w:val="clear" w:color="auto" w:fill="auto"/>
          </w:tcPr>
          <w:p w14:paraId="7B792F69"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731CCE4C" w14:textId="77777777" w:rsidR="00837DA7" w:rsidRPr="006D56FB" w:rsidRDefault="00837DA7" w:rsidP="00353A9A">
            <w:pPr>
              <w:spacing w:after="0"/>
              <w:jc w:val="center"/>
              <w:rPr>
                <w:rFonts w:ascii="Times New Roman" w:hAnsi="Times New Roman" w:cs="Times New Roman"/>
                <w:b/>
                <w:bCs/>
                <w:sz w:val="24"/>
                <w:szCs w:val="24"/>
              </w:rPr>
            </w:pPr>
          </w:p>
        </w:tc>
      </w:tr>
      <w:tr w:rsidR="00837DA7" w:rsidRPr="006D56FB" w14:paraId="456934D8" w14:textId="77777777" w:rsidTr="00353A9A">
        <w:tc>
          <w:tcPr>
            <w:tcW w:w="2694" w:type="dxa"/>
            <w:vMerge/>
            <w:shd w:val="clear" w:color="auto" w:fill="auto"/>
          </w:tcPr>
          <w:p w14:paraId="6518243A" w14:textId="77777777" w:rsidR="00837DA7" w:rsidRPr="006D56FB" w:rsidRDefault="00837DA7" w:rsidP="00353A9A">
            <w:pPr>
              <w:spacing w:after="0"/>
              <w:rPr>
                <w:rFonts w:ascii="Times New Roman" w:hAnsi="Times New Roman" w:cs="Times New Roman"/>
                <w:b/>
                <w:bCs/>
                <w:sz w:val="24"/>
                <w:szCs w:val="24"/>
              </w:rPr>
            </w:pPr>
          </w:p>
        </w:tc>
        <w:tc>
          <w:tcPr>
            <w:tcW w:w="4819" w:type="dxa"/>
            <w:shd w:val="clear" w:color="auto" w:fill="auto"/>
          </w:tcPr>
          <w:p w14:paraId="6A32B742" w14:textId="77777777" w:rsidR="00837DA7" w:rsidRPr="006D56FB" w:rsidRDefault="00837DA7" w:rsidP="00353A9A">
            <w:pPr>
              <w:spacing w:after="0"/>
              <w:rPr>
                <w:rFonts w:ascii="Times New Roman" w:hAnsi="Times New Roman" w:cs="Times New Roman"/>
                <w:bCs/>
                <w:sz w:val="24"/>
                <w:szCs w:val="24"/>
              </w:rPr>
            </w:pPr>
            <w:r>
              <w:rPr>
                <w:rFonts w:ascii="Times New Roman" w:hAnsi="Times New Roman" w:cs="Times New Roman"/>
                <w:bCs/>
                <w:sz w:val="24"/>
                <w:szCs w:val="24"/>
              </w:rPr>
              <w:t>4.19 Governing board reviews the capability of audit committee to ensure that appropriate actions are taken by the committee in relation to financial risk management/governance.</w:t>
            </w:r>
          </w:p>
        </w:tc>
        <w:tc>
          <w:tcPr>
            <w:tcW w:w="1484" w:type="dxa"/>
          </w:tcPr>
          <w:p w14:paraId="36AD5849" w14:textId="77777777" w:rsidR="00837DA7" w:rsidRPr="006D56FB" w:rsidRDefault="00837DA7" w:rsidP="00353A9A">
            <w:pPr>
              <w:spacing w:after="0"/>
              <w:rPr>
                <w:rFonts w:ascii="Times New Roman" w:hAnsi="Times New Roman" w:cs="Times New Roman"/>
                <w:sz w:val="24"/>
                <w:szCs w:val="24"/>
              </w:rPr>
            </w:pPr>
          </w:p>
        </w:tc>
        <w:tc>
          <w:tcPr>
            <w:tcW w:w="804" w:type="dxa"/>
            <w:shd w:val="clear" w:color="auto" w:fill="auto"/>
          </w:tcPr>
          <w:p w14:paraId="3320C548"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0B3D300E" w14:textId="77777777" w:rsidR="00837DA7" w:rsidRPr="006D56FB" w:rsidRDefault="00837DA7" w:rsidP="00353A9A">
            <w:pPr>
              <w:spacing w:after="0"/>
              <w:jc w:val="center"/>
              <w:rPr>
                <w:rFonts w:ascii="Times New Roman" w:hAnsi="Times New Roman" w:cs="Times New Roman"/>
                <w:b/>
                <w:bCs/>
                <w:sz w:val="24"/>
                <w:szCs w:val="24"/>
              </w:rPr>
            </w:pPr>
          </w:p>
        </w:tc>
      </w:tr>
      <w:tr w:rsidR="00837DA7" w:rsidRPr="006D56FB" w14:paraId="2C5E42CE" w14:textId="77777777" w:rsidTr="00353A9A">
        <w:tc>
          <w:tcPr>
            <w:tcW w:w="2694" w:type="dxa"/>
            <w:vMerge/>
            <w:shd w:val="clear" w:color="auto" w:fill="auto"/>
          </w:tcPr>
          <w:p w14:paraId="701D1F4D" w14:textId="77777777" w:rsidR="00837DA7" w:rsidRPr="006D56FB" w:rsidRDefault="00837DA7" w:rsidP="00353A9A">
            <w:pPr>
              <w:spacing w:after="0"/>
              <w:rPr>
                <w:rFonts w:ascii="Times New Roman" w:hAnsi="Times New Roman" w:cs="Times New Roman"/>
                <w:b/>
                <w:bCs/>
                <w:sz w:val="24"/>
                <w:szCs w:val="24"/>
              </w:rPr>
            </w:pPr>
          </w:p>
        </w:tc>
        <w:tc>
          <w:tcPr>
            <w:tcW w:w="4819" w:type="dxa"/>
            <w:shd w:val="clear" w:color="auto" w:fill="auto"/>
          </w:tcPr>
          <w:p w14:paraId="2846CF33" w14:textId="77777777" w:rsidR="00837DA7" w:rsidRPr="006D56FB" w:rsidRDefault="00837DA7" w:rsidP="00353A9A">
            <w:pPr>
              <w:spacing w:after="0"/>
              <w:rPr>
                <w:rFonts w:ascii="Times New Roman" w:hAnsi="Times New Roman" w:cs="Times New Roman"/>
                <w:bCs/>
                <w:sz w:val="24"/>
                <w:szCs w:val="24"/>
              </w:rPr>
            </w:pPr>
            <w:r>
              <w:rPr>
                <w:rFonts w:ascii="Times New Roman" w:hAnsi="Times New Roman" w:cs="Times New Roman"/>
                <w:bCs/>
                <w:sz w:val="24"/>
                <w:szCs w:val="24"/>
              </w:rPr>
              <w:t>4.20 Roles, responsibilities and terms of reference of audit committee are agreed by the board.</w:t>
            </w:r>
          </w:p>
        </w:tc>
        <w:tc>
          <w:tcPr>
            <w:tcW w:w="1484" w:type="dxa"/>
          </w:tcPr>
          <w:p w14:paraId="3F87A5AE"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(2008)</w:t>
            </w:r>
          </w:p>
        </w:tc>
        <w:tc>
          <w:tcPr>
            <w:tcW w:w="804" w:type="dxa"/>
            <w:shd w:val="clear" w:color="auto" w:fill="auto"/>
          </w:tcPr>
          <w:p w14:paraId="51EBC8FF"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5D8AAEBC" w14:textId="77777777" w:rsidR="00837DA7" w:rsidRPr="006D56FB" w:rsidRDefault="00837DA7" w:rsidP="00353A9A">
            <w:pPr>
              <w:spacing w:after="0"/>
              <w:jc w:val="center"/>
              <w:rPr>
                <w:rFonts w:ascii="Times New Roman" w:hAnsi="Times New Roman" w:cs="Times New Roman"/>
                <w:b/>
                <w:bCs/>
                <w:sz w:val="24"/>
                <w:szCs w:val="24"/>
              </w:rPr>
            </w:pPr>
          </w:p>
        </w:tc>
      </w:tr>
      <w:tr w:rsidR="00837DA7" w:rsidRPr="006D56FB" w14:paraId="7E49257B" w14:textId="77777777" w:rsidTr="00353A9A">
        <w:tc>
          <w:tcPr>
            <w:tcW w:w="2694" w:type="dxa"/>
            <w:vMerge w:val="restart"/>
            <w:shd w:val="clear" w:color="auto" w:fill="auto"/>
          </w:tcPr>
          <w:p w14:paraId="3735B0E1" w14:textId="77777777" w:rsidR="00837DA7" w:rsidRPr="006D56FB" w:rsidRDefault="00837DA7" w:rsidP="00353A9A">
            <w:pPr>
              <w:spacing w:after="0"/>
              <w:rPr>
                <w:rFonts w:ascii="Times New Roman" w:hAnsi="Times New Roman" w:cs="Times New Roman"/>
                <w:bCs/>
                <w:sz w:val="24"/>
                <w:szCs w:val="24"/>
              </w:rPr>
            </w:pPr>
            <w:r w:rsidRPr="006D56FB">
              <w:rPr>
                <w:rFonts w:ascii="Times New Roman" w:hAnsi="Times New Roman" w:cs="Times New Roman"/>
                <w:b/>
                <w:sz w:val="24"/>
                <w:szCs w:val="24"/>
              </w:rPr>
              <w:t xml:space="preserve">5. </w:t>
            </w:r>
            <w:r>
              <w:rPr>
                <w:rFonts w:ascii="Times New Roman" w:hAnsi="Times New Roman" w:cs="Times New Roman"/>
                <w:b/>
                <w:sz w:val="24"/>
                <w:szCs w:val="24"/>
              </w:rPr>
              <w:t>Social, environmental responsibility</w:t>
            </w:r>
            <w:r w:rsidRPr="006D56FB">
              <w:rPr>
                <w:rFonts w:ascii="Times New Roman" w:hAnsi="Times New Roman" w:cs="Times New Roman"/>
                <w:b/>
                <w:sz w:val="24"/>
                <w:szCs w:val="24"/>
              </w:rPr>
              <w:t xml:space="preserve"> and stakeholders’ engagement (</w:t>
            </w:r>
            <w:r w:rsidRPr="006D56FB">
              <w:rPr>
                <w:rFonts w:ascii="Times New Roman" w:hAnsi="Times New Roman" w:cs="Times New Roman"/>
                <w:b/>
                <w:i/>
                <w:iCs/>
                <w:sz w:val="24"/>
                <w:szCs w:val="24"/>
              </w:rPr>
              <w:t>SERSE</w:t>
            </w:r>
            <w:r>
              <w:rPr>
                <w:rFonts w:ascii="Times New Roman" w:hAnsi="Times New Roman" w:cs="Times New Roman"/>
                <w:bCs/>
                <w:sz w:val="24"/>
                <w:szCs w:val="24"/>
              </w:rPr>
              <w:t>)</w:t>
            </w:r>
          </w:p>
        </w:tc>
        <w:tc>
          <w:tcPr>
            <w:tcW w:w="4819" w:type="dxa"/>
            <w:shd w:val="clear" w:color="auto" w:fill="auto"/>
          </w:tcPr>
          <w:p w14:paraId="21CF6BA0" w14:textId="77777777" w:rsidR="00837DA7" w:rsidRPr="006D56FB" w:rsidRDefault="00837DA7" w:rsidP="00353A9A">
            <w:pPr>
              <w:spacing w:after="0"/>
              <w:rPr>
                <w:rFonts w:ascii="Times New Roman" w:hAnsi="Times New Roman" w:cs="Times New Roman"/>
                <w:bCs/>
                <w:sz w:val="24"/>
                <w:szCs w:val="24"/>
              </w:rPr>
            </w:pPr>
            <w:r>
              <w:rPr>
                <w:rFonts w:ascii="Times New Roman" w:hAnsi="Times New Roman" w:cs="Times New Roman"/>
                <w:bCs/>
                <w:sz w:val="24"/>
                <w:szCs w:val="24"/>
              </w:rPr>
              <w:t>5.1 Channels of communication with influential stakeholders.</w:t>
            </w:r>
          </w:p>
        </w:tc>
        <w:tc>
          <w:tcPr>
            <w:tcW w:w="1484" w:type="dxa"/>
          </w:tcPr>
          <w:p w14:paraId="2D60A255"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(2008)</w:t>
            </w:r>
          </w:p>
        </w:tc>
        <w:tc>
          <w:tcPr>
            <w:tcW w:w="804" w:type="dxa"/>
            <w:shd w:val="clear" w:color="auto" w:fill="auto"/>
          </w:tcPr>
          <w:p w14:paraId="6F405C1C"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val="restart"/>
            <w:shd w:val="clear" w:color="auto" w:fill="auto"/>
          </w:tcPr>
          <w:p w14:paraId="131A9815" w14:textId="77777777" w:rsidR="00837DA7" w:rsidRPr="006D56FB" w:rsidRDefault="00837DA7" w:rsidP="00353A9A">
            <w:pPr>
              <w:spacing w:after="0"/>
              <w:jc w:val="center"/>
              <w:rPr>
                <w:rFonts w:ascii="Times New Roman" w:hAnsi="Times New Roman" w:cs="Times New Roman"/>
                <w:bCs/>
                <w:sz w:val="24"/>
                <w:szCs w:val="24"/>
              </w:rPr>
            </w:pPr>
            <w:r w:rsidRPr="006D56FB">
              <w:rPr>
                <w:rFonts w:ascii="Times New Roman" w:hAnsi="Times New Roman" w:cs="Times New Roman"/>
                <w:bCs/>
                <w:sz w:val="24"/>
                <w:szCs w:val="24"/>
              </w:rPr>
              <w:t>7</w:t>
            </w:r>
          </w:p>
        </w:tc>
      </w:tr>
      <w:tr w:rsidR="00837DA7" w:rsidRPr="006D56FB" w14:paraId="19307CA3" w14:textId="77777777" w:rsidTr="00353A9A">
        <w:tc>
          <w:tcPr>
            <w:tcW w:w="2694" w:type="dxa"/>
            <w:vMerge/>
            <w:shd w:val="clear" w:color="auto" w:fill="auto"/>
          </w:tcPr>
          <w:p w14:paraId="572FE74D" w14:textId="77777777" w:rsidR="00837DA7" w:rsidRPr="006D56FB" w:rsidRDefault="00837DA7" w:rsidP="00353A9A">
            <w:pPr>
              <w:spacing w:after="0"/>
              <w:rPr>
                <w:rFonts w:ascii="Times New Roman" w:hAnsi="Times New Roman" w:cs="Times New Roman"/>
                <w:bCs/>
                <w:sz w:val="24"/>
                <w:szCs w:val="24"/>
              </w:rPr>
            </w:pPr>
          </w:p>
        </w:tc>
        <w:tc>
          <w:tcPr>
            <w:tcW w:w="4819" w:type="dxa"/>
            <w:shd w:val="clear" w:color="auto" w:fill="auto"/>
          </w:tcPr>
          <w:p w14:paraId="63C96C7B" w14:textId="77777777" w:rsidR="00837DA7" w:rsidRPr="006D56FB" w:rsidRDefault="00837DA7" w:rsidP="00353A9A">
            <w:pPr>
              <w:autoSpaceDE w:val="0"/>
              <w:autoSpaceDN w:val="0"/>
              <w:adjustRightInd w:val="0"/>
              <w:spacing w:after="0"/>
              <w:rPr>
                <w:rFonts w:ascii="Times New Roman" w:eastAsia="Times New Roman" w:hAnsi="Times New Roman" w:cs="Times New Roman"/>
                <w:sz w:val="24"/>
                <w:szCs w:val="24"/>
              </w:rPr>
            </w:pPr>
            <w:r>
              <w:rPr>
                <w:rFonts w:ascii="Times New Roman" w:hAnsi="Times New Roman" w:cs="Times New Roman"/>
                <w:sz w:val="24"/>
                <w:szCs w:val="24"/>
              </w:rPr>
              <w:t>5.2 Health</w:t>
            </w:r>
            <w:r w:rsidRPr="006D56FB">
              <w:rPr>
                <w:rFonts w:ascii="Times New Roman" w:hAnsi="Times New Roman" w:cs="Times New Roman"/>
                <w:sz w:val="24"/>
                <w:szCs w:val="24"/>
              </w:rPr>
              <w:t xml:space="preserve"> and safety </w:t>
            </w:r>
            <w:r>
              <w:rPr>
                <w:rFonts w:ascii="Times New Roman" w:hAnsi="Times New Roman" w:cs="Times New Roman"/>
                <w:sz w:val="24"/>
                <w:szCs w:val="24"/>
              </w:rPr>
              <w:t>of employees.</w:t>
            </w:r>
          </w:p>
        </w:tc>
        <w:tc>
          <w:tcPr>
            <w:tcW w:w="1484" w:type="dxa"/>
          </w:tcPr>
          <w:p w14:paraId="4153A006"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(2008)</w:t>
            </w:r>
          </w:p>
        </w:tc>
        <w:tc>
          <w:tcPr>
            <w:tcW w:w="804" w:type="dxa"/>
            <w:shd w:val="clear" w:color="auto" w:fill="auto"/>
          </w:tcPr>
          <w:p w14:paraId="402ECAE4"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5E2A55F5" w14:textId="77777777" w:rsidR="00837DA7" w:rsidRPr="006D56FB" w:rsidRDefault="00837DA7" w:rsidP="00353A9A">
            <w:pPr>
              <w:spacing w:after="0"/>
              <w:jc w:val="center"/>
              <w:rPr>
                <w:rFonts w:ascii="Times New Roman" w:hAnsi="Times New Roman" w:cs="Times New Roman"/>
                <w:b/>
                <w:bCs/>
                <w:sz w:val="24"/>
                <w:szCs w:val="24"/>
              </w:rPr>
            </w:pPr>
          </w:p>
        </w:tc>
      </w:tr>
      <w:tr w:rsidR="00837DA7" w:rsidRPr="006D56FB" w14:paraId="023E0CCA" w14:textId="77777777" w:rsidTr="00353A9A">
        <w:tc>
          <w:tcPr>
            <w:tcW w:w="2694" w:type="dxa"/>
            <w:vMerge/>
            <w:shd w:val="clear" w:color="auto" w:fill="auto"/>
          </w:tcPr>
          <w:p w14:paraId="742A2A84" w14:textId="77777777" w:rsidR="00837DA7" w:rsidRPr="006D56FB" w:rsidRDefault="00837DA7" w:rsidP="00353A9A">
            <w:pPr>
              <w:spacing w:after="0"/>
              <w:rPr>
                <w:rFonts w:ascii="Times New Roman" w:hAnsi="Times New Roman" w:cs="Times New Roman"/>
                <w:bCs/>
                <w:sz w:val="24"/>
                <w:szCs w:val="24"/>
              </w:rPr>
            </w:pPr>
          </w:p>
        </w:tc>
        <w:tc>
          <w:tcPr>
            <w:tcW w:w="4819" w:type="dxa"/>
            <w:shd w:val="clear" w:color="auto" w:fill="auto"/>
          </w:tcPr>
          <w:p w14:paraId="10ADF7BA" w14:textId="77777777" w:rsidR="00837DA7" w:rsidRPr="006D56FB" w:rsidRDefault="00837DA7" w:rsidP="00353A9A">
            <w:pPr>
              <w:autoSpaceDE w:val="0"/>
              <w:autoSpaceDN w:val="0"/>
              <w:adjustRightInd w:val="0"/>
              <w:spacing w:after="0"/>
              <w:rPr>
                <w:rFonts w:ascii="Times New Roman" w:eastAsia="Times New Roman" w:hAnsi="Times New Roman" w:cs="Times New Roman"/>
                <w:sz w:val="24"/>
                <w:szCs w:val="24"/>
              </w:rPr>
            </w:pPr>
            <w:r>
              <w:rPr>
                <w:rFonts w:ascii="Times New Roman" w:hAnsi="Times New Roman" w:cs="Times New Roman"/>
                <w:sz w:val="24"/>
                <w:szCs w:val="24"/>
              </w:rPr>
              <w:t xml:space="preserve">5.3 </w:t>
            </w:r>
            <w:r w:rsidRPr="006D56FB">
              <w:rPr>
                <w:rFonts w:ascii="Times New Roman" w:hAnsi="Times New Roman" w:cs="Times New Roman"/>
                <w:sz w:val="24"/>
                <w:szCs w:val="24"/>
              </w:rPr>
              <w:t xml:space="preserve">Environmental </w:t>
            </w:r>
            <w:r>
              <w:rPr>
                <w:rFonts w:ascii="Times New Roman" w:hAnsi="Times New Roman" w:cs="Times New Roman"/>
                <w:sz w:val="24"/>
                <w:szCs w:val="24"/>
              </w:rPr>
              <w:t>responsibilities, polices and performance.</w:t>
            </w:r>
          </w:p>
        </w:tc>
        <w:tc>
          <w:tcPr>
            <w:tcW w:w="1484" w:type="dxa"/>
          </w:tcPr>
          <w:p w14:paraId="7D055217"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(2013)</w:t>
            </w:r>
          </w:p>
        </w:tc>
        <w:tc>
          <w:tcPr>
            <w:tcW w:w="804" w:type="dxa"/>
            <w:shd w:val="clear" w:color="auto" w:fill="auto"/>
          </w:tcPr>
          <w:p w14:paraId="502B2D0C"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236C0665" w14:textId="77777777" w:rsidR="00837DA7" w:rsidRPr="006D56FB" w:rsidRDefault="00837DA7" w:rsidP="00353A9A">
            <w:pPr>
              <w:spacing w:after="0"/>
              <w:jc w:val="center"/>
              <w:rPr>
                <w:rFonts w:ascii="Times New Roman" w:hAnsi="Times New Roman" w:cs="Times New Roman"/>
                <w:b/>
                <w:bCs/>
                <w:sz w:val="24"/>
                <w:szCs w:val="24"/>
              </w:rPr>
            </w:pPr>
          </w:p>
        </w:tc>
      </w:tr>
      <w:tr w:rsidR="00837DA7" w:rsidRPr="006D56FB" w14:paraId="7471E074" w14:textId="77777777" w:rsidTr="00353A9A">
        <w:tc>
          <w:tcPr>
            <w:tcW w:w="2694" w:type="dxa"/>
            <w:vMerge/>
            <w:shd w:val="clear" w:color="auto" w:fill="auto"/>
          </w:tcPr>
          <w:p w14:paraId="217D486C" w14:textId="77777777" w:rsidR="00837DA7" w:rsidRPr="006D56FB" w:rsidRDefault="00837DA7" w:rsidP="00353A9A">
            <w:pPr>
              <w:spacing w:after="0"/>
              <w:rPr>
                <w:rFonts w:ascii="Times New Roman" w:hAnsi="Times New Roman" w:cs="Times New Roman"/>
                <w:bCs/>
                <w:sz w:val="24"/>
                <w:szCs w:val="24"/>
              </w:rPr>
            </w:pPr>
          </w:p>
        </w:tc>
        <w:tc>
          <w:tcPr>
            <w:tcW w:w="4819" w:type="dxa"/>
            <w:shd w:val="clear" w:color="auto" w:fill="auto"/>
          </w:tcPr>
          <w:p w14:paraId="5E502310" w14:textId="77777777" w:rsidR="00837DA7" w:rsidRPr="006D56FB" w:rsidRDefault="00837DA7" w:rsidP="00353A9A">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Social investments, responsibilities and support to the local community. </w:t>
            </w:r>
          </w:p>
        </w:tc>
        <w:tc>
          <w:tcPr>
            <w:tcW w:w="1484" w:type="dxa"/>
          </w:tcPr>
          <w:p w14:paraId="435E06C3"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CUC (2008)</w:t>
            </w:r>
          </w:p>
        </w:tc>
        <w:tc>
          <w:tcPr>
            <w:tcW w:w="804" w:type="dxa"/>
            <w:shd w:val="clear" w:color="auto" w:fill="auto"/>
          </w:tcPr>
          <w:p w14:paraId="09363A8A"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00706F7E" w14:textId="77777777" w:rsidR="00837DA7" w:rsidRPr="006D56FB" w:rsidRDefault="00837DA7" w:rsidP="00353A9A">
            <w:pPr>
              <w:spacing w:after="0"/>
              <w:jc w:val="center"/>
              <w:rPr>
                <w:rFonts w:ascii="Times New Roman" w:hAnsi="Times New Roman" w:cs="Times New Roman"/>
                <w:b/>
                <w:bCs/>
                <w:sz w:val="24"/>
                <w:szCs w:val="24"/>
              </w:rPr>
            </w:pPr>
          </w:p>
        </w:tc>
      </w:tr>
      <w:tr w:rsidR="00837DA7" w:rsidRPr="006D56FB" w14:paraId="3D3A3542" w14:textId="77777777" w:rsidTr="00353A9A">
        <w:tc>
          <w:tcPr>
            <w:tcW w:w="2694" w:type="dxa"/>
            <w:vMerge/>
            <w:shd w:val="clear" w:color="auto" w:fill="auto"/>
          </w:tcPr>
          <w:p w14:paraId="4FBCBE5F" w14:textId="77777777" w:rsidR="00837DA7" w:rsidRPr="006D56FB" w:rsidRDefault="00837DA7" w:rsidP="00353A9A">
            <w:pPr>
              <w:spacing w:after="0"/>
              <w:rPr>
                <w:rFonts w:ascii="Times New Roman" w:hAnsi="Times New Roman" w:cs="Times New Roman"/>
                <w:bCs/>
                <w:sz w:val="24"/>
                <w:szCs w:val="24"/>
              </w:rPr>
            </w:pPr>
          </w:p>
        </w:tc>
        <w:tc>
          <w:tcPr>
            <w:tcW w:w="4819" w:type="dxa"/>
            <w:shd w:val="clear" w:color="auto" w:fill="auto"/>
          </w:tcPr>
          <w:p w14:paraId="16E02E09"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5.5 Support to the n</w:t>
            </w:r>
            <w:r w:rsidRPr="006D56FB">
              <w:rPr>
                <w:rFonts w:ascii="Times New Roman" w:hAnsi="Times New Roman" w:cs="Times New Roman"/>
                <w:sz w:val="24"/>
                <w:szCs w:val="24"/>
              </w:rPr>
              <w:t>ational community</w:t>
            </w:r>
            <w:r>
              <w:rPr>
                <w:rFonts w:ascii="Times New Roman" w:hAnsi="Times New Roman" w:cs="Times New Roman"/>
                <w:sz w:val="24"/>
                <w:szCs w:val="24"/>
              </w:rPr>
              <w:t>.</w:t>
            </w:r>
          </w:p>
        </w:tc>
        <w:tc>
          <w:tcPr>
            <w:tcW w:w="1484" w:type="dxa"/>
          </w:tcPr>
          <w:p w14:paraId="3152DBD9"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CSC (2013)</w:t>
            </w:r>
          </w:p>
        </w:tc>
        <w:tc>
          <w:tcPr>
            <w:tcW w:w="804" w:type="dxa"/>
            <w:shd w:val="clear" w:color="auto" w:fill="auto"/>
          </w:tcPr>
          <w:p w14:paraId="52C8DFBC"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7F3C0935" w14:textId="77777777" w:rsidR="00837DA7" w:rsidRPr="006D56FB" w:rsidRDefault="00837DA7" w:rsidP="00353A9A">
            <w:pPr>
              <w:spacing w:after="0"/>
              <w:jc w:val="center"/>
              <w:rPr>
                <w:rFonts w:ascii="Times New Roman" w:hAnsi="Times New Roman" w:cs="Times New Roman"/>
                <w:b/>
                <w:bCs/>
                <w:sz w:val="24"/>
                <w:szCs w:val="24"/>
              </w:rPr>
            </w:pPr>
          </w:p>
        </w:tc>
      </w:tr>
      <w:tr w:rsidR="00837DA7" w:rsidRPr="006D56FB" w14:paraId="173D4A84" w14:textId="77777777" w:rsidTr="00353A9A">
        <w:tc>
          <w:tcPr>
            <w:tcW w:w="2694" w:type="dxa"/>
            <w:vMerge/>
            <w:shd w:val="clear" w:color="auto" w:fill="auto"/>
          </w:tcPr>
          <w:p w14:paraId="7D19FA51" w14:textId="77777777" w:rsidR="00837DA7" w:rsidRPr="006D56FB" w:rsidRDefault="00837DA7" w:rsidP="00353A9A">
            <w:pPr>
              <w:spacing w:after="0"/>
              <w:rPr>
                <w:rFonts w:ascii="Times New Roman" w:hAnsi="Times New Roman" w:cs="Times New Roman"/>
                <w:bCs/>
                <w:sz w:val="24"/>
                <w:szCs w:val="24"/>
              </w:rPr>
            </w:pPr>
          </w:p>
        </w:tc>
        <w:tc>
          <w:tcPr>
            <w:tcW w:w="4819" w:type="dxa"/>
            <w:shd w:val="clear" w:color="auto" w:fill="auto"/>
          </w:tcPr>
          <w:p w14:paraId="68A4F15B"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5.6 Support to the i</w:t>
            </w:r>
            <w:r w:rsidRPr="006D56FB">
              <w:rPr>
                <w:rFonts w:ascii="Times New Roman" w:hAnsi="Times New Roman" w:cs="Times New Roman"/>
                <w:sz w:val="24"/>
                <w:szCs w:val="24"/>
              </w:rPr>
              <w:t>nternational community</w:t>
            </w:r>
            <w:r>
              <w:rPr>
                <w:rFonts w:ascii="Times New Roman" w:hAnsi="Times New Roman" w:cs="Times New Roman"/>
                <w:sz w:val="24"/>
                <w:szCs w:val="24"/>
              </w:rPr>
              <w:t>.</w:t>
            </w:r>
          </w:p>
        </w:tc>
        <w:tc>
          <w:tcPr>
            <w:tcW w:w="1484" w:type="dxa"/>
          </w:tcPr>
          <w:p w14:paraId="1ACC1AAF"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CSC (2013)</w:t>
            </w:r>
          </w:p>
        </w:tc>
        <w:tc>
          <w:tcPr>
            <w:tcW w:w="804" w:type="dxa"/>
            <w:shd w:val="clear" w:color="auto" w:fill="auto"/>
          </w:tcPr>
          <w:p w14:paraId="23287142"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shd w:val="clear" w:color="auto" w:fill="auto"/>
          </w:tcPr>
          <w:p w14:paraId="618DC7F7" w14:textId="77777777" w:rsidR="00837DA7" w:rsidRPr="006D56FB" w:rsidRDefault="00837DA7" w:rsidP="00353A9A">
            <w:pPr>
              <w:spacing w:after="0"/>
              <w:jc w:val="center"/>
              <w:rPr>
                <w:rFonts w:ascii="Times New Roman" w:hAnsi="Times New Roman" w:cs="Times New Roman"/>
                <w:b/>
                <w:bCs/>
                <w:sz w:val="24"/>
                <w:szCs w:val="24"/>
              </w:rPr>
            </w:pPr>
          </w:p>
        </w:tc>
      </w:tr>
      <w:tr w:rsidR="00837DA7" w:rsidRPr="006D56FB" w14:paraId="479B0E5D" w14:textId="77777777" w:rsidTr="00353A9A">
        <w:tc>
          <w:tcPr>
            <w:tcW w:w="2694" w:type="dxa"/>
            <w:vMerge/>
            <w:tcBorders>
              <w:bottom w:val="single" w:sz="4" w:space="0" w:color="auto"/>
            </w:tcBorders>
            <w:shd w:val="clear" w:color="auto" w:fill="auto"/>
          </w:tcPr>
          <w:p w14:paraId="25606021" w14:textId="77777777" w:rsidR="00837DA7" w:rsidRPr="006D56FB" w:rsidRDefault="00837DA7" w:rsidP="00353A9A">
            <w:pPr>
              <w:spacing w:after="0"/>
              <w:rPr>
                <w:rFonts w:ascii="Times New Roman" w:hAnsi="Times New Roman" w:cs="Times New Roman"/>
                <w:bCs/>
                <w:sz w:val="24"/>
                <w:szCs w:val="24"/>
              </w:rPr>
            </w:pPr>
          </w:p>
        </w:tc>
        <w:tc>
          <w:tcPr>
            <w:tcW w:w="4819" w:type="dxa"/>
            <w:tcBorders>
              <w:bottom w:val="single" w:sz="4" w:space="0" w:color="auto"/>
            </w:tcBorders>
            <w:shd w:val="clear" w:color="auto" w:fill="auto"/>
          </w:tcPr>
          <w:p w14:paraId="7D5491F9" w14:textId="77777777" w:rsidR="00837DA7" w:rsidRPr="006D56FB" w:rsidRDefault="00837DA7" w:rsidP="00353A9A">
            <w:pPr>
              <w:spacing w:after="0"/>
              <w:rPr>
                <w:rFonts w:ascii="Times New Roman" w:hAnsi="Times New Roman" w:cs="Times New Roman"/>
                <w:sz w:val="24"/>
                <w:szCs w:val="24"/>
              </w:rPr>
            </w:pPr>
            <w:r>
              <w:rPr>
                <w:rFonts w:ascii="Times New Roman" w:hAnsi="Times New Roman" w:cs="Times New Roman"/>
                <w:sz w:val="24"/>
                <w:szCs w:val="24"/>
              </w:rPr>
              <w:t>5.7 A</w:t>
            </w:r>
            <w:r w:rsidRPr="006D56FB">
              <w:rPr>
                <w:rFonts w:ascii="Times New Roman" w:hAnsi="Times New Roman" w:cs="Times New Roman"/>
                <w:sz w:val="24"/>
                <w:szCs w:val="24"/>
              </w:rPr>
              <w:t xml:space="preserve">lumni </w:t>
            </w:r>
            <w:r>
              <w:rPr>
                <w:rFonts w:ascii="Times New Roman" w:hAnsi="Times New Roman" w:cs="Times New Roman"/>
                <w:sz w:val="24"/>
                <w:szCs w:val="24"/>
              </w:rPr>
              <w:t xml:space="preserve">involvement, activities and participation. </w:t>
            </w:r>
          </w:p>
        </w:tc>
        <w:tc>
          <w:tcPr>
            <w:tcW w:w="1484" w:type="dxa"/>
            <w:tcBorders>
              <w:bottom w:val="single" w:sz="4" w:space="0" w:color="auto"/>
            </w:tcBorders>
          </w:tcPr>
          <w:p w14:paraId="3071024E" w14:textId="77777777" w:rsidR="00837DA7" w:rsidRPr="006D56FB" w:rsidRDefault="00837DA7" w:rsidP="00353A9A">
            <w:pPr>
              <w:spacing w:after="0"/>
              <w:rPr>
                <w:rFonts w:ascii="Times New Roman" w:hAnsi="Times New Roman" w:cs="Times New Roman"/>
                <w:sz w:val="24"/>
                <w:szCs w:val="24"/>
              </w:rPr>
            </w:pPr>
            <w:r w:rsidRPr="006D56FB">
              <w:rPr>
                <w:rFonts w:ascii="Times New Roman" w:hAnsi="Times New Roman" w:cs="Times New Roman"/>
                <w:sz w:val="24"/>
                <w:szCs w:val="24"/>
              </w:rPr>
              <w:t>CSC (2013)</w:t>
            </w:r>
          </w:p>
        </w:tc>
        <w:tc>
          <w:tcPr>
            <w:tcW w:w="804" w:type="dxa"/>
            <w:tcBorders>
              <w:bottom w:val="single" w:sz="4" w:space="0" w:color="auto"/>
            </w:tcBorders>
            <w:shd w:val="clear" w:color="auto" w:fill="auto"/>
          </w:tcPr>
          <w:p w14:paraId="7A72461F" w14:textId="77777777" w:rsidR="00837DA7" w:rsidRPr="006D56FB" w:rsidRDefault="00837DA7" w:rsidP="00353A9A">
            <w:pPr>
              <w:spacing w:after="0"/>
              <w:jc w:val="center"/>
              <w:rPr>
                <w:rFonts w:ascii="Times New Roman" w:hAnsi="Times New Roman" w:cs="Times New Roman"/>
                <w:sz w:val="24"/>
                <w:szCs w:val="24"/>
              </w:rPr>
            </w:pPr>
            <w:r w:rsidRPr="006D56FB">
              <w:rPr>
                <w:rFonts w:ascii="Times New Roman" w:hAnsi="Times New Roman" w:cs="Times New Roman"/>
                <w:sz w:val="24"/>
                <w:szCs w:val="24"/>
              </w:rPr>
              <w:t>0-1</w:t>
            </w:r>
          </w:p>
        </w:tc>
        <w:tc>
          <w:tcPr>
            <w:tcW w:w="822" w:type="dxa"/>
            <w:vMerge/>
            <w:tcBorders>
              <w:bottom w:val="single" w:sz="4" w:space="0" w:color="auto"/>
            </w:tcBorders>
            <w:shd w:val="clear" w:color="auto" w:fill="auto"/>
          </w:tcPr>
          <w:p w14:paraId="0CF900A9" w14:textId="77777777" w:rsidR="00837DA7" w:rsidRPr="006D56FB" w:rsidRDefault="00837DA7" w:rsidP="00353A9A">
            <w:pPr>
              <w:spacing w:after="0"/>
              <w:jc w:val="center"/>
              <w:rPr>
                <w:rFonts w:ascii="Times New Roman" w:hAnsi="Times New Roman" w:cs="Times New Roman"/>
                <w:b/>
                <w:bCs/>
                <w:sz w:val="24"/>
                <w:szCs w:val="24"/>
              </w:rPr>
            </w:pPr>
          </w:p>
        </w:tc>
      </w:tr>
      <w:tr w:rsidR="00837DA7" w:rsidRPr="006D56FB" w14:paraId="3FDCC4A8" w14:textId="77777777" w:rsidTr="00353A9A">
        <w:tc>
          <w:tcPr>
            <w:tcW w:w="2694" w:type="dxa"/>
            <w:tcBorders>
              <w:top w:val="single" w:sz="4" w:space="0" w:color="auto"/>
              <w:bottom w:val="single" w:sz="8" w:space="0" w:color="auto"/>
            </w:tcBorders>
            <w:shd w:val="clear" w:color="auto" w:fill="auto"/>
          </w:tcPr>
          <w:p w14:paraId="2282DDC1" w14:textId="77777777" w:rsidR="00837DA7" w:rsidRPr="006D56FB" w:rsidRDefault="00837DA7" w:rsidP="00353A9A">
            <w:pPr>
              <w:rPr>
                <w:rFonts w:ascii="Times New Roman" w:hAnsi="Times New Roman" w:cs="Times New Roman"/>
                <w:b/>
                <w:bCs/>
                <w:sz w:val="24"/>
                <w:szCs w:val="24"/>
              </w:rPr>
            </w:pPr>
            <w:r w:rsidRPr="006D56FB">
              <w:rPr>
                <w:rFonts w:ascii="Times New Roman" w:hAnsi="Times New Roman" w:cs="Times New Roman"/>
                <w:b/>
                <w:bCs/>
                <w:sz w:val="24"/>
                <w:szCs w:val="24"/>
              </w:rPr>
              <w:t>Total</w:t>
            </w:r>
          </w:p>
        </w:tc>
        <w:tc>
          <w:tcPr>
            <w:tcW w:w="7107" w:type="dxa"/>
            <w:gridSpan w:val="3"/>
            <w:tcBorders>
              <w:top w:val="single" w:sz="4" w:space="0" w:color="auto"/>
              <w:bottom w:val="single" w:sz="8" w:space="0" w:color="auto"/>
            </w:tcBorders>
            <w:shd w:val="clear" w:color="auto" w:fill="auto"/>
          </w:tcPr>
          <w:p w14:paraId="1181F208" w14:textId="77777777" w:rsidR="00837DA7" w:rsidRPr="006D56FB" w:rsidRDefault="00837DA7" w:rsidP="00353A9A">
            <w:pPr>
              <w:jc w:val="center"/>
              <w:rPr>
                <w:rFonts w:ascii="Times New Roman" w:hAnsi="Times New Roman" w:cs="Times New Roman"/>
                <w:b/>
                <w:bCs/>
                <w:sz w:val="24"/>
                <w:szCs w:val="24"/>
              </w:rPr>
            </w:pPr>
            <w:r w:rsidRPr="006D56FB">
              <w:rPr>
                <w:rFonts w:ascii="Times New Roman" w:hAnsi="Times New Roman" w:cs="Times New Roman"/>
                <w:b/>
                <w:bCs/>
                <w:sz w:val="24"/>
                <w:szCs w:val="24"/>
              </w:rPr>
              <w:t>100 Governance Quality Items</w:t>
            </w:r>
          </w:p>
        </w:tc>
        <w:tc>
          <w:tcPr>
            <w:tcW w:w="822" w:type="dxa"/>
            <w:tcBorders>
              <w:top w:val="single" w:sz="4" w:space="0" w:color="auto"/>
              <w:bottom w:val="single" w:sz="8" w:space="0" w:color="auto"/>
            </w:tcBorders>
            <w:shd w:val="clear" w:color="auto" w:fill="auto"/>
          </w:tcPr>
          <w:p w14:paraId="412EEA3C" w14:textId="77777777" w:rsidR="00837DA7" w:rsidRPr="006D56FB" w:rsidRDefault="00837DA7" w:rsidP="00353A9A">
            <w:pPr>
              <w:jc w:val="center"/>
              <w:rPr>
                <w:rFonts w:ascii="Times New Roman" w:hAnsi="Times New Roman" w:cs="Times New Roman"/>
                <w:b/>
                <w:bCs/>
                <w:sz w:val="24"/>
                <w:szCs w:val="24"/>
              </w:rPr>
            </w:pPr>
            <w:r w:rsidRPr="006D56FB">
              <w:rPr>
                <w:rFonts w:ascii="Times New Roman" w:hAnsi="Times New Roman" w:cs="Times New Roman"/>
                <w:b/>
                <w:bCs/>
                <w:sz w:val="24"/>
                <w:szCs w:val="24"/>
              </w:rPr>
              <w:t>100</w:t>
            </w:r>
          </w:p>
        </w:tc>
      </w:tr>
    </w:tbl>
    <w:p w14:paraId="1371381A" w14:textId="77777777" w:rsidR="00837DA7" w:rsidRDefault="00837DA7" w:rsidP="00837DA7">
      <w:pPr>
        <w:sectPr w:rsidR="00837DA7">
          <w:pgSz w:w="11906" w:h="16838"/>
          <w:pgMar w:top="1440" w:right="1440" w:bottom="1440" w:left="1440" w:header="708" w:footer="708" w:gutter="0"/>
          <w:cols w:space="708"/>
          <w:docGrid w:linePitch="360"/>
        </w:sectPr>
      </w:pPr>
    </w:p>
    <w:p w14:paraId="7981F377" w14:textId="77777777" w:rsidR="00837DA7" w:rsidRPr="004C2644" w:rsidRDefault="00837DA7" w:rsidP="00837DA7">
      <w:pPr>
        <w:spacing w:after="0" w:line="240" w:lineRule="auto"/>
        <w:rPr>
          <w:b/>
          <w:bCs/>
        </w:rPr>
      </w:pPr>
      <w:r w:rsidRPr="004C2644">
        <w:rPr>
          <w:rFonts w:ascii="Times New Roman" w:hAnsi="Times New Roman" w:cs="Times New Roman"/>
          <w:b/>
          <w:sz w:val="24"/>
          <w:szCs w:val="24"/>
        </w:rPr>
        <w:lastRenderedPageBreak/>
        <w:t>References</w:t>
      </w:r>
    </w:p>
    <w:p w14:paraId="09661B03" w14:textId="77777777" w:rsidR="00837DA7" w:rsidRDefault="00837DA7" w:rsidP="00837DA7"/>
    <w:p w14:paraId="2D270274" w14:textId="77777777" w:rsidR="00837DA7" w:rsidRDefault="00837DA7" w:rsidP="00837DA7">
      <w:pPr>
        <w:spacing w:after="0" w:line="240" w:lineRule="auto"/>
        <w:ind w:left="170" w:hanging="170"/>
        <w:jc w:val="both"/>
        <w:rPr>
          <w:rFonts w:ascii="Times New Roman" w:hAnsi="Times New Roman" w:cs="Times New Roman"/>
          <w:sz w:val="24"/>
          <w:szCs w:val="24"/>
        </w:rPr>
      </w:pPr>
      <w:r w:rsidRPr="00FD0140">
        <w:rPr>
          <w:rFonts w:ascii="Times New Roman" w:hAnsi="Times New Roman" w:cs="Times New Roman"/>
          <w:sz w:val="24"/>
          <w:szCs w:val="24"/>
        </w:rPr>
        <w:t xml:space="preserve">Banks, W. &amp; Nelson, M. (1994). Financial disclosures by Ontario universities: 1983-1993. </w:t>
      </w:r>
      <w:r w:rsidRPr="00FD0140">
        <w:rPr>
          <w:rFonts w:ascii="Times New Roman" w:hAnsi="Times New Roman" w:cs="Times New Roman"/>
          <w:i/>
          <w:sz w:val="24"/>
          <w:szCs w:val="24"/>
        </w:rPr>
        <w:t>Journal of International Accounting, Auditing &amp; Taxation</w:t>
      </w:r>
      <w:r w:rsidRPr="00FD0140">
        <w:rPr>
          <w:rFonts w:ascii="Times New Roman" w:hAnsi="Times New Roman" w:cs="Times New Roman"/>
          <w:sz w:val="24"/>
          <w:szCs w:val="24"/>
        </w:rPr>
        <w:t xml:space="preserve">, </w:t>
      </w:r>
      <w:r w:rsidRPr="00FD0140">
        <w:rPr>
          <w:rFonts w:ascii="Times New Roman" w:hAnsi="Times New Roman" w:cs="Times New Roman"/>
          <w:i/>
          <w:sz w:val="24"/>
          <w:szCs w:val="24"/>
        </w:rPr>
        <w:t>3</w:t>
      </w:r>
      <w:r w:rsidRPr="00FD0140">
        <w:rPr>
          <w:rFonts w:ascii="Times New Roman" w:hAnsi="Times New Roman" w:cs="Times New Roman"/>
          <w:sz w:val="24"/>
          <w:szCs w:val="24"/>
        </w:rPr>
        <w:t>(2), 287-305.</w:t>
      </w:r>
    </w:p>
    <w:p w14:paraId="4C95F71A" w14:textId="77777777" w:rsidR="00837DA7" w:rsidRPr="00FD0140" w:rsidRDefault="00837DA7" w:rsidP="00837DA7">
      <w:pPr>
        <w:spacing w:after="0" w:line="240" w:lineRule="auto"/>
        <w:ind w:left="170" w:hanging="170"/>
        <w:jc w:val="both"/>
        <w:rPr>
          <w:rFonts w:ascii="Times New Roman" w:hAnsi="Times New Roman" w:cs="Times New Roman"/>
          <w:sz w:val="24"/>
          <w:szCs w:val="24"/>
        </w:rPr>
      </w:pPr>
      <w:r w:rsidRPr="006B1944">
        <w:rPr>
          <w:rFonts w:ascii="Times New Roman" w:hAnsi="Times New Roman" w:cs="Times New Roman"/>
          <w:sz w:val="24"/>
          <w:szCs w:val="24"/>
        </w:rPr>
        <w:t>Bleiklie, I., &amp; Kogan, M. (2007). Organization and governance of universities. </w:t>
      </w:r>
      <w:r w:rsidRPr="006B1944">
        <w:rPr>
          <w:rFonts w:ascii="Times New Roman" w:hAnsi="Times New Roman" w:cs="Times New Roman"/>
          <w:i/>
          <w:iCs/>
          <w:sz w:val="24"/>
          <w:szCs w:val="24"/>
        </w:rPr>
        <w:t>Higher Education Policy</w:t>
      </w:r>
      <w:r w:rsidRPr="006B1944">
        <w:rPr>
          <w:rFonts w:ascii="Times New Roman" w:hAnsi="Times New Roman" w:cs="Times New Roman"/>
          <w:sz w:val="24"/>
          <w:szCs w:val="24"/>
        </w:rPr>
        <w:t>, </w:t>
      </w:r>
      <w:r w:rsidRPr="006B1944">
        <w:rPr>
          <w:rFonts w:ascii="Times New Roman" w:hAnsi="Times New Roman" w:cs="Times New Roman"/>
          <w:i/>
          <w:iCs/>
          <w:sz w:val="24"/>
          <w:szCs w:val="24"/>
        </w:rPr>
        <w:t>20</w:t>
      </w:r>
      <w:r w:rsidRPr="006B1944">
        <w:rPr>
          <w:rFonts w:ascii="Times New Roman" w:hAnsi="Times New Roman" w:cs="Times New Roman"/>
          <w:sz w:val="24"/>
          <w:szCs w:val="24"/>
        </w:rPr>
        <w:t>(4), 477-493.</w:t>
      </w:r>
    </w:p>
    <w:p w14:paraId="30358DEB" w14:textId="77777777" w:rsidR="00837DA7" w:rsidRDefault="00837DA7" w:rsidP="00837DA7">
      <w:pPr>
        <w:spacing w:after="0" w:line="240" w:lineRule="auto"/>
        <w:ind w:left="170" w:hanging="170"/>
        <w:jc w:val="both"/>
        <w:rPr>
          <w:rFonts w:ascii="Times New Roman" w:hAnsi="Times New Roman" w:cs="Times New Roman"/>
          <w:sz w:val="24"/>
          <w:szCs w:val="24"/>
        </w:rPr>
      </w:pPr>
      <w:r w:rsidRPr="006362F7">
        <w:rPr>
          <w:rFonts w:ascii="Times New Roman" w:hAnsi="Times New Roman" w:cs="Times New Roman"/>
          <w:sz w:val="24"/>
          <w:szCs w:val="24"/>
        </w:rPr>
        <w:t>Boliver, V. (2015). Are there distinctive clusters of higher and lower status universities in the UK?. </w:t>
      </w:r>
      <w:r w:rsidRPr="006362F7">
        <w:rPr>
          <w:rFonts w:ascii="Times New Roman" w:hAnsi="Times New Roman" w:cs="Times New Roman"/>
          <w:i/>
          <w:iCs/>
          <w:sz w:val="24"/>
          <w:szCs w:val="24"/>
        </w:rPr>
        <w:t xml:space="preserve">Oxford </w:t>
      </w:r>
      <w:r>
        <w:rPr>
          <w:rFonts w:ascii="Times New Roman" w:hAnsi="Times New Roman" w:cs="Times New Roman"/>
          <w:i/>
          <w:iCs/>
          <w:sz w:val="24"/>
          <w:szCs w:val="24"/>
        </w:rPr>
        <w:t>R</w:t>
      </w:r>
      <w:r w:rsidRPr="006362F7">
        <w:rPr>
          <w:rFonts w:ascii="Times New Roman" w:hAnsi="Times New Roman" w:cs="Times New Roman"/>
          <w:i/>
          <w:iCs/>
          <w:sz w:val="24"/>
          <w:szCs w:val="24"/>
        </w:rPr>
        <w:t xml:space="preserve">eview of </w:t>
      </w:r>
      <w:r>
        <w:rPr>
          <w:rFonts w:ascii="Times New Roman" w:hAnsi="Times New Roman" w:cs="Times New Roman"/>
          <w:i/>
          <w:iCs/>
          <w:sz w:val="24"/>
          <w:szCs w:val="24"/>
        </w:rPr>
        <w:t>E</w:t>
      </w:r>
      <w:r w:rsidRPr="006362F7">
        <w:rPr>
          <w:rFonts w:ascii="Times New Roman" w:hAnsi="Times New Roman" w:cs="Times New Roman"/>
          <w:i/>
          <w:iCs/>
          <w:sz w:val="24"/>
          <w:szCs w:val="24"/>
        </w:rPr>
        <w:t>ducation</w:t>
      </w:r>
      <w:r w:rsidRPr="006362F7">
        <w:rPr>
          <w:rFonts w:ascii="Times New Roman" w:hAnsi="Times New Roman" w:cs="Times New Roman"/>
          <w:sz w:val="24"/>
          <w:szCs w:val="24"/>
        </w:rPr>
        <w:t>, </w:t>
      </w:r>
      <w:r w:rsidRPr="006362F7">
        <w:rPr>
          <w:rFonts w:ascii="Times New Roman" w:hAnsi="Times New Roman" w:cs="Times New Roman"/>
          <w:i/>
          <w:iCs/>
          <w:sz w:val="24"/>
          <w:szCs w:val="24"/>
        </w:rPr>
        <w:t>41</w:t>
      </w:r>
      <w:r w:rsidRPr="006362F7">
        <w:rPr>
          <w:rFonts w:ascii="Times New Roman" w:hAnsi="Times New Roman" w:cs="Times New Roman"/>
          <w:sz w:val="24"/>
          <w:szCs w:val="24"/>
        </w:rPr>
        <w:t>(5), 608-627.</w:t>
      </w:r>
    </w:p>
    <w:p w14:paraId="11923250" w14:textId="77777777" w:rsidR="00837DA7" w:rsidRDefault="00837DA7" w:rsidP="00837DA7">
      <w:pPr>
        <w:spacing w:after="0" w:line="240" w:lineRule="auto"/>
        <w:ind w:left="170" w:hanging="170"/>
        <w:jc w:val="both"/>
        <w:rPr>
          <w:rFonts w:ascii="Times New Roman" w:hAnsi="Times New Roman" w:cs="Times New Roman"/>
          <w:sz w:val="24"/>
          <w:szCs w:val="24"/>
        </w:rPr>
      </w:pPr>
      <w:r w:rsidRPr="00314CFB">
        <w:rPr>
          <w:rFonts w:ascii="Times New Roman" w:hAnsi="Times New Roman" w:cs="Times New Roman"/>
          <w:sz w:val="24"/>
          <w:szCs w:val="24"/>
        </w:rPr>
        <w:t>Chatterjee, S., &amp; Hadi, A.S. (2013). </w:t>
      </w:r>
      <w:r w:rsidRPr="00314CFB">
        <w:rPr>
          <w:rFonts w:ascii="Times New Roman" w:hAnsi="Times New Roman" w:cs="Times New Roman"/>
          <w:i/>
          <w:iCs/>
          <w:sz w:val="24"/>
          <w:szCs w:val="24"/>
        </w:rPr>
        <w:t>Regression analysis by example</w:t>
      </w:r>
      <w:r w:rsidRPr="00314CFB">
        <w:rPr>
          <w:rFonts w:ascii="Times New Roman" w:hAnsi="Times New Roman" w:cs="Times New Roman"/>
          <w:sz w:val="24"/>
          <w:szCs w:val="24"/>
        </w:rPr>
        <w:t>. John Wiley &amp; Sons</w:t>
      </w:r>
      <w:r>
        <w:rPr>
          <w:rFonts w:ascii="Times New Roman" w:hAnsi="Times New Roman" w:cs="Times New Roman"/>
          <w:sz w:val="24"/>
          <w:szCs w:val="24"/>
        </w:rPr>
        <w:t>, New York.</w:t>
      </w:r>
    </w:p>
    <w:p w14:paraId="30A0D48C" w14:textId="77777777" w:rsidR="00837DA7" w:rsidRPr="00B16E52" w:rsidRDefault="00837DA7" w:rsidP="00837DA7">
      <w:pPr>
        <w:spacing w:after="0" w:line="240" w:lineRule="auto"/>
        <w:ind w:left="170" w:hanging="170"/>
        <w:jc w:val="both"/>
        <w:rPr>
          <w:rFonts w:ascii="Times New Roman" w:hAnsi="Times New Roman" w:cs="Times New Roman"/>
          <w:sz w:val="24"/>
          <w:szCs w:val="24"/>
        </w:rPr>
      </w:pPr>
      <w:r w:rsidRPr="00B16E52">
        <w:rPr>
          <w:rFonts w:ascii="Times New Roman" w:hAnsi="Times New Roman" w:cs="Times New Roman"/>
          <w:sz w:val="24"/>
          <w:szCs w:val="24"/>
        </w:rPr>
        <w:t xml:space="preserve">Committee of University Chairs. (2015). </w:t>
      </w:r>
      <w:r w:rsidRPr="00B16E52">
        <w:rPr>
          <w:rFonts w:ascii="Times New Roman" w:hAnsi="Times New Roman" w:cs="Times New Roman"/>
          <w:i/>
          <w:iCs/>
          <w:sz w:val="24"/>
          <w:szCs w:val="24"/>
        </w:rPr>
        <w:t>Good HE Governance, Governing Body and Remuneration Committee Practice on Senior Staff Remuneration</w:t>
      </w:r>
      <w:r w:rsidRPr="00B16E52">
        <w:rPr>
          <w:rFonts w:ascii="Times New Roman" w:hAnsi="Times New Roman" w:cs="Times New Roman"/>
          <w:sz w:val="24"/>
          <w:szCs w:val="24"/>
        </w:rPr>
        <w:t>. London. CUC.</w:t>
      </w:r>
    </w:p>
    <w:p w14:paraId="2506BC27" w14:textId="77777777" w:rsidR="00837DA7" w:rsidRDefault="00837DA7" w:rsidP="00837DA7">
      <w:pPr>
        <w:spacing w:after="0" w:line="240" w:lineRule="auto"/>
        <w:ind w:left="170" w:hanging="170"/>
        <w:jc w:val="both"/>
        <w:rPr>
          <w:rFonts w:ascii="Times New Roman" w:hAnsi="Times New Roman" w:cs="Times New Roman"/>
          <w:sz w:val="24"/>
          <w:szCs w:val="24"/>
        </w:rPr>
      </w:pPr>
      <w:r w:rsidRPr="00F56701">
        <w:rPr>
          <w:rFonts w:ascii="Times New Roman" w:hAnsi="Times New Roman" w:cs="Times New Roman"/>
          <w:sz w:val="24"/>
          <w:szCs w:val="24"/>
        </w:rPr>
        <w:t>Committee of University Chairs</w:t>
      </w:r>
      <w:r>
        <w:rPr>
          <w:rFonts w:ascii="Times New Roman" w:hAnsi="Times New Roman" w:cs="Times New Roman"/>
          <w:sz w:val="24"/>
          <w:szCs w:val="24"/>
        </w:rPr>
        <w:t xml:space="preserve">. </w:t>
      </w:r>
      <w:r w:rsidRPr="00F56701">
        <w:rPr>
          <w:rFonts w:ascii="Times New Roman" w:hAnsi="Times New Roman" w:cs="Times New Roman"/>
          <w:sz w:val="24"/>
          <w:szCs w:val="24"/>
        </w:rPr>
        <w:t xml:space="preserve">(2014). </w:t>
      </w:r>
      <w:r w:rsidRPr="00F56701">
        <w:rPr>
          <w:rFonts w:ascii="Times New Roman" w:hAnsi="Times New Roman" w:cs="Times New Roman"/>
          <w:i/>
          <w:iCs/>
          <w:sz w:val="24"/>
          <w:szCs w:val="24"/>
        </w:rPr>
        <w:t>The higher education code of governance</w:t>
      </w:r>
      <w:r w:rsidRPr="00F56701">
        <w:rPr>
          <w:rFonts w:ascii="Times New Roman" w:hAnsi="Times New Roman" w:cs="Times New Roman"/>
          <w:sz w:val="24"/>
          <w:szCs w:val="24"/>
        </w:rPr>
        <w:t>. London</w:t>
      </w:r>
      <w:r>
        <w:rPr>
          <w:rFonts w:ascii="Times New Roman" w:hAnsi="Times New Roman" w:cs="Times New Roman"/>
          <w:sz w:val="24"/>
          <w:szCs w:val="24"/>
        </w:rPr>
        <w:t>.</w:t>
      </w:r>
      <w:r w:rsidRPr="00F56701">
        <w:rPr>
          <w:rFonts w:ascii="Times New Roman" w:hAnsi="Times New Roman" w:cs="Times New Roman"/>
          <w:sz w:val="24"/>
          <w:szCs w:val="24"/>
        </w:rPr>
        <w:t xml:space="preserve"> CUC</w:t>
      </w:r>
      <w:r>
        <w:rPr>
          <w:rFonts w:ascii="Times New Roman" w:hAnsi="Times New Roman" w:cs="Times New Roman"/>
          <w:sz w:val="24"/>
          <w:szCs w:val="24"/>
        </w:rPr>
        <w:t>.</w:t>
      </w:r>
    </w:p>
    <w:p w14:paraId="0E6CEDFA" w14:textId="77777777" w:rsidR="00837DA7" w:rsidRDefault="00837DA7" w:rsidP="00837DA7">
      <w:pPr>
        <w:spacing w:after="0" w:line="240" w:lineRule="auto"/>
        <w:ind w:left="170" w:hanging="170"/>
        <w:jc w:val="both"/>
        <w:rPr>
          <w:rFonts w:ascii="Times New Roman" w:hAnsi="Times New Roman" w:cs="Times New Roman"/>
          <w:sz w:val="24"/>
          <w:szCs w:val="24"/>
        </w:rPr>
      </w:pPr>
      <w:r>
        <w:rPr>
          <w:rFonts w:ascii="Times New Roman" w:hAnsi="Times New Roman" w:cs="Times New Roman"/>
          <w:sz w:val="24"/>
          <w:szCs w:val="24"/>
        </w:rPr>
        <w:t>Committee of University Chairs.</w:t>
      </w:r>
      <w:r w:rsidRPr="00F56701">
        <w:rPr>
          <w:rFonts w:ascii="Times New Roman" w:hAnsi="Times New Roman" w:cs="Times New Roman"/>
          <w:sz w:val="24"/>
          <w:szCs w:val="24"/>
        </w:rPr>
        <w:t xml:space="preserve"> (2009). </w:t>
      </w:r>
      <w:r w:rsidRPr="00F56701">
        <w:rPr>
          <w:rFonts w:ascii="Times New Roman" w:hAnsi="Times New Roman" w:cs="Times New Roman"/>
          <w:i/>
          <w:iCs/>
          <w:sz w:val="24"/>
          <w:szCs w:val="24"/>
        </w:rPr>
        <w:t>Guide for members of higher education governing bodies in the UK</w:t>
      </w:r>
      <w:r w:rsidRPr="00F56701">
        <w:rPr>
          <w:rFonts w:ascii="Times New Roman" w:hAnsi="Times New Roman" w:cs="Times New Roman"/>
          <w:sz w:val="24"/>
          <w:szCs w:val="24"/>
        </w:rPr>
        <w:t>. London</w:t>
      </w:r>
      <w:r>
        <w:rPr>
          <w:rFonts w:ascii="Times New Roman" w:hAnsi="Times New Roman" w:cs="Times New Roman"/>
          <w:sz w:val="24"/>
          <w:szCs w:val="24"/>
        </w:rPr>
        <w:t>.</w:t>
      </w:r>
      <w:r w:rsidRPr="00F56701">
        <w:rPr>
          <w:rFonts w:ascii="Times New Roman" w:hAnsi="Times New Roman" w:cs="Times New Roman"/>
          <w:sz w:val="24"/>
          <w:szCs w:val="24"/>
        </w:rPr>
        <w:t xml:space="preserve"> CUC.</w:t>
      </w:r>
    </w:p>
    <w:p w14:paraId="03F24014" w14:textId="77777777" w:rsidR="00837DA7" w:rsidRDefault="00837DA7" w:rsidP="00837DA7">
      <w:pPr>
        <w:spacing w:after="0" w:line="240" w:lineRule="auto"/>
        <w:ind w:left="170" w:hanging="170"/>
        <w:jc w:val="both"/>
        <w:rPr>
          <w:rFonts w:ascii="Times New Roman" w:hAnsi="Times New Roman" w:cs="Times New Roman"/>
          <w:sz w:val="24"/>
          <w:szCs w:val="24"/>
        </w:rPr>
      </w:pPr>
      <w:r>
        <w:rPr>
          <w:rFonts w:ascii="Times New Roman" w:hAnsi="Times New Roman" w:cs="Times New Roman"/>
          <w:sz w:val="24"/>
          <w:szCs w:val="24"/>
        </w:rPr>
        <w:t xml:space="preserve">Committee of University Chairs. </w:t>
      </w:r>
      <w:r w:rsidRPr="00F56701">
        <w:rPr>
          <w:rFonts w:ascii="Times New Roman" w:hAnsi="Times New Roman" w:cs="Times New Roman"/>
          <w:sz w:val="24"/>
          <w:szCs w:val="24"/>
        </w:rPr>
        <w:t xml:space="preserve">(2008). </w:t>
      </w:r>
      <w:r w:rsidRPr="00F56701">
        <w:rPr>
          <w:rFonts w:ascii="Times New Roman" w:hAnsi="Times New Roman" w:cs="Times New Roman"/>
          <w:i/>
          <w:iCs/>
          <w:sz w:val="24"/>
          <w:szCs w:val="24"/>
        </w:rPr>
        <w:t>Handbook for embers of audit committees in higher education institutions</w:t>
      </w:r>
      <w:r w:rsidRPr="00F56701">
        <w:rPr>
          <w:rFonts w:ascii="Times New Roman" w:hAnsi="Times New Roman" w:cs="Times New Roman"/>
          <w:sz w:val="24"/>
          <w:szCs w:val="24"/>
        </w:rPr>
        <w:t>. London</w:t>
      </w:r>
      <w:r>
        <w:rPr>
          <w:rFonts w:ascii="Times New Roman" w:hAnsi="Times New Roman" w:cs="Times New Roman"/>
          <w:sz w:val="24"/>
          <w:szCs w:val="24"/>
        </w:rPr>
        <w:t>.</w:t>
      </w:r>
      <w:r w:rsidRPr="00F56701">
        <w:rPr>
          <w:rFonts w:ascii="Times New Roman" w:hAnsi="Times New Roman" w:cs="Times New Roman"/>
          <w:sz w:val="24"/>
          <w:szCs w:val="24"/>
        </w:rPr>
        <w:t xml:space="preserve"> CUC</w:t>
      </w:r>
      <w:r>
        <w:rPr>
          <w:rFonts w:ascii="Times New Roman" w:hAnsi="Times New Roman" w:cs="Times New Roman"/>
          <w:sz w:val="24"/>
          <w:szCs w:val="24"/>
        </w:rPr>
        <w:t>.</w:t>
      </w:r>
    </w:p>
    <w:p w14:paraId="7F90F1D7" w14:textId="77777777" w:rsidR="00837DA7" w:rsidRDefault="00837DA7" w:rsidP="00837DA7">
      <w:pPr>
        <w:spacing w:after="0" w:line="240" w:lineRule="auto"/>
        <w:ind w:left="170" w:hanging="170"/>
        <w:jc w:val="both"/>
        <w:rPr>
          <w:rFonts w:ascii="Times New Roman" w:hAnsi="Times New Roman" w:cs="Times New Roman"/>
          <w:sz w:val="24"/>
          <w:szCs w:val="24"/>
        </w:rPr>
      </w:pPr>
      <w:r w:rsidRPr="00F56701">
        <w:rPr>
          <w:rFonts w:ascii="Times New Roman" w:hAnsi="Times New Roman" w:cs="Times New Roman"/>
          <w:sz w:val="24"/>
          <w:szCs w:val="24"/>
        </w:rPr>
        <w:t xml:space="preserve">Committee of Scottish Chairs. (2013). </w:t>
      </w:r>
      <w:r w:rsidRPr="00F56701">
        <w:rPr>
          <w:rFonts w:ascii="Times New Roman" w:hAnsi="Times New Roman" w:cs="Times New Roman"/>
          <w:i/>
          <w:iCs/>
          <w:sz w:val="24"/>
          <w:szCs w:val="24"/>
        </w:rPr>
        <w:t>The Scottish higher education code of governance</w:t>
      </w:r>
      <w:r w:rsidRPr="00F56701">
        <w:rPr>
          <w:rFonts w:ascii="Times New Roman" w:hAnsi="Times New Roman" w:cs="Times New Roman"/>
          <w:sz w:val="24"/>
          <w:szCs w:val="24"/>
        </w:rPr>
        <w:t>. Edinburgh. CSC.</w:t>
      </w:r>
    </w:p>
    <w:p w14:paraId="769AB63F" w14:textId="77777777" w:rsidR="00837DA7" w:rsidRDefault="00837DA7" w:rsidP="00837DA7">
      <w:pPr>
        <w:spacing w:after="0" w:line="240" w:lineRule="auto"/>
        <w:ind w:left="170" w:hanging="170"/>
        <w:jc w:val="both"/>
        <w:rPr>
          <w:rFonts w:ascii="Times New Roman" w:hAnsi="Times New Roman" w:cs="Times New Roman"/>
          <w:sz w:val="24"/>
          <w:szCs w:val="24"/>
        </w:rPr>
      </w:pPr>
      <w:r w:rsidRPr="009A1CAF">
        <w:rPr>
          <w:rFonts w:ascii="Times New Roman" w:hAnsi="Times New Roman" w:cs="Times New Roman"/>
          <w:sz w:val="24"/>
          <w:szCs w:val="24"/>
        </w:rPr>
        <w:t>Dao, K.V. (2015). Key challenges in the reform of governance, quality assurance, and finance in Vietnamese higher education–a case study. </w:t>
      </w:r>
      <w:r w:rsidRPr="009A1CAF">
        <w:rPr>
          <w:rFonts w:ascii="Times New Roman" w:hAnsi="Times New Roman" w:cs="Times New Roman"/>
          <w:i/>
          <w:iCs/>
          <w:sz w:val="24"/>
          <w:szCs w:val="24"/>
        </w:rPr>
        <w:t xml:space="preserve">Studies in </w:t>
      </w:r>
      <w:r>
        <w:rPr>
          <w:rFonts w:ascii="Times New Roman" w:hAnsi="Times New Roman" w:cs="Times New Roman"/>
          <w:i/>
          <w:iCs/>
          <w:sz w:val="24"/>
          <w:szCs w:val="24"/>
        </w:rPr>
        <w:t>H</w:t>
      </w:r>
      <w:r w:rsidRPr="009A1CAF">
        <w:rPr>
          <w:rFonts w:ascii="Times New Roman" w:hAnsi="Times New Roman" w:cs="Times New Roman"/>
          <w:i/>
          <w:iCs/>
          <w:sz w:val="24"/>
          <w:szCs w:val="24"/>
        </w:rPr>
        <w:t xml:space="preserve">igher </w:t>
      </w:r>
      <w:r>
        <w:rPr>
          <w:rFonts w:ascii="Times New Roman" w:hAnsi="Times New Roman" w:cs="Times New Roman"/>
          <w:i/>
          <w:iCs/>
          <w:sz w:val="24"/>
          <w:szCs w:val="24"/>
        </w:rPr>
        <w:t>E</w:t>
      </w:r>
      <w:r w:rsidRPr="009A1CAF">
        <w:rPr>
          <w:rFonts w:ascii="Times New Roman" w:hAnsi="Times New Roman" w:cs="Times New Roman"/>
          <w:i/>
          <w:iCs/>
          <w:sz w:val="24"/>
          <w:szCs w:val="24"/>
        </w:rPr>
        <w:t>ducation</w:t>
      </w:r>
      <w:r w:rsidRPr="009A1CAF">
        <w:rPr>
          <w:rFonts w:ascii="Times New Roman" w:hAnsi="Times New Roman" w:cs="Times New Roman"/>
          <w:sz w:val="24"/>
          <w:szCs w:val="24"/>
        </w:rPr>
        <w:t>, </w:t>
      </w:r>
      <w:r w:rsidRPr="009A1CAF">
        <w:rPr>
          <w:rFonts w:ascii="Times New Roman" w:hAnsi="Times New Roman" w:cs="Times New Roman"/>
          <w:i/>
          <w:iCs/>
          <w:sz w:val="24"/>
          <w:szCs w:val="24"/>
        </w:rPr>
        <w:t>40</w:t>
      </w:r>
      <w:r w:rsidRPr="009A1CAF">
        <w:rPr>
          <w:rFonts w:ascii="Times New Roman" w:hAnsi="Times New Roman" w:cs="Times New Roman"/>
          <w:sz w:val="24"/>
          <w:szCs w:val="24"/>
        </w:rPr>
        <w:t>(5), 745-760.</w:t>
      </w:r>
    </w:p>
    <w:p w14:paraId="284E7384" w14:textId="77777777" w:rsidR="00837DA7" w:rsidRPr="00356ADA" w:rsidRDefault="00837DA7" w:rsidP="00837DA7">
      <w:pPr>
        <w:spacing w:after="0" w:line="240" w:lineRule="auto"/>
        <w:ind w:left="170" w:hanging="170"/>
        <w:jc w:val="both"/>
        <w:rPr>
          <w:rFonts w:ascii="Times New Roman" w:hAnsi="Times New Roman" w:cs="Times New Roman"/>
          <w:sz w:val="24"/>
          <w:szCs w:val="24"/>
        </w:rPr>
      </w:pPr>
      <w:r w:rsidRPr="00E67753">
        <w:rPr>
          <w:rFonts w:ascii="Times New Roman" w:hAnsi="Times New Roman" w:cs="Times New Roman"/>
          <w:sz w:val="24"/>
          <w:szCs w:val="24"/>
        </w:rPr>
        <w:t>Feng, N. C., Neely, D. G., &amp; Slatten, L. A. D. (2019). Stakeholder groups and accountability accreditation of non-profit organizations. </w:t>
      </w:r>
      <w:r w:rsidRPr="00E67753">
        <w:rPr>
          <w:rFonts w:ascii="Times New Roman" w:hAnsi="Times New Roman" w:cs="Times New Roman"/>
          <w:i/>
          <w:iCs/>
          <w:sz w:val="24"/>
          <w:szCs w:val="24"/>
        </w:rPr>
        <w:t>Journal of Public Budgeting, Accounting &amp; Financial Managemen</w:t>
      </w:r>
      <w:r w:rsidRPr="00E67753">
        <w:rPr>
          <w:rFonts w:ascii="Times New Roman" w:hAnsi="Times New Roman" w:cs="Times New Roman"/>
          <w:sz w:val="24"/>
          <w:szCs w:val="24"/>
        </w:rPr>
        <w:t>t, 31</w:t>
      </w:r>
      <w:r>
        <w:rPr>
          <w:rFonts w:ascii="Times New Roman" w:hAnsi="Times New Roman" w:cs="Times New Roman"/>
          <w:sz w:val="24"/>
          <w:szCs w:val="24"/>
        </w:rPr>
        <w:t>(2), 218-236.</w:t>
      </w:r>
    </w:p>
    <w:p w14:paraId="64B266B1" w14:textId="77777777" w:rsidR="00837DA7" w:rsidRDefault="00837DA7" w:rsidP="00837DA7">
      <w:pPr>
        <w:spacing w:after="0" w:line="240" w:lineRule="auto"/>
        <w:ind w:left="170" w:hanging="170"/>
        <w:jc w:val="both"/>
        <w:rPr>
          <w:rFonts w:ascii="Times New Roman" w:hAnsi="Times New Roman" w:cs="Times New Roman"/>
          <w:sz w:val="24"/>
          <w:szCs w:val="24"/>
        </w:rPr>
      </w:pPr>
      <w:r w:rsidRPr="00356ADA">
        <w:rPr>
          <w:rFonts w:ascii="Times New Roman" w:hAnsi="Times New Roman" w:cs="Times New Roman"/>
          <w:sz w:val="24"/>
          <w:szCs w:val="24"/>
        </w:rPr>
        <w:t xml:space="preserve">Fischer, M., Gordon, T.P., &amp; Kraut, M.A. (2010). Meeting user information needs: The impact of major changes in FASB and GASB standards on financial reporting by colleges and universities. </w:t>
      </w:r>
      <w:r w:rsidRPr="00356ADA">
        <w:rPr>
          <w:rFonts w:ascii="Times New Roman" w:hAnsi="Times New Roman" w:cs="Times New Roman"/>
          <w:i/>
          <w:sz w:val="24"/>
          <w:szCs w:val="24"/>
        </w:rPr>
        <w:t>Journal of Accounting &amp; Public Policy</w:t>
      </w:r>
      <w:r w:rsidRPr="00356ADA">
        <w:rPr>
          <w:rFonts w:ascii="Times New Roman" w:hAnsi="Times New Roman" w:cs="Times New Roman"/>
          <w:sz w:val="24"/>
          <w:szCs w:val="24"/>
        </w:rPr>
        <w:t xml:space="preserve">, </w:t>
      </w:r>
      <w:r w:rsidRPr="00356ADA">
        <w:rPr>
          <w:rFonts w:ascii="Times New Roman" w:hAnsi="Times New Roman" w:cs="Times New Roman"/>
          <w:i/>
          <w:sz w:val="24"/>
          <w:szCs w:val="24"/>
        </w:rPr>
        <w:t>29</w:t>
      </w:r>
      <w:r w:rsidRPr="00356ADA">
        <w:rPr>
          <w:rFonts w:ascii="Times New Roman" w:hAnsi="Times New Roman" w:cs="Times New Roman"/>
          <w:sz w:val="24"/>
          <w:szCs w:val="24"/>
        </w:rPr>
        <w:t>, 374-399.</w:t>
      </w:r>
    </w:p>
    <w:p w14:paraId="2B1A890A" w14:textId="77777777" w:rsidR="00837DA7" w:rsidRPr="004F32C3" w:rsidRDefault="00837DA7" w:rsidP="00837DA7">
      <w:pPr>
        <w:spacing w:after="0" w:line="240" w:lineRule="auto"/>
        <w:ind w:left="170" w:hanging="170"/>
        <w:jc w:val="both"/>
        <w:rPr>
          <w:rFonts w:ascii="Times New Roman" w:hAnsi="Times New Roman" w:cs="Times New Roman"/>
          <w:sz w:val="24"/>
          <w:szCs w:val="24"/>
          <w:lang w:val="en"/>
        </w:rPr>
      </w:pPr>
      <w:r w:rsidRPr="004F32C3">
        <w:rPr>
          <w:rFonts w:ascii="Times New Roman" w:hAnsi="Times New Roman" w:cs="Times New Roman"/>
          <w:sz w:val="24"/>
          <w:szCs w:val="24"/>
        </w:rPr>
        <w:t>Harris, E.E., &amp; Neely, D. (2021). Determinants and consequences of nonprofit transparency. </w:t>
      </w:r>
      <w:r w:rsidRPr="004F32C3">
        <w:rPr>
          <w:rFonts w:ascii="Times New Roman" w:hAnsi="Times New Roman" w:cs="Times New Roman"/>
          <w:i/>
          <w:iCs/>
          <w:sz w:val="24"/>
          <w:szCs w:val="24"/>
        </w:rPr>
        <w:t>Journal of Accounting, Auditing &amp; Finance</w:t>
      </w:r>
      <w:r w:rsidRPr="004F32C3">
        <w:rPr>
          <w:rFonts w:ascii="Times New Roman" w:hAnsi="Times New Roman" w:cs="Times New Roman"/>
          <w:sz w:val="24"/>
          <w:szCs w:val="24"/>
        </w:rPr>
        <w:t>, </w:t>
      </w:r>
      <w:r w:rsidRPr="004F32C3">
        <w:rPr>
          <w:rFonts w:ascii="Times New Roman" w:hAnsi="Times New Roman" w:cs="Times New Roman"/>
          <w:i/>
          <w:iCs/>
          <w:sz w:val="24"/>
          <w:szCs w:val="24"/>
        </w:rPr>
        <w:t>36</w:t>
      </w:r>
      <w:r w:rsidRPr="004F32C3">
        <w:rPr>
          <w:rFonts w:ascii="Times New Roman" w:hAnsi="Times New Roman" w:cs="Times New Roman"/>
          <w:sz w:val="24"/>
          <w:szCs w:val="24"/>
        </w:rPr>
        <w:t>(1), 195-220.</w:t>
      </w:r>
    </w:p>
    <w:p w14:paraId="34081E53" w14:textId="77777777" w:rsidR="00837DA7" w:rsidRDefault="00837DA7" w:rsidP="00837DA7">
      <w:pPr>
        <w:spacing w:after="0" w:line="240" w:lineRule="auto"/>
        <w:ind w:left="170" w:hanging="170"/>
        <w:jc w:val="both"/>
        <w:rPr>
          <w:rFonts w:ascii="Times New Roman" w:hAnsi="Times New Roman" w:cs="Times New Roman"/>
          <w:sz w:val="24"/>
          <w:szCs w:val="24"/>
        </w:rPr>
      </w:pPr>
      <w:r w:rsidRPr="00B7219E">
        <w:rPr>
          <w:rFonts w:ascii="Times New Roman" w:hAnsi="Times New Roman" w:cs="Times New Roman"/>
          <w:sz w:val="24"/>
          <w:szCs w:val="24"/>
        </w:rPr>
        <w:t>Harris, E., Petrovits, C.M., &amp; Yetman, M. H. (2015). The effect of nonprofit governance on donations: Evidence from the revised form 990. </w:t>
      </w:r>
      <w:r w:rsidRPr="00B7219E">
        <w:rPr>
          <w:rFonts w:ascii="Times New Roman" w:hAnsi="Times New Roman" w:cs="Times New Roman"/>
          <w:i/>
          <w:iCs/>
          <w:sz w:val="24"/>
          <w:szCs w:val="24"/>
        </w:rPr>
        <w:t>Accounting Review</w:t>
      </w:r>
      <w:r w:rsidRPr="00B7219E">
        <w:rPr>
          <w:rFonts w:ascii="Times New Roman" w:hAnsi="Times New Roman" w:cs="Times New Roman"/>
          <w:sz w:val="24"/>
          <w:szCs w:val="24"/>
        </w:rPr>
        <w:t>, </w:t>
      </w:r>
      <w:r w:rsidRPr="00B7219E">
        <w:rPr>
          <w:rFonts w:ascii="Times New Roman" w:hAnsi="Times New Roman" w:cs="Times New Roman"/>
          <w:i/>
          <w:iCs/>
          <w:sz w:val="24"/>
          <w:szCs w:val="24"/>
        </w:rPr>
        <w:t>90</w:t>
      </w:r>
      <w:r w:rsidRPr="00B7219E">
        <w:rPr>
          <w:rFonts w:ascii="Times New Roman" w:hAnsi="Times New Roman" w:cs="Times New Roman"/>
          <w:sz w:val="24"/>
          <w:szCs w:val="24"/>
        </w:rPr>
        <w:t>(2), 579-610.</w:t>
      </w:r>
    </w:p>
    <w:p w14:paraId="368019E3" w14:textId="77777777" w:rsidR="00837DA7" w:rsidRDefault="00837DA7" w:rsidP="00837DA7">
      <w:pPr>
        <w:spacing w:after="0" w:line="240" w:lineRule="auto"/>
        <w:ind w:left="170" w:hanging="170"/>
        <w:jc w:val="both"/>
        <w:rPr>
          <w:rFonts w:ascii="Times New Roman" w:hAnsi="Times New Roman" w:cs="Times New Roman"/>
          <w:sz w:val="24"/>
          <w:szCs w:val="24"/>
        </w:rPr>
      </w:pPr>
      <w:r w:rsidRPr="0021047D">
        <w:rPr>
          <w:rFonts w:ascii="Times New Roman" w:hAnsi="Times New Roman" w:cs="Times New Roman"/>
          <w:sz w:val="24"/>
          <w:szCs w:val="24"/>
        </w:rPr>
        <w:t xml:space="preserve">HEFCE (2005). </w:t>
      </w:r>
      <w:r w:rsidRPr="0021047D">
        <w:rPr>
          <w:rFonts w:ascii="Times New Roman" w:hAnsi="Times New Roman" w:cs="Times New Roman"/>
          <w:i/>
          <w:iCs/>
          <w:sz w:val="24"/>
          <w:szCs w:val="24"/>
        </w:rPr>
        <w:t>Risk management in higher education: a guide to good practice</w:t>
      </w:r>
      <w:r w:rsidRPr="0021047D">
        <w:rPr>
          <w:rFonts w:ascii="Times New Roman" w:hAnsi="Times New Roman" w:cs="Times New Roman"/>
          <w:sz w:val="24"/>
          <w:szCs w:val="24"/>
        </w:rPr>
        <w:t>. London</w:t>
      </w:r>
      <w:r>
        <w:rPr>
          <w:rFonts w:ascii="Times New Roman" w:hAnsi="Times New Roman" w:cs="Times New Roman"/>
          <w:sz w:val="24"/>
          <w:szCs w:val="24"/>
        </w:rPr>
        <w:t>.</w:t>
      </w:r>
      <w:r w:rsidRPr="0021047D">
        <w:rPr>
          <w:rFonts w:ascii="Times New Roman" w:hAnsi="Times New Roman" w:cs="Times New Roman"/>
          <w:sz w:val="24"/>
          <w:szCs w:val="24"/>
        </w:rPr>
        <w:t xml:space="preserve"> HEFCE</w:t>
      </w:r>
    </w:p>
    <w:p w14:paraId="6B6DFB18" w14:textId="77777777" w:rsidR="00837DA7" w:rsidRDefault="00837DA7" w:rsidP="00837DA7">
      <w:pPr>
        <w:spacing w:after="0" w:line="240" w:lineRule="auto"/>
        <w:ind w:left="170" w:hanging="170"/>
        <w:jc w:val="both"/>
        <w:rPr>
          <w:rFonts w:ascii="Times New Roman" w:hAnsi="Times New Roman" w:cs="Times New Roman"/>
          <w:sz w:val="24"/>
          <w:szCs w:val="24"/>
        </w:rPr>
      </w:pPr>
      <w:r w:rsidRPr="0021047D">
        <w:rPr>
          <w:rFonts w:ascii="Times New Roman" w:hAnsi="Times New Roman" w:cs="Times New Roman"/>
          <w:sz w:val="24"/>
          <w:szCs w:val="24"/>
        </w:rPr>
        <w:t>HEFCE</w:t>
      </w:r>
      <w:r>
        <w:rPr>
          <w:rFonts w:ascii="Times New Roman" w:hAnsi="Times New Roman" w:cs="Times New Roman"/>
          <w:sz w:val="24"/>
          <w:szCs w:val="24"/>
        </w:rPr>
        <w:t xml:space="preserve">. </w:t>
      </w:r>
      <w:r w:rsidRPr="0021047D">
        <w:rPr>
          <w:rFonts w:ascii="Times New Roman" w:hAnsi="Times New Roman" w:cs="Times New Roman"/>
          <w:sz w:val="24"/>
          <w:szCs w:val="24"/>
        </w:rPr>
        <w:t xml:space="preserve">(2001a). </w:t>
      </w:r>
      <w:r w:rsidRPr="0021047D">
        <w:rPr>
          <w:rFonts w:ascii="Times New Roman" w:hAnsi="Times New Roman" w:cs="Times New Roman"/>
          <w:i/>
          <w:iCs/>
          <w:sz w:val="24"/>
          <w:szCs w:val="24"/>
        </w:rPr>
        <w:t>Risk management: A briefing for governors and senior managers</w:t>
      </w:r>
      <w:r w:rsidRPr="0021047D">
        <w:rPr>
          <w:rFonts w:ascii="Times New Roman" w:hAnsi="Times New Roman" w:cs="Times New Roman"/>
          <w:sz w:val="24"/>
          <w:szCs w:val="24"/>
        </w:rPr>
        <w:t>. London</w:t>
      </w:r>
      <w:r>
        <w:rPr>
          <w:rFonts w:ascii="Times New Roman" w:hAnsi="Times New Roman" w:cs="Times New Roman"/>
          <w:sz w:val="24"/>
          <w:szCs w:val="24"/>
        </w:rPr>
        <w:t>.</w:t>
      </w:r>
      <w:r w:rsidRPr="0021047D">
        <w:rPr>
          <w:rFonts w:ascii="Times New Roman" w:hAnsi="Times New Roman" w:cs="Times New Roman"/>
          <w:sz w:val="24"/>
          <w:szCs w:val="24"/>
        </w:rPr>
        <w:t xml:space="preserve"> HEFCE.</w:t>
      </w:r>
    </w:p>
    <w:p w14:paraId="7546BB8E" w14:textId="77777777" w:rsidR="00837DA7" w:rsidRDefault="00837DA7" w:rsidP="00837DA7">
      <w:pPr>
        <w:spacing w:after="0" w:line="240" w:lineRule="auto"/>
        <w:ind w:left="170" w:hanging="170"/>
        <w:jc w:val="both"/>
        <w:rPr>
          <w:rFonts w:ascii="Times New Roman" w:hAnsi="Times New Roman" w:cs="Times New Roman"/>
          <w:sz w:val="24"/>
          <w:szCs w:val="24"/>
        </w:rPr>
      </w:pPr>
      <w:r>
        <w:rPr>
          <w:rFonts w:ascii="Times New Roman" w:hAnsi="Times New Roman" w:cs="Times New Roman"/>
          <w:sz w:val="24"/>
          <w:szCs w:val="24"/>
        </w:rPr>
        <w:t>HEFCE.</w:t>
      </w:r>
      <w:r w:rsidRPr="0021047D">
        <w:rPr>
          <w:rFonts w:ascii="Times New Roman" w:hAnsi="Times New Roman" w:cs="Times New Roman"/>
          <w:sz w:val="24"/>
          <w:szCs w:val="24"/>
        </w:rPr>
        <w:t xml:space="preserve"> (2001b). </w:t>
      </w:r>
      <w:r w:rsidRPr="0021047D">
        <w:rPr>
          <w:rFonts w:ascii="Times New Roman" w:hAnsi="Times New Roman" w:cs="Times New Roman"/>
          <w:i/>
          <w:iCs/>
          <w:sz w:val="24"/>
          <w:szCs w:val="24"/>
        </w:rPr>
        <w:t>Risk prompt list for higher education institutions. London</w:t>
      </w:r>
      <w:r>
        <w:rPr>
          <w:rFonts w:ascii="Times New Roman" w:hAnsi="Times New Roman" w:cs="Times New Roman"/>
          <w:sz w:val="24"/>
          <w:szCs w:val="24"/>
        </w:rPr>
        <w:t>.</w:t>
      </w:r>
      <w:r w:rsidRPr="0021047D">
        <w:rPr>
          <w:rFonts w:ascii="Times New Roman" w:hAnsi="Times New Roman" w:cs="Times New Roman"/>
          <w:sz w:val="24"/>
          <w:szCs w:val="24"/>
        </w:rPr>
        <w:t xml:space="preserve"> </w:t>
      </w:r>
      <w:r>
        <w:rPr>
          <w:rFonts w:ascii="Times New Roman" w:hAnsi="Times New Roman" w:cs="Times New Roman"/>
          <w:sz w:val="24"/>
          <w:szCs w:val="24"/>
        </w:rPr>
        <w:t>HEFCE</w:t>
      </w:r>
    </w:p>
    <w:p w14:paraId="35962FE5" w14:textId="77777777" w:rsidR="00837DA7" w:rsidRDefault="00837DA7" w:rsidP="00837DA7">
      <w:pPr>
        <w:spacing w:after="0" w:line="240" w:lineRule="auto"/>
        <w:ind w:left="170" w:hanging="170"/>
        <w:jc w:val="both"/>
        <w:rPr>
          <w:rFonts w:ascii="Times New Roman" w:hAnsi="Times New Roman" w:cs="Times New Roman"/>
          <w:sz w:val="24"/>
          <w:szCs w:val="24"/>
        </w:rPr>
      </w:pPr>
      <w:r w:rsidRPr="009F500A">
        <w:rPr>
          <w:rFonts w:ascii="Times New Roman" w:hAnsi="Times New Roman" w:cs="Times New Roman"/>
          <w:sz w:val="24"/>
          <w:szCs w:val="24"/>
        </w:rPr>
        <w:t xml:space="preserve">LFHE (2009). </w:t>
      </w:r>
      <w:r w:rsidRPr="009F500A">
        <w:rPr>
          <w:rFonts w:ascii="Times New Roman" w:hAnsi="Times New Roman" w:cs="Times New Roman"/>
          <w:i/>
          <w:iCs/>
          <w:sz w:val="24"/>
          <w:szCs w:val="24"/>
        </w:rPr>
        <w:t>Getting to grips with risk: Resources for governors of UK universities and higher education colleges</w:t>
      </w:r>
      <w:r w:rsidRPr="009F500A">
        <w:rPr>
          <w:rFonts w:ascii="Times New Roman" w:hAnsi="Times New Roman" w:cs="Times New Roman"/>
          <w:sz w:val="24"/>
          <w:szCs w:val="24"/>
        </w:rPr>
        <w:t>. Summers, E. and Boothroyd, K., edited by Scholfield, A.</w:t>
      </w:r>
      <w:r>
        <w:rPr>
          <w:rFonts w:ascii="Times New Roman" w:hAnsi="Times New Roman" w:cs="Times New Roman"/>
          <w:sz w:val="24"/>
          <w:szCs w:val="24"/>
        </w:rPr>
        <w:t>.</w:t>
      </w:r>
      <w:r w:rsidRPr="009F500A">
        <w:rPr>
          <w:rFonts w:ascii="Times New Roman" w:hAnsi="Times New Roman" w:cs="Times New Roman"/>
          <w:sz w:val="24"/>
          <w:szCs w:val="24"/>
        </w:rPr>
        <w:t xml:space="preserve"> London</w:t>
      </w:r>
      <w:r>
        <w:rPr>
          <w:rFonts w:ascii="Times New Roman" w:hAnsi="Times New Roman" w:cs="Times New Roman"/>
          <w:sz w:val="24"/>
          <w:szCs w:val="24"/>
        </w:rPr>
        <w:t>.</w:t>
      </w:r>
      <w:r w:rsidRPr="009F500A">
        <w:rPr>
          <w:rFonts w:ascii="Times New Roman" w:hAnsi="Times New Roman" w:cs="Times New Roman"/>
          <w:sz w:val="24"/>
          <w:szCs w:val="24"/>
        </w:rPr>
        <w:t xml:space="preserve"> LFHE.</w:t>
      </w:r>
    </w:p>
    <w:p w14:paraId="5DB84107" w14:textId="77777777" w:rsidR="00837DA7" w:rsidRDefault="00837DA7" w:rsidP="00837DA7">
      <w:pPr>
        <w:spacing w:after="0" w:line="240" w:lineRule="auto"/>
        <w:ind w:left="170" w:hanging="170"/>
        <w:jc w:val="both"/>
        <w:rPr>
          <w:rFonts w:ascii="Times New Roman" w:hAnsi="Times New Roman" w:cs="Times New Roman"/>
          <w:sz w:val="24"/>
          <w:szCs w:val="24"/>
        </w:rPr>
      </w:pPr>
      <w:r w:rsidRPr="00356ADA">
        <w:rPr>
          <w:rFonts w:ascii="Times New Roman" w:hAnsi="Times New Roman" w:cs="Times New Roman"/>
          <w:sz w:val="24"/>
          <w:szCs w:val="24"/>
        </w:rPr>
        <w:t xml:space="preserve">Nelson, M., Banks, W., &amp; Fisher, J. (2003). Improved accountability disclosures by Canadian universities. </w:t>
      </w:r>
      <w:r w:rsidRPr="00356ADA">
        <w:rPr>
          <w:rFonts w:ascii="Times New Roman" w:hAnsi="Times New Roman" w:cs="Times New Roman"/>
          <w:i/>
          <w:sz w:val="24"/>
          <w:szCs w:val="24"/>
        </w:rPr>
        <w:t>Canadian Accounting Perspectives</w:t>
      </w:r>
      <w:r w:rsidRPr="00356ADA">
        <w:rPr>
          <w:rFonts w:ascii="Times New Roman" w:hAnsi="Times New Roman" w:cs="Times New Roman"/>
          <w:sz w:val="24"/>
          <w:szCs w:val="24"/>
        </w:rPr>
        <w:t xml:space="preserve">, </w:t>
      </w:r>
      <w:r w:rsidRPr="00356ADA">
        <w:rPr>
          <w:rFonts w:ascii="Times New Roman" w:hAnsi="Times New Roman" w:cs="Times New Roman"/>
          <w:i/>
          <w:sz w:val="24"/>
          <w:szCs w:val="24"/>
        </w:rPr>
        <w:t>2</w:t>
      </w:r>
      <w:r w:rsidRPr="00356ADA">
        <w:rPr>
          <w:rFonts w:ascii="Times New Roman" w:hAnsi="Times New Roman" w:cs="Times New Roman"/>
          <w:sz w:val="24"/>
          <w:szCs w:val="24"/>
        </w:rPr>
        <w:t>(1), 77-107.</w:t>
      </w:r>
    </w:p>
    <w:p w14:paraId="00A38569" w14:textId="77777777" w:rsidR="00837DA7" w:rsidRPr="00356ADA" w:rsidRDefault="00837DA7" w:rsidP="00837DA7">
      <w:pPr>
        <w:spacing w:after="0" w:line="240" w:lineRule="auto"/>
        <w:ind w:left="170" w:hanging="170"/>
        <w:jc w:val="both"/>
        <w:rPr>
          <w:rFonts w:ascii="Times New Roman" w:hAnsi="Times New Roman" w:cs="Times New Roman"/>
          <w:sz w:val="24"/>
          <w:szCs w:val="24"/>
        </w:rPr>
      </w:pPr>
      <w:r w:rsidRPr="00356ADA">
        <w:rPr>
          <w:rFonts w:ascii="Times New Roman" w:hAnsi="Times New Roman" w:cs="Times New Roman"/>
          <w:sz w:val="24"/>
          <w:szCs w:val="24"/>
        </w:rPr>
        <w:t xml:space="preserve">Ntim, C.G., Lindop, S., Osei, K.A., &amp; Thomas, D.A. (2013). Corporate governance and risk reporting in South Africa: A study of corporate risk disclosures in the pre- and post-2007/2008 global financial crisis period. </w:t>
      </w:r>
      <w:r w:rsidRPr="00356ADA">
        <w:rPr>
          <w:rFonts w:ascii="Times New Roman" w:hAnsi="Times New Roman" w:cs="Times New Roman"/>
          <w:i/>
          <w:sz w:val="24"/>
          <w:szCs w:val="24"/>
        </w:rPr>
        <w:t>International Review of Financial Analysis</w:t>
      </w:r>
      <w:r w:rsidRPr="00356ADA">
        <w:rPr>
          <w:rFonts w:ascii="Times New Roman" w:hAnsi="Times New Roman" w:cs="Times New Roman"/>
          <w:sz w:val="24"/>
          <w:szCs w:val="24"/>
        </w:rPr>
        <w:t xml:space="preserve">, </w:t>
      </w:r>
      <w:r w:rsidRPr="00356ADA">
        <w:rPr>
          <w:rFonts w:ascii="Times New Roman" w:hAnsi="Times New Roman" w:cs="Times New Roman"/>
          <w:i/>
          <w:sz w:val="24"/>
          <w:szCs w:val="24"/>
        </w:rPr>
        <w:t>30</w:t>
      </w:r>
      <w:r w:rsidRPr="00356ADA">
        <w:rPr>
          <w:rFonts w:ascii="Times New Roman" w:hAnsi="Times New Roman" w:cs="Times New Roman"/>
          <w:sz w:val="24"/>
          <w:szCs w:val="24"/>
        </w:rPr>
        <w:t>, 363-383.</w:t>
      </w:r>
    </w:p>
    <w:p w14:paraId="1C41B4C9" w14:textId="77777777" w:rsidR="00837DA7" w:rsidRDefault="00837DA7" w:rsidP="00837DA7">
      <w:pPr>
        <w:spacing w:after="0" w:line="240" w:lineRule="auto"/>
        <w:ind w:left="170" w:hanging="170"/>
        <w:jc w:val="both"/>
        <w:rPr>
          <w:rFonts w:ascii="Times New Roman" w:hAnsi="Times New Roman" w:cs="Times New Roman"/>
          <w:bCs/>
          <w:sz w:val="24"/>
          <w:szCs w:val="24"/>
        </w:rPr>
      </w:pPr>
      <w:r w:rsidRPr="00356ADA">
        <w:rPr>
          <w:rFonts w:ascii="Times New Roman" w:hAnsi="Times New Roman" w:cs="Times New Roman"/>
          <w:sz w:val="24"/>
          <w:szCs w:val="24"/>
        </w:rPr>
        <w:t xml:space="preserve">Ntim, C.G., Soobaroyen, T., &amp; Broad, M.J. (2017). Governance structures, voluntary disclosures and public accountability: The case of UK higher education institutions. </w:t>
      </w:r>
      <w:r w:rsidRPr="00356ADA">
        <w:rPr>
          <w:rFonts w:ascii="Times New Roman" w:hAnsi="Times New Roman" w:cs="Times New Roman"/>
          <w:i/>
          <w:sz w:val="24"/>
          <w:szCs w:val="24"/>
        </w:rPr>
        <w:t xml:space="preserve">Accounting, Auditing and Accountability Journal, </w:t>
      </w:r>
      <w:r w:rsidRPr="00356ADA">
        <w:rPr>
          <w:rFonts w:ascii="Times New Roman" w:hAnsi="Times New Roman" w:cs="Times New Roman"/>
          <w:sz w:val="24"/>
          <w:szCs w:val="24"/>
        </w:rPr>
        <w:t xml:space="preserve">30(1), </w:t>
      </w:r>
      <w:r w:rsidRPr="00356ADA">
        <w:rPr>
          <w:rFonts w:ascii="Times New Roman" w:hAnsi="Times New Roman" w:cs="Times New Roman"/>
          <w:bCs/>
          <w:sz w:val="24"/>
          <w:szCs w:val="24"/>
        </w:rPr>
        <w:t>65-118.</w:t>
      </w:r>
    </w:p>
    <w:p w14:paraId="1FC139DF" w14:textId="77777777" w:rsidR="00837DA7" w:rsidRDefault="00837DA7" w:rsidP="00837DA7">
      <w:pPr>
        <w:spacing w:after="0" w:line="240" w:lineRule="auto"/>
        <w:ind w:left="170" w:hanging="170"/>
        <w:jc w:val="both"/>
        <w:rPr>
          <w:rFonts w:ascii="Times New Roman" w:hAnsi="Times New Roman" w:cs="Times New Roman"/>
          <w:sz w:val="24"/>
          <w:szCs w:val="24"/>
        </w:rPr>
      </w:pPr>
      <w:r w:rsidRPr="00F703AF">
        <w:rPr>
          <w:rFonts w:ascii="Times New Roman" w:hAnsi="Times New Roman" w:cs="Times New Roman"/>
          <w:sz w:val="24"/>
          <w:szCs w:val="24"/>
        </w:rPr>
        <w:lastRenderedPageBreak/>
        <w:t>Raffe, D., &amp; Croxford, L. (2015). How stable is the stratification of higher education in England and Scotland?. </w:t>
      </w:r>
      <w:r w:rsidRPr="00F703AF">
        <w:rPr>
          <w:rFonts w:ascii="Times New Roman" w:hAnsi="Times New Roman" w:cs="Times New Roman"/>
          <w:i/>
          <w:iCs/>
          <w:sz w:val="24"/>
          <w:szCs w:val="24"/>
        </w:rPr>
        <w:t>British Journal of Sociology of Education</w:t>
      </w:r>
      <w:r w:rsidRPr="00F703AF">
        <w:rPr>
          <w:rFonts w:ascii="Times New Roman" w:hAnsi="Times New Roman" w:cs="Times New Roman"/>
          <w:sz w:val="24"/>
          <w:szCs w:val="24"/>
        </w:rPr>
        <w:t>, </w:t>
      </w:r>
      <w:r w:rsidRPr="00F703AF">
        <w:rPr>
          <w:rFonts w:ascii="Times New Roman" w:hAnsi="Times New Roman" w:cs="Times New Roman"/>
          <w:i/>
          <w:iCs/>
          <w:sz w:val="24"/>
          <w:szCs w:val="24"/>
        </w:rPr>
        <w:t>36</w:t>
      </w:r>
      <w:r w:rsidRPr="00F703AF">
        <w:rPr>
          <w:rFonts w:ascii="Times New Roman" w:hAnsi="Times New Roman" w:cs="Times New Roman"/>
          <w:sz w:val="24"/>
          <w:szCs w:val="24"/>
        </w:rPr>
        <w:t>(2), 313-335.</w:t>
      </w:r>
    </w:p>
    <w:p w14:paraId="1706123A" w14:textId="77777777" w:rsidR="00837DA7" w:rsidRDefault="00837DA7" w:rsidP="00CB2B95"/>
    <w:bookmarkEnd w:id="0"/>
    <w:p w14:paraId="49288DF8" w14:textId="77777777" w:rsidR="00EF2BDA" w:rsidRPr="00233EC8" w:rsidRDefault="00EF2BDA" w:rsidP="00CB2B95"/>
    <w:sectPr w:rsidR="00EF2BDA" w:rsidRPr="00233E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AD77D" w14:textId="77777777" w:rsidR="00712FA5" w:rsidRDefault="00712FA5" w:rsidP="005272AE">
      <w:pPr>
        <w:spacing w:after="0" w:line="240" w:lineRule="auto"/>
      </w:pPr>
      <w:r>
        <w:separator/>
      </w:r>
    </w:p>
  </w:endnote>
  <w:endnote w:type="continuationSeparator" w:id="0">
    <w:p w14:paraId="7649A7B8" w14:textId="77777777" w:rsidR="00712FA5" w:rsidRDefault="00712FA5" w:rsidP="00527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3833373"/>
      <w:docPartObj>
        <w:docPartGallery w:val="Page Numbers (Bottom of Page)"/>
        <w:docPartUnique/>
      </w:docPartObj>
    </w:sdtPr>
    <w:sdtEndPr>
      <w:rPr>
        <w:noProof/>
      </w:rPr>
    </w:sdtEndPr>
    <w:sdtContent>
      <w:p w14:paraId="2B54FD7F" w14:textId="3ED16D06" w:rsidR="00C84CA1" w:rsidRDefault="00C84CA1">
        <w:pPr>
          <w:pStyle w:val="Footer"/>
          <w:jc w:val="center"/>
        </w:pPr>
        <w:r>
          <w:fldChar w:fldCharType="begin"/>
        </w:r>
        <w:r>
          <w:instrText xml:space="preserve"> PAGE   \* MERGEFORMAT </w:instrText>
        </w:r>
        <w:r>
          <w:fldChar w:fldCharType="separate"/>
        </w:r>
        <w:r>
          <w:rPr>
            <w:noProof/>
          </w:rPr>
          <w:t>27</w:t>
        </w:r>
        <w:r>
          <w:rPr>
            <w:noProof/>
          </w:rPr>
          <w:fldChar w:fldCharType="end"/>
        </w:r>
      </w:p>
    </w:sdtContent>
  </w:sdt>
  <w:p w14:paraId="7C13AB82" w14:textId="77777777" w:rsidR="00C84CA1" w:rsidRDefault="00C84C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0138"/>
      <w:docPartObj>
        <w:docPartGallery w:val="Page Numbers (Bottom of Page)"/>
        <w:docPartUnique/>
      </w:docPartObj>
    </w:sdtPr>
    <w:sdtEndPr>
      <w:rPr>
        <w:noProof/>
      </w:rPr>
    </w:sdtEndPr>
    <w:sdtContent>
      <w:p w14:paraId="76FD7204" w14:textId="5EB4760C" w:rsidR="00C84CA1" w:rsidRDefault="00C84CA1">
        <w:pPr>
          <w:pStyle w:val="Footer"/>
          <w:jc w:val="center"/>
        </w:pPr>
        <w:r>
          <w:fldChar w:fldCharType="begin"/>
        </w:r>
        <w:r>
          <w:instrText xml:space="preserve"> PAGE   \* MERGEFORMAT </w:instrText>
        </w:r>
        <w:r>
          <w:fldChar w:fldCharType="separate"/>
        </w:r>
        <w:r>
          <w:rPr>
            <w:noProof/>
          </w:rPr>
          <w:t>29</w:t>
        </w:r>
        <w:r>
          <w:rPr>
            <w:noProof/>
          </w:rPr>
          <w:fldChar w:fldCharType="end"/>
        </w:r>
      </w:p>
    </w:sdtContent>
  </w:sdt>
  <w:p w14:paraId="740C084C" w14:textId="77777777" w:rsidR="00C84CA1" w:rsidRDefault="00C84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D3727" w14:textId="77777777" w:rsidR="00712FA5" w:rsidRDefault="00712FA5" w:rsidP="005272AE">
      <w:pPr>
        <w:spacing w:after="0" w:line="240" w:lineRule="auto"/>
      </w:pPr>
      <w:r>
        <w:separator/>
      </w:r>
    </w:p>
  </w:footnote>
  <w:footnote w:type="continuationSeparator" w:id="0">
    <w:p w14:paraId="36432539" w14:textId="77777777" w:rsidR="00712FA5" w:rsidRDefault="00712FA5" w:rsidP="005272AE">
      <w:pPr>
        <w:spacing w:after="0" w:line="240" w:lineRule="auto"/>
      </w:pPr>
      <w:r>
        <w:continuationSeparator/>
      </w:r>
    </w:p>
  </w:footnote>
  <w:footnote w:id="1">
    <w:p w14:paraId="6FC2912C" w14:textId="2F4535F6" w:rsidR="00A228F8" w:rsidRPr="00A228F8" w:rsidRDefault="00A228F8" w:rsidP="00A228F8">
      <w:pPr>
        <w:pStyle w:val="FootnoteText"/>
        <w:jc w:val="both"/>
        <w:rPr>
          <w:rFonts w:ascii="Times New Roman" w:hAnsi="Times New Roman" w:cs="Times New Roman"/>
        </w:rPr>
      </w:pPr>
      <w:r w:rsidRPr="00A228F8">
        <w:rPr>
          <w:rStyle w:val="FootnoteReference"/>
          <w:rFonts w:ascii="Times New Roman" w:hAnsi="Times New Roman" w:cs="Times New Roman"/>
        </w:rPr>
        <w:footnoteRef/>
      </w:r>
      <w:r w:rsidRPr="00A228F8">
        <w:rPr>
          <w:rFonts w:ascii="Times New Roman" w:hAnsi="Times New Roman" w:cs="Times New Roman"/>
        </w:rPr>
        <w:t xml:space="preserve">There is early anecdotal evidence that suggests that the implementation of the recommendations coming out of the influential 2010 Browne Report is not only increasing financial debt, but also risk in the HE sector (Bartlett, 2019). This has sharply put even the short-term financial sustainability of some institutions at risk (e.g., Bazaraa, 2019). For example, six UK universities located in the North West and South East of the country were reported to be on the ‘verge’ of bankruptcy in 2019 and taking short-term </w:t>
      </w:r>
      <w:r w:rsidR="00892511">
        <w:rPr>
          <w:rFonts w:ascii="Times New Roman" w:hAnsi="Times New Roman" w:cs="Times New Roman"/>
        </w:rPr>
        <w:t xml:space="preserve">bridging </w:t>
      </w:r>
      <w:r w:rsidRPr="00A228F8">
        <w:rPr>
          <w:rFonts w:ascii="Times New Roman" w:hAnsi="Times New Roman" w:cs="Times New Roman"/>
        </w:rPr>
        <w:t>loans in order to survive following drastic falls in their student numbers (Bartlett, 2019; Bazaraa, 2019).</w:t>
      </w:r>
    </w:p>
  </w:footnote>
  <w:footnote w:id="2">
    <w:p w14:paraId="062E3C95" w14:textId="7EC7F3C2" w:rsidR="00FC4D5A" w:rsidRPr="00FC4D5A" w:rsidRDefault="00FC4D5A" w:rsidP="00FC4D5A">
      <w:pPr>
        <w:pStyle w:val="FootnoteText"/>
        <w:jc w:val="both"/>
        <w:rPr>
          <w:rFonts w:ascii="Times New Roman" w:hAnsi="Times New Roman" w:cs="Times New Roman"/>
        </w:rPr>
      </w:pPr>
      <w:r w:rsidRPr="00FC4D5A">
        <w:rPr>
          <w:rStyle w:val="FootnoteReference"/>
          <w:rFonts w:ascii="Times New Roman" w:hAnsi="Times New Roman" w:cs="Times New Roman"/>
        </w:rPr>
        <w:footnoteRef/>
      </w:r>
      <w:r w:rsidRPr="00FC4D5A">
        <w:rPr>
          <w:rFonts w:ascii="Times New Roman" w:hAnsi="Times New Roman" w:cs="Times New Roman"/>
        </w:rPr>
        <w:t xml:space="preserve">Despite increasing suggestions that risk disclosures </w:t>
      </w:r>
      <w:r w:rsidRPr="00FC4D5A">
        <w:rPr>
          <w:rFonts w:ascii="Times New Roman" w:hAnsi="Times New Roman" w:cs="Times New Roman"/>
          <w:lang w:val="en-US"/>
        </w:rPr>
        <w:t>have more direct implications on the long-term sustainability and survival of institutions compare</w:t>
      </w:r>
      <w:r w:rsidR="009C3593">
        <w:rPr>
          <w:rFonts w:ascii="Times New Roman" w:hAnsi="Times New Roman" w:cs="Times New Roman"/>
          <w:lang w:val="en-US"/>
        </w:rPr>
        <w:t>d</w:t>
      </w:r>
      <w:r w:rsidRPr="00FC4D5A">
        <w:rPr>
          <w:rFonts w:ascii="Times New Roman" w:hAnsi="Times New Roman" w:cs="Times New Roman"/>
          <w:lang w:val="en-US"/>
        </w:rPr>
        <w:t xml:space="preserve"> to general disclosures (</w:t>
      </w:r>
      <w:r w:rsidRPr="00FC4D5A">
        <w:rPr>
          <w:rFonts w:ascii="Times New Roman" w:hAnsi="Times New Roman" w:cs="Times New Roman"/>
        </w:rPr>
        <w:t>Abraham &amp; Cox, 2007), prior HE studies (</w:t>
      </w:r>
      <w:r w:rsidR="00A46BC5">
        <w:rPr>
          <w:rFonts w:ascii="Times New Roman" w:hAnsi="Times New Roman" w:cs="Times New Roman"/>
        </w:rPr>
        <w:t xml:space="preserve">Elmagrhi et al., 2021; </w:t>
      </w:r>
      <w:r w:rsidRPr="00FC4D5A">
        <w:rPr>
          <w:rFonts w:ascii="Times New Roman" w:hAnsi="Times New Roman" w:cs="Times New Roman"/>
        </w:rPr>
        <w:t>Ntim et al., 2017)</w:t>
      </w:r>
      <w:r w:rsidRPr="00FC4D5A" w:rsidDel="00EA228C">
        <w:rPr>
          <w:rFonts w:ascii="Times New Roman" w:hAnsi="Times New Roman" w:cs="Times New Roman"/>
          <w:vertAlign w:val="superscript"/>
        </w:rPr>
        <w:t xml:space="preserve"> </w:t>
      </w:r>
      <w:r w:rsidRPr="00FC4D5A">
        <w:rPr>
          <w:rFonts w:ascii="Times New Roman" w:hAnsi="Times New Roman" w:cs="Times New Roman"/>
        </w:rPr>
        <w:t>have mainly focused on general accountability</w:t>
      </w:r>
      <w:r w:rsidR="00A46BC5">
        <w:rPr>
          <w:rFonts w:ascii="Times New Roman" w:hAnsi="Times New Roman" w:cs="Times New Roman"/>
        </w:rPr>
        <w:t>, governance and voluntary</w:t>
      </w:r>
      <w:r w:rsidRPr="00FC4D5A">
        <w:rPr>
          <w:rFonts w:ascii="Times New Roman" w:hAnsi="Times New Roman" w:cs="Times New Roman"/>
        </w:rPr>
        <w:t xml:space="preserve"> disclosures.</w:t>
      </w:r>
    </w:p>
  </w:footnote>
  <w:footnote w:id="3">
    <w:p w14:paraId="07A39CC0" w14:textId="24629282" w:rsidR="00AD4550" w:rsidRPr="00A52980" w:rsidRDefault="00AD4550" w:rsidP="00A52980">
      <w:pPr>
        <w:pStyle w:val="FootnoteText"/>
        <w:jc w:val="both"/>
        <w:rPr>
          <w:rFonts w:ascii="Times New Roman" w:hAnsi="Times New Roman" w:cs="Times New Roman"/>
        </w:rPr>
      </w:pPr>
      <w:r w:rsidRPr="00A52980">
        <w:rPr>
          <w:rStyle w:val="FootnoteReference"/>
          <w:rFonts w:ascii="Times New Roman" w:hAnsi="Times New Roman" w:cs="Times New Roman"/>
        </w:rPr>
        <w:footnoteRef/>
      </w:r>
      <w:r w:rsidRPr="00AD4550">
        <w:rPr>
          <w:rFonts w:ascii="Times New Roman" w:hAnsi="Times New Roman" w:cs="Times New Roman"/>
        </w:rPr>
        <w:t>Our study differs from the existing HE studies in a number of ways. First, and unlike existing HE literature that focuses on general accountability disclosures (Coy et al., 1994, 1997, 2001; Ntim et al.,2017), our current study focuses on voluntary risk disclosure practices of UK HEIs by developing a comprehensive index, consisting of 127 items capturing three major different types of risk disclosures (i.e., financial, operational and strategic risk disclosures). Prior studies (Abraham &amp; Cox, 2007) suggest that risk disclosures have more direct implications on the long-term sustainability and survival of institutions compare</w:t>
      </w:r>
      <w:r w:rsidR="000C7C37">
        <w:rPr>
          <w:rFonts w:ascii="Times New Roman" w:hAnsi="Times New Roman" w:cs="Times New Roman"/>
        </w:rPr>
        <w:t>d</w:t>
      </w:r>
      <w:r w:rsidRPr="00AD4550">
        <w:rPr>
          <w:rFonts w:ascii="Times New Roman" w:hAnsi="Times New Roman" w:cs="Times New Roman"/>
        </w:rPr>
        <w:t xml:space="preserve"> to general disclosures. We, thus, contend that it is important to conduct this study in order to better understand the extent to which UK HEIs make voluntary risk disclosures, and whether internal governance quality and senior management team characteristics influence such risk disclosures, especially as a timely response to ongoing market, policy and regulatory reforms in the sector. Second, and despite increasing suggestions that in order to implement good practices (e.g., good governance and risk disclosure practices), organisations (e.g., HEIs) are expected to commit resources over a long-period of time in order to secure positive outcomes (Banks et al., 1997), existing literature (e.g., Ntim et al.,2017) have been conducted over a relatively short period of time (i.e., one year). This, arguably, may impair the current understanding of the extent to which governance quality can influence risk disclosures over a long-period of time. Third, and despite increasing suggestions that governance quality is a complex and multi-dimensional phenomenon that cannot easily be measured using individual governance variables (Harris et al., 2015), past HE studies (e.g., Ntim et al.,2017) have mainly examined the impact of a small set of individual governance (e.g., governing board size, meetings, and diversity) mechanisms as drivers of general accountability disclosures in UK HEIs. Finally, and unlike prior HE studies (Ntim et al., 2017), which employed multi-theoretical framework to explain relationships of interest, our study relies on insights from both legitimisation and efficiency perspectives of neo-institutional theory to explain the main drivers of voluntary risk disclosures among UK HEIs.</w:t>
      </w:r>
    </w:p>
  </w:footnote>
  <w:footnote w:id="4">
    <w:p w14:paraId="52D5DD7D" w14:textId="77777777" w:rsidR="00837DA7" w:rsidRPr="00DE39B5" w:rsidRDefault="00837DA7" w:rsidP="00837DA7">
      <w:pPr>
        <w:pStyle w:val="FootnoteText"/>
        <w:jc w:val="both"/>
        <w:rPr>
          <w:rFonts w:ascii="Times New Roman" w:hAnsi="Times New Roman" w:cs="Times New Roman"/>
        </w:rPr>
      </w:pPr>
      <w:r>
        <w:rPr>
          <w:rStyle w:val="FootnoteReference"/>
        </w:rPr>
        <w:footnoteRef/>
      </w:r>
      <w:r>
        <w:rPr>
          <w:rFonts w:ascii="Times New Roman" w:hAnsi="Times New Roman" w:cs="Times New Roman"/>
        </w:rPr>
        <w:t>We split our sample into Pre- and Post-1992 HEIs because prior studies (</w:t>
      </w:r>
      <w:r w:rsidRPr="00F055E4">
        <w:rPr>
          <w:rFonts w:ascii="Times New Roman" w:hAnsi="Times New Roman" w:cs="Times New Roman"/>
        </w:rPr>
        <w:t>Boliver</w:t>
      </w:r>
      <w:r>
        <w:rPr>
          <w:rFonts w:ascii="Times New Roman" w:hAnsi="Times New Roman" w:cs="Times New Roman"/>
        </w:rPr>
        <w:t xml:space="preserve">, </w:t>
      </w:r>
      <w:r w:rsidRPr="00F055E4">
        <w:rPr>
          <w:rFonts w:ascii="Times New Roman" w:hAnsi="Times New Roman" w:cs="Times New Roman"/>
        </w:rPr>
        <w:t>2015</w:t>
      </w:r>
      <w:r>
        <w:rPr>
          <w:rFonts w:ascii="Times New Roman" w:hAnsi="Times New Roman" w:cs="Times New Roman"/>
        </w:rPr>
        <w:t xml:space="preserve">; Ntim et al., 2017; </w:t>
      </w:r>
      <w:r w:rsidRPr="00F703AF">
        <w:rPr>
          <w:rFonts w:ascii="Times New Roman" w:hAnsi="Times New Roman" w:cs="Times New Roman"/>
        </w:rPr>
        <w:t>Raffe &amp; Croxford</w:t>
      </w:r>
      <w:r>
        <w:rPr>
          <w:rFonts w:ascii="Times New Roman" w:hAnsi="Times New Roman" w:cs="Times New Roman"/>
        </w:rPr>
        <w:t xml:space="preserve">, 2015) suggest that pre-92 HEIs tend to be larger in size, have  greater economic resources and well-established national and international reputation for the quality of their teaching and research than their post-1992 counterparts, and thus pre-1992 HEIs are, arguable, more motivated to commit to good practices, including those relating to risk disclosures, in order to maintain/develop good networks with powerful stakeholders (e.g., government, </w:t>
      </w:r>
      <w:r w:rsidRPr="00435298">
        <w:rPr>
          <w:rFonts w:ascii="Times New Roman" w:hAnsi="Times New Roman" w:cs="Times New Roman"/>
        </w:rPr>
        <w:t>O</w:t>
      </w:r>
      <w:r>
        <w:rPr>
          <w:rFonts w:ascii="Times New Roman" w:hAnsi="Times New Roman" w:cs="Times New Roman"/>
        </w:rPr>
        <w:t>f</w:t>
      </w:r>
      <w:r w:rsidRPr="00435298">
        <w:rPr>
          <w:rFonts w:ascii="Times New Roman" w:hAnsi="Times New Roman" w:cs="Times New Roman"/>
        </w:rPr>
        <w:t xml:space="preserve">S, staff and students, including their unions, parents and alumni, </w:t>
      </w:r>
      <w:r>
        <w:rPr>
          <w:rFonts w:ascii="Times New Roman" w:hAnsi="Times New Roman" w:cs="Times New Roman"/>
        </w:rPr>
        <w:t>national/international</w:t>
      </w:r>
      <w:r w:rsidRPr="00435298">
        <w:rPr>
          <w:rFonts w:ascii="Times New Roman" w:hAnsi="Times New Roman" w:cs="Times New Roman"/>
        </w:rPr>
        <w:t xml:space="preserve"> community</w:t>
      </w:r>
      <w:r>
        <w:rPr>
          <w:rFonts w:ascii="Times New Roman" w:hAnsi="Times New Roman" w:cs="Times New Roman"/>
        </w:rPr>
        <w:t>) and gain access to crucial resources. However, and given that post-1992 HEIs tend to have less financial resources and lower national and international teaching and research ranking scores, compared to their pre-1992 counterparts (</w:t>
      </w:r>
      <w:r w:rsidRPr="00F055E4">
        <w:rPr>
          <w:rFonts w:ascii="Times New Roman" w:hAnsi="Times New Roman" w:cs="Times New Roman"/>
        </w:rPr>
        <w:t>Boliver</w:t>
      </w:r>
      <w:r>
        <w:rPr>
          <w:rFonts w:ascii="Times New Roman" w:hAnsi="Times New Roman" w:cs="Times New Roman"/>
        </w:rPr>
        <w:t xml:space="preserve">, </w:t>
      </w:r>
      <w:r w:rsidRPr="00F055E4">
        <w:rPr>
          <w:rFonts w:ascii="Times New Roman" w:hAnsi="Times New Roman" w:cs="Times New Roman"/>
        </w:rPr>
        <w:t>2015</w:t>
      </w:r>
      <w:r>
        <w:rPr>
          <w:rFonts w:ascii="Times New Roman" w:hAnsi="Times New Roman" w:cs="Times New Roman"/>
        </w:rPr>
        <w:t xml:space="preserve">), this may increase the level of pressure on post-1992 HEIs to rather engage in greater risk disclosures in order to legitimise their operations/activities and win the support of powerful stakeholders. </w:t>
      </w:r>
    </w:p>
  </w:footnote>
  <w:footnote w:id="5">
    <w:p w14:paraId="719EF2D0" w14:textId="77777777" w:rsidR="00837DA7" w:rsidRPr="009B7BFB" w:rsidRDefault="00837DA7" w:rsidP="00837DA7">
      <w:pPr>
        <w:pStyle w:val="FootnoteText"/>
        <w:jc w:val="both"/>
        <w:rPr>
          <w:rFonts w:ascii="Times New Roman" w:hAnsi="Times New Roman" w:cs="Times New Roman"/>
        </w:rPr>
      </w:pPr>
      <w:r w:rsidRPr="009B7BFB">
        <w:rPr>
          <w:rStyle w:val="FootnoteReference"/>
          <w:rFonts w:ascii="Times New Roman" w:hAnsi="Times New Roman" w:cs="Times New Roman"/>
        </w:rPr>
        <w:footnoteRef/>
      </w:r>
      <w:r w:rsidRPr="009B7BFB">
        <w:rPr>
          <w:rFonts w:ascii="Times New Roman" w:hAnsi="Times New Roman" w:cs="Times New Roman"/>
        </w:rPr>
        <w:t xml:space="preserve">We note that whilst it is possible for risk management disclosures in annual reports to be different from actual practice, we took steps to ensure that the </w:t>
      </w:r>
      <w:r>
        <w:rPr>
          <w:rFonts w:ascii="Times New Roman" w:hAnsi="Times New Roman" w:cs="Times New Roman"/>
          <w:i/>
          <w:iCs/>
        </w:rPr>
        <w:t>H</w:t>
      </w:r>
      <w:r w:rsidRPr="00ED12A3">
        <w:rPr>
          <w:rFonts w:ascii="Times New Roman" w:hAnsi="Times New Roman" w:cs="Times New Roman"/>
          <w:i/>
          <w:iCs/>
        </w:rPr>
        <w:t>ERDI</w:t>
      </w:r>
      <w:r w:rsidRPr="009B7BFB">
        <w:rPr>
          <w:rFonts w:ascii="Times New Roman" w:hAnsi="Times New Roman" w:cs="Times New Roman"/>
          <w:i/>
          <w:iCs/>
        </w:rPr>
        <w:t xml:space="preserve"> </w:t>
      </w:r>
      <w:r w:rsidRPr="009B7BFB">
        <w:rPr>
          <w:rFonts w:ascii="Times New Roman" w:hAnsi="Times New Roman" w:cs="Times New Roman"/>
        </w:rPr>
        <w:t>is reflective of actual risk management practices in the sampled HEIs as much as possible. For example, we interviewed 23 key executives from a representative sample of 6 UK HEIs, including finance directors, audit committee chairs and members, internal and external auditors, governing board secretaries and managers of risk registers to ensure that the items reflect actual practice. More broadly, coding risk disclosures in annual reports is a rigorously established area of accounting research, which has been found to be reflective of actual corporate practice (Feng et al., 2019; Harris et al., 2015</w:t>
      </w:r>
      <w:r>
        <w:rPr>
          <w:rFonts w:ascii="Times New Roman" w:hAnsi="Times New Roman" w:cs="Times New Roman"/>
        </w:rPr>
        <w:t xml:space="preserve">; Harris &amp; </w:t>
      </w:r>
      <w:r w:rsidRPr="00FE6D61">
        <w:rPr>
          <w:rFonts w:ascii="Times New Roman" w:hAnsi="Times New Roman" w:cs="Times New Roman"/>
        </w:rPr>
        <w:t>Neely</w:t>
      </w:r>
      <w:r w:rsidRPr="009B7BFB">
        <w:rPr>
          <w:rFonts w:ascii="Times New Roman" w:hAnsi="Times New Roman" w:cs="Times New Roman"/>
        </w:rPr>
        <w:t>, 2021; Ntim et al., 2013).</w:t>
      </w:r>
      <w:r>
        <w:rPr>
          <w:rFonts w:ascii="Times New Roman" w:hAnsi="Times New Roman" w:cs="Times New Roman"/>
        </w:rPr>
        <w:t xml:space="preserve"> </w:t>
      </w:r>
      <w:r w:rsidRPr="00D6049E">
        <w:rPr>
          <w:rFonts w:ascii="Times New Roman" w:hAnsi="Times New Roman" w:cs="Times New Roman"/>
        </w:rPr>
        <w:t xml:space="preserve">We made every effort to ensure that our </w:t>
      </w:r>
      <w:r w:rsidRPr="00ED12A3">
        <w:rPr>
          <w:rFonts w:ascii="Times New Roman" w:hAnsi="Times New Roman" w:cs="Times New Roman"/>
          <w:i/>
          <w:iCs/>
        </w:rPr>
        <w:t>HERDI</w:t>
      </w:r>
      <w:r w:rsidRPr="00D6049E">
        <w:rPr>
          <w:rFonts w:ascii="Times New Roman" w:hAnsi="Times New Roman" w:cs="Times New Roman"/>
          <w:i/>
          <w:iCs/>
        </w:rPr>
        <w:t xml:space="preserve"> </w:t>
      </w:r>
      <w:r w:rsidRPr="00D6049E">
        <w:rPr>
          <w:rFonts w:ascii="Times New Roman" w:hAnsi="Times New Roman" w:cs="Times New Roman"/>
        </w:rPr>
        <w:t>is valid and reliable measure for risk disclosures. For example, the coding process has been done over two rounds. In the first round, three independent coders coded risk disclosures for an initial sample of 10 HEIs and discussed coded items and categorises. In the second round, the three coders have removed any duplication in the included items and corrected any inconsistency in the coding process. A further 10 HEIs were coded and no major inconsistencies or mistakes were identified by the three coders, which implied that our index is valid and reliable measure for risk disclosures.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BDA65B8"/>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cs="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15:restartNumberingAfterBreak="0">
    <w:nsid w:val="0E37101B"/>
    <w:multiLevelType w:val="hybridMultilevel"/>
    <w:tmpl w:val="1F8E0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2C6C86"/>
    <w:multiLevelType w:val="hybridMultilevel"/>
    <w:tmpl w:val="5D0C0638"/>
    <w:lvl w:ilvl="0" w:tplc="3844D8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CA3780"/>
    <w:multiLevelType w:val="hybridMultilevel"/>
    <w:tmpl w:val="1F96039C"/>
    <w:lvl w:ilvl="0" w:tplc="FAFE753A">
      <w:start w:val="1"/>
      <w:numFmt w:val="lowerRoman"/>
      <w:lvlText w:val="(%1)"/>
      <w:lvlJc w:val="left"/>
      <w:pPr>
        <w:ind w:left="1440" w:hanging="720"/>
      </w:pPr>
      <w:rPr>
        <w:rFonts w:ascii="Times New Roman" w:eastAsiaTheme="minorHAnsi"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70F1E28"/>
    <w:multiLevelType w:val="hybridMultilevel"/>
    <w:tmpl w:val="829E8E56"/>
    <w:lvl w:ilvl="0" w:tplc="230869A8">
      <w:start w:val="1"/>
      <w:numFmt w:val="upperLetter"/>
      <w:lvlText w:val="%1."/>
      <w:lvlJc w:val="left"/>
      <w:pPr>
        <w:ind w:left="2204" w:hanging="360"/>
      </w:pPr>
      <w:rPr>
        <w:rFonts w:asciiTheme="majorBidi" w:hAnsiTheme="majorBidi" w:cstheme="majorBidi" w:hint="default"/>
        <w:b/>
        <w:bCs/>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677C0C"/>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E680C2F"/>
    <w:multiLevelType w:val="hybridMultilevel"/>
    <w:tmpl w:val="5ECAF4C4"/>
    <w:lvl w:ilvl="0" w:tplc="C6202FC8">
      <w:start w:val="1"/>
      <w:numFmt w:val="lowerLetter"/>
      <w:lvlText w:val="%1."/>
      <w:lvlJc w:val="left"/>
      <w:pPr>
        <w:ind w:left="720" w:hanging="360"/>
      </w:pPr>
      <w:rPr>
        <w:rFonts w:hint="default"/>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D0078A"/>
    <w:multiLevelType w:val="multilevel"/>
    <w:tmpl w:val="B908F2BE"/>
    <w:lvl w:ilvl="0">
      <w:start w:val="4"/>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E2313E"/>
    <w:multiLevelType w:val="hybridMultilevel"/>
    <w:tmpl w:val="470E618E"/>
    <w:lvl w:ilvl="0" w:tplc="B270E8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E7F5752"/>
    <w:multiLevelType w:val="hybridMultilevel"/>
    <w:tmpl w:val="72BCFD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CE70EFB"/>
    <w:multiLevelType w:val="multilevel"/>
    <w:tmpl w:val="A8BE0A0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27C174B"/>
    <w:multiLevelType w:val="hybridMultilevel"/>
    <w:tmpl w:val="E1F4E4CE"/>
    <w:lvl w:ilvl="0" w:tplc="29A2953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560671FD"/>
    <w:multiLevelType w:val="hybridMultilevel"/>
    <w:tmpl w:val="67E8CE52"/>
    <w:lvl w:ilvl="0" w:tplc="5874F66E">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211FDF"/>
    <w:multiLevelType w:val="hybridMultilevel"/>
    <w:tmpl w:val="A8B475A4"/>
    <w:lvl w:ilvl="0" w:tplc="9C028468">
      <w:start w:val="1"/>
      <w:numFmt w:val="upperLetter"/>
      <w:lvlText w:val="%1."/>
      <w:lvlJc w:val="left"/>
      <w:pPr>
        <w:ind w:left="720" w:hanging="360"/>
      </w:pPr>
      <w:rPr>
        <w:rFonts w:hint="default"/>
        <w:b/>
        <w:bCs/>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FC3259"/>
    <w:multiLevelType w:val="hybridMultilevel"/>
    <w:tmpl w:val="112E6C8A"/>
    <w:lvl w:ilvl="0" w:tplc="9A1C99DC">
      <w:start w:val="4"/>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B46F5B"/>
    <w:multiLevelType w:val="hybridMultilevel"/>
    <w:tmpl w:val="25BE4E3A"/>
    <w:lvl w:ilvl="0" w:tplc="250E038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5F697760"/>
    <w:multiLevelType w:val="multilevel"/>
    <w:tmpl w:val="00064A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066648D"/>
    <w:multiLevelType w:val="hybridMultilevel"/>
    <w:tmpl w:val="0F081C80"/>
    <w:lvl w:ilvl="0" w:tplc="08090017">
      <w:start w:val="1"/>
      <w:numFmt w:val="lowerLetter"/>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27562C0"/>
    <w:multiLevelType w:val="hybridMultilevel"/>
    <w:tmpl w:val="A53A2A5E"/>
    <w:lvl w:ilvl="0" w:tplc="08090001">
      <w:start w:val="1"/>
      <w:numFmt w:val="bullet"/>
      <w:lvlText w:val=""/>
      <w:lvlJc w:val="left"/>
      <w:pPr>
        <w:ind w:left="1929" w:hanging="720"/>
      </w:pPr>
      <w:rPr>
        <w:rFonts w:ascii="Symbol" w:hAnsi="Symbol" w:hint="default"/>
      </w:rPr>
    </w:lvl>
    <w:lvl w:ilvl="1" w:tplc="08090019" w:tentative="1">
      <w:start w:val="1"/>
      <w:numFmt w:val="lowerLetter"/>
      <w:lvlText w:val="%2."/>
      <w:lvlJc w:val="left"/>
      <w:pPr>
        <w:ind w:left="2289" w:hanging="360"/>
      </w:pPr>
    </w:lvl>
    <w:lvl w:ilvl="2" w:tplc="0809001B" w:tentative="1">
      <w:start w:val="1"/>
      <w:numFmt w:val="lowerRoman"/>
      <w:lvlText w:val="%3."/>
      <w:lvlJc w:val="right"/>
      <w:pPr>
        <w:ind w:left="3009" w:hanging="180"/>
      </w:pPr>
    </w:lvl>
    <w:lvl w:ilvl="3" w:tplc="0809000F" w:tentative="1">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tentative="1">
      <w:start w:val="1"/>
      <w:numFmt w:val="lowerRoman"/>
      <w:lvlText w:val="%9."/>
      <w:lvlJc w:val="right"/>
      <w:pPr>
        <w:ind w:left="7329" w:hanging="180"/>
      </w:pPr>
    </w:lvl>
  </w:abstractNum>
  <w:abstractNum w:abstractNumId="19" w15:restartNumberingAfterBreak="0">
    <w:nsid w:val="6B3404EA"/>
    <w:multiLevelType w:val="hybridMultilevel"/>
    <w:tmpl w:val="608EC30E"/>
    <w:lvl w:ilvl="0" w:tplc="6C6499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695E2C"/>
    <w:multiLevelType w:val="hybridMultilevel"/>
    <w:tmpl w:val="F0360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A250D8"/>
    <w:multiLevelType w:val="hybridMultilevel"/>
    <w:tmpl w:val="89BA39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3852D8"/>
    <w:multiLevelType w:val="hybridMultilevel"/>
    <w:tmpl w:val="8932D6FA"/>
    <w:lvl w:ilvl="0" w:tplc="BCB05204">
      <w:start w:val="1"/>
      <w:numFmt w:val="decimal"/>
      <w:lvlText w:val="%1."/>
      <w:lvlJc w:val="left"/>
      <w:pPr>
        <w:ind w:left="360" w:hanging="360"/>
      </w:pPr>
      <w:rPr>
        <w:rFonts w:hint="default"/>
        <w:b/>
        <w:i w:val="0"/>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2B8511C"/>
    <w:multiLevelType w:val="hybridMultilevel"/>
    <w:tmpl w:val="6812004C"/>
    <w:lvl w:ilvl="0" w:tplc="7F3CC26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767B0F78"/>
    <w:multiLevelType w:val="multilevel"/>
    <w:tmpl w:val="91FA8CE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2"/>
  </w:num>
  <w:num w:numId="3">
    <w:abstractNumId w:val="13"/>
  </w:num>
  <w:num w:numId="4">
    <w:abstractNumId w:val="4"/>
  </w:num>
  <w:num w:numId="5">
    <w:abstractNumId w:val="11"/>
  </w:num>
  <w:num w:numId="6">
    <w:abstractNumId w:val="22"/>
  </w:num>
  <w:num w:numId="7">
    <w:abstractNumId w:val="5"/>
  </w:num>
  <w:num w:numId="8">
    <w:abstractNumId w:val="23"/>
  </w:num>
  <w:num w:numId="9">
    <w:abstractNumId w:val="15"/>
  </w:num>
  <w:num w:numId="10">
    <w:abstractNumId w:val="19"/>
  </w:num>
  <w:num w:numId="11">
    <w:abstractNumId w:val="3"/>
  </w:num>
  <w:num w:numId="12">
    <w:abstractNumId w:val="9"/>
  </w:num>
  <w:num w:numId="13">
    <w:abstractNumId w:val="7"/>
  </w:num>
  <w:num w:numId="14">
    <w:abstractNumId w:val="17"/>
  </w:num>
  <w:num w:numId="15">
    <w:abstractNumId w:val="2"/>
  </w:num>
  <w:num w:numId="16">
    <w:abstractNumId w:val="16"/>
  </w:num>
  <w:num w:numId="17">
    <w:abstractNumId w:val="10"/>
  </w:num>
  <w:num w:numId="18">
    <w:abstractNumId w:val="14"/>
  </w:num>
  <w:num w:numId="19">
    <w:abstractNumId w:val="6"/>
  </w:num>
  <w:num w:numId="20">
    <w:abstractNumId w:val="1"/>
  </w:num>
  <w:num w:numId="21">
    <w:abstractNumId w:val="24"/>
  </w:num>
  <w:num w:numId="22">
    <w:abstractNumId w:val="21"/>
  </w:num>
  <w:num w:numId="23">
    <w:abstractNumId w:val="20"/>
  </w:num>
  <w:num w:numId="24">
    <w:abstractNumId w:val="18"/>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8700BA"/>
    <w:rsid w:val="00000AAE"/>
    <w:rsid w:val="00000CBD"/>
    <w:rsid w:val="00000FDE"/>
    <w:rsid w:val="00001FCF"/>
    <w:rsid w:val="00002C1F"/>
    <w:rsid w:val="0000322B"/>
    <w:rsid w:val="00003D21"/>
    <w:rsid w:val="000045EE"/>
    <w:rsid w:val="00004D61"/>
    <w:rsid w:val="00006C44"/>
    <w:rsid w:val="000073C5"/>
    <w:rsid w:val="00010174"/>
    <w:rsid w:val="000101C0"/>
    <w:rsid w:val="00010414"/>
    <w:rsid w:val="000110B3"/>
    <w:rsid w:val="00011458"/>
    <w:rsid w:val="00011B09"/>
    <w:rsid w:val="00011DDA"/>
    <w:rsid w:val="0001227E"/>
    <w:rsid w:val="00012BD5"/>
    <w:rsid w:val="00013122"/>
    <w:rsid w:val="000135B2"/>
    <w:rsid w:val="000145C8"/>
    <w:rsid w:val="00017965"/>
    <w:rsid w:val="0001797D"/>
    <w:rsid w:val="00020266"/>
    <w:rsid w:val="00020E67"/>
    <w:rsid w:val="000215E6"/>
    <w:rsid w:val="00021901"/>
    <w:rsid w:val="00021C32"/>
    <w:rsid w:val="000221BB"/>
    <w:rsid w:val="00022C7C"/>
    <w:rsid w:val="00022DC0"/>
    <w:rsid w:val="00022E9B"/>
    <w:rsid w:val="00024980"/>
    <w:rsid w:val="00024CA2"/>
    <w:rsid w:val="00025040"/>
    <w:rsid w:val="0002562B"/>
    <w:rsid w:val="00026E44"/>
    <w:rsid w:val="00026EB2"/>
    <w:rsid w:val="000310B2"/>
    <w:rsid w:val="0003207A"/>
    <w:rsid w:val="0003331A"/>
    <w:rsid w:val="0003505C"/>
    <w:rsid w:val="00035840"/>
    <w:rsid w:val="00036183"/>
    <w:rsid w:val="000369B5"/>
    <w:rsid w:val="00036E57"/>
    <w:rsid w:val="0003765D"/>
    <w:rsid w:val="0004113F"/>
    <w:rsid w:val="0004153C"/>
    <w:rsid w:val="000415DC"/>
    <w:rsid w:val="0004181E"/>
    <w:rsid w:val="00041BDE"/>
    <w:rsid w:val="00041C7B"/>
    <w:rsid w:val="00042182"/>
    <w:rsid w:val="000423C6"/>
    <w:rsid w:val="00042434"/>
    <w:rsid w:val="00042D92"/>
    <w:rsid w:val="00044032"/>
    <w:rsid w:val="000446B3"/>
    <w:rsid w:val="00044E5E"/>
    <w:rsid w:val="0004559F"/>
    <w:rsid w:val="00046053"/>
    <w:rsid w:val="00046A43"/>
    <w:rsid w:val="00050485"/>
    <w:rsid w:val="00051BB3"/>
    <w:rsid w:val="00053A06"/>
    <w:rsid w:val="000540A0"/>
    <w:rsid w:val="00054CB2"/>
    <w:rsid w:val="00055AFA"/>
    <w:rsid w:val="000560BD"/>
    <w:rsid w:val="00056D3B"/>
    <w:rsid w:val="00060655"/>
    <w:rsid w:val="0006167E"/>
    <w:rsid w:val="0006178A"/>
    <w:rsid w:val="000620C7"/>
    <w:rsid w:val="00062C93"/>
    <w:rsid w:val="000634B5"/>
    <w:rsid w:val="000639D4"/>
    <w:rsid w:val="00064B33"/>
    <w:rsid w:val="00064DEE"/>
    <w:rsid w:val="00064F55"/>
    <w:rsid w:val="0006554D"/>
    <w:rsid w:val="00065E70"/>
    <w:rsid w:val="00067703"/>
    <w:rsid w:val="00067F0E"/>
    <w:rsid w:val="00071B68"/>
    <w:rsid w:val="00072023"/>
    <w:rsid w:val="0007382B"/>
    <w:rsid w:val="00075214"/>
    <w:rsid w:val="00075564"/>
    <w:rsid w:val="00077C94"/>
    <w:rsid w:val="00080E5F"/>
    <w:rsid w:val="000814F5"/>
    <w:rsid w:val="000815D6"/>
    <w:rsid w:val="00081F52"/>
    <w:rsid w:val="000822AF"/>
    <w:rsid w:val="0008298B"/>
    <w:rsid w:val="00083441"/>
    <w:rsid w:val="000839D3"/>
    <w:rsid w:val="000841C8"/>
    <w:rsid w:val="00084A65"/>
    <w:rsid w:val="00085CB6"/>
    <w:rsid w:val="000878C1"/>
    <w:rsid w:val="00087B9F"/>
    <w:rsid w:val="000904DD"/>
    <w:rsid w:val="0009117C"/>
    <w:rsid w:val="000936C6"/>
    <w:rsid w:val="00093E6B"/>
    <w:rsid w:val="000944AD"/>
    <w:rsid w:val="000948B3"/>
    <w:rsid w:val="00094C4C"/>
    <w:rsid w:val="000950C9"/>
    <w:rsid w:val="00095B32"/>
    <w:rsid w:val="00095FBC"/>
    <w:rsid w:val="000A1466"/>
    <w:rsid w:val="000A16D5"/>
    <w:rsid w:val="000A2951"/>
    <w:rsid w:val="000A2972"/>
    <w:rsid w:val="000A3E23"/>
    <w:rsid w:val="000A5E6F"/>
    <w:rsid w:val="000A5FA1"/>
    <w:rsid w:val="000A6C13"/>
    <w:rsid w:val="000B0B52"/>
    <w:rsid w:val="000B1199"/>
    <w:rsid w:val="000B24D9"/>
    <w:rsid w:val="000B2C21"/>
    <w:rsid w:val="000B3FE7"/>
    <w:rsid w:val="000B4B52"/>
    <w:rsid w:val="000B56F6"/>
    <w:rsid w:val="000B615B"/>
    <w:rsid w:val="000B6615"/>
    <w:rsid w:val="000B789D"/>
    <w:rsid w:val="000C02A6"/>
    <w:rsid w:val="000C0338"/>
    <w:rsid w:val="000C14DB"/>
    <w:rsid w:val="000C163B"/>
    <w:rsid w:val="000C19E2"/>
    <w:rsid w:val="000C1FB9"/>
    <w:rsid w:val="000C4451"/>
    <w:rsid w:val="000C482A"/>
    <w:rsid w:val="000C4CEA"/>
    <w:rsid w:val="000C4DC0"/>
    <w:rsid w:val="000C5DCE"/>
    <w:rsid w:val="000C5EA4"/>
    <w:rsid w:val="000C5EB4"/>
    <w:rsid w:val="000C601D"/>
    <w:rsid w:val="000C7099"/>
    <w:rsid w:val="000C7649"/>
    <w:rsid w:val="000C7A55"/>
    <w:rsid w:val="000C7A9B"/>
    <w:rsid w:val="000C7C37"/>
    <w:rsid w:val="000C7DAC"/>
    <w:rsid w:val="000D09BC"/>
    <w:rsid w:val="000D0BD1"/>
    <w:rsid w:val="000D18F6"/>
    <w:rsid w:val="000D5284"/>
    <w:rsid w:val="000D5D64"/>
    <w:rsid w:val="000D5E38"/>
    <w:rsid w:val="000D6AB6"/>
    <w:rsid w:val="000D7EF5"/>
    <w:rsid w:val="000E0353"/>
    <w:rsid w:val="000E0718"/>
    <w:rsid w:val="000E079B"/>
    <w:rsid w:val="000E3CE7"/>
    <w:rsid w:val="000E4DFD"/>
    <w:rsid w:val="000E6547"/>
    <w:rsid w:val="000E7172"/>
    <w:rsid w:val="000E7923"/>
    <w:rsid w:val="000E7C07"/>
    <w:rsid w:val="000F3910"/>
    <w:rsid w:val="000F3B6D"/>
    <w:rsid w:val="000F478E"/>
    <w:rsid w:val="00100034"/>
    <w:rsid w:val="00101184"/>
    <w:rsid w:val="001014A3"/>
    <w:rsid w:val="00101715"/>
    <w:rsid w:val="00102424"/>
    <w:rsid w:val="00102E29"/>
    <w:rsid w:val="001045B1"/>
    <w:rsid w:val="00106100"/>
    <w:rsid w:val="001064F7"/>
    <w:rsid w:val="00106649"/>
    <w:rsid w:val="00106FCB"/>
    <w:rsid w:val="0011000D"/>
    <w:rsid w:val="001106EF"/>
    <w:rsid w:val="001111BD"/>
    <w:rsid w:val="00111DF5"/>
    <w:rsid w:val="00112036"/>
    <w:rsid w:val="0011225C"/>
    <w:rsid w:val="001123D6"/>
    <w:rsid w:val="0011347B"/>
    <w:rsid w:val="001146E0"/>
    <w:rsid w:val="00114795"/>
    <w:rsid w:val="00114906"/>
    <w:rsid w:val="00114B77"/>
    <w:rsid w:val="00120513"/>
    <w:rsid w:val="00120BBF"/>
    <w:rsid w:val="001232F0"/>
    <w:rsid w:val="001233B2"/>
    <w:rsid w:val="00123ACE"/>
    <w:rsid w:val="00124392"/>
    <w:rsid w:val="00124434"/>
    <w:rsid w:val="0012475E"/>
    <w:rsid w:val="0012541B"/>
    <w:rsid w:val="001256FC"/>
    <w:rsid w:val="00126518"/>
    <w:rsid w:val="00126C60"/>
    <w:rsid w:val="00126F4D"/>
    <w:rsid w:val="00130CCF"/>
    <w:rsid w:val="00131D4B"/>
    <w:rsid w:val="00132D60"/>
    <w:rsid w:val="0013316C"/>
    <w:rsid w:val="00133192"/>
    <w:rsid w:val="00133A60"/>
    <w:rsid w:val="0013431D"/>
    <w:rsid w:val="00134730"/>
    <w:rsid w:val="0013542E"/>
    <w:rsid w:val="00135F3B"/>
    <w:rsid w:val="0013621B"/>
    <w:rsid w:val="00137428"/>
    <w:rsid w:val="001377AA"/>
    <w:rsid w:val="001408DF"/>
    <w:rsid w:val="00140A41"/>
    <w:rsid w:val="00140D08"/>
    <w:rsid w:val="00140F9A"/>
    <w:rsid w:val="001424B0"/>
    <w:rsid w:val="00143635"/>
    <w:rsid w:val="001436B5"/>
    <w:rsid w:val="00143B8E"/>
    <w:rsid w:val="00144003"/>
    <w:rsid w:val="00145A6F"/>
    <w:rsid w:val="00147E2F"/>
    <w:rsid w:val="001510F6"/>
    <w:rsid w:val="00151D4B"/>
    <w:rsid w:val="00151FC2"/>
    <w:rsid w:val="00152905"/>
    <w:rsid w:val="00153582"/>
    <w:rsid w:val="00153842"/>
    <w:rsid w:val="00153D95"/>
    <w:rsid w:val="001540BE"/>
    <w:rsid w:val="0015459E"/>
    <w:rsid w:val="001545F3"/>
    <w:rsid w:val="00154647"/>
    <w:rsid w:val="00154814"/>
    <w:rsid w:val="00155341"/>
    <w:rsid w:val="00156335"/>
    <w:rsid w:val="00156940"/>
    <w:rsid w:val="0016318A"/>
    <w:rsid w:val="001653E4"/>
    <w:rsid w:val="00166128"/>
    <w:rsid w:val="001702D8"/>
    <w:rsid w:val="00170586"/>
    <w:rsid w:val="00171316"/>
    <w:rsid w:val="00171487"/>
    <w:rsid w:val="00171B28"/>
    <w:rsid w:val="00171D96"/>
    <w:rsid w:val="00171DCD"/>
    <w:rsid w:val="0017326C"/>
    <w:rsid w:val="001732CA"/>
    <w:rsid w:val="00173557"/>
    <w:rsid w:val="00173D4C"/>
    <w:rsid w:val="001747FF"/>
    <w:rsid w:val="001748B4"/>
    <w:rsid w:val="00175ED9"/>
    <w:rsid w:val="001762CF"/>
    <w:rsid w:val="0017674F"/>
    <w:rsid w:val="00176974"/>
    <w:rsid w:val="00177BA6"/>
    <w:rsid w:val="0018016F"/>
    <w:rsid w:val="00180232"/>
    <w:rsid w:val="0018097B"/>
    <w:rsid w:val="001811D9"/>
    <w:rsid w:val="0018243E"/>
    <w:rsid w:val="001826CB"/>
    <w:rsid w:val="00184C18"/>
    <w:rsid w:val="00184C57"/>
    <w:rsid w:val="00185559"/>
    <w:rsid w:val="00185E08"/>
    <w:rsid w:val="00186699"/>
    <w:rsid w:val="00186C47"/>
    <w:rsid w:val="00187231"/>
    <w:rsid w:val="00187C71"/>
    <w:rsid w:val="00187FB8"/>
    <w:rsid w:val="001933AD"/>
    <w:rsid w:val="0019397D"/>
    <w:rsid w:val="00193A21"/>
    <w:rsid w:val="00193E86"/>
    <w:rsid w:val="00194798"/>
    <w:rsid w:val="00194891"/>
    <w:rsid w:val="00194B00"/>
    <w:rsid w:val="001959F3"/>
    <w:rsid w:val="00195C16"/>
    <w:rsid w:val="0019700D"/>
    <w:rsid w:val="00197049"/>
    <w:rsid w:val="001A122B"/>
    <w:rsid w:val="001A169A"/>
    <w:rsid w:val="001A176A"/>
    <w:rsid w:val="001A184F"/>
    <w:rsid w:val="001A1B1D"/>
    <w:rsid w:val="001A1D65"/>
    <w:rsid w:val="001A3BBB"/>
    <w:rsid w:val="001A5EFD"/>
    <w:rsid w:val="001B0900"/>
    <w:rsid w:val="001B1F17"/>
    <w:rsid w:val="001B238A"/>
    <w:rsid w:val="001B309D"/>
    <w:rsid w:val="001B3B1A"/>
    <w:rsid w:val="001B3C92"/>
    <w:rsid w:val="001B3E9E"/>
    <w:rsid w:val="001B58D9"/>
    <w:rsid w:val="001B59E8"/>
    <w:rsid w:val="001B5BEA"/>
    <w:rsid w:val="001B6E86"/>
    <w:rsid w:val="001C0A46"/>
    <w:rsid w:val="001C0AF5"/>
    <w:rsid w:val="001C16FE"/>
    <w:rsid w:val="001C1881"/>
    <w:rsid w:val="001C1A93"/>
    <w:rsid w:val="001C1B4D"/>
    <w:rsid w:val="001C4C79"/>
    <w:rsid w:val="001C55F0"/>
    <w:rsid w:val="001C5FC0"/>
    <w:rsid w:val="001D0B43"/>
    <w:rsid w:val="001D0FB1"/>
    <w:rsid w:val="001D13A6"/>
    <w:rsid w:val="001D1863"/>
    <w:rsid w:val="001D18DE"/>
    <w:rsid w:val="001D279F"/>
    <w:rsid w:val="001D2C81"/>
    <w:rsid w:val="001D3267"/>
    <w:rsid w:val="001D58C4"/>
    <w:rsid w:val="001D5D44"/>
    <w:rsid w:val="001E01A1"/>
    <w:rsid w:val="001E023F"/>
    <w:rsid w:val="001E15B0"/>
    <w:rsid w:val="001E1A1D"/>
    <w:rsid w:val="001E2D7E"/>
    <w:rsid w:val="001E36EF"/>
    <w:rsid w:val="001E39E5"/>
    <w:rsid w:val="001E49B1"/>
    <w:rsid w:val="001E56A4"/>
    <w:rsid w:val="001E71D8"/>
    <w:rsid w:val="001E7836"/>
    <w:rsid w:val="001E7D7D"/>
    <w:rsid w:val="001F01B7"/>
    <w:rsid w:val="001F03AA"/>
    <w:rsid w:val="001F10DB"/>
    <w:rsid w:val="001F13A2"/>
    <w:rsid w:val="001F345B"/>
    <w:rsid w:val="001F3D09"/>
    <w:rsid w:val="001F4F59"/>
    <w:rsid w:val="001F52E6"/>
    <w:rsid w:val="001F5FC2"/>
    <w:rsid w:val="001F6FEE"/>
    <w:rsid w:val="001F7664"/>
    <w:rsid w:val="00200B47"/>
    <w:rsid w:val="002019F7"/>
    <w:rsid w:val="00202164"/>
    <w:rsid w:val="00204893"/>
    <w:rsid w:val="002062E4"/>
    <w:rsid w:val="00206BEF"/>
    <w:rsid w:val="00207253"/>
    <w:rsid w:val="00207EC9"/>
    <w:rsid w:val="0021022C"/>
    <w:rsid w:val="0021047D"/>
    <w:rsid w:val="002104EC"/>
    <w:rsid w:val="002113DA"/>
    <w:rsid w:val="00211491"/>
    <w:rsid w:val="002124B3"/>
    <w:rsid w:val="0021294E"/>
    <w:rsid w:val="00212BEA"/>
    <w:rsid w:val="0021381D"/>
    <w:rsid w:val="00213DE3"/>
    <w:rsid w:val="00214434"/>
    <w:rsid w:val="00215D3D"/>
    <w:rsid w:val="00215E1C"/>
    <w:rsid w:val="002215A8"/>
    <w:rsid w:val="00222F66"/>
    <w:rsid w:val="00224478"/>
    <w:rsid w:val="002248AC"/>
    <w:rsid w:val="00227021"/>
    <w:rsid w:val="002303B9"/>
    <w:rsid w:val="0023054C"/>
    <w:rsid w:val="00230BAC"/>
    <w:rsid w:val="0023111C"/>
    <w:rsid w:val="00231542"/>
    <w:rsid w:val="00231894"/>
    <w:rsid w:val="00231A04"/>
    <w:rsid w:val="00233340"/>
    <w:rsid w:val="00233EC8"/>
    <w:rsid w:val="002343C7"/>
    <w:rsid w:val="00234DD1"/>
    <w:rsid w:val="00235F92"/>
    <w:rsid w:val="00236180"/>
    <w:rsid w:val="00236509"/>
    <w:rsid w:val="00236903"/>
    <w:rsid w:val="00236B90"/>
    <w:rsid w:val="00236EC3"/>
    <w:rsid w:val="00240E78"/>
    <w:rsid w:val="00241492"/>
    <w:rsid w:val="00241873"/>
    <w:rsid w:val="002429A8"/>
    <w:rsid w:val="00242A68"/>
    <w:rsid w:val="00242B11"/>
    <w:rsid w:val="002432A5"/>
    <w:rsid w:val="00244133"/>
    <w:rsid w:val="0024495C"/>
    <w:rsid w:val="00245D90"/>
    <w:rsid w:val="00246C4F"/>
    <w:rsid w:val="00251360"/>
    <w:rsid w:val="00251E3C"/>
    <w:rsid w:val="0025301F"/>
    <w:rsid w:val="0025414B"/>
    <w:rsid w:val="00254D0C"/>
    <w:rsid w:val="00254E7E"/>
    <w:rsid w:val="00255007"/>
    <w:rsid w:val="002552D8"/>
    <w:rsid w:val="00256348"/>
    <w:rsid w:val="00256AFC"/>
    <w:rsid w:val="00256B64"/>
    <w:rsid w:val="00256B68"/>
    <w:rsid w:val="0025797D"/>
    <w:rsid w:val="002579AA"/>
    <w:rsid w:val="002601F7"/>
    <w:rsid w:val="0026127A"/>
    <w:rsid w:val="0026216C"/>
    <w:rsid w:val="0026257D"/>
    <w:rsid w:val="0026329E"/>
    <w:rsid w:val="002634F4"/>
    <w:rsid w:val="00263B10"/>
    <w:rsid w:val="002644F9"/>
    <w:rsid w:val="00264A55"/>
    <w:rsid w:val="00264B83"/>
    <w:rsid w:val="002657F8"/>
    <w:rsid w:val="00265CB4"/>
    <w:rsid w:val="00266986"/>
    <w:rsid w:val="002678EB"/>
    <w:rsid w:val="00267976"/>
    <w:rsid w:val="00271218"/>
    <w:rsid w:val="0027159E"/>
    <w:rsid w:val="00271AE4"/>
    <w:rsid w:val="00272690"/>
    <w:rsid w:val="00272915"/>
    <w:rsid w:val="002733EF"/>
    <w:rsid w:val="00273417"/>
    <w:rsid w:val="002734F8"/>
    <w:rsid w:val="00273952"/>
    <w:rsid w:val="00273AF1"/>
    <w:rsid w:val="00273FE1"/>
    <w:rsid w:val="002743C7"/>
    <w:rsid w:val="00274E18"/>
    <w:rsid w:val="0027537D"/>
    <w:rsid w:val="00275526"/>
    <w:rsid w:val="0027566C"/>
    <w:rsid w:val="002758A2"/>
    <w:rsid w:val="00275CA8"/>
    <w:rsid w:val="0028060F"/>
    <w:rsid w:val="0028064C"/>
    <w:rsid w:val="002807E6"/>
    <w:rsid w:val="00281B38"/>
    <w:rsid w:val="002845E2"/>
    <w:rsid w:val="002847D2"/>
    <w:rsid w:val="00284FFE"/>
    <w:rsid w:val="00285184"/>
    <w:rsid w:val="00286643"/>
    <w:rsid w:val="00287891"/>
    <w:rsid w:val="00287C9A"/>
    <w:rsid w:val="00291B0E"/>
    <w:rsid w:val="00292FB0"/>
    <w:rsid w:val="002932BA"/>
    <w:rsid w:val="00293956"/>
    <w:rsid w:val="00293E20"/>
    <w:rsid w:val="00294D50"/>
    <w:rsid w:val="00295A31"/>
    <w:rsid w:val="00295CF3"/>
    <w:rsid w:val="002962F0"/>
    <w:rsid w:val="002964AA"/>
    <w:rsid w:val="00297A82"/>
    <w:rsid w:val="002A0DDD"/>
    <w:rsid w:val="002A2F9B"/>
    <w:rsid w:val="002A46C6"/>
    <w:rsid w:val="002A4704"/>
    <w:rsid w:val="002A5C82"/>
    <w:rsid w:val="002A67E8"/>
    <w:rsid w:val="002A69F1"/>
    <w:rsid w:val="002B12EE"/>
    <w:rsid w:val="002B1F00"/>
    <w:rsid w:val="002B2355"/>
    <w:rsid w:val="002B23E5"/>
    <w:rsid w:val="002B2EC8"/>
    <w:rsid w:val="002B30FE"/>
    <w:rsid w:val="002B311B"/>
    <w:rsid w:val="002B3AC2"/>
    <w:rsid w:val="002B44EA"/>
    <w:rsid w:val="002B4652"/>
    <w:rsid w:val="002B4DC0"/>
    <w:rsid w:val="002B603E"/>
    <w:rsid w:val="002B632B"/>
    <w:rsid w:val="002B7B64"/>
    <w:rsid w:val="002B7FB5"/>
    <w:rsid w:val="002C057A"/>
    <w:rsid w:val="002C15A5"/>
    <w:rsid w:val="002C467D"/>
    <w:rsid w:val="002C7611"/>
    <w:rsid w:val="002D0DB4"/>
    <w:rsid w:val="002D1DCF"/>
    <w:rsid w:val="002D1E4F"/>
    <w:rsid w:val="002D29E3"/>
    <w:rsid w:val="002D29FC"/>
    <w:rsid w:val="002D358C"/>
    <w:rsid w:val="002D51AC"/>
    <w:rsid w:val="002D55F9"/>
    <w:rsid w:val="002D5EB1"/>
    <w:rsid w:val="002D7233"/>
    <w:rsid w:val="002D77F7"/>
    <w:rsid w:val="002D7E48"/>
    <w:rsid w:val="002D7F81"/>
    <w:rsid w:val="002E11E6"/>
    <w:rsid w:val="002E122B"/>
    <w:rsid w:val="002E33F4"/>
    <w:rsid w:val="002E4E0A"/>
    <w:rsid w:val="002E505E"/>
    <w:rsid w:val="002E61AC"/>
    <w:rsid w:val="002E73A9"/>
    <w:rsid w:val="002E7C81"/>
    <w:rsid w:val="002F09EC"/>
    <w:rsid w:val="002F2A0E"/>
    <w:rsid w:val="002F70D3"/>
    <w:rsid w:val="0030007F"/>
    <w:rsid w:val="00300FCF"/>
    <w:rsid w:val="0030222B"/>
    <w:rsid w:val="00302C10"/>
    <w:rsid w:val="00302DF9"/>
    <w:rsid w:val="00304F34"/>
    <w:rsid w:val="00305242"/>
    <w:rsid w:val="00306915"/>
    <w:rsid w:val="00307834"/>
    <w:rsid w:val="00307F15"/>
    <w:rsid w:val="003106AC"/>
    <w:rsid w:val="00311896"/>
    <w:rsid w:val="00311ADB"/>
    <w:rsid w:val="00312738"/>
    <w:rsid w:val="003127D7"/>
    <w:rsid w:val="003140FB"/>
    <w:rsid w:val="00314BFE"/>
    <w:rsid w:val="00314C7E"/>
    <w:rsid w:val="00314CFB"/>
    <w:rsid w:val="003159E3"/>
    <w:rsid w:val="00316ACA"/>
    <w:rsid w:val="0031707D"/>
    <w:rsid w:val="003178AE"/>
    <w:rsid w:val="00317B1D"/>
    <w:rsid w:val="003208B1"/>
    <w:rsid w:val="00320B4A"/>
    <w:rsid w:val="00320E56"/>
    <w:rsid w:val="00320EE1"/>
    <w:rsid w:val="00321387"/>
    <w:rsid w:val="003223E9"/>
    <w:rsid w:val="00322407"/>
    <w:rsid w:val="00322819"/>
    <w:rsid w:val="003237D4"/>
    <w:rsid w:val="00325D29"/>
    <w:rsid w:val="00326256"/>
    <w:rsid w:val="00327E9A"/>
    <w:rsid w:val="0033032B"/>
    <w:rsid w:val="003304DC"/>
    <w:rsid w:val="00330582"/>
    <w:rsid w:val="0033399E"/>
    <w:rsid w:val="00335F5E"/>
    <w:rsid w:val="00336C0D"/>
    <w:rsid w:val="003373E0"/>
    <w:rsid w:val="00340367"/>
    <w:rsid w:val="00340D56"/>
    <w:rsid w:val="003415CF"/>
    <w:rsid w:val="00342D32"/>
    <w:rsid w:val="003438ED"/>
    <w:rsid w:val="00343D92"/>
    <w:rsid w:val="00344D1F"/>
    <w:rsid w:val="00344FB9"/>
    <w:rsid w:val="00345740"/>
    <w:rsid w:val="00345F18"/>
    <w:rsid w:val="00347438"/>
    <w:rsid w:val="00350C8E"/>
    <w:rsid w:val="0035132D"/>
    <w:rsid w:val="00351648"/>
    <w:rsid w:val="00352551"/>
    <w:rsid w:val="00352EC3"/>
    <w:rsid w:val="00353AF8"/>
    <w:rsid w:val="00354C34"/>
    <w:rsid w:val="003551EB"/>
    <w:rsid w:val="00355CE2"/>
    <w:rsid w:val="00356246"/>
    <w:rsid w:val="0035659F"/>
    <w:rsid w:val="00356ADA"/>
    <w:rsid w:val="00357AFA"/>
    <w:rsid w:val="00357B4E"/>
    <w:rsid w:val="003602A0"/>
    <w:rsid w:val="003622DC"/>
    <w:rsid w:val="00363486"/>
    <w:rsid w:val="003645BD"/>
    <w:rsid w:val="0036476A"/>
    <w:rsid w:val="00365AA2"/>
    <w:rsid w:val="00366905"/>
    <w:rsid w:val="00367292"/>
    <w:rsid w:val="0036773B"/>
    <w:rsid w:val="00367A1B"/>
    <w:rsid w:val="00371FF4"/>
    <w:rsid w:val="00373AF8"/>
    <w:rsid w:val="00374131"/>
    <w:rsid w:val="00375357"/>
    <w:rsid w:val="00376401"/>
    <w:rsid w:val="00376C2D"/>
    <w:rsid w:val="00376C8E"/>
    <w:rsid w:val="00376CCE"/>
    <w:rsid w:val="00380BAB"/>
    <w:rsid w:val="00381496"/>
    <w:rsid w:val="00382751"/>
    <w:rsid w:val="00382961"/>
    <w:rsid w:val="00383A25"/>
    <w:rsid w:val="0038413A"/>
    <w:rsid w:val="00385D87"/>
    <w:rsid w:val="0038629A"/>
    <w:rsid w:val="00390850"/>
    <w:rsid w:val="0039100C"/>
    <w:rsid w:val="00393998"/>
    <w:rsid w:val="0039609C"/>
    <w:rsid w:val="00396AEB"/>
    <w:rsid w:val="003A09F2"/>
    <w:rsid w:val="003A1E5A"/>
    <w:rsid w:val="003A24CD"/>
    <w:rsid w:val="003A2528"/>
    <w:rsid w:val="003A27C5"/>
    <w:rsid w:val="003A2F34"/>
    <w:rsid w:val="003A4564"/>
    <w:rsid w:val="003A4D96"/>
    <w:rsid w:val="003A5308"/>
    <w:rsid w:val="003A56E4"/>
    <w:rsid w:val="003A60CE"/>
    <w:rsid w:val="003B04C9"/>
    <w:rsid w:val="003B07C1"/>
    <w:rsid w:val="003B082B"/>
    <w:rsid w:val="003B112C"/>
    <w:rsid w:val="003B18E1"/>
    <w:rsid w:val="003B2257"/>
    <w:rsid w:val="003B22DA"/>
    <w:rsid w:val="003B29DF"/>
    <w:rsid w:val="003B2B92"/>
    <w:rsid w:val="003B322D"/>
    <w:rsid w:val="003B3459"/>
    <w:rsid w:val="003B44B1"/>
    <w:rsid w:val="003B52FE"/>
    <w:rsid w:val="003B6481"/>
    <w:rsid w:val="003B6D3A"/>
    <w:rsid w:val="003B78E5"/>
    <w:rsid w:val="003B7D86"/>
    <w:rsid w:val="003C0A22"/>
    <w:rsid w:val="003C0AF1"/>
    <w:rsid w:val="003C0EA8"/>
    <w:rsid w:val="003C19E4"/>
    <w:rsid w:val="003C2EBC"/>
    <w:rsid w:val="003C30D2"/>
    <w:rsid w:val="003C43FF"/>
    <w:rsid w:val="003C533C"/>
    <w:rsid w:val="003C558B"/>
    <w:rsid w:val="003C59C1"/>
    <w:rsid w:val="003C61DF"/>
    <w:rsid w:val="003C628A"/>
    <w:rsid w:val="003C6EDB"/>
    <w:rsid w:val="003C7017"/>
    <w:rsid w:val="003C71E0"/>
    <w:rsid w:val="003C7474"/>
    <w:rsid w:val="003D0E5E"/>
    <w:rsid w:val="003D127A"/>
    <w:rsid w:val="003D1660"/>
    <w:rsid w:val="003D1B5C"/>
    <w:rsid w:val="003D2615"/>
    <w:rsid w:val="003D28AE"/>
    <w:rsid w:val="003D485C"/>
    <w:rsid w:val="003D48B0"/>
    <w:rsid w:val="003D494C"/>
    <w:rsid w:val="003D5D75"/>
    <w:rsid w:val="003D69FC"/>
    <w:rsid w:val="003D6D0E"/>
    <w:rsid w:val="003E091A"/>
    <w:rsid w:val="003E1060"/>
    <w:rsid w:val="003E1260"/>
    <w:rsid w:val="003E2769"/>
    <w:rsid w:val="003E2A04"/>
    <w:rsid w:val="003E3D66"/>
    <w:rsid w:val="003E6503"/>
    <w:rsid w:val="003F1431"/>
    <w:rsid w:val="003F17F4"/>
    <w:rsid w:val="003F1D3E"/>
    <w:rsid w:val="003F279A"/>
    <w:rsid w:val="003F2C67"/>
    <w:rsid w:val="003F34DA"/>
    <w:rsid w:val="003F3B1B"/>
    <w:rsid w:val="003F3BE0"/>
    <w:rsid w:val="003F44D9"/>
    <w:rsid w:val="003F44F8"/>
    <w:rsid w:val="003F4F5A"/>
    <w:rsid w:val="003F73C2"/>
    <w:rsid w:val="003F74BC"/>
    <w:rsid w:val="004000F3"/>
    <w:rsid w:val="004005E5"/>
    <w:rsid w:val="00400E82"/>
    <w:rsid w:val="00401625"/>
    <w:rsid w:val="00403025"/>
    <w:rsid w:val="00403D61"/>
    <w:rsid w:val="00403F26"/>
    <w:rsid w:val="004045CE"/>
    <w:rsid w:val="0040489A"/>
    <w:rsid w:val="00405129"/>
    <w:rsid w:val="00406F23"/>
    <w:rsid w:val="00410F49"/>
    <w:rsid w:val="00412400"/>
    <w:rsid w:val="00412B41"/>
    <w:rsid w:val="00413509"/>
    <w:rsid w:val="004138C3"/>
    <w:rsid w:val="00413D2D"/>
    <w:rsid w:val="0041444A"/>
    <w:rsid w:val="00416152"/>
    <w:rsid w:val="00416A6F"/>
    <w:rsid w:val="004175EF"/>
    <w:rsid w:val="00417B9E"/>
    <w:rsid w:val="0042003E"/>
    <w:rsid w:val="004203A5"/>
    <w:rsid w:val="00420593"/>
    <w:rsid w:val="0042234D"/>
    <w:rsid w:val="00422EB7"/>
    <w:rsid w:val="00423AEA"/>
    <w:rsid w:val="004241ED"/>
    <w:rsid w:val="00424364"/>
    <w:rsid w:val="004258B0"/>
    <w:rsid w:val="00425DA3"/>
    <w:rsid w:val="0042618C"/>
    <w:rsid w:val="00426507"/>
    <w:rsid w:val="00426C12"/>
    <w:rsid w:val="00427624"/>
    <w:rsid w:val="00430511"/>
    <w:rsid w:val="00430573"/>
    <w:rsid w:val="004311E5"/>
    <w:rsid w:val="0043120A"/>
    <w:rsid w:val="00431F23"/>
    <w:rsid w:val="00431F36"/>
    <w:rsid w:val="00433B39"/>
    <w:rsid w:val="00433DDF"/>
    <w:rsid w:val="00434670"/>
    <w:rsid w:val="0043477B"/>
    <w:rsid w:val="00435298"/>
    <w:rsid w:val="004355CE"/>
    <w:rsid w:val="0043612B"/>
    <w:rsid w:val="00436A88"/>
    <w:rsid w:val="004378EA"/>
    <w:rsid w:val="00437B2D"/>
    <w:rsid w:val="004402A0"/>
    <w:rsid w:val="004423C2"/>
    <w:rsid w:val="00442D59"/>
    <w:rsid w:val="00443BEA"/>
    <w:rsid w:val="0044577A"/>
    <w:rsid w:val="004465BF"/>
    <w:rsid w:val="00450202"/>
    <w:rsid w:val="00451AF6"/>
    <w:rsid w:val="004529FD"/>
    <w:rsid w:val="00452A60"/>
    <w:rsid w:val="004536DA"/>
    <w:rsid w:val="004547C0"/>
    <w:rsid w:val="00454F1E"/>
    <w:rsid w:val="00455005"/>
    <w:rsid w:val="00455635"/>
    <w:rsid w:val="00456875"/>
    <w:rsid w:val="004569C6"/>
    <w:rsid w:val="0046066A"/>
    <w:rsid w:val="0046100F"/>
    <w:rsid w:val="00461E49"/>
    <w:rsid w:val="004629BD"/>
    <w:rsid w:val="00462C4D"/>
    <w:rsid w:val="00462F8D"/>
    <w:rsid w:val="004634D3"/>
    <w:rsid w:val="004636CA"/>
    <w:rsid w:val="004652AB"/>
    <w:rsid w:val="004656E4"/>
    <w:rsid w:val="00465E1F"/>
    <w:rsid w:val="00465ED4"/>
    <w:rsid w:val="004672A2"/>
    <w:rsid w:val="004675EA"/>
    <w:rsid w:val="00467677"/>
    <w:rsid w:val="00467692"/>
    <w:rsid w:val="004708BD"/>
    <w:rsid w:val="004716FC"/>
    <w:rsid w:val="004718B7"/>
    <w:rsid w:val="00471F77"/>
    <w:rsid w:val="00472075"/>
    <w:rsid w:val="00472365"/>
    <w:rsid w:val="00473017"/>
    <w:rsid w:val="00475030"/>
    <w:rsid w:val="004759B2"/>
    <w:rsid w:val="004760CB"/>
    <w:rsid w:val="0048072B"/>
    <w:rsid w:val="00481FCE"/>
    <w:rsid w:val="00482785"/>
    <w:rsid w:val="00482A24"/>
    <w:rsid w:val="00482B0D"/>
    <w:rsid w:val="004844DE"/>
    <w:rsid w:val="00484BAA"/>
    <w:rsid w:val="00484E94"/>
    <w:rsid w:val="00485096"/>
    <w:rsid w:val="00485FEC"/>
    <w:rsid w:val="0048755C"/>
    <w:rsid w:val="004919D5"/>
    <w:rsid w:val="0049285F"/>
    <w:rsid w:val="0049524F"/>
    <w:rsid w:val="00495485"/>
    <w:rsid w:val="00496C53"/>
    <w:rsid w:val="00497627"/>
    <w:rsid w:val="004A0171"/>
    <w:rsid w:val="004A0177"/>
    <w:rsid w:val="004A0EC2"/>
    <w:rsid w:val="004A2661"/>
    <w:rsid w:val="004A28F2"/>
    <w:rsid w:val="004A2B1A"/>
    <w:rsid w:val="004A2E1F"/>
    <w:rsid w:val="004A4FB0"/>
    <w:rsid w:val="004A5460"/>
    <w:rsid w:val="004A6E3B"/>
    <w:rsid w:val="004A6F15"/>
    <w:rsid w:val="004A7CB8"/>
    <w:rsid w:val="004A7FF6"/>
    <w:rsid w:val="004B0351"/>
    <w:rsid w:val="004B20AD"/>
    <w:rsid w:val="004B24E0"/>
    <w:rsid w:val="004B2D55"/>
    <w:rsid w:val="004B3E38"/>
    <w:rsid w:val="004B42AF"/>
    <w:rsid w:val="004B4EB5"/>
    <w:rsid w:val="004B7D35"/>
    <w:rsid w:val="004C0C0D"/>
    <w:rsid w:val="004C0EF2"/>
    <w:rsid w:val="004C1C5A"/>
    <w:rsid w:val="004C1D05"/>
    <w:rsid w:val="004C1D44"/>
    <w:rsid w:val="004C28A2"/>
    <w:rsid w:val="004C4CC4"/>
    <w:rsid w:val="004C534A"/>
    <w:rsid w:val="004C580D"/>
    <w:rsid w:val="004C5B5D"/>
    <w:rsid w:val="004C6242"/>
    <w:rsid w:val="004C75B9"/>
    <w:rsid w:val="004D13ED"/>
    <w:rsid w:val="004D2AEB"/>
    <w:rsid w:val="004D31F3"/>
    <w:rsid w:val="004D368B"/>
    <w:rsid w:val="004D3C0D"/>
    <w:rsid w:val="004D3F6C"/>
    <w:rsid w:val="004D480A"/>
    <w:rsid w:val="004D5C09"/>
    <w:rsid w:val="004D5EA4"/>
    <w:rsid w:val="004E038E"/>
    <w:rsid w:val="004E0E42"/>
    <w:rsid w:val="004E2002"/>
    <w:rsid w:val="004E2671"/>
    <w:rsid w:val="004E27BE"/>
    <w:rsid w:val="004E285B"/>
    <w:rsid w:val="004E2985"/>
    <w:rsid w:val="004E566E"/>
    <w:rsid w:val="004F01E5"/>
    <w:rsid w:val="004F04F8"/>
    <w:rsid w:val="004F0FAC"/>
    <w:rsid w:val="004F16EC"/>
    <w:rsid w:val="004F179F"/>
    <w:rsid w:val="004F1EB0"/>
    <w:rsid w:val="004F32C3"/>
    <w:rsid w:val="004F394E"/>
    <w:rsid w:val="004F3D74"/>
    <w:rsid w:val="004F4D69"/>
    <w:rsid w:val="004F69C1"/>
    <w:rsid w:val="004F7743"/>
    <w:rsid w:val="00500B1F"/>
    <w:rsid w:val="00501323"/>
    <w:rsid w:val="00501E0E"/>
    <w:rsid w:val="005020E2"/>
    <w:rsid w:val="0050242E"/>
    <w:rsid w:val="00502AB1"/>
    <w:rsid w:val="00503365"/>
    <w:rsid w:val="00503418"/>
    <w:rsid w:val="005039D2"/>
    <w:rsid w:val="00504756"/>
    <w:rsid w:val="005055CA"/>
    <w:rsid w:val="00505875"/>
    <w:rsid w:val="005058DA"/>
    <w:rsid w:val="005076CC"/>
    <w:rsid w:val="00507ED9"/>
    <w:rsid w:val="00510DEF"/>
    <w:rsid w:val="00511F19"/>
    <w:rsid w:val="00513519"/>
    <w:rsid w:val="00514B36"/>
    <w:rsid w:val="00514C1B"/>
    <w:rsid w:val="00514F4E"/>
    <w:rsid w:val="00515278"/>
    <w:rsid w:val="005164B9"/>
    <w:rsid w:val="00517DFA"/>
    <w:rsid w:val="005214F7"/>
    <w:rsid w:val="005219ED"/>
    <w:rsid w:val="00522014"/>
    <w:rsid w:val="0052393F"/>
    <w:rsid w:val="00523E19"/>
    <w:rsid w:val="00523F1A"/>
    <w:rsid w:val="00524575"/>
    <w:rsid w:val="00525077"/>
    <w:rsid w:val="00525693"/>
    <w:rsid w:val="00525990"/>
    <w:rsid w:val="005272AE"/>
    <w:rsid w:val="00527DDC"/>
    <w:rsid w:val="00531014"/>
    <w:rsid w:val="0053172A"/>
    <w:rsid w:val="00531A9A"/>
    <w:rsid w:val="00532C74"/>
    <w:rsid w:val="00533003"/>
    <w:rsid w:val="00533442"/>
    <w:rsid w:val="00533EB7"/>
    <w:rsid w:val="00534C45"/>
    <w:rsid w:val="005359DD"/>
    <w:rsid w:val="00535CFE"/>
    <w:rsid w:val="00536C73"/>
    <w:rsid w:val="00536E48"/>
    <w:rsid w:val="005375DF"/>
    <w:rsid w:val="00537A38"/>
    <w:rsid w:val="00537F2C"/>
    <w:rsid w:val="005407C8"/>
    <w:rsid w:val="00541CF0"/>
    <w:rsid w:val="00542D0B"/>
    <w:rsid w:val="00543425"/>
    <w:rsid w:val="005435E6"/>
    <w:rsid w:val="00543BEB"/>
    <w:rsid w:val="00544734"/>
    <w:rsid w:val="00547007"/>
    <w:rsid w:val="0055023F"/>
    <w:rsid w:val="005521E3"/>
    <w:rsid w:val="0055278E"/>
    <w:rsid w:val="005527BF"/>
    <w:rsid w:val="00553560"/>
    <w:rsid w:val="00553731"/>
    <w:rsid w:val="00553E51"/>
    <w:rsid w:val="00554413"/>
    <w:rsid w:val="00554B5E"/>
    <w:rsid w:val="0055624E"/>
    <w:rsid w:val="00557F4F"/>
    <w:rsid w:val="0056047C"/>
    <w:rsid w:val="005605A5"/>
    <w:rsid w:val="00560801"/>
    <w:rsid w:val="00560966"/>
    <w:rsid w:val="00561B5C"/>
    <w:rsid w:val="0056226F"/>
    <w:rsid w:val="00563CCA"/>
    <w:rsid w:val="005645D7"/>
    <w:rsid w:val="00564A7B"/>
    <w:rsid w:val="005654F0"/>
    <w:rsid w:val="00565918"/>
    <w:rsid w:val="00565CEE"/>
    <w:rsid w:val="00566005"/>
    <w:rsid w:val="005679C7"/>
    <w:rsid w:val="005709F1"/>
    <w:rsid w:val="00572DEE"/>
    <w:rsid w:val="00573228"/>
    <w:rsid w:val="00573322"/>
    <w:rsid w:val="00573BF7"/>
    <w:rsid w:val="005745E7"/>
    <w:rsid w:val="00575312"/>
    <w:rsid w:val="005753F2"/>
    <w:rsid w:val="00575D4D"/>
    <w:rsid w:val="00576502"/>
    <w:rsid w:val="00580F09"/>
    <w:rsid w:val="00581FDD"/>
    <w:rsid w:val="00582E1C"/>
    <w:rsid w:val="005837BF"/>
    <w:rsid w:val="00583B2E"/>
    <w:rsid w:val="0058519D"/>
    <w:rsid w:val="005853B9"/>
    <w:rsid w:val="00585F6B"/>
    <w:rsid w:val="00586A20"/>
    <w:rsid w:val="00590939"/>
    <w:rsid w:val="00592CD8"/>
    <w:rsid w:val="00594A58"/>
    <w:rsid w:val="00594C5F"/>
    <w:rsid w:val="0059586C"/>
    <w:rsid w:val="005964D4"/>
    <w:rsid w:val="00596BF3"/>
    <w:rsid w:val="00596DED"/>
    <w:rsid w:val="00597250"/>
    <w:rsid w:val="005A0A80"/>
    <w:rsid w:val="005A0D47"/>
    <w:rsid w:val="005A2E1F"/>
    <w:rsid w:val="005A2E40"/>
    <w:rsid w:val="005A3940"/>
    <w:rsid w:val="005A3B69"/>
    <w:rsid w:val="005A3FDB"/>
    <w:rsid w:val="005A6A44"/>
    <w:rsid w:val="005A7119"/>
    <w:rsid w:val="005B01DC"/>
    <w:rsid w:val="005B07AA"/>
    <w:rsid w:val="005B0DD6"/>
    <w:rsid w:val="005B11F9"/>
    <w:rsid w:val="005B1576"/>
    <w:rsid w:val="005B1F2F"/>
    <w:rsid w:val="005B2613"/>
    <w:rsid w:val="005B29F8"/>
    <w:rsid w:val="005B2F8E"/>
    <w:rsid w:val="005B3B91"/>
    <w:rsid w:val="005B3F7E"/>
    <w:rsid w:val="005B4577"/>
    <w:rsid w:val="005B5323"/>
    <w:rsid w:val="005B581D"/>
    <w:rsid w:val="005B5AEA"/>
    <w:rsid w:val="005B7240"/>
    <w:rsid w:val="005C02B2"/>
    <w:rsid w:val="005C057E"/>
    <w:rsid w:val="005C258E"/>
    <w:rsid w:val="005C4C9B"/>
    <w:rsid w:val="005C51CA"/>
    <w:rsid w:val="005C738C"/>
    <w:rsid w:val="005C7558"/>
    <w:rsid w:val="005D18B3"/>
    <w:rsid w:val="005D3FBB"/>
    <w:rsid w:val="005D470B"/>
    <w:rsid w:val="005D4D13"/>
    <w:rsid w:val="005E010A"/>
    <w:rsid w:val="005E0980"/>
    <w:rsid w:val="005E106F"/>
    <w:rsid w:val="005E27D7"/>
    <w:rsid w:val="005E2CA3"/>
    <w:rsid w:val="005E30AC"/>
    <w:rsid w:val="005E43E7"/>
    <w:rsid w:val="005F0078"/>
    <w:rsid w:val="005F0447"/>
    <w:rsid w:val="005F0600"/>
    <w:rsid w:val="005F0935"/>
    <w:rsid w:val="005F1093"/>
    <w:rsid w:val="005F19D1"/>
    <w:rsid w:val="005F29D8"/>
    <w:rsid w:val="005F3020"/>
    <w:rsid w:val="005F3693"/>
    <w:rsid w:val="005F43F4"/>
    <w:rsid w:val="005F4666"/>
    <w:rsid w:val="005F4767"/>
    <w:rsid w:val="005F5D88"/>
    <w:rsid w:val="005F5DB6"/>
    <w:rsid w:val="005F6E5E"/>
    <w:rsid w:val="005F6FDE"/>
    <w:rsid w:val="006022F1"/>
    <w:rsid w:val="00602379"/>
    <w:rsid w:val="00603ADE"/>
    <w:rsid w:val="0060577F"/>
    <w:rsid w:val="00605A1A"/>
    <w:rsid w:val="00606C58"/>
    <w:rsid w:val="00606CAA"/>
    <w:rsid w:val="00612ED4"/>
    <w:rsid w:val="006131A3"/>
    <w:rsid w:val="0061367C"/>
    <w:rsid w:val="006140B4"/>
    <w:rsid w:val="00614B3E"/>
    <w:rsid w:val="00614DF7"/>
    <w:rsid w:val="00614ED1"/>
    <w:rsid w:val="006151C7"/>
    <w:rsid w:val="006153B9"/>
    <w:rsid w:val="00615CBA"/>
    <w:rsid w:val="006201BF"/>
    <w:rsid w:val="00620C44"/>
    <w:rsid w:val="00621488"/>
    <w:rsid w:val="00621EC3"/>
    <w:rsid w:val="00621F9D"/>
    <w:rsid w:val="0062259C"/>
    <w:rsid w:val="00623901"/>
    <w:rsid w:val="00624624"/>
    <w:rsid w:val="006247BC"/>
    <w:rsid w:val="00626177"/>
    <w:rsid w:val="0062708D"/>
    <w:rsid w:val="0062723B"/>
    <w:rsid w:val="00627D77"/>
    <w:rsid w:val="00630582"/>
    <w:rsid w:val="00630757"/>
    <w:rsid w:val="00631444"/>
    <w:rsid w:val="00631474"/>
    <w:rsid w:val="00631E31"/>
    <w:rsid w:val="0063209F"/>
    <w:rsid w:val="00632878"/>
    <w:rsid w:val="0063295A"/>
    <w:rsid w:val="006330A5"/>
    <w:rsid w:val="00633A02"/>
    <w:rsid w:val="006349F0"/>
    <w:rsid w:val="00634D96"/>
    <w:rsid w:val="00635D1F"/>
    <w:rsid w:val="006361BA"/>
    <w:rsid w:val="006361CC"/>
    <w:rsid w:val="006362F7"/>
    <w:rsid w:val="0063708D"/>
    <w:rsid w:val="00637F2B"/>
    <w:rsid w:val="00637FE3"/>
    <w:rsid w:val="006410EA"/>
    <w:rsid w:val="00641AA8"/>
    <w:rsid w:val="00642335"/>
    <w:rsid w:val="00642A57"/>
    <w:rsid w:val="0064392A"/>
    <w:rsid w:val="00644738"/>
    <w:rsid w:val="00644C5F"/>
    <w:rsid w:val="00645E72"/>
    <w:rsid w:val="00646DE2"/>
    <w:rsid w:val="00646DFD"/>
    <w:rsid w:val="00647C97"/>
    <w:rsid w:val="00647E86"/>
    <w:rsid w:val="00650747"/>
    <w:rsid w:val="00651BFF"/>
    <w:rsid w:val="00651C56"/>
    <w:rsid w:val="006524FF"/>
    <w:rsid w:val="0065293C"/>
    <w:rsid w:val="0065355B"/>
    <w:rsid w:val="00654A7A"/>
    <w:rsid w:val="006560F7"/>
    <w:rsid w:val="00657506"/>
    <w:rsid w:val="00660311"/>
    <w:rsid w:val="00662F29"/>
    <w:rsid w:val="006633D9"/>
    <w:rsid w:val="0066347F"/>
    <w:rsid w:val="00663893"/>
    <w:rsid w:val="00663CEB"/>
    <w:rsid w:val="00664E46"/>
    <w:rsid w:val="00665122"/>
    <w:rsid w:val="006657B9"/>
    <w:rsid w:val="0066581F"/>
    <w:rsid w:val="006659F3"/>
    <w:rsid w:val="006661B1"/>
    <w:rsid w:val="00666601"/>
    <w:rsid w:val="00666E6C"/>
    <w:rsid w:val="006677E5"/>
    <w:rsid w:val="00667C72"/>
    <w:rsid w:val="0067016E"/>
    <w:rsid w:val="006713CC"/>
    <w:rsid w:val="006717E0"/>
    <w:rsid w:val="00671986"/>
    <w:rsid w:val="00672009"/>
    <w:rsid w:val="00672091"/>
    <w:rsid w:val="00674B78"/>
    <w:rsid w:val="00674EF3"/>
    <w:rsid w:val="0067529A"/>
    <w:rsid w:val="00676321"/>
    <w:rsid w:val="00676B8A"/>
    <w:rsid w:val="00676CD6"/>
    <w:rsid w:val="00682B76"/>
    <w:rsid w:val="00682BB6"/>
    <w:rsid w:val="00684284"/>
    <w:rsid w:val="00684730"/>
    <w:rsid w:val="00684732"/>
    <w:rsid w:val="0068511A"/>
    <w:rsid w:val="00686032"/>
    <w:rsid w:val="00690105"/>
    <w:rsid w:val="00690F6C"/>
    <w:rsid w:val="00691006"/>
    <w:rsid w:val="00691E8F"/>
    <w:rsid w:val="0069258D"/>
    <w:rsid w:val="006928A4"/>
    <w:rsid w:val="00693B2B"/>
    <w:rsid w:val="0069495A"/>
    <w:rsid w:val="00694BFC"/>
    <w:rsid w:val="00696097"/>
    <w:rsid w:val="00696F33"/>
    <w:rsid w:val="006A35FB"/>
    <w:rsid w:val="006A3ACE"/>
    <w:rsid w:val="006A5544"/>
    <w:rsid w:val="006A56BB"/>
    <w:rsid w:val="006A5BC0"/>
    <w:rsid w:val="006A6B05"/>
    <w:rsid w:val="006A777E"/>
    <w:rsid w:val="006A7973"/>
    <w:rsid w:val="006B099C"/>
    <w:rsid w:val="006B12C0"/>
    <w:rsid w:val="006B1501"/>
    <w:rsid w:val="006B17BC"/>
    <w:rsid w:val="006B193B"/>
    <w:rsid w:val="006B1944"/>
    <w:rsid w:val="006B1FB7"/>
    <w:rsid w:val="006B3E5D"/>
    <w:rsid w:val="006B52F7"/>
    <w:rsid w:val="006B5BD0"/>
    <w:rsid w:val="006B6DB2"/>
    <w:rsid w:val="006C0451"/>
    <w:rsid w:val="006C0FCC"/>
    <w:rsid w:val="006C29C6"/>
    <w:rsid w:val="006C33B5"/>
    <w:rsid w:val="006C3A4B"/>
    <w:rsid w:val="006C3F56"/>
    <w:rsid w:val="006C5251"/>
    <w:rsid w:val="006C7B7D"/>
    <w:rsid w:val="006D0093"/>
    <w:rsid w:val="006D1A42"/>
    <w:rsid w:val="006D2412"/>
    <w:rsid w:val="006D312F"/>
    <w:rsid w:val="006D3ADC"/>
    <w:rsid w:val="006D3CF9"/>
    <w:rsid w:val="006D4028"/>
    <w:rsid w:val="006D4B3E"/>
    <w:rsid w:val="006D56FB"/>
    <w:rsid w:val="006D58C0"/>
    <w:rsid w:val="006D6851"/>
    <w:rsid w:val="006E2D75"/>
    <w:rsid w:val="006E317B"/>
    <w:rsid w:val="006E449E"/>
    <w:rsid w:val="006E4E2F"/>
    <w:rsid w:val="006E625F"/>
    <w:rsid w:val="006E68A9"/>
    <w:rsid w:val="006E7CAA"/>
    <w:rsid w:val="006F0E6A"/>
    <w:rsid w:val="006F107C"/>
    <w:rsid w:val="006F1110"/>
    <w:rsid w:val="006F115F"/>
    <w:rsid w:val="006F131F"/>
    <w:rsid w:val="006F1C64"/>
    <w:rsid w:val="006F273E"/>
    <w:rsid w:val="006F3FB1"/>
    <w:rsid w:val="006F43F3"/>
    <w:rsid w:val="006F48F3"/>
    <w:rsid w:val="006F4B6E"/>
    <w:rsid w:val="006F553D"/>
    <w:rsid w:val="006F6778"/>
    <w:rsid w:val="006F7AE3"/>
    <w:rsid w:val="00701CE0"/>
    <w:rsid w:val="00702539"/>
    <w:rsid w:val="00702F23"/>
    <w:rsid w:val="00703982"/>
    <w:rsid w:val="00703A68"/>
    <w:rsid w:val="00710CAA"/>
    <w:rsid w:val="0071195C"/>
    <w:rsid w:val="00711EE9"/>
    <w:rsid w:val="0071217B"/>
    <w:rsid w:val="007127C3"/>
    <w:rsid w:val="00712897"/>
    <w:rsid w:val="00712FA5"/>
    <w:rsid w:val="0071318A"/>
    <w:rsid w:val="0071466F"/>
    <w:rsid w:val="00716AA1"/>
    <w:rsid w:val="00717AC3"/>
    <w:rsid w:val="00721225"/>
    <w:rsid w:val="007215A3"/>
    <w:rsid w:val="007222A9"/>
    <w:rsid w:val="0072377E"/>
    <w:rsid w:val="00725F9F"/>
    <w:rsid w:val="00727772"/>
    <w:rsid w:val="0073005F"/>
    <w:rsid w:val="00730363"/>
    <w:rsid w:val="0073112C"/>
    <w:rsid w:val="007311BD"/>
    <w:rsid w:val="00732120"/>
    <w:rsid w:val="00732EC5"/>
    <w:rsid w:val="007342C2"/>
    <w:rsid w:val="00734CBD"/>
    <w:rsid w:val="007350C5"/>
    <w:rsid w:val="007365E3"/>
    <w:rsid w:val="00737852"/>
    <w:rsid w:val="00737CF5"/>
    <w:rsid w:val="007414E6"/>
    <w:rsid w:val="00741631"/>
    <w:rsid w:val="0074163F"/>
    <w:rsid w:val="00741ACB"/>
    <w:rsid w:val="00741D1F"/>
    <w:rsid w:val="007437B2"/>
    <w:rsid w:val="00743870"/>
    <w:rsid w:val="00745AF3"/>
    <w:rsid w:val="00745DC8"/>
    <w:rsid w:val="00746C6B"/>
    <w:rsid w:val="007470A0"/>
    <w:rsid w:val="007506DE"/>
    <w:rsid w:val="00751BFB"/>
    <w:rsid w:val="00752F2E"/>
    <w:rsid w:val="0075444F"/>
    <w:rsid w:val="00754817"/>
    <w:rsid w:val="0075496C"/>
    <w:rsid w:val="0075526D"/>
    <w:rsid w:val="00755D90"/>
    <w:rsid w:val="00756353"/>
    <w:rsid w:val="00757B0C"/>
    <w:rsid w:val="00760558"/>
    <w:rsid w:val="00760BAD"/>
    <w:rsid w:val="00760F74"/>
    <w:rsid w:val="00761200"/>
    <w:rsid w:val="00763CFE"/>
    <w:rsid w:val="00764577"/>
    <w:rsid w:val="0076575C"/>
    <w:rsid w:val="00765912"/>
    <w:rsid w:val="00766330"/>
    <w:rsid w:val="007663CA"/>
    <w:rsid w:val="00766668"/>
    <w:rsid w:val="007725DC"/>
    <w:rsid w:val="00772EAF"/>
    <w:rsid w:val="00773086"/>
    <w:rsid w:val="007742CB"/>
    <w:rsid w:val="00774999"/>
    <w:rsid w:val="00774B58"/>
    <w:rsid w:val="00774E29"/>
    <w:rsid w:val="00775889"/>
    <w:rsid w:val="00776933"/>
    <w:rsid w:val="00777FDE"/>
    <w:rsid w:val="00780104"/>
    <w:rsid w:val="00781BF0"/>
    <w:rsid w:val="00781F8F"/>
    <w:rsid w:val="007827FE"/>
    <w:rsid w:val="007832AB"/>
    <w:rsid w:val="00783995"/>
    <w:rsid w:val="00783FBC"/>
    <w:rsid w:val="007844C9"/>
    <w:rsid w:val="00784D40"/>
    <w:rsid w:val="007863FC"/>
    <w:rsid w:val="007869DF"/>
    <w:rsid w:val="00786BB7"/>
    <w:rsid w:val="00787595"/>
    <w:rsid w:val="00787DAF"/>
    <w:rsid w:val="00790333"/>
    <w:rsid w:val="007904FD"/>
    <w:rsid w:val="00790EBD"/>
    <w:rsid w:val="00791616"/>
    <w:rsid w:val="00791F36"/>
    <w:rsid w:val="00792915"/>
    <w:rsid w:val="0079428B"/>
    <w:rsid w:val="00796048"/>
    <w:rsid w:val="00796775"/>
    <w:rsid w:val="00796AD3"/>
    <w:rsid w:val="00797947"/>
    <w:rsid w:val="00797BD0"/>
    <w:rsid w:val="007A0267"/>
    <w:rsid w:val="007A261A"/>
    <w:rsid w:val="007A2F38"/>
    <w:rsid w:val="007A58BC"/>
    <w:rsid w:val="007A7BCC"/>
    <w:rsid w:val="007B009B"/>
    <w:rsid w:val="007B0749"/>
    <w:rsid w:val="007B0C0B"/>
    <w:rsid w:val="007B2511"/>
    <w:rsid w:val="007B2C50"/>
    <w:rsid w:val="007B2F52"/>
    <w:rsid w:val="007B33E9"/>
    <w:rsid w:val="007B34CA"/>
    <w:rsid w:val="007B3E4D"/>
    <w:rsid w:val="007B4EA1"/>
    <w:rsid w:val="007B5D1F"/>
    <w:rsid w:val="007B6387"/>
    <w:rsid w:val="007B66C7"/>
    <w:rsid w:val="007C01E0"/>
    <w:rsid w:val="007C19C5"/>
    <w:rsid w:val="007C1B87"/>
    <w:rsid w:val="007C40D4"/>
    <w:rsid w:val="007C4D78"/>
    <w:rsid w:val="007C59B4"/>
    <w:rsid w:val="007C77C8"/>
    <w:rsid w:val="007C7917"/>
    <w:rsid w:val="007D0EED"/>
    <w:rsid w:val="007D149A"/>
    <w:rsid w:val="007D1EDC"/>
    <w:rsid w:val="007D2128"/>
    <w:rsid w:val="007D2A80"/>
    <w:rsid w:val="007D3744"/>
    <w:rsid w:val="007D4F86"/>
    <w:rsid w:val="007E3F5D"/>
    <w:rsid w:val="007E41B8"/>
    <w:rsid w:val="007E41E0"/>
    <w:rsid w:val="007E457B"/>
    <w:rsid w:val="007E4995"/>
    <w:rsid w:val="007E539E"/>
    <w:rsid w:val="007E5D30"/>
    <w:rsid w:val="007E76C4"/>
    <w:rsid w:val="007F067F"/>
    <w:rsid w:val="007F0883"/>
    <w:rsid w:val="007F0B58"/>
    <w:rsid w:val="007F0BF4"/>
    <w:rsid w:val="007F1663"/>
    <w:rsid w:val="007F1E95"/>
    <w:rsid w:val="007F4473"/>
    <w:rsid w:val="007F4516"/>
    <w:rsid w:val="007F63A3"/>
    <w:rsid w:val="007F6610"/>
    <w:rsid w:val="007F6F48"/>
    <w:rsid w:val="0080087D"/>
    <w:rsid w:val="008018EF"/>
    <w:rsid w:val="00801951"/>
    <w:rsid w:val="00803D00"/>
    <w:rsid w:val="00804278"/>
    <w:rsid w:val="00804F78"/>
    <w:rsid w:val="008056B8"/>
    <w:rsid w:val="0080638D"/>
    <w:rsid w:val="0080690D"/>
    <w:rsid w:val="0081162C"/>
    <w:rsid w:val="00811961"/>
    <w:rsid w:val="00812531"/>
    <w:rsid w:val="008129AC"/>
    <w:rsid w:val="00813F96"/>
    <w:rsid w:val="00814176"/>
    <w:rsid w:val="00814927"/>
    <w:rsid w:val="00814AF5"/>
    <w:rsid w:val="00816243"/>
    <w:rsid w:val="00816450"/>
    <w:rsid w:val="0081669E"/>
    <w:rsid w:val="00816F14"/>
    <w:rsid w:val="00820877"/>
    <w:rsid w:val="008215CC"/>
    <w:rsid w:val="008220F6"/>
    <w:rsid w:val="0082238E"/>
    <w:rsid w:val="008224AD"/>
    <w:rsid w:val="00822830"/>
    <w:rsid w:val="008233AF"/>
    <w:rsid w:val="008239B0"/>
    <w:rsid w:val="00825DBD"/>
    <w:rsid w:val="008260EC"/>
    <w:rsid w:val="00826559"/>
    <w:rsid w:val="008320DA"/>
    <w:rsid w:val="00832109"/>
    <w:rsid w:val="00832ABD"/>
    <w:rsid w:val="00834C62"/>
    <w:rsid w:val="008355F3"/>
    <w:rsid w:val="0083569B"/>
    <w:rsid w:val="00835F56"/>
    <w:rsid w:val="008368C5"/>
    <w:rsid w:val="008377F3"/>
    <w:rsid w:val="00837DA7"/>
    <w:rsid w:val="00840188"/>
    <w:rsid w:val="0084104A"/>
    <w:rsid w:val="008411F2"/>
    <w:rsid w:val="0084171A"/>
    <w:rsid w:val="00841C0D"/>
    <w:rsid w:val="00844922"/>
    <w:rsid w:val="00845808"/>
    <w:rsid w:val="00845A8D"/>
    <w:rsid w:val="0084636D"/>
    <w:rsid w:val="00847312"/>
    <w:rsid w:val="00847D81"/>
    <w:rsid w:val="008505E7"/>
    <w:rsid w:val="00850D4A"/>
    <w:rsid w:val="00850D63"/>
    <w:rsid w:val="0085228B"/>
    <w:rsid w:val="00852D54"/>
    <w:rsid w:val="00853264"/>
    <w:rsid w:val="008534A1"/>
    <w:rsid w:val="00853F09"/>
    <w:rsid w:val="008546DA"/>
    <w:rsid w:val="0085470E"/>
    <w:rsid w:val="00854828"/>
    <w:rsid w:val="00854C7C"/>
    <w:rsid w:val="00855215"/>
    <w:rsid w:val="00855302"/>
    <w:rsid w:val="008559DA"/>
    <w:rsid w:val="00855BA5"/>
    <w:rsid w:val="00856E5C"/>
    <w:rsid w:val="00860378"/>
    <w:rsid w:val="008611A6"/>
    <w:rsid w:val="0086405C"/>
    <w:rsid w:val="008648EA"/>
    <w:rsid w:val="00864BE3"/>
    <w:rsid w:val="00864CDB"/>
    <w:rsid w:val="00865AA1"/>
    <w:rsid w:val="00866119"/>
    <w:rsid w:val="00866174"/>
    <w:rsid w:val="00867175"/>
    <w:rsid w:val="0086725B"/>
    <w:rsid w:val="008675A6"/>
    <w:rsid w:val="00867935"/>
    <w:rsid w:val="008700A1"/>
    <w:rsid w:val="008700BA"/>
    <w:rsid w:val="008703D8"/>
    <w:rsid w:val="008708F4"/>
    <w:rsid w:val="008716D6"/>
    <w:rsid w:val="008736CA"/>
    <w:rsid w:val="00873B17"/>
    <w:rsid w:val="00874665"/>
    <w:rsid w:val="0087480D"/>
    <w:rsid w:val="00875F49"/>
    <w:rsid w:val="00876D89"/>
    <w:rsid w:val="00877907"/>
    <w:rsid w:val="00880D66"/>
    <w:rsid w:val="00881136"/>
    <w:rsid w:val="00881A7B"/>
    <w:rsid w:val="008827C2"/>
    <w:rsid w:val="0088312F"/>
    <w:rsid w:val="00883503"/>
    <w:rsid w:val="00884B42"/>
    <w:rsid w:val="00886958"/>
    <w:rsid w:val="008879C9"/>
    <w:rsid w:val="008905B6"/>
    <w:rsid w:val="00890AC8"/>
    <w:rsid w:val="008911A5"/>
    <w:rsid w:val="00891FED"/>
    <w:rsid w:val="00892511"/>
    <w:rsid w:val="00893511"/>
    <w:rsid w:val="00893C3A"/>
    <w:rsid w:val="008948E8"/>
    <w:rsid w:val="00895385"/>
    <w:rsid w:val="008953E5"/>
    <w:rsid w:val="00896BBD"/>
    <w:rsid w:val="00896ED9"/>
    <w:rsid w:val="00897606"/>
    <w:rsid w:val="00897DC6"/>
    <w:rsid w:val="008A1B21"/>
    <w:rsid w:val="008A312A"/>
    <w:rsid w:val="008A3716"/>
    <w:rsid w:val="008A44C2"/>
    <w:rsid w:val="008A5CB3"/>
    <w:rsid w:val="008A6531"/>
    <w:rsid w:val="008A65A4"/>
    <w:rsid w:val="008A71B3"/>
    <w:rsid w:val="008A7D21"/>
    <w:rsid w:val="008B0745"/>
    <w:rsid w:val="008B0D0A"/>
    <w:rsid w:val="008B21CB"/>
    <w:rsid w:val="008B2234"/>
    <w:rsid w:val="008B24F2"/>
    <w:rsid w:val="008B2E28"/>
    <w:rsid w:val="008B470A"/>
    <w:rsid w:val="008B4811"/>
    <w:rsid w:val="008B4904"/>
    <w:rsid w:val="008B566F"/>
    <w:rsid w:val="008B616B"/>
    <w:rsid w:val="008B66FA"/>
    <w:rsid w:val="008B7A57"/>
    <w:rsid w:val="008C0A68"/>
    <w:rsid w:val="008C13AF"/>
    <w:rsid w:val="008C26DA"/>
    <w:rsid w:val="008C31B6"/>
    <w:rsid w:val="008C31E3"/>
    <w:rsid w:val="008C3B3A"/>
    <w:rsid w:val="008C43B6"/>
    <w:rsid w:val="008C4609"/>
    <w:rsid w:val="008C4630"/>
    <w:rsid w:val="008C63FF"/>
    <w:rsid w:val="008C6DA2"/>
    <w:rsid w:val="008C72DC"/>
    <w:rsid w:val="008C78E2"/>
    <w:rsid w:val="008D12C6"/>
    <w:rsid w:val="008D1D34"/>
    <w:rsid w:val="008D428C"/>
    <w:rsid w:val="008D443D"/>
    <w:rsid w:val="008D5B6F"/>
    <w:rsid w:val="008D602E"/>
    <w:rsid w:val="008D71B0"/>
    <w:rsid w:val="008D74A5"/>
    <w:rsid w:val="008D7916"/>
    <w:rsid w:val="008E07EC"/>
    <w:rsid w:val="008E0D93"/>
    <w:rsid w:val="008E12CA"/>
    <w:rsid w:val="008E14C9"/>
    <w:rsid w:val="008E1AC0"/>
    <w:rsid w:val="008E202D"/>
    <w:rsid w:val="008E2401"/>
    <w:rsid w:val="008E306C"/>
    <w:rsid w:val="008E3667"/>
    <w:rsid w:val="008E39A4"/>
    <w:rsid w:val="008E42E1"/>
    <w:rsid w:val="008E46BB"/>
    <w:rsid w:val="008E4E42"/>
    <w:rsid w:val="008E4F81"/>
    <w:rsid w:val="008E54E6"/>
    <w:rsid w:val="008E55E7"/>
    <w:rsid w:val="008E6456"/>
    <w:rsid w:val="008E64B6"/>
    <w:rsid w:val="008E759B"/>
    <w:rsid w:val="008E760D"/>
    <w:rsid w:val="008E76FC"/>
    <w:rsid w:val="008F00CE"/>
    <w:rsid w:val="008F0D83"/>
    <w:rsid w:val="008F1CE8"/>
    <w:rsid w:val="008F3263"/>
    <w:rsid w:val="008F37D2"/>
    <w:rsid w:val="008F3DF6"/>
    <w:rsid w:val="008F3EA1"/>
    <w:rsid w:val="008F4822"/>
    <w:rsid w:val="008F4DEB"/>
    <w:rsid w:val="008F5866"/>
    <w:rsid w:val="008F6944"/>
    <w:rsid w:val="00901D18"/>
    <w:rsid w:val="00903C4C"/>
    <w:rsid w:val="009044E9"/>
    <w:rsid w:val="0090452B"/>
    <w:rsid w:val="00904E2C"/>
    <w:rsid w:val="009104CC"/>
    <w:rsid w:val="00910D44"/>
    <w:rsid w:val="00911115"/>
    <w:rsid w:val="00911A95"/>
    <w:rsid w:val="00911BE6"/>
    <w:rsid w:val="00912824"/>
    <w:rsid w:val="00913887"/>
    <w:rsid w:val="00914BCA"/>
    <w:rsid w:val="009158EA"/>
    <w:rsid w:val="0091598C"/>
    <w:rsid w:val="009159E2"/>
    <w:rsid w:val="00915E09"/>
    <w:rsid w:val="009166DF"/>
    <w:rsid w:val="009208A2"/>
    <w:rsid w:val="00921798"/>
    <w:rsid w:val="00921D7D"/>
    <w:rsid w:val="00921E16"/>
    <w:rsid w:val="0092227E"/>
    <w:rsid w:val="009226E6"/>
    <w:rsid w:val="009256A6"/>
    <w:rsid w:val="00926B3C"/>
    <w:rsid w:val="009301B1"/>
    <w:rsid w:val="0093028B"/>
    <w:rsid w:val="00930AE3"/>
    <w:rsid w:val="00931AD6"/>
    <w:rsid w:val="00933AE5"/>
    <w:rsid w:val="00934002"/>
    <w:rsid w:val="009341F3"/>
    <w:rsid w:val="00934234"/>
    <w:rsid w:val="00934A32"/>
    <w:rsid w:val="00935F57"/>
    <w:rsid w:val="00936B7E"/>
    <w:rsid w:val="00936EF7"/>
    <w:rsid w:val="00937563"/>
    <w:rsid w:val="009378C8"/>
    <w:rsid w:val="00937F5D"/>
    <w:rsid w:val="009404A9"/>
    <w:rsid w:val="009408E6"/>
    <w:rsid w:val="009415AB"/>
    <w:rsid w:val="009416D5"/>
    <w:rsid w:val="0094187A"/>
    <w:rsid w:val="00942573"/>
    <w:rsid w:val="00942AB5"/>
    <w:rsid w:val="00943E6D"/>
    <w:rsid w:val="009440DE"/>
    <w:rsid w:val="009469BE"/>
    <w:rsid w:val="00947D31"/>
    <w:rsid w:val="00950B38"/>
    <w:rsid w:val="009513E2"/>
    <w:rsid w:val="0095186A"/>
    <w:rsid w:val="00952271"/>
    <w:rsid w:val="0095230D"/>
    <w:rsid w:val="0095247C"/>
    <w:rsid w:val="009525D8"/>
    <w:rsid w:val="009537B1"/>
    <w:rsid w:val="009537DA"/>
    <w:rsid w:val="00953950"/>
    <w:rsid w:val="00954003"/>
    <w:rsid w:val="0095608E"/>
    <w:rsid w:val="00956AFE"/>
    <w:rsid w:val="00957068"/>
    <w:rsid w:val="00957777"/>
    <w:rsid w:val="00962367"/>
    <w:rsid w:val="0096296C"/>
    <w:rsid w:val="009636BA"/>
    <w:rsid w:val="009637AC"/>
    <w:rsid w:val="00963B4D"/>
    <w:rsid w:val="00965072"/>
    <w:rsid w:val="00966E7C"/>
    <w:rsid w:val="00967208"/>
    <w:rsid w:val="00967A77"/>
    <w:rsid w:val="00970460"/>
    <w:rsid w:val="0097055E"/>
    <w:rsid w:val="00970A96"/>
    <w:rsid w:val="009717C2"/>
    <w:rsid w:val="00971C01"/>
    <w:rsid w:val="00972151"/>
    <w:rsid w:val="00972D28"/>
    <w:rsid w:val="00973D3D"/>
    <w:rsid w:val="00974166"/>
    <w:rsid w:val="00974406"/>
    <w:rsid w:val="00974FF9"/>
    <w:rsid w:val="009765A8"/>
    <w:rsid w:val="00976668"/>
    <w:rsid w:val="00980431"/>
    <w:rsid w:val="0098048D"/>
    <w:rsid w:val="0098122C"/>
    <w:rsid w:val="00982D40"/>
    <w:rsid w:val="00982E8D"/>
    <w:rsid w:val="0098485C"/>
    <w:rsid w:val="00984DDA"/>
    <w:rsid w:val="0098582D"/>
    <w:rsid w:val="00985882"/>
    <w:rsid w:val="00986790"/>
    <w:rsid w:val="00987B5B"/>
    <w:rsid w:val="00987B98"/>
    <w:rsid w:val="00990535"/>
    <w:rsid w:val="009907B0"/>
    <w:rsid w:val="00992730"/>
    <w:rsid w:val="00996376"/>
    <w:rsid w:val="009965EF"/>
    <w:rsid w:val="00997654"/>
    <w:rsid w:val="00997E10"/>
    <w:rsid w:val="009A01F4"/>
    <w:rsid w:val="009A04C5"/>
    <w:rsid w:val="009A109C"/>
    <w:rsid w:val="009A1CAF"/>
    <w:rsid w:val="009A22B2"/>
    <w:rsid w:val="009A2868"/>
    <w:rsid w:val="009A2CD2"/>
    <w:rsid w:val="009A2D33"/>
    <w:rsid w:val="009A42BF"/>
    <w:rsid w:val="009A5203"/>
    <w:rsid w:val="009A5D6F"/>
    <w:rsid w:val="009A5FDC"/>
    <w:rsid w:val="009A6296"/>
    <w:rsid w:val="009A6321"/>
    <w:rsid w:val="009A68DD"/>
    <w:rsid w:val="009B0DA5"/>
    <w:rsid w:val="009B1157"/>
    <w:rsid w:val="009B2C0E"/>
    <w:rsid w:val="009B3603"/>
    <w:rsid w:val="009B401D"/>
    <w:rsid w:val="009B46E2"/>
    <w:rsid w:val="009B62E7"/>
    <w:rsid w:val="009B72D8"/>
    <w:rsid w:val="009B7FBB"/>
    <w:rsid w:val="009C0259"/>
    <w:rsid w:val="009C29DE"/>
    <w:rsid w:val="009C3593"/>
    <w:rsid w:val="009C3F6F"/>
    <w:rsid w:val="009C421A"/>
    <w:rsid w:val="009C5908"/>
    <w:rsid w:val="009C7972"/>
    <w:rsid w:val="009D01B7"/>
    <w:rsid w:val="009D0772"/>
    <w:rsid w:val="009D1D53"/>
    <w:rsid w:val="009D2398"/>
    <w:rsid w:val="009D28A8"/>
    <w:rsid w:val="009D332E"/>
    <w:rsid w:val="009D4BE0"/>
    <w:rsid w:val="009D5CE4"/>
    <w:rsid w:val="009D5D40"/>
    <w:rsid w:val="009D6025"/>
    <w:rsid w:val="009D627E"/>
    <w:rsid w:val="009D764B"/>
    <w:rsid w:val="009D78C0"/>
    <w:rsid w:val="009D7C54"/>
    <w:rsid w:val="009E06F2"/>
    <w:rsid w:val="009E0AFA"/>
    <w:rsid w:val="009E0C2B"/>
    <w:rsid w:val="009E0F33"/>
    <w:rsid w:val="009E15DA"/>
    <w:rsid w:val="009E1ABB"/>
    <w:rsid w:val="009E1B82"/>
    <w:rsid w:val="009E24BB"/>
    <w:rsid w:val="009E2A93"/>
    <w:rsid w:val="009E2F6D"/>
    <w:rsid w:val="009E407B"/>
    <w:rsid w:val="009E4BBB"/>
    <w:rsid w:val="009E5585"/>
    <w:rsid w:val="009E7A5A"/>
    <w:rsid w:val="009E7AE3"/>
    <w:rsid w:val="009F1460"/>
    <w:rsid w:val="009F14DD"/>
    <w:rsid w:val="009F2332"/>
    <w:rsid w:val="009F2EFF"/>
    <w:rsid w:val="009F3708"/>
    <w:rsid w:val="009F43EA"/>
    <w:rsid w:val="009F500A"/>
    <w:rsid w:val="009F5712"/>
    <w:rsid w:val="009F6711"/>
    <w:rsid w:val="009F7DA7"/>
    <w:rsid w:val="00A007FB"/>
    <w:rsid w:val="00A00909"/>
    <w:rsid w:val="00A00B3B"/>
    <w:rsid w:val="00A019D2"/>
    <w:rsid w:val="00A02044"/>
    <w:rsid w:val="00A024B3"/>
    <w:rsid w:val="00A03A45"/>
    <w:rsid w:val="00A051A1"/>
    <w:rsid w:val="00A070A3"/>
    <w:rsid w:val="00A077EB"/>
    <w:rsid w:val="00A07B5B"/>
    <w:rsid w:val="00A1044B"/>
    <w:rsid w:val="00A1097D"/>
    <w:rsid w:val="00A10A29"/>
    <w:rsid w:val="00A10A86"/>
    <w:rsid w:val="00A11077"/>
    <w:rsid w:val="00A12518"/>
    <w:rsid w:val="00A127C3"/>
    <w:rsid w:val="00A12D54"/>
    <w:rsid w:val="00A148F3"/>
    <w:rsid w:val="00A16463"/>
    <w:rsid w:val="00A228F8"/>
    <w:rsid w:val="00A23B88"/>
    <w:rsid w:val="00A24341"/>
    <w:rsid w:val="00A2601B"/>
    <w:rsid w:val="00A2715F"/>
    <w:rsid w:val="00A2743D"/>
    <w:rsid w:val="00A27DE7"/>
    <w:rsid w:val="00A313D6"/>
    <w:rsid w:val="00A32618"/>
    <w:rsid w:val="00A32E6D"/>
    <w:rsid w:val="00A33D26"/>
    <w:rsid w:val="00A35ED6"/>
    <w:rsid w:val="00A36F71"/>
    <w:rsid w:val="00A37DA8"/>
    <w:rsid w:val="00A40043"/>
    <w:rsid w:val="00A4048D"/>
    <w:rsid w:val="00A4092E"/>
    <w:rsid w:val="00A4155B"/>
    <w:rsid w:val="00A42784"/>
    <w:rsid w:val="00A4286B"/>
    <w:rsid w:val="00A4297A"/>
    <w:rsid w:val="00A43797"/>
    <w:rsid w:val="00A437A1"/>
    <w:rsid w:val="00A4542D"/>
    <w:rsid w:val="00A45E1B"/>
    <w:rsid w:val="00A460E0"/>
    <w:rsid w:val="00A46933"/>
    <w:rsid w:val="00A46BC5"/>
    <w:rsid w:val="00A473AA"/>
    <w:rsid w:val="00A50378"/>
    <w:rsid w:val="00A5279F"/>
    <w:rsid w:val="00A52980"/>
    <w:rsid w:val="00A530F4"/>
    <w:rsid w:val="00A53549"/>
    <w:rsid w:val="00A5455F"/>
    <w:rsid w:val="00A562B5"/>
    <w:rsid w:val="00A56A9C"/>
    <w:rsid w:val="00A56BB9"/>
    <w:rsid w:val="00A5716B"/>
    <w:rsid w:val="00A57BEF"/>
    <w:rsid w:val="00A60590"/>
    <w:rsid w:val="00A61733"/>
    <w:rsid w:val="00A61901"/>
    <w:rsid w:val="00A62171"/>
    <w:rsid w:val="00A62A7A"/>
    <w:rsid w:val="00A63069"/>
    <w:rsid w:val="00A63815"/>
    <w:rsid w:val="00A63B72"/>
    <w:rsid w:val="00A64AC1"/>
    <w:rsid w:val="00A64DC3"/>
    <w:rsid w:val="00A64FE7"/>
    <w:rsid w:val="00A6580F"/>
    <w:rsid w:val="00A65AF1"/>
    <w:rsid w:val="00A66AA6"/>
    <w:rsid w:val="00A66F75"/>
    <w:rsid w:val="00A675B9"/>
    <w:rsid w:val="00A70133"/>
    <w:rsid w:val="00A705A8"/>
    <w:rsid w:val="00A7096A"/>
    <w:rsid w:val="00A7139F"/>
    <w:rsid w:val="00A71EAC"/>
    <w:rsid w:val="00A7300C"/>
    <w:rsid w:val="00A73738"/>
    <w:rsid w:val="00A7515E"/>
    <w:rsid w:val="00A75E98"/>
    <w:rsid w:val="00A76E58"/>
    <w:rsid w:val="00A773E6"/>
    <w:rsid w:val="00A80076"/>
    <w:rsid w:val="00A808DA"/>
    <w:rsid w:val="00A82175"/>
    <w:rsid w:val="00A84BA3"/>
    <w:rsid w:val="00A855A6"/>
    <w:rsid w:val="00A85D46"/>
    <w:rsid w:val="00A862FB"/>
    <w:rsid w:val="00A868E9"/>
    <w:rsid w:val="00A86CAF"/>
    <w:rsid w:val="00A86F71"/>
    <w:rsid w:val="00A912A7"/>
    <w:rsid w:val="00A91B67"/>
    <w:rsid w:val="00A920FD"/>
    <w:rsid w:val="00A92C95"/>
    <w:rsid w:val="00A93D2B"/>
    <w:rsid w:val="00A95464"/>
    <w:rsid w:val="00A96ED8"/>
    <w:rsid w:val="00A96F07"/>
    <w:rsid w:val="00A96F23"/>
    <w:rsid w:val="00AA03E4"/>
    <w:rsid w:val="00AA0754"/>
    <w:rsid w:val="00AA127B"/>
    <w:rsid w:val="00AA1AA3"/>
    <w:rsid w:val="00AA28DE"/>
    <w:rsid w:val="00AA3E1E"/>
    <w:rsid w:val="00AA44CA"/>
    <w:rsid w:val="00AA46F6"/>
    <w:rsid w:val="00AA4C33"/>
    <w:rsid w:val="00AA53E6"/>
    <w:rsid w:val="00AA5605"/>
    <w:rsid w:val="00AA6B0A"/>
    <w:rsid w:val="00AA6D72"/>
    <w:rsid w:val="00AA71E2"/>
    <w:rsid w:val="00AA7E7E"/>
    <w:rsid w:val="00AB10C7"/>
    <w:rsid w:val="00AB1D3B"/>
    <w:rsid w:val="00AB2A22"/>
    <w:rsid w:val="00AB2ACB"/>
    <w:rsid w:val="00AB2CDA"/>
    <w:rsid w:val="00AB301C"/>
    <w:rsid w:val="00AB3BFA"/>
    <w:rsid w:val="00AB3C8F"/>
    <w:rsid w:val="00AB3D8F"/>
    <w:rsid w:val="00AB41A9"/>
    <w:rsid w:val="00AB4543"/>
    <w:rsid w:val="00AB5CD9"/>
    <w:rsid w:val="00AB5D27"/>
    <w:rsid w:val="00AB5F14"/>
    <w:rsid w:val="00AB6A1B"/>
    <w:rsid w:val="00AB7208"/>
    <w:rsid w:val="00AC10F3"/>
    <w:rsid w:val="00AC13FE"/>
    <w:rsid w:val="00AC1AC2"/>
    <w:rsid w:val="00AC1EA8"/>
    <w:rsid w:val="00AC254E"/>
    <w:rsid w:val="00AC2906"/>
    <w:rsid w:val="00AC2C91"/>
    <w:rsid w:val="00AC4AF2"/>
    <w:rsid w:val="00AC4B05"/>
    <w:rsid w:val="00AC4BD2"/>
    <w:rsid w:val="00AC6C89"/>
    <w:rsid w:val="00AC6CE9"/>
    <w:rsid w:val="00AC7292"/>
    <w:rsid w:val="00AD0112"/>
    <w:rsid w:val="00AD0755"/>
    <w:rsid w:val="00AD0E56"/>
    <w:rsid w:val="00AD102B"/>
    <w:rsid w:val="00AD1B24"/>
    <w:rsid w:val="00AD1F93"/>
    <w:rsid w:val="00AD34DD"/>
    <w:rsid w:val="00AD3A2D"/>
    <w:rsid w:val="00AD4550"/>
    <w:rsid w:val="00AD468C"/>
    <w:rsid w:val="00AD5BF4"/>
    <w:rsid w:val="00AD6805"/>
    <w:rsid w:val="00AD72CC"/>
    <w:rsid w:val="00AD76BC"/>
    <w:rsid w:val="00AD7E3C"/>
    <w:rsid w:val="00AE09CB"/>
    <w:rsid w:val="00AE10BD"/>
    <w:rsid w:val="00AE2BBF"/>
    <w:rsid w:val="00AE5238"/>
    <w:rsid w:val="00AE5492"/>
    <w:rsid w:val="00AE5912"/>
    <w:rsid w:val="00AE6CFF"/>
    <w:rsid w:val="00AE6FD3"/>
    <w:rsid w:val="00AE7842"/>
    <w:rsid w:val="00AE79D3"/>
    <w:rsid w:val="00AF0098"/>
    <w:rsid w:val="00AF0FA5"/>
    <w:rsid w:val="00AF13F9"/>
    <w:rsid w:val="00AF26DC"/>
    <w:rsid w:val="00AF2CAD"/>
    <w:rsid w:val="00AF41FF"/>
    <w:rsid w:val="00AF4EB9"/>
    <w:rsid w:val="00AF50C6"/>
    <w:rsid w:val="00AF512F"/>
    <w:rsid w:val="00AF562A"/>
    <w:rsid w:val="00AF6470"/>
    <w:rsid w:val="00AF7771"/>
    <w:rsid w:val="00B016B2"/>
    <w:rsid w:val="00B01F60"/>
    <w:rsid w:val="00B02A31"/>
    <w:rsid w:val="00B02AD1"/>
    <w:rsid w:val="00B02CAE"/>
    <w:rsid w:val="00B03104"/>
    <w:rsid w:val="00B05172"/>
    <w:rsid w:val="00B128F7"/>
    <w:rsid w:val="00B1360A"/>
    <w:rsid w:val="00B14CEF"/>
    <w:rsid w:val="00B160E2"/>
    <w:rsid w:val="00B1645C"/>
    <w:rsid w:val="00B16BFB"/>
    <w:rsid w:val="00B16E52"/>
    <w:rsid w:val="00B17682"/>
    <w:rsid w:val="00B17BA0"/>
    <w:rsid w:val="00B17C22"/>
    <w:rsid w:val="00B209BC"/>
    <w:rsid w:val="00B20BC4"/>
    <w:rsid w:val="00B20FB1"/>
    <w:rsid w:val="00B220CD"/>
    <w:rsid w:val="00B22CC2"/>
    <w:rsid w:val="00B22F4F"/>
    <w:rsid w:val="00B24FBE"/>
    <w:rsid w:val="00B255FC"/>
    <w:rsid w:val="00B25C75"/>
    <w:rsid w:val="00B26D80"/>
    <w:rsid w:val="00B2791A"/>
    <w:rsid w:val="00B2793D"/>
    <w:rsid w:val="00B27CF1"/>
    <w:rsid w:val="00B3098E"/>
    <w:rsid w:val="00B30EF6"/>
    <w:rsid w:val="00B311C5"/>
    <w:rsid w:val="00B3132A"/>
    <w:rsid w:val="00B31D7D"/>
    <w:rsid w:val="00B328B2"/>
    <w:rsid w:val="00B32C70"/>
    <w:rsid w:val="00B3418A"/>
    <w:rsid w:val="00B34417"/>
    <w:rsid w:val="00B355BF"/>
    <w:rsid w:val="00B366EC"/>
    <w:rsid w:val="00B3696D"/>
    <w:rsid w:val="00B373E4"/>
    <w:rsid w:val="00B3758C"/>
    <w:rsid w:val="00B41235"/>
    <w:rsid w:val="00B41BD7"/>
    <w:rsid w:val="00B41C14"/>
    <w:rsid w:val="00B4242E"/>
    <w:rsid w:val="00B430C9"/>
    <w:rsid w:val="00B441DB"/>
    <w:rsid w:val="00B451CD"/>
    <w:rsid w:val="00B45846"/>
    <w:rsid w:val="00B46883"/>
    <w:rsid w:val="00B469BE"/>
    <w:rsid w:val="00B46F30"/>
    <w:rsid w:val="00B476A9"/>
    <w:rsid w:val="00B50836"/>
    <w:rsid w:val="00B51836"/>
    <w:rsid w:val="00B51D95"/>
    <w:rsid w:val="00B523CB"/>
    <w:rsid w:val="00B52AC3"/>
    <w:rsid w:val="00B53492"/>
    <w:rsid w:val="00B549C1"/>
    <w:rsid w:val="00B55093"/>
    <w:rsid w:val="00B55DA8"/>
    <w:rsid w:val="00B56B72"/>
    <w:rsid w:val="00B572FE"/>
    <w:rsid w:val="00B57600"/>
    <w:rsid w:val="00B57F3C"/>
    <w:rsid w:val="00B60117"/>
    <w:rsid w:val="00B60352"/>
    <w:rsid w:val="00B6056B"/>
    <w:rsid w:val="00B60B9A"/>
    <w:rsid w:val="00B61FB8"/>
    <w:rsid w:val="00B64752"/>
    <w:rsid w:val="00B64D40"/>
    <w:rsid w:val="00B64EB1"/>
    <w:rsid w:val="00B65205"/>
    <w:rsid w:val="00B671C1"/>
    <w:rsid w:val="00B67719"/>
    <w:rsid w:val="00B7051E"/>
    <w:rsid w:val="00B70B93"/>
    <w:rsid w:val="00B71893"/>
    <w:rsid w:val="00B7219E"/>
    <w:rsid w:val="00B735FD"/>
    <w:rsid w:val="00B748BC"/>
    <w:rsid w:val="00B74B52"/>
    <w:rsid w:val="00B77D1D"/>
    <w:rsid w:val="00B80BBF"/>
    <w:rsid w:val="00B8195E"/>
    <w:rsid w:val="00B82814"/>
    <w:rsid w:val="00B82CF9"/>
    <w:rsid w:val="00B83717"/>
    <w:rsid w:val="00B84581"/>
    <w:rsid w:val="00B85D55"/>
    <w:rsid w:val="00B8694E"/>
    <w:rsid w:val="00B86A5B"/>
    <w:rsid w:val="00B86D21"/>
    <w:rsid w:val="00B91217"/>
    <w:rsid w:val="00B9213A"/>
    <w:rsid w:val="00B93DE3"/>
    <w:rsid w:val="00B948A7"/>
    <w:rsid w:val="00B94B76"/>
    <w:rsid w:val="00B96315"/>
    <w:rsid w:val="00B9648E"/>
    <w:rsid w:val="00B96A04"/>
    <w:rsid w:val="00B97154"/>
    <w:rsid w:val="00B97ECF"/>
    <w:rsid w:val="00B97F59"/>
    <w:rsid w:val="00BA0225"/>
    <w:rsid w:val="00BA0E79"/>
    <w:rsid w:val="00BA0F0C"/>
    <w:rsid w:val="00BA0F27"/>
    <w:rsid w:val="00BA1006"/>
    <w:rsid w:val="00BA10AE"/>
    <w:rsid w:val="00BA1A47"/>
    <w:rsid w:val="00BA23FB"/>
    <w:rsid w:val="00BA25D8"/>
    <w:rsid w:val="00BA2F0C"/>
    <w:rsid w:val="00BA3027"/>
    <w:rsid w:val="00BA40CE"/>
    <w:rsid w:val="00BA511E"/>
    <w:rsid w:val="00BA587E"/>
    <w:rsid w:val="00BA6EFF"/>
    <w:rsid w:val="00BA74A5"/>
    <w:rsid w:val="00BA7E1D"/>
    <w:rsid w:val="00BA7F93"/>
    <w:rsid w:val="00BB1961"/>
    <w:rsid w:val="00BB1E0C"/>
    <w:rsid w:val="00BB216B"/>
    <w:rsid w:val="00BB2B36"/>
    <w:rsid w:val="00BB3F54"/>
    <w:rsid w:val="00BB4174"/>
    <w:rsid w:val="00BB5D5A"/>
    <w:rsid w:val="00BB6397"/>
    <w:rsid w:val="00BB6C8B"/>
    <w:rsid w:val="00BB7FF8"/>
    <w:rsid w:val="00BC07D6"/>
    <w:rsid w:val="00BC1FEA"/>
    <w:rsid w:val="00BC23CA"/>
    <w:rsid w:val="00BC2EAF"/>
    <w:rsid w:val="00BC3E77"/>
    <w:rsid w:val="00BC41FF"/>
    <w:rsid w:val="00BC421E"/>
    <w:rsid w:val="00BC46FC"/>
    <w:rsid w:val="00BC6DB2"/>
    <w:rsid w:val="00BC7352"/>
    <w:rsid w:val="00BC76AA"/>
    <w:rsid w:val="00BC7EE0"/>
    <w:rsid w:val="00BD169B"/>
    <w:rsid w:val="00BD1C80"/>
    <w:rsid w:val="00BD2BDE"/>
    <w:rsid w:val="00BD2FC4"/>
    <w:rsid w:val="00BD344B"/>
    <w:rsid w:val="00BD4172"/>
    <w:rsid w:val="00BD56AC"/>
    <w:rsid w:val="00BD5BFB"/>
    <w:rsid w:val="00BD5DD2"/>
    <w:rsid w:val="00BD6023"/>
    <w:rsid w:val="00BD621F"/>
    <w:rsid w:val="00BD7213"/>
    <w:rsid w:val="00BD7A84"/>
    <w:rsid w:val="00BE143D"/>
    <w:rsid w:val="00BE1758"/>
    <w:rsid w:val="00BE1D8D"/>
    <w:rsid w:val="00BE217A"/>
    <w:rsid w:val="00BE27C3"/>
    <w:rsid w:val="00BE29DF"/>
    <w:rsid w:val="00BE3169"/>
    <w:rsid w:val="00BE36FA"/>
    <w:rsid w:val="00BE3B2A"/>
    <w:rsid w:val="00BE3D8F"/>
    <w:rsid w:val="00BE4094"/>
    <w:rsid w:val="00BE5CE8"/>
    <w:rsid w:val="00BE634C"/>
    <w:rsid w:val="00BE6AD8"/>
    <w:rsid w:val="00BE7143"/>
    <w:rsid w:val="00BE7838"/>
    <w:rsid w:val="00BF11E6"/>
    <w:rsid w:val="00BF1D31"/>
    <w:rsid w:val="00BF228B"/>
    <w:rsid w:val="00BF26D5"/>
    <w:rsid w:val="00BF2D31"/>
    <w:rsid w:val="00BF3B72"/>
    <w:rsid w:val="00BF48B7"/>
    <w:rsid w:val="00BF4A7B"/>
    <w:rsid w:val="00BF62DE"/>
    <w:rsid w:val="00BF781C"/>
    <w:rsid w:val="00C00DBC"/>
    <w:rsid w:val="00C01544"/>
    <w:rsid w:val="00C0224E"/>
    <w:rsid w:val="00C03BBA"/>
    <w:rsid w:val="00C03EA4"/>
    <w:rsid w:val="00C04C2C"/>
    <w:rsid w:val="00C04EFD"/>
    <w:rsid w:val="00C05C80"/>
    <w:rsid w:val="00C06FB5"/>
    <w:rsid w:val="00C10080"/>
    <w:rsid w:val="00C10BFE"/>
    <w:rsid w:val="00C15DC8"/>
    <w:rsid w:val="00C1629B"/>
    <w:rsid w:val="00C16E59"/>
    <w:rsid w:val="00C1799F"/>
    <w:rsid w:val="00C2034E"/>
    <w:rsid w:val="00C20B92"/>
    <w:rsid w:val="00C20E7E"/>
    <w:rsid w:val="00C212FD"/>
    <w:rsid w:val="00C22634"/>
    <w:rsid w:val="00C24358"/>
    <w:rsid w:val="00C24630"/>
    <w:rsid w:val="00C24D1A"/>
    <w:rsid w:val="00C24E88"/>
    <w:rsid w:val="00C25A1B"/>
    <w:rsid w:val="00C26248"/>
    <w:rsid w:val="00C26AEC"/>
    <w:rsid w:val="00C27750"/>
    <w:rsid w:val="00C30E97"/>
    <w:rsid w:val="00C31350"/>
    <w:rsid w:val="00C3254A"/>
    <w:rsid w:val="00C3262D"/>
    <w:rsid w:val="00C32EE0"/>
    <w:rsid w:val="00C33147"/>
    <w:rsid w:val="00C33168"/>
    <w:rsid w:val="00C359A1"/>
    <w:rsid w:val="00C36355"/>
    <w:rsid w:val="00C365D4"/>
    <w:rsid w:val="00C368B1"/>
    <w:rsid w:val="00C37448"/>
    <w:rsid w:val="00C376B4"/>
    <w:rsid w:val="00C40EE1"/>
    <w:rsid w:val="00C424D0"/>
    <w:rsid w:val="00C42BE9"/>
    <w:rsid w:val="00C42DCA"/>
    <w:rsid w:val="00C439F1"/>
    <w:rsid w:val="00C45D49"/>
    <w:rsid w:val="00C45EDF"/>
    <w:rsid w:val="00C4711F"/>
    <w:rsid w:val="00C472FB"/>
    <w:rsid w:val="00C47448"/>
    <w:rsid w:val="00C47986"/>
    <w:rsid w:val="00C47CA5"/>
    <w:rsid w:val="00C47E61"/>
    <w:rsid w:val="00C47FDC"/>
    <w:rsid w:val="00C51523"/>
    <w:rsid w:val="00C52D9B"/>
    <w:rsid w:val="00C53434"/>
    <w:rsid w:val="00C53CE6"/>
    <w:rsid w:val="00C53EB1"/>
    <w:rsid w:val="00C53EE5"/>
    <w:rsid w:val="00C54436"/>
    <w:rsid w:val="00C547EE"/>
    <w:rsid w:val="00C54C0E"/>
    <w:rsid w:val="00C5570B"/>
    <w:rsid w:val="00C55844"/>
    <w:rsid w:val="00C55EDA"/>
    <w:rsid w:val="00C57DD0"/>
    <w:rsid w:val="00C60078"/>
    <w:rsid w:val="00C6091E"/>
    <w:rsid w:val="00C60D43"/>
    <w:rsid w:val="00C61B99"/>
    <w:rsid w:val="00C62097"/>
    <w:rsid w:val="00C62620"/>
    <w:rsid w:val="00C6376C"/>
    <w:rsid w:val="00C6489C"/>
    <w:rsid w:val="00C65045"/>
    <w:rsid w:val="00C666BD"/>
    <w:rsid w:val="00C6754E"/>
    <w:rsid w:val="00C67F52"/>
    <w:rsid w:val="00C705F2"/>
    <w:rsid w:val="00C70B61"/>
    <w:rsid w:val="00C70BE4"/>
    <w:rsid w:val="00C70D03"/>
    <w:rsid w:val="00C7121B"/>
    <w:rsid w:val="00C71BB2"/>
    <w:rsid w:val="00C72D18"/>
    <w:rsid w:val="00C73828"/>
    <w:rsid w:val="00C757B3"/>
    <w:rsid w:val="00C75E31"/>
    <w:rsid w:val="00C760EB"/>
    <w:rsid w:val="00C76D9B"/>
    <w:rsid w:val="00C77649"/>
    <w:rsid w:val="00C81ED4"/>
    <w:rsid w:val="00C8378D"/>
    <w:rsid w:val="00C8389A"/>
    <w:rsid w:val="00C84C8A"/>
    <w:rsid w:val="00C84CA1"/>
    <w:rsid w:val="00C84FCB"/>
    <w:rsid w:val="00C85293"/>
    <w:rsid w:val="00C901B0"/>
    <w:rsid w:val="00C90DE9"/>
    <w:rsid w:val="00C91DA0"/>
    <w:rsid w:val="00C9224B"/>
    <w:rsid w:val="00C92BC1"/>
    <w:rsid w:val="00C93563"/>
    <w:rsid w:val="00C9371D"/>
    <w:rsid w:val="00C94026"/>
    <w:rsid w:val="00C9545C"/>
    <w:rsid w:val="00C9583E"/>
    <w:rsid w:val="00C966FE"/>
    <w:rsid w:val="00C968F8"/>
    <w:rsid w:val="00C97C7D"/>
    <w:rsid w:val="00C97CF0"/>
    <w:rsid w:val="00CA0528"/>
    <w:rsid w:val="00CA0970"/>
    <w:rsid w:val="00CA11EC"/>
    <w:rsid w:val="00CA2415"/>
    <w:rsid w:val="00CA3068"/>
    <w:rsid w:val="00CA37A9"/>
    <w:rsid w:val="00CA4FB3"/>
    <w:rsid w:val="00CA5270"/>
    <w:rsid w:val="00CA64F3"/>
    <w:rsid w:val="00CA65C3"/>
    <w:rsid w:val="00CA69CC"/>
    <w:rsid w:val="00CA7A9C"/>
    <w:rsid w:val="00CA7B30"/>
    <w:rsid w:val="00CA7B66"/>
    <w:rsid w:val="00CA7E60"/>
    <w:rsid w:val="00CB148F"/>
    <w:rsid w:val="00CB179F"/>
    <w:rsid w:val="00CB201C"/>
    <w:rsid w:val="00CB2B95"/>
    <w:rsid w:val="00CB35F5"/>
    <w:rsid w:val="00CB4194"/>
    <w:rsid w:val="00CB4639"/>
    <w:rsid w:val="00CB5839"/>
    <w:rsid w:val="00CB7323"/>
    <w:rsid w:val="00CB796B"/>
    <w:rsid w:val="00CB79C2"/>
    <w:rsid w:val="00CC05F4"/>
    <w:rsid w:val="00CC0AE0"/>
    <w:rsid w:val="00CC3538"/>
    <w:rsid w:val="00CC4683"/>
    <w:rsid w:val="00CC5808"/>
    <w:rsid w:val="00CC7041"/>
    <w:rsid w:val="00CC7BC6"/>
    <w:rsid w:val="00CC7E8E"/>
    <w:rsid w:val="00CD005B"/>
    <w:rsid w:val="00CD029E"/>
    <w:rsid w:val="00CD02F5"/>
    <w:rsid w:val="00CD0694"/>
    <w:rsid w:val="00CD09C5"/>
    <w:rsid w:val="00CD20C8"/>
    <w:rsid w:val="00CD26D9"/>
    <w:rsid w:val="00CD3012"/>
    <w:rsid w:val="00CD3CF2"/>
    <w:rsid w:val="00CD455C"/>
    <w:rsid w:val="00CD45E0"/>
    <w:rsid w:val="00CD5160"/>
    <w:rsid w:val="00CD60E6"/>
    <w:rsid w:val="00CD7B5A"/>
    <w:rsid w:val="00CD7C83"/>
    <w:rsid w:val="00CD7D20"/>
    <w:rsid w:val="00CE08A8"/>
    <w:rsid w:val="00CE359E"/>
    <w:rsid w:val="00CE40B0"/>
    <w:rsid w:val="00CE4486"/>
    <w:rsid w:val="00CE48CF"/>
    <w:rsid w:val="00CE5811"/>
    <w:rsid w:val="00CE600C"/>
    <w:rsid w:val="00CE617A"/>
    <w:rsid w:val="00CE61FD"/>
    <w:rsid w:val="00CE6C3D"/>
    <w:rsid w:val="00CE7373"/>
    <w:rsid w:val="00CE73BB"/>
    <w:rsid w:val="00CF1626"/>
    <w:rsid w:val="00CF1C37"/>
    <w:rsid w:val="00CF2994"/>
    <w:rsid w:val="00CF309F"/>
    <w:rsid w:val="00D007DC"/>
    <w:rsid w:val="00D01FB7"/>
    <w:rsid w:val="00D03C09"/>
    <w:rsid w:val="00D0798B"/>
    <w:rsid w:val="00D07F58"/>
    <w:rsid w:val="00D11126"/>
    <w:rsid w:val="00D11160"/>
    <w:rsid w:val="00D11509"/>
    <w:rsid w:val="00D12314"/>
    <w:rsid w:val="00D13E45"/>
    <w:rsid w:val="00D1434C"/>
    <w:rsid w:val="00D17E3B"/>
    <w:rsid w:val="00D2083C"/>
    <w:rsid w:val="00D20A04"/>
    <w:rsid w:val="00D20C27"/>
    <w:rsid w:val="00D210C4"/>
    <w:rsid w:val="00D22ABB"/>
    <w:rsid w:val="00D2448F"/>
    <w:rsid w:val="00D25193"/>
    <w:rsid w:val="00D25889"/>
    <w:rsid w:val="00D27080"/>
    <w:rsid w:val="00D274F5"/>
    <w:rsid w:val="00D27826"/>
    <w:rsid w:val="00D27DA7"/>
    <w:rsid w:val="00D30737"/>
    <w:rsid w:val="00D3099E"/>
    <w:rsid w:val="00D30AC6"/>
    <w:rsid w:val="00D30C3D"/>
    <w:rsid w:val="00D3252F"/>
    <w:rsid w:val="00D335A8"/>
    <w:rsid w:val="00D33BAD"/>
    <w:rsid w:val="00D33E48"/>
    <w:rsid w:val="00D341C7"/>
    <w:rsid w:val="00D3431D"/>
    <w:rsid w:val="00D34CE8"/>
    <w:rsid w:val="00D36825"/>
    <w:rsid w:val="00D40226"/>
    <w:rsid w:val="00D42DDE"/>
    <w:rsid w:val="00D4321D"/>
    <w:rsid w:val="00D43BD7"/>
    <w:rsid w:val="00D44375"/>
    <w:rsid w:val="00D445D0"/>
    <w:rsid w:val="00D45090"/>
    <w:rsid w:val="00D451C4"/>
    <w:rsid w:val="00D461A8"/>
    <w:rsid w:val="00D461AA"/>
    <w:rsid w:val="00D46656"/>
    <w:rsid w:val="00D5044E"/>
    <w:rsid w:val="00D50E09"/>
    <w:rsid w:val="00D510D8"/>
    <w:rsid w:val="00D51B3D"/>
    <w:rsid w:val="00D5222A"/>
    <w:rsid w:val="00D547BA"/>
    <w:rsid w:val="00D55A35"/>
    <w:rsid w:val="00D55D31"/>
    <w:rsid w:val="00D561AA"/>
    <w:rsid w:val="00D56794"/>
    <w:rsid w:val="00D568D4"/>
    <w:rsid w:val="00D5714D"/>
    <w:rsid w:val="00D573EA"/>
    <w:rsid w:val="00D6140C"/>
    <w:rsid w:val="00D62473"/>
    <w:rsid w:val="00D63787"/>
    <w:rsid w:val="00D63E5A"/>
    <w:rsid w:val="00D641D9"/>
    <w:rsid w:val="00D644C9"/>
    <w:rsid w:val="00D6540C"/>
    <w:rsid w:val="00D66251"/>
    <w:rsid w:val="00D66571"/>
    <w:rsid w:val="00D66E44"/>
    <w:rsid w:val="00D67A17"/>
    <w:rsid w:val="00D67A96"/>
    <w:rsid w:val="00D67D2C"/>
    <w:rsid w:val="00D7122B"/>
    <w:rsid w:val="00D712E8"/>
    <w:rsid w:val="00D717A2"/>
    <w:rsid w:val="00D71D36"/>
    <w:rsid w:val="00D72BB7"/>
    <w:rsid w:val="00D73AE8"/>
    <w:rsid w:val="00D752B8"/>
    <w:rsid w:val="00D754E4"/>
    <w:rsid w:val="00D779AA"/>
    <w:rsid w:val="00D80397"/>
    <w:rsid w:val="00D81C09"/>
    <w:rsid w:val="00D820BD"/>
    <w:rsid w:val="00D84AF0"/>
    <w:rsid w:val="00D84DE4"/>
    <w:rsid w:val="00D84F79"/>
    <w:rsid w:val="00D85B34"/>
    <w:rsid w:val="00D87305"/>
    <w:rsid w:val="00D87B89"/>
    <w:rsid w:val="00D90026"/>
    <w:rsid w:val="00D91288"/>
    <w:rsid w:val="00D918CB"/>
    <w:rsid w:val="00D91D64"/>
    <w:rsid w:val="00D93E61"/>
    <w:rsid w:val="00D95AEC"/>
    <w:rsid w:val="00D96466"/>
    <w:rsid w:val="00D964B6"/>
    <w:rsid w:val="00D974CC"/>
    <w:rsid w:val="00D97E7B"/>
    <w:rsid w:val="00D97FFB"/>
    <w:rsid w:val="00DA23F6"/>
    <w:rsid w:val="00DA3510"/>
    <w:rsid w:val="00DA4843"/>
    <w:rsid w:val="00DA4F22"/>
    <w:rsid w:val="00DA50F7"/>
    <w:rsid w:val="00DA5B88"/>
    <w:rsid w:val="00DA681F"/>
    <w:rsid w:val="00DA7376"/>
    <w:rsid w:val="00DA7448"/>
    <w:rsid w:val="00DA7FFE"/>
    <w:rsid w:val="00DB0796"/>
    <w:rsid w:val="00DB1E38"/>
    <w:rsid w:val="00DB2355"/>
    <w:rsid w:val="00DB447E"/>
    <w:rsid w:val="00DB481C"/>
    <w:rsid w:val="00DB5661"/>
    <w:rsid w:val="00DB5FCB"/>
    <w:rsid w:val="00DB659C"/>
    <w:rsid w:val="00DC2993"/>
    <w:rsid w:val="00DC32F1"/>
    <w:rsid w:val="00DC3DB8"/>
    <w:rsid w:val="00DC49CE"/>
    <w:rsid w:val="00DC49F8"/>
    <w:rsid w:val="00DC599C"/>
    <w:rsid w:val="00DC5B7F"/>
    <w:rsid w:val="00DC5FE8"/>
    <w:rsid w:val="00DD06D4"/>
    <w:rsid w:val="00DD0A1A"/>
    <w:rsid w:val="00DD141B"/>
    <w:rsid w:val="00DD2EA3"/>
    <w:rsid w:val="00DD3ABB"/>
    <w:rsid w:val="00DD4A9D"/>
    <w:rsid w:val="00DD4F27"/>
    <w:rsid w:val="00DD680B"/>
    <w:rsid w:val="00DD7D5B"/>
    <w:rsid w:val="00DD7F7C"/>
    <w:rsid w:val="00DE05CA"/>
    <w:rsid w:val="00DE0A41"/>
    <w:rsid w:val="00DE19FC"/>
    <w:rsid w:val="00DE1A53"/>
    <w:rsid w:val="00DE1C40"/>
    <w:rsid w:val="00DE1F8A"/>
    <w:rsid w:val="00DE30B3"/>
    <w:rsid w:val="00DE39B5"/>
    <w:rsid w:val="00DE577B"/>
    <w:rsid w:val="00DE60D5"/>
    <w:rsid w:val="00DE6816"/>
    <w:rsid w:val="00DF0F26"/>
    <w:rsid w:val="00DF3DEE"/>
    <w:rsid w:val="00DF5273"/>
    <w:rsid w:val="00DF67A3"/>
    <w:rsid w:val="00DF6ACF"/>
    <w:rsid w:val="00DF7DBA"/>
    <w:rsid w:val="00E0009B"/>
    <w:rsid w:val="00E01CB1"/>
    <w:rsid w:val="00E026C6"/>
    <w:rsid w:val="00E03DA4"/>
    <w:rsid w:val="00E05234"/>
    <w:rsid w:val="00E057F4"/>
    <w:rsid w:val="00E0619D"/>
    <w:rsid w:val="00E07F38"/>
    <w:rsid w:val="00E10B83"/>
    <w:rsid w:val="00E10B99"/>
    <w:rsid w:val="00E1131D"/>
    <w:rsid w:val="00E13D2D"/>
    <w:rsid w:val="00E13EAB"/>
    <w:rsid w:val="00E1407C"/>
    <w:rsid w:val="00E152CF"/>
    <w:rsid w:val="00E16D17"/>
    <w:rsid w:val="00E177F3"/>
    <w:rsid w:val="00E21F71"/>
    <w:rsid w:val="00E22B09"/>
    <w:rsid w:val="00E22E46"/>
    <w:rsid w:val="00E23129"/>
    <w:rsid w:val="00E24AB1"/>
    <w:rsid w:val="00E24E4B"/>
    <w:rsid w:val="00E25CE8"/>
    <w:rsid w:val="00E25D38"/>
    <w:rsid w:val="00E30A6C"/>
    <w:rsid w:val="00E30CAA"/>
    <w:rsid w:val="00E327C4"/>
    <w:rsid w:val="00E33D34"/>
    <w:rsid w:val="00E349CF"/>
    <w:rsid w:val="00E35784"/>
    <w:rsid w:val="00E366AE"/>
    <w:rsid w:val="00E36B7D"/>
    <w:rsid w:val="00E376A8"/>
    <w:rsid w:val="00E37725"/>
    <w:rsid w:val="00E37F80"/>
    <w:rsid w:val="00E40936"/>
    <w:rsid w:val="00E413F4"/>
    <w:rsid w:val="00E4171A"/>
    <w:rsid w:val="00E42899"/>
    <w:rsid w:val="00E43F91"/>
    <w:rsid w:val="00E44B9C"/>
    <w:rsid w:val="00E45FAC"/>
    <w:rsid w:val="00E471AF"/>
    <w:rsid w:val="00E47EED"/>
    <w:rsid w:val="00E5075A"/>
    <w:rsid w:val="00E50814"/>
    <w:rsid w:val="00E519C1"/>
    <w:rsid w:val="00E519CC"/>
    <w:rsid w:val="00E5212D"/>
    <w:rsid w:val="00E52D3E"/>
    <w:rsid w:val="00E54120"/>
    <w:rsid w:val="00E54B91"/>
    <w:rsid w:val="00E57BB3"/>
    <w:rsid w:val="00E60B52"/>
    <w:rsid w:val="00E60DB9"/>
    <w:rsid w:val="00E64F4F"/>
    <w:rsid w:val="00E65F1B"/>
    <w:rsid w:val="00E66150"/>
    <w:rsid w:val="00E66162"/>
    <w:rsid w:val="00E66563"/>
    <w:rsid w:val="00E66948"/>
    <w:rsid w:val="00E67753"/>
    <w:rsid w:val="00E70A7D"/>
    <w:rsid w:val="00E7110A"/>
    <w:rsid w:val="00E7130D"/>
    <w:rsid w:val="00E71913"/>
    <w:rsid w:val="00E731B1"/>
    <w:rsid w:val="00E73278"/>
    <w:rsid w:val="00E737AF"/>
    <w:rsid w:val="00E73B4D"/>
    <w:rsid w:val="00E76043"/>
    <w:rsid w:val="00E80454"/>
    <w:rsid w:val="00E810E9"/>
    <w:rsid w:val="00E81D40"/>
    <w:rsid w:val="00E83804"/>
    <w:rsid w:val="00E84E4D"/>
    <w:rsid w:val="00E84F6A"/>
    <w:rsid w:val="00E85A7A"/>
    <w:rsid w:val="00E86A27"/>
    <w:rsid w:val="00E86AAF"/>
    <w:rsid w:val="00E87012"/>
    <w:rsid w:val="00E87E23"/>
    <w:rsid w:val="00E87E67"/>
    <w:rsid w:val="00E902C4"/>
    <w:rsid w:val="00E917B9"/>
    <w:rsid w:val="00E91F44"/>
    <w:rsid w:val="00E92573"/>
    <w:rsid w:val="00E9321E"/>
    <w:rsid w:val="00E936A2"/>
    <w:rsid w:val="00E95F23"/>
    <w:rsid w:val="00E96579"/>
    <w:rsid w:val="00E96FBA"/>
    <w:rsid w:val="00E97AC1"/>
    <w:rsid w:val="00EA035D"/>
    <w:rsid w:val="00EA118A"/>
    <w:rsid w:val="00EA183F"/>
    <w:rsid w:val="00EA1854"/>
    <w:rsid w:val="00EA228C"/>
    <w:rsid w:val="00EA303C"/>
    <w:rsid w:val="00EA42E9"/>
    <w:rsid w:val="00EA4DD0"/>
    <w:rsid w:val="00EA5DE2"/>
    <w:rsid w:val="00EA63DD"/>
    <w:rsid w:val="00EA6502"/>
    <w:rsid w:val="00EA69BE"/>
    <w:rsid w:val="00EA6D64"/>
    <w:rsid w:val="00EA7075"/>
    <w:rsid w:val="00EA7267"/>
    <w:rsid w:val="00EA7DD2"/>
    <w:rsid w:val="00EB004A"/>
    <w:rsid w:val="00EB041F"/>
    <w:rsid w:val="00EB1620"/>
    <w:rsid w:val="00EB2519"/>
    <w:rsid w:val="00EB2E7F"/>
    <w:rsid w:val="00EB354A"/>
    <w:rsid w:val="00EB3A3F"/>
    <w:rsid w:val="00EB3B81"/>
    <w:rsid w:val="00EB4081"/>
    <w:rsid w:val="00EB5E02"/>
    <w:rsid w:val="00EB6168"/>
    <w:rsid w:val="00EB7133"/>
    <w:rsid w:val="00EC1065"/>
    <w:rsid w:val="00EC1BD6"/>
    <w:rsid w:val="00EC2FAE"/>
    <w:rsid w:val="00EC4429"/>
    <w:rsid w:val="00EC4A91"/>
    <w:rsid w:val="00EC4DB5"/>
    <w:rsid w:val="00EC6224"/>
    <w:rsid w:val="00EC6AEC"/>
    <w:rsid w:val="00EC7A44"/>
    <w:rsid w:val="00ED08F6"/>
    <w:rsid w:val="00ED0F30"/>
    <w:rsid w:val="00ED0FFE"/>
    <w:rsid w:val="00ED1894"/>
    <w:rsid w:val="00ED1D54"/>
    <w:rsid w:val="00ED2EAB"/>
    <w:rsid w:val="00ED30C2"/>
    <w:rsid w:val="00ED3336"/>
    <w:rsid w:val="00ED479F"/>
    <w:rsid w:val="00ED7388"/>
    <w:rsid w:val="00ED7E87"/>
    <w:rsid w:val="00EE03FD"/>
    <w:rsid w:val="00EE2DA5"/>
    <w:rsid w:val="00EE3073"/>
    <w:rsid w:val="00EE3390"/>
    <w:rsid w:val="00EE3B4F"/>
    <w:rsid w:val="00EE4247"/>
    <w:rsid w:val="00EE51DB"/>
    <w:rsid w:val="00EE5DC4"/>
    <w:rsid w:val="00EE6CDA"/>
    <w:rsid w:val="00EF0417"/>
    <w:rsid w:val="00EF1468"/>
    <w:rsid w:val="00EF23F7"/>
    <w:rsid w:val="00EF2BDA"/>
    <w:rsid w:val="00EF2E2F"/>
    <w:rsid w:val="00EF355B"/>
    <w:rsid w:val="00EF43F9"/>
    <w:rsid w:val="00EF4C96"/>
    <w:rsid w:val="00EF7422"/>
    <w:rsid w:val="00EF7717"/>
    <w:rsid w:val="00F010B1"/>
    <w:rsid w:val="00F01690"/>
    <w:rsid w:val="00F02523"/>
    <w:rsid w:val="00F03A19"/>
    <w:rsid w:val="00F03B3E"/>
    <w:rsid w:val="00F04AF4"/>
    <w:rsid w:val="00F055E4"/>
    <w:rsid w:val="00F0620F"/>
    <w:rsid w:val="00F06C1E"/>
    <w:rsid w:val="00F07027"/>
    <w:rsid w:val="00F07311"/>
    <w:rsid w:val="00F0738A"/>
    <w:rsid w:val="00F0782B"/>
    <w:rsid w:val="00F079A4"/>
    <w:rsid w:val="00F107C5"/>
    <w:rsid w:val="00F128CB"/>
    <w:rsid w:val="00F12949"/>
    <w:rsid w:val="00F12C5C"/>
    <w:rsid w:val="00F13A02"/>
    <w:rsid w:val="00F1515E"/>
    <w:rsid w:val="00F158CB"/>
    <w:rsid w:val="00F15E1D"/>
    <w:rsid w:val="00F162CE"/>
    <w:rsid w:val="00F21C0D"/>
    <w:rsid w:val="00F22F21"/>
    <w:rsid w:val="00F24425"/>
    <w:rsid w:val="00F24BB3"/>
    <w:rsid w:val="00F24CF8"/>
    <w:rsid w:val="00F255BD"/>
    <w:rsid w:val="00F2587D"/>
    <w:rsid w:val="00F25F64"/>
    <w:rsid w:val="00F2626C"/>
    <w:rsid w:val="00F26C01"/>
    <w:rsid w:val="00F270F0"/>
    <w:rsid w:val="00F27EBF"/>
    <w:rsid w:val="00F3052C"/>
    <w:rsid w:val="00F33BFF"/>
    <w:rsid w:val="00F348E0"/>
    <w:rsid w:val="00F34CA5"/>
    <w:rsid w:val="00F35F9D"/>
    <w:rsid w:val="00F35FF8"/>
    <w:rsid w:val="00F36099"/>
    <w:rsid w:val="00F3635A"/>
    <w:rsid w:val="00F36391"/>
    <w:rsid w:val="00F36F80"/>
    <w:rsid w:val="00F37CD3"/>
    <w:rsid w:val="00F40571"/>
    <w:rsid w:val="00F41DEB"/>
    <w:rsid w:val="00F42365"/>
    <w:rsid w:val="00F4255B"/>
    <w:rsid w:val="00F426AA"/>
    <w:rsid w:val="00F43176"/>
    <w:rsid w:val="00F44751"/>
    <w:rsid w:val="00F448B1"/>
    <w:rsid w:val="00F47F1C"/>
    <w:rsid w:val="00F513E1"/>
    <w:rsid w:val="00F5196F"/>
    <w:rsid w:val="00F51D86"/>
    <w:rsid w:val="00F5232C"/>
    <w:rsid w:val="00F52C4E"/>
    <w:rsid w:val="00F52DED"/>
    <w:rsid w:val="00F53460"/>
    <w:rsid w:val="00F54275"/>
    <w:rsid w:val="00F545A4"/>
    <w:rsid w:val="00F549E9"/>
    <w:rsid w:val="00F54CD1"/>
    <w:rsid w:val="00F56701"/>
    <w:rsid w:val="00F57406"/>
    <w:rsid w:val="00F60A34"/>
    <w:rsid w:val="00F6207E"/>
    <w:rsid w:val="00F63043"/>
    <w:rsid w:val="00F63301"/>
    <w:rsid w:val="00F65597"/>
    <w:rsid w:val="00F65B4C"/>
    <w:rsid w:val="00F67A49"/>
    <w:rsid w:val="00F703AF"/>
    <w:rsid w:val="00F70F4D"/>
    <w:rsid w:val="00F71A8B"/>
    <w:rsid w:val="00F71DD2"/>
    <w:rsid w:val="00F72E55"/>
    <w:rsid w:val="00F73143"/>
    <w:rsid w:val="00F74076"/>
    <w:rsid w:val="00F75226"/>
    <w:rsid w:val="00F7593C"/>
    <w:rsid w:val="00F75B20"/>
    <w:rsid w:val="00F75B82"/>
    <w:rsid w:val="00F75E46"/>
    <w:rsid w:val="00F75ECC"/>
    <w:rsid w:val="00F767FC"/>
    <w:rsid w:val="00F77283"/>
    <w:rsid w:val="00F8277C"/>
    <w:rsid w:val="00F82AA8"/>
    <w:rsid w:val="00F8338C"/>
    <w:rsid w:val="00F8508E"/>
    <w:rsid w:val="00F85AB7"/>
    <w:rsid w:val="00F85BC7"/>
    <w:rsid w:val="00F86F9E"/>
    <w:rsid w:val="00F8798A"/>
    <w:rsid w:val="00F90537"/>
    <w:rsid w:val="00F91090"/>
    <w:rsid w:val="00F92E09"/>
    <w:rsid w:val="00F93F84"/>
    <w:rsid w:val="00F94E09"/>
    <w:rsid w:val="00F96C3C"/>
    <w:rsid w:val="00F97479"/>
    <w:rsid w:val="00F977E1"/>
    <w:rsid w:val="00F97E8A"/>
    <w:rsid w:val="00FA012F"/>
    <w:rsid w:val="00FA073D"/>
    <w:rsid w:val="00FA0A78"/>
    <w:rsid w:val="00FA0DFC"/>
    <w:rsid w:val="00FA16A0"/>
    <w:rsid w:val="00FA3068"/>
    <w:rsid w:val="00FA4346"/>
    <w:rsid w:val="00FA437E"/>
    <w:rsid w:val="00FA5F6A"/>
    <w:rsid w:val="00FA78C5"/>
    <w:rsid w:val="00FB0E2A"/>
    <w:rsid w:val="00FB1ED2"/>
    <w:rsid w:val="00FB2A79"/>
    <w:rsid w:val="00FB3EB5"/>
    <w:rsid w:val="00FB54C0"/>
    <w:rsid w:val="00FB578D"/>
    <w:rsid w:val="00FB5896"/>
    <w:rsid w:val="00FB6A72"/>
    <w:rsid w:val="00FB763F"/>
    <w:rsid w:val="00FC0262"/>
    <w:rsid w:val="00FC0480"/>
    <w:rsid w:val="00FC06F9"/>
    <w:rsid w:val="00FC09BB"/>
    <w:rsid w:val="00FC1415"/>
    <w:rsid w:val="00FC1666"/>
    <w:rsid w:val="00FC1835"/>
    <w:rsid w:val="00FC1B7F"/>
    <w:rsid w:val="00FC1E21"/>
    <w:rsid w:val="00FC23CF"/>
    <w:rsid w:val="00FC27BC"/>
    <w:rsid w:val="00FC2B2A"/>
    <w:rsid w:val="00FC2E32"/>
    <w:rsid w:val="00FC4D5A"/>
    <w:rsid w:val="00FC5062"/>
    <w:rsid w:val="00FC7639"/>
    <w:rsid w:val="00FC7C66"/>
    <w:rsid w:val="00FD0140"/>
    <w:rsid w:val="00FD050E"/>
    <w:rsid w:val="00FD1297"/>
    <w:rsid w:val="00FD2695"/>
    <w:rsid w:val="00FD2D37"/>
    <w:rsid w:val="00FD47C0"/>
    <w:rsid w:val="00FD47D6"/>
    <w:rsid w:val="00FD485D"/>
    <w:rsid w:val="00FD51E6"/>
    <w:rsid w:val="00FD526D"/>
    <w:rsid w:val="00FD6B8A"/>
    <w:rsid w:val="00FD6E75"/>
    <w:rsid w:val="00FD7370"/>
    <w:rsid w:val="00FD7410"/>
    <w:rsid w:val="00FD75DB"/>
    <w:rsid w:val="00FE0152"/>
    <w:rsid w:val="00FE08BB"/>
    <w:rsid w:val="00FE0E42"/>
    <w:rsid w:val="00FE0E54"/>
    <w:rsid w:val="00FE13D8"/>
    <w:rsid w:val="00FE1558"/>
    <w:rsid w:val="00FE1B82"/>
    <w:rsid w:val="00FE262E"/>
    <w:rsid w:val="00FE4A0C"/>
    <w:rsid w:val="00FE54E4"/>
    <w:rsid w:val="00FE6959"/>
    <w:rsid w:val="00FE7533"/>
    <w:rsid w:val="00FF0A41"/>
    <w:rsid w:val="00FF1BD2"/>
    <w:rsid w:val="00FF3216"/>
    <w:rsid w:val="00FF5120"/>
    <w:rsid w:val="00FF6146"/>
    <w:rsid w:val="00FF63DB"/>
    <w:rsid w:val="00FF736F"/>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4367B"/>
  <w15:chartTrackingRefBased/>
  <w15:docId w15:val="{F1547B66-5E5E-46CF-B9C4-AD130F0A9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7AA"/>
  </w:style>
  <w:style w:type="paragraph" w:styleId="Heading1">
    <w:name w:val="heading 1"/>
    <w:basedOn w:val="Normal"/>
    <w:next w:val="Normal"/>
    <w:link w:val="Heading1Char"/>
    <w:uiPriority w:val="9"/>
    <w:qFormat/>
    <w:rsid w:val="004241ED"/>
    <w:pPr>
      <w:keepNext/>
      <w:keepLines/>
      <w:numPr>
        <w:numId w:val="7"/>
      </w:numPr>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4241ED"/>
    <w:pPr>
      <w:keepNext/>
      <w:keepLines/>
      <w:numPr>
        <w:ilvl w:val="1"/>
        <w:numId w:val="7"/>
      </w:numPr>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4241ED"/>
    <w:pPr>
      <w:keepNext/>
      <w:keepLines/>
      <w:numPr>
        <w:ilvl w:val="2"/>
        <w:numId w:val="7"/>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4241ED"/>
    <w:pPr>
      <w:keepNext/>
      <w:keepLines/>
      <w:numPr>
        <w:ilvl w:val="3"/>
        <w:numId w:val="7"/>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4241ED"/>
    <w:pPr>
      <w:keepNext/>
      <w:keepLines/>
      <w:numPr>
        <w:ilvl w:val="4"/>
        <w:numId w:val="7"/>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4241ED"/>
    <w:pPr>
      <w:keepNext/>
      <w:keepLines/>
      <w:numPr>
        <w:ilvl w:val="5"/>
        <w:numId w:val="7"/>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4241ED"/>
    <w:pPr>
      <w:keepNext/>
      <w:keepLines/>
      <w:numPr>
        <w:ilvl w:val="6"/>
        <w:numId w:val="7"/>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241ED"/>
    <w:pPr>
      <w:keepNext/>
      <w:keepLines/>
      <w:numPr>
        <w:ilvl w:val="7"/>
        <w:numId w:val="7"/>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241ED"/>
    <w:pPr>
      <w:keepNext/>
      <w:keepLines/>
      <w:numPr>
        <w:ilvl w:val="8"/>
        <w:numId w:val="7"/>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Level11">
    <w:name w:val="Note Level 11"/>
    <w:basedOn w:val="Normal"/>
    <w:uiPriority w:val="99"/>
    <w:unhideWhenUsed/>
    <w:rsid w:val="005272AE"/>
    <w:pPr>
      <w:keepNext/>
      <w:numPr>
        <w:numId w:val="1"/>
      </w:numPr>
      <w:spacing w:before="120" w:after="0" w:line="360" w:lineRule="auto"/>
      <w:contextualSpacing/>
      <w:jc w:val="both"/>
      <w:outlineLvl w:val="0"/>
    </w:pPr>
    <w:rPr>
      <w:rFonts w:ascii="Verdana" w:eastAsia="MS Gothic" w:hAnsi="Verdana"/>
      <w:sz w:val="24"/>
    </w:rPr>
  </w:style>
  <w:style w:type="paragraph" w:customStyle="1" w:styleId="NoteLevel21">
    <w:name w:val="Note Level 21"/>
    <w:basedOn w:val="Normal"/>
    <w:uiPriority w:val="99"/>
    <w:unhideWhenUsed/>
    <w:rsid w:val="005272AE"/>
    <w:pPr>
      <w:keepNext/>
      <w:numPr>
        <w:ilvl w:val="1"/>
        <w:numId w:val="1"/>
      </w:numPr>
      <w:spacing w:before="120" w:after="0" w:line="360" w:lineRule="auto"/>
      <w:contextualSpacing/>
      <w:jc w:val="both"/>
      <w:outlineLvl w:val="1"/>
    </w:pPr>
    <w:rPr>
      <w:rFonts w:ascii="Verdana" w:eastAsia="MS Gothic" w:hAnsi="Verdana"/>
      <w:sz w:val="24"/>
    </w:rPr>
  </w:style>
  <w:style w:type="paragraph" w:customStyle="1" w:styleId="NoteLevel31">
    <w:name w:val="Note Level 31"/>
    <w:basedOn w:val="Normal"/>
    <w:uiPriority w:val="99"/>
    <w:semiHidden/>
    <w:unhideWhenUsed/>
    <w:rsid w:val="005272AE"/>
    <w:pPr>
      <w:keepNext/>
      <w:numPr>
        <w:ilvl w:val="2"/>
        <w:numId w:val="1"/>
      </w:numPr>
      <w:tabs>
        <w:tab w:val="clear" w:pos="1440"/>
        <w:tab w:val="num" w:pos="360"/>
      </w:tabs>
      <w:spacing w:before="120" w:after="0" w:line="360" w:lineRule="auto"/>
      <w:ind w:left="0" w:firstLine="0"/>
      <w:contextualSpacing/>
      <w:jc w:val="both"/>
      <w:outlineLvl w:val="2"/>
    </w:pPr>
    <w:rPr>
      <w:rFonts w:ascii="Verdana" w:eastAsia="MS Gothic" w:hAnsi="Verdana"/>
      <w:sz w:val="24"/>
    </w:rPr>
  </w:style>
  <w:style w:type="paragraph" w:customStyle="1" w:styleId="NoteLevel41">
    <w:name w:val="Note Level 41"/>
    <w:basedOn w:val="Normal"/>
    <w:uiPriority w:val="99"/>
    <w:semiHidden/>
    <w:unhideWhenUsed/>
    <w:rsid w:val="005272AE"/>
    <w:pPr>
      <w:keepNext/>
      <w:numPr>
        <w:ilvl w:val="3"/>
        <w:numId w:val="1"/>
      </w:numPr>
      <w:spacing w:before="120" w:after="0" w:line="360" w:lineRule="auto"/>
      <w:contextualSpacing/>
      <w:jc w:val="both"/>
      <w:outlineLvl w:val="3"/>
    </w:pPr>
    <w:rPr>
      <w:rFonts w:ascii="Verdana" w:eastAsia="MS Gothic" w:hAnsi="Verdana"/>
      <w:sz w:val="24"/>
    </w:rPr>
  </w:style>
  <w:style w:type="paragraph" w:customStyle="1" w:styleId="NoteLevel51">
    <w:name w:val="Note Level 51"/>
    <w:basedOn w:val="Normal"/>
    <w:uiPriority w:val="99"/>
    <w:semiHidden/>
    <w:unhideWhenUsed/>
    <w:rsid w:val="005272AE"/>
    <w:pPr>
      <w:keepNext/>
      <w:numPr>
        <w:ilvl w:val="4"/>
        <w:numId w:val="1"/>
      </w:numPr>
      <w:spacing w:before="120" w:after="0" w:line="360" w:lineRule="auto"/>
      <w:contextualSpacing/>
      <w:jc w:val="both"/>
      <w:outlineLvl w:val="4"/>
    </w:pPr>
    <w:rPr>
      <w:rFonts w:ascii="Verdana" w:eastAsia="MS Gothic" w:hAnsi="Verdana"/>
      <w:sz w:val="24"/>
    </w:rPr>
  </w:style>
  <w:style w:type="paragraph" w:customStyle="1" w:styleId="NoteLevel61">
    <w:name w:val="Note Level 61"/>
    <w:basedOn w:val="Normal"/>
    <w:uiPriority w:val="99"/>
    <w:semiHidden/>
    <w:unhideWhenUsed/>
    <w:rsid w:val="005272AE"/>
    <w:pPr>
      <w:keepNext/>
      <w:numPr>
        <w:ilvl w:val="5"/>
        <w:numId w:val="1"/>
      </w:numPr>
      <w:spacing w:before="120" w:after="0" w:line="360" w:lineRule="auto"/>
      <w:contextualSpacing/>
      <w:jc w:val="both"/>
      <w:outlineLvl w:val="5"/>
    </w:pPr>
    <w:rPr>
      <w:rFonts w:ascii="Verdana" w:eastAsia="MS Gothic" w:hAnsi="Verdana"/>
      <w:sz w:val="24"/>
    </w:rPr>
  </w:style>
  <w:style w:type="paragraph" w:customStyle="1" w:styleId="NoteLevel71">
    <w:name w:val="Note Level 71"/>
    <w:basedOn w:val="Normal"/>
    <w:uiPriority w:val="99"/>
    <w:semiHidden/>
    <w:unhideWhenUsed/>
    <w:rsid w:val="005272AE"/>
    <w:pPr>
      <w:keepNext/>
      <w:numPr>
        <w:ilvl w:val="6"/>
        <w:numId w:val="1"/>
      </w:numPr>
      <w:spacing w:before="120" w:after="0" w:line="360" w:lineRule="auto"/>
      <w:contextualSpacing/>
      <w:jc w:val="both"/>
      <w:outlineLvl w:val="6"/>
    </w:pPr>
    <w:rPr>
      <w:rFonts w:ascii="Verdana" w:eastAsia="MS Gothic" w:hAnsi="Verdana"/>
      <w:sz w:val="24"/>
    </w:rPr>
  </w:style>
  <w:style w:type="paragraph" w:customStyle="1" w:styleId="NoteLevel81">
    <w:name w:val="Note Level 81"/>
    <w:basedOn w:val="Normal"/>
    <w:uiPriority w:val="99"/>
    <w:semiHidden/>
    <w:unhideWhenUsed/>
    <w:rsid w:val="005272AE"/>
    <w:pPr>
      <w:keepNext/>
      <w:numPr>
        <w:ilvl w:val="7"/>
        <w:numId w:val="1"/>
      </w:numPr>
      <w:spacing w:before="120" w:after="0" w:line="360" w:lineRule="auto"/>
      <w:contextualSpacing/>
      <w:jc w:val="both"/>
      <w:outlineLvl w:val="7"/>
    </w:pPr>
    <w:rPr>
      <w:rFonts w:ascii="Verdana" w:eastAsia="MS Gothic" w:hAnsi="Verdana"/>
      <w:sz w:val="24"/>
    </w:rPr>
  </w:style>
  <w:style w:type="paragraph" w:customStyle="1" w:styleId="NoteLevel91">
    <w:name w:val="Note Level 91"/>
    <w:basedOn w:val="Normal"/>
    <w:uiPriority w:val="99"/>
    <w:semiHidden/>
    <w:unhideWhenUsed/>
    <w:rsid w:val="005272AE"/>
    <w:pPr>
      <w:keepNext/>
      <w:numPr>
        <w:ilvl w:val="8"/>
        <w:numId w:val="1"/>
      </w:numPr>
      <w:spacing w:before="120" w:after="0" w:line="360" w:lineRule="auto"/>
      <w:contextualSpacing/>
      <w:jc w:val="both"/>
      <w:outlineLvl w:val="8"/>
    </w:pPr>
    <w:rPr>
      <w:rFonts w:ascii="Verdana" w:eastAsia="MS Gothic" w:hAnsi="Verdana"/>
      <w:sz w:val="24"/>
    </w:rPr>
  </w:style>
  <w:style w:type="character" w:styleId="Hyperlink">
    <w:name w:val="Hyperlink"/>
    <w:basedOn w:val="DefaultParagraphFont"/>
    <w:uiPriority w:val="99"/>
    <w:unhideWhenUsed/>
    <w:rsid w:val="005272AE"/>
    <w:rPr>
      <w:color w:val="0563C1" w:themeColor="hyperlink"/>
      <w:u w:val="single"/>
    </w:rPr>
  </w:style>
  <w:style w:type="paragraph" w:styleId="FootnoteText">
    <w:name w:val="footnote text"/>
    <w:basedOn w:val="Normal"/>
    <w:link w:val="FootnoteTextChar"/>
    <w:uiPriority w:val="99"/>
    <w:unhideWhenUsed/>
    <w:rsid w:val="005272AE"/>
    <w:pPr>
      <w:spacing w:after="0" w:line="240" w:lineRule="auto"/>
    </w:pPr>
    <w:rPr>
      <w:rFonts w:eastAsiaTheme="minorEastAsia"/>
      <w:sz w:val="20"/>
      <w:szCs w:val="20"/>
      <w:lang w:eastAsia="en-GB"/>
    </w:rPr>
  </w:style>
  <w:style w:type="character" w:customStyle="1" w:styleId="FootnoteTextChar">
    <w:name w:val="Footnote Text Char"/>
    <w:basedOn w:val="DefaultParagraphFont"/>
    <w:link w:val="FootnoteText"/>
    <w:uiPriority w:val="99"/>
    <w:rsid w:val="005272AE"/>
    <w:rPr>
      <w:rFonts w:eastAsiaTheme="minorEastAsia"/>
      <w:sz w:val="20"/>
      <w:szCs w:val="20"/>
      <w:lang w:eastAsia="en-GB"/>
    </w:rPr>
  </w:style>
  <w:style w:type="character" w:styleId="FootnoteReference">
    <w:name w:val="footnote reference"/>
    <w:basedOn w:val="DefaultParagraphFont"/>
    <w:unhideWhenUsed/>
    <w:rsid w:val="005272AE"/>
    <w:rPr>
      <w:vertAlign w:val="superscript"/>
    </w:rPr>
  </w:style>
  <w:style w:type="paragraph" w:styleId="Header">
    <w:name w:val="header"/>
    <w:basedOn w:val="Normal"/>
    <w:link w:val="HeaderChar"/>
    <w:uiPriority w:val="99"/>
    <w:unhideWhenUsed/>
    <w:rsid w:val="00366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6905"/>
  </w:style>
  <w:style w:type="paragraph" w:styleId="Footer">
    <w:name w:val="footer"/>
    <w:basedOn w:val="Normal"/>
    <w:link w:val="FooterChar"/>
    <w:uiPriority w:val="99"/>
    <w:unhideWhenUsed/>
    <w:rsid w:val="00366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905"/>
  </w:style>
  <w:style w:type="character" w:styleId="CommentReference">
    <w:name w:val="annotation reference"/>
    <w:basedOn w:val="DefaultParagraphFont"/>
    <w:uiPriority w:val="99"/>
    <w:semiHidden/>
    <w:unhideWhenUsed/>
    <w:rsid w:val="00CA65C3"/>
    <w:rPr>
      <w:sz w:val="16"/>
      <w:szCs w:val="16"/>
    </w:rPr>
  </w:style>
  <w:style w:type="paragraph" w:styleId="CommentText">
    <w:name w:val="annotation text"/>
    <w:basedOn w:val="Normal"/>
    <w:link w:val="CommentTextChar"/>
    <w:uiPriority w:val="99"/>
    <w:semiHidden/>
    <w:unhideWhenUsed/>
    <w:rsid w:val="00CA65C3"/>
    <w:pPr>
      <w:spacing w:line="240" w:lineRule="auto"/>
    </w:pPr>
    <w:rPr>
      <w:sz w:val="20"/>
      <w:szCs w:val="20"/>
    </w:rPr>
  </w:style>
  <w:style w:type="character" w:customStyle="1" w:styleId="CommentTextChar">
    <w:name w:val="Comment Text Char"/>
    <w:basedOn w:val="DefaultParagraphFont"/>
    <w:link w:val="CommentText"/>
    <w:uiPriority w:val="99"/>
    <w:semiHidden/>
    <w:rsid w:val="00CA65C3"/>
    <w:rPr>
      <w:sz w:val="20"/>
      <w:szCs w:val="20"/>
    </w:rPr>
  </w:style>
  <w:style w:type="paragraph" w:styleId="CommentSubject">
    <w:name w:val="annotation subject"/>
    <w:basedOn w:val="CommentText"/>
    <w:next w:val="CommentText"/>
    <w:link w:val="CommentSubjectChar"/>
    <w:uiPriority w:val="99"/>
    <w:semiHidden/>
    <w:unhideWhenUsed/>
    <w:rsid w:val="00CA65C3"/>
    <w:rPr>
      <w:b/>
      <w:bCs/>
    </w:rPr>
  </w:style>
  <w:style w:type="character" w:customStyle="1" w:styleId="CommentSubjectChar">
    <w:name w:val="Comment Subject Char"/>
    <w:basedOn w:val="CommentTextChar"/>
    <w:link w:val="CommentSubject"/>
    <w:uiPriority w:val="99"/>
    <w:semiHidden/>
    <w:rsid w:val="00CA65C3"/>
    <w:rPr>
      <w:b/>
      <w:bCs/>
      <w:sz w:val="20"/>
      <w:szCs w:val="20"/>
    </w:rPr>
  </w:style>
  <w:style w:type="paragraph" w:styleId="BalloonText">
    <w:name w:val="Balloon Text"/>
    <w:basedOn w:val="Normal"/>
    <w:link w:val="BalloonTextChar"/>
    <w:uiPriority w:val="99"/>
    <w:semiHidden/>
    <w:unhideWhenUsed/>
    <w:rsid w:val="00CA65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5C3"/>
    <w:rPr>
      <w:rFonts w:ascii="Segoe UI" w:hAnsi="Segoe UI" w:cs="Segoe UI"/>
      <w:sz w:val="18"/>
      <w:szCs w:val="18"/>
    </w:rPr>
  </w:style>
  <w:style w:type="character" w:customStyle="1" w:styleId="Heading1Char">
    <w:name w:val="Heading 1 Char"/>
    <w:basedOn w:val="DefaultParagraphFont"/>
    <w:link w:val="Heading1"/>
    <w:uiPriority w:val="9"/>
    <w:rsid w:val="004241ED"/>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4241ED"/>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4241ED"/>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4241E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4241E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4241E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4241E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241E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241ED"/>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42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241ED"/>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41ED"/>
    <w:pPr>
      <w:spacing w:after="200" w:line="276" w:lineRule="auto"/>
      <w:ind w:left="720"/>
      <w:contextualSpacing/>
    </w:pPr>
    <w:rPr>
      <w:rFonts w:ascii="Arial" w:hAnsi="Arial" w:cs="Arial"/>
    </w:rPr>
  </w:style>
  <w:style w:type="character" w:styleId="Strong">
    <w:name w:val="Strong"/>
    <w:basedOn w:val="DefaultParagraphFont"/>
    <w:uiPriority w:val="99"/>
    <w:qFormat/>
    <w:rsid w:val="004241ED"/>
    <w:rPr>
      <w:rFonts w:cs="Times New Roman"/>
      <w:b/>
      <w:bCs/>
    </w:rPr>
  </w:style>
  <w:style w:type="paragraph" w:styleId="ListBullet">
    <w:name w:val="List Bullet"/>
    <w:basedOn w:val="Normal"/>
    <w:uiPriority w:val="99"/>
    <w:rsid w:val="004241ED"/>
    <w:pPr>
      <w:spacing w:after="240" w:line="240" w:lineRule="auto"/>
      <w:ind w:left="283" w:hanging="283"/>
      <w:jc w:val="both"/>
    </w:pPr>
    <w:rPr>
      <w:rFonts w:ascii="Arial" w:eastAsia="SimSun" w:hAnsi="Arial" w:cs="Times New Roman"/>
      <w:sz w:val="20"/>
      <w:szCs w:val="20"/>
    </w:rPr>
  </w:style>
  <w:style w:type="paragraph" w:styleId="NoSpacing">
    <w:name w:val="No Spacing"/>
    <w:link w:val="NoSpacingChar"/>
    <w:uiPriority w:val="99"/>
    <w:qFormat/>
    <w:rsid w:val="004241ED"/>
    <w:pPr>
      <w:spacing w:after="0" w:line="240" w:lineRule="auto"/>
    </w:pPr>
    <w:rPr>
      <w:rFonts w:ascii="Calibri" w:eastAsia="SimSun" w:hAnsi="Calibri" w:cs="Arial"/>
      <w:lang w:val="en-US" w:eastAsia="ja-JP"/>
    </w:rPr>
  </w:style>
  <w:style w:type="character" w:customStyle="1" w:styleId="NoSpacingChar">
    <w:name w:val="No Spacing Char"/>
    <w:basedOn w:val="DefaultParagraphFont"/>
    <w:link w:val="NoSpacing"/>
    <w:uiPriority w:val="99"/>
    <w:locked/>
    <w:rsid w:val="004241ED"/>
    <w:rPr>
      <w:rFonts w:ascii="Calibri" w:eastAsia="SimSun" w:hAnsi="Calibri" w:cs="Arial"/>
      <w:lang w:val="en-US" w:eastAsia="ja-JP"/>
    </w:rPr>
  </w:style>
  <w:style w:type="character" w:customStyle="1" w:styleId="PlainTextChar">
    <w:name w:val="Plain Text Char"/>
    <w:basedOn w:val="DefaultParagraphFont"/>
    <w:link w:val="PlainText"/>
    <w:uiPriority w:val="99"/>
    <w:semiHidden/>
    <w:rsid w:val="004241ED"/>
    <w:rPr>
      <w:rFonts w:ascii="Calibri" w:hAnsi="Calibri"/>
      <w:szCs w:val="21"/>
    </w:rPr>
  </w:style>
  <w:style w:type="paragraph" w:styleId="PlainText">
    <w:name w:val="Plain Text"/>
    <w:basedOn w:val="Normal"/>
    <w:link w:val="PlainTextChar"/>
    <w:uiPriority w:val="99"/>
    <w:semiHidden/>
    <w:unhideWhenUsed/>
    <w:rsid w:val="004241ED"/>
    <w:pPr>
      <w:spacing w:after="0" w:line="240" w:lineRule="auto"/>
    </w:pPr>
    <w:rPr>
      <w:rFonts w:ascii="Calibri" w:hAnsi="Calibri"/>
      <w:szCs w:val="21"/>
    </w:rPr>
  </w:style>
  <w:style w:type="character" w:customStyle="1" w:styleId="PlainTextChar1">
    <w:name w:val="Plain Text Char1"/>
    <w:basedOn w:val="DefaultParagraphFont"/>
    <w:uiPriority w:val="99"/>
    <w:semiHidden/>
    <w:rsid w:val="004241ED"/>
    <w:rPr>
      <w:rFonts w:ascii="Consolas" w:hAnsi="Consolas"/>
      <w:sz w:val="21"/>
      <w:szCs w:val="21"/>
    </w:rPr>
  </w:style>
  <w:style w:type="character" w:customStyle="1" w:styleId="bylinetitle1">
    <w:name w:val="byline__title1"/>
    <w:basedOn w:val="DefaultParagraphFont"/>
    <w:rsid w:val="004241ED"/>
    <w:rPr>
      <w:vanish w:val="0"/>
      <w:webHidden w:val="0"/>
      <w:color w:val="5A5A5A"/>
      <w:sz w:val="21"/>
      <w:szCs w:val="21"/>
      <w:specVanish w:val="0"/>
    </w:rPr>
  </w:style>
  <w:style w:type="table" w:customStyle="1" w:styleId="TableGrid1">
    <w:name w:val="Table Grid1"/>
    <w:basedOn w:val="TableNormal"/>
    <w:next w:val="TableGrid"/>
    <w:uiPriority w:val="59"/>
    <w:rsid w:val="004241ED"/>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506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506DE"/>
    <w:rPr>
      <w:i/>
      <w:iCs/>
    </w:rPr>
  </w:style>
  <w:style w:type="table" w:customStyle="1" w:styleId="TableGrid2">
    <w:name w:val="Table Grid2"/>
    <w:basedOn w:val="TableNormal"/>
    <w:next w:val="TableGrid"/>
    <w:uiPriority w:val="59"/>
    <w:rsid w:val="008B5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7B6387"/>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F6ACF"/>
    <w:rPr>
      <w:color w:val="954F72" w:themeColor="followedHyperlink"/>
      <w:u w:val="single"/>
    </w:rPr>
  </w:style>
  <w:style w:type="character" w:customStyle="1" w:styleId="UnresolvedMention1">
    <w:name w:val="Unresolved Mention1"/>
    <w:basedOn w:val="DefaultParagraphFont"/>
    <w:uiPriority w:val="99"/>
    <w:semiHidden/>
    <w:unhideWhenUsed/>
    <w:rsid w:val="00374131"/>
    <w:rPr>
      <w:color w:val="605E5C"/>
      <w:shd w:val="clear" w:color="auto" w:fill="E1DFDD"/>
    </w:rPr>
  </w:style>
  <w:style w:type="character" w:customStyle="1" w:styleId="description9">
    <w:name w:val="description9"/>
    <w:basedOn w:val="DefaultParagraphFont"/>
    <w:rsid w:val="00757B0C"/>
  </w:style>
  <w:style w:type="paragraph" w:styleId="EndnoteText">
    <w:name w:val="endnote text"/>
    <w:basedOn w:val="Normal"/>
    <w:link w:val="EndnoteTextChar"/>
    <w:uiPriority w:val="99"/>
    <w:semiHidden/>
    <w:unhideWhenUsed/>
    <w:rsid w:val="0048278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785"/>
    <w:rPr>
      <w:sz w:val="20"/>
      <w:szCs w:val="20"/>
    </w:rPr>
  </w:style>
  <w:style w:type="character" w:styleId="EndnoteReference">
    <w:name w:val="endnote reference"/>
    <w:basedOn w:val="DefaultParagraphFont"/>
    <w:uiPriority w:val="99"/>
    <w:semiHidden/>
    <w:unhideWhenUsed/>
    <w:rsid w:val="00482785"/>
    <w:rPr>
      <w:vertAlign w:val="superscript"/>
    </w:rPr>
  </w:style>
  <w:style w:type="character" w:styleId="UnresolvedMention">
    <w:name w:val="Unresolved Mention"/>
    <w:basedOn w:val="DefaultParagraphFont"/>
    <w:uiPriority w:val="99"/>
    <w:semiHidden/>
    <w:unhideWhenUsed/>
    <w:rsid w:val="008534A1"/>
    <w:rPr>
      <w:color w:val="605E5C"/>
      <w:shd w:val="clear" w:color="auto" w:fill="E1DFDD"/>
    </w:rPr>
  </w:style>
  <w:style w:type="paragraph" w:styleId="Revision">
    <w:name w:val="Revision"/>
    <w:hidden/>
    <w:uiPriority w:val="99"/>
    <w:semiHidden/>
    <w:rsid w:val="000D6AB6"/>
    <w:pPr>
      <w:spacing w:after="0" w:line="240" w:lineRule="auto"/>
    </w:pPr>
  </w:style>
  <w:style w:type="character" w:styleId="PlaceholderText">
    <w:name w:val="Placeholder Text"/>
    <w:basedOn w:val="DefaultParagraphFont"/>
    <w:uiPriority w:val="99"/>
    <w:semiHidden/>
    <w:rsid w:val="00EF35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500898">
      <w:bodyDiv w:val="1"/>
      <w:marLeft w:val="0"/>
      <w:marRight w:val="0"/>
      <w:marTop w:val="0"/>
      <w:marBottom w:val="0"/>
      <w:divBdr>
        <w:top w:val="none" w:sz="0" w:space="0" w:color="auto"/>
        <w:left w:val="none" w:sz="0" w:space="0" w:color="auto"/>
        <w:bottom w:val="none" w:sz="0" w:space="0" w:color="auto"/>
        <w:right w:val="none" w:sz="0" w:space="0" w:color="auto"/>
      </w:divBdr>
      <w:divsChild>
        <w:div w:id="745037458">
          <w:marLeft w:val="0"/>
          <w:marRight w:val="0"/>
          <w:marTop w:val="0"/>
          <w:marBottom w:val="0"/>
          <w:divBdr>
            <w:top w:val="none" w:sz="0" w:space="0" w:color="auto"/>
            <w:left w:val="none" w:sz="0" w:space="0" w:color="auto"/>
            <w:bottom w:val="none" w:sz="0" w:space="0" w:color="auto"/>
            <w:right w:val="none" w:sz="0" w:space="0" w:color="auto"/>
          </w:divBdr>
        </w:div>
      </w:divsChild>
    </w:div>
    <w:div w:id="860970352">
      <w:bodyDiv w:val="1"/>
      <w:marLeft w:val="0"/>
      <w:marRight w:val="0"/>
      <w:marTop w:val="0"/>
      <w:marBottom w:val="0"/>
      <w:divBdr>
        <w:top w:val="none" w:sz="0" w:space="0" w:color="auto"/>
        <w:left w:val="none" w:sz="0" w:space="0" w:color="auto"/>
        <w:bottom w:val="none" w:sz="0" w:space="0" w:color="auto"/>
        <w:right w:val="none" w:sz="0" w:space="0" w:color="auto"/>
      </w:divBdr>
      <w:divsChild>
        <w:div w:id="543253597">
          <w:marLeft w:val="0"/>
          <w:marRight w:val="0"/>
          <w:marTop w:val="0"/>
          <w:marBottom w:val="0"/>
          <w:divBdr>
            <w:top w:val="none" w:sz="0" w:space="0" w:color="auto"/>
            <w:left w:val="none" w:sz="0" w:space="0" w:color="auto"/>
            <w:bottom w:val="none" w:sz="0" w:space="0" w:color="auto"/>
            <w:right w:val="none" w:sz="0" w:space="0" w:color="auto"/>
          </w:divBdr>
        </w:div>
      </w:divsChild>
    </w:div>
    <w:div w:id="1195122336">
      <w:bodyDiv w:val="1"/>
      <w:marLeft w:val="0"/>
      <w:marRight w:val="0"/>
      <w:marTop w:val="0"/>
      <w:marBottom w:val="0"/>
      <w:divBdr>
        <w:top w:val="none" w:sz="0" w:space="0" w:color="auto"/>
        <w:left w:val="none" w:sz="0" w:space="0" w:color="auto"/>
        <w:bottom w:val="none" w:sz="0" w:space="0" w:color="auto"/>
        <w:right w:val="none" w:sz="0" w:space="0" w:color="auto"/>
      </w:divBdr>
      <w:divsChild>
        <w:div w:id="715811833">
          <w:marLeft w:val="0"/>
          <w:marRight w:val="0"/>
          <w:marTop w:val="0"/>
          <w:marBottom w:val="0"/>
          <w:divBdr>
            <w:top w:val="none" w:sz="0" w:space="0" w:color="auto"/>
            <w:left w:val="none" w:sz="0" w:space="0" w:color="auto"/>
            <w:bottom w:val="none" w:sz="0" w:space="0" w:color="auto"/>
            <w:right w:val="none" w:sz="0" w:space="0" w:color="auto"/>
          </w:divBdr>
          <w:divsChild>
            <w:div w:id="1402602080">
              <w:marLeft w:val="0"/>
              <w:marRight w:val="0"/>
              <w:marTop w:val="0"/>
              <w:marBottom w:val="0"/>
              <w:divBdr>
                <w:top w:val="none" w:sz="0" w:space="0" w:color="auto"/>
                <w:left w:val="none" w:sz="0" w:space="0" w:color="auto"/>
                <w:bottom w:val="none" w:sz="0" w:space="0" w:color="auto"/>
                <w:right w:val="none" w:sz="0" w:space="0" w:color="auto"/>
              </w:divBdr>
              <w:divsChild>
                <w:div w:id="71314861">
                  <w:marLeft w:val="0"/>
                  <w:marRight w:val="0"/>
                  <w:marTop w:val="0"/>
                  <w:marBottom w:val="0"/>
                  <w:divBdr>
                    <w:top w:val="none" w:sz="0" w:space="0" w:color="auto"/>
                    <w:left w:val="none" w:sz="0" w:space="0" w:color="auto"/>
                    <w:bottom w:val="none" w:sz="0" w:space="0" w:color="auto"/>
                    <w:right w:val="none" w:sz="0" w:space="0" w:color="auto"/>
                  </w:divBdr>
                  <w:divsChild>
                    <w:div w:id="188227403">
                      <w:marLeft w:val="0"/>
                      <w:marRight w:val="0"/>
                      <w:marTop w:val="0"/>
                      <w:marBottom w:val="0"/>
                      <w:divBdr>
                        <w:top w:val="none" w:sz="0" w:space="0" w:color="auto"/>
                        <w:left w:val="none" w:sz="0" w:space="0" w:color="auto"/>
                        <w:bottom w:val="none" w:sz="0" w:space="0" w:color="auto"/>
                        <w:right w:val="none" w:sz="0" w:space="0" w:color="auto"/>
                      </w:divBdr>
                      <w:divsChild>
                        <w:div w:id="159562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583198">
      <w:bodyDiv w:val="1"/>
      <w:marLeft w:val="0"/>
      <w:marRight w:val="0"/>
      <w:marTop w:val="0"/>
      <w:marBottom w:val="0"/>
      <w:divBdr>
        <w:top w:val="none" w:sz="0" w:space="0" w:color="auto"/>
        <w:left w:val="none" w:sz="0" w:space="0" w:color="auto"/>
        <w:bottom w:val="none" w:sz="0" w:space="0" w:color="auto"/>
        <w:right w:val="none" w:sz="0" w:space="0" w:color="auto"/>
      </w:divBdr>
      <w:divsChild>
        <w:div w:id="2063284800">
          <w:marLeft w:val="0"/>
          <w:marRight w:val="0"/>
          <w:marTop w:val="0"/>
          <w:marBottom w:val="0"/>
          <w:divBdr>
            <w:top w:val="none" w:sz="0" w:space="0" w:color="auto"/>
            <w:left w:val="none" w:sz="0" w:space="0" w:color="auto"/>
            <w:bottom w:val="none" w:sz="0" w:space="0" w:color="auto"/>
            <w:right w:val="none" w:sz="0" w:space="0" w:color="auto"/>
          </w:divBdr>
        </w:div>
      </w:divsChild>
    </w:div>
    <w:div w:id="1835679094">
      <w:bodyDiv w:val="1"/>
      <w:marLeft w:val="0"/>
      <w:marRight w:val="0"/>
      <w:marTop w:val="0"/>
      <w:marBottom w:val="0"/>
      <w:divBdr>
        <w:top w:val="none" w:sz="0" w:space="0" w:color="auto"/>
        <w:left w:val="none" w:sz="0" w:space="0" w:color="auto"/>
        <w:bottom w:val="none" w:sz="0" w:space="0" w:color="auto"/>
        <w:right w:val="none" w:sz="0" w:space="0" w:color="auto"/>
      </w:divBdr>
    </w:div>
    <w:div w:id="1883514582">
      <w:bodyDiv w:val="1"/>
      <w:marLeft w:val="0"/>
      <w:marRight w:val="0"/>
      <w:marTop w:val="0"/>
      <w:marBottom w:val="0"/>
      <w:divBdr>
        <w:top w:val="none" w:sz="0" w:space="0" w:color="auto"/>
        <w:left w:val="none" w:sz="0" w:space="0" w:color="auto"/>
        <w:bottom w:val="none" w:sz="0" w:space="0" w:color="auto"/>
        <w:right w:val="none" w:sz="0" w:space="0" w:color="auto"/>
      </w:divBdr>
      <w:divsChild>
        <w:div w:id="1330865182">
          <w:marLeft w:val="0"/>
          <w:marRight w:val="0"/>
          <w:marTop w:val="0"/>
          <w:marBottom w:val="0"/>
          <w:divBdr>
            <w:top w:val="none" w:sz="0" w:space="0" w:color="auto"/>
            <w:left w:val="none" w:sz="0" w:space="0" w:color="auto"/>
            <w:bottom w:val="none" w:sz="0" w:space="0" w:color="auto"/>
            <w:right w:val="none" w:sz="0" w:space="0" w:color="auto"/>
          </w:divBdr>
        </w:div>
      </w:divsChild>
    </w:div>
    <w:div w:id="1929774113">
      <w:bodyDiv w:val="1"/>
      <w:marLeft w:val="0"/>
      <w:marRight w:val="0"/>
      <w:marTop w:val="0"/>
      <w:marBottom w:val="0"/>
      <w:divBdr>
        <w:top w:val="none" w:sz="0" w:space="0" w:color="auto"/>
        <w:left w:val="none" w:sz="0" w:space="0" w:color="auto"/>
        <w:bottom w:val="none" w:sz="0" w:space="0" w:color="auto"/>
        <w:right w:val="none" w:sz="0" w:space="0" w:color="auto"/>
      </w:divBdr>
      <w:divsChild>
        <w:div w:id="1029449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a.elmagrhi@Swansea.ac.uk" TargetMode="External"/><Relationship Id="rId13" Type="http://schemas.openxmlformats.org/officeDocument/2006/relationships/hyperlink" Target="https://doi.org/10.1177/0950017022111136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irror.co.uk/news/uk-news/least-three-universities-on-edge-13516261" TargetMode="External"/><Relationship Id="rId17" Type="http://schemas.openxmlformats.org/officeDocument/2006/relationships/hyperlink" Target="mailto:c.g.ntim@soton.ac.uk" TargetMode="External"/><Relationship Id="rId2" Type="http://schemas.openxmlformats.org/officeDocument/2006/relationships/numbering" Target="numbering.xml"/><Relationship Id="rId16" Type="http://schemas.openxmlformats.org/officeDocument/2006/relationships/hyperlink" Target="mailto:m.h.a.elmagrhi@Swansea.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ilymail.co.uk/news/article-6340045/Three-universities-brink-BANKRUPTCY-student-numbers-plung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g.ntim@soton.ac.uk" TargetMode="External"/><Relationship Id="rId14" Type="http://schemas.openxmlformats.org/officeDocument/2006/relationships/hyperlink" Target="https://doi.org/10.1016/j.intaccaudtax.2021.1004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68BFD-9599-4861-8962-B4CD7CCA1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43</Pages>
  <Words>18019</Words>
  <Characters>104691</Characters>
  <Application>Microsoft Office Word</Application>
  <DocSecurity>0</DocSecurity>
  <Lines>2093</Lines>
  <Paragraphs>717</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121993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Ntim C.G.</dc:creator>
  <cp:keywords/>
  <dc:description/>
  <cp:lastModifiedBy>Collins Ntim</cp:lastModifiedBy>
  <cp:revision>3</cp:revision>
  <cp:lastPrinted>2022-02-15T11:47:00Z</cp:lastPrinted>
  <dcterms:created xsi:type="dcterms:W3CDTF">2022-11-15T08:13:00Z</dcterms:created>
  <dcterms:modified xsi:type="dcterms:W3CDTF">2022-11-15T08:20:00Z</dcterms:modified>
</cp:coreProperties>
</file>