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DDCD" w14:textId="670BAC67" w:rsidR="002E48FF" w:rsidRPr="001537BA" w:rsidRDefault="002E48FF" w:rsidP="00D15E66">
      <w:pPr>
        <w:pStyle w:val="Heading1"/>
        <w:spacing w:line="360" w:lineRule="auto"/>
        <w:rPr>
          <w:rFonts w:ascii="Calibri" w:hAnsi="Calibri" w:cs="Calibri"/>
          <w:bCs/>
        </w:rPr>
      </w:pPr>
      <w:bookmarkStart w:id="0" w:name="_Hlk14156317"/>
      <w:r w:rsidRPr="001537BA">
        <w:rPr>
          <w:rFonts w:ascii="Calibri" w:hAnsi="Calibri" w:cs="Calibri"/>
        </w:rPr>
        <w:t xml:space="preserve">International validation of the EORTC QLQ-ANL27, </w:t>
      </w:r>
      <w:r w:rsidRPr="001537BA">
        <w:rPr>
          <w:rFonts w:ascii="Calibri" w:hAnsi="Calibri" w:cs="Calibri"/>
          <w:bCs/>
        </w:rPr>
        <w:t>a field study to test the anal cancer-specific health-related quality of life questionnaire</w:t>
      </w:r>
    </w:p>
    <w:p w14:paraId="45E1E5DA" w14:textId="063BAE65" w:rsidR="00023027" w:rsidRPr="001537BA" w:rsidRDefault="00023027" w:rsidP="00023027"/>
    <w:p w14:paraId="3A9E1622" w14:textId="77777777" w:rsidR="00023027" w:rsidRPr="001537BA" w:rsidRDefault="00023027" w:rsidP="00023027"/>
    <w:bookmarkEnd w:id="0"/>
    <w:p w14:paraId="63C9EE1E" w14:textId="77777777" w:rsidR="002E48FF" w:rsidRPr="001537BA" w:rsidRDefault="002E48FF" w:rsidP="00D15E66">
      <w:pPr>
        <w:spacing w:line="360" w:lineRule="auto"/>
        <w:rPr>
          <w:rFonts w:cs="Arial"/>
        </w:rPr>
      </w:pPr>
    </w:p>
    <w:p w14:paraId="54C0DD46" w14:textId="77777777" w:rsidR="002E48FF" w:rsidRPr="001537BA" w:rsidRDefault="002E48FF" w:rsidP="00D15E66">
      <w:pPr>
        <w:spacing w:line="360" w:lineRule="auto"/>
        <w:rPr>
          <w:rFonts w:cs="Arial"/>
        </w:rPr>
      </w:pPr>
      <w:r w:rsidRPr="001537BA">
        <w:rPr>
          <w:rFonts w:cs="Arial"/>
        </w:rPr>
        <w:t>Running title: EORTC QLQ-ANL27 Validation</w:t>
      </w:r>
    </w:p>
    <w:p w14:paraId="05F5A13F" w14:textId="77777777" w:rsidR="002E48FF" w:rsidRPr="001537BA" w:rsidRDefault="002E48FF" w:rsidP="00D15E66">
      <w:pPr>
        <w:spacing w:line="360" w:lineRule="auto"/>
        <w:rPr>
          <w:rFonts w:cs="Arial"/>
        </w:rPr>
      </w:pPr>
    </w:p>
    <w:p w14:paraId="3AB4AE16" w14:textId="78599E8E" w:rsidR="002E48FF" w:rsidRPr="001537BA" w:rsidRDefault="002E48FF" w:rsidP="00D15E66">
      <w:pPr>
        <w:pStyle w:val="Heading1"/>
        <w:spacing w:line="360" w:lineRule="auto"/>
        <w:rPr>
          <w:rFonts w:ascii="Calibri" w:hAnsi="Calibri" w:cs="Calibri"/>
        </w:rPr>
      </w:pPr>
      <w:r w:rsidRPr="001537BA">
        <w:rPr>
          <w:rFonts w:ascii="Calibri" w:hAnsi="Calibri" w:cs="Calibri"/>
        </w:rPr>
        <w:t xml:space="preserve">Abstract </w:t>
      </w:r>
    </w:p>
    <w:p w14:paraId="40875C35" w14:textId="77777777" w:rsidR="002E48FF" w:rsidRPr="001537BA" w:rsidRDefault="002E48FF" w:rsidP="0078672A">
      <w:pPr>
        <w:pStyle w:val="Heading2"/>
        <w:spacing w:line="360" w:lineRule="auto"/>
      </w:pPr>
      <w:r w:rsidRPr="001537BA">
        <w:t>Background</w:t>
      </w:r>
    </w:p>
    <w:p w14:paraId="23E92B68" w14:textId="77777777" w:rsidR="002E48FF" w:rsidRPr="001537BA" w:rsidRDefault="002E48FF" w:rsidP="0078672A">
      <w:pPr>
        <w:spacing w:line="360" w:lineRule="auto"/>
      </w:pPr>
      <w:r w:rsidRPr="001537BA">
        <w:t>The European Organisation for Research and Treatment of Cancer (EORTC) health-related quality of life (</w:t>
      </w:r>
      <w:proofErr w:type="spellStart"/>
      <w:r w:rsidRPr="001537BA">
        <w:t>HRQoL</w:t>
      </w:r>
      <w:proofErr w:type="spellEnd"/>
      <w:r w:rsidRPr="001537BA">
        <w:t xml:space="preserve">) questionnaire for anal cancer (QLQ-ANL27) supplements the EORTC cancer generic measure (QLQ-C30) to measure concerns specific to people with anal cancer treated with chemoradiotherapy (CRT). This study tests the psychometric properties and acceptability of the QLQ-ANL27. </w:t>
      </w:r>
    </w:p>
    <w:p w14:paraId="4332F991" w14:textId="77777777" w:rsidR="002E48FF" w:rsidRPr="001537BA" w:rsidRDefault="002E48FF" w:rsidP="0078672A">
      <w:pPr>
        <w:pStyle w:val="Heading2"/>
        <w:spacing w:line="360" w:lineRule="auto"/>
      </w:pPr>
      <w:r w:rsidRPr="001537BA">
        <w:t>Materials and methods</w:t>
      </w:r>
    </w:p>
    <w:p w14:paraId="159CFFC7" w14:textId="77777777" w:rsidR="002E48FF" w:rsidRPr="001537BA" w:rsidRDefault="002E48FF" w:rsidP="0078672A">
      <w:pPr>
        <w:spacing w:line="360" w:lineRule="auto"/>
      </w:pPr>
      <w:r w:rsidRPr="001537BA">
        <w:t xml:space="preserve">People with anal cancer were recruited from 15 countries to complete the QLQ-C30 and QLQ-ANL27 and provide feedback on the QLQ-ANL27. Item responses, scale structure (multi-trait scaling, factor analysis), reliability (internal consistency and reproducibility) and sensitivity (known group comparisons and responsiveness to change) of the QLQ-ANL27 were evaluated. </w:t>
      </w:r>
    </w:p>
    <w:p w14:paraId="430D2F70" w14:textId="77777777" w:rsidR="002E48FF" w:rsidRPr="001537BA" w:rsidRDefault="002E48FF" w:rsidP="0078672A">
      <w:pPr>
        <w:pStyle w:val="Heading2"/>
        <w:spacing w:line="360" w:lineRule="auto"/>
      </w:pPr>
      <w:r w:rsidRPr="001537BA">
        <w:t>Results</w:t>
      </w:r>
    </w:p>
    <w:p w14:paraId="6BE1B3BA" w14:textId="77777777" w:rsidR="002E48FF" w:rsidRPr="001537BA" w:rsidRDefault="002E48FF" w:rsidP="0078672A">
      <w:pPr>
        <w:spacing w:line="360" w:lineRule="auto"/>
      </w:pPr>
      <w:r w:rsidRPr="001537BA">
        <w:t xml:space="preserve">Data from 382 people were included in the analyses. The EORTC QLQ-ANL27 was acceptable, comprehensive, and easy to complete, taking an average 8 minutes to complete. Psychometric analyses </w:t>
      </w:r>
      <w:r w:rsidRPr="001537BA">
        <w:rPr>
          <w:rFonts w:cs="Arial"/>
        </w:rPr>
        <w:t xml:space="preserve">supported the EORTC QLQ-ANL27 items and reliability (Cronbach’s alpha ranging from 0.71 to 0.93 and test-retest coefficients </w:t>
      </w:r>
      <w:r w:rsidRPr="001537BA">
        <w:t>above 0.7</w:t>
      </w:r>
      <w:r w:rsidRPr="001537BA">
        <w:rPr>
          <w:rFonts w:cs="Arial"/>
        </w:rPr>
        <w:t xml:space="preserve">) and validity of the scales (particularly non stoma bowel symptoms and pain/discomfort). </w:t>
      </w:r>
      <w:r w:rsidRPr="001537BA">
        <w:t xml:space="preserve">Most scales distinguished people according to treatment phase and performance status. Bowel (non-stoma), pain/discomfort and vaginal symptoms were sensitive to deteriorations over time. </w:t>
      </w:r>
      <w:r w:rsidRPr="001537BA">
        <w:rPr>
          <w:rFonts w:cs="Arial"/>
        </w:rPr>
        <w:t xml:space="preserve">The stoma-related scales remained untested due to low </w:t>
      </w:r>
      <w:r w:rsidRPr="001537BA">
        <w:rPr>
          <w:rFonts w:cs="Arial"/>
        </w:rPr>
        <w:lastRenderedPageBreak/>
        <w:t xml:space="preserve">numbers of people with a stoma. </w:t>
      </w:r>
      <w:r w:rsidRPr="001537BA">
        <w:t xml:space="preserve">Revisions to the scoring and question ordering of the sexual items were proposed. </w:t>
      </w:r>
    </w:p>
    <w:p w14:paraId="4CB8D0D1" w14:textId="77777777" w:rsidR="002E48FF" w:rsidRPr="001537BA" w:rsidRDefault="002E48FF" w:rsidP="0078672A">
      <w:pPr>
        <w:pStyle w:val="Heading2"/>
        <w:spacing w:line="360" w:lineRule="auto"/>
      </w:pPr>
      <w:r w:rsidRPr="001537BA">
        <w:t>Conclusions</w:t>
      </w:r>
    </w:p>
    <w:p w14:paraId="692FD1A4" w14:textId="5A460C72" w:rsidR="002E48FF" w:rsidRPr="001537BA" w:rsidRDefault="002E48FF" w:rsidP="0078672A">
      <w:pPr>
        <w:spacing w:line="360" w:lineRule="auto"/>
        <w:rPr>
          <w:rFonts w:cs="Calibri"/>
          <w:lang w:val="en" w:eastAsia="en-GB"/>
        </w:rPr>
      </w:pPr>
      <w:r w:rsidRPr="001537BA">
        <w:rPr>
          <w:rFonts w:cs="Calibri"/>
          <w:lang w:val="en" w:eastAsia="en-GB"/>
        </w:rPr>
        <w:t xml:space="preserve">The QLQ-ANL27 </w:t>
      </w:r>
      <w:r w:rsidR="009850E1" w:rsidRPr="001537BA">
        <w:rPr>
          <w:rFonts w:cs="Calibri"/>
          <w:lang w:val="en" w:eastAsia="en-GB"/>
        </w:rPr>
        <w:t xml:space="preserve">has good psychometric properties and </w:t>
      </w:r>
      <w:r w:rsidRPr="001537BA">
        <w:rPr>
          <w:rFonts w:cs="Calibri"/>
          <w:lang w:val="en" w:eastAsia="en-GB"/>
        </w:rPr>
        <w:t>is available in 16 languages, for people treated with CRT for anal cancer</w:t>
      </w:r>
      <w:r w:rsidR="009E464A" w:rsidRPr="001537BA">
        <w:rPr>
          <w:rFonts w:cs="Calibri"/>
          <w:lang w:val="en" w:eastAsia="en-GB"/>
        </w:rPr>
        <w:t xml:space="preserve">. </w:t>
      </w:r>
      <w:r w:rsidRPr="001537BA">
        <w:rPr>
          <w:rFonts w:cs="Calibri"/>
          <w:lang w:val="en" w:eastAsia="en-GB"/>
        </w:rPr>
        <w:t>It is used in clinical trials and has a potential role in clinical practice.</w:t>
      </w:r>
    </w:p>
    <w:p w14:paraId="3D45FF43" w14:textId="77777777" w:rsidR="008A1EF7" w:rsidRPr="001537BA" w:rsidRDefault="008A1EF7" w:rsidP="0078672A">
      <w:pPr>
        <w:spacing w:line="360" w:lineRule="auto"/>
      </w:pPr>
    </w:p>
    <w:p w14:paraId="6A8A7A1C" w14:textId="77777777" w:rsidR="002E48FF" w:rsidRPr="001537BA" w:rsidRDefault="002E48FF" w:rsidP="0078672A">
      <w:pPr>
        <w:pStyle w:val="Heading2"/>
        <w:spacing w:line="360" w:lineRule="auto"/>
      </w:pPr>
      <w:r w:rsidRPr="001537BA">
        <w:t>Keywords</w:t>
      </w:r>
    </w:p>
    <w:p w14:paraId="5D7B75D6" w14:textId="77777777" w:rsidR="002E48FF" w:rsidRPr="001537BA" w:rsidRDefault="002E48FF" w:rsidP="0078672A">
      <w:pPr>
        <w:spacing w:line="360" w:lineRule="auto"/>
      </w:pPr>
      <w:r w:rsidRPr="001537BA">
        <w:t>Anal cancer; EORTC QLQ-ANL27; Health-related quality of life; Patient-reported outcomes</w:t>
      </w:r>
    </w:p>
    <w:p w14:paraId="646481A2" w14:textId="77777777" w:rsidR="002E48FF" w:rsidRPr="001537BA" w:rsidRDefault="002E48FF" w:rsidP="0078672A">
      <w:pPr>
        <w:spacing w:line="360" w:lineRule="auto"/>
      </w:pPr>
    </w:p>
    <w:p w14:paraId="05242B71" w14:textId="77777777" w:rsidR="002E48FF" w:rsidRPr="001537BA" w:rsidRDefault="002E48FF" w:rsidP="00EE14AE">
      <w:pPr>
        <w:pStyle w:val="ListParagraph"/>
        <w:spacing w:line="360" w:lineRule="auto"/>
        <w:ind w:left="714"/>
        <w:rPr>
          <w:rFonts w:asciiTheme="minorHAnsi" w:hAnsiTheme="minorHAnsi" w:cstheme="minorHAnsi"/>
          <w:sz w:val="22"/>
          <w:szCs w:val="22"/>
        </w:rPr>
      </w:pPr>
    </w:p>
    <w:p w14:paraId="57A33E9A" w14:textId="77777777" w:rsidR="002E48FF" w:rsidRPr="001537BA" w:rsidRDefault="002E48FF" w:rsidP="0041450F"/>
    <w:p w14:paraId="66628922" w14:textId="77777777" w:rsidR="002E48FF" w:rsidRPr="001537BA" w:rsidRDefault="002E48FF" w:rsidP="00D15E66">
      <w:pPr>
        <w:pStyle w:val="Heading1"/>
        <w:spacing w:line="360" w:lineRule="auto"/>
        <w:rPr>
          <w:rFonts w:ascii="Calibri" w:hAnsi="Calibri" w:cs="Calibri"/>
        </w:rPr>
      </w:pPr>
    </w:p>
    <w:p w14:paraId="6D33C354" w14:textId="77777777" w:rsidR="002E48FF" w:rsidRPr="001537BA" w:rsidRDefault="002E48FF" w:rsidP="0078672A">
      <w:pPr>
        <w:pStyle w:val="Heading1"/>
      </w:pPr>
    </w:p>
    <w:p w14:paraId="75D94F85" w14:textId="77777777" w:rsidR="002E48FF" w:rsidRPr="001537BA" w:rsidRDefault="002E48FF" w:rsidP="0078672A">
      <w:pPr>
        <w:pStyle w:val="Heading1"/>
      </w:pPr>
    </w:p>
    <w:p w14:paraId="2CCC91A3" w14:textId="77777777" w:rsidR="002E48FF" w:rsidRPr="001537BA" w:rsidRDefault="002E48FF" w:rsidP="0078672A">
      <w:pPr>
        <w:pStyle w:val="Heading1"/>
      </w:pPr>
    </w:p>
    <w:p w14:paraId="3EFBD87B" w14:textId="77777777" w:rsidR="002E48FF" w:rsidRPr="001537BA" w:rsidRDefault="002E48FF">
      <w:pPr>
        <w:rPr>
          <w:rFonts w:asciiTheme="majorHAnsi" w:eastAsiaTheme="majorEastAsia" w:hAnsiTheme="majorHAnsi" w:cstheme="majorBidi"/>
          <w:color w:val="2F5496" w:themeColor="accent1" w:themeShade="BF"/>
          <w:sz w:val="32"/>
          <w:szCs w:val="32"/>
        </w:rPr>
      </w:pPr>
      <w:r w:rsidRPr="001537BA">
        <w:br w:type="page"/>
      </w:r>
    </w:p>
    <w:p w14:paraId="5EACBE59" w14:textId="77777777" w:rsidR="002E48FF" w:rsidRPr="001537BA" w:rsidRDefault="002E48FF" w:rsidP="0078672A">
      <w:pPr>
        <w:pStyle w:val="Heading1"/>
      </w:pPr>
      <w:r w:rsidRPr="001537BA">
        <w:lastRenderedPageBreak/>
        <w:t xml:space="preserve">Introduction </w:t>
      </w:r>
    </w:p>
    <w:p w14:paraId="240F4A1B" w14:textId="77777777" w:rsidR="002E48FF" w:rsidRPr="001537BA" w:rsidRDefault="002E48FF" w:rsidP="00D15E66">
      <w:pPr>
        <w:pStyle w:val="Heading2"/>
      </w:pPr>
      <w:r w:rsidRPr="001537BA">
        <w:t>Background</w:t>
      </w:r>
    </w:p>
    <w:p w14:paraId="799AA541" w14:textId="3453C3E2" w:rsidR="002E48FF" w:rsidRPr="001537BA" w:rsidRDefault="002E48FF" w:rsidP="008D437D">
      <w:pPr>
        <w:autoSpaceDE w:val="0"/>
        <w:autoSpaceDN w:val="0"/>
        <w:adjustRightInd w:val="0"/>
        <w:spacing w:after="0" w:line="360" w:lineRule="auto"/>
        <w:rPr>
          <w:rFonts w:cstheme="minorHAnsi"/>
          <w:color w:val="000000"/>
        </w:rPr>
      </w:pPr>
      <w:r w:rsidRPr="001537BA">
        <w:rPr>
          <w:rFonts w:cstheme="minorHAnsi"/>
          <w:color w:val="000000"/>
        </w:rPr>
        <w:t xml:space="preserve">Anal carcinoma is rare, accounting for less than 1% of all cancer diagnoses </w:t>
      </w:r>
      <w:r w:rsidRPr="001537BA">
        <w:rPr>
          <w:rFonts w:cstheme="minorHAnsi"/>
          <w:noProof/>
          <w:color w:val="000000"/>
        </w:rPr>
        <w:t>[1-3]</w:t>
      </w:r>
      <w:r w:rsidRPr="001537BA">
        <w:rPr>
          <w:rFonts w:cstheme="minorHAnsi"/>
          <w:color w:val="000000"/>
        </w:rPr>
        <w:t xml:space="preserve">. </w:t>
      </w:r>
      <w:r w:rsidRPr="001537BA">
        <w:rPr>
          <w:rFonts w:cs="Arial"/>
        </w:rPr>
        <w:t xml:space="preserve">Chemoradiotherapy (CRT) is the mainstay of treatment for localised disease achieving high locoregional control and cure rates </w:t>
      </w:r>
      <w:r w:rsidRPr="001537BA">
        <w:rPr>
          <w:rFonts w:cstheme="minorHAnsi"/>
          <w:noProof/>
          <w:color w:val="000000"/>
        </w:rPr>
        <w:t>[1]</w:t>
      </w:r>
      <w:r w:rsidR="004D5FDE" w:rsidRPr="001537BA">
        <w:rPr>
          <w:rFonts w:cs="Arial"/>
        </w:rPr>
        <w:t>;</w:t>
      </w:r>
      <w:r w:rsidRPr="001537BA">
        <w:rPr>
          <w:rFonts w:cs="Arial"/>
        </w:rPr>
        <w:t xml:space="preserve"> however, patients experience significant acute and late toxicity which impact health-related quality of life (</w:t>
      </w:r>
      <w:proofErr w:type="spellStart"/>
      <w:r w:rsidRPr="001537BA">
        <w:rPr>
          <w:rFonts w:cs="Arial"/>
        </w:rPr>
        <w:t>HRQoL</w:t>
      </w:r>
      <w:proofErr w:type="spellEnd"/>
      <w:r w:rsidRPr="001537BA">
        <w:rPr>
          <w:rFonts w:cs="Arial"/>
        </w:rPr>
        <w:t xml:space="preserve">) </w:t>
      </w:r>
      <w:r w:rsidRPr="001537BA">
        <w:rPr>
          <w:rFonts w:cstheme="minorHAnsi"/>
          <w:noProof/>
        </w:rPr>
        <w:t>[4]</w:t>
      </w:r>
      <w:r w:rsidRPr="001537BA">
        <w:rPr>
          <w:rFonts w:cs="Arial"/>
        </w:rPr>
        <w:t xml:space="preserve">. </w:t>
      </w:r>
    </w:p>
    <w:p w14:paraId="3CC29856" w14:textId="7E725DDF" w:rsidR="002E48FF" w:rsidRPr="001537BA" w:rsidRDefault="002E48FF" w:rsidP="00A328F4">
      <w:pPr>
        <w:spacing w:line="360" w:lineRule="auto"/>
      </w:pPr>
      <w:r w:rsidRPr="001537BA">
        <w:rPr>
          <w:lang w:val="en-US"/>
        </w:rPr>
        <w:t>Commonly reported problems relate</w:t>
      </w:r>
      <w:r w:rsidR="00493F29" w:rsidRPr="001537BA">
        <w:rPr>
          <w:lang w:val="en-US"/>
        </w:rPr>
        <w:t>d</w:t>
      </w:r>
      <w:r w:rsidRPr="001537BA">
        <w:rPr>
          <w:lang w:val="en-US"/>
        </w:rPr>
        <w:t xml:space="preserve"> to bowel function (e.g., </w:t>
      </w:r>
      <w:r w:rsidR="00414D05" w:rsidRPr="001537BA">
        <w:rPr>
          <w:lang w:val="en-US"/>
        </w:rPr>
        <w:t>diarrhea</w:t>
      </w:r>
      <w:r w:rsidRPr="001537BA">
        <w:rPr>
          <w:lang w:val="en-US"/>
        </w:rPr>
        <w:t>, incontinence, tenesmus, increased frequency</w:t>
      </w:r>
      <w:r w:rsidR="00414D05" w:rsidRPr="001537BA">
        <w:rPr>
          <w:lang w:val="en-US"/>
        </w:rPr>
        <w:t>,</w:t>
      </w:r>
      <w:r w:rsidRPr="001537BA">
        <w:rPr>
          <w:lang w:val="en-US"/>
        </w:rPr>
        <w:t xml:space="preserve"> and urgency) </w:t>
      </w:r>
      <w:r w:rsidRPr="001537BA">
        <w:rPr>
          <w:noProof/>
          <w:lang w:val="en-US"/>
        </w:rPr>
        <w:t>[5-9]</w:t>
      </w:r>
      <w:r w:rsidRPr="001537BA">
        <w:rPr>
          <w:lang w:val="en-US"/>
        </w:rPr>
        <w:t xml:space="preserve"> impact daily and social activities </w:t>
      </w:r>
      <w:r w:rsidRPr="001537BA">
        <w:rPr>
          <w:noProof/>
          <w:lang w:val="en-US"/>
        </w:rPr>
        <w:t>[10</w:t>
      </w:r>
      <w:r w:rsidR="00A00A2F" w:rsidRPr="001537BA">
        <w:rPr>
          <w:noProof/>
          <w:lang w:val="en-US"/>
        </w:rPr>
        <w:t>]</w:t>
      </w:r>
      <w:r w:rsidR="00A00A2F" w:rsidRPr="001537BA">
        <w:rPr>
          <w:lang w:val="en-US"/>
        </w:rPr>
        <w:t xml:space="preserve"> and</w:t>
      </w:r>
      <w:r w:rsidRPr="001537BA">
        <w:rPr>
          <w:lang w:val="en-US"/>
        </w:rPr>
        <w:t xml:space="preserve"> caus</w:t>
      </w:r>
      <w:r w:rsidR="00493F29" w:rsidRPr="001537BA">
        <w:rPr>
          <w:lang w:val="en-US"/>
        </w:rPr>
        <w:t>e</w:t>
      </w:r>
      <w:r w:rsidRPr="001537BA">
        <w:rPr>
          <w:lang w:val="en-US"/>
        </w:rPr>
        <w:t xml:space="preserve"> embarrassment and distress </w:t>
      </w:r>
      <w:r w:rsidRPr="001537BA">
        <w:rPr>
          <w:noProof/>
          <w:lang w:val="en-US"/>
        </w:rPr>
        <w:t>[7]</w:t>
      </w:r>
      <w:r w:rsidRPr="001537BA">
        <w:rPr>
          <w:lang w:val="en-US"/>
        </w:rPr>
        <w:t xml:space="preserve">. </w:t>
      </w:r>
      <w:r w:rsidRPr="001537BA">
        <w:t xml:space="preserve">A stoma, when fitted for significant symptoms or disease at presentation or follow up, can also impact </w:t>
      </w:r>
      <w:proofErr w:type="spellStart"/>
      <w:r w:rsidRPr="001537BA">
        <w:t>HRQoL</w:t>
      </w:r>
      <w:proofErr w:type="spellEnd"/>
      <w:r w:rsidRPr="001537BA">
        <w:t xml:space="preserve"> </w:t>
      </w:r>
      <w:r w:rsidRPr="001537BA">
        <w:rPr>
          <w:noProof/>
        </w:rPr>
        <w:t>[11]</w:t>
      </w:r>
      <w:r w:rsidRPr="001537BA">
        <w:t xml:space="preserve">. Sexual dysfunction </w:t>
      </w:r>
      <w:r w:rsidRPr="001537BA">
        <w:rPr>
          <w:rFonts w:cstheme="minorHAnsi"/>
        </w:rPr>
        <w:t>following anal cancer is widely documented</w:t>
      </w:r>
      <w:r w:rsidRPr="001537BA">
        <w:t xml:space="preserve"> </w:t>
      </w:r>
      <w:bookmarkStart w:id="1" w:name="_Hlk82090076"/>
      <w:r w:rsidRPr="001537BA">
        <w:rPr>
          <w:rFonts w:cstheme="minorHAnsi"/>
          <w:noProof/>
        </w:rPr>
        <w:t>[4]</w:t>
      </w:r>
      <w:bookmarkEnd w:id="1"/>
      <w:r w:rsidRPr="001537BA">
        <w:rPr>
          <w:rFonts w:cstheme="minorHAnsi"/>
        </w:rPr>
        <w:t>. In women, anal cancer and its treatment can lead to painful sexual intercourse, diminished enjoyment in sex, vaginal narrowing</w:t>
      </w:r>
      <w:r w:rsidR="00B63C33" w:rsidRPr="001537BA">
        <w:rPr>
          <w:rFonts w:cstheme="minorHAnsi"/>
        </w:rPr>
        <w:t>,</w:t>
      </w:r>
      <w:r w:rsidRPr="001537BA">
        <w:rPr>
          <w:rFonts w:cstheme="minorHAnsi"/>
        </w:rPr>
        <w:t xml:space="preserve"> and dryness, while 60-71% men report erectile problems </w:t>
      </w:r>
      <w:r w:rsidRPr="001537BA">
        <w:rPr>
          <w:rFonts w:cstheme="minorHAnsi"/>
          <w:noProof/>
        </w:rPr>
        <w:t>[8, 12, 13]</w:t>
      </w:r>
      <w:r w:rsidR="0010294F" w:rsidRPr="001537BA">
        <w:rPr>
          <w:rFonts w:cstheme="minorHAnsi"/>
        </w:rPr>
        <w:t>.</w:t>
      </w:r>
      <w:r w:rsidRPr="001537BA">
        <w:rPr>
          <w:rFonts w:cstheme="minorHAnsi"/>
        </w:rPr>
        <w:t xml:space="preserve"> </w:t>
      </w:r>
      <w:r w:rsidR="0010294F" w:rsidRPr="001537BA">
        <w:rPr>
          <w:rFonts w:cstheme="minorHAnsi"/>
        </w:rPr>
        <w:t>For</w:t>
      </w:r>
      <w:r w:rsidRPr="001537BA">
        <w:rPr>
          <w:rFonts w:cstheme="minorHAnsi"/>
        </w:rPr>
        <w:t xml:space="preserve"> both sexes, reduced libido can be severe and chronic </w:t>
      </w:r>
      <w:r w:rsidRPr="001537BA">
        <w:rPr>
          <w:rFonts w:cstheme="minorHAnsi"/>
          <w:noProof/>
        </w:rPr>
        <w:t>[14]</w:t>
      </w:r>
      <w:r w:rsidRPr="001537BA">
        <w:rPr>
          <w:rFonts w:cstheme="minorHAnsi"/>
        </w:rPr>
        <w:t xml:space="preserve">. </w:t>
      </w:r>
      <w:r w:rsidR="006077E9" w:rsidRPr="001537BA">
        <w:rPr>
          <w:rFonts w:cstheme="minorHAnsi"/>
          <w:shd w:val="clear" w:color="auto" w:fill="FCFCFC"/>
        </w:rPr>
        <w:t>A recent</w:t>
      </w:r>
      <w:r w:rsidRPr="001537BA">
        <w:rPr>
          <w:rFonts w:cstheme="minorHAnsi"/>
          <w:shd w:val="clear" w:color="auto" w:fill="FCFCFC"/>
        </w:rPr>
        <w:t xml:space="preserve"> review </w:t>
      </w:r>
      <w:r w:rsidRPr="001537BA">
        <w:rPr>
          <w:rFonts w:cstheme="minorHAnsi"/>
          <w:noProof/>
        </w:rPr>
        <w:t>[4]</w:t>
      </w:r>
      <w:r w:rsidRPr="001537BA">
        <w:rPr>
          <w:rFonts w:cstheme="minorHAnsi"/>
        </w:rPr>
        <w:t xml:space="preserve"> </w:t>
      </w:r>
      <w:r w:rsidRPr="001537BA">
        <w:rPr>
          <w:rFonts w:cstheme="minorHAnsi"/>
          <w:shd w:val="clear" w:color="auto" w:fill="FCFCFC"/>
        </w:rPr>
        <w:t xml:space="preserve">highlighted skin reactions such as radiation dermatitis and desquamation around the perianal region as common radiotherapy-related toxicities. Patients also report burning, itchy and irritable skin around the treatment region causing pain and discomfort </w:t>
      </w:r>
      <w:r w:rsidRPr="001537BA">
        <w:rPr>
          <w:rFonts w:cstheme="minorHAnsi"/>
          <w:noProof/>
          <w:shd w:val="clear" w:color="auto" w:fill="FCFCFC"/>
        </w:rPr>
        <w:t>[7]</w:t>
      </w:r>
      <w:r w:rsidRPr="001537BA">
        <w:rPr>
          <w:rFonts w:cstheme="minorHAnsi"/>
          <w:shd w:val="clear" w:color="auto" w:fill="FCFCFC"/>
        </w:rPr>
        <w:t xml:space="preserve">. Furthermore, </w:t>
      </w:r>
      <w:r w:rsidRPr="001537BA">
        <w:t xml:space="preserve">urinary function problems (urinary frequency and poor bladder control) are common long-term side effects of radiotherapy </w:t>
      </w:r>
      <w:r w:rsidRPr="001537BA">
        <w:rPr>
          <w:noProof/>
        </w:rPr>
        <w:t>[12]</w:t>
      </w:r>
      <w:r w:rsidRPr="001537BA">
        <w:t xml:space="preserve">.  </w:t>
      </w:r>
    </w:p>
    <w:p w14:paraId="105B0079" w14:textId="5B6AD8D0" w:rsidR="002E48FF" w:rsidRPr="001537BA" w:rsidRDefault="002E48FF" w:rsidP="008D437D">
      <w:pPr>
        <w:spacing w:line="360" w:lineRule="auto"/>
        <w:rPr>
          <w:rFonts w:cstheme="minorHAnsi"/>
          <w:shd w:val="clear" w:color="auto" w:fill="FCFCFC"/>
        </w:rPr>
      </w:pPr>
      <w:r w:rsidRPr="001537BA">
        <w:rPr>
          <w:rFonts w:cstheme="minorHAnsi"/>
        </w:rPr>
        <w:t xml:space="preserve">In the absence of a validated, anal cancer specific </w:t>
      </w:r>
      <w:proofErr w:type="spellStart"/>
      <w:r w:rsidRPr="001537BA">
        <w:rPr>
          <w:rFonts w:cstheme="minorHAnsi"/>
        </w:rPr>
        <w:t>HRQoL</w:t>
      </w:r>
      <w:proofErr w:type="spellEnd"/>
      <w:r w:rsidRPr="001537BA">
        <w:rPr>
          <w:rFonts w:cstheme="minorHAnsi"/>
        </w:rPr>
        <w:t xml:space="preserve"> measure, previous research in anal cancer has relied upon generic cancer measures (e.g., EORTC QLQ-C30 (QLQ-C30) </w:t>
      </w:r>
      <w:r w:rsidRPr="001537BA">
        <w:rPr>
          <w:rFonts w:cstheme="minorHAnsi"/>
          <w:noProof/>
        </w:rPr>
        <w:t>[15]</w:t>
      </w:r>
      <w:r w:rsidRPr="001537BA">
        <w:rPr>
          <w:rFonts w:cstheme="minorHAnsi"/>
        </w:rPr>
        <w:t>) or measures developed for other cancers (e.g.</w:t>
      </w:r>
      <w:r w:rsidR="004A1C9B" w:rsidRPr="001537BA">
        <w:rPr>
          <w:rFonts w:cstheme="minorHAnsi"/>
        </w:rPr>
        <w:t>,</w:t>
      </w:r>
      <w:r w:rsidRPr="001537BA">
        <w:rPr>
          <w:rFonts w:cstheme="minorHAnsi"/>
        </w:rPr>
        <w:t xml:space="preserve"> EORTC </w:t>
      </w:r>
      <w:r w:rsidRPr="001537BA">
        <w:rPr>
          <w:rFonts w:cstheme="minorHAnsi"/>
          <w:shd w:val="clear" w:color="auto" w:fill="FCFCFC"/>
        </w:rPr>
        <w:t xml:space="preserve">QLQ-CR29 (QLQ-CR29) </w:t>
      </w:r>
      <w:r w:rsidRPr="001537BA">
        <w:rPr>
          <w:rFonts w:cstheme="minorHAnsi"/>
          <w:noProof/>
          <w:shd w:val="clear" w:color="auto" w:fill="FCFCFC"/>
        </w:rPr>
        <w:t>[16, 17]</w:t>
      </w:r>
      <w:r w:rsidRPr="001537BA">
        <w:rPr>
          <w:rFonts w:cstheme="minorHAnsi"/>
          <w:shd w:val="clear" w:color="auto" w:fill="FCFCFC"/>
        </w:rPr>
        <w:t xml:space="preserve">, FACT-C </w:t>
      </w:r>
      <w:r w:rsidRPr="001537BA">
        <w:rPr>
          <w:rFonts w:cstheme="minorHAnsi"/>
          <w:noProof/>
          <w:shd w:val="clear" w:color="auto" w:fill="FCFCFC"/>
        </w:rPr>
        <w:t>[18]</w:t>
      </w:r>
      <w:r w:rsidRPr="001537BA">
        <w:rPr>
          <w:rFonts w:cstheme="minorHAnsi"/>
        </w:rPr>
        <w:t xml:space="preserve">). Although there are overlapping </w:t>
      </w:r>
      <w:proofErr w:type="spellStart"/>
      <w:r w:rsidRPr="001537BA">
        <w:rPr>
          <w:rFonts w:cstheme="minorHAnsi"/>
        </w:rPr>
        <w:t>HRQ</w:t>
      </w:r>
      <w:r w:rsidR="00363267" w:rsidRPr="001537BA">
        <w:rPr>
          <w:rFonts w:cstheme="minorHAnsi"/>
        </w:rPr>
        <w:t>o</w:t>
      </w:r>
      <w:r w:rsidRPr="001537BA">
        <w:rPr>
          <w:rFonts w:cstheme="minorHAnsi"/>
        </w:rPr>
        <w:t>L</w:t>
      </w:r>
      <w:proofErr w:type="spellEnd"/>
      <w:r w:rsidRPr="001537BA">
        <w:rPr>
          <w:rFonts w:cstheme="minorHAnsi"/>
        </w:rPr>
        <w:t xml:space="preserve"> concerns with colorectal cancer, there is a clear need for a validated anal cancer specific measure for use in clinical trials and routine care </w:t>
      </w:r>
      <w:r w:rsidRPr="001537BA">
        <w:rPr>
          <w:rFonts w:cstheme="minorHAnsi"/>
          <w:noProof/>
        </w:rPr>
        <w:t>[4]</w:t>
      </w:r>
      <w:r w:rsidRPr="001537BA">
        <w:rPr>
          <w:rFonts w:cstheme="minorHAnsi"/>
        </w:rPr>
        <w:t xml:space="preserve">.  </w:t>
      </w:r>
    </w:p>
    <w:p w14:paraId="0E2DE4A6" w14:textId="528DD488" w:rsidR="002E48FF" w:rsidRPr="001537BA" w:rsidRDefault="002E48FF" w:rsidP="00D15E66">
      <w:pPr>
        <w:spacing w:line="360" w:lineRule="auto"/>
        <w:rPr>
          <w:rFonts w:cstheme="minorHAnsi"/>
          <w:shd w:val="clear" w:color="auto" w:fill="FFFFFF"/>
        </w:rPr>
      </w:pPr>
      <w:r w:rsidRPr="001537BA">
        <w:rPr>
          <w:rFonts w:cstheme="minorHAnsi"/>
        </w:rPr>
        <w:t xml:space="preserve">The development of the EORTC QLQ-ANL27 (QLQ-ANL27) follows the EORTC Quality of Life Group (QLG) module development framework </w:t>
      </w:r>
      <w:r w:rsidRPr="001537BA">
        <w:rPr>
          <w:rFonts w:cstheme="minorHAnsi"/>
          <w:noProof/>
        </w:rPr>
        <w:t>[19]</w:t>
      </w:r>
      <w:r w:rsidRPr="001537BA">
        <w:rPr>
          <w:rFonts w:cstheme="minorHAnsi"/>
        </w:rPr>
        <w:t xml:space="preserve">; in summary, </w:t>
      </w:r>
      <w:r w:rsidRPr="001537BA">
        <w:rPr>
          <w:rFonts w:cstheme="minorHAnsi"/>
          <w:shd w:val="clear" w:color="auto" w:fill="FFFFFF"/>
        </w:rPr>
        <w:t>197 issues</w:t>
      </w:r>
      <w:r w:rsidRPr="001537BA">
        <w:rPr>
          <w:rFonts w:cstheme="minorHAnsi"/>
        </w:rPr>
        <w:t xml:space="preserve"> </w:t>
      </w:r>
      <w:r w:rsidR="00945F03" w:rsidRPr="001537BA">
        <w:rPr>
          <w:rFonts w:cstheme="minorHAnsi"/>
        </w:rPr>
        <w:t>were</w:t>
      </w:r>
      <w:r w:rsidRPr="001537BA">
        <w:rPr>
          <w:rFonts w:cstheme="minorHAnsi"/>
        </w:rPr>
        <w:t xml:space="preserve"> generated from</w:t>
      </w:r>
      <w:r w:rsidRPr="001537BA">
        <w:rPr>
          <w:rFonts w:cstheme="minorHAnsi"/>
          <w:shd w:val="clear" w:color="auto" w:fill="FFFFFF"/>
        </w:rPr>
        <w:t xml:space="preserve"> a literature review </w:t>
      </w:r>
      <w:r w:rsidRPr="001537BA">
        <w:rPr>
          <w:rFonts w:cstheme="minorHAnsi"/>
          <w:noProof/>
          <w:shd w:val="clear" w:color="auto" w:fill="FCFCFC"/>
        </w:rPr>
        <w:t>[4]</w:t>
      </w:r>
      <w:r w:rsidRPr="001537BA">
        <w:rPr>
          <w:rFonts w:cstheme="minorHAnsi"/>
          <w:shd w:val="clear" w:color="auto" w:fill="FCFCFC"/>
        </w:rPr>
        <w:t xml:space="preserve"> </w:t>
      </w:r>
      <w:r w:rsidRPr="001537BA">
        <w:rPr>
          <w:rFonts w:cstheme="minorHAnsi"/>
          <w:shd w:val="clear" w:color="auto" w:fill="FFFFFF"/>
        </w:rPr>
        <w:t xml:space="preserve">and interviews with 43 patients. The list was refined to 134 issues and reviewed by 34 health care professionals (HCPs) and 10 patients. A 65-item draft module was pilot tested by 100 patients and led to the modification and removal of questions </w:t>
      </w:r>
      <w:r w:rsidRPr="001537BA">
        <w:rPr>
          <w:noProof/>
        </w:rPr>
        <w:t>[7]</w:t>
      </w:r>
      <w:r w:rsidRPr="001537BA">
        <w:rPr>
          <w:rFonts w:cstheme="minorHAnsi"/>
          <w:shd w:val="clear" w:color="auto" w:fill="FFFFFF"/>
        </w:rPr>
        <w:t xml:space="preserve">. The objective of this study is </w:t>
      </w:r>
      <w:r w:rsidRPr="001537BA">
        <w:rPr>
          <w:rFonts w:cs="Arial"/>
        </w:rPr>
        <w:t>to test the hypothesised scale structure, reliability, responsiveness to change and validity of the QLQ-ANL27 in people from different countries diagnosed with anal cancer and treated with CRT with or without a stoma.</w:t>
      </w:r>
    </w:p>
    <w:p w14:paraId="11A95ABF" w14:textId="77777777" w:rsidR="002E48FF" w:rsidRPr="001537BA" w:rsidRDefault="002E48FF" w:rsidP="00D15E66">
      <w:pPr>
        <w:pStyle w:val="Heading1"/>
        <w:spacing w:line="360" w:lineRule="auto"/>
        <w:rPr>
          <w:rFonts w:asciiTheme="minorHAnsi" w:hAnsiTheme="minorHAnsi" w:cstheme="minorHAnsi"/>
        </w:rPr>
      </w:pPr>
      <w:r w:rsidRPr="001537BA">
        <w:rPr>
          <w:rFonts w:asciiTheme="minorHAnsi" w:hAnsiTheme="minorHAnsi" w:cstheme="minorHAnsi"/>
        </w:rPr>
        <w:lastRenderedPageBreak/>
        <w:t>Methods and Materials</w:t>
      </w:r>
    </w:p>
    <w:p w14:paraId="290B0BD5" w14:textId="77777777" w:rsidR="002E48FF" w:rsidRPr="001537BA" w:rsidRDefault="002E48FF" w:rsidP="00D15E66">
      <w:pPr>
        <w:pStyle w:val="Heading2"/>
        <w:spacing w:line="360" w:lineRule="auto"/>
        <w:rPr>
          <w:rFonts w:asciiTheme="minorHAnsi" w:hAnsiTheme="minorHAnsi" w:cstheme="minorHAnsi"/>
        </w:rPr>
      </w:pPr>
      <w:r w:rsidRPr="001537BA">
        <w:rPr>
          <w:rFonts w:asciiTheme="minorHAnsi" w:hAnsiTheme="minorHAnsi" w:cstheme="minorHAnsi"/>
        </w:rPr>
        <w:t>Study design and participants</w:t>
      </w:r>
    </w:p>
    <w:p w14:paraId="27D1B7EE" w14:textId="6E95D5F4" w:rsidR="002E48FF" w:rsidRPr="001537BA" w:rsidRDefault="002E48FF" w:rsidP="00BC3B54">
      <w:pPr>
        <w:autoSpaceDE w:val="0"/>
        <w:autoSpaceDN w:val="0"/>
        <w:adjustRightInd w:val="0"/>
        <w:spacing w:after="0" w:line="360" w:lineRule="auto"/>
        <w:rPr>
          <w:rFonts w:cstheme="minorHAnsi"/>
        </w:rPr>
      </w:pPr>
      <w:bookmarkStart w:id="2" w:name="_Hlk90653422"/>
      <w:r w:rsidRPr="001537BA">
        <w:t xml:space="preserve">The study protocol is available from the authors upon request and was peer-reviewed by executive members of the EORTC as part of the grant review process. </w:t>
      </w:r>
      <w:bookmarkEnd w:id="2"/>
      <w:r w:rsidRPr="001537BA">
        <w:t xml:space="preserve">Over a 3-year period (December 2017 to November 2020), participants were recruited from 19 </w:t>
      </w:r>
      <w:r w:rsidRPr="001537BA">
        <w:rPr>
          <w:lang w:val="en-US"/>
        </w:rPr>
        <w:t>cent</w:t>
      </w:r>
      <w:r w:rsidR="00414D05" w:rsidRPr="001537BA">
        <w:rPr>
          <w:lang w:val="en-US"/>
        </w:rPr>
        <w:t>ers</w:t>
      </w:r>
      <w:r w:rsidRPr="001537BA">
        <w:t xml:space="preserve"> across 15 countries: Australia, Brazil, Canada, Cyprus, Denmark, France, Greece, Italy, Norway, Portugal, Spain, Sweden, Turkey, The Netherlands, and UK, to ensure a culturally and linguistically diverse sample. </w:t>
      </w:r>
      <w:r w:rsidRPr="001537BA">
        <w:rPr>
          <w:rFonts w:cstheme="minorHAnsi"/>
        </w:rPr>
        <w:t xml:space="preserve">The study was approved by the Sponsor and the </w:t>
      </w:r>
      <w:r w:rsidR="00154200" w:rsidRPr="001537BA">
        <w:rPr>
          <w:rFonts w:cstheme="minorHAnsi"/>
        </w:rPr>
        <w:t>national</w:t>
      </w:r>
      <w:r w:rsidRPr="001537BA">
        <w:rPr>
          <w:rFonts w:cstheme="minorHAnsi"/>
        </w:rPr>
        <w:t xml:space="preserve"> research ethics committee and health research authority</w:t>
      </w:r>
      <w:r w:rsidR="00154200" w:rsidRPr="001537BA">
        <w:rPr>
          <w:rFonts w:cstheme="minorHAnsi"/>
        </w:rPr>
        <w:t xml:space="preserve">. </w:t>
      </w:r>
      <w:r w:rsidRPr="001537BA">
        <w:rPr>
          <w:rFonts w:cstheme="minorHAnsi"/>
        </w:rPr>
        <w:t>L</w:t>
      </w:r>
      <w:r w:rsidRPr="001537BA">
        <w:t>ocal approvals were granted at each participating site</w:t>
      </w:r>
      <w:r w:rsidRPr="001537BA">
        <w:rPr>
          <w:rFonts w:cstheme="minorHAnsi"/>
        </w:rPr>
        <w:t xml:space="preserve">.  </w:t>
      </w:r>
    </w:p>
    <w:p w14:paraId="3389FF3A" w14:textId="77777777" w:rsidR="002E48FF" w:rsidRPr="001537BA" w:rsidRDefault="002E48FF" w:rsidP="00D15E66">
      <w:pPr>
        <w:spacing w:line="360" w:lineRule="auto"/>
      </w:pPr>
    </w:p>
    <w:p w14:paraId="50111EC6" w14:textId="56081DCA" w:rsidR="002E48FF" w:rsidRPr="001537BA" w:rsidRDefault="002E48FF" w:rsidP="00D15E66">
      <w:pPr>
        <w:spacing w:line="360" w:lineRule="auto"/>
      </w:pPr>
      <w:r w:rsidRPr="001537BA">
        <w:t xml:space="preserve">Participant eligibility included (a) histologically </w:t>
      </w:r>
      <w:r w:rsidRPr="001537BA">
        <w:rPr>
          <w:rFonts w:cs="Arial"/>
        </w:rPr>
        <w:t xml:space="preserve">confirmed diagnosis of newly diagnosed or recurrent locoregional anal (squamous or </w:t>
      </w:r>
      <w:proofErr w:type="spellStart"/>
      <w:r w:rsidRPr="001537BA">
        <w:rPr>
          <w:rFonts w:cs="Arial"/>
        </w:rPr>
        <w:t>cloacogenic</w:t>
      </w:r>
      <w:proofErr w:type="spellEnd"/>
      <w:r w:rsidRPr="001537BA">
        <w:rPr>
          <w:rFonts w:cs="Arial"/>
        </w:rPr>
        <w:t xml:space="preserve">) cancer; (b) current </w:t>
      </w:r>
      <w:r w:rsidR="00A863CF" w:rsidRPr="001537BA">
        <w:rPr>
          <w:rFonts w:cs="Arial"/>
        </w:rPr>
        <w:t>(</w:t>
      </w:r>
      <w:r w:rsidR="00B42001" w:rsidRPr="001537BA">
        <w:rPr>
          <w:rFonts w:cs="Arial"/>
        </w:rPr>
        <w:t>at any point during their</w:t>
      </w:r>
      <w:r w:rsidR="00483FAF" w:rsidRPr="001537BA">
        <w:rPr>
          <w:rFonts w:cs="Arial"/>
        </w:rPr>
        <w:t xml:space="preserve"> treatment) </w:t>
      </w:r>
      <w:r w:rsidRPr="001537BA">
        <w:rPr>
          <w:rFonts w:cs="Arial"/>
        </w:rPr>
        <w:t xml:space="preserve">or previous treatment (within the last 5 years) with definitive radiotherapy or CRT with or without a stoma placed; (c) adults (lowest age of inclusion defined by local institution), and (d) informed written consent given in accordance with national/local regulations and procedures. Participants involved in previous phases of the QLQ-ANL27 development were not eligible. </w:t>
      </w:r>
    </w:p>
    <w:p w14:paraId="3BD66F71" w14:textId="16A2AB09" w:rsidR="002E48FF" w:rsidRPr="001537BA" w:rsidRDefault="00221D02" w:rsidP="00D15E66">
      <w:pPr>
        <w:spacing w:line="360" w:lineRule="auto"/>
        <w:rPr>
          <w:rFonts w:cs="Arial"/>
          <w:bCs/>
        </w:rPr>
      </w:pPr>
      <w:r w:rsidRPr="001537BA">
        <w:rPr>
          <w:rFonts w:cs="Arial"/>
        </w:rPr>
        <w:t>To</w:t>
      </w:r>
      <w:r w:rsidR="00BC04AC" w:rsidRPr="001537BA">
        <w:rPr>
          <w:rFonts w:cs="Arial"/>
        </w:rPr>
        <w:t xml:space="preserve"> ensure good representation </w:t>
      </w:r>
      <w:r w:rsidR="00D66C6F" w:rsidRPr="001537BA">
        <w:rPr>
          <w:rFonts w:cs="Arial"/>
        </w:rPr>
        <w:t xml:space="preserve">of </w:t>
      </w:r>
      <w:r w:rsidR="00665BFF" w:rsidRPr="001537BA">
        <w:rPr>
          <w:rFonts w:cs="Arial"/>
        </w:rPr>
        <w:t xml:space="preserve">participants </w:t>
      </w:r>
      <w:r w:rsidR="006626B5" w:rsidRPr="001537BA">
        <w:rPr>
          <w:rFonts w:cs="Arial"/>
        </w:rPr>
        <w:t>covering the full ran</w:t>
      </w:r>
      <w:r w:rsidR="00E373EF" w:rsidRPr="001537BA">
        <w:rPr>
          <w:rFonts w:cs="Arial"/>
        </w:rPr>
        <w:t>ge of the intended population (patients treated for anal cancer at different points of time)</w:t>
      </w:r>
      <w:r w:rsidR="00665BFF" w:rsidRPr="001537BA">
        <w:rPr>
          <w:rFonts w:cs="Arial"/>
        </w:rPr>
        <w:t xml:space="preserve">, we </w:t>
      </w:r>
      <w:r w:rsidR="00413E5E" w:rsidRPr="001537BA">
        <w:rPr>
          <w:rFonts w:cs="Arial"/>
        </w:rPr>
        <w:t>conducted purposive sampling to recruit</w:t>
      </w:r>
      <w:r w:rsidR="00E56E18" w:rsidRPr="001537BA">
        <w:rPr>
          <w:rFonts w:cs="Arial"/>
        </w:rPr>
        <w:t xml:space="preserve"> comparable numbers of participants in the following groups</w:t>
      </w:r>
      <w:r w:rsidR="002E48FF" w:rsidRPr="001537BA">
        <w:rPr>
          <w:rFonts w:cs="Arial"/>
        </w:rPr>
        <w:t xml:space="preserve">: Acute: </w:t>
      </w:r>
      <w:r w:rsidR="005A4980" w:rsidRPr="001537BA">
        <w:rPr>
          <w:rFonts w:cs="Arial"/>
        </w:rPr>
        <w:t xml:space="preserve">treatment </w:t>
      </w:r>
      <w:r w:rsidR="00C30A3D" w:rsidRPr="001537BA">
        <w:rPr>
          <w:rFonts w:cs="Arial"/>
        </w:rPr>
        <w:t xml:space="preserve">started </w:t>
      </w:r>
      <w:r w:rsidR="002E48FF" w:rsidRPr="001537BA">
        <w:rPr>
          <w:rFonts w:cs="Arial"/>
        </w:rPr>
        <w:t>within 3 months; Early: between 3 months and 12 months</w:t>
      </w:r>
      <w:r w:rsidR="005A4980" w:rsidRPr="001537BA">
        <w:rPr>
          <w:rFonts w:cs="Arial"/>
        </w:rPr>
        <w:t xml:space="preserve"> since treatment</w:t>
      </w:r>
      <w:r w:rsidR="00C30A3D" w:rsidRPr="001537BA">
        <w:rPr>
          <w:rFonts w:cs="Arial"/>
        </w:rPr>
        <w:t xml:space="preserve"> began</w:t>
      </w:r>
      <w:r w:rsidR="002E48FF" w:rsidRPr="001537BA">
        <w:rPr>
          <w:rFonts w:cs="Arial"/>
        </w:rPr>
        <w:t>; and Late: between 1 and 5 years</w:t>
      </w:r>
      <w:r w:rsidR="005A4980" w:rsidRPr="001537BA">
        <w:rPr>
          <w:rFonts w:cs="Arial"/>
        </w:rPr>
        <w:t xml:space="preserve"> since </w:t>
      </w:r>
      <w:r w:rsidR="009E5466" w:rsidRPr="001537BA">
        <w:rPr>
          <w:rFonts w:cs="Arial"/>
        </w:rPr>
        <w:t xml:space="preserve">the </w:t>
      </w:r>
      <w:r w:rsidR="005A4980" w:rsidRPr="001537BA">
        <w:rPr>
          <w:rFonts w:cs="Arial"/>
        </w:rPr>
        <w:t>treatment</w:t>
      </w:r>
      <w:r w:rsidR="006877E9" w:rsidRPr="001537BA">
        <w:rPr>
          <w:rFonts w:cs="Arial"/>
        </w:rPr>
        <w:t xml:space="preserve"> start date</w:t>
      </w:r>
      <w:r w:rsidR="002E48FF" w:rsidRPr="001537BA">
        <w:rPr>
          <w:rFonts w:cs="Arial"/>
        </w:rPr>
        <w:t xml:space="preserve">. </w:t>
      </w:r>
    </w:p>
    <w:p w14:paraId="2C7E0FE7" w14:textId="4F300AE8" w:rsidR="002E48FF" w:rsidRPr="001537BA" w:rsidRDefault="002E48FF" w:rsidP="00D15E66">
      <w:pPr>
        <w:spacing w:line="360" w:lineRule="auto"/>
        <w:rPr>
          <w:rFonts w:cs="Arial"/>
        </w:rPr>
      </w:pPr>
      <w:r w:rsidRPr="001537BA">
        <w:rPr>
          <w:rFonts w:cs="Arial"/>
        </w:rPr>
        <w:t>Sub-groups of participants were invited to complete the QLQ-ANL27 alongside the QLQ-C30 on two occasions to test: 1) Responsiveness to change in two scenarios: “Deterioration” including participants at the start of treatment and again at least 4 weeks later during the last week of treatment and “Improvement” to include patients during the last week of treatment and 6 -12 weeks later to coincide with their routine follow-up clinic appointment; 2) Consistency in responses at two time points (1-2 weeks apart) where clinical stability is assumed</w:t>
      </w:r>
      <w:r w:rsidR="00D661E3" w:rsidRPr="001537BA">
        <w:rPr>
          <w:rFonts w:cs="Arial"/>
        </w:rPr>
        <w:t xml:space="preserve"> (no changes in health status reported </w:t>
      </w:r>
      <w:r w:rsidR="00814139" w:rsidRPr="001537BA">
        <w:rPr>
          <w:rFonts w:cs="Arial"/>
        </w:rPr>
        <w:t>by the</w:t>
      </w:r>
      <w:r w:rsidR="00D64406" w:rsidRPr="001537BA">
        <w:rPr>
          <w:rFonts w:cs="Arial"/>
        </w:rPr>
        <w:t xml:space="preserve"> </w:t>
      </w:r>
      <w:r w:rsidR="00814139" w:rsidRPr="001537BA">
        <w:rPr>
          <w:rFonts w:cs="Arial"/>
        </w:rPr>
        <w:t>patient</w:t>
      </w:r>
      <w:r w:rsidR="00D64406" w:rsidRPr="001537BA">
        <w:rPr>
          <w:rFonts w:cs="Arial"/>
        </w:rPr>
        <w:t xml:space="preserve"> or researcher</w:t>
      </w:r>
      <w:r w:rsidR="00691A9C" w:rsidRPr="001537BA">
        <w:rPr>
          <w:rFonts w:cs="Arial"/>
        </w:rPr>
        <w:t>)</w:t>
      </w:r>
      <w:r w:rsidRPr="001537BA">
        <w:rPr>
          <w:rFonts w:cs="Arial"/>
        </w:rPr>
        <w:t>: towards the end of treatment (high symptom presentation and burden) and, in the Late treatment group (low levels of symptoms and high functioning).</w:t>
      </w:r>
    </w:p>
    <w:p w14:paraId="7B34E030" w14:textId="4D3EEA18" w:rsidR="002E48FF" w:rsidRPr="001537BA" w:rsidRDefault="00A52619" w:rsidP="00130E20">
      <w:pPr>
        <w:spacing w:line="360" w:lineRule="auto"/>
        <w:rPr>
          <w:rFonts w:cs="Arial"/>
          <w:bCs/>
        </w:rPr>
      </w:pPr>
      <w:r w:rsidRPr="001537BA">
        <w:rPr>
          <w:rFonts w:cs="Arial"/>
        </w:rPr>
        <w:t xml:space="preserve">Using </w:t>
      </w:r>
      <w:proofErr w:type="spellStart"/>
      <w:r w:rsidRPr="001537BA">
        <w:rPr>
          <w:rFonts w:cs="Arial"/>
        </w:rPr>
        <w:t>Fayers</w:t>
      </w:r>
      <w:proofErr w:type="spellEnd"/>
      <w:r w:rsidRPr="001537BA">
        <w:rPr>
          <w:rFonts w:cs="Arial"/>
        </w:rPr>
        <w:t xml:space="preserve"> and Machin’s </w:t>
      </w:r>
      <w:r w:rsidR="006B570C" w:rsidRPr="001537BA">
        <w:rPr>
          <w:rFonts w:cs="Arial"/>
        </w:rPr>
        <w:t xml:space="preserve">(2016) </w:t>
      </w:r>
      <w:r w:rsidRPr="001537BA">
        <w:rPr>
          <w:rFonts w:cs="Arial"/>
        </w:rPr>
        <w:t xml:space="preserve">rule of thumb of </w:t>
      </w:r>
      <w:r w:rsidR="002E48FF" w:rsidRPr="001537BA">
        <w:rPr>
          <w:rFonts w:cs="Arial"/>
        </w:rPr>
        <w:t>10-15 responses</w:t>
      </w:r>
      <w:r w:rsidRPr="001537BA">
        <w:rPr>
          <w:rFonts w:cs="Arial"/>
        </w:rPr>
        <w:t xml:space="preserve"> required</w:t>
      </w:r>
      <w:r w:rsidR="002E48FF" w:rsidRPr="001537BA">
        <w:rPr>
          <w:rFonts w:cs="Arial"/>
        </w:rPr>
        <w:t xml:space="preserve"> per question</w:t>
      </w:r>
      <w:r w:rsidR="00091977" w:rsidRPr="001537BA">
        <w:rPr>
          <w:rFonts w:cs="Arial"/>
        </w:rPr>
        <w:t xml:space="preserve"> to adequately test a measure’s properties</w:t>
      </w:r>
      <w:r w:rsidR="006B570C" w:rsidRPr="001537BA">
        <w:rPr>
          <w:rFonts w:cs="Arial"/>
        </w:rPr>
        <w:t xml:space="preserve"> [20]</w:t>
      </w:r>
      <w:r w:rsidR="00091977" w:rsidRPr="001537BA">
        <w:rPr>
          <w:rFonts w:cs="Arial"/>
        </w:rPr>
        <w:t>,</w:t>
      </w:r>
      <w:r w:rsidR="006B570C" w:rsidRPr="001537BA">
        <w:rPr>
          <w:rFonts w:cs="Arial"/>
        </w:rPr>
        <w:t xml:space="preserve"> the overall target sample size was set as 375. </w:t>
      </w:r>
      <w:r w:rsidR="002E48FF" w:rsidRPr="001537BA">
        <w:rPr>
          <w:rFonts w:cs="Arial"/>
        </w:rPr>
        <w:t xml:space="preserve">For the double administration groups, a target of at least 40 patients </w:t>
      </w:r>
      <w:r w:rsidR="002E48FF" w:rsidRPr="001537BA">
        <w:rPr>
          <w:rFonts w:cs="Arial"/>
          <w:bCs/>
        </w:rPr>
        <w:t xml:space="preserve">in each of the responsiveness to </w:t>
      </w:r>
      <w:r w:rsidR="002E48FF" w:rsidRPr="001537BA">
        <w:rPr>
          <w:rFonts w:cs="Arial"/>
          <w:bCs/>
        </w:rPr>
        <w:lastRenderedPageBreak/>
        <w:t xml:space="preserve">change groups was set to allow detection of a change of 0.5 standard deviations (SDs), power 80% and alpha level 5%, assuming a correlation of 0.4 between the repeated measurements. </w:t>
      </w:r>
      <w:r w:rsidR="00753A48" w:rsidRPr="001537BA">
        <w:rPr>
          <w:rFonts w:cs="Arial"/>
          <w:bCs/>
        </w:rPr>
        <w:t>To test consistency in responses</w:t>
      </w:r>
      <w:r w:rsidR="002E48FF" w:rsidRPr="001537BA">
        <w:rPr>
          <w:rFonts w:cs="Arial"/>
          <w:bCs/>
        </w:rPr>
        <w:t xml:space="preserve">, a minimum of 40 patients was required overall </w:t>
      </w:r>
      <w:r w:rsidR="001C7FE9" w:rsidRPr="001537BA">
        <w:rPr>
          <w:rFonts w:cs="Arial"/>
          <w:bCs/>
        </w:rPr>
        <w:t>(</w:t>
      </w:r>
      <w:r w:rsidR="00941E91" w:rsidRPr="001537BA">
        <w:rPr>
          <w:rFonts w:cs="Arial"/>
          <w:bCs/>
        </w:rPr>
        <w:t xml:space="preserve">combining the </w:t>
      </w:r>
      <w:r w:rsidR="00D16931" w:rsidRPr="001537BA">
        <w:rPr>
          <w:rFonts w:cs="Arial"/>
          <w:bCs/>
        </w:rPr>
        <w:t xml:space="preserve">responses of the </w:t>
      </w:r>
      <w:r w:rsidR="00941E91" w:rsidRPr="001537BA">
        <w:rPr>
          <w:rFonts w:cs="Arial"/>
          <w:bCs/>
        </w:rPr>
        <w:t xml:space="preserve">acute and late group participants) </w:t>
      </w:r>
      <w:r w:rsidR="002E48FF" w:rsidRPr="001537BA">
        <w:rPr>
          <w:rFonts w:cs="Arial"/>
          <w:bCs/>
        </w:rPr>
        <w:t xml:space="preserve">to provide an estimated intraclass correlation (ICC) of 0.7 with a 95% confidence interval of width 0.3 </w:t>
      </w:r>
      <w:r w:rsidR="002E48FF" w:rsidRPr="001537BA">
        <w:rPr>
          <w:rFonts w:cs="Arial"/>
          <w:bCs/>
          <w:noProof/>
        </w:rPr>
        <w:t>[21]</w:t>
      </w:r>
      <w:r w:rsidR="002E48FF" w:rsidRPr="001537BA">
        <w:rPr>
          <w:rFonts w:cs="Arial"/>
          <w:bCs/>
        </w:rPr>
        <w:t>.</w:t>
      </w:r>
    </w:p>
    <w:p w14:paraId="3DC87568" w14:textId="3CBF1D30" w:rsidR="00686027" w:rsidRPr="001537BA" w:rsidRDefault="002E48FF" w:rsidP="00130E20">
      <w:pPr>
        <w:spacing w:line="360" w:lineRule="auto"/>
      </w:pPr>
      <w:r w:rsidRPr="001537BA">
        <w:rPr>
          <w:rFonts w:cstheme="minorHAnsi"/>
        </w:rPr>
        <w:t xml:space="preserve">The QLQ-ANL27 includes 27 questions with six multi-item scales hypothesized prior to the study. Symptom scales (higher scores representing a higher level of symptoms) include four multi-item scales: </w:t>
      </w:r>
      <w:r w:rsidRPr="001537BA">
        <w:rPr>
          <w:rFonts w:cstheme="minorHAnsi"/>
          <w:shd w:val="clear" w:color="auto" w:fill="FFFFFF"/>
        </w:rPr>
        <w:t xml:space="preserve">bowel symptoms (non-stoma), bowel symptoms (stoma), stoma care, pain/discomfort and 5 single items </w:t>
      </w:r>
      <w:r w:rsidRPr="001537BA">
        <w:rPr>
          <w:rFonts w:cstheme="minorHAnsi"/>
        </w:rPr>
        <w:t xml:space="preserve">(frequent urination, keeping clean, proximity to toilet, lower limb </w:t>
      </w:r>
      <w:r w:rsidRPr="001537BA">
        <w:rPr>
          <w:rFonts w:cstheme="minorHAnsi"/>
          <w:lang w:val="en-US"/>
        </w:rPr>
        <w:t>edema</w:t>
      </w:r>
      <w:r w:rsidRPr="001537BA">
        <w:rPr>
          <w:rFonts w:cstheme="minorHAnsi"/>
        </w:rPr>
        <w:t>, planning activities)</w:t>
      </w:r>
      <w:r w:rsidRPr="001537BA">
        <w:rPr>
          <w:rFonts w:cstheme="minorHAnsi"/>
          <w:shd w:val="clear" w:color="auto" w:fill="FFFFFF"/>
        </w:rPr>
        <w:t>. Functional scales (with higher scores representing better functioning) include two multi-item scales: sexual functioning (male) and sexual functioning (female)</w:t>
      </w:r>
      <w:r w:rsidRPr="001537BA">
        <w:rPr>
          <w:rFonts w:cstheme="minorHAnsi"/>
        </w:rPr>
        <w:t>.</w:t>
      </w:r>
      <w:r w:rsidRPr="001537BA">
        <w:rPr>
          <w:rFonts w:cstheme="minorHAnsi"/>
          <w:shd w:val="clear" w:color="auto" w:fill="FFFFFF"/>
        </w:rPr>
        <w:t xml:space="preserve"> There is also one sexual activity screening question which does not form part of the scoring and is also included for descriptive purposes. The sexual functioning items are rated according to functioning during the past 4 weeks; the timeframe for </w:t>
      </w:r>
      <w:r w:rsidRPr="001537BA">
        <w:rPr>
          <w:rFonts w:cs="Arial"/>
        </w:rPr>
        <w:t xml:space="preserve">all other questions is the past week. Except </w:t>
      </w:r>
      <w:r w:rsidRPr="001537BA">
        <w:rPr>
          <w:rFonts w:cstheme="minorHAnsi"/>
        </w:rPr>
        <w:t xml:space="preserve">for the QLQ-C30 overall health and </w:t>
      </w:r>
      <w:proofErr w:type="spellStart"/>
      <w:r w:rsidR="00573211" w:rsidRPr="001537BA">
        <w:rPr>
          <w:rFonts w:cstheme="minorHAnsi"/>
        </w:rPr>
        <w:t>HRQoL</w:t>
      </w:r>
      <w:proofErr w:type="spellEnd"/>
      <w:r w:rsidRPr="001537BA">
        <w:rPr>
          <w:rFonts w:cstheme="minorHAnsi"/>
        </w:rPr>
        <w:t xml:space="preserve"> questions, a 4-point Likert scale ranging from </w:t>
      </w:r>
      <w:r w:rsidR="00DB13AD" w:rsidRPr="001537BA">
        <w:rPr>
          <w:rFonts w:cstheme="minorHAnsi"/>
        </w:rPr>
        <w:t>“</w:t>
      </w:r>
      <w:r w:rsidRPr="001537BA">
        <w:rPr>
          <w:rFonts w:cstheme="minorHAnsi"/>
        </w:rPr>
        <w:t>not at all</w:t>
      </w:r>
      <w:r w:rsidR="00DB13AD" w:rsidRPr="001537BA">
        <w:rPr>
          <w:rFonts w:cstheme="minorHAnsi"/>
        </w:rPr>
        <w:t>”</w:t>
      </w:r>
      <w:r w:rsidRPr="001537BA">
        <w:rPr>
          <w:rFonts w:cstheme="minorHAnsi"/>
        </w:rPr>
        <w:t xml:space="preserve"> (1) to </w:t>
      </w:r>
      <w:r w:rsidR="00DB13AD" w:rsidRPr="001537BA">
        <w:rPr>
          <w:rFonts w:cstheme="minorHAnsi"/>
        </w:rPr>
        <w:t>“</w:t>
      </w:r>
      <w:r w:rsidRPr="001537BA">
        <w:rPr>
          <w:rFonts w:cstheme="minorHAnsi"/>
        </w:rPr>
        <w:t>very much</w:t>
      </w:r>
      <w:r w:rsidR="00DB13AD" w:rsidRPr="001537BA">
        <w:rPr>
          <w:rFonts w:cstheme="minorHAnsi"/>
        </w:rPr>
        <w:t>”</w:t>
      </w:r>
      <w:r w:rsidRPr="001537BA">
        <w:rPr>
          <w:rFonts w:cstheme="minorHAnsi"/>
        </w:rPr>
        <w:t xml:space="preserve"> (4) is used. A linear transformation is applied to produce scale scores with a possible range from 0 to 100, with high scores indicating better functioning on the functional and Global health/</w:t>
      </w:r>
      <w:proofErr w:type="spellStart"/>
      <w:r w:rsidR="00DE135E" w:rsidRPr="001537BA">
        <w:rPr>
          <w:rFonts w:cstheme="minorHAnsi"/>
        </w:rPr>
        <w:t>HRQoL</w:t>
      </w:r>
      <w:proofErr w:type="spellEnd"/>
      <w:r w:rsidRPr="001537BA">
        <w:rPr>
          <w:rFonts w:cstheme="minorHAnsi"/>
        </w:rPr>
        <w:t xml:space="preserve"> scales but worse symptoms on the symptom scales </w:t>
      </w:r>
      <w:r w:rsidRPr="001537BA">
        <w:rPr>
          <w:rFonts w:cstheme="minorHAnsi"/>
          <w:noProof/>
        </w:rPr>
        <w:t>[22]</w:t>
      </w:r>
      <w:r w:rsidRPr="001537BA">
        <w:rPr>
          <w:rFonts w:cstheme="minorHAnsi"/>
        </w:rPr>
        <w:t xml:space="preserve">. </w:t>
      </w:r>
      <w:r w:rsidR="008522BA" w:rsidRPr="001537BA">
        <w:rPr>
          <w:rFonts w:cstheme="minorHAnsi"/>
        </w:rPr>
        <w:t xml:space="preserve">In terms of handling missing data, </w:t>
      </w:r>
      <w:r w:rsidR="005424E1" w:rsidRPr="001537BA">
        <w:rPr>
          <w:rFonts w:cstheme="minorHAnsi"/>
        </w:rPr>
        <w:t xml:space="preserve">scales scores were calculated </w:t>
      </w:r>
      <w:r w:rsidR="00686027" w:rsidRPr="001537BA">
        <w:t xml:space="preserve">if at least half of </w:t>
      </w:r>
      <w:r w:rsidR="005424E1" w:rsidRPr="001537BA">
        <w:t xml:space="preserve">its items </w:t>
      </w:r>
      <w:r w:rsidR="008522BA" w:rsidRPr="001537BA">
        <w:t>were</w:t>
      </w:r>
      <w:r w:rsidR="00686027" w:rsidRPr="001537BA">
        <w:t xml:space="preserve"> completed</w:t>
      </w:r>
      <w:r w:rsidR="00BF3A9B" w:rsidRPr="001537BA">
        <w:t xml:space="preserve"> </w:t>
      </w:r>
      <w:r w:rsidR="0027341F" w:rsidRPr="001537BA">
        <w:t xml:space="preserve">with </w:t>
      </w:r>
      <w:r w:rsidR="00D76163" w:rsidRPr="001537BA">
        <w:t xml:space="preserve">the scoring algorithm </w:t>
      </w:r>
      <w:r w:rsidR="0027341F" w:rsidRPr="001537BA">
        <w:t xml:space="preserve">applied </w:t>
      </w:r>
      <w:r w:rsidR="006E7DF9" w:rsidRPr="001537BA">
        <w:t>to</w:t>
      </w:r>
      <w:r w:rsidR="00D76163" w:rsidRPr="001537BA">
        <w:t xml:space="preserve"> the number of items </w:t>
      </w:r>
      <w:r w:rsidR="006E7DF9" w:rsidRPr="001537BA">
        <w:t xml:space="preserve">completed (i.e., </w:t>
      </w:r>
      <w:r w:rsidR="00BF3A9B" w:rsidRPr="001537BA">
        <w:t>if a scale is made up of 5 items and at least 3 are answered, the scores for the 3 items are summed and divided by 3 to calculate a raw score which is then standardised</w:t>
      </w:r>
      <w:r w:rsidR="006E7DF9" w:rsidRPr="001537BA">
        <w:t>)</w:t>
      </w:r>
      <w:r w:rsidR="00130E20" w:rsidRPr="001537BA">
        <w:t>,</w:t>
      </w:r>
      <w:r w:rsidR="000E5CB7" w:rsidRPr="001537BA">
        <w:t xml:space="preserve"> otherwise</w:t>
      </w:r>
      <w:r w:rsidR="00130E20" w:rsidRPr="001537BA">
        <w:t xml:space="preserve"> the scale score was </w:t>
      </w:r>
      <w:r w:rsidR="00686027" w:rsidRPr="001537BA">
        <w:t>regarded as missing.</w:t>
      </w:r>
    </w:p>
    <w:p w14:paraId="36899862" w14:textId="4E4CFEC8" w:rsidR="002E48FF" w:rsidRPr="001537BA" w:rsidRDefault="002E48FF" w:rsidP="00D15E66">
      <w:pPr>
        <w:spacing w:line="360" w:lineRule="auto"/>
        <w:rPr>
          <w:rFonts w:cstheme="minorHAnsi"/>
        </w:rPr>
      </w:pPr>
      <w:r w:rsidRPr="001537BA">
        <w:t xml:space="preserve">Questionnaire translations were prepared according to the EORTC QLG guidelines </w:t>
      </w:r>
      <w:r w:rsidRPr="001537BA">
        <w:rPr>
          <w:noProof/>
        </w:rPr>
        <w:t>[19]</w:t>
      </w:r>
      <w:r w:rsidRPr="001537BA">
        <w:t xml:space="preserve"> using </w:t>
      </w:r>
      <w:r w:rsidRPr="001537BA">
        <w:rPr>
          <w:color w:val="000000"/>
        </w:rPr>
        <w:t xml:space="preserve">an iterative forward-backward procedure. </w:t>
      </w:r>
    </w:p>
    <w:p w14:paraId="57A7C6AF" w14:textId="6DF6BFF5" w:rsidR="002E48FF" w:rsidRPr="001537BA" w:rsidRDefault="002E48FF" w:rsidP="00D15E66">
      <w:pPr>
        <w:autoSpaceDE w:val="0"/>
        <w:autoSpaceDN w:val="0"/>
        <w:adjustRightInd w:val="0"/>
        <w:spacing w:after="0" w:line="360" w:lineRule="auto"/>
        <w:rPr>
          <w:rFonts w:cstheme="minorHAnsi"/>
        </w:rPr>
      </w:pPr>
      <w:r w:rsidRPr="001537BA">
        <w:t xml:space="preserve">Socio-demographic </w:t>
      </w:r>
      <w:r w:rsidRPr="001537BA">
        <w:rPr>
          <w:rFonts w:cstheme="minorHAnsi"/>
        </w:rPr>
        <w:t xml:space="preserve">(Supplementary </w:t>
      </w:r>
      <w:r w:rsidR="00DC1F2B" w:rsidRPr="001537BA">
        <w:rPr>
          <w:rFonts w:cstheme="minorHAnsi"/>
        </w:rPr>
        <w:t xml:space="preserve">Table </w:t>
      </w:r>
      <w:r w:rsidRPr="001537BA">
        <w:rPr>
          <w:rFonts w:cstheme="minorHAnsi"/>
        </w:rPr>
        <w:t xml:space="preserve">1) and clinical data (TNM staging, diagnosis date, recurrence, treatment type and dates, and performance status using the Eastern Cooperative Oncology Group (ECOG) </w:t>
      </w:r>
      <w:r w:rsidRPr="001537BA">
        <w:rPr>
          <w:rFonts w:cstheme="minorHAnsi"/>
          <w:noProof/>
        </w:rPr>
        <w:t>[23]</w:t>
      </w:r>
      <w:r w:rsidR="009F5660" w:rsidRPr="001537BA">
        <w:rPr>
          <w:rFonts w:cstheme="minorHAnsi"/>
          <w:noProof/>
        </w:rPr>
        <w:t xml:space="preserve"> see Supplementary </w:t>
      </w:r>
      <w:r w:rsidR="00DC1F2B" w:rsidRPr="001537BA">
        <w:rPr>
          <w:rFonts w:cstheme="minorHAnsi"/>
          <w:noProof/>
        </w:rPr>
        <w:t>Table</w:t>
      </w:r>
      <w:r w:rsidR="009F5660" w:rsidRPr="001537BA">
        <w:rPr>
          <w:rFonts w:cstheme="minorHAnsi"/>
          <w:noProof/>
        </w:rPr>
        <w:t xml:space="preserve"> 2</w:t>
      </w:r>
      <w:r w:rsidRPr="001537BA">
        <w:rPr>
          <w:rFonts w:cstheme="minorHAnsi"/>
        </w:rPr>
        <w:t xml:space="preserve">) </w:t>
      </w:r>
      <w:bookmarkStart w:id="3" w:name="_Hlk90483613"/>
      <w:r w:rsidRPr="001537BA">
        <w:rPr>
          <w:rFonts w:cstheme="minorHAnsi"/>
        </w:rPr>
        <w:t xml:space="preserve">were </w:t>
      </w:r>
      <w:bookmarkStart w:id="4" w:name="_Hlk90653546"/>
      <w:r w:rsidRPr="001537BA">
        <w:rPr>
          <w:rFonts w:cstheme="minorHAnsi"/>
        </w:rPr>
        <w:t xml:space="preserve">retrieved from medical notes or </w:t>
      </w:r>
      <w:bookmarkEnd w:id="4"/>
      <w:r w:rsidRPr="001537BA">
        <w:rPr>
          <w:rFonts w:cstheme="minorHAnsi"/>
        </w:rPr>
        <w:t>collected directly from participants either before they completed the questionnaires or when they were contacted (in person or over the telephone) to complete the debriefing questions</w:t>
      </w:r>
      <w:bookmarkEnd w:id="3"/>
      <w:r w:rsidRPr="001537BA">
        <w:rPr>
          <w:rFonts w:cstheme="minorHAnsi"/>
        </w:rPr>
        <w:t xml:space="preserve">. For those completing the QLQ-C30 and QLQ-ANL27 on a second occasion, </w:t>
      </w:r>
      <w:r w:rsidRPr="001537BA">
        <w:rPr>
          <w:rFonts w:cs="Arial"/>
        </w:rPr>
        <w:t xml:space="preserve">ECOG </w:t>
      </w:r>
      <w:r w:rsidR="000232C8" w:rsidRPr="001537BA">
        <w:rPr>
          <w:rFonts w:cs="Arial"/>
        </w:rPr>
        <w:t>p</w:t>
      </w:r>
      <w:r w:rsidRPr="001537BA">
        <w:rPr>
          <w:rFonts w:cs="Arial"/>
        </w:rPr>
        <w:t>erformance status, hospital admissions, post-treatment complications, newly diagnosed medical conditions and new treatments</w:t>
      </w:r>
      <w:r w:rsidR="007B652B" w:rsidRPr="001537BA">
        <w:rPr>
          <w:rFonts w:cs="Arial"/>
        </w:rPr>
        <w:t xml:space="preserve"> were recorde</w:t>
      </w:r>
      <w:r w:rsidR="008D16A6" w:rsidRPr="001537BA">
        <w:rPr>
          <w:rFonts w:cs="Arial"/>
        </w:rPr>
        <w:t xml:space="preserve">d </w:t>
      </w:r>
      <w:r w:rsidR="00C1309A" w:rsidRPr="001537BA">
        <w:rPr>
          <w:rFonts w:cs="Arial"/>
        </w:rPr>
        <w:t xml:space="preserve">by the </w:t>
      </w:r>
      <w:r w:rsidR="00D64406" w:rsidRPr="001537BA">
        <w:rPr>
          <w:rFonts w:cs="Arial"/>
        </w:rPr>
        <w:t>researcher</w:t>
      </w:r>
      <w:r w:rsidR="00C1309A" w:rsidRPr="001537BA">
        <w:rPr>
          <w:rFonts w:cs="Arial"/>
        </w:rPr>
        <w:t xml:space="preserve"> in consultation with the patient</w:t>
      </w:r>
      <w:r w:rsidRPr="001537BA">
        <w:rPr>
          <w:rFonts w:cstheme="minorHAnsi"/>
        </w:rPr>
        <w:t>.</w:t>
      </w:r>
    </w:p>
    <w:p w14:paraId="5A7E14AB" w14:textId="77777777" w:rsidR="002E48FF" w:rsidRPr="001537BA" w:rsidRDefault="002E48FF" w:rsidP="008D437D">
      <w:pPr>
        <w:spacing w:line="360" w:lineRule="auto"/>
        <w:rPr>
          <w:lang w:val="en-US"/>
        </w:rPr>
      </w:pPr>
      <w:r w:rsidRPr="001537BA">
        <w:rPr>
          <w:color w:val="000000"/>
        </w:rPr>
        <w:lastRenderedPageBreak/>
        <w:t xml:space="preserve">A debriefing questionnaire collected participant feedback including general comments, the time required to complete the measure, </w:t>
      </w:r>
      <w:r w:rsidRPr="001537BA">
        <w:rPr>
          <w:rFonts w:cstheme="minorHAnsi"/>
        </w:rPr>
        <w:t>help received, and items identified as upsetting, confusing or difficult to answer. Reasons for missing data were documented.</w:t>
      </w:r>
      <w:r w:rsidRPr="001537BA">
        <w:t xml:space="preserve"> Participants had the option of completing the questionnaire on paper or online using the Computer-based Health Evaluation System (CHES) </w:t>
      </w:r>
      <w:r w:rsidRPr="001537BA">
        <w:rPr>
          <w:noProof/>
        </w:rPr>
        <w:t>[24]</w:t>
      </w:r>
      <w:r w:rsidRPr="001537BA">
        <w:t xml:space="preserve">. </w:t>
      </w:r>
    </w:p>
    <w:p w14:paraId="31EBCFF2" w14:textId="77777777" w:rsidR="002E48FF" w:rsidRPr="001537BA" w:rsidRDefault="002E48FF" w:rsidP="008D437D">
      <w:pPr>
        <w:spacing w:line="360" w:lineRule="auto"/>
      </w:pPr>
      <w:r w:rsidRPr="001537BA">
        <w:t xml:space="preserve">Descriptive analyses were carried out on the time taken to complete the QLQ-ANL27, assistance required and item feedback. Missing data by timepoint and response distribution for each item were summarised. Items were flagged if the combined proportion of patients in the two extreme response categories did not exceed 10%. </w:t>
      </w:r>
    </w:p>
    <w:p w14:paraId="3E953900" w14:textId="77777777" w:rsidR="002E48FF" w:rsidRPr="001537BA" w:rsidRDefault="002E48FF" w:rsidP="00D15E66">
      <w:pPr>
        <w:pStyle w:val="Heading2"/>
        <w:spacing w:line="360" w:lineRule="auto"/>
        <w:rPr>
          <w:rFonts w:asciiTheme="minorHAnsi" w:hAnsiTheme="minorHAnsi" w:cstheme="minorHAnsi"/>
        </w:rPr>
      </w:pPr>
      <w:r w:rsidRPr="001537BA">
        <w:rPr>
          <w:rFonts w:asciiTheme="minorHAnsi" w:hAnsiTheme="minorHAnsi" w:cstheme="minorHAnsi"/>
        </w:rPr>
        <w:t>Statistical analysis</w:t>
      </w:r>
    </w:p>
    <w:p w14:paraId="7DB896C7" w14:textId="77777777" w:rsidR="002E48FF" w:rsidRPr="001537BA" w:rsidRDefault="002E48FF" w:rsidP="00D15E66">
      <w:pPr>
        <w:spacing w:line="360" w:lineRule="auto"/>
        <w:rPr>
          <w:rFonts w:cstheme="minorHAnsi"/>
        </w:rPr>
      </w:pPr>
      <w:r w:rsidRPr="001537BA">
        <w:rPr>
          <w:rFonts w:cstheme="minorHAnsi"/>
        </w:rPr>
        <w:t xml:space="preserve">The main psychometric analyses were performed on the baseline responses of participants regardless of their subgroup classification using SAS version 9.4 </w:t>
      </w:r>
      <w:r w:rsidRPr="001537BA">
        <w:rPr>
          <w:rFonts w:cstheme="minorHAnsi"/>
          <w:noProof/>
        </w:rPr>
        <w:t>[25]</w:t>
      </w:r>
      <w:r w:rsidRPr="001537BA">
        <w:rPr>
          <w:rFonts w:cstheme="minorHAnsi"/>
        </w:rPr>
        <w:t>.</w:t>
      </w:r>
    </w:p>
    <w:p w14:paraId="2D7D5212" w14:textId="26198C00" w:rsidR="002E48FF" w:rsidRPr="001537BA" w:rsidRDefault="002E48FF" w:rsidP="00D15E66">
      <w:pPr>
        <w:spacing w:line="360" w:lineRule="auto"/>
        <w:rPr>
          <w:rFonts w:cs="Arial"/>
        </w:rPr>
      </w:pPr>
      <w:r w:rsidRPr="001537BA">
        <w:rPr>
          <w:rFonts w:cstheme="minorHAnsi"/>
        </w:rPr>
        <w:t>Confirmatory factor analysis</w:t>
      </w:r>
      <w:r w:rsidRPr="001537BA">
        <w:rPr>
          <w:rFonts w:cs="Arial"/>
        </w:rPr>
        <w:t xml:space="preserve"> (CFA) was planned to test the hypothesised six multi-item scale using robust weighted least squares estimation. </w:t>
      </w:r>
      <w:r w:rsidRPr="001537BA">
        <w:t xml:space="preserve">CFA was carried out for males and females separately, therefore each testing a 5-factor model (bowel symptoms – non stoma and stoma separately, pain/discomfort, stoma care, and either sexual functioning male or female). </w:t>
      </w:r>
      <w:r w:rsidRPr="001537BA">
        <w:rPr>
          <w:rFonts w:cs="Arial"/>
        </w:rPr>
        <w:t xml:space="preserve">The model fit was assessed using local fit testing (residuals &lt;0.10) </w:t>
      </w:r>
      <w:r w:rsidRPr="001537BA">
        <w:rPr>
          <w:rFonts w:cs="Arial"/>
          <w:noProof/>
        </w:rPr>
        <w:t>[26]</w:t>
      </w:r>
      <w:r w:rsidRPr="001537BA">
        <w:rPr>
          <w:rFonts w:cs="Arial"/>
        </w:rPr>
        <w:t xml:space="preserve"> and global fit statistics (chi-square &gt; 0.05 </w:t>
      </w:r>
      <w:r w:rsidRPr="001537BA">
        <w:rPr>
          <w:rFonts w:cs="Arial"/>
          <w:noProof/>
        </w:rPr>
        <w:t>[27]</w:t>
      </w:r>
      <w:r w:rsidRPr="001537BA">
        <w:rPr>
          <w:rFonts w:cs="Arial"/>
        </w:rPr>
        <w:t xml:space="preserve">, comparative fit index (CFI) ≥ 0.95 </w:t>
      </w:r>
      <w:r w:rsidRPr="001537BA">
        <w:rPr>
          <w:rFonts w:cs="Arial"/>
          <w:noProof/>
        </w:rPr>
        <w:t>[28]</w:t>
      </w:r>
      <w:r w:rsidRPr="001537BA">
        <w:rPr>
          <w:rFonts w:cs="Arial"/>
        </w:rPr>
        <w:t xml:space="preserve">, root mean square error approximation (RMSEA) </w:t>
      </w:r>
      <w:r w:rsidRPr="001537BA">
        <w:rPr>
          <w:rFonts w:cs="Arial"/>
          <w:noProof/>
        </w:rPr>
        <w:t>[26]</w:t>
      </w:r>
      <w:r w:rsidRPr="001537BA">
        <w:rPr>
          <w:rFonts w:cs="Arial"/>
        </w:rPr>
        <w:t xml:space="preserve"> and standardised root mean square residual (SRMR) &lt; 0.10) </w:t>
      </w:r>
      <w:r w:rsidRPr="001537BA">
        <w:rPr>
          <w:rFonts w:cs="Arial"/>
          <w:noProof/>
        </w:rPr>
        <w:t>[26]</w:t>
      </w:r>
      <w:r w:rsidRPr="001537BA">
        <w:rPr>
          <w:rFonts w:cs="Arial"/>
        </w:rPr>
        <w:t xml:space="preserve"> as a guide.</w:t>
      </w:r>
    </w:p>
    <w:p w14:paraId="3BC24718" w14:textId="68132469" w:rsidR="002E48FF" w:rsidRPr="001537BA" w:rsidRDefault="002E48FF" w:rsidP="00D15E66">
      <w:pPr>
        <w:spacing w:line="360" w:lineRule="auto"/>
        <w:rPr>
          <w:rFonts w:cstheme="minorHAnsi"/>
        </w:rPr>
      </w:pPr>
      <w:r w:rsidRPr="001537BA">
        <w:rPr>
          <w:rFonts w:cstheme="minorHAnsi"/>
        </w:rPr>
        <w:t>To test the scale structure</w:t>
      </w:r>
      <w:r w:rsidR="005A6EB2" w:rsidRPr="001537BA">
        <w:rPr>
          <w:rFonts w:cstheme="minorHAnsi"/>
        </w:rPr>
        <w:t xml:space="preserve"> and </w:t>
      </w:r>
      <w:r w:rsidR="00131883" w:rsidRPr="001537BA">
        <w:rPr>
          <w:rFonts w:cstheme="minorHAnsi"/>
        </w:rPr>
        <w:t>investigate whether</w:t>
      </w:r>
      <w:r w:rsidR="00B80EE8" w:rsidRPr="001537BA">
        <w:rPr>
          <w:rFonts w:cstheme="minorHAnsi"/>
        </w:rPr>
        <w:t xml:space="preserve"> the questions are measuring the same construct</w:t>
      </w:r>
      <w:r w:rsidRPr="001537BA">
        <w:rPr>
          <w:rFonts w:cstheme="minorHAnsi"/>
        </w:rPr>
        <w:t xml:space="preserve">, </w:t>
      </w:r>
      <w:r w:rsidRPr="001537BA">
        <w:t xml:space="preserve">inter-item correlations were computed using </w:t>
      </w:r>
      <w:proofErr w:type="spellStart"/>
      <w:r w:rsidRPr="001537BA">
        <w:t>polychoric</w:t>
      </w:r>
      <w:proofErr w:type="spellEnd"/>
      <w:r w:rsidRPr="001537BA">
        <w:t xml:space="preserve"> correlation coefficients between each pair of items at baseline. Items with high correlation (</w:t>
      </w:r>
      <w:r w:rsidRPr="001537BA">
        <w:rPr>
          <w:i/>
          <w:iCs/>
        </w:rPr>
        <w:t>r</w:t>
      </w:r>
      <w:r w:rsidR="005A6EB2" w:rsidRPr="001537BA">
        <w:rPr>
          <w:i/>
          <w:iCs/>
        </w:rPr>
        <w:t xml:space="preserve"> </w:t>
      </w:r>
      <w:r w:rsidRPr="001537BA">
        <w:rPr>
          <w:rFonts w:cstheme="minorHAnsi"/>
        </w:rPr>
        <w:t>≥</w:t>
      </w:r>
      <w:r w:rsidRPr="001537BA">
        <w:t xml:space="preserve">0.90; indicating over 80% shared variance) were highlighted for examination. </w:t>
      </w:r>
    </w:p>
    <w:p w14:paraId="272E334B" w14:textId="37F557B1" w:rsidR="002E48FF" w:rsidRPr="001537BA" w:rsidRDefault="00D317BA" w:rsidP="00D15E66">
      <w:pPr>
        <w:spacing w:line="360" w:lineRule="auto"/>
        <w:rPr>
          <w:rFonts w:cs="Arial"/>
        </w:rPr>
      </w:pPr>
      <w:r w:rsidRPr="001537BA">
        <w:rPr>
          <w:rFonts w:cs="Arial"/>
        </w:rPr>
        <w:t xml:space="preserve">Consistency in responses </w:t>
      </w:r>
      <w:r w:rsidR="00A53842" w:rsidRPr="001537BA">
        <w:rPr>
          <w:rFonts w:cs="Arial"/>
        </w:rPr>
        <w:t>to the different items within the scales (i</w:t>
      </w:r>
      <w:r w:rsidR="002E48FF" w:rsidRPr="001537BA">
        <w:rPr>
          <w:rFonts w:cs="Arial"/>
        </w:rPr>
        <w:t>nternal reliability</w:t>
      </w:r>
      <w:r w:rsidR="00A53842" w:rsidRPr="001537BA">
        <w:rPr>
          <w:rFonts w:cs="Arial"/>
        </w:rPr>
        <w:t>)</w:t>
      </w:r>
      <w:r w:rsidR="002E48FF" w:rsidRPr="001537BA">
        <w:rPr>
          <w:rFonts w:cs="Arial"/>
        </w:rPr>
        <w:t xml:space="preserve"> was examined</w:t>
      </w:r>
      <w:r w:rsidR="00C649F5" w:rsidRPr="001537BA">
        <w:rPr>
          <w:rFonts w:cs="Arial"/>
        </w:rPr>
        <w:t xml:space="preserve"> </w:t>
      </w:r>
      <w:r w:rsidR="002E48FF" w:rsidRPr="001537BA">
        <w:rPr>
          <w:rFonts w:cs="Arial"/>
        </w:rPr>
        <w:t xml:space="preserve">using Cronbach's alpha coefficient, with a value of ≥ 0.70 regarded as </w:t>
      </w:r>
      <w:r w:rsidR="006677C0" w:rsidRPr="001537BA">
        <w:rPr>
          <w:rFonts w:cs="Arial"/>
        </w:rPr>
        <w:t>acce</w:t>
      </w:r>
      <w:r w:rsidR="00A53842" w:rsidRPr="001537BA">
        <w:rPr>
          <w:rFonts w:cs="Arial"/>
        </w:rPr>
        <w:t>ptable</w:t>
      </w:r>
      <w:r w:rsidR="002E48FF" w:rsidRPr="001537BA">
        <w:rPr>
          <w:rFonts w:cs="Arial"/>
        </w:rPr>
        <w:t xml:space="preserve"> </w:t>
      </w:r>
      <w:r w:rsidR="002E48FF" w:rsidRPr="001537BA">
        <w:rPr>
          <w:rFonts w:cs="Arial"/>
          <w:noProof/>
        </w:rPr>
        <w:t>[29]</w:t>
      </w:r>
      <w:r w:rsidR="002E48FF" w:rsidRPr="001537BA">
        <w:rPr>
          <w:rFonts w:cs="Arial"/>
        </w:rPr>
        <w:t xml:space="preserve">. Test-retest reliability </w:t>
      </w:r>
      <w:r w:rsidR="00A60455" w:rsidRPr="001537BA">
        <w:rPr>
          <w:rFonts w:cs="Arial"/>
        </w:rPr>
        <w:t>assessed consistency in responses</w:t>
      </w:r>
      <w:r w:rsidR="002E48FF" w:rsidRPr="001537BA">
        <w:rPr>
          <w:rFonts w:cs="Arial"/>
        </w:rPr>
        <w:t xml:space="preserve"> </w:t>
      </w:r>
      <w:r w:rsidR="00B55A76" w:rsidRPr="001537BA">
        <w:rPr>
          <w:rFonts w:cs="Arial"/>
        </w:rPr>
        <w:t xml:space="preserve">on two repeated assessments </w:t>
      </w:r>
      <w:r w:rsidR="002E48FF" w:rsidRPr="001537BA">
        <w:rPr>
          <w:rFonts w:cs="Arial"/>
        </w:rPr>
        <w:t xml:space="preserve">using intra-class coefficients (ICCs) on the responses of participants in the clinical stable sub-group at assessment 1 and 2 with an ICC ≥ 0.70 regarded as adequate </w:t>
      </w:r>
      <w:r w:rsidR="002E48FF" w:rsidRPr="001537BA">
        <w:rPr>
          <w:rFonts w:cs="Arial"/>
          <w:noProof/>
        </w:rPr>
        <w:t>[2</w:t>
      </w:r>
      <w:r w:rsidR="00372E5A" w:rsidRPr="001537BA">
        <w:rPr>
          <w:rFonts w:cs="Arial"/>
          <w:noProof/>
        </w:rPr>
        <w:t>0</w:t>
      </w:r>
      <w:r w:rsidR="002E48FF" w:rsidRPr="001537BA">
        <w:rPr>
          <w:rFonts w:cs="Arial"/>
          <w:noProof/>
        </w:rPr>
        <w:t>]</w:t>
      </w:r>
      <w:r w:rsidR="002E48FF" w:rsidRPr="001537BA">
        <w:rPr>
          <w:rFonts w:cs="Arial"/>
        </w:rPr>
        <w:t>.</w:t>
      </w:r>
    </w:p>
    <w:p w14:paraId="32729A57" w14:textId="56C0FB89" w:rsidR="002E48FF" w:rsidRPr="001537BA" w:rsidRDefault="002E48FF" w:rsidP="00D15E66">
      <w:pPr>
        <w:spacing w:line="360" w:lineRule="auto"/>
        <w:rPr>
          <w:rFonts w:cs="Arial"/>
        </w:rPr>
      </w:pPr>
      <w:r w:rsidRPr="001537BA">
        <w:rPr>
          <w:rFonts w:cs="Arial"/>
        </w:rPr>
        <w:t xml:space="preserve">Item-level convergent validity was defined as an item correlating highly with its own hypothesised scale, defined as a correlation of </w:t>
      </w:r>
      <w:r w:rsidRPr="001537BA">
        <w:rPr>
          <w:rFonts w:cs="Arial"/>
          <w:i/>
          <w:iCs/>
        </w:rPr>
        <w:t>r</w:t>
      </w:r>
      <w:r w:rsidRPr="001537BA">
        <w:rPr>
          <w:rFonts w:cs="Arial"/>
        </w:rPr>
        <w:t xml:space="preserve"> ≥ 0.40 (corrected for overlap) </w:t>
      </w:r>
      <w:r w:rsidRPr="001537BA">
        <w:rPr>
          <w:rFonts w:cs="Arial"/>
          <w:noProof/>
        </w:rPr>
        <w:t>[2</w:t>
      </w:r>
      <w:r w:rsidR="00372E5A" w:rsidRPr="001537BA">
        <w:rPr>
          <w:rFonts w:cs="Arial"/>
          <w:noProof/>
        </w:rPr>
        <w:t>0</w:t>
      </w:r>
      <w:r w:rsidRPr="001537BA">
        <w:rPr>
          <w:rFonts w:cs="Arial"/>
          <w:noProof/>
        </w:rPr>
        <w:t>]</w:t>
      </w:r>
      <w:r w:rsidRPr="001537BA">
        <w:rPr>
          <w:rFonts w:cs="Arial"/>
        </w:rPr>
        <w:t xml:space="preserve">. For discriminant validity, scaling successes were defined as correlations between an item and its hypothesized scale (corrected for overlap) higher than its correlation with other scales. </w:t>
      </w:r>
    </w:p>
    <w:p w14:paraId="7197CA21" w14:textId="302D10F1" w:rsidR="002E48FF" w:rsidRPr="001537BA" w:rsidRDefault="002E48FF" w:rsidP="00D15E66">
      <w:pPr>
        <w:spacing w:line="360" w:lineRule="auto"/>
        <w:rPr>
          <w:rFonts w:cs="Arial"/>
        </w:rPr>
      </w:pPr>
      <w:r w:rsidRPr="001537BA">
        <w:rPr>
          <w:rFonts w:cs="Arial"/>
        </w:rPr>
        <w:lastRenderedPageBreak/>
        <w:t>Pearson's product moment correlations between the QLQ-ANL27 and the QLQ-C30 were used to assess</w:t>
      </w:r>
      <w:r w:rsidR="00B83CBD" w:rsidRPr="001537BA">
        <w:rPr>
          <w:rFonts w:cs="Arial"/>
        </w:rPr>
        <w:t xml:space="preserve"> the extent to which </w:t>
      </w:r>
      <w:r w:rsidR="00E11F67" w:rsidRPr="001537BA">
        <w:rPr>
          <w:rFonts w:cs="Arial"/>
        </w:rPr>
        <w:t xml:space="preserve">their scales are measuring similar constructs. </w:t>
      </w:r>
      <w:r w:rsidRPr="001537BA">
        <w:rPr>
          <w:rFonts w:cs="Arial"/>
        </w:rPr>
        <w:t>Scales that are conceptually related should correlate substantially with one another (</w:t>
      </w:r>
      <w:r w:rsidRPr="001537BA">
        <w:rPr>
          <w:rFonts w:cs="Arial"/>
          <w:i/>
          <w:iCs/>
        </w:rPr>
        <w:t xml:space="preserve">r </w:t>
      </w:r>
      <w:r w:rsidRPr="001537BA">
        <w:rPr>
          <w:rFonts w:cs="Arial"/>
          <w:u w:val="single"/>
        </w:rPr>
        <w:t>&gt;</w:t>
      </w:r>
      <w:r w:rsidRPr="001537BA">
        <w:rPr>
          <w:rFonts w:cs="Arial"/>
        </w:rPr>
        <w:t xml:space="preserve">0.40) </w:t>
      </w:r>
      <w:r w:rsidRPr="001537BA">
        <w:rPr>
          <w:rFonts w:cs="Arial"/>
          <w:noProof/>
        </w:rPr>
        <w:t>[2</w:t>
      </w:r>
      <w:r w:rsidR="00372E5A" w:rsidRPr="001537BA">
        <w:rPr>
          <w:rFonts w:cs="Arial"/>
          <w:noProof/>
        </w:rPr>
        <w:t>0</w:t>
      </w:r>
      <w:r w:rsidRPr="001537BA">
        <w:rPr>
          <w:rFonts w:cs="Arial"/>
          <w:noProof/>
        </w:rPr>
        <w:t>]</w:t>
      </w:r>
      <w:r w:rsidRPr="001537BA">
        <w:rPr>
          <w:rFonts w:cs="Arial"/>
        </w:rPr>
        <w:t>. The QLQ-ANL27 bowel symptoms scale was hypothesised to be conceptually related to the QLQ-C30 constipation, diarrhoea, physical functioning, and social functioning scales. QLQ-ANL27 pain/discomfort was hypothesised to conceptually relate to the QLQ-C30 pain scale.</w:t>
      </w:r>
    </w:p>
    <w:p w14:paraId="67323B9D" w14:textId="702D0A81" w:rsidR="002E48FF" w:rsidRPr="001537BA" w:rsidRDefault="002E48FF" w:rsidP="00D15E66">
      <w:pPr>
        <w:spacing w:line="360" w:lineRule="auto"/>
        <w:rPr>
          <w:rFonts w:cstheme="minorHAnsi"/>
        </w:rPr>
      </w:pPr>
      <w:r w:rsidRPr="001537BA">
        <w:rPr>
          <w:rFonts w:cstheme="minorHAnsi"/>
        </w:rPr>
        <w:t>Known-group comparisons assessed the extent to which the EORTC QLQ-ANL27 differentiated between the following groups</w:t>
      </w:r>
      <w:r w:rsidRPr="001537BA">
        <w:rPr>
          <w:rFonts w:cstheme="minorHAnsi"/>
          <w:noProof/>
        </w:rPr>
        <w:t>:</w:t>
      </w:r>
      <w:r w:rsidRPr="001537BA">
        <w:rPr>
          <w:rFonts w:cstheme="minorHAnsi"/>
        </w:rPr>
        <w:t xml:space="preserve"> (1) Treatment group (acute</w:t>
      </w:r>
      <w:r w:rsidR="00800EEB" w:rsidRPr="001537BA">
        <w:rPr>
          <w:rFonts w:cstheme="minorHAnsi"/>
        </w:rPr>
        <w:t xml:space="preserve"> vs.</w:t>
      </w:r>
      <w:r w:rsidRPr="001537BA">
        <w:rPr>
          <w:rFonts w:cstheme="minorHAnsi"/>
        </w:rPr>
        <w:t xml:space="preserve"> early</w:t>
      </w:r>
      <w:r w:rsidR="00800EEB" w:rsidRPr="001537BA">
        <w:rPr>
          <w:rFonts w:cstheme="minorHAnsi"/>
        </w:rPr>
        <w:t xml:space="preserve"> vs.</w:t>
      </w:r>
      <w:r w:rsidR="00172086" w:rsidRPr="001537BA">
        <w:rPr>
          <w:rFonts w:cstheme="minorHAnsi"/>
        </w:rPr>
        <w:t xml:space="preserve"> </w:t>
      </w:r>
      <w:r w:rsidRPr="001537BA">
        <w:rPr>
          <w:rFonts w:cstheme="minorHAnsi"/>
        </w:rPr>
        <w:t xml:space="preserve">late); (2) Treatment status (on vs. off); (3) Disease recurrence (yes vs. no); (4) Site (localised vs. locoregional); (5) Radiotherapy schedule (3-D conformal vs. intensity modulated radiotherapy (IMRT)); (6) Stoma (yes vs. no). </w:t>
      </w:r>
      <w:r w:rsidRPr="001537BA">
        <w:t xml:space="preserve">The following cut-offs were used to interpret the magnitude of each effect size: small (0.20), moderate (0.50), and large (0.80) </w:t>
      </w:r>
      <w:r w:rsidRPr="001537BA">
        <w:rPr>
          <w:noProof/>
        </w:rPr>
        <w:t>[29]</w:t>
      </w:r>
      <w:r w:rsidRPr="001537BA">
        <w:t>. An analysis of variance was used to determine the statistical significance (</w:t>
      </w:r>
      <w:r w:rsidRPr="001537BA">
        <w:rPr>
          <w:i/>
          <w:iCs/>
        </w:rPr>
        <w:t>p</w:t>
      </w:r>
      <w:r w:rsidRPr="001537BA">
        <w:t xml:space="preserve"> ≤0.05) between groups. Analysis was performed only for classifications that included at least 20 participants in each category.  </w:t>
      </w:r>
    </w:p>
    <w:p w14:paraId="0D25D7F8" w14:textId="2BCB3917" w:rsidR="002E48FF" w:rsidRPr="001537BA" w:rsidRDefault="002E48FF" w:rsidP="00571CE0">
      <w:pPr>
        <w:spacing w:before="120" w:after="120" w:line="360" w:lineRule="auto"/>
      </w:pPr>
      <w:r w:rsidRPr="001537BA">
        <w:t xml:space="preserve">To assess sensitivity to change over time, the mean change scores from initial baseline to follow up timepoint were summarised and compared within groups using effects sizes </w:t>
      </w:r>
      <w:r w:rsidRPr="001537BA">
        <w:rPr>
          <w:noProof/>
        </w:rPr>
        <w:t>[</w:t>
      </w:r>
      <w:r w:rsidR="00372E5A" w:rsidRPr="001537BA">
        <w:rPr>
          <w:noProof/>
        </w:rPr>
        <w:t>29</w:t>
      </w:r>
      <w:r w:rsidRPr="001537BA">
        <w:rPr>
          <w:noProof/>
        </w:rPr>
        <w:t>]</w:t>
      </w:r>
      <w:r w:rsidRPr="001537BA">
        <w:t xml:space="preserve"> using the criteria for interpretation outlined above. </w:t>
      </w:r>
    </w:p>
    <w:p w14:paraId="7FDB0813" w14:textId="77777777" w:rsidR="002E48FF" w:rsidRPr="001537BA" w:rsidRDefault="002E48FF" w:rsidP="00D15E66">
      <w:pPr>
        <w:pStyle w:val="Heading1"/>
      </w:pPr>
      <w:r w:rsidRPr="001537BA">
        <w:t>Results</w:t>
      </w:r>
    </w:p>
    <w:p w14:paraId="10D1CFF2" w14:textId="77777777" w:rsidR="002E48FF" w:rsidRPr="001537BA" w:rsidRDefault="002E48FF" w:rsidP="00D15E66">
      <w:pPr>
        <w:pStyle w:val="Heading2"/>
      </w:pPr>
      <w:r w:rsidRPr="001537BA">
        <w:t>Participants</w:t>
      </w:r>
    </w:p>
    <w:p w14:paraId="5C2320F3" w14:textId="77777777" w:rsidR="002E48FF" w:rsidRPr="001537BA" w:rsidRDefault="002E48FF" w:rsidP="002573E4">
      <w:pPr>
        <w:spacing w:line="360" w:lineRule="auto"/>
      </w:pPr>
      <w:r w:rsidRPr="001537BA">
        <w:t xml:space="preserve"> A total of 387 participants were enrolled in the study over 35 months; 5 from Spain only completed one questionnaire at baseline (QLQ-C30 or QLQ-ANL27) and were not included in the analyses.</w:t>
      </w:r>
    </w:p>
    <w:p w14:paraId="4AB3E04B" w14:textId="4912E4B4" w:rsidR="002E48FF" w:rsidRPr="001537BA" w:rsidRDefault="002E48FF" w:rsidP="002573E4">
      <w:pPr>
        <w:spacing w:line="360" w:lineRule="auto"/>
      </w:pPr>
      <w:r w:rsidRPr="001537BA">
        <w:rPr>
          <w:rFonts w:cs="Calibri"/>
        </w:rPr>
        <w:t xml:space="preserve">The mean (standard deviation) age of participants was 63.9 (10.4) years with a range between 34-94 years. The sample included 273 (72%) females (reflecting population incidence </w:t>
      </w:r>
      <w:r w:rsidRPr="001537BA">
        <w:rPr>
          <w:rFonts w:cs="Calibri"/>
          <w:noProof/>
        </w:rPr>
        <w:t>[3</w:t>
      </w:r>
      <w:r w:rsidR="00372E5A" w:rsidRPr="001537BA">
        <w:rPr>
          <w:rFonts w:cs="Calibri"/>
          <w:noProof/>
        </w:rPr>
        <w:t>0</w:t>
      </w:r>
      <w:r w:rsidRPr="001537BA">
        <w:rPr>
          <w:rFonts w:cs="Calibri"/>
          <w:noProof/>
        </w:rPr>
        <w:t>]</w:t>
      </w:r>
      <w:r w:rsidRPr="001537BA">
        <w:rPr>
          <w:rFonts w:cs="Calibri"/>
        </w:rPr>
        <w:t xml:space="preserve">) and 109 (28%) males. There was a good distribution of participants recruited according to geographical region with 101 (26%) participants from Northern Europe, 126 (33%) from Western Europe, 86 (23%) from Southern Europe and 69 (18%) from outside of Europe (Supplementary Table 1). </w:t>
      </w:r>
    </w:p>
    <w:p w14:paraId="71B08B2A" w14:textId="47B109B8" w:rsidR="002E48FF" w:rsidRPr="001537BA" w:rsidRDefault="002E48FF" w:rsidP="00931580">
      <w:pPr>
        <w:autoSpaceDE w:val="0"/>
        <w:autoSpaceDN w:val="0"/>
        <w:adjustRightInd w:val="0"/>
        <w:spacing w:after="0" w:line="360" w:lineRule="auto"/>
        <w:rPr>
          <w:rFonts w:cs="Calibri"/>
        </w:rPr>
      </w:pPr>
      <w:r w:rsidRPr="001537BA">
        <w:rPr>
          <w:rFonts w:cs="Calibri"/>
        </w:rPr>
        <w:t>One hundred and thirty</w:t>
      </w:r>
      <w:r w:rsidRPr="001537BA">
        <w:t xml:space="preserve"> (34%) participants were in the acute treatment group, 65 of whom were currently on treatment, 70 (18%) were in the early, and 182 (48%) in the late treatment subgroup. Half of the participants (n=192) presented with localised disease, 135 (35%) had locoregional disease. At study entry, 15</w:t>
      </w:r>
      <w:r w:rsidRPr="001537BA">
        <w:rPr>
          <w:rFonts w:cs="Calibri"/>
        </w:rPr>
        <w:t xml:space="preserve"> participants presented with disease recurrence (8 localised and 7 locoregional). Only 34 (9%) participants had a stoma. Most participants, 297 (78%), received IMRT </w:t>
      </w:r>
      <w:r w:rsidRPr="001537BA">
        <w:rPr>
          <w:rFonts w:cstheme="minorHAnsi"/>
          <w:color w:val="000000" w:themeColor="text1"/>
        </w:rPr>
        <w:t xml:space="preserve">(2 received </w:t>
      </w:r>
      <w:r w:rsidRPr="001537BA">
        <w:rPr>
          <w:rFonts w:cstheme="minorHAnsi"/>
          <w:color w:val="000000" w:themeColor="text1"/>
          <w:shd w:val="clear" w:color="auto" w:fill="FFFFFF"/>
        </w:rPr>
        <w:t>Volumetric Arc Therapy</w:t>
      </w:r>
      <w:r w:rsidRPr="001537BA">
        <w:rPr>
          <w:rFonts w:cstheme="minorHAnsi"/>
          <w:color w:val="000000" w:themeColor="text1"/>
        </w:rPr>
        <w:t>),</w:t>
      </w:r>
      <w:r w:rsidRPr="001537BA">
        <w:rPr>
          <w:rFonts w:cs="Calibri"/>
          <w:color w:val="000000" w:themeColor="text1"/>
        </w:rPr>
        <w:t xml:space="preserve"> </w:t>
      </w:r>
      <w:r w:rsidRPr="001537BA">
        <w:rPr>
          <w:rFonts w:cs="Calibri"/>
        </w:rPr>
        <w:t xml:space="preserve">80 (21%) 3-D conformal radiotherapy. Nearly three quarters of </w:t>
      </w:r>
      <w:r w:rsidRPr="001537BA">
        <w:rPr>
          <w:rFonts w:cs="Calibri"/>
        </w:rPr>
        <w:lastRenderedPageBreak/>
        <w:t xml:space="preserve">the participants received either concomitant mitomycin c (MMC) and capecitabine (n=153, 40.0%) or MMC and </w:t>
      </w:r>
      <w:r w:rsidRPr="001537BA">
        <w:rPr>
          <w:rFonts w:cstheme="minorHAnsi"/>
          <w:color w:val="202124"/>
          <w:shd w:val="clear" w:color="auto" w:fill="FFFFFF"/>
        </w:rPr>
        <w:t>fluorouracil</w:t>
      </w:r>
      <w:r w:rsidRPr="001537BA">
        <w:rPr>
          <w:rFonts w:cs="Calibri"/>
        </w:rPr>
        <w:t xml:space="preserve"> (5-FU) (n=133, 35%). Over half of the participants (n=249, 65%) described their performance status as “Fully active”. At least one other health condition was reported by 258 (68%) participants. For a full overview of the clinical characteristics of the sample, see </w:t>
      </w:r>
      <w:r w:rsidR="004A1C9B" w:rsidRPr="001537BA">
        <w:rPr>
          <w:rFonts w:cs="Calibri"/>
        </w:rPr>
        <w:t xml:space="preserve">Supplementary </w:t>
      </w:r>
      <w:r w:rsidRPr="001537BA">
        <w:rPr>
          <w:rFonts w:cs="Calibri"/>
        </w:rPr>
        <w:t xml:space="preserve">Table </w:t>
      </w:r>
      <w:r w:rsidR="004A1C9B" w:rsidRPr="001537BA">
        <w:rPr>
          <w:rFonts w:cs="Calibri"/>
        </w:rPr>
        <w:t>2</w:t>
      </w:r>
      <w:r w:rsidRPr="001537BA">
        <w:rPr>
          <w:rFonts w:cs="Calibri"/>
        </w:rPr>
        <w:t>.</w:t>
      </w:r>
    </w:p>
    <w:p w14:paraId="1CD7B602" w14:textId="065BC8DF" w:rsidR="002E48FF" w:rsidRPr="001537BA" w:rsidRDefault="002E48FF" w:rsidP="000D7698">
      <w:pPr>
        <w:spacing w:before="120" w:after="120" w:line="360" w:lineRule="auto"/>
      </w:pPr>
      <w:r w:rsidRPr="001537BA">
        <w:t>Questionnaires were completed on two occasions by 131 (34%) participants; 84 were assigned to the test-retest population (</w:t>
      </w:r>
      <w:r w:rsidR="0027355C" w:rsidRPr="001537BA">
        <w:t>n=</w:t>
      </w:r>
      <w:r w:rsidRPr="001537BA">
        <w:t xml:space="preserve">16 on treatment and </w:t>
      </w:r>
      <w:r w:rsidR="0027355C" w:rsidRPr="001537BA">
        <w:t>n=</w:t>
      </w:r>
      <w:r w:rsidRPr="001537BA">
        <w:t xml:space="preserve">68 post-treatment) and 47 to the responsiveness to change sub-groups (n=34 deterioration, n=13 improvement). Given the small number of participants in the improvement group, analyses were not performed.  </w:t>
      </w:r>
    </w:p>
    <w:p w14:paraId="1A6E25FF" w14:textId="77777777" w:rsidR="002E48FF" w:rsidRPr="001537BA" w:rsidRDefault="002E48FF" w:rsidP="00D15E66">
      <w:pPr>
        <w:pStyle w:val="Heading2"/>
        <w:spacing w:line="360" w:lineRule="auto"/>
        <w:rPr>
          <w:rFonts w:ascii="Calibri" w:hAnsi="Calibri" w:cs="Calibri"/>
        </w:rPr>
      </w:pPr>
      <w:r w:rsidRPr="001537BA">
        <w:rPr>
          <w:rFonts w:ascii="Calibri" w:hAnsi="Calibri" w:cs="Calibri"/>
        </w:rPr>
        <w:t>Completion of the QLQ-ANL27</w:t>
      </w:r>
    </w:p>
    <w:p w14:paraId="0EB4751E" w14:textId="77777777" w:rsidR="002E48FF" w:rsidRPr="001537BA" w:rsidRDefault="002E48FF" w:rsidP="00D15E66">
      <w:pPr>
        <w:spacing w:line="360" w:lineRule="auto"/>
      </w:pPr>
      <w:r w:rsidRPr="001537BA">
        <w:t xml:space="preserve">It took participants a mean 8 (SD 5.8) minutes to complete the QLQ-ANL27; ranging between 1 and 40 minutes. Assistance to complete the QLQ-ANL27 was received by 52 (14%) participants; for 28 participants, the questions were read out by the researcher or family member, 20 asked for help with interpreting some of the questions, 3 asked for a family member’s opinion (e.g., to facilitate memory), and for one the nature of help was not specified.  The debriefing questionnaire was completed by 355 (93%) participants. </w:t>
      </w:r>
    </w:p>
    <w:p w14:paraId="3BFDAC55" w14:textId="77777777" w:rsidR="002E48FF" w:rsidRPr="001537BA" w:rsidRDefault="002E48FF" w:rsidP="008D41E5">
      <w:pPr>
        <w:pStyle w:val="Heading4"/>
      </w:pPr>
      <w:r w:rsidRPr="001537BA">
        <w:t>Comprehensibility</w:t>
      </w:r>
    </w:p>
    <w:p w14:paraId="0DC907B5" w14:textId="554F2797" w:rsidR="002E48FF" w:rsidRPr="001537BA" w:rsidRDefault="002E48FF" w:rsidP="00D15E66">
      <w:pPr>
        <w:spacing w:line="360" w:lineRule="auto"/>
      </w:pPr>
      <w:r w:rsidRPr="001537BA">
        <w:t xml:space="preserve">Clarification on the meaning of questions was requested by 14 participants; 6 queried the meaning of stoma. A total of 74 (19%) participants nominated at least one confusing question; for the majority of these (43), sex-related questions were regarded as most problematic, largely due to the perceived irrelevance of such questions. For participants who had just started treatment, a </w:t>
      </w:r>
      <w:r w:rsidR="00DB13AD" w:rsidRPr="001537BA">
        <w:t>“</w:t>
      </w:r>
      <w:r w:rsidRPr="001537BA">
        <w:t>not applicable</w:t>
      </w:r>
      <w:r w:rsidR="00DB13AD" w:rsidRPr="001537BA">
        <w:t>”</w:t>
      </w:r>
      <w:r w:rsidRPr="001537BA">
        <w:t xml:space="preserve"> response option was recommended for questions relating to soreness or skin problems around the treated area. Two participants with a stoma queried the relevance of some of the bowel symptom questions. Four participants struggled with the restrictions of the past week time frame due to their variability of symptoms. Five participants identified problematic questions which relied upon interpretations of words such as “often” and “frequently”. Finally, difficulties in assigning causality to anal cancer / treatment or another condition was described by seven participants.</w:t>
      </w:r>
    </w:p>
    <w:p w14:paraId="74396186" w14:textId="77777777" w:rsidR="002E48FF" w:rsidRPr="001537BA" w:rsidRDefault="002E48FF" w:rsidP="00B64A75">
      <w:pPr>
        <w:pStyle w:val="Heading4"/>
      </w:pPr>
      <w:r w:rsidRPr="001537BA">
        <w:t>Acceptability</w:t>
      </w:r>
    </w:p>
    <w:p w14:paraId="585F496A" w14:textId="77777777" w:rsidR="002E48FF" w:rsidRPr="001537BA" w:rsidRDefault="002E48FF" w:rsidP="00D15E66">
      <w:pPr>
        <w:spacing w:line="360" w:lineRule="auto"/>
      </w:pPr>
      <w:r w:rsidRPr="001537BA">
        <w:t xml:space="preserve">Seventeen (4%) participants (from nine countries) reported feeling upset by at least one of the questions with the sex questions largely responsible, mentioned by 12 (3%) participants as intrusive and a reminder of the effects of anal cancer and its treatment. Twenty-eight participants wrote about their positive experience of completing the QLQ-ANL27 and described it as “helpful” and </w:t>
      </w:r>
      <w:r w:rsidRPr="001537BA">
        <w:lastRenderedPageBreak/>
        <w:t>“relevant”; one participant wrote that it prompted her to talk about issues which she might not have been able to bring up herself.</w:t>
      </w:r>
    </w:p>
    <w:p w14:paraId="5A904B89" w14:textId="77777777" w:rsidR="002E48FF" w:rsidRPr="001537BA" w:rsidRDefault="002E48FF" w:rsidP="00B64A75">
      <w:pPr>
        <w:pStyle w:val="Heading4"/>
      </w:pPr>
      <w:r w:rsidRPr="001537BA">
        <w:t>Comprehensiveness</w:t>
      </w:r>
    </w:p>
    <w:p w14:paraId="6CAEB36A" w14:textId="77777777" w:rsidR="002E48FF" w:rsidRPr="001537BA" w:rsidRDefault="002E48FF" w:rsidP="00D15E66">
      <w:pPr>
        <w:spacing w:line="360" w:lineRule="auto"/>
      </w:pPr>
      <w:r w:rsidRPr="001537BA">
        <w:t>Sixty-six (17%) participants proposed the following areas of concern which were not covered by the questionnaires: psychological aspects of anal cancer, including body image and coping (18, 5% participants), information needs and provision (12, 3%), urinary function issues such as incontinence, and painful and night-time urination (7, 2%), problems around the pelvic region (6, 1.6%), and neuropathy (4, 1%). Seven (2%) participants recommended asking more detailed questions about bowel problems and sexual functioning given their significant impact on their lives.</w:t>
      </w:r>
    </w:p>
    <w:p w14:paraId="0525D1E3" w14:textId="77777777" w:rsidR="002E48FF" w:rsidRPr="001537BA" w:rsidRDefault="002E48FF" w:rsidP="00D15E66">
      <w:pPr>
        <w:pStyle w:val="Heading3"/>
      </w:pPr>
      <w:r w:rsidRPr="001537BA">
        <w:t>Missing data</w:t>
      </w:r>
    </w:p>
    <w:p w14:paraId="16F1A5FE" w14:textId="77777777" w:rsidR="002E48FF" w:rsidRPr="001537BA" w:rsidRDefault="002E48FF" w:rsidP="00D15E66">
      <w:pPr>
        <w:spacing w:line="360" w:lineRule="auto"/>
      </w:pPr>
      <w:r w:rsidRPr="001537BA">
        <w:t xml:space="preserve">Missing responses to individual QLQ-ANL27 items ranged from 1% to 20%. Items with 5% or higher missing data (calculated from the total number of participants eligible to answer the questions) at both timepoints included all sexual functioning (except for the sexual activity screening question) and stoma questions. Pain during intercourse had the highest percentage of missing responses across both timepoints (19% and 20%) followed by the female-specific sexual questions (ranging from 11% and 13% across the timepoints). </w:t>
      </w:r>
    </w:p>
    <w:p w14:paraId="4F79C169" w14:textId="77777777" w:rsidR="002E48FF" w:rsidRPr="001537BA" w:rsidRDefault="002E48FF" w:rsidP="00D15E66">
      <w:pPr>
        <w:pStyle w:val="Heading2"/>
      </w:pPr>
      <w:r w:rsidRPr="001537BA">
        <w:t>Changes to hypothesized scale structure</w:t>
      </w:r>
    </w:p>
    <w:p w14:paraId="0CFDC592" w14:textId="370392C8" w:rsidR="002E48FF" w:rsidRPr="001537BA" w:rsidRDefault="002E48FF" w:rsidP="00FE1142">
      <w:pPr>
        <w:spacing w:line="360" w:lineRule="auto"/>
      </w:pPr>
      <w:r w:rsidRPr="001537BA">
        <w:t xml:space="preserve">CFA tested a 3-factor model: bowel symptoms (non-stoma), pain/discomfort and either sexual functioning female or male. Two factors (bowel symptoms (stoma) and stoma care) were excluded from the originally planned model due to low sample size for stoma patients (n=34). The sample size for the male subgroup was small for CFA resulting in low power for this model (n=109). Both models did not fit the data well (chi-square &lt;0.0001, CFI &lt;0.95) (see Supplementary Table </w:t>
      </w:r>
      <w:r w:rsidR="004A1C9B" w:rsidRPr="001537BA">
        <w:t>3</w:t>
      </w:r>
      <w:r w:rsidRPr="001537BA">
        <w:t>). Other analyses (not reported) also suggested these sexual functioning multi-item scales were not performing well psychometrically and resulted in a revised scale structure with three single items item for interest in sex, sex life and pain during intercourse, one single item for males (erectile problems) and a 3-item scale for females (vaginal symptoms). From here on, the analyses reported relate to the psychometric properties for this revised scale structure.</w:t>
      </w:r>
    </w:p>
    <w:p w14:paraId="7E911F24" w14:textId="77777777" w:rsidR="002E48FF" w:rsidRPr="001537BA" w:rsidRDefault="002E48FF" w:rsidP="00F26E1E"/>
    <w:p w14:paraId="2064B59F" w14:textId="77777777" w:rsidR="002E48FF" w:rsidRPr="001537BA" w:rsidRDefault="002E48FF" w:rsidP="00D15E66">
      <w:pPr>
        <w:pStyle w:val="Heading2"/>
      </w:pPr>
      <w:r w:rsidRPr="001537BA">
        <w:t xml:space="preserve">Item distributions </w:t>
      </w:r>
    </w:p>
    <w:p w14:paraId="52984CE2" w14:textId="50E302E0" w:rsidR="002E48FF" w:rsidRPr="001537BA" w:rsidRDefault="002E48FF" w:rsidP="00D15E66">
      <w:pPr>
        <w:spacing w:line="360" w:lineRule="auto"/>
        <w:rPr>
          <w:rFonts w:cs="Calibri"/>
        </w:rPr>
      </w:pPr>
      <w:r w:rsidRPr="001537BA">
        <w:rPr>
          <w:rFonts w:cs="Calibri"/>
        </w:rPr>
        <w:t xml:space="preserve">All item response options were used (Supplementary material </w:t>
      </w:r>
      <w:r w:rsidR="0085146D" w:rsidRPr="001537BA">
        <w:rPr>
          <w:rFonts w:cs="Calibri"/>
        </w:rPr>
        <w:t>4</w:t>
      </w:r>
      <w:r w:rsidRPr="001537BA">
        <w:rPr>
          <w:rFonts w:cs="Calibri"/>
        </w:rPr>
        <w:t>). For all</w:t>
      </w:r>
      <w:r w:rsidRPr="001537BA">
        <w:t xml:space="preserve"> QLQ-ANL27 items, &gt;10% participants endorsed the </w:t>
      </w:r>
      <w:r w:rsidR="00DB13AD" w:rsidRPr="001537BA">
        <w:t>“</w:t>
      </w:r>
      <w:r w:rsidRPr="001537BA">
        <w:t>not at all</w:t>
      </w:r>
      <w:r w:rsidR="00DB13AD" w:rsidRPr="001537BA">
        <w:t>”</w:t>
      </w:r>
      <w:r w:rsidRPr="001537BA">
        <w:t xml:space="preserve"> or </w:t>
      </w:r>
      <w:r w:rsidR="008D682E" w:rsidRPr="001537BA">
        <w:t>“</w:t>
      </w:r>
      <w:r w:rsidRPr="001537BA">
        <w:t>very much</w:t>
      </w:r>
      <w:r w:rsidR="008D682E" w:rsidRPr="001537BA">
        <w:t>”</w:t>
      </w:r>
      <w:r w:rsidRPr="001537BA">
        <w:t xml:space="preserve"> response options at baseline. In terms of the sexual activity screening question, 71% of the population reported not being sexually active at study entry (73% at follow-up) and, at baseline, 41.9% participants reported that anal cancer and its treatment had affected their sex life </w:t>
      </w:r>
      <w:r w:rsidR="00A55FE8" w:rsidRPr="001537BA">
        <w:t>“</w:t>
      </w:r>
      <w:r w:rsidRPr="001537BA">
        <w:t>quite a bit</w:t>
      </w:r>
      <w:r w:rsidR="00A55FE8" w:rsidRPr="001537BA">
        <w:t>”</w:t>
      </w:r>
      <w:r w:rsidRPr="001537BA">
        <w:t xml:space="preserve"> or </w:t>
      </w:r>
      <w:r w:rsidR="00A55FE8" w:rsidRPr="001537BA">
        <w:t>“</w:t>
      </w:r>
      <w:r w:rsidRPr="001537BA">
        <w:t>very much</w:t>
      </w:r>
      <w:r w:rsidR="00A55FE8" w:rsidRPr="001537BA">
        <w:t>”</w:t>
      </w:r>
      <w:r w:rsidRPr="001537BA">
        <w:t xml:space="preserve"> while 39% of males reported </w:t>
      </w:r>
      <w:r w:rsidR="008D682E" w:rsidRPr="001537BA">
        <w:t>“</w:t>
      </w:r>
      <w:r w:rsidRPr="001537BA">
        <w:t xml:space="preserve">quite </w:t>
      </w:r>
      <w:r w:rsidRPr="001537BA">
        <w:lastRenderedPageBreak/>
        <w:t>a bit</w:t>
      </w:r>
      <w:r w:rsidR="008D682E" w:rsidRPr="001537BA">
        <w:t xml:space="preserve">” </w:t>
      </w:r>
      <w:r w:rsidRPr="001537BA">
        <w:t>/</w:t>
      </w:r>
      <w:r w:rsidR="008D682E" w:rsidRPr="001537BA">
        <w:t xml:space="preserve"> “</w:t>
      </w:r>
      <w:r w:rsidRPr="001537BA">
        <w:t>very much</w:t>
      </w:r>
      <w:r w:rsidR="008D682E" w:rsidRPr="001537BA">
        <w:t>”</w:t>
      </w:r>
      <w:r w:rsidRPr="001537BA">
        <w:t xml:space="preserve"> difficulty achieving or maintaining an erection. Bowel function issues relating to bowel urgency (45.4%) and frequency (36%) were endorsed as </w:t>
      </w:r>
      <w:r w:rsidR="008D682E" w:rsidRPr="001537BA">
        <w:t>“</w:t>
      </w:r>
      <w:r w:rsidRPr="001537BA">
        <w:t>quite a bit</w:t>
      </w:r>
      <w:r w:rsidR="008D682E" w:rsidRPr="001537BA">
        <w:t>”</w:t>
      </w:r>
      <w:r w:rsidRPr="001537BA">
        <w:t xml:space="preserve"> or </w:t>
      </w:r>
      <w:r w:rsidR="008D682E" w:rsidRPr="001537BA">
        <w:t>“</w:t>
      </w:r>
      <w:r w:rsidRPr="001537BA">
        <w:t>very much</w:t>
      </w:r>
      <w:r w:rsidR="008D682E" w:rsidRPr="001537BA">
        <w:t>”</w:t>
      </w:r>
      <w:r w:rsidRPr="001537BA">
        <w:t xml:space="preserve"> at the first assessment. </w:t>
      </w:r>
    </w:p>
    <w:p w14:paraId="37CA55D1" w14:textId="6FD1A277" w:rsidR="002E48FF" w:rsidRPr="001537BA" w:rsidRDefault="002E48FF" w:rsidP="00133374">
      <w:pPr>
        <w:spacing w:line="360" w:lineRule="auto"/>
      </w:pPr>
      <w:r w:rsidRPr="001537BA">
        <w:t xml:space="preserve">At follow-up, skewed responses towards the </w:t>
      </w:r>
      <w:r w:rsidR="008D682E" w:rsidRPr="001537BA">
        <w:t>“</w:t>
      </w:r>
      <w:r w:rsidRPr="001537BA">
        <w:t>not at all</w:t>
      </w:r>
      <w:r w:rsidR="008D682E" w:rsidRPr="001537BA">
        <w:t>”</w:t>
      </w:r>
      <w:r w:rsidRPr="001537BA">
        <w:t xml:space="preserve"> /</w:t>
      </w:r>
      <w:r w:rsidR="008D682E" w:rsidRPr="001537BA">
        <w:t xml:space="preserve"> “</w:t>
      </w:r>
      <w:r w:rsidRPr="001537BA">
        <w:t>a little</w:t>
      </w:r>
      <w:r w:rsidR="008D682E" w:rsidRPr="001537BA">
        <w:t>”</w:t>
      </w:r>
      <w:r w:rsidRPr="001537BA">
        <w:t xml:space="preserve"> options were identified for swelling in the legs or ankles (91.9%) and two of the stoma questions (92.3% for sore skin around stoma and leakage of stools).</w:t>
      </w:r>
    </w:p>
    <w:p w14:paraId="684AF2FD" w14:textId="77777777" w:rsidR="002E48FF" w:rsidRPr="001537BA" w:rsidRDefault="002E48FF" w:rsidP="00D15E66">
      <w:pPr>
        <w:pStyle w:val="Heading2"/>
      </w:pPr>
      <w:r w:rsidRPr="001537BA">
        <w:t>Scale structure</w:t>
      </w:r>
    </w:p>
    <w:p w14:paraId="1E58B95E" w14:textId="442346C2" w:rsidR="002E48FF" w:rsidRPr="001537BA" w:rsidRDefault="002E48FF" w:rsidP="00D15E66">
      <w:pPr>
        <w:spacing w:line="360" w:lineRule="auto"/>
      </w:pPr>
      <w:r w:rsidRPr="001537BA">
        <w:t xml:space="preserve">Item pair correlations </w:t>
      </w:r>
      <w:r w:rsidR="001F5424" w:rsidRPr="001537BA">
        <w:t xml:space="preserve">(Supplementary Table </w:t>
      </w:r>
      <w:r w:rsidR="00BD44D6" w:rsidRPr="001537BA">
        <w:t xml:space="preserve">5) </w:t>
      </w:r>
      <w:r w:rsidRPr="001537BA">
        <w:t>reached the threshold for concern (</w:t>
      </w:r>
      <w:r w:rsidRPr="001537BA">
        <w:rPr>
          <w:i/>
          <w:iCs/>
        </w:rPr>
        <w:t>r</w:t>
      </w:r>
      <w:r w:rsidRPr="001537BA">
        <w:rPr>
          <w:rFonts w:cstheme="minorHAnsi"/>
        </w:rPr>
        <w:t>≥</w:t>
      </w:r>
      <w:r w:rsidRPr="001537BA">
        <w:t xml:space="preserve">0.90) for only one pair (difficulty getting or maintaining an erection and unintentional release of gas/flatulence from stoma) which was only answered by 12 participants due to the conditional nature of the questions and missing responses. </w:t>
      </w:r>
    </w:p>
    <w:p w14:paraId="4CCBFC60" w14:textId="77777777" w:rsidR="002E48FF" w:rsidRPr="001537BA" w:rsidRDefault="002E48FF" w:rsidP="00D15E66">
      <w:pPr>
        <w:pStyle w:val="Heading2"/>
      </w:pPr>
      <w:bookmarkStart w:id="5" w:name="_Toc68618811"/>
      <w:r w:rsidRPr="001537BA">
        <w:t xml:space="preserve">Reliability </w:t>
      </w:r>
      <w:bookmarkEnd w:id="5"/>
    </w:p>
    <w:p w14:paraId="489DD5AD" w14:textId="16C3E68A" w:rsidR="002E48FF" w:rsidRPr="001537BA" w:rsidRDefault="00EE396F" w:rsidP="00D15E66">
      <w:pPr>
        <w:pStyle w:val="Heading3"/>
      </w:pPr>
      <w:r w:rsidRPr="001537BA">
        <w:t xml:space="preserve">Consistency in responses to items within scales - </w:t>
      </w:r>
      <w:r w:rsidR="002E48FF" w:rsidRPr="001537BA">
        <w:t>Internal reliability</w:t>
      </w:r>
    </w:p>
    <w:p w14:paraId="6A1B2FC7" w14:textId="60E17052" w:rsidR="002E48FF" w:rsidRPr="001537BA" w:rsidRDefault="002E48FF" w:rsidP="007D105E">
      <w:pPr>
        <w:spacing w:line="360" w:lineRule="auto"/>
      </w:pPr>
      <w:r w:rsidRPr="001537BA">
        <w:t>The Cronbach’s alpha for all multi-item scales, except for stoma care (0.65 at baseline), was acceptable (</w:t>
      </w:r>
      <w:r w:rsidRPr="001537BA">
        <w:rPr>
          <w:rFonts w:cs="Arial"/>
        </w:rPr>
        <w:t>ranging from 0.71 to 0.93)</w:t>
      </w:r>
      <w:r w:rsidRPr="001537BA">
        <w:t xml:space="preserve"> at both time points (Table </w:t>
      </w:r>
      <w:r w:rsidR="008E228B" w:rsidRPr="001537BA">
        <w:t>1</w:t>
      </w:r>
      <w:r w:rsidRPr="001537BA">
        <w:t xml:space="preserve">).  </w:t>
      </w:r>
    </w:p>
    <w:p w14:paraId="3004CEA5" w14:textId="744E8EE0" w:rsidR="002E48FF" w:rsidRPr="001537BA" w:rsidRDefault="00E7368B" w:rsidP="00D15E66">
      <w:pPr>
        <w:pStyle w:val="Heading3"/>
      </w:pPr>
      <w:bookmarkStart w:id="6" w:name="_Toc68618813"/>
      <w:r w:rsidRPr="001537BA">
        <w:t xml:space="preserve">Consistency in responses to items over time - </w:t>
      </w:r>
      <w:r w:rsidR="002E48FF" w:rsidRPr="001537BA">
        <w:t>Test-retest reliability</w:t>
      </w:r>
      <w:bookmarkEnd w:id="6"/>
    </w:p>
    <w:p w14:paraId="43785241" w14:textId="2A441DFD" w:rsidR="002E48FF" w:rsidRPr="001537BA" w:rsidRDefault="0073025E" w:rsidP="001452C5">
      <w:pPr>
        <w:spacing w:line="360" w:lineRule="auto"/>
      </w:pPr>
      <w:r w:rsidRPr="001537BA">
        <w:t xml:space="preserve">For most </w:t>
      </w:r>
      <w:r w:rsidR="00A22116" w:rsidRPr="001537BA">
        <w:t xml:space="preserve">items and scales, </w:t>
      </w:r>
      <w:r w:rsidR="00A41212" w:rsidRPr="001537BA">
        <w:t>there was acceptable consistency in responses over time with t</w:t>
      </w:r>
      <w:r w:rsidR="002E48FF" w:rsidRPr="001537BA">
        <w:t>he ICCs above</w:t>
      </w:r>
      <w:r w:rsidR="00A41212" w:rsidRPr="001537BA">
        <w:t xml:space="preserve"> the threshold of</w:t>
      </w:r>
      <w:r w:rsidR="002E48FF" w:rsidRPr="001537BA">
        <w:t xml:space="preserve"> 0.7 for all scales except for stoma care (0.59) and all single items except for keeping clean (0.68) and proximity to toilet (0.69) (Table </w:t>
      </w:r>
      <w:r w:rsidR="008E228B" w:rsidRPr="001537BA">
        <w:t>2</w:t>
      </w:r>
      <w:r w:rsidR="002E48FF" w:rsidRPr="001537BA">
        <w:t>). Paired mean differences were generally small, ranging from 0 to 4.76 points</w:t>
      </w:r>
      <w:r w:rsidR="00F97C49" w:rsidRPr="001537BA">
        <w:t xml:space="preserve"> (stoma care)</w:t>
      </w:r>
      <w:r w:rsidR="002E48FF" w:rsidRPr="001537BA">
        <w:t>.</w:t>
      </w:r>
    </w:p>
    <w:p w14:paraId="79F857EF" w14:textId="77777777" w:rsidR="002E48FF" w:rsidRPr="001537BA" w:rsidRDefault="002E48FF" w:rsidP="00D15E66">
      <w:pPr>
        <w:pStyle w:val="Heading2"/>
      </w:pPr>
      <w:r w:rsidRPr="001537BA">
        <w:t>Validity</w:t>
      </w:r>
    </w:p>
    <w:p w14:paraId="4752613D" w14:textId="5D23937F" w:rsidR="002E48FF" w:rsidRPr="001537BA" w:rsidRDefault="002E48FF" w:rsidP="00D15E66">
      <w:pPr>
        <w:pStyle w:val="Heading3"/>
      </w:pPr>
      <w:r w:rsidRPr="001537BA">
        <w:t>Con</w:t>
      </w:r>
      <w:r w:rsidR="009F2C03" w:rsidRPr="001537BA">
        <w:t xml:space="preserve">vergent </w:t>
      </w:r>
      <w:r w:rsidR="00CD3132" w:rsidRPr="001537BA">
        <w:t>and divergent validity</w:t>
      </w:r>
    </w:p>
    <w:p w14:paraId="3E692CEA" w14:textId="0EB0C635" w:rsidR="002E48FF" w:rsidRPr="001537BA" w:rsidRDefault="002E48FF" w:rsidP="007D105E">
      <w:pPr>
        <w:spacing w:line="360" w:lineRule="auto"/>
      </w:pPr>
      <w:r w:rsidRPr="001537BA">
        <w:t xml:space="preserve">All items, except for </w:t>
      </w:r>
      <w:r w:rsidRPr="001537BA">
        <w:rPr>
          <w:rFonts w:ascii="Calibri" w:hAnsi="Calibri" w:cs="Calibri"/>
          <w:color w:val="000000"/>
        </w:rPr>
        <w:t>unintentional release of gas/flatulence from the stoma bag, correlated higher with its own scale</w:t>
      </w:r>
      <w:r w:rsidR="0094389B" w:rsidRPr="001537BA">
        <w:rPr>
          <w:rFonts w:ascii="Calibri" w:hAnsi="Calibri" w:cs="Calibri"/>
          <w:color w:val="000000"/>
        </w:rPr>
        <w:t xml:space="preserve"> items</w:t>
      </w:r>
      <w:r w:rsidRPr="001537BA">
        <w:rPr>
          <w:rFonts w:ascii="Calibri" w:hAnsi="Calibri" w:cs="Calibri"/>
          <w:color w:val="000000"/>
        </w:rPr>
        <w:t xml:space="preserve"> compared with</w:t>
      </w:r>
      <w:r w:rsidR="0094389B" w:rsidRPr="001537BA">
        <w:rPr>
          <w:rFonts w:ascii="Calibri" w:hAnsi="Calibri" w:cs="Calibri"/>
          <w:color w:val="000000"/>
        </w:rPr>
        <w:t xml:space="preserve"> items from</w:t>
      </w:r>
      <w:r w:rsidRPr="001537BA">
        <w:rPr>
          <w:rFonts w:ascii="Calibri" w:hAnsi="Calibri" w:cs="Calibri"/>
          <w:color w:val="000000"/>
        </w:rPr>
        <w:t xml:space="preserve"> other scales</w:t>
      </w:r>
      <w:r w:rsidR="0094389B" w:rsidRPr="001537BA">
        <w:rPr>
          <w:rFonts w:ascii="Calibri" w:hAnsi="Calibri" w:cs="Calibri"/>
          <w:color w:val="000000"/>
        </w:rPr>
        <w:t xml:space="preserve"> </w:t>
      </w:r>
      <w:r w:rsidR="0094389B" w:rsidRPr="001537BA">
        <w:t>(Table 3)</w:t>
      </w:r>
      <w:r w:rsidRPr="001537BA">
        <w:rPr>
          <w:rFonts w:ascii="Calibri" w:hAnsi="Calibri" w:cs="Calibri"/>
          <w:color w:val="000000"/>
        </w:rPr>
        <w:t xml:space="preserve">. </w:t>
      </w:r>
    </w:p>
    <w:p w14:paraId="63ECD8FC" w14:textId="5F68DBBB" w:rsidR="002E48FF" w:rsidRPr="001537BA" w:rsidRDefault="002E48FF" w:rsidP="007D105E">
      <w:pPr>
        <w:spacing w:line="360" w:lineRule="auto"/>
      </w:pPr>
      <w:r w:rsidRPr="001537BA">
        <w:t xml:space="preserve">The anticipated scale correlations between the QLQ-C30 and QLQ-ANL27 were broadly met for the bowel symptoms (non-stoma) and pain/discomfort scales (see Table </w:t>
      </w:r>
      <w:r w:rsidR="008E228B" w:rsidRPr="001537BA">
        <w:t>4</w:t>
      </w:r>
      <w:r w:rsidRPr="001537BA">
        <w:t>). The correlation between bowel symptoms (non-stoma) and QLQ-C30 constipation was lower than anticipated (0.21) and borderline for QLQ-C30 physical functioning (0.36). Pain/discomfort scales correlated (0.70) with the QLQ-C30 pain scale.  The bowel symptoms (stoma) scale did not correlate with any of its hypothesized scales.</w:t>
      </w:r>
    </w:p>
    <w:p w14:paraId="104D1C6F" w14:textId="77777777" w:rsidR="002E48FF" w:rsidRPr="001537BA" w:rsidRDefault="002E48FF" w:rsidP="00D15E66">
      <w:pPr>
        <w:pStyle w:val="Heading3"/>
      </w:pPr>
      <w:r w:rsidRPr="001537BA">
        <w:t>Known group comparisons</w:t>
      </w:r>
    </w:p>
    <w:p w14:paraId="79487C7A" w14:textId="553456F8" w:rsidR="002E48FF" w:rsidRPr="001537BA" w:rsidRDefault="002E48FF" w:rsidP="00D15E66">
      <w:pPr>
        <w:spacing w:line="360" w:lineRule="auto"/>
      </w:pPr>
      <w:r w:rsidRPr="001537BA">
        <w:t xml:space="preserve">Most scales could distinguish across treatment phases well, particularly pain/discomfort and vaginal symptoms with large and moderate effect sizes respectively (see Table </w:t>
      </w:r>
      <w:r w:rsidR="008E228B" w:rsidRPr="001537BA">
        <w:t>5</w:t>
      </w:r>
      <w:r w:rsidRPr="001537BA">
        <w:t xml:space="preserve">). All scales, except vaginal </w:t>
      </w:r>
      <w:r w:rsidRPr="001537BA">
        <w:lastRenderedPageBreak/>
        <w:t>symptoms had small to moderate effect sizes for performance status. Vaginal symptoms distinguished between radiotherapy type with a small effect size (0.2</w:t>
      </w:r>
      <w:r w:rsidR="0087023D" w:rsidRPr="001537BA">
        <w:t>0</w:t>
      </w:r>
      <w:r w:rsidRPr="001537BA">
        <w:t>). The pain/discomfort scale also distinguished between patients according to whether they were on treatment with a small effect size (0.2</w:t>
      </w:r>
      <w:r w:rsidR="0087023D" w:rsidRPr="001537BA">
        <w:t>0</w:t>
      </w:r>
      <w:r w:rsidRPr="001537BA">
        <w:t>). None of the scales could distinguish participants according to cancer stage (localised vs locoregional).</w:t>
      </w:r>
    </w:p>
    <w:p w14:paraId="6CDC5053" w14:textId="2CB329EE" w:rsidR="002E48FF" w:rsidRPr="001537BA" w:rsidRDefault="002E48FF" w:rsidP="00D15E66">
      <w:pPr>
        <w:pStyle w:val="Heading3"/>
      </w:pPr>
      <w:r w:rsidRPr="001537BA">
        <w:t xml:space="preserve">Responsiveness to change </w:t>
      </w:r>
    </w:p>
    <w:p w14:paraId="5B0271AB" w14:textId="36B6B890" w:rsidR="002E48FF" w:rsidRPr="001537BA" w:rsidRDefault="002E48FF" w:rsidP="00E87A21">
      <w:pPr>
        <w:spacing w:line="360" w:lineRule="auto"/>
      </w:pPr>
      <w:r w:rsidRPr="001537BA">
        <w:t xml:space="preserve">A large deterioration over time </w:t>
      </w:r>
      <w:r w:rsidR="00A3498E" w:rsidRPr="001537BA">
        <w:t xml:space="preserve">(from the beginning to the end of </w:t>
      </w:r>
      <w:r w:rsidR="000B5B7F" w:rsidRPr="001537BA">
        <w:t xml:space="preserve">treatment) </w:t>
      </w:r>
      <w:r w:rsidRPr="001537BA">
        <w:t xml:space="preserve">was observed for pain/discomfort (mean difference -34.9, </w:t>
      </w:r>
      <w:r w:rsidRPr="001537BA">
        <w:rPr>
          <w:i/>
          <w:iCs/>
        </w:rPr>
        <w:t>p</w:t>
      </w:r>
      <w:r w:rsidRPr="001537BA">
        <w:t xml:space="preserve">&lt;0.0001, effect size -1.3) and vaginal symptom scales (mean difference -31.7, </w:t>
      </w:r>
      <w:r w:rsidRPr="001537BA">
        <w:rPr>
          <w:i/>
          <w:iCs/>
        </w:rPr>
        <w:t>p</w:t>
      </w:r>
      <w:r w:rsidRPr="001537BA">
        <w:t xml:space="preserve">=0.001, effect size 0.9). For the bowel (non-stoma) scale, a moderate effect size (-0.7) was observed (mean difference -17.9, </w:t>
      </w:r>
      <w:r w:rsidRPr="001537BA">
        <w:rPr>
          <w:i/>
          <w:iCs/>
        </w:rPr>
        <w:t>p</w:t>
      </w:r>
      <w:r w:rsidRPr="001537BA">
        <w:t xml:space="preserve">=0.001) (Table </w:t>
      </w:r>
      <w:r w:rsidR="008E228B" w:rsidRPr="001537BA">
        <w:t>6</w:t>
      </w:r>
      <w:r w:rsidRPr="001537BA">
        <w:t xml:space="preserve">). </w:t>
      </w:r>
    </w:p>
    <w:p w14:paraId="07CF8E28" w14:textId="77777777" w:rsidR="002E48FF" w:rsidRPr="001537BA" w:rsidRDefault="002E48FF" w:rsidP="00D15E66">
      <w:pPr>
        <w:pStyle w:val="Heading1"/>
      </w:pPr>
      <w:r w:rsidRPr="001537BA">
        <w:t>Discussion</w:t>
      </w:r>
    </w:p>
    <w:p w14:paraId="408D50A0" w14:textId="77777777" w:rsidR="002E48FF" w:rsidRPr="001537BA" w:rsidRDefault="002E48FF" w:rsidP="00D15E66">
      <w:pPr>
        <w:spacing w:line="360" w:lineRule="auto"/>
        <w:rPr>
          <w:rFonts w:cs="Arial"/>
        </w:rPr>
      </w:pPr>
      <w:r w:rsidRPr="001537BA">
        <w:rPr>
          <w:rFonts w:cs="Arial"/>
        </w:rPr>
        <w:t xml:space="preserve">This international field study has tested the psychometric properties and acceptability of different language versions of the first ever anal cancer specific </w:t>
      </w:r>
      <w:proofErr w:type="spellStart"/>
      <w:r w:rsidRPr="001537BA">
        <w:rPr>
          <w:rFonts w:cs="Arial"/>
        </w:rPr>
        <w:t>HRQoL</w:t>
      </w:r>
      <w:proofErr w:type="spellEnd"/>
      <w:r w:rsidRPr="001537BA">
        <w:rPr>
          <w:rFonts w:cs="Arial"/>
        </w:rPr>
        <w:t xml:space="preserve"> questionnaire. The QLQ-ANL27 was feasible; most participants completed the questionnaire independently. </w:t>
      </w:r>
    </w:p>
    <w:p w14:paraId="085AD788" w14:textId="064AE1C1" w:rsidR="002E48FF" w:rsidRPr="001537BA" w:rsidRDefault="002E48FF" w:rsidP="00023CC2">
      <w:pPr>
        <w:spacing w:line="360" w:lineRule="auto"/>
      </w:pPr>
      <w:r w:rsidRPr="001537BA">
        <w:rPr>
          <w:rFonts w:cs="Arial"/>
        </w:rPr>
        <w:t xml:space="preserve">The results from the psychometric testing were </w:t>
      </w:r>
      <w:proofErr w:type="spellStart"/>
      <w:r w:rsidRPr="001537BA">
        <w:rPr>
          <w:rFonts w:cs="Arial"/>
        </w:rPr>
        <w:t>favorable</w:t>
      </w:r>
      <w:proofErr w:type="spellEnd"/>
      <w:r w:rsidRPr="001537BA">
        <w:rPr>
          <w:rFonts w:cs="Arial"/>
        </w:rPr>
        <w:t xml:space="preserve"> in terms of supporting the items included in the QLQ-ANL27 and provided evidence for acceptable reliability and validity for most scales. </w:t>
      </w:r>
      <w:r w:rsidRPr="001537BA">
        <w:t xml:space="preserve">The full range of response options was used for the questions and the </w:t>
      </w:r>
      <w:proofErr w:type="spellStart"/>
      <w:r w:rsidRPr="001537BA">
        <w:t>HRQoL</w:t>
      </w:r>
      <w:proofErr w:type="spellEnd"/>
      <w:r w:rsidRPr="001537BA">
        <w:t xml:space="preserve"> concerns assessed were relevant across the different disease and treatment phases covered in this study. Consistent with reviews on </w:t>
      </w:r>
      <w:proofErr w:type="spellStart"/>
      <w:r w:rsidRPr="001537BA">
        <w:t>HRQoL</w:t>
      </w:r>
      <w:proofErr w:type="spellEnd"/>
      <w:r w:rsidRPr="001537BA">
        <w:t xml:space="preserve"> issues of people with anal cancer </w:t>
      </w:r>
      <w:r w:rsidRPr="001537BA">
        <w:rPr>
          <w:noProof/>
        </w:rPr>
        <w:t>[4, 3</w:t>
      </w:r>
      <w:r w:rsidR="001E34FA" w:rsidRPr="001537BA">
        <w:rPr>
          <w:noProof/>
        </w:rPr>
        <w:t>1</w:t>
      </w:r>
      <w:r w:rsidRPr="001537BA">
        <w:rPr>
          <w:noProof/>
        </w:rPr>
        <w:t>]</w:t>
      </w:r>
      <w:r w:rsidRPr="001537BA">
        <w:t xml:space="preserve">, bowel </w:t>
      </w:r>
      <w:r w:rsidR="00DA49F6" w:rsidRPr="001537BA">
        <w:t>(in particular</w:t>
      </w:r>
      <w:r w:rsidR="00F63CA9" w:rsidRPr="001537BA">
        <w:t>,</w:t>
      </w:r>
      <w:r w:rsidR="00DA49F6" w:rsidRPr="001537BA">
        <w:t xml:space="preserve"> urgency) </w:t>
      </w:r>
      <w:r w:rsidRPr="001537BA">
        <w:t>and sex-related problems were the most prominent across all treatment groups.</w:t>
      </w:r>
      <w:r w:rsidRPr="001537BA">
        <w:rPr>
          <w:rFonts w:cs="Arial"/>
        </w:rPr>
        <w:t xml:space="preserve"> Due to the low number of participants with a stoma, reflective of the treatment of this patient group </w:t>
      </w:r>
      <w:r w:rsidRPr="001537BA">
        <w:rPr>
          <w:rFonts w:cstheme="minorHAnsi"/>
          <w:noProof/>
          <w:color w:val="000000"/>
        </w:rPr>
        <w:t>[1]</w:t>
      </w:r>
      <w:r w:rsidRPr="001537BA">
        <w:rPr>
          <w:rFonts w:cs="Arial"/>
        </w:rPr>
        <w:t xml:space="preserve">, two </w:t>
      </w:r>
      <w:r w:rsidRPr="001537BA">
        <w:t xml:space="preserve">scales applicable only to stoma patients (bowel symptoms and stoma care) remain largely untested. However, these items were taken from the EORTC QLG colorectal questionnaire (QLQ-CR29) </w:t>
      </w:r>
      <w:r w:rsidRPr="001537BA">
        <w:rPr>
          <w:noProof/>
        </w:rPr>
        <w:t>[17]</w:t>
      </w:r>
      <w:r w:rsidRPr="001537BA">
        <w:t xml:space="preserve"> and have been fully validated in the colorectal cancer context. Psychometric testing supported the structure of the bowel symptoms (non-stoma) scale as well as a single pain/discomfort scale. However, problems with the sexual functioning items were highlighted. A modified scale structure was proposed with the sexual functioning scales split into three single items applicable to all patients (sex life, interest in sex and pain during intercourse), a single item (erectile problems) for men and a three-item vaginal symptoms scale for females which demonstrated </w:t>
      </w:r>
      <w:proofErr w:type="spellStart"/>
      <w:r w:rsidRPr="001537BA">
        <w:t>favorable</w:t>
      </w:r>
      <w:proofErr w:type="spellEnd"/>
      <w:r w:rsidRPr="001537BA">
        <w:t xml:space="preserve"> psychometric properties. Participant feedback revealed that where upsetting questions were identified, the sex questions were largely responsible</w:t>
      </w:r>
      <w:r w:rsidR="00F05272" w:rsidRPr="001537BA">
        <w:t>;</w:t>
      </w:r>
      <w:r w:rsidRPr="001537BA">
        <w:t xml:space="preserve"> however given the widespread and potentially long-lasting impact of anal cancer and its treatment on sexual functioning it is considered important to retain these items </w:t>
      </w:r>
      <w:r w:rsidRPr="001537BA">
        <w:rPr>
          <w:noProof/>
        </w:rPr>
        <w:t>[4, 8, 12, 14, 3</w:t>
      </w:r>
      <w:r w:rsidR="001E34FA" w:rsidRPr="001537BA">
        <w:rPr>
          <w:noProof/>
        </w:rPr>
        <w:t>2</w:t>
      </w:r>
      <w:r w:rsidRPr="001537BA">
        <w:rPr>
          <w:noProof/>
        </w:rPr>
        <w:t>]</w:t>
      </w:r>
      <w:r w:rsidRPr="001537BA">
        <w:rPr>
          <w:rFonts w:cs="Arial"/>
        </w:rPr>
        <w:t xml:space="preserve">.  </w:t>
      </w:r>
      <w:r w:rsidRPr="001537BA">
        <w:t xml:space="preserve">It also follows that problems in this area will not be addressed if they are not asked.  </w:t>
      </w:r>
    </w:p>
    <w:p w14:paraId="200B21DF" w14:textId="77777777" w:rsidR="002E48FF" w:rsidRPr="001537BA" w:rsidRDefault="002E48FF" w:rsidP="00547338">
      <w:pPr>
        <w:spacing w:line="360" w:lineRule="auto"/>
      </w:pPr>
      <w:r w:rsidRPr="001537BA">
        <w:lastRenderedPageBreak/>
        <w:t xml:space="preserve">To address the issue of missing responses for the sex questions and avoid confusion as to why certain questions are asked even when sexual activity is absent, we have revised the question order of the general (not gender-specific) sex questions to start by asking respondents to rate the degree to which sexual activity has been affected by anal cancer and its treatment, followed by the extent to which they are interested in sex. The sexual activity screening question is then asked and serves as a conditional question for the painful intercourse item which now includes a not applicable option.  </w:t>
      </w:r>
    </w:p>
    <w:p w14:paraId="661F3AF5" w14:textId="77777777" w:rsidR="002E48FF" w:rsidRPr="001537BA" w:rsidRDefault="002E48FF" w:rsidP="00547338">
      <w:pPr>
        <w:spacing w:line="360" w:lineRule="auto"/>
        <w:rPr>
          <w:rFonts w:cstheme="minorHAnsi"/>
        </w:rPr>
      </w:pPr>
      <w:r w:rsidRPr="001537BA">
        <w:rPr>
          <w:rFonts w:cs="Arial"/>
        </w:rPr>
        <w:t xml:space="preserve">There was also confusion around the meaning of the word stoma and navigation to the appropriate sub-section of the questionnaire according to stoma status. These conditional questions also had a high number of missing responses. </w:t>
      </w:r>
      <w:r w:rsidRPr="001537BA">
        <w:t>To address these problems, a screening question is now included which uses</w:t>
      </w:r>
      <w:r w:rsidRPr="001537BA">
        <w:rPr>
          <w:rFonts w:cstheme="minorHAnsi"/>
        </w:rPr>
        <w:t xml:space="preserve"> the validated wording of the QLQ-CR29.</w:t>
      </w:r>
    </w:p>
    <w:p w14:paraId="5725A5C4" w14:textId="44E3E81F" w:rsidR="002E48FF" w:rsidRPr="001537BA" w:rsidRDefault="002E48FF" w:rsidP="00D15E66">
      <w:pPr>
        <w:spacing w:line="360" w:lineRule="auto"/>
        <w:rPr>
          <w:color w:val="000000"/>
        </w:rPr>
      </w:pPr>
      <w:r w:rsidRPr="001537BA">
        <w:rPr>
          <w:rFonts w:cs="Arial"/>
        </w:rPr>
        <w:t xml:space="preserve">In terms of omissions, participants identified areas of concern such as the psychological impact of anal cancer which, although widely reported in previous research </w:t>
      </w:r>
      <w:r w:rsidRPr="001537BA">
        <w:rPr>
          <w:rFonts w:cs="Arial"/>
          <w:noProof/>
        </w:rPr>
        <w:t>[3</w:t>
      </w:r>
      <w:r w:rsidR="001E34FA" w:rsidRPr="001537BA">
        <w:rPr>
          <w:rFonts w:cs="Arial"/>
          <w:noProof/>
        </w:rPr>
        <w:t>3</w:t>
      </w:r>
      <w:r w:rsidRPr="001537BA">
        <w:rPr>
          <w:rFonts w:cs="Arial"/>
          <w:noProof/>
        </w:rPr>
        <w:t>, 3</w:t>
      </w:r>
      <w:r w:rsidR="001E34FA" w:rsidRPr="001537BA">
        <w:rPr>
          <w:rFonts w:cs="Arial"/>
          <w:noProof/>
        </w:rPr>
        <w:t>4</w:t>
      </w:r>
      <w:r w:rsidRPr="001537BA">
        <w:rPr>
          <w:rFonts w:cs="Arial"/>
          <w:noProof/>
        </w:rPr>
        <w:t>]</w:t>
      </w:r>
      <w:r w:rsidRPr="001537BA">
        <w:rPr>
          <w:rFonts w:cs="Arial"/>
        </w:rPr>
        <w:t>, are not specific to anal cancer. Three other areas of concern were also identified as not addressed by 1-2% of the sample</w:t>
      </w:r>
      <w:r w:rsidR="001A0B76" w:rsidRPr="001537BA">
        <w:rPr>
          <w:rFonts w:cs="Arial"/>
        </w:rPr>
        <w:t>.</w:t>
      </w:r>
      <w:r w:rsidRPr="001537BA">
        <w:rPr>
          <w:rFonts w:cs="Arial"/>
        </w:rPr>
        <w:t xml:space="preserve"> </w:t>
      </w:r>
      <w:r w:rsidR="001A0B76" w:rsidRPr="001537BA">
        <w:rPr>
          <w:rFonts w:cs="Arial"/>
        </w:rPr>
        <w:t xml:space="preserve"> First</w:t>
      </w:r>
      <w:r w:rsidR="00E423DD" w:rsidRPr="001537BA">
        <w:rPr>
          <w:rFonts w:cs="Arial"/>
        </w:rPr>
        <w:t xml:space="preserve">, </w:t>
      </w:r>
      <w:r w:rsidRPr="001537BA">
        <w:rPr>
          <w:rFonts w:cs="Arial"/>
        </w:rPr>
        <w:t>pain in the pelvic region which could be argued as non-specific in terms of its origin as well as being already covered by the pain or discomfort questions</w:t>
      </w:r>
      <w:r w:rsidR="00E423DD" w:rsidRPr="001537BA">
        <w:rPr>
          <w:rFonts w:cs="Arial"/>
        </w:rPr>
        <w:t>. Second,</w:t>
      </w:r>
      <w:r w:rsidRPr="001537BA">
        <w:rPr>
          <w:rFonts w:cs="Arial"/>
        </w:rPr>
        <w:t xml:space="preserve"> n</w:t>
      </w:r>
      <w:r w:rsidRPr="001537BA">
        <w:rPr>
          <w:color w:val="000000"/>
        </w:rPr>
        <w:t xml:space="preserve">europathy which although is recognised as a chemotherapy-related toxicity </w:t>
      </w:r>
      <w:r w:rsidRPr="001537BA">
        <w:rPr>
          <w:noProof/>
          <w:color w:val="000000"/>
        </w:rPr>
        <w:t>[3</w:t>
      </w:r>
      <w:r w:rsidR="001E34FA" w:rsidRPr="001537BA">
        <w:rPr>
          <w:noProof/>
          <w:color w:val="000000"/>
        </w:rPr>
        <w:t>5</w:t>
      </w:r>
      <w:r w:rsidRPr="001537BA">
        <w:rPr>
          <w:noProof/>
          <w:color w:val="000000"/>
        </w:rPr>
        <w:t>]</w:t>
      </w:r>
      <w:r w:rsidRPr="001537BA">
        <w:rPr>
          <w:color w:val="000000"/>
        </w:rPr>
        <w:t xml:space="preserve"> and can be radiation induced </w:t>
      </w:r>
      <w:r w:rsidRPr="001537BA">
        <w:rPr>
          <w:noProof/>
          <w:color w:val="000000"/>
        </w:rPr>
        <w:t>[3</w:t>
      </w:r>
      <w:r w:rsidR="001E34FA" w:rsidRPr="001537BA">
        <w:rPr>
          <w:noProof/>
          <w:color w:val="000000"/>
        </w:rPr>
        <w:t>6</w:t>
      </w:r>
      <w:r w:rsidRPr="001537BA">
        <w:rPr>
          <w:noProof/>
          <w:color w:val="000000"/>
        </w:rPr>
        <w:t>]</w:t>
      </w:r>
      <w:r w:rsidRPr="001537BA">
        <w:rPr>
          <w:color w:val="000000"/>
        </w:rPr>
        <w:t xml:space="preserve">, is not commonly observed in this patient group. Finally, urinary issues such as incontinence, painful, or night-time urination were mentioned as missing. These were previously reported in the literature </w:t>
      </w:r>
      <w:r w:rsidRPr="001537BA">
        <w:rPr>
          <w:noProof/>
          <w:color w:val="000000"/>
        </w:rPr>
        <w:t>[12, 3</w:t>
      </w:r>
      <w:r w:rsidR="001E34FA" w:rsidRPr="001537BA">
        <w:rPr>
          <w:noProof/>
          <w:color w:val="000000"/>
        </w:rPr>
        <w:t>7</w:t>
      </w:r>
      <w:r w:rsidRPr="001537BA">
        <w:rPr>
          <w:noProof/>
          <w:color w:val="000000"/>
        </w:rPr>
        <w:t>]</w:t>
      </w:r>
      <w:r w:rsidRPr="001537BA">
        <w:rPr>
          <w:color w:val="000000"/>
        </w:rPr>
        <w:t xml:space="preserve"> and recognised in the context of earlier questionnaire development work but excluded following pilot testing due to poor performance and low incidence</w:t>
      </w:r>
      <w:r w:rsidRPr="001537BA">
        <w:rPr>
          <w:rFonts w:cstheme="minorHAnsi"/>
          <w:shd w:val="clear" w:color="auto" w:fill="FFFFFF"/>
        </w:rPr>
        <w:t xml:space="preserve"> </w:t>
      </w:r>
      <w:r w:rsidRPr="001537BA">
        <w:rPr>
          <w:rFonts w:cstheme="minorHAnsi"/>
          <w:noProof/>
          <w:shd w:val="clear" w:color="auto" w:fill="FFFFFF"/>
        </w:rPr>
        <w:t>[7]</w:t>
      </w:r>
      <w:r w:rsidRPr="001537BA">
        <w:rPr>
          <w:color w:val="000000"/>
        </w:rPr>
        <w:t xml:space="preserve">. </w:t>
      </w:r>
    </w:p>
    <w:p w14:paraId="2DC070D5" w14:textId="403D3EAD" w:rsidR="00A56F2D" w:rsidRPr="001537BA" w:rsidRDefault="00B0257D" w:rsidP="00D15E66">
      <w:pPr>
        <w:spacing w:line="360" w:lineRule="auto"/>
      </w:pPr>
      <w:r w:rsidRPr="001537BA">
        <w:t>The high rates of toxicity and morbidity both during and after CRT</w:t>
      </w:r>
      <w:r w:rsidR="00031CCA" w:rsidRPr="001537BA">
        <w:t xml:space="preserve"> [5-9]</w:t>
      </w:r>
      <w:r w:rsidRPr="001537BA">
        <w:t xml:space="preserve"> call for the development and use of a validated </w:t>
      </w:r>
      <w:proofErr w:type="spellStart"/>
      <w:r w:rsidR="000A07EA" w:rsidRPr="001537BA">
        <w:t>HR</w:t>
      </w:r>
      <w:r w:rsidRPr="001537BA">
        <w:t>QoL</w:t>
      </w:r>
      <w:proofErr w:type="spellEnd"/>
      <w:r w:rsidRPr="001537BA">
        <w:t xml:space="preserve"> instrument that is specific for anal cancer patients. </w:t>
      </w:r>
      <w:proofErr w:type="spellStart"/>
      <w:r w:rsidRPr="001537BA">
        <w:rPr>
          <w:rFonts w:cstheme="minorHAnsi"/>
          <w:shd w:val="clear" w:color="auto" w:fill="FCFCFC"/>
        </w:rPr>
        <w:t>Sunesen</w:t>
      </w:r>
      <w:proofErr w:type="spellEnd"/>
      <w:r w:rsidRPr="001537BA">
        <w:rPr>
          <w:rFonts w:cstheme="minorHAnsi"/>
          <w:shd w:val="clear" w:color="auto" w:fill="FCFCFC"/>
        </w:rPr>
        <w:t xml:space="preserve"> et al., in consultation with clinicians and existing grading systems, developed an anal cancer–specific questionnaire </w:t>
      </w:r>
      <w:r w:rsidRPr="001537BA">
        <w:rPr>
          <w:rFonts w:cstheme="minorHAnsi"/>
          <w:noProof/>
          <w:shd w:val="clear" w:color="auto" w:fill="FCFCFC"/>
        </w:rPr>
        <w:t>[8]</w:t>
      </w:r>
      <w:r w:rsidRPr="001537BA">
        <w:rPr>
          <w:rFonts w:cstheme="minorHAnsi"/>
          <w:shd w:val="clear" w:color="auto" w:fill="FCFCFC"/>
        </w:rPr>
        <w:t xml:space="preserve"> for the purposes of their own research but this has not been validated.</w:t>
      </w:r>
      <w:r w:rsidRPr="001537BA">
        <w:t xml:space="preserve"> While some of the issues measured </w:t>
      </w:r>
      <w:r w:rsidR="005632CE" w:rsidRPr="001537BA">
        <w:t xml:space="preserve">by the QLQ-ANL27 </w:t>
      </w:r>
      <w:r w:rsidRPr="001537BA">
        <w:t xml:space="preserve">feature in existing measures, they are limited in terms of their coverage. For example, while skin toxicity is assessed by the colorectal cancer questionnaire, the QLQ-CR29, with the inclusion of a question about sore skin, </w:t>
      </w:r>
      <w:r w:rsidR="002079B3" w:rsidRPr="001537BA">
        <w:t xml:space="preserve">it </w:t>
      </w:r>
      <w:r w:rsidRPr="001537BA">
        <w:t xml:space="preserve">does not capture the widespread impact of skin reactions on activities of daily living, such as ability to sit down and comfort when lying down. In addition, while painful sexual intercourse is evaluated in existing measures (i.e., the QLQ-CR29), the impact of treatment on the vaginal area has been overlooked. </w:t>
      </w:r>
      <w:r w:rsidRPr="001537BA">
        <w:rPr>
          <w:rFonts w:cstheme="minorHAnsi"/>
          <w:shd w:val="clear" w:color="auto" w:fill="FCFCFC"/>
        </w:rPr>
        <w:t xml:space="preserve"> </w:t>
      </w:r>
      <w:r w:rsidRPr="001537BA">
        <w:t xml:space="preserve">The QLQ-ANL27 is the first anal cancer specific </w:t>
      </w:r>
      <w:proofErr w:type="spellStart"/>
      <w:r w:rsidR="00031CCA" w:rsidRPr="001537BA">
        <w:t>HR</w:t>
      </w:r>
      <w:r w:rsidRPr="001537BA">
        <w:t>Qol</w:t>
      </w:r>
      <w:proofErr w:type="spellEnd"/>
      <w:r w:rsidRPr="001537BA">
        <w:t xml:space="preserve"> questionnaire to provide a comprehensive assessment of the impact of the full range of toxicities related to anal cancer and its treatment with CRT</w:t>
      </w:r>
      <w:r w:rsidRPr="001537BA">
        <w:rPr>
          <w:color w:val="4472C4" w:themeColor="accent1"/>
        </w:rPr>
        <w:t xml:space="preserve">. </w:t>
      </w:r>
      <w:r w:rsidRPr="001537BA">
        <w:t xml:space="preserve">This tool is </w:t>
      </w:r>
      <w:r w:rsidRPr="001537BA">
        <w:lastRenderedPageBreak/>
        <w:t xml:space="preserve">already being used in key clinical trials </w:t>
      </w:r>
      <w:r w:rsidR="00347C5F" w:rsidRPr="001537BA">
        <w:t xml:space="preserve">and </w:t>
      </w:r>
      <w:r w:rsidRPr="001537BA">
        <w:t xml:space="preserve">gives an insight to the patient’s </w:t>
      </w:r>
      <w:proofErr w:type="spellStart"/>
      <w:r w:rsidR="000A07EA" w:rsidRPr="001537BA">
        <w:t>HR</w:t>
      </w:r>
      <w:r w:rsidRPr="001537BA">
        <w:t>Qol</w:t>
      </w:r>
      <w:proofErr w:type="spellEnd"/>
      <w:r w:rsidRPr="001537BA">
        <w:t xml:space="preserve"> issues both in the acute and late effect settings and will help in their overall management and support.</w:t>
      </w:r>
    </w:p>
    <w:p w14:paraId="5A552518" w14:textId="4B361A2B" w:rsidR="002E48FF" w:rsidRPr="001537BA" w:rsidRDefault="002E48FF" w:rsidP="00D15E66">
      <w:pPr>
        <w:spacing w:line="360" w:lineRule="auto"/>
        <w:rPr>
          <w:rFonts w:cstheme="minorHAnsi"/>
          <w:shd w:val="clear" w:color="auto" w:fill="FCFCFC"/>
        </w:rPr>
      </w:pPr>
      <w:r w:rsidRPr="001537BA">
        <w:t xml:space="preserve">The QLQ-ANL27 has five multi-item scales: </w:t>
      </w:r>
      <w:r w:rsidRPr="001537BA">
        <w:rPr>
          <w:rFonts w:cstheme="minorHAnsi"/>
          <w:shd w:val="clear" w:color="auto" w:fill="FFFFFF"/>
        </w:rPr>
        <w:t xml:space="preserve">bowel symptoms (non-stoma), bowel symptoms (stoma), stoma care, pain/discomfort, vaginal symptoms and </w:t>
      </w:r>
      <w:r w:rsidRPr="001537BA">
        <w:rPr>
          <w:rFonts w:cstheme="minorHAnsi"/>
        </w:rPr>
        <w:t xml:space="preserve">nine single items (frequent urination, keeping clean, proximity to toilet, lower limb </w:t>
      </w:r>
      <w:proofErr w:type="spellStart"/>
      <w:r w:rsidRPr="001537BA">
        <w:rPr>
          <w:rFonts w:cstheme="minorHAnsi"/>
        </w:rPr>
        <w:t>edema</w:t>
      </w:r>
      <w:proofErr w:type="spellEnd"/>
      <w:r w:rsidRPr="001537BA">
        <w:rPr>
          <w:rFonts w:cstheme="minorHAnsi"/>
        </w:rPr>
        <w:t xml:space="preserve">, planning activities, sexual interest, sex life, painful sexual intercourse, and erectile problems). Responses to the sexual interest question are reversed scored so that, for all questions, a higher score reflects </w:t>
      </w:r>
      <w:r w:rsidR="00E31A65" w:rsidRPr="001537BA">
        <w:rPr>
          <w:rFonts w:cstheme="minorHAnsi"/>
        </w:rPr>
        <w:t xml:space="preserve">poorer functioning or a high incidence of </w:t>
      </w:r>
      <w:r w:rsidR="00C615FA" w:rsidRPr="001537BA">
        <w:rPr>
          <w:rFonts w:cstheme="minorHAnsi"/>
        </w:rPr>
        <w:t>symptoms.</w:t>
      </w:r>
      <w:r w:rsidRPr="001537BA">
        <w:rPr>
          <w:rFonts w:cstheme="minorHAnsi"/>
        </w:rPr>
        <w:t xml:space="preserve"> There are also two screening questions: </w:t>
      </w:r>
      <w:r w:rsidRPr="001537BA">
        <w:t>presence of a stoma and sexual activity which do not contribute to the scale scoring.</w:t>
      </w:r>
    </w:p>
    <w:p w14:paraId="0F7D0235" w14:textId="77777777" w:rsidR="002E48FF" w:rsidRPr="001537BA" w:rsidRDefault="002E48FF" w:rsidP="00D15E66">
      <w:pPr>
        <w:pStyle w:val="Heading2"/>
      </w:pPr>
      <w:r w:rsidRPr="001537BA">
        <w:t>Limitations</w:t>
      </w:r>
    </w:p>
    <w:p w14:paraId="49CA61BA" w14:textId="439EFDCA" w:rsidR="002E48FF" w:rsidRPr="001537BA" w:rsidRDefault="002E48FF" w:rsidP="00D15E66">
      <w:pPr>
        <w:spacing w:line="360" w:lineRule="auto"/>
      </w:pPr>
      <w:r w:rsidRPr="001537BA">
        <w:t xml:space="preserve">Although the overall target sample size was exceeded, the number of participants completing a second administration for the purposes of testing sensitivity to change (improvement) over time was limited and did not allow for an adequately powered analysis. </w:t>
      </w:r>
      <w:r w:rsidR="00231FEC" w:rsidRPr="001537BA">
        <w:t xml:space="preserve">Although </w:t>
      </w:r>
      <w:r w:rsidR="00662135" w:rsidRPr="001537BA">
        <w:t>we provided evidence of consistency in responses</w:t>
      </w:r>
      <w:r w:rsidR="009B1565" w:rsidRPr="001537BA">
        <w:t xml:space="preserve"> of clinically stable participants,</w:t>
      </w:r>
      <w:r w:rsidR="00662135" w:rsidRPr="001537BA">
        <w:t xml:space="preserve"> </w:t>
      </w:r>
      <w:r w:rsidR="00E37828" w:rsidRPr="001537BA">
        <w:t xml:space="preserve">we </w:t>
      </w:r>
      <w:r w:rsidR="0030053E" w:rsidRPr="001537BA">
        <w:t>relied mostly on data from</w:t>
      </w:r>
      <w:r w:rsidR="00E37828" w:rsidRPr="001537BA">
        <w:t xml:space="preserve"> participants in the late treatment group rather than those with a high </w:t>
      </w:r>
      <w:r w:rsidR="00F46BAD" w:rsidRPr="001537BA">
        <w:t>incidence</w:t>
      </w:r>
      <w:r w:rsidR="00E37828" w:rsidRPr="001537BA">
        <w:t xml:space="preserve"> of symptoms (in the acute treatment group)</w:t>
      </w:r>
      <w:r w:rsidR="003861FA" w:rsidRPr="001537BA">
        <w:t xml:space="preserve">. </w:t>
      </w:r>
      <w:r w:rsidRPr="001537BA">
        <w:t>In addition, the number of participants with a stoma was insufficient for a rigorous evaluation of the stoma-related items and scales. Stoma status and disease recurrence were both excluded from the known group analyses due to small numbers. For these reasons, and due to the revised scale structure, the QLQ-ANL27 would benefit from further validation studies.</w:t>
      </w:r>
      <w:r w:rsidR="00536EDD" w:rsidRPr="001537BA">
        <w:t xml:space="preserve"> The current study represents an important first step towards demonstrating the psychometric properties of the QLQ-ANL27</w:t>
      </w:r>
      <w:r w:rsidR="00CC67DC" w:rsidRPr="001537BA">
        <w:t>.</w:t>
      </w:r>
    </w:p>
    <w:p w14:paraId="7413F86E" w14:textId="77777777" w:rsidR="002E48FF" w:rsidRPr="001537BA" w:rsidRDefault="002E48FF" w:rsidP="00D15E66">
      <w:pPr>
        <w:spacing w:line="360" w:lineRule="auto"/>
      </w:pPr>
      <w:r w:rsidRPr="001537BA">
        <w:t>Over half of the participants had been diagnosed with a comorbidity and 16 had a previous cancer diagnosis. Although the QLQ-ANL27 instructs respondents to answer each question with reference to anal cancer, it is acknowledged that attribution of causality can be challenging. Furthermore, additional sub-group analyses according to HIV positive status and sexual orientation were beyond the scope of the current study but could further support the validity of the QLQ-ANL27.</w:t>
      </w:r>
    </w:p>
    <w:p w14:paraId="3D2E8853" w14:textId="07AD59F4" w:rsidR="002E48FF" w:rsidRPr="001537BA" w:rsidRDefault="002E48FF" w:rsidP="00D15E66">
      <w:pPr>
        <w:spacing w:line="360" w:lineRule="auto"/>
      </w:pPr>
      <w:r w:rsidRPr="001537BA">
        <w:t xml:space="preserve">Although this manuscript presents the QLQ-ANL27 as a comprehensive measure, the extent to which it is sensitive to the </w:t>
      </w:r>
      <w:proofErr w:type="spellStart"/>
      <w:r w:rsidRPr="001537BA">
        <w:t>HRQoL</w:t>
      </w:r>
      <w:proofErr w:type="spellEnd"/>
      <w:r w:rsidRPr="001537BA">
        <w:t xml:space="preserve"> issues experienced by people with anal cancer who follow different treatment pathway</w:t>
      </w:r>
      <w:r w:rsidR="00243373" w:rsidRPr="001537BA">
        <w:t>s</w:t>
      </w:r>
      <w:r w:rsidRPr="001537BA">
        <w:t xml:space="preserve"> to include surgery as well as those with metastatic disease is unclear</w:t>
      </w:r>
      <w:r w:rsidR="004F7638" w:rsidRPr="001537BA">
        <w:t>; this will be a focus of future research.</w:t>
      </w:r>
    </w:p>
    <w:p w14:paraId="3D30B570" w14:textId="77777777" w:rsidR="002E48FF" w:rsidRPr="001537BA" w:rsidRDefault="002E48FF" w:rsidP="00993027">
      <w:pPr>
        <w:pStyle w:val="Heading1"/>
      </w:pPr>
      <w:r w:rsidRPr="001537BA">
        <w:lastRenderedPageBreak/>
        <w:t>Conclusion</w:t>
      </w:r>
    </w:p>
    <w:p w14:paraId="10AD6900" w14:textId="6B6529E8" w:rsidR="002E48FF" w:rsidRPr="001537BA" w:rsidRDefault="002E48FF" w:rsidP="00D15E66">
      <w:pPr>
        <w:spacing w:line="360" w:lineRule="auto"/>
        <w:rPr>
          <w:color w:val="000000"/>
          <w:sz w:val="24"/>
          <w:szCs w:val="24"/>
        </w:rPr>
      </w:pPr>
      <w:r w:rsidRPr="001537BA">
        <w:t xml:space="preserve">The QLQ-ANL27 is a </w:t>
      </w:r>
      <w:proofErr w:type="spellStart"/>
      <w:r w:rsidRPr="001537BA">
        <w:t>HRQoL</w:t>
      </w:r>
      <w:proofErr w:type="spellEnd"/>
      <w:r w:rsidRPr="001537BA">
        <w:t xml:space="preserve"> instrument for assessing the acute and long-term sequelae of anal cancer treated with CRT. The QLQ-ANL27 is usable, reliable, valid, acceptable across different geographical regions and has been translated into 16 languages. The measure has already been widely adopted within the scientific community with its inclusion in clinical trials </w:t>
      </w:r>
      <w:r w:rsidRPr="001537BA">
        <w:rPr>
          <w:noProof/>
        </w:rPr>
        <w:t>[</w:t>
      </w:r>
      <w:r w:rsidR="001E34FA" w:rsidRPr="001537BA">
        <w:rPr>
          <w:noProof/>
        </w:rPr>
        <w:t xml:space="preserve">e.g., </w:t>
      </w:r>
      <w:r w:rsidRPr="001537BA">
        <w:rPr>
          <w:noProof/>
        </w:rPr>
        <w:t>3</w:t>
      </w:r>
      <w:r w:rsidR="001E34FA" w:rsidRPr="001537BA">
        <w:rPr>
          <w:noProof/>
        </w:rPr>
        <w:t>8</w:t>
      </w:r>
      <w:r w:rsidRPr="001537BA">
        <w:rPr>
          <w:noProof/>
        </w:rPr>
        <w:t xml:space="preserve">, </w:t>
      </w:r>
      <w:r w:rsidR="001E34FA" w:rsidRPr="001537BA">
        <w:rPr>
          <w:noProof/>
        </w:rPr>
        <w:t>39</w:t>
      </w:r>
      <w:r w:rsidRPr="001537BA">
        <w:rPr>
          <w:noProof/>
        </w:rPr>
        <w:t>]</w:t>
      </w:r>
      <w:r w:rsidRPr="001537BA">
        <w:t xml:space="preserve"> and several of the issues it covers are recommended in a core outcome set for anal cancer </w:t>
      </w:r>
      <w:r w:rsidRPr="001537BA">
        <w:rPr>
          <w:noProof/>
        </w:rPr>
        <w:t>[3</w:t>
      </w:r>
      <w:r w:rsidR="001E34FA" w:rsidRPr="001537BA">
        <w:rPr>
          <w:noProof/>
        </w:rPr>
        <w:t>2</w:t>
      </w:r>
      <w:r w:rsidRPr="001537BA">
        <w:rPr>
          <w:noProof/>
        </w:rPr>
        <w:t>]</w:t>
      </w:r>
      <w:r w:rsidRPr="001537BA">
        <w:t xml:space="preserve">. The QLQ-ANL27 is </w:t>
      </w:r>
      <w:r w:rsidRPr="001537BA">
        <w:rPr>
          <w:rFonts w:cs="Calibri"/>
        </w:rPr>
        <w:t xml:space="preserve">available upon request from the EORTC QLG from </w:t>
      </w:r>
      <w:hyperlink r:id="rId8" w:history="1">
        <w:r w:rsidRPr="001537BA">
          <w:rPr>
            <w:rStyle w:val="Hyperlink"/>
            <w:sz w:val="24"/>
            <w:szCs w:val="24"/>
          </w:rPr>
          <w:t>https://qol.eortc.org</w:t>
        </w:r>
      </w:hyperlink>
      <w:r w:rsidRPr="001537BA">
        <w:rPr>
          <w:color w:val="000000"/>
          <w:sz w:val="24"/>
          <w:szCs w:val="24"/>
        </w:rPr>
        <w:t>.</w:t>
      </w:r>
    </w:p>
    <w:p w14:paraId="67A1DA46" w14:textId="77777777" w:rsidR="002E48FF" w:rsidRPr="001537BA" w:rsidRDefault="002E48FF" w:rsidP="00D15E66">
      <w:pPr>
        <w:spacing w:line="360" w:lineRule="auto"/>
        <w:rPr>
          <w:color w:val="000000"/>
          <w:sz w:val="24"/>
          <w:szCs w:val="24"/>
        </w:rPr>
      </w:pPr>
    </w:p>
    <w:p w14:paraId="69C13B2C" w14:textId="77777777" w:rsidR="002E48FF" w:rsidRPr="001537BA" w:rsidRDefault="002E48FF" w:rsidP="00D15E66">
      <w:pPr>
        <w:spacing w:line="360" w:lineRule="auto"/>
      </w:pPr>
    </w:p>
    <w:p w14:paraId="3507EA57" w14:textId="77777777" w:rsidR="002E48FF" w:rsidRPr="001537BA" w:rsidRDefault="002E48FF" w:rsidP="00B6513C">
      <w:pPr>
        <w:pStyle w:val="Heading1"/>
      </w:pPr>
      <w:r w:rsidRPr="001537BA">
        <w:t xml:space="preserve">References </w:t>
      </w:r>
    </w:p>
    <w:p w14:paraId="0BB5DFE7" w14:textId="77777777" w:rsidR="002E48FF" w:rsidRPr="001537BA" w:rsidRDefault="002E48FF" w:rsidP="00B6513C">
      <w:pPr>
        <w:pStyle w:val="Heading1"/>
        <w:rPr>
          <w:b/>
          <w:bCs/>
          <w:sz w:val="28"/>
          <w:szCs w:val="28"/>
        </w:rPr>
      </w:pPr>
      <w:r w:rsidRPr="001537BA">
        <w:rPr>
          <w:b/>
          <w:bCs/>
          <w:sz w:val="28"/>
          <w:szCs w:val="28"/>
        </w:rPr>
        <w:t xml:space="preserve"> </w:t>
      </w:r>
    </w:p>
    <w:p w14:paraId="5B5B61A8" w14:textId="6F88E85F" w:rsidR="002E48FF" w:rsidRPr="001537BA" w:rsidRDefault="002E48FF" w:rsidP="00D063B3">
      <w:pPr>
        <w:pStyle w:val="EndNoteBibliography"/>
        <w:spacing w:after="0"/>
        <w:ind w:left="720" w:hanging="720"/>
      </w:pPr>
      <w:r w:rsidRPr="001537BA">
        <w:t>1.</w:t>
      </w:r>
      <w:r w:rsidRPr="001537BA">
        <w:tab/>
        <w:t xml:space="preserve">National Cancer Institute Surveillance, Epidemiology, and End Results Program. Cancer Stat Facts: Anal Cancer, 2020. </w:t>
      </w:r>
      <w:hyperlink r:id="rId9" w:history="1">
        <w:r w:rsidRPr="001537BA">
          <w:rPr>
            <w:rStyle w:val="Hyperlink"/>
          </w:rPr>
          <w:t>https://seer.cancer.gov/statfacts/html/anus.html</w:t>
        </w:r>
      </w:hyperlink>
      <w:r w:rsidRPr="001537BA">
        <w:t>. [accessed 18 March 2021].</w:t>
      </w:r>
    </w:p>
    <w:p w14:paraId="5BBE4179" w14:textId="0167E26D" w:rsidR="002E48FF" w:rsidRPr="001537BA" w:rsidRDefault="002E48FF" w:rsidP="00D063B3">
      <w:pPr>
        <w:pStyle w:val="EndNoteBibliography"/>
        <w:spacing w:after="0"/>
        <w:ind w:left="720" w:hanging="720"/>
      </w:pPr>
      <w:r w:rsidRPr="001537BA">
        <w:t>2.</w:t>
      </w:r>
      <w:r w:rsidRPr="001537BA">
        <w:tab/>
        <w:t>Islami F, Ferlay J, Lortet-Tieulent J, Bray F, Jemal A. International trends in anal cancer incidence rates. Int J Epidemiol 2016;46(3):924-38.</w:t>
      </w:r>
    </w:p>
    <w:p w14:paraId="2CE297D3" w14:textId="41905C50" w:rsidR="002E48FF" w:rsidRPr="001537BA" w:rsidRDefault="002E48FF" w:rsidP="00D063B3">
      <w:pPr>
        <w:pStyle w:val="EndNoteBibliography"/>
        <w:spacing w:after="0"/>
        <w:ind w:left="720" w:hanging="720"/>
      </w:pPr>
      <w:r w:rsidRPr="001537BA">
        <w:t>3.</w:t>
      </w:r>
      <w:r w:rsidRPr="001537BA">
        <w:tab/>
        <w:t>Rao S, Guren MG, Khan K, Brown G, Renehan AG, Steigen SE et al. Anal cancer: ESMO Clinical Practice Guidelines for diagnosis, treatment and follow-up. Ann Oncol 2021;32(9):1087-100.</w:t>
      </w:r>
    </w:p>
    <w:p w14:paraId="0BE73D77" w14:textId="3161F15E" w:rsidR="002E48FF" w:rsidRPr="001537BA" w:rsidRDefault="002E48FF" w:rsidP="00D063B3">
      <w:pPr>
        <w:pStyle w:val="EndNoteBibliography"/>
        <w:spacing w:after="0"/>
        <w:ind w:left="720" w:hanging="720"/>
      </w:pPr>
      <w:r w:rsidRPr="001537BA">
        <w:t>4.</w:t>
      </w:r>
      <w:r w:rsidRPr="001537BA">
        <w:tab/>
      </w:r>
      <w:r w:rsidR="00347D04" w:rsidRPr="00347D04">
        <w:rPr>
          <w:rFonts w:asciiTheme="minorHAnsi" w:hAnsiTheme="minorHAnsi" w:cstheme="minorHAnsi"/>
          <w:color w:val="212121"/>
          <w:shd w:val="clear" w:color="auto" w:fill="FFFFFF"/>
        </w:rPr>
        <w:t>Sodergren SC, Vassiliou V, Dennis K, Tomaszewski KA, Gilbert A, Glynne-Jones R et al</w:t>
      </w:r>
      <w:r w:rsidR="006077E9" w:rsidRPr="00347D04">
        <w:rPr>
          <w:rFonts w:asciiTheme="minorHAnsi" w:hAnsiTheme="minorHAnsi" w:cstheme="minorHAnsi"/>
        </w:rPr>
        <w:t>.</w:t>
      </w:r>
      <w:r w:rsidRPr="001537BA">
        <w:t xml:space="preserve"> Systematic review of the quality of life issues associated with anal cancer and its treatment with radiochemotherapy. Support Care Cancer 2015;</w:t>
      </w:r>
      <w:r w:rsidRPr="001537BA">
        <w:rPr>
          <w:b/>
        </w:rPr>
        <w:t>23</w:t>
      </w:r>
      <w:r w:rsidRPr="001537BA">
        <w:t>(12):3613-23.</w:t>
      </w:r>
    </w:p>
    <w:p w14:paraId="412DC078" w14:textId="71FF0CE7" w:rsidR="002E48FF" w:rsidRPr="001537BA" w:rsidRDefault="002E48FF" w:rsidP="00D063B3">
      <w:pPr>
        <w:pStyle w:val="EndNoteBibliography"/>
        <w:spacing w:after="0"/>
        <w:ind w:left="720" w:hanging="720"/>
      </w:pPr>
      <w:r w:rsidRPr="001537BA">
        <w:t>5.</w:t>
      </w:r>
      <w:r w:rsidRPr="001537BA">
        <w:tab/>
        <w:t>Allal AS,</w:t>
      </w:r>
      <w:r w:rsidR="008F72F5" w:rsidRPr="001537BA">
        <w:t xml:space="preserve"> Sprangers MA, Laurencet F, Reymond MA, Kurtz JM</w:t>
      </w:r>
      <w:r w:rsidR="00EF5C45" w:rsidRPr="001537BA">
        <w:t>.</w:t>
      </w:r>
      <w:r w:rsidRPr="001537BA">
        <w:t xml:space="preserve"> Assessment of long-term quality of life in patients with anal carcinomas treated by radiotherapy with or without chemotherapy. Br J Cancer 1999</w:t>
      </w:r>
      <w:r w:rsidR="00EF5C45" w:rsidRPr="001537BA">
        <w:t>;</w:t>
      </w:r>
      <w:r w:rsidRPr="001537BA">
        <w:t>80(10):1588-94.</w:t>
      </w:r>
    </w:p>
    <w:p w14:paraId="133D84F4" w14:textId="2006EC92" w:rsidR="002E48FF" w:rsidRPr="001537BA" w:rsidRDefault="002E48FF" w:rsidP="00D063B3">
      <w:pPr>
        <w:pStyle w:val="EndNoteBibliography"/>
        <w:spacing w:after="0"/>
        <w:ind w:left="720" w:hanging="720"/>
      </w:pPr>
      <w:r w:rsidRPr="001537BA">
        <w:t>6.</w:t>
      </w:r>
      <w:r w:rsidRPr="001537BA">
        <w:tab/>
        <w:t>Das P,</w:t>
      </w:r>
      <w:r w:rsidR="00EF5C45" w:rsidRPr="001537BA">
        <w:t xml:space="preserve"> Cantor SB,</w:t>
      </w:r>
      <w:r w:rsidRPr="001537BA">
        <w:t xml:space="preserve"> </w:t>
      </w:r>
      <w:r w:rsidR="00EF5C45" w:rsidRPr="001537BA">
        <w:t xml:space="preserve">Parker CL, Zampieri JB, Baschnagel A, Eng C </w:t>
      </w:r>
      <w:r w:rsidRPr="001537BA">
        <w:t>et al. Long-term quality of life after radiotherapy for the treatment of anal cancer. Cancer 2010</w:t>
      </w:r>
      <w:r w:rsidR="00EF5C45" w:rsidRPr="001537BA">
        <w:t>;</w:t>
      </w:r>
      <w:r w:rsidRPr="001537BA">
        <w:t>116(4):822-9.</w:t>
      </w:r>
    </w:p>
    <w:p w14:paraId="3A223173" w14:textId="617693BF" w:rsidR="002E48FF" w:rsidRPr="001537BA" w:rsidRDefault="002E48FF" w:rsidP="00D063B3">
      <w:pPr>
        <w:pStyle w:val="EndNoteBibliography"/>
        <w:spacing w:after="0"/>
        <w:ind w:left="720" w:hanging="720"/>
      </w:pPr>
      <w:r w:rsidRPr="001537BA">
        <w:t>7.</w:t>
      </w:r>
      <w:r w:rsidR="00B836DF" w:rsidRPr="00B836DF">
        <w:rPr>
          <w:rFonts w:ascii="Segoe UI" w:hAnsi="Segoe UI" w:cs="Segoe UI"/>
          <w:color w:val="212121"/>
          <w:shd w:val="clear" w:color="auto" w:fill="FFFFFF"/>
        </w:rPr>
        <w:t xml:space="preserve"> </w:t>
      </w:r>
      <w:r w:rsidR="00B836DF">
        <w:rPr>
          <w:rFonts w:ascii="Segoe UI" w:hAnsi="Segoe UI" w:cs="Segoe UI"/>
          <w:color w:val="212121"/>
          <w:shd w:val="clear" w:color="auto" w:fill="FFFFFF"/>
        </w:rPr>
        <w:tab/>
      </w:r>
      <w:r w:rsidR="00B836DF" w:rsidRPr="00B836DF">
        <w:rPr>
          <w:rFonts w:asciiTheme="minorHAnsi" w:hAnsiTheme="minorHAnsi" w:cstheme="minorHAnsi"/>
          <w:color w:val="212121"/>
          <w:shd w:val="clear" w:color="auto" w:fill="FFFFFF"/>
        </w:rPr>
        <w:t>Sodergren SC, Johnson CD, Gilbert A, Tomaszewski KA, Chu W, Chung HT et al.</w:t>
      </w:r>
      <w:r w:rsidR="00B836DF">
        <w:rPr>
          <w:rFonts w:ascii="Segoe UI" w:hAnsi="Segoe UI" w:cs="Segoe UI"/>
          <w:color w:val="212121"/>
          <w:shd w:val="clear" w:color="auto" w:fill="FFFFFF"/>
        </w:rPr>
        <w:t> </w:t>
      </w:r>
      <w:r w:rsidRPr="001537BA">
        <w:t>Phase I–III development of the EORTC QLQ-ANL27, a health-related quality of life questionnaire for anal cancer. Radiother Oncol 2018</w:t>
      </w:r>
      <w:r w:rsidR="00EF5C45" w:rsidRPr="001537BA">
        <w:t>;</w:t>
      </w:r>
      <w:r w:rsidRPr="001537BA">
        <w:t>126(2):222-8.</w:t>
      </w:r>
    </w:p>
    <w:p w14:paraId="4CCFD414" w14:textId="05F97F20" w:rsidR="002E48FF" w:rsidRPr="001537BA" w:rsidRDefault="002E48FF" w:rsidP="00D063B3">
      <w:pPr>
        <w:pStyle w:val="EndNoteBibliography"/>
        <w:spacing w:after="0"/>
        <w:ind w:left="720" w:hanging="720"/>
        <w:rPr>
          <w:rFonts w:asciiTheme="minorHAnsi" w:hAnsiTheme="minorHAnsi"/>
        </w:rPr>
      </w:pPr>
      <w:r w:rsidRPr="001537BA">
        <w:t>8.</w:t>
      </w:r>
      <w:r w:rsidRPr="001537BA">
        <w:tab/>
      </w:r>
      <w:r w:rsidRPr="001537BA">
        <w:rPr>
          <w:rFonts w:asciiTheme="minorHAnsi" w:hAnsiTheme="minorHAnsi"/>
        </w:rPr>
        <w:t>Sunesen KG,</w:t>
      </w:r>
      <w:r w:rsidR="00EF5C45" w:rsidRPr="001537BA">
        <w:rPr>
          <w:rFonts w:asciiTheme="minorHAnsi" w:hAnsiTheme="minorHAnsi"/>
        </w:rPr>
        <w:t xml:space="preserve"> </w:t>
      </w:r>
      <w:r w:rsidR="00EF5C45" w:rsidRPr="001537BA">
        <w:rPr>
          <w:rFonts w:asciiTheme="minorHAnsi" w:hAnsiTheme="minorHAnsi" w:cs="Segoe UI"/>
          <w:color w:val="212121"/>
          <w:shd w:val="clear" w:color="auto" w:fill="FFFFFF"/>
        </w:rPr>
        <w:t>Nørgaard M, Lundby L, Havsteen H, Buntzen S, Thorlacius-Ussing O, Laurberg S.</w:t>
      </w:r>
      <w:r w:rsidRPr="001537BA">
        <w:t xml:space="preserve">  Long-term anorectal, urinary and sexual dysfunction causing distress after radiotherapy for anal cancer: a Danish multicentre cross-sectional questionnaire study. Colorect</w:t>
      </w:r>
      <w:r w:rsidR="00EF5C45" w:rsidRPr="001537BA">
        <w:t>al</w:t>
      </w:r>
      <w:r w:rsidRPr="001537BA">
        <w:t xml:space="preserve"> Dis 2015</w:t>
      </w:r>
      <w:r w:rsidR="00EF5C45" w:rsidRPr="001537BA">
        <w:t>;</w:t>
      </w:r>
      <w:r w:rsidRPr="001537BA">
        <w:t xml:space="preserve"> </w:t>
      </w:r>
      <w:r w:rsidRPr="001537BA">
        <w:rPr>
          <w:rFonts w:asciiTheme="minorHAnsi" w:hAnsiTheme="minorHAnsi"/>
        </w:rPr>
        <w:t>17(11):O230-9.</w:t>
      </w:r>
    </w:p>
    <w:p w14:paraId="5C07F228" w14:textId="4539130B" w:rsidR="002E48FF" w:rsidRPr="001537BA" w:rsidRDefault="002E48FF" w:rsidP="00D063B3">
      <w:pPr>
        <w:pStyle w:val="EndNoteBibliography"/>
        <w:spacing w:after="0"/>
        <w:ind w:left="720" w:hanging="720"/>
        <w:rPr>
          <w:rFonts w:asciiTheme="minorHAnsi" w:hAnsiTheme="minorHAnsi"/>
        </w:rPr>
      </w:pPr>
      <w:r w:rsidRPr="001537BA">
        <w:rPr>
          <w:rFonts w:asciiTheme="minorHAnsi" w:hAnsiTheme="minorHAnsi"/>
        </w:rPr>
        <w:t>9.</w:t>
      </w:r>
      <w:r w:rsidRPr="001537BA">
        <w:rPr>
          <w:rFonts w:asciiTheme="minorHAnsi" w:hAnsiTheme="minorHAnsi"/>
        </w:rPr>
        <w:tab/>
      </w:r>
      <w:r w:rsidR="00EF5C45" w:rsidRPr="001537BA">
        <w:rPr>
          <w:rFonts w:asciiTheme="minorHAnsi" w:hAnsiTheme="minorHAnsi" w:cs="Segoe UI"/>
          <w:shd w:val="clear" w:color="auto" w:fill="FFFFFF"/>
        </w:rPr>
        <w:t xml:space="preserve">Knowles G, Haigh R, McLean C, Phillips H. Late effects and quality of life after chemo-radiation for the treatment of anal cancer. Eur J Oncol </w:t>
      </w:r>
      <w:r w:rsidRPr="001537BA">
        <w:rPr>
          <w:rFonts w:asciiTheme="minorHAnsi" w:hAnsiTheme="minorHAnsi"/>
        </w:rPr>
        <w:t>Nurs 2015</w:t>
      </w:r>
      <w:r w:rsidR="00EF5C45" w:rsidRPr="001537BA">
        <w:rPr>
          <w:rFonts w:asciiTheme="minorHAnsi" w:hAnsiTheme="minorHAnsi"/>
        </w:rPr>
        <w:t>;</w:t>
      </w:r>
      <w:r w:rsidRPr="001537BA">
        <w:rPr>
          <w:rFonts w:asciiTheme="minorHAnsi" w:hAnsiTheme="minorHAnsi"/>
        </w:rPr>
        <w:t>19(5):479-85.</w:t>
      </w:r>
    </w:p>
    <w:p w14:paraId="37E1E224" w14:textId="4993C54D" w:rsidR="002E48FF" w:rsidRPr="001537BA" w:rsidRDefault="002E48FF" w:rsidP="00D063B3">
      <w:pPr>
        <w:pStyle w:val="EndNoteBibliography"/>
        <w:spacing w:after="0"/>
        <w:ind w:left="720" w:hanging="720"/>
      </w:pPr>
      <w:r w:rsidRPr="001537BA">
        <w:t>10.</w:t>
      </w:r>
      <w:r w:rsidRPr="001537BA">
        <w:tab/>
        <w:t>Nigro ND, Vaitkevicius</w:t>
      </w:r>
      <w:r w:rsidR="00EF5C45" w:rsidRPr="001537BA">
        <w:t xml:space="preserve"> VK</w:t>
      </w:r>
      <w:r w:rsidRPr="001537BA">
        <w:t xml:space="preserve">, Considine </w:t>
      </w:r>
      <w:r w:rsidR="00EF5C45" w:rsidRPr="001537BA">
        <w:t>B Jr.</w:t>
      </w:r>
      <w:r w:rsidRPr="001537BA">
        <w:t xml:space="preserve"> Combined therapy for cancer of the anal canal: a preliminary report. Dis Colon Rectum</w:t>
      </w:r>
      <w:r w:rsidR="00EF5C45" w:rsidRPr="001537BA">
        <w:t xml:space="preserve"> </w:t>
      </w:r>
      <w:r w:rsidRPr="001537BA">
        <w:t>1974</w:t>
      </w:r>
      <w:r w:rsidR="00EF5C45" w:rsidRPr="001537BA">
        <w:t>;</w:t>
      </w:r>
      <w:r w:rsidRPr="001537BA">
        <w:t>17(3):354-6.</w:t>
      </w:r>
    </w:p>
    <w:p w14:paraId="6FAD5159" w14:textId="12A9176F" w:rsidR="002E48FF" w:rsidRPr="001537BA" w:rsidRDefault="002E48FF" w:rsidP="00D063B3">
      <w:pPr>
        <w:pStyle w:val="EndNoteBibliography"/>
        <w:spacing w:after="0"/>
        <w:ind w:left="720" w:hanging="720"/>
      </w:pPr>
      <w:r w:rsidRPr="001537BA">
        <w:t>11.</w:t>
      </w:r>
      <w:r w:rsidRPr="001537BA">
        <w:tab/>
      </w:r>
      <w:r w:rsidR="00EF5C45" w:rsidRPr="001537BA">
        <w:rPr>
          <w:rFonts w:asciiTheme="minorHAnsi" w:hAnsiTheme="minorHAnsi" w:cs="Segoe UI"/>
          <w:shd w:val="clear" w:color="auto" w:fill="FFFFFF"/>
        </w:rPr>
        <w:t xml:space="preserve">Näsvall P, Dahlstrand U, Löwenmark T, Rutegård J, Gunnarsson U, Strigård K. Quality of life in patients with a permanent stoma after rectal cancer surgery. Qual Life Res </w:t>
      </w:r>
      <w:r w:rsidRPr="001537BA">
        <w:rPr>
          <w:rFonts w:asciiTheme="minorHAnsi" w:hAnsiTheme="minorHAnsi"/>
        </w:rPr>
        <w:t>2017</w:t>
      </w:r>
      <w:r w:rsidR="00EF5C45" w:rsidRPr="001537BA">
        <w:rPr>
          <w:rFonts w:asciiTheme="minorHAnsi" w:hAnsiTheme="minorHAnsi"/>
        </w:rPr>
        <w:t>;</w:t>
      </w:r>
      <w:r w:rsidRPr="001537BA">
        <w:rPr>
          <w:rFonts w:asciiTheme="minorHAnsi" w:hAnsiTheme="minorHAnsi"/>
        </w:rPr>
        <w:t>26(1):55-64.</w:t>
      </w:r>
    </w:p>
    <w:p w14:paraId="6716AE1A" w14:textId="179137DC" w:rsidR="002E48FF" w:rsidRPr="001537BA" w:rsidRDefault="002E48FF" w:rsidP="00D063B3">
      <w:pPr>
        <w:pStyle w:val="EndNoteBibliography"/>
        <w:spacing w:after="0"/>
        <w:ind w:left="720" w:hanging="720"/>
      </w:pPr>
      <w:r w:rsidRPr="001537BA">
        <w:t>12.</w:t>
      </w:r>
      <w:r w:rsidRPr="001537BA">
        <w:tab/>
      </w:r>
      <w:r w:rsidR="00EF5C45" w:rsidRPr="001537BA">
        <w:rPr>
          <w:rFonts w:asciiTheme="minorHAnsi" w:hAnsiTheme="minorHAnsi" w:cs="Segoe UI"/>
          <w:shd w:val="clear" w:color="auto" w:fill="FFFFFF"/>
        </w:rPr>
        <w:t>Bentzen AG, Balteskard L, Wanderås EH, Frykholm G, Wilsgaard T, Dahl O, Guren MG. Impaired health-related quality of life after chemoradiotherapy for anal cancer: late effects in a national cohort of 128 survivors.</w:t>
      </w:r>
      <w:r w:rsidR="00EF5C45" w:rsidRPr="001537BA">
        <w:rPr>
          <w:rFonts w:asciiTheme="minorHAnsi" w:hAnsiTheme="minorHAnsi"/>
        </w:rPr>
        <w:t xml:space="preserve"> </w:t>
      </w:r>
      <w:r w:rsidRPr="001537BA">
        <w:rPr>
          <w:rFonts w:asciiTheme="minorHAnsi" w:hAnsiTheme="minorHAnsi"/>
        </w:rPr>
        <w:t>Acta Oncologica 2013</w:t>
      </w:r>
      <w:r w:rsidR="00EF5C45" w:rsidRPr="001537BA">
        <w:rPr>
          <w:rFonts w:asciiTheme="minorHAnsi" w:hAnsiTheme="minorHAnsi"/>
        </w:rPr>
        <w:t>;</w:t>
      </w:r>
      <w:r w:rsidRPr="001537BA">
        <w:rPr>
          <w:rFonts w:asciiTheme="minorHAnsi" w:hAnsiTheme="minorHAnsi"/>
        </w:rPr>
        <w:t>52(4):736-744.</w:t>
      </w:r>
    </w:p>
    <w:p w14:paraId="6C221580" w14:textId="7CA81FC7" w:rsidR="002E48FF" w:rsidRPr="001537BA" w:rsidRDefault="002E48FF" w:rsidP="00D063B3">
      <w:pPr>
        <w:pStyle w:val="EndNoteBibliography"/>
        <w:spacing w:after="0"/>
        <w:ind w:left="720" w:hanging="720"/>
      </w:pPr>
      <w:r w:rsidRPr="001537BA">
        <w:lastRenderedPageBreak/>
        <w:t>13.</w:t>
      </w:r>
      <w:r w:rsidRPr="001537BA">
        <w:tab/>
      </w:r>
      <w:r w:rsidR="006E078D" w:rsidRPr="001537BA">
        <w:rPr>
          <w:rFonts w:asciiTheme="minorHAnsi" w:hAnsiTheme="minorHAnsi" w:cs="Segoe UI"/>
          <w:shd w:val="clear" w:color="auto" w:fill="FFFFFF"/>
        </w:rPr>
        <w:t xml:space="preserve">Fakhrian K, Sauer T, Dinkel A, Klemm S, Schuster T, Molls M, Geinitz H. Chronic adverse events and quality of life after radiochemotherapy in anal cancer patients. A single institution experience and review of the literature. Strahlenther Onkol </w:t>
      </w:r>
      <w:r w:rsidRPr="001537BA">
        <w:rPr>
          <w:rFonts w:asciiTheme="minorHAnsi" w:hAnsiTheme="minorHAnsi"/>
        </w:rPr>
        <w:t>2013</w:t>
      </w:r>
      <w:r w:rsidR="006E078D" w:rsidRPr="001537BA">
        <w:rPr>
          <w:rFonts w:asciiTheme="minorHAnsi" w:hAnsiTheme="minorHAnsi"/>
        </w:rPr>
        <w:t>;</w:t>
      </w:r>
      <w:r w:rsidRPr="001537BA">
        <w:rPr>
          <w:rFonts w:asciiTheme="minorHAnsi" w:hAnsiTheme="minorHAnsi"/>
        </w:rPr>
        <w:t xml:space="preserve"> 189(6):486-94.</w:t>
      </w:r>
    </w:p>
    <w:p w14:paraId="729FCB94" w14:textId="6E65EF68" w:rsidR="002E48FF" w:rsidRPr="001537BA" w:rsidRDefault="002E48FF" w:rsidP="00D063B3">
      <w:pPr>
        <w:pStyle w:val="EndNoteBibliography"/>
        <w:spacing w:after="0"/>
        <w:ind w:left="720" w:hanging="720"/>
      </w:pPr>
      <w:r w:rsidRPr="001537BA">
        <w:t>14.</w:t>
      </w:r>
      <w:r w:rsidRPr="001537BA">
        <w:tab/>
      </w:r>
      <w:r w:rsidR="006E078D" w:rsidRPr="001537BA">
        <w:rPr>
          <w:rFonts w:asciiTheme="minorHAnsi" w:hAnsiTheme="minorHAnsi" w:cs="Segoe UI"/>
          <w:shd w:val="clear" w:color="auto" w:fill="FFFFFF"/>
        </w:rPr>
        <w:t xml:space="preserve">Gilbert A, Drinkwater K, McParland L, Adams R, Glynne-Jones R, Harrison M et al. UK national cohort of anal cancer treated with intensity-modulated radiotherapy: One-year oncological and patient-reported outcomes. Eur J Cancer </w:t>
      </w:r>
      <w:r w:rsidRPr="001537BA">
        <w:rPr>
          <w:rFonts w:asciiTheme="minorHAnsi" w:hAnsiTheme="minorHAnsi"/>
        </w:rPr>
        <w:t>2020</w:t>
      </w:r>
      <w:r w:rsidR="006E078D" w:rsidRPr="001537BA">
        <w:rPr>
          <w:rFonts w:asciiTheme="minorHAnsi" w:hAnsiTheme="minorHAnsi"/>
        </w:rPr>
        <w:t>;</w:t>
      </w:r>
      <w:r w:rsidRPr="001537BA">
        <w:rPr>
          <w:rFonts w:asciiTheme="minorHAnsi" w:hAnsiTheme="minorHAnsi"/>
        </w:rPr>
        <w:t xml:space="preserve"> 128:7-16.</w:t>
      </w:r>
    </w:p>
    <w:p w14:paraId="7751E52C" w14:textId="1A26ABF1" w:rsidR="002E48FF" w:rsidRPr="00482346" w:rsidRDefault="002E48FF" w:rsidP="00D063B3">
      <w:pPr>
        <w:pStyle w:val="EndNoteBibliography"/>
        <w:spacing w:after="0"/>
        <w:ind w:left="720" w:hanging="720"/>
        <w:rPr>
          <w:lang w:val="nl-NL"/>
        </w:rPr>
      </w:pPr>
      <w:r w:rsidRPr="001537BA">
        <w:t>15.</w:t>
      </w:r>
      <w:r w:rsidRPr="001537BA">
        <w:tab/>
      </w:r>
      <w:r w:rsidR="006E078D" w:rsidRPr="001537BA">
        <w:rPr>
          <w:rFonts w:asciiTheme="minorHAnsi" w:hAnsiTheme="minorHAnsi" w:cs="Segoe UI"/>
          <w:shd w:val="clear" w:color="auto" w:fill="FFFFFF"/>
        </w:rPr>
        <w:t xml:space="preserve">Aaronson NK, Ahmedzai S, Bergman B, Bullinger M, Cull A, Duez NJ et al. The European Organization for Research and Treatment of Cancer QLQ-C30: a quality-of-life instrument for use in international clinical trials in oncology. </w:t>
      </w:r>
      <w:r w:rsidR="006E078D" w:rsidRPr="00482346">
        <w:rPr>
          <w:rFonts w:asciiTheme="minorHAnsi" w:hAnsiTheme="minorHAnsi" w:cs="Segoe UI"/>
          <w:shd w:val="clear" w:color="auto" w:fill="FFFFFF"/>
          <w:lang w:val="nl-NL"/>
        </w:rPr>
        <w:t>J Natl Cancer Inst </w:t>
      </w:r>
      <w:r w:rsidRPr="00482346">
        <w:rPr>
          <w:rFonts w:asciiTheme="minorHAnsi" w:hAnsiTheme="minorHAnsi"/>
          <w:lang w:val="nl-NL"/>
        </w:rPr>
        <w:t>1993</w:t>
      </w:r>
      <w:r w:rsidR="006E078D" w:rsidRPr="00482346">
        <w:rPr>
          <w:rFonts w:asciiTheme="minorHAnsi" w:hAnsiTheme="minorHAnsi"/>
          <w:lang w:val="nl-NL"/>
        </w:rPr>
        <w:t>;</w:t>
      </w:r>
      <w:r w:rsidRPr="00482346">
        <w:rPr>
          <w:rFonts w:asciiTheme="minorHAnsi" w:hAnsiTheme="minorHAnsi"/>
          <w:lang w:val="nl-NL"/>
        </w:rPr>
        <w:t xml:space="preserve"> 85(5):365-76.</w:t>
      </w:r>
    </w:p>
    <w:p w14:paraId="1BD1C54B" w14:textId="0DF1E477" w:rsidR="002E48FF" w:rsidRPr="001537BA" w:rsidRDefault="002E48FF" w:rsidP="00D063B3">
      <w:pPr>
        <w:pStyle w:val="EndNoteBibliography"/>
        <w:spacing w:after="0"/>
        <w:ind w:left="720" w:hanging="720"/>
      </w:pPr>
      <w:r w:rsidRPr="00482346">
        <w:rPr>
          <w:lang w:val="nl-NL"/>
        </w:rPr>
        <w:t>16.</w:t>
      </w:r>
      <w:r w:rsidRPr="00482346">
        <w:rPr>
          <w:lang w:val="nl-NL"/>
        </w:rPr>
        <w:tab/>
      </w:r>
      <w:r w:rsidR="006E078D" w:rsidRPr="00482346">
        <w:rPr>
          <w:rFonts w:asciiTheme="minorHAnsi" w:hAnsiTheme="minorHAnsi" w:cs="Segoe UI"/>
          <w:color w:val="212121"/>
          <w:shd w:val="clear" w:color="auto" w:fill="FFFFFF"/>
          <w:lang w:val="nl-NL"/>
        </w:rPr>
        <w:t xml:space="preserve">Sprangers MA, te Velde A, Aaronson NK. </w:t>
      </w:r>
      <w:r w:rsidR="006E078D" w:rsidRPr="001537BA">
        <w:rPr>
          <w:rFonts w:asciiTheme="minorHAnsi" w:hAnsiTheme="minorHAnsi" w:cs="Segoe UI"/>
          <w:color w:val="212121"/>
          <w:shd w:val="clear" w:color="auto" w:fill="FFFFFF"/>
        </w:rPr>
        <w:t>The construction and testing of the EORTC colorectal cancer-specific quality of life questionnaire module (QLQ-CR38). European Organization for Research and Treatment of Cancer Study Group on Quality of Life. Eur J Cancer</w:t>
      </w:r>
      <w:r w:rsidRPr="001537BA">
        <w:rPr>
          <w:rFonts w:asciiTheme="minorHAnsi" w:hAnsiTheme="minorHAnsi"/>
        </w:rPr>
        <w:t xml:space="preserve"> 1999</w:t>
      </w:r>
      <w:r w:rsidR="006E078D" w:rsidRPr="001537BA">
        <w:rPr>
          <w:rFonts w:asciiTheme="minorHAnsi" w:hAnsiTheme="minorHAnsi"/>
        </w:rPr>
        <w:t>;</w:t>
      </w:r>
      <w:r w:rsidRPr="001537BA">
        <w:rPr>
          <w:rFonts w:asciiTheme="minorHAnsi" w:hAnsiTheme="minorHAnsi"/>
        </w:rPr>
        <w:t>35(2):238-47.</w:t>
      </w:r>
    </w:p>
    <w:p w14:paraId="598A8EE8" w14:textId="13F77707" w:rsidR="002E48FF" w:rsidRPr="001537BA" w:rsidRDefault="002E48FF" w:rsidP="00D063B3">
      <w:pPr>
        <w:pStyle w:val="EndNoteBibliography"/>
        <w:spacing w:after="0"/>
        <w:ind w:left="720" w:hanging="720"/>
      </w:pPr>
      <w:r w:rsidRPr="001537BA">
        <w:t>17.</w:t>
      </w:r>
      <w:r w:rsidRPr="001537BA">
        <w:tab/>
      </w:r>
      <w:r w:rsidR="006E078D" w:rsidRPr="001537BA">
        <w:rPr>
          <w:rFonts w:asciiTheme="minorHAnsi" w:hAnsiTheme="minorHAnsi" w:cs="Segoe UI"/>
          <w:shd w:val="clear" w:color="auto" w:fill="FFFFFF"/>
        </w:rPr>
        <w:t>Gujral S, Conroy T, Fleissner C, Sezer O, King PM, Avery KN, Sylvester P, Koller M, Sprangers MA, Blazeby JM; European Organisation for Research and Treatment of Cancer Quality of Life Group. Assessing quality of life in patients with colorectal cancer: an update of the EORTC quality of life questionnaire.</w:t>
      </w:r>
      <w:r w:rsidR="006E078D" w:rsidRPr="001537BA">
        <w:rPr>
          <w:rFonts w:ascii="Segoe UI" w:hAnsi="Segoe UI" w:cs="Segoe UI"/>
          <w:shd w:val="clear" w:color="auto" w:fill="FFFFFF"/>
        </w:rPr>
        <w:t> </w:t>
      </w:r>
      <w:r w:rsidRPr="001537BA">
        <w:t>Eur J Cancer</w:t>
      </w:r>
      <w:r w:rsidR="006E078D" w:rsidRPr="001537BA">
        <w:t xml:space="preserve"> </w:t>
      </w:r>
      <w:r w:rsidRPr="001537BA">
        <w:t>2007</w:t>
      </w:r>
      <w:r w:rsidR="006E078D" w:rsidRPr="001537BA">
        <w:t>;</w:t>
      </w:r>
      <w:r w:rsidRPr="001537BA">
        <w:t>43(10): 1564-73.</w:t>
      </w:r>
    </w:p>
    <w:p w14:paraId="3399511E" w14:textId="0666D9FB" w:rsidR="002E48FF" w:rsidRPr="001537BA" w:rsidRDefault="002E48FF" w:rsidP="00D063B3">
      <w:pPr>
        <w:pStyle w:val="EndNoteBibliography"/>
        <w:spacing w:after="0"/>
        <w:ind w:left="720" w:hanging="720"/>
      </w:pPr>
      <w:r w:rsidRPr="001537BA">
        <w:t>18.</w:t>
      </w:r>
      <w:r w:rsidRPr="001537BA">
        <w:tab/>
      </w:r>
      <w:r w:rsidR="006E078D" w:rsidRPr="001537BA">
        <w:rPr>
          <w:rFonts w:asciiTheme="minorHAnsi" w:hAnsiTheme="minorHAnsi" w:cs="Segoe UI"/>
          <w:shd w:val="clear" w:color="auto" w:fill="FFFFFF"/>
        </w:rPr>
        <w:t>Ward WL, Hahn EA, Mo F, Hernandez L, Tulsky DS, Cella D. </w:t>
      </w:r>
      <w:r w:rsidRPr="001537BA">
        <w:rPr>
          <w:rFonts w:asciiTheme="minorHAnsi" w:hAnsiTheme="minorHAnsi"/>
        </w:rPr>
        <w:t>Reliability and validity of the Functional Assessment of Cancer Therapy-Colorectal (FACT-C) quality of life instrument. Qual Life Res 1999</w:t>
      </w:r>
      <w:r w:rsidR="006E078D" w:rsidRPr="001537BA">
        <w:rPr>
          <w:rFonts w:asciiTheme="minorHAnsi" w:hAnsiTheme="minorHAnsi"/>
        </w:rPr>
        <w:t>;</w:t>
      </w:r>
      <w:r w:rsidRPr="001537BA">
        <w:rPr>
          <w:rFonts w:asciiTheme="minorHAnsi" w:hAnsiTheme="minorHAnsi"/>
        </w:rPr>
        <w:t xml:space="preserve"> 8(3):181-95.</w:t>
      </w:r>
    </w:p>
    <w:p w14:paraId="1BC9C8E3" w14:textId="59FA58D0" w:rsidR="002E48FF" w:rsidRPr="001537BA" w:rsidRDefault="002E48FF" w:rsidP="00D063B3">
      <w:pPr>
        <w:pStyle w:val="EndNoteBibliography"/>
        <w:spacing w:after="0"/>
        <w:ind w:left="720" w:hanging="720"/>
      </w:pPr>
      <w:r w:rsidRPr="001537BA">
        <w:t>19.</w:t>
      </w:r>
      <w:r w:rsidRPr="001537BA">
        <w:tab/>
        <w:t>Johnson C,</w:t>
      </w:r>
      <w:r w:rsidR="00F16ACE" w:rsidRPr="001537BA">
        <w:t xml:space="preserve"> Aaronson N, Blazeby JM, Bottomley A, Fayers P, Koller M et al.</w:t>
      </w:r>
      <w:r w:rsidRPr="001537BA">
        <w:t xml:space="preserve"> </w:t>
      </w:r>
      <w:r w:rsidRPr="001537BA">
        <w:rPr>
          <w:i/>
        </w:rPr>
        <w:t>Guidelines for developing questionnaire modules.</w:t>
      </w:r>
      <w:r w:rsidRPr="001537BA">
        <w:t xml:space="preserve"> On Behalf of EORTC Quality of Life Group, 2011.</w:t>
      </w:r>
      <w:r w:rsidR="00F16ACE" w:rsidRPr="001537BA">
        <w:t xml:space="preserve"> </w:t>
      </w:r>
      <w:hyperlink r:id="rId10" w:history="1">
        <w:r w:rsidR="00F16ACE" w:rsidRPr="001537BA">
          <w:rPr>
            <w:rStyle w:val="Hyperlink"/>
          </w:rPr>
          <w:t>https://qol.eortc.org/manual/developing-questionnaire-modules/</w:t>
        </w:r>
      </w:hyperlink>
      <w:r w:rsidR="00F16ACE" w:rsidRPr="001537BA">
        <w:t xml:space="preserve"> [accessed 24 April 2021]</w:t>
      </w:r>
      <w:r w:rsidR="00216971" w:rsidRPr="001537BA">
        <w:t>.</w:t>
      </w:r>
    </w:p>
    <w:p w14:paraId="272C6FE7" w14:textId="4701988E" w:rsidR="002E48FF" w:rsidRPr="001537BA" w:rsidRDefault="002E48FF" w:rsidP="00D063B3">
      <w:pPr>
        <w:pStyle w:val="EndNoteBibliography"/>
        <w:spacing w:after="0"/>
        <w:ind w:left="720" w:hanging="720"/>
      </w:pPr>
      <w:r w:rsidRPr="001537BA">
        <w:t>20.</w:t>
      </w:r>
      <w:r w:rsidRPr="001537BA">
        <w:tab/>
        <w:t xml:space="preserve">Fayers PM, </w:t>
      </w:r>
      <w:r w:rsidR="00216971" w:rsidRPr="001537BA">
        <w:t>Machin D.</w:t>
      </w:r>
      <w:r w:rsidRPr="001537BA">
        <w:t xml:space="preserve"> Quality of Life</w:t>
      </w:r>
      <w:r w:rsidR="001E34FA" w:rsidRPr="001537BA">
        <w:t xml:space="preserve">: the Assessment, Analysis and Interpretation of Patient-reported Outcomes. </w:t>
      </w:r>
      <w:r w:rsidRPr="001537BA">
        <w:t xml:space="preserve"> </w:t>
      </w:r>
      <w:r w:rsidR="00216971" w:rsidRPr="001537BA">
        <w:t>3</w:t>
      </w:r>
      <w:r w:rsidR="00216971" w:rsidRPr="001537BA">
        <w:rPr>
          <w:vertAlign w:val="superscript"/>
        </w:rPr>
        <w:t>rd</w:t>
      </w:r>
      <w:r w:rsidR="00216971" w:rsidRPr="001537BA">
        <w:t xml:space="preserve"> ed.</w:t>
      </w:r>
      <w:r w:rsidRPr="001537BA">
        <w:t xml:space="preserve"> Chichester: John Wiley &amp; Sons, Ltd</w:t>
      </w:r>
      <w:r w:rsidR="00216971" w:rsidRPr="001537BA">
        <w:t>; 2016.</w:t>
      </w:r>
    </w:p>
    <w:p w14:paraId="6ECDB6AC" w14:textId="28456C97" w:rsidR="002E48FF" w:rsidRPr="001537BA" w:rsidRDefault="002E48FF" w:rsidP="00D063B3">
      <w:pPr>
        <w:pStyle w:val="EndNoteBibliography"/>
        <w:spacing w:after="0"/>
        <w:ind w:left="720" w:hanging="720"/>
      </w:pPr>
      <w:r w:rsidRPr="001537BA">
        <w:t>21.</w:t>
      </w:r>
      <w:r w:rsidRPr="001537BA">
        <w:tab/>
        <w:t>Shoukri MM, Asyali</w:t>
      </w:r>
      <w:r w:rsidR="00216971" w:rsidRPr="001537BA">
        <w:t xml:space="preserve"> MH</w:t>
      </w:r>
      <w:r w:rsidRPr="001537BA">
        <w:t>, Donner</w:t>
      </w:r>
      <w:r w:rsidR="00216971" w:rsidRPr="001537BA">
        <w:t xml:space="preserve"> A.</w:t>
      </w:r>
      <w:r w:rsidRPr="001537BA">
        <w:t xml:space="preserve"> Sample size requirements for the design of reliability study: review and new results. Stat</w:t>
      </w:r>
      <w:r w:rsidR="00216971" w:rsidRPr="001537BA">
        <w:t xml:space="preserve"> </w:t>
      </w:r>
      <w:r w:rsidRPr="001537BA">
        <w:t>Methods Med Res 2004</w:t>
      </w:r>
      <w:r w:rsidR="00216971" w:rsidRPr="001537BA">
        <w:t>;</w:t>
      </w:r>
      <w:r w:rsidRPr="001537BA">
        <w:t>13(4):251-71.</w:t>
      </w:r>
    </w:p>
    <w:p w14:paraId="64E5E8CE" w14:textId="6990D946" w:rsidR="002E48FF" w:rsidRPr="001537BA" w:rsidRDefault="002E48FF" w:rsidP="00D063B3">
      <w:pPr>
        <w:pStyle w:val="EndNoteBibliography"/>
        <w:spacing w:after="0"/>
        <w:ind w:left="720" w:hanging="720"/>
      </w:pPr>
      <w:r w:rsidRPr="001537BA">
        <w:t>22.</w:t>
      </w:r>
      <w:r w:rsidRPr="001537BA">
        <w:tab/>
        <w:t xml:space="preserve">Fayers PM, </w:t>
      </w:r>
      <w:r w:rsidR="00216971" w:rsidRPr="001537BA">
        <w:t>Aaronson NK</w:t>
      </w:r>
      <w:r w:rsidRPr="001537BA">
        <w:t xml:space="preserve">, Bjordal K, Groenvold M, Curran D, Bottomley A, on behalf of the EORTC Quality of Life Group. The EORTC QLQ-C30 Scoring Manual </w:t>
      </w:r>
      <w:r w:rsidR="00216971" w:rsidRPr="001537BA">
        <w:t>3</w:t>
      </w:r>
      <w:r w:rsidR="00216971" w:rsidRPr="001537BA">
        <w:rPr>
          <w:vertAlign w:val="superscript"/>
        </w:rPr>
        <w:t>rd</w:t>
      </w:r>
      <w:r w:rsidR="00216971" w:rsidRPr="001537BA">
        <w:t xml:space="preserve"> ed.</w:t>
      </w:r>
      <w:r w:rsidRPr="001537BA">
        <w:t xml:space="preserve"> European Organisation for Research and Treatment of Cancer</w:t>
      </w:r>
      <w:r w:rsidR="00216971" w:rsidRPr="001537BA">
        <w:t>:</w:t>
      </w:r>
      <w:r w:rsidRPr="001537BA">
        <w:t xml:space="preserve"> Brussels</w:t>
      </w:r>
      <w:r w:rsidR="00216971" w:rsidRPr="001537BA">
        <w:t>;</w:t>
      </w:r>
      <w:r w:rsidRPr="001537BA">
        <w:t xml:space="preserve"> 2001. </w:t>
      </w:r>
    </w:p>
    <w:p w14:paraId="63211EA5" w14:textId="0781FC36" w:rsidR="002E48FF" w:rsidRPr="001537BA" w:rsidRDefault="002E48FF" w:rsidP="00D063B3">
      <w:pPr>
        <w:pStyle w:val="EndNoteBibliography"/>
        <w:spacing w:after="0"/>
        <w:ind w:left="720" w:hanging="720"/>
      </w:pPr>
      <w:r w:rsidRPr="001537BA">
        <w:t>23.</w:t>
      </w:r>
      <w:r w:rsidRPr="001537BA">
        <w:tab/>
      </w:r>
      <w:r w:rsidR="00372E5A" w:rsidRPr="001537BA">
        <w:rPr>
          <w:rFonts w:asciiTheme="minorHAnsi" w:hAnsiTheme="minorHAnsi" w:cs="Segoe UI"/>
          <w:shd w:val="clear" w:color="auto" w:fill="FFFFFF"/>
        </w:rPr>
        <w:t>Oken MM, Creech RH, Tormey DC, Horton J, Davis TE, McFadden ET, Carbone PP.</w:t>
      </w:r>
      <w:r w:rsidR="00372E5A" w:rsidRPr="001537BA">
        <w:rPr>
          <w:rFonts w:asciiTheme="minorHAnsi" w:hAnsiTheme="minorHAnsi"/>
        </w:rPr>
        <w:t xml:space="preserve"> </w:t>
      </w:r>
      <w:r w:rsidRPr="001537BA">
        <w:rPr>
          <w:rFonts w:asciiTheme="minorHAnsi" w:hAnsiTheme="minorHAnsi"/>
        </w:rPr>
        <w:t>Toxicity and response criteria of the Eastern Cooperative Oncology Group. Am J Clin Oncol</w:t>
      </w:r>
      <w:r w:rsidR="00372E5A" w:rsidRPr="001537BA">
        <w:rPr>
          <w:rFonts w:asciiTheme="minorHAnsi" w:hAnsiTheme="minorHAnsi"/>
        </w:rPr>
        <w:t xml:space="preserve"> </w:t>
      </w:r>
      <w:r w:rsidRPr="001537BA">
        <w:rPr>
          <w:rFonts w:asciiTheme="minorHAnsi" w:hAnsiTheme="minorHAnsi"/>
        </w:rPr>
        <w:t>1982</w:t>
      </w:r>
      <w:r w:rsidR="00372E5A" w:rsidRPr="001537BA">
        <w:rPr>
          <w:rFonts w:asciiTheme="minorHAnsi" w:hAnsiTheme="minorHAnsi"/>
        </w:rPr>
        <w:t>;</w:t>
      </w:r>
      <w:r w:rsidRPr="001537BA">
        <w:rPr>
          <w:rFonts w:asciiTheme="minorHAnsi" w:hAnsiTheme="minorHAnsi"/>
        </w:rPr>
        <w:t xml:space="preserve"> 5(6):649-55.</w:t>
      </w:r>
    </w:p>
    <w:p w14:paraId="08A18ACB" w14:textId="067FBDE4" w:rsidR="002E48FF" w:rsidRPr="001537BA" w:rsidRDefault="002E48FF" w:rsidP="00D063B3">
      <w:pPr>
        <w:pStyle w:val="EndNoteBibliography"/>
        <w:spacing w:after="0"/>
        <w:ind w:left="720" w:hanging="720"/>
      </w:pPr>
      <w:r w:rsidRPr="001537BA">
        <w:t>24.</w:t>
      </w:r>
      <w:r w:rsidRPr="001537BA">
        <w:tab/>
      </w:r>
      <w:r w:rsidR="00372E5A" w:rsidRPr="001537BA">
        <w:rPr>
          <w:rFonts w:asciiTheme="minorHAnsi" w:hAnsiTheme="minorHAnsi" w:cs="Segoe UI"/>
          <w:shd w:val="clear" w:color="auto" w:fill="FFFFFF"/>
        </w:rPr>
        <w:t>Holzner B, Giesinger JM, Pinggera J, Zugal S, Schöpf F, Oberguggenberger AS</w:t>
      </w:r>
      <w:r w:rsidR="00372E5A" w:rsidRPr="001537BA">
        <w:rPr>
          <w:rFonts w:asciiTheme="minorHAnsi" w:hAnsiTheme="minorHAnsi"/>
        </w:rPr>
        <w:t xml:space="preserve"> </w:t>
      </w:r>
      <w:r w:rsidRPr="001537BA">
        <w:rPr>
          <w:rFonts w:asciiTheme="minorHAnsi" w:hAnsiTheme="minorHAnsi"/>
        </w:rPr>
        <w:t>et al.</w:t>
      </w:r>
      <w:r w:rsidR="00372E5A" w:rsidRPr="001537BA">
        <w:rPr>
          <w:rFonts w:asciiTheme="minorHAnsi" w:hAnsiTheme="minorHAnsi"/>
        </w:rPr>
        <w:t xml:space="preserve"> </w:t>
      </w:r>
      <w:r w:rsidRPr="001537BA">
        <w:rPr>
          <w:rFonts w:asciiTheme="minorHAnsi" w:hAnsiTheme="minorHAnsi"/>
        </w:rPr>
        <w:t xml:space="preserve">The Computer-based Health Evaluation Software (CHES): a software for electronic patient-reported outcome monitoring. BMC </w:t>
      </w:r>
      <w:r w:rsidR="00372E5A" w:rsidRPr="001537BA">
        <w:rPr>
          <w:rFonts w:asciiTheme="minorHAnsi" w:hAnsiTheme="minorHAnsi"/>
        </w:rPr>
        <w:t>M</w:t>
      </w:r>
      <w:r w:rsidRPr="001537BA">
        <w:rPr>
          <w:rFonts w:asciiTheme="minorHAnsi" w:hAnsiTheme="minorHAnsi"/>
        </w:rPr>
        <w:t xml:space="preserve">ed </w:t>
      </w:r>
      <w:r w:rsidR="00372E5A" w:rsidRPr="001537BA">
        <w:rPr>
          <w:rFonts w:asciiTheme="minorHAnsi" w:hAnsiTheme="minorHAnsi"/>
        </w:rPr>
        <w:t>I</w:t>
      </w:r>
      <w:r w:rsidRPr="001537BA">
        <w:rPr>
          <w:rFonts w:asciiTheme="minorHAnsi" w:hAnsiTheme="minorHAnsi"/>
        </w:rPr>
        <w:t>nform</w:t>
      </w:r>
      <w:r w:rsidR="00372E5A" w:rsidRPr="001537BA">
        <w:rPr>
          <w:rFonts w:asciiTheme="minorHAnsi" w:hAnsiTheme="minorHAnsi"/>
        </w:rPr>
        <w:t xml:space="preserve"> Decis Mak</w:t>
      </w:r>
      <w:r w:rsidRPr="001537BA">
        <w:rPr>
          <w:rFonts w:asciiTheme="minorHAnsi" w:hAnsiTheme="minorHAnsi"/>
        </w:rPr>
        <w:t xml:space="preserve"> 2012</w:t>
      </w:r>
      <w:r w:rsidR="00372E5A" w:rsidRPr="001537BA">
        <w:rPr>
          <w:rFonts w:asciiTheme="minorHAnsi" w:hAnsiTheme="minorHAnsi"/>
        </w:rPr>
        <w:t>;</w:t>
      </w:r>
      <w:r w:rsidRPr="001537BA">
        <w:rPr>
          <w:rFonts w:asciiTheme="minorHAnsi" w:hAnsiTheme="minorHAnsi"/>
        </w:rPr>
        <w:t>12:126.</w:t>
      </w:r>
    </w:p>
    <w:p w14:paraId="385641F9" w14:textId="712A78F4" w:rsidR="002E48FF" w:rsidRPr="001537BA" w:rsidRDefault="002E48FF" w:rsidP="00D063B3">
      <w:pPr>
        <w:pStyle w:val="EndNoteBibliography"/>
        <w:spacing w:after="0"/>
        <w:ind w:left="720" w:hanging="720"/>
      </w:pPr>
      <w:r w:rsidRPr="001537BA">
        <w:t>25.</w:t>
      </w:r>
      <w:r w:rsidRPr="001537BA">
        <w:tab/>
      </w:r>
      <w:r w:rsidR="00372E5A" w:rsidRPr="001537BA">
        <w:t xml:space="preserve">SAS Institute </w:t>
      </w:r>
      <w:r w:rsidRPr="001537BA">
        <w:t>Inc.</w:t>
      </w:r>
      <w:r w:rsidR="00372E5A" w:rsidRPr="001537BA">
        <w:t xml:space="preserve"> 2013.</w:t>
      </w:r>
      <w:r w:rsidRPr="001537BA">
        <w:t xml:space="preserve"> SAS® 9.4 Statements: Reference. 2013, SAS Institute Inc.: Cary, NC.</w:t>
      </w:r>
    </w:p>
    <w:p w14:paraId="602DB815" w14:textId="2E0E9DC7" w:rsidR="002E48FF" w:rsidRPr="001537BA" w:rsidRDefault="002E48FF" w:rsidP="00D063B3">
      <w:pPr>
        <w:pStyle w:val="EndNoteBibliography"/>
        <w:spacing w:after="0"/>
        <w:ind w:left="720" w:hanging="720"/>
      </w:pPr>
      <w:r w:rsidRPr="001537BA">
        <w:t>26.</w:t>
      </w:r>
      <w:r w:rsidRPr="001537BA">
        <w:tab/>
        <w:t xml:space="preserve">Kline RB. Principles and Practice of Structural Equation Modeling. </w:t>
      </w:r>
      <w:r w:rsidR="00372E5A" w:rsidRPr="001537BA">
        <w:t>4th</w:t>
      </w:r>
      <w:r w:rsidRPr="001537BA">
        <w:t xml:space="preserve"> ed. </w:t>
      </w:r>
      <w:r w:rsidR="00372E5A" w:rsidRPr="001537BA">
        <w:t xml:space="preserve">New York: </w:t>
      </w:r>
      <w:r w:rsidRPr="001537BA">
        <w:t>Guilford P</w:t>
      </w:r>
      <w:r w:rsidR="00372E5A" w:rsidRPr="001537BA">
        <w:t>ress; 2015</w:t>
      </w:r>
      <w:r w:rsidRPr="001537BA">
        <w:t>.</w:t>
      </w:r>
    </w:p>
    <w:p w14:paraId="54FBFA89" w14:textId="5C49AAF5" w:rsidR="002E48FF" w:rsidRPr="001537BA" w:rsidRDefault="002E48FF" w:rsidP="00D063B3">
      <w:pPr>
        <w:pStyle w:val="EndNoteBibliography"/>
        <w:spacing w:after="0"/>
        <w:ind w:left="720" w:hanging="720"/>
      </w:pPr>
      <w:r w:rsidRPr="001537BA">
        <w:t>27.</w:t>
      </w:r>
      <w:r w:rsidRPr="001537BA">
        <w:tab/>
        <w:t>Satorra A</w:t>
      </w:r>
      <w:r w:rsidR="001E34FA" w:rsidRPr="001537BA">
        <w:t>,</w:t>
      </w:r>
      <w:r w:rsidRPr="001537BA">
        <w:t xml:space="preserve"> Bentler</w:t>
      </w:r>
      <w:r w:rsidR="001E34FA" w:rsidRPr="001537BA">
        <w:t xml:space="preserve"> PM.</w:t>
      </w:r>
      <w:r w:rsidRPr="001537BA">
        <w:t xml:space="preserve"> A scaled difference chi-square test statistic for moment structure analysis. Psychometrika 2001</w:t>
      </w:r>
      <w:r w:rsidR="001E34FA" w:rsidRPr="001537BA">
        <w:t>;</w:t>
      </w:r>
      <w:r w:rsidRPr="001537BA">
        <w:t xml:space="preserve"> 66(4):507-14.</w:t>
      </w:r>
    </w:p>
    <w:p w14:paraId="30E5E6ED" w14:textId="32BB493C" w:rsidR="002E48FF" w:rsidRPr="001537BA" w:rsidRDefault="002E48FF" w:rsidP="001E34FA">
      <w:pPr>
        <w:pStyle w:val="EndNoteBibliography"/>
        <w:spacing w:after="0"/>
        <w:ind w:left="720" w:hanging="720"/>
      </w:pPr>
      <w:r w:rsidRPr="001537BA">
        <w:t>28.</w:t>
      </w:r>
      <w:r w:rsidRPr="001537BA">
        <w:tab/>
        <w:t>Hu L</w:t>
      </w:r>
      <w:r w:rsidR="001E34FA" w:rsidRPr="001537BA">
        <w:t xml:space="preserve">-T, </w:t>
      </w:r>
      <w:r w:rsidRPr="001537BA">
        <w:t>Bentler</w:t>
      </w:r>
      <w:r w:rsidR="001E34FA" w:rsidRPr="001537BA">
        <w:t xml:space="preserve"> PM.</w:t>
      </w:r>
      <w:r w:rsidRPr="001537BA">
        <w:t xml:space="preserve"> Cutoff criteria for fit indexes in covariance structure analysis: Conventional criteria versus new alternatives. Struct Equ Modeling 1999</w:t>
      </w:r>
      <w:r w:rsidR="001E34FA" w:rsidRPr="001537BA">
        <w:t>;</w:t>
      </w:r>
      <w:r w:rsidRPr="001537BA">
        <w:t>6(1):1-55.</w:t>
      </w:r>
    </w:p>
    <w:p w14:paraId="7ED8CFD6" w14:textId="68D17B17" w:rsidR="002E48FF" w:rsidRPr="001537BA" w:rsidRDefault="001E34FA" w:rsidP="00D063B3">
      <w:pPr>
        <w:pStyle w:val="EndNoteBibliography"/>
        <w:spacing w:after="0"/>
        <w:ind w:left="720" w:hanging="720"/>
      </w:pPr>
      <w:r w:rsidRPr="001537BA">
        <w:t>29</w:t>
      </w:r>
      <w:r w:rsidR="002E48FF" w:rsidRPr="001537BA">
        <w:t>.</w:t>
      </w:r>
      <w:r w:rsidR="002E48FF" w:rsidRPr="001537BA">
        <w:tab/>
      </w:r>
      <w:r w:rsidRPr="001537BA">
        <w:rPr>
          <w:rFonts w:asciiTheme="minorHAnsi" w:hAnsiTheme="minorHAnsi" w:cs="Segoe UI"/>
          <w:color w:val="212121"/>
          <w:shd w:val="clear" w:color="auto" w:fill="FFFFFF"/>
        </w:rPr>
        <w:t>Kazis LE, Anderson JJ, Meenan RF. Effect sizes for interpreting changes in health status. Med Care 1989;27(3 Suppl):S178-89.</w:t>
      </w:r>
      <w:r w:rsidRPr="001537BA">
        <w:rPr>
          <w:rFonts w:ascii="Segoe UI" w:hAnsi="Segoe UI" w:cs="Segoe UI"/>
          <w:color w:val="212121"/>
          <w:shd w:val="clear" w:color="auto" w:fill="FFFFFF"/>
        </w:rPr>
        <w:t> </w:t>
      </w:r>
    </w:p>
    <w:p w14:paraId="5EAA385B" w14:textId="4488B921" w:rsidR="002E48FF" w:rsidRPr="001537BA" w:rsidRDefault="002E48FF" w:rsidP="00D063B3">
      <w:pPr>
        <w:pStyle w:val="EndNoteBibliography"/>
        <w:spacing w:after="0"/>
        <w:ind w:left="720" w:hanging="720"/>
      </w:pPr>
      <w:r w:rsidRPr="001537BA">
        <w:t>3</w:t>
      </w:r>
      <w:r w:rsidR="001E34FA" w:rsidRPr="001537BA">
        <w:t>0</w:t>
      </w:r>
      <w:r w:rsidRPr="001537BA">
        <w:t>.</w:t>
      </w:r>
      <w:r w:rsidRPr="001537BA">
        <w:tab/>
      </w:r>
      <w:r w:rsidR="001E34FA" w:rsidRPr="001537BA">
        <w:t>Cancer Research UK</w:t>
      </w:r>
      <w:r w:rsidRPr="001537BA">
        <w:t xml:space="preserve"> Anal cancer incidence statistics. 2021  </w:t>
      </w:r>
      <w:hyperlink r:id="rId11" w:history="1">
        <w:r w:rsidR="001E34FA" w:rsidRPr="001537BA">
          <w:rPr>
            <w:rStyle w:val="Hyperlink"/>
          </w:rPr>
          <w:t>https://www.cancerresearchuk.org/health-professional/cancer-statistics/statistics-by-cancer-type/anal-cancer/incidence</w:t>
        </w:r>
      </w:hyperlink>
      <w:r w:rsidRPr="001537BA">
        <w:t>.</w:t>
      </w:r>
      <w:r w:rsidR="001E34FA" w:rsidRPr="001537BA">
        <w:t xml:space="preserve"> [accessed 18 March 2021].</w:t>
      </w:r>
    </w:p>
    <w:p w14:paraId="4340DF63" w14:textId="4431164C" w:rsidR="002E48FF" w:rsidRPr="001537BA" w:rsidRDefault="002E48FF" w:rsidP="00D063B3">
      <w:pPr>
        <w:pStyle w:val="EndNoteBibliography"/>
        <w:spacing w:after="0"/>
        <w:ind w:left="720" w:hanging="720"/>
      </w:pPr>
      <w:r w:rsidRPr="001537BA">
        <w:t>3</w:t>
      </w:r>
      <w:r w:rsidR="001E34FA" w:rsidRPr="001537BA">
        <w:t>1</w:t>
      </w:r>
      <w:r w:rsidRPr="001537BA">
        <w:t>.</w:t>
      </w:r>
      <w:r w:rsidRPr="001537BA">
        <w:tab/>
      </w:r>
      <w:r w:rsidR="00FF4C5A" w:rsidRPr="001537BA">
        <w:rPr>
          <w:rFonts w:asciiTheme="minorHAnsi" w:hAnsiTheme="minorHAnsi" w:cs="Segoe UI"/>
          <w:color w:val="212121"/>
          <w:shd w:val="clear" w:color="auto" w:fill="FFFFFF"/>
        </w:rPr>
        <w:t xml:space="preserve">Sterner A, Derwinger K, Staff C, Nilsson H, Angenete E. Quality of life in patients treated for anal carcinoma-a systematic literature review. Int J Colorectal Dis. </w:t>
      </w:r>
      <w:r w:rsidRPr="001537BA">
        <w:rPr>
          <w:rFonts w:asciiTheme="minorHAnsi" w:hAnsiTheme="minorHAnsi"/>
        </w:rPr>
        <w:t>2019</w:t>
      </w:r>
      <w:r w:rsidR="00FF4C5A" w:rsidRPr="001537BA">
        <w:rPr>
          <w:rFonts w:asciiTheme="minorHAnsi" w:hAnsiTheme="minorHAnsi"/>
        </w:rPr>
        <w:t>;</w:t>
      </w:r>
      <w:r w:rsidRPr="001537BA">
        <w:rPr>
          <w:rFonts w:asciiTheme="minorHAnsi" w:hAnsiTheme="minorHAnsi"/>
        </w:rPr>
        <w:t xml:space="preserve"> 34(9):1517-28.</w:t>
      </w:r>
    </w:p>
    <w:p w14:paraId="2AC6BB1F" w14:textId="606B3FFE" w:rsidR="002E48FF" w:rsidRPr="001537BA" w:rsidRDefault="002E48FF" w:rsidP="00D063B3">
      <w:pPr>
        <w:pStyle w:val="EndNoteBibliography"/>
        <w:spacing w:after="0"/>
        <w:ind w:left="720" w:hanging="720"/>
      </w:pPr>
      <w:r w:rsidRPr="001537BA">
        <w:lastRenderedPageBreak/>
        <w:t>3</w:t>
      </w:r>
      <w:r w:rsidR="001E34FA" w:rsidRPr="001537BA">
        <w:t>2</w:t>
      </w:r>
      <w:r w:rsidRPr="001537BA">
        <w:t>.</w:t>
      </w:r>
      <w:r w:rsidRPr="001537BA">
        <w:tab/>
      </w:r>
      <w:r w:rsidR="00FF4C5A" w:rsidRPr="001537BA">
        <w:rPr>
          <w:rFonts w:asciiTheme="minorHAnsi" w:hAnsiTheme="minorHAnsi" w:cs="Segoe UI"/>
          <w:color w:val="212121"/>
          <w:shd w:val="clear" w:color="auto" w:fill="FFFFFF"/>
        </w:rPr>
        <w:t>Fish R, Sanders C, Adams R, Brewer J, Brookes ST, DeNardo J</w:t>
      </w:r>
      <w:r w:rsidR="009825BD" w:rsidRPr="001537BA">
        <w:rPr>
          <w:rFonts w:asciiTheme="minorHAnsi" w:hAnsiTheme="minorHAnsi" w:cs="Segoe UI"/>
          <w:color w:val="212121"/>
          <w:shd w:val="clear" w:color="auto" w:fill="FFFFFF"/>
        </w:rPr>
        <w:t xml:space="preserve"> et al.</w:t>
      </w:r>
      <w:r w:rsidR="00FF4C5A" w:rsidRPr="001537BA">
        <w:rPr>
          <w:rFonts w:asciiTheme="minorHAnsi" w:hAnsiTheme="minorHAnsi" w:cs="Segoe UI"/>
          <w:color w:val="212121"/>
          <w:shd w:val="clear" w:color="auto" w:fill="FFFFFF"/>
        </w:rPr>
        <w:t xml:space="preserve"> </w:t>
      </w:r>
      <w:r w:rsidRPr="001537BA">
        <w:rPr>
          <w:rFonts w:asciiTheme="minorHAnsi" w:hAnsiTheme="minorHAnsi"/>
        </w:rPr>
        <w:t>A core outcome set for clinical trials of chemoradiotherapy interventions for anal cancer (CORMAC): a patient and health-care professional consensus. Lancet Gastroenterol Hepatol 2018</w:t>
      </w:r>
      <w:r w:rsidR="009825BD" w:rsidRPr="001537BA">
        <w:rPr>
          <w:rFonts w:asciiTheme="minorHAnsi" w:hAnsiTheme="minorHAnsi"/>
        </w:rPr>
        <w:t>;</w:t>
      </w:r>
      <w:r w:rsidRPr="001537BA">
        <w:rPr>
          <w:rFonts w:asciiTheme="minorHAnsi" w:hAnsiTheme="minorHAnsi"/>
        </w:rPr>
        <w:t>3(12): p. 865-73.</w:t>
      </w:r>
    </w:p>
    <w:p w14:paraId="25056C28" w14:textId="1E7FFE6F" w:rsidR="002E48FF" w:rsidRPr="001537BA" w:rsidRDefault="002E48FF" w:rsidP="00D063B3">
      <w:pPr>
        <w:pStyle w:val="EndNoteBibliography"/>
        <w:spacing w:after="0"/>
        <w:ind w:left="720" w:hanging="720"/>
      </w:pPr>
      <w:r w:rsidRPr="001537BA">
        <w:t>3</w:t>
      </w:r>
      <w:r w:rsidR="001E34FA" w:rsidRPr="001537BA">
        <w:t>3</w:t>
      </w:r>
      <w:r w:rsidRPr="001537BA">
        <w:t>.</w:t>
      </w:r>
      <w:r w:rsidRPr="001537BA">
        <w:tab/>
      </w:r>
      <w:r w:rsidR="009825BD" w:rsidRPr="001537BA">
        <w:rPr>
          <w:rFonts w:asciiTheme="minorHAnsi" w:hAnsiTheme="minorHAnsi" w:cs="Segoe UI"/>
          <w:color w:val="212121"/>
          <w:shd w:val="clear" w:color="auto" w:fill="FFFFFF"/>
        </w:rPr>
        <w:t>Benedict C, Philip EJ, Baser RE, Carter J, Schuler TA, Jandorf L et al.</w:t>
      </w:r>
      <w:r w:rsidRPr="001537BA">
        <w:rPr>
          <w:rFonts w:asciiTheme="minorHAnsi" w:hAnsiTheme="minorHAnsi"/>
        </w:rPr>
        <w:t xml:space="preserve"> Body image and sexual function in women after treatment for anal and rectal cancer. Psycho-Oncology 2016</w:t>
      </w:r>
      <w:r w:rsidR="009825BD" w:rsidRPr="001537BA">
        <w:rPr>
          <w:rFonts w:asciiTheme="minorHAnsi" w:hAnsiTheme="minorHAnsi"/>
        </w:rPr>
        <w:t>;</w:t>
      </w:r>
      <w:r w:rsidRPr="001537BA">
        <w:rPr>
          <w:rFonts w:asciiTheme="minorHAnsi" w:hAnsiTheme="minorHAnsi"/>
        </w:rPr>
        <w:t>25(3):316-23.</w:t>
      </w:r>
    </w:p>
    <w:p w14:paraId="5C12F07A" w14:textId="20A942A1" w:rsidR="002E48FF" w:rsidRPr="001537BA" w:rsidRDefault="002E48FF" w:rsidP="00D063B3">
      <w:pPr>
        <w:pStyle w:val="EndNoteBibliography"/>
        <w:spacing w:after="0"/>
        <w:ind w:left="720" w:hanging="720"/>
      </w:pPr>
      <w:r w:rsidRPr="001537BA">
        <w:t>3</w:t>
      </w:r>
      <w:r w:rsidR="001E34FA" w:rsidRPr="001537BA">
        <w:t>4</w:t>
      </w:r>
      <w:r w:rsidRPr="001537BA">
        <w:t>.</w:t>
      </w:r>
      <w:r w:rsidRPr="001537BA">
        <w:tab/>
      </w:r>
      <w:r w:rsidR="009825BD" w:rsidRPr="001537BA">
        <w:rPr>
          <w:rFonts w:asciiTheme="minorHAnsi" w:hAnsiTheme="minorHAnsi" w:cs="Segoe UI"/>
          <w:color w:val="212121"/>
          <w:shd w:val="clear" w:color="auto" w:fill="FFFFFF"/>
        </w:rPr>
        <w:t>Li M, Fitzgerald P, Rodin G. Evidence-based treatment of depression in patients with cancer. J Clin Oncol. </w:t>
      </w:r>
      <w:r w:rsidRPr="001537BA">
        <w:rPr>
          <w:rFonts w:asciiTheme="minorHAnsi" w:hAnsiTheme="minorHAnsi"/>
        </w:rPr>
        <w:t>2012</w:t>
      </w:r>
      <w:r w:rsidR="009825BD" w:rsidRPr="001537BA">
        <w:rPr>
          <w:rFonts w:asciiTheme="minorHAnsi" w:hAnsiTheme="minorHAnsi"/>
        </w:rPr>
        <w:t>;</w:t>
      </w:r>
      <w:r w:rsidRPr="001537BA">
        <w:rPr>
          <w:rFonts w:asciiTheme="minorHAnsi" w:hAnsiTheme="minorHAnsi"/>
        </w:rPr>
        <w:t>30(11)</w:t>
      </w:r>
      <w:r w:rsidR="009825BD" w:rsidRPr="001537BA">
        <w:rPr>
          <w:rFonts w:asciiTheme="minorHAnsi" w:hAnsiTheme="minorHAnsi"/>
        </w:rPr>
        <w:t>:</w:t>
      </w:r>
      <w:r w:rsidRPr="001537BA">
        <w:rPr>
          <w:rFonts w:asciiTheme="minorHAnsi" w:hAnsiTheme="minorHAnsi"/>
        </w:rPr>
        <w:t>1187-96.</w:t>
      </w:r>
    </w:p>
    <w:p w14:paraId="5DA07021" w14:textId="03B172C8" w:rsidR="002E48FF" w:rsidRPr="001537BA" w:rsidRDefault="002E48FF" w:rsidP="00D063B3">
      <w:pPr>
        <w:pStyle w:val="EndNoteBibliography"/>
        <w:spacing w:after="0"/>
        <w:ind w:left="720" w:hanging="720"/>
      </w:pPr>
      <w:r w:rsidRPr="001537BA">
        <w:t>3</w:t>
      </w:r>
      <w:r w:rsidR="001E34FA" w:rsidRPr="001537BA">
        <w:t>5</w:t>
      </w:r>
      <w:r w:rsidRPr="001537BA">
        <w:t>.</w:t>
      </w:r>
      <w:r w:rsidRPr="001537BA">
        <w:tab/>
      </w:r>
      <w:r w:rsidR="009825BD" w:rsidRPr="001537BA">
        <w:rPr>
          <w:rFonts w:asciiTheme="minorHAnsi" w:hAnsiTheme="minorHAnsi" w:cs="Segoe UI"/>
          <w:shd w:val="clear" w:color="auto" w:fill="FFFFFF"/>
        </w:rPr>
        <w:t>Mols F, Beijers T, Vreugdenhil G, van de Poll-Franse L. Chemotherapy-induced peripheral neuropathy and its association with quality of life: a systematic review. Support Care Cancer </w:t>
      </w:r>
      <w:r w:rsidRPr="001537BA">
        <w:rPr>
          <w:rFonts w:asciiTheme="minorHAnsi" w:hAnsiTheme="minorHAnsi"/>
        </w:rPr>
        <w:t>2014</w:t>
      </w:r>
      <w:r w:rsidR="009825BD" w:rsidRPr="001537BA">
        <w:rPr>
          <w:rFonts w:asciiTheme="minorHAnsi" w:hAnsiTheme="minorHAnsi"/>
        </w:rPr>
        <w:t>;</w:t>
      </w:r>
      <w:r w:rsidRPr="001537BA">
        <w:rPr>
          <w:rFonts w:asciiTheme="minorHAnsi" w:hAnsiTheme="minorHAnsi"/>
        </w:rPr>
        <w:t>22(8):2261-9.</w:t>
      </w:r>
    </w:p>
    <w:p w14:paraId="6EFA8CD5" w14:textId="04516DBC" w:rsidR="002E48FF" w:rsidRPr="001537BA" w:rsidRDefault="002E48FF" w:rsidP="00D063B3">
      <w:pPr>
        <w:pStyle w:val="EndNoteBibliography"/>
        <w:spacing w:after="0"/>
        <w:ind w:left="720" w:hanging="720"/>
      </w:pPr>
      <w:r w:rsidRPr="001537BA">
        <w:t>3</w:t>
      </w:r>
      <w:r w:rsidR="001E34FA" w:rsidRPr="001537BA">
        <w:t>6</w:t>
      </w:r>
      <w:r w:rsidRPr="001537BA">
        <w:t>.</w:t>
      </w:r>
      <w:r w:rsidRPr="001537BA">
        <w:tab/>
      </w:r>
      <w:r w:rsidR="009825BD" w:rsidRPr="001537BA">
        <w:rPr>
          <w:rFonts w:asciiTheme="minorHAnsi" w:hAnsiTheme="minorHAnsi" w:cs="Segoe UI"/>
          <w:shd w:val="clear" w:color="auto" w:fill="FFFFFF"/>
        </w:rPr>
        <w:t>Edwards HL, Mulvey MR, Bennett MI. Cancer-Related Neuropathic Pain. Cancers (Basel)</w:t>
      </w:r>
      <w:r w:rsidR="009825BD" w:rsidRPr="001537BA">
        <w:rPr>
          <w:rFonts w:asciiTheme="minorHAnsi" w:hAnsiTheme="minorHAnsi"/>
        </w:rPr>
        <w:t xml:space="preserve"> </w:t>
      </w:r>
      <w:r w:rsidRPr="001537BA">
        <w:rPr>
          <w:rFonts w:asciiTheme="minorHAnsi" w:hAnsiTheme="minorHAnsi"/>
        </w:rPr>
        <w:t>2019</w:t>
      </w:r>
      <w:r w:rsidR="009825BD" w:rsidRPr="001537BA">
        <w:rPr>
          <w:rFonts w:asciiTheme="minorHAnsi" w:hAnsiTheme="minorHAnsi"/>
        </w:rPr>
        <w:t>;</w:t>
      </w:r>
      <w:r w:rsidRPr="001537BA">
        <w:rPr>
          <w:rFonts w:asciiTheme="minorHAnsi" w:hAnsiTheme="minorHAnsi"/>
        </w:rPr>
        <w:t>11(3):373.</w:t>
      </w:r>
    </w:p>
    <w:p w14:paraId="1CF9C855" w14:textId="5E15C6A6" w:rsidR="002E48FF" w:rsidRPr="001537BA" w:rsidRDefault="002E48FF" w:rsidP="00D063B3">
      <w:pPr>
        <w:pStyle w:val="EndNoteBibliography"/>
        <w:spacing w:after="0"/>
        <w:ind w:left="720" w:hanging="720"/>
      </w:pPr>
      <w:r w:rsidRPr="001537BA">
        <w:t>3</w:t>
      </w:r>
      <w:r w:rsidR="001E34FA" w:rsidRPr="001537BA">
        <w:t>7</w:t>
      </w:r>
      <w:r w:rsidRPr="001537BA">
        <w:t>.</w:t>
      </w:r>
      <w:r w:rsidRPr="001537BA">
        <w:tab/>
      </w:r>
      <w:r w:rsidR="009825BD" w:rsidRPr="001537BA">
        <w:rPr>
          <w:rFonts w:asciiTheme="minorHAnsi" w:hAnsiTheme="minorHAnsi" w:cs="Segoe UI"/>
          <w:color w:val="212121"/>
          <w:shd w:val="clear" w:color="auto" w:fill="FFFFFF"/>
        </w:rPr>
        <w:t>Joseph K, Vos LJ, Warkentin H, Paulson K, Polkosnik LA, Usmani N et al. Patient reported quality of life after helical IMRT based concurrent chemoradiation of locally advanced anal cancer. Radiother Oncol </w:t>
      </w:r>
      <w:r w:rsidRPr="001537BA">
        <w:rPr>
          <w:rFonts w:asciiTheme="minorHAnsi" w:hAnsiTheme="minorHAnsi"/>
        </w:rPr>
        <w:t>2016</w:t>
      </w:r>
      <w:r w:rsidR="009825BD" w:rsidRPr="001537BA">
        <w:rPr>
          <w:rFonts w:asciiTheme="minorHAnsi" w:hAnsiTheme="minorHAnsi"/>
        </w:rPr>
        <w:t>;</w:t>
      </w:r>
      <w:r w:rsidRPr="001537BA">
        <w:rPr>
          <w:rFonts w:asciiTheme="minorHAnsi" w:hAnsiTheme="minorHAnsi"/>
        </w:rPr>
        <w:t>120(2):228-33.</w:t>
      </w:r>
    </w:p>
    <w:p w14:paraId="35872F95" w14:textId="5CB45DA5" w:rsidR="002E48FF" w:rsidRPr="001537BA" w:rsidRDefault="002E48FF" w:rsidP="00D063B3">
      <w:pPr>
        <w:pStyle w:val="EndNoteBibliography"/>
        <w:spacing w:after="0"/>
        <w:ind w:left="720" w:hanging="720"/>
      </w:pPr>
      <w:r w:rsidRPr="001537BA">
        <w:t>3</w:t>
      </w:r>
      <w:r w:rsidR="001E34FA" w:rsidRPr="001537BA">
        <w:t>8</w:t>
      </w:r>
      <w:r w:rsidRPr="001537BA">
        <w:t>.</w:t>
      </w:r>
      <w:r w:rsidRPr="001537BA">
        <w:tab/>
        <w:t xml:space="preserve">ClinicalTrials.gov. A Study of INCMGA00012 in Squamous Carcinoma of the Anal Canal Following Platinum-Based Chemotherapy (POD1UM-202).   </w:t>
      </w:r>
      <w:hyperlink r:id="rId12" w:history="1">
        <w:r w:rsidR="009825BD" w:rsidRPr="001537BA">
          <w:rPr>
            <w:rStyle w:val="Hyperlink"/>
          </w:rPr>
          <w:t>https://clinicaltrials.gov/ct2/show/NCT03597295</w:t>
        </w:r>
      </w:hyperlink>
      <w:r w:rsidRPr="001537BA">
        <w:t>.</w:t>
      </w:r>
      <w:r w:rsidR="009825BD" w:rsidRPr="001537BA">
        <w:t xml:space="preserve"> [accessed 21 May 2021].</w:t>
      </w:r>
    </w:p>
    <w:p w14:paraId="1E3944A4" w14:textId="46F16A05" w:rsidR="002E48FF" w:rsidRPr="001E34FA" w:rsidRDefault="001E34FA" w:rsidP="00D063B3">
      <w:pPr>
        <w:pStyle w:val="EndNoteBibliography"/>
        <w:ind w:left="720" w:hanging="720"/>
      </w:pPr>
      <w:r w:rsidRPr="001537BA">
        <w:t>39</w:t>
      </w:r>
      <w:r w:rsidR="002E48FF" w:rsidRPr="001537BA">
        <w:t>.</w:t>
      </w:r>
      <w:r w:rsidR="002E48FF" w:rsidRPr="001537BA">
        <w:tab/>
        <w:t xml:space="preserve">ClinicalTrials.gov. Carboplatin-paclitaxel With Retifanlimab or Placebo in Participants With Locally Advanced or Metastatic Squamous Cell Anal Carcinoma (POD1UM-303/InterAACT 2).  </w:t>
      </w:r>
      <w:hyperlink r:id="rId13" w:history="1">
        <w:r w:rsidR="009825BD" w:rsidRPr="001537BA">
          <w:rPr>
            <w:rStyle w:val="Hyperlink"/>
          </w:rPr>
          <w:t>https://clinicaltrials.gov/ct2/show/NCT04472429</w:t>
        </w:r>
      </w:hyperlink>
      <w:r w:rsidR="002E48FF" w:rsidRPr="001537BA">
        <w:t>.</w:t>
      </w:r>
      <w:r w:rsidR="009825BD" w:rsidRPr="001537BA">
        <w:t xml:space="preserve"> [accessed 21 May 2021].</w:t>
      </w:r>
    </w:p>
    <w:p w14:paraId="160B156E" w14:textId="77777777" w:rsidR="002E48FF" w:rsidRPr="001E34FA" w:rsidRDefault="002E48FF" w:rsidP="00D15E66"/>
    <w:p w14:paraId="4241EC3C" w14:textId="77777777" w:rsidR="002E48FF" w:rsidRDefault="002E48FF" w:rsidP="00D15E66"/>
    <w:p w14:paraId="76109A60" w14:textId="77777777" w:rsidR="002E48FF" w:rsidRDefault="002E48FF" w:rsidP="00D15E66"/>
    <w:p w14:paraId="75FF5A3F" w14:textId="492198F0" w:rsidR="00482346" w:rsidRDefault="00482346">
      <w:r>
        <w:br w:type="page"/>
      </w:r>
    </w:p>
    <w:p w14:paraId="3EC3C453" w14:textId="77777777" w:rsidR="00482346" w:rsidRDefault="00482346" w:rsidP="00482346"/>
    <w:p w14:paraId="774F6856" w14:textId="77777777" w:rsidR="00482346" w:rsidRPr="00D13476" w:rsidRDefault="00482346" w:rsidP="00482346">
      <w:r w:rsidRPr="00D13476">
        <w:t>Table 1. Internal reliability of the subscales at both time points</w:t>
      </w:r>
    </w:p>
    <w:tbl>
      <w:tblPr>
        <w:tblStyle w:val="TableGrid"/>
        <w:tblW w:w="9252" w:type="dxa"/>
        <w:tblLook w:val="04A0" w:firstRow="1" w:lastRow="0" w:firstColumn="1" w:lastColumn="0" w:noHBand="0" w:noVBand="1"/>
      </w:tblPr>
      <w:tblGrid>
        <w:gridCol w:w="2275"/>
        <w:gridCol w:w="1229"/>
        <w:gridCol w:w="1615"/>
        <w:gridCol w:w="1688"/>
        <w:gridCol w:w="2445"/>
      </w:tblGrid>
      <w:tr w:rsidR="00482346" w:rsidRPr="00D13476" w14:paraId="055EA552" w14:textId="77777777" w:rsidTr="00C47645">
        <w:tc>
          <w:tcPr>
            <w:tcW w:w="2761" w:type="dxa"/>
            <w:shd w:val="clear" w:color="auto" w:fill="BFBFBF" w:themeFill="background1" w:themeFillShade="BF"/>
          </w:tcPr>
          <w:p w14:paraId="3C629052" w14:textId="77777777" w:rsidR="00482346" w:rsidRPr="00D13476" w:rsidRDefault="00482346" w:rsidP="00C47645"/>
        </w:tc>
        <w:tc>
          <w:tcPr>
            <w:tcW w:w="2904" w:type="dxa"/>
            <w:gridSpan w:val="2"/>
            <w:shd w:val="clear" w:color="auto" w:fill="BFBFBF" w:themeFill="background1" w:themeFillShade="BF"/>
          </w:tcPr>
          <w:p w14:paraId="2C4774FA" w14:textId="77777777" w:rsidR="00482346" w:rsidRPr="00D13476" w:rsidRDefault="00482346" w:rsidP="00C47645">
            <w:pPr>
              <w:rPr>
                <w:b/>
                <w:bCs/>
              </w:rPr>
            </w:pPr>
            <w:r w:rsidRPr="00D13476">
              <w:rPr>
                <w:b/>
                <w:bCs/>
              </w:rPr>
              <w:t>Baseline</w:t>
            </w:r>
          </w:p>
        </w:tc>
        <w:tc>
          <w:tcPr>
            <w:tcW w:w="2818" w:type="dxa"/>
            <w:gridSpan w:val="2"/>
            <w:shd w:val="clear" w:color="auto" w:fill="BFBFBF" w:themeFill="background1" w:themeFillShade="BF"/>
          </w:tcPr>
          <w:p w14:paraId="4C5F76D5" w14:textId="77777777" w:rsidR="00482346" w:rsidRPr="00D13476" w:rsidRDefault="00482346" w:rsidP="00C47645">
            <w:pPr>
              <w:rPr>
                <w:b/>
                <w:bCs/>
              </w:rPr>
            </w:pPr>
            <w:r w:rsidRPr="00D13476">
              <w:rPr>
                <w:b/>
                <w:bCs/>
              </w:rPr>
              <w:t>Time 2</w:t>
            </w:r>
          </w:p>
        </w:tc>
      </w:tr>
      <w:tr w:rsidR="00482346" w:rsidRPr="00D13476" w14:paraId="790B7D09" w14:textId="77777777" w:rsidTr="00C47645">
        <w:tc>
          <w:tcPr>
            <w:tcW w:w="2761" w:type="dxa"/>
            <w:shd w:val="clear" w:color="auto" w:fill="BFBFBF" w:themeFill="background1" w:themeFillShade="BF"/>
          </w:tcPr>
          <w:p w14:paraId="1AF8E966" w14:textId="77777777" w:rsidR="00482346" w:rsidRPr="00D13476" w:rsidRDefault="00482346" w:rsidP="00C47645">
            <w:pPr>
              <w:rPr>
                <w:b/>
                <w:bCs/>
              </w:rPr>
            </w:pPr>
            <w:r w:rsidRPr="00D13476">
              <w:rPr>
                <w:b/>
                <w:bCs/>
              </w:rPr>
              <w:t>Subscale</w:t>
            </w:r>
          </w:p>
        </w:tc>
        <w:tc>
          <w:tcPr>
            <w:tcW w:w="1229" w:type="dxa"/>
            <w:shd w:val="clear" w:color="auto" w:fill="BFBFBF" w:themeFill="background1" w:themeFillShade="BF"/>
          </w:tcPr>
          <w:p w14:paraId="5A1EA0C8" w14:textId="77777777" w:rsidR="00482346" w:rsidRPr="00D13476" w:rsidRDefault="00482346" w:rsidP="00C47645">
            <w:pPr>
              <w:rPr>
                <w:b/>
                <w:bCs/>
              </w:rPr>
            </w:pPr>
            <w:r w:rsidRPr="00D13476">
              <w:rPr>
                <w:b/>
                <w:bCs/>
              </w:rPr>
              <w:t>Cronbach’s alpha (raw)</w:t>
            </w:r>
          </w:p>
        </w:tc>
        <w:tc>
          <w:tcPr>
            <w:tcW w:w="1675" w:type="dxa"/>
            <w:shd w:val="clear" w:color="auto" w:fill="BFBFBF" w:themeFill="background1" w:themeFillShade="BF"/>
          </w:tcPr>
          <w:p w14:paraId="640AF15F" w14:textId="77777777" w:rsidR="00482346" w:rsidRPr="00D13476" w:rsidRDefault="00482346" w:rsidP="00C47645">
            <w:pPr>
              <w:rPr>
                <w:b/>
                <w:bCs/>
              </w:rPr>
            </w:pPr>
            <w:r w:rsidRPr="00D13476">
              <w:rPr>
                <w:b/>
                <w:bCs/>
              </w:rPr>
              <w:t>Cronbach’s alpha (standardised)</w:t>
            </w:r>
          </w:p>
        </w:tc>
        <w:tc>
          <w:tcPr>
            <w:tcW w:w="2049" w:type="dxa"/>
            <w:shd w:val="clear" w:color="auto" w:fill="BFBFBF" w:themeFill="background1" w:themeFillShade="BF"/>
          </w:tcPr>
          <w:p w14:paraId="12DAA5C0" w14:textId="77777777" w:rsidR="00482346" w:rsidRPr="00D13476" w:rsidRDefault="00482346" w:rsidP="00C47645">
            <w:pPr>
              <w:rPr>
                <w:b/>
                <w:bCs/>
              </w:rPr>
            </w:pPr>
            <w:r w:rsidRPr="00D13476">
              <w:rPr>
                <w:b/>
                <w:bCs/>
              </w:rPr>
              <w:t>Cronbach’s alpha (raw)</w:t>
            </w:r>
          </w:p>
        </w:tc>
        <w:tc>
          <w:tcPr>
            <w:tcW w:w="0" w:type="auto"/>
            <w:shd w:val="clear" w:color="auto" w:fill="BFBFBF" w:themeFill="background1" w:themeFillShade="BF"/>
          </w:tcPr>
          <w:p w14:paraId="6915813A" w14:textId="77777777" w:rsidR="00482346" w:rsidRPr="00D13476" w:rsidRDefault="00482346" w:rsidP="00C47645">
            <w:pPr>
              <w:rPr>
                <w:b/>
                <w:bCs/>
              </w:rPr>
            </w:pPr>
            <w:r w:rsidRPr="00D13476">
              <w:rPr>
                <w:b/>
                <w:bCs/>
              </w:rPr>
              <w:t>Cronbach’s alpha (standardised)</w:t>
            </w:r>
          </w:p>
        </w:tc>
      </w:tr>
      <w:tr w:rsidR="00482346" w:rsidRPr="00D13476" w14:paraId="7F46298E" w14:textId="77777777" w:rsidTr="00C47645">
        <w:tc>
          <w:tcPr>
            <w:tcW w:w="2761" w:type="dxa"/>
            <w:shd w:val="clear" w:color="auto" w:fill="BFBFBF" w:themeFill="background1" w:themeFillShade="BF"/>
          </w:tcPr>
          <w:p w14:paraId="48C8C2D9" w14:textId="77777777" w:rsidR="00482346" w:rsidRPr="00D13476" w:rsidRDefault="00482346" w:rsidP="00C47645">
            <w:r w:rsidRPr="00D13476">
              <w:rPr>
                <w:rFonts w:cstheme="minorHAnsi"/>
                <w:szCs w:val="24"/>
              </w:rPr>
              <w:t xml:space="preserve">Bowel symptoms (non-stoma) </w:t>
            </w:r>
          </w:p>
        </w:tc>
        <w:tc>
          <w:tcPr>
            <w:tcW w:w="1229" w:type="dxa"/>
            <w:shd w:val="clear" w:color="auto" w:fill="auto"/>
          </w:tcPr>
          <w:p w14:paraId="58E7CCFB" w14:textId="77777777" w:rsidR="00482346" w:rsidRPr="00D13476" w:rsidRDefault="00482346" w:rsidP="00C47645">
            <w:r w:rsidRPr="00D13476">
              <w:t>0.78*</w:t>
            </w:r>
          </w:p>
        </w:tc>
        <w:tc>
          <w:tcPr>
            <w:tcW w:w="1675" w:type="dxa"/>
            <w:shd w:val="clear" w:color="auto" w:fill="auto"/>
          </w:tcPr>
          <w:p w14:paraId="4FAFA455" w14:textId="77777777" w:rsidR="00482346" w:rsidRPr="00D13476" w:rsidRDefault="00482346" w:rsidP="00C47645">
            <w:r w:rsidRPr="00D13476">
              <w:t>0.78*</w:t>
            </w:r>
          </w:p>
        </w:tc>
        <w:tc>
          <w:tcPr>
            <w:tcW w:w="2049" w:type="dxa"/>
            <w:shd w:val="clear" w:color="auto" w:fill="auto"/>
          </w:tcPr>
          <w:p w14:paraId="204020FB" w14:textId="77777777" w:rsidR="00482346" w:rsidRPr="00D13476" w:rsidRDefault="00482346" w:rsidP="00C47645">
            <w:r w:rsidRPr="00D13476">
              <w:t>0.80*</w:t>
            </w:r>
          </w:p>
        </w:tc>
        <w:tc>
          <w:tcPr>
            <w:tcW w:w="0" w:type="auto"/>
            <w:shd w:val="clear" w:color="auto" w:fill="auto"/>
          </w:tcPr>
          <w:p w14:paraId="573DF754" w14:textId="77777777" w:rsidR="00482346" w:rsidRPr="00D13476" w:rsidRDefault="00482346" w:rsidP="00C47645">
            <w:r w:rsidRPr="00D13476">
              <w:t>0.80*</w:t>
            </w:r>
          </w:p>
        </w:tc>
      </w:tr>
      <w:tr w:rsidR="00482346" w:rsidRPr="00D13476" w14:paraId="2A7DDF2A" w14:textId="77777777" w:rsidTr="00C47645">
        <w:tc>
          <w:tcPr>
            <w:tcW w:w="2761" w:type="dxa"/>
            <w:shd w:val="clear" w:color="auto" w:fill="BFBFBF" w:themeFill="background1" w:themeFillShade="BF"/>
          </w:tcPr>
          <w:p w14:paraId="41B516D6" w14:textId="77777777" w:rsidR="00482346" w:rsidRPr="00D13476" w:rsidRDefault="00482346" w:rsidP="00C47645">
            <w:r w:rsidRPr="00D13476">
              <w:rPr>
                <w:rFonts w:cstheme="minorHAnsi"/>
                <w:szCs w:val="24"/>
              </w:rPr>
              <w:t>Bowel symptoms (stoma)</w:t>
            </w:r>
          </w:p>
        </w:tc>
        <w:tc>
          <w:tcPr>
            <w:tcW w:w="1229" w:type="dxa"/>
            <w:shd w:val="clear" w:color="auto" w:fill="auto"/>
          </w:tcPr>
          <w:p w14:paraId="5B39D918" w14:textId="77777777" w:rsidR="00482346" w:rsidRPr="00D13476" w:rsidRDefault="00482346" w:rsidP="00C47645">
            <w:r w:rsidRPr="00D13476">
              <w:t>0.64</w:t>
            </w:r>
          </w:p>
        </w:tc>
        <w:tc>
          <w:tcPr>
            <w:tcW w:w="1675" w:type="dxa"/>
            <w:shd w:val="clear" w:color="auto" w:fill="auto"/>
          </w:tcPr>
          <w:p w14:paraId="554A6740" w14:textId="77777777" w:rsidR="00482346" w:rsidRPr="00D13476" w:rsidRDefault="00482346" w:rsidP="00C47645">
            <w:r w:rsidRPr="00D13476">
              <w:t>0.64</w:t>
            </w:r>
          </w:p>
        </w:tc>
        <w:tc>
          <w:tcPr>
            <w:tcW w:w="2049" w:type="dxa"/>
            <w:shd w:val="clear" w:color="auto" w:fill="auto"/>
          </w:tcPr>
          <w:p w14:paraId="2267F3EB" w14:textId="77777777" w:rsidR="00482346" w:rsidRPr="00D13476" w:rsidRDefault="00482346" w:rsidP="00C47645">
            <w:r w:rsidRPr="00D13476">
              <w:t>0.81*</w:t>
            </w:r>
          </w:p>
        </w:tc>
        <w:tc>
          <w:tcPr>
            <w:tcW w:w="0" w:type="auto"/>
            <w:shd w:val="clear" w:color="auto" w:fill="auto"/>
          </w:tcPr>
          <w:p w14:paraId="090546E8" w14:textId="77777777" w:rsidR="00482346" w:rsidRPr="00D13476" w:rsidRDefault="00482346" w:rsidP="00C47645">
            <w:r w:rsidRPr="00D13476">
              <w:t>0.81*</w:t>
            </w:r>
          </w:p>
        </w:tc>
      </w:tr>
      <w:tr w:rsidR="00482346" w:rsidRPr="00D13476" w14:paraId="43740AC0" w14:textId="77777777" w:rsidTr="00C47645">
        <w:tc>
          <w:tcPr>
            <w:tcW w:w="2761" w:type="dxa"/>
            <w:shd w:val="clear" w:color="auto" w:fill="BFBFBF" w:themeFill="background1" w:themeFillShade="BF"/>
          </w:tcPr>
          <w:p w14:paraId="39E72088" w14:textId="77777777" w:rsidR="00482346" w:rsidRPr="00D13476" w:rsidRDefault="00482346" w:rsidP="00C47645">
            <w:r w:rsidRPr="00D13476">
              <w:rPr>
                <w:rFonts w:cstheme="minorHAnsi"/>
                <w:szCs w:val="24"/>
              </w:rPr>
              <w:t>Pain/discomfort</w:t>
            </w:r>
          </w:p>
        </w:tc>
        <w:tc>
          <w:tcPr>
            <w:tcW w:w="1229" w:type="dxa"/>
            <w:shd w:val="clear" w:color="auto" w:fill="auto"/>
          </w:tcPr>
          <w:p w14:paraId="72D7C5D0" w14:textId="77777777" w:rsidR="00482346" w:rsidRPr="00D13476" w:rsidRDefault="00482346" w:rsidP="00C47645">
            <w:r w:rsidRPr="00D13476">
              <w:t>0.89*</w:t>
            </w:r>
          </w:p>
        </w:tc>
        <w:tc>
          <w:tcPr>
            <w:tcW w:w="1675" w:type="dxa"/>
            <w:shd w:val="clear" w:color="auto" w:fill="auto"/>
          </w:tcPr>
          <w:p w14:paraId="5ACCB68B" w14:textId="77777777" w:rsidR="00482346" w:rsidRPr="00D13476" w:rsidRDefault="00482346" w:rsidP="00C47645">
            <w:r w:rsidRPr="00D13476">
              <w:t>0.89*</w:t>
            </w:r>
          </w:p>
        </w:tc>
        <w:tc>
          <w:tcPr>
            <w:tcW w:w="2049" w:type="dxa"/>
            <w:shd w:val="clear" w:color="auto" w:fill="auto"/>
          </w:tcPr>
          <w:p w14:paraId="7A83E79B" w14:textId="77777777" w:rsidR="00482346" w:rsidRPr="00D13476" w:rsidRDefault="00482346" w:rsidP="00C47645">
            <w:r w:rsidRPr="00D13476">
              <w:t>0.93*</w:t>
            </w:r>
          </w:p>
        </w:tc>
        <w:tc>
          <w:tcPr>
            <w:tcW w:w="0" w:type="auto"/>
            <w:shd w:val="clear" w:color="auto" w:fill="auto"/>
          </w:tcPr>
          <w:p w14:paraId="315921D7" w14:textId="77777777" w:rsidR="00482346" w:rsidRPr="00D13476" w:rsidRDefault="00482346" w:rsidP="00C47645">
            <w:r w:rsidRPr="00D13476">
              <w:t>0.93*</w:t>
            </w:r>
          </w:p>
        </w:tc>
      </w:tr>
      <w:tr w:rsidR="00482346" w:rsidRPr="00D13476" w14:paraId="3D7D1561" w14:textId="77777777" w:rsidTr="00C47645">
        <w:tc>
          <w:tcPr>
            <w:tcW w:w="2761" w:type="dxa"/>
            <w:shd w:val="clear" w:color="auto" w:fill="BFBFBF" w:themeFill="background1" w:themeFillShade="BF"/>
          </w:tcPr>
          <w:p w14:paraId="55CD32D4" w14:textId="77777777" w:rsidR="00482346" w:rsidRPr="00D13476" w:rsidRDefault="00482346" w:rsidP="00C47645">
            <w:r w:rsidRPr="00D13476">
              <w:rPr>
                <w:rFonts w:cstheme="minorHAnsi"/>
                <w:szCs w:val="24"/>
              </w:rPr>
              <w:t xml:space="preserve">Stoma care </w:t>
            </w:r>
          </w:p>
        </w:tc>
        <w:tc>
          <w:tcPr>
            <w:tcW w:w="1229" w:type="dxa"/>
            <w:shd w:val="clear" w:color="auto" w:fill="auto"/>
          </w:tcPr>
          <w:p w14:paraId="3C23C901" w14:textId="77777777" w:rsidR="00482346" w:rsidRPr="00D13476" w:rsidRDefault="00482346" w:rsidP="00C47645">
            <w:r w:rsidRPr="00D13476">
              <w:t>0.65</w:t>
            </w:r>
          </w:p>
        </w:tc>
        <w:tc>
          <w:tcPr>
            <w:tcW w:w="1675" w:type="dxa"/>
            <w:shd w:val="clear" w:color="auto" w:fill="auto"/>
          </w:tcPr>
          <w:p w14:paraId="43E30AF9" w14:textId="77777777" w:rsidR="00482346" w:rsidRPr="00D13476" w:rsidRDefault="00482346" w:rsidP="00C47645">
            <w:r w:rsidRPr="00D13476">
              <w:t>0.65</w:t>
            </w:r>
          </w:p>
        </w:tc>
        <w:tc>
          <w:tcPr>
            <w:tcW w:w="2049" w:type="dxa"/>
            <w:shd w:val="clear" w:color="auto" w:fill="auto"/>
          </w:tcPr>
          <w:p w14:paraId="7828C39A" w14:textId="77777777" w:rsidR="00482346" w:rsidRPr="00D13476" w:rsidRDefault="00482346" w:rsidP="00C47645">
            <w:r w:rsidRPr="00D13476">
              <w:t>0.87*</w:t>
            </w:r>
          </w:p>
        </w:tc>
        <w:tc>
          <w:tcPr>
            <w:tcW w:w="0" w:type="auto"/>
            <w:shd w:val="clear" w:color="auto" w:fill="auto"/>
          </w:tcPr>
          <w:p w14:paraId="4EE4E048" w14:textId="77777777" w:rsidR="00482346" w:rsidRPr="00D13476" w:rsidRDefault="00482346" w:rsidP="00C47645">
            <w:r w:rsidRPr="00D13476">
              <w:t>0.89*</w:t>
            </w:r>
          </w:p>
        </w:tc>
      </w:tr>
      <w:tr w:rsidR="00482346" w:rsidRPr="00D13476" w14:paraId="51077C28" w14:textId="77777777" w:rsidTr="00C47645">
        <w:tc>
          <w:tcPr>
            <w:tcW w:w="2761" w:type="dxa"/>
            <w:shd w:val="clear" w:color="auto" w:fill="BFBFBF" w:themeFill="background1" w:themeFillShade="BF"/>
          </w:tcPr>
          <w:p w14:paraId="02AA014F" w14:textId="77777777" w:rsidR="00482346" w:rsidRPr="00D13476" w:rsidRDefault="00482346" w:rsidP="00C47645">
            <w:pPr>
              <w:rPr>
                <w:sz w:val="18"/>
                <w:szCs w:val="18"/>
              </w:rPr>
            </w:pPr>
            <w:r w:rsidRPr="00D13476">
              <w:rPr>
                <w:rFonts w:cstheme="minorHAnsi"/>
                <w:sz w:val="18"/>
                <w:szCs w:val="18"/>
              </w:rPr>
              <w:t>Vaginal symptoms</w:t>
            </w:r>
          </w:p>
        </w:tc>
        <w:tc>
          <w:tcPr>
            <w:tcW w:w="1229" w:type="dxa"/>
            <w:shd w:val="clear" w:color="auto" w:fill="auto"/>
          </w:tcPr>
          <w:p w14:paraId="4F00E9B9" w14:textId="77777777" w:rsidR="00482346" w:rsidRPr="00D13476" w:rsidRDefault="00482346" w:rsidP="00C47645">
            <w:pPr>
              <w:rPr>
                <w:sz w:val="18"/>
                <w:szCs w:val="18"/>
              </w:rPr>
            </w:pPr>
            <w:r w:rsidRPr="00D13476">
              <w:rPr>
                <w:sz w:val="18"/>
                <w:szCs w:val="18"/>
              </w:rPr>
              <w:t>0.88*</w:t>
            </w:r>
          </w:p>
        </w:tc>
        <w:tc>
          <w:tcPr>
            <w:tcW w:w="1675" w:type="dxa"/>
            <w:shd w:val="clear" w:color="auto" w:fill="auto"/>
          </w:tcPr>
          <w:p w14:paraId="7113369F" w14:textId="77777777" w:rsidR="00482346" w:rsidRPr="00D13476" w:rsidRDefault="00482346" w:rsidP="00C47645">
            <w:pPr>
              <w:rPr>
                <w:sz w:val="18"/>
                <w:szCs w:val="18"/>
              </w:rPr>
            </w:pPr>
            <w:r w:rsidRPr="00D13476">
              <w:rPr>
                <w:sz w:val="18"/>
                <w:szCs w:val="18"/>
              </w:rPr>
              <w:t>0.88*</w:t>
            </w:r>
          </w:p>
        </w:tc>
        <w:tc>
          <w:tcPr>
            <w:tcW w:w="2049" w:type="dxa"/>
            <w:shd w:val="clear" w:color="auto" w:fill="auto"/>
          </w:tcPr>
          <w:p w14:paraId="09236F7F" w14:textId="77777777" w:rsidR="00482346" w:rsidRPr="00D13476" w:rsidRDefault="00482346" w:rsidP="00C47645">
            <w:pPr>
              <w:tabs>
                <w:tab w:val="center" w:pos="755"/>
              </w:tabs>
              <w:rPr>
                <w:sz w:val="18"/>
                <w:szCs w:val="18"/>
              </w:rPr>
            </w:pPr>
            <w:r w:rsidRPr="00D13476">
              <w:rPr>
                <w:sz w:val="18"/>
                <w:szCs w:val="18"/>
              </w:rPr>
              <w:t>0.89*</w:t>
            </w:r>
          </w:p>
        </w:tc>
        <w:tc>
          <w:tcPr>
            <w:tcW w:w="0" w:type="auto"/>
            <w:shd w:val="clear" w:color="auto" w:fill="auto"/>
          </w:tcPr>
          <w:p w14:paraId="2F7906D2" w14:textId="77777777" w:rsidR="00482346" w:rsidRPr="00D13476" w:rsidRDefault="00482346" w:rsidP="00C47645">
            <w:pPr>
              <w:rPr>
                <w:sz w:val="18"/>
                <w:szCs w:val="18"/>
              </w:rPr>
            </w:pPr>
            <w:r w:rsidRPr="00D13476">
              <w:rPr>
                <w:sz w:val="18"/>
                <w:szCs w:val="18"/>
              </w:rPr>
              <w:t>0.89*</w:t>
            </w:r>
          </w:p>
        </w:tc>
      </w:tr>
    </w:tbl>
    <w:p w14:paraId="2732EA84" w14:textId="77777777" w:rsidR="00482346" w:rsidRPr="00D13476" w:rsidRDefault="00482346" w:rsidP="00482346">
      <w:pPr>
        <w:rPr>
          <w:sz w:val="18"/>
          <w:szCs w:val="18"/>
        </w:rPr>
      </w:pPr>
      <w:r w:rsidRPr="00D13476">
        <w:rPr>
          <w:sz w:val="18"/>
          <w:szCs w:val="18"/>
        </w:rPr>
        <w:t xml:space="preserve">*Acceptable consistency in responses to items within the scales, </w:t>
      </w:r>
      <w:r w:rsidRPr="00D13476">
        <w:rPr>
          <w:rFonts w:cs="Arial"/>
          <w:sz w:val="18"/>
          <w:szCs w:val="18"/>
        </w:rPr>
        <w:t>Cronbach's alpha coefficient</w:t>
      </w:r>
      <w:r w:rsidRPr="00D13476">
        <w:rPr>
          <w:sz w:val="18"/>
          <w:szCs w:val="18"/>
        </w:rPr>
        <w:t xml:space="preserve"> </w:t>
      </w:r>
      <w:r w:rsidRPr="00D13476">
        <w:rPr>
          <w:sz w:val="18"/>
          <w:szCs w:val="18"/>
          <w:u w:val="single"/>
        </w:rPr>
        <w:t>&gt;</w:t>
      </w:r>
      <w:r w:rsidRPr="00D13476">
        <w:rPr>
          <w:sz w:val="18"/>
          <w:szCs w:val="18"/>
        </w:rPr>
        <w:t>0.70</w:t>
      </w:r>
    </w:p>
    <w:p w14:paraId="675B9794" w14:textId="77777777" w:rsidR="00482346" w:rsidRPr="00D13476" w:rsidRDefault="00482346" w:rsidP="00482346"/>
    <w:p w14:paraId="3FD2E980" w14:textId="77777777" w:rsidR="00482346" w:rsidRPr="00D13476" w:rsidRDefault="00482346" w:rsidP="00482346"/>
    <w:p w14:paraId="19549A16" w14:textId="77777777" w:rsidR="00482346" w:rsidRPr="00D13476" w:rsidRDefault="00482346" w:rsidP="00482346">
      <w:bookmarkStart w:id="7" w:name="_Toc68618836"/>
      <w:r w:rsidRPr="00D13476">
        <w:t>Table 2. Test-retest analyses for clinically stable participants</w:t>
      </w:r>
      <w:bookmarkEnd w:id="7"/>
    </w:p>
    <w:tbl>
      <w:tblPr>
        <w:tblW w:w="9348" w:type="dxa"/>
        <w:tblCellMar>
          <w:left w:w="0" w:type="dxa"/>
          <w:right w:w="0" w:type="dxa"/>
        </w:tblCellMar>
        <w:tblLook w:val="0000" w:firstRow="0" w:lastRow="0" w:firstColumn="0" w:lastColumn="0" w:noHBand="0" w:noVBand="0"/>
      </w:tblPr>
      <w:tblGrid>
        <w:gridCol w:w="2969"/>
        <w:gridCol w:w="3396"/>
        <w:gridCol w:w="1134"/>
        <w:gridCol w:w="992"/>
        <w:gridCol w:w="857"/>
      </w:tblGrid>
      <w:tr w:rsidR="00482346" w:rsidRPr="00D13476" w14:paraId="444CBE0C" w14:textId="77777777" w:rsidTr="00C47645">
        <w:trPr>
          <w:cantSplit/>
          <w:tblHeader/>
        </w:trPr>
        <w:tc>
          <w:tcPr>
            <w:tcW w:w="2969" w:type="dxa"/>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5DA7F583" w14:textId="77777777" w:rsidR="00482346" w:rsidRPr="00D13476" w:rsidRDefault="00482346" w:rsidP="00C47645">
            <w:pPr>
              <w:adjustRightInd w:val="0"/>
              <w:spacing w:before="60" w:after="60"/>
              <w:rPr>
                <w:b/>
                <w:bCs/>
                <w:color w:val="000000"/>
              </w:rPr>
            </w:pPr>
            <w:r w:rsidRPr="00D13476">
              <w:rPr>
                <w:b/>
                <w:bCs/>
                <w:color w:val="000000"/>
              </w:rPr>
              <w:t>Subscale / Item</w:t>
            </w:r>
          </w:p>
        </w:tc>
        <w:tc>
          <w:tcPr>
            <w:tcW w:w="3396" w:type="dxa"/>
            <w:tcBorders>
              <w:top w:val="single" w:sz="6" w:space="0" w:color="000000"/>
              <w:left w:val="single" w:sz="2" w:space="0" w:color="000000"/>
              <w:bottom w:val="single" w:sz="2" w:space="0" w:color="000000"/>
              <w:right w:val="single" w:sz="2" w:space="0" w:color="000000"/>
            </w:tcBorders>
            <w:shd w:val="clear" w:color="auto" w:fill="BBBBBB"/>
          </w:tcPr>
          <w:p w14:paraId="0F829349" w14:textId="77777777" w:rsidR="00482346" w:rsidRPr="00D13476" w:rsidRDefault="00482346" w:rsidP="00C47645">
            <w:pPr>
              <w:adjustRightInd w:val="0"/>
              <w:spacing w:before="60" w:after="60"/>
              <w:rPr>
                <w:b/>
                <w:bCs/>
                <w:color w:val="000000"/>
              </w:rPr>
            </w:pPr>
            <w:r w:rsidRPr="00D13476">
              <w:rPr>
                <w:b/>
                <w:bCs/>
                <w:color w:val="000000"/>
              </w:rPr>
              <w:t>Mean (SD) paired difference (Baseline minus time 2)</w:t>
            </w:r>
          </w:p>
        </w:tc>
        <w:tc>
          <w:tcPr>
            <w:tcW w:w="1134" w:type="dxa"/>
            <w:tcBorders>
              <w:top w:val="single" w:sz="6" w:space="0" w:color="000000"/>
              <w:left w:val="single" w:sz="2" w:space="0" w:color="000000"/>
              <w:bottom w:val="single" w:sz="2" w:space="0" w:color="000000"/>
              <w:right w:val="single" w:sz="2" w:space="0" w:color="000000"/>
            </w:tcBorders>
            <w:shd w:val="clear" w:color="auto" w:fill="BBBBBB"/>
          </w:tcPr>
          <w:p w14:paraId="1F591231" w14:textId="77777777" w:rsidR="00482346" w:rsidRPr="00D13476" w:rsidRDefault="00482346" w:rsidP="00C47645">
            <w:pPr>
              <w:adjustRightInd w:val="0"/>
              <w:spacing w:before="60" w:after="60"/>
              <w:rPr>
                <w:b/>
                <w:bCs/>
                <w:color w:val="000000"/>
              </w:rPr>
            </w:pPr>
            <w:r w:rsidRPr="00D13476">
              <w:rPr>
                <w:b/>
                <w:bCs/>
                <w:color w:val="000000"/>
              </w:rPr>
              <w:t>95% CI</w:t>
            </w:r>
          </w:p>
        </w:tc>
        <w:tc>
          <w:tcPr>
            <w:tcW w:w="992" w:type="dxa"/>
            <w:tcBorders>
              <w:top w:val="single" w:sz="6" w:space="0" w:color="000000"/>
              <w:left w:val="single" w:sz="2" w:space="0" w:color="000000"/>
              <w:bottom w:val="single" w:sz="2" w:space="0" w:color="000000"/>
              <w:right w:val="single" w:sz="2" w:space="0" w:color="000000"/>
            </w:tcBorders>
            <w:shd w:val="clear" w:color="auto" w:fill="BFBFBF" w:themeFill="background1" w:themeFillShade="BF"/>
            <w:vAlign w:val="bottom"/>
          </w:tcPr>
          <w:p w14:paraId="371B9DE5" w14:textId="77777777" w:rsidR="00482346" w:rsidRPr="00D13476" w:rsidRDefault="00482346" w:rsidP="00C47645">
            <w:pPr>
              <w:adjustRightInd w:val="0"/>
              <w:spacing w:before="60" w:after="60"/>
              <w:rPr>
                <w:b/>
                <w:bCs/>
                <w:color w:val="000000"/>
              </w:rPr>
            </w:pPr>
            <w:r w:rsidRPr="00D13476">
              <w:rPr>
                <w:b/>
                <w:bCs/>
                <w:color w:val="000000"/>
              </w:rPr>
              <w:t>ICC (2,1)</w:t>
            </w:r>
          </w:p>
        </w:tc>
        <w:tc>
          <w:tcPr>
            <w:tcW w:w="857" w:type="dxa"/>
            <w:tcBorders>
              <w:top w:val="single" w:sz="6" w:space="0" w:color="000000"/>
              <w:left w:val="single" w:sz="2" w:space="0" w:color="000000"/>
              <w:bottom w:val="single" w:sz="2" w:space="0" w:color="000000"/>
              <w:right w:val="single" w:sz="2" w:space="0" w:color="000000"/>
            </w:tcBorders>
            <w:shd w:val="clear" w:color="auto" w:fill="BFBFBF" w:themeFill="background1" w:themeFillShade="BF"/>
          </w:tcPr>
          <w:p w14:paraId="39852798" w14:textId="77777777" w:rsidR="00482346" w:rsidRPr="00D13476" w:rsidRDefault="00482346" w:rsidP="00C47645">
            <w:pPr>
              <w:adjustRightInd w:val="0"/>
              <w:spacing w:before="60" w:after="60"/>
              <w:rPr>
                <w:b/>
                <w:bCs/>
                <w:color w:val="000000"/>
              </w:rPr>
            </w:pPr>
            <w:r w:rsidRPr="00D13476">
              <w:rPr>
                <w:b/>
                <w:bCs/>
                <w:color w:val="000000"/>
              </w:rPr>
              <w:t>n</w:t>
            </w:r>
          </w:p>
        </w:tc>
      </w:tr>
      <w:tr w:rsidR="00482346" w:rsidRPr="00D13476" w14:paraId="4CC1C8D4" w14:textId="77777777" w:rsidTr="00C47645">
        <w:trPr>
          <w:cantSplit/>
        </w:trPr>
        <w:tc>
          <w:tcPr>
            <w:tcW w:w="2969" w:type="dxa"/>
            <w:tcBorders>
              <w:top w:val="nil"/>
              <w:left w:val="single" w:sz="6" w:space="0" w:color="000000"/>
              <w:bottom w:val="single" w:sz="2" w:space="0" w:color="000000"/>
              <w:right w:val="nil"/>
            </w:tcBorders>
            <w:shd w:val="clear" w:color="auto" w:fill="BBBBBB"/>
            <w:tcMar>
              <w:left w:w="60" w:type="dxa"/>
              <w:right w:w="60" w:type="dxa"/>
            </w:tcMar>
          </w:tcPr>
          <w:p w14:paraId="4F23A54E" w14:textId="77777777" w:rsidR="00482346" w:rsidRPr="00D13476" w:rsidRDefault="00482346" w:rsidP="00C47645">
            <w:pPr>
              <w:adjustRightInd w:val="0"/>
              <w:spacing w:before="60" w:after="60"/>
              <w:rPr>
                <w:rFonts w:cstheme="minorHAnsi"/>
                <w:szCs w:val="24"/>
                <w:vertAlign w:val="superscript"/>
              </w:rPr>
            </w:pPr>
            <w:r w:rsidRPr="00D13476">
              <w:rPr>
                <w:rFonts w:cstheme="minorHAnsi"/>
                <w:szCs w:val="24"/>
              </w:rPr>
              <w:t>Bowel symptoms (non-stoma)</w:t>
            </w:r>
          </w:p>
        </w:tc>
        <w:tc>
          <w:tcPr>
            <w:tcW w:w="3396" w:type="dxa"/>
            <w:tcBorders>
              <w:top w:val="nil"/>
              <w:left w:val="single" w:sz="2" w:space="0" w:color="000000"/>
              <w:bottom w:val="single" w:sz="2" w:space="0" w:color="000000"/>
              <w:right w:val="single" w:sz="2" w:space="0" w:color="000000"/>
            </w:tcBorders>
            <w:shd w:val="clear" w:color="auto" w:fill="FFFFFF"/>
          </w:tcPr>
          <w:p w14:paraId="25897E19" w14:textId="77777777" w:rsidR="00482346" w:rsidRPr="00D13476" w:rsidRDefault="00482346" w:rsidP="00C47645">
            <w:pPr>
              <w:adjustRightInd w:val="0"/>
              <w:spacing w:before="60" w:after="60"/>
              <w:rPr>
                <w:color w:val="000000"/>
              </w:rPr>
            </w:pPr>
            <w:r w:rsidRPr="00D13476">
              <w:rPr>
                <w:color w:val="000000"/>
              </w:rPr>
              <w:t>2.16 (13.38)</w:t>
            </w:r>
          </w:p>
        </w:tc>
        <w:tc>
          <w:tcPr>
            <w:tcW w:w="1134" w:type="dxa"/>
            <w:tcBorders>
              <w:top w:val="nil"/>
              <w:left w:val="single" w:sz="2" w:space="0" w:color="000000"/>
              <w:bottom w:val="single" w:sz="2" w:space="0" w:color="000000"/>
              <w:right w:val="single" w:sz="2" w:space="0" w:color="000000"/>
            </w:tcBorders>
            <w:shd w:val="clear" w:color="auto" w:fill="FFFFFF"/>
          </w:tcPr>
          <w:p w14:paraId="26B759FA" w14:textId="77777777" w:rsidR="00482346" w:rsidRPr="00D13476" w:rsidRDefault="00482346" w:rsidP="00C47645">
            <w:pPr>
              <w:adjustRightInd w:val="0"/>
              <w:spacing w:before="60" w:after="60"/>
              <w:rPr>
                <w:color w:val="000000"/>
              </w:rPr>
            </w:pPr>
            <w:r w:rsidRPr="00D13476">
              <w:rPr>
                <w:color w:val="000000"/>
              </w:rPr>
              <w:t>-0.94 to 5.26</w:t>
            </w:r>
          </w:p>
        </w:tc>
        <w:tc>
          <w:tcPr>
            <w:tcW w:w="992" w:type="dxa"/>
            <w:tcBorders>
              <w:top w:val="nil"/>
              <w:left w:val="single" w:sz="2" w:space="0" w:color="000000"/>
              <w:bottom w:val="single" w:sz="2" w:space="0" w:color="000000"/>
              <w:right w:val="single" w:sz="2" w:space="0" w:color="000000"/>
            </w:tcBorders>
            <w:shd w:val="clear" w:color="auto" w:fill="auto"/>
          </w:tcPr>
          <w:p w14:paraId="63039DF1" w14:textId="77777777" w:rsidR="00482346" w:rsidRPr="00D13476" w:rsidRDefault="00482346" w:rsidP="00C47645">
            <w:pPr>
              <w:adjustRightInd w:val="0"/>
              <w:spacing w:before="60" w:after="60"/>
              <w:rPr>
                <w:color w:val="000000"/>
              </w:rPr>
            </w:pPr>
            <w:r w:rsidRPr="00D13476">
              <w:rPr>
                <w:color w:val="000000"/>
              </w:rPr>
              <w:t>0.81*</w:t>
            </w:r>
          </w:p>
        </w:tc>
        <w:tc>
          <w:tcPr>
            <w:tcW w:w="857" w:type="dxa"/>
            <w:tcBorders>
              <w:top w:val="nil"/>
              <w:left w:val="single" w:sz="2" w:space="0" w:color="000000"/>
              <w:bottom w:val="single" w:sz="2" w:space="0" w:color="000000"/>
              <w:right w:val="single" w:sz="2" w:space="0" w:color="000000"/>
            </w:tcBorders>
            <w:shd w:val="clear" w:color="auto" w:fill="auto"/>
          </w:tcPr>
          <w:p w14:paraId="1CCF0364" w14:textId="77777777" w:rsidR="00482346" w:rsidRPr="00D13476" w:rsidRDefault="00482346" w:rsidP="00C47645">
            <w:pPr>
              <w:adjustRightInd w:val="0"/>
              <w:spacing w:before="60" w:after="60"/>
              <w:rPr>
                <w:color w:val="000000"/>
              </w:rPr>
            </w:pPr>
            <w:r w:rsidRPr="00D13476">
              <w:rPr>
                <w:color w:val="000000"/>
              </w:rPr>
              <w:t>74</w:t>
            </w:r>
          </w:p>
        </w:tc>
      </w:tr>
      <w:tr w:rsidR="00482346" w:rsidRPr="00D13476" w14:paraId="087D1689" w14:textId="77777777" w:rsidTr="00C47645">
        <w:trPr>
          <w:cantSplit/>
        </w:trPr>
        <w:tc>
          <w:tcPr>
            <w:tcW w:w="2969" w:type="dxa"/>
            <w:tcBorders>
              <w:top w:val="nil"/>
              <w:left w:val="single" w:sz="6" w:space="0" w:color="000000"/>
              <w:bottom w:val="single" w:sz="2" w:space="0" w:color="000000"/>
              <w:right w:val="nil"/>
            </w:tcBorders>
            <w:shd w:val="clear" w:color="auto" w:fill="BBBBBB"/>
            <w:tcMar>
              <w:left w:w="60" w:type="dxa"/>
              <w:right w:w="60" w:type="dxa"/>
            </w:tcMar>
          </w:tcPr>
          <w:p w14:paraId="41423B04" w14:textId="77777777" w:rsidR="00482346" w:rsidRPr="00D13476" w:rsidRDefault="00482346" w:rsidP="00C47645">
            <w:pPr>
              <w:adjustRightInd w:val="0"/>
              <w:spacing w:before="60" w:after="60"/>
              <w:rPr>
                <w:color w:val="000000"/>
              </w:rPr>
            </w:pPr>
            <w:r w:rsidRPr="00D13476">
              <w:rPr>
                <w:rFonts w:cstheme="minorHAnsi"/>
                <w:szCs w:val="24"/>
              </w:rPr>
              <w:t>Bowel symptoms (stoma)</w:t>
            </w:r>
          </w:p>
        </w:tc>
        <w:tc>
          <w:tcPr>
            <w:tcW w:w="3396" w:type="dxa"/>
            <w:tcBorders>
              <w:top w:val="nil"/>
              <w:left w:val="single" w:sz="2" w:space="0" w:color="000000"/>
              <w:bottom w:val="single" w:sz="2" w:space="0" w:color="000000"/>
              <w:right w:val="single" w:sz="2" w:space="0" w:color="000000"/>
            </w:tcBorders>
            <w:shd w:val="clear" w:color="auto" w:fill="FFFFFF"/>
          </w:tcPr>
          <w:p w14:paraId="24DEE5AA" w14:textId="77777777" w:rsidR="00482346" w:rsidRPr="00D13476" w:rsidRDefault="00482346" w:rsidP="00C47645">
            <w:pPr>
              <w:adjustRightInd w:val="0"/>
              <w:spacing w:before="60" w:after="60"/>
              <w:rPr>
                <w:color w:val="000000"/>
              </w:rPr>
            </w:pPr>
            <w:r w:rsidRPr="00D13476">
              <w:rPr>
                <w:color w:val="000000"/>
              </w:rPr>
              <w:t>2.38 (11.5)</w:t>
            </w:r>
          </w:p>
        </w:tc>
        <w:tc>
          <w:tcPr>
            <w:tcW w:w="1134" w:type="dxa"/>
            <w:tcBorders>
              <w:top w:val="nil"/>
              <w:left w:val="single" w:sz="2" w:space="0" w:color="000000"/>
              <w:bottom w:val="single" w:sz="2" w:space="0" w:color="000000"/>
              <w:right w:val="single" w:sz="2" w:space="0" w:color="000000"/>
            </w:tcBorders>
            <w:shd w:val="clear" w:color="auto" w:fill="FFFFFF"/>
          </w:tcPr>
          <w:p w14:paraId="161D831A" w14:textId="77777777" w:rsidR="00482346" w:rsidRPr="00D13476" w:rsidRDefault="00482346" w:rsidP="00C47645">
            <w:pPr>
              <w:adjustRightInd w:val="0"/>
              <w:spacing w:before="60" w:after="60"/>
              <w:rPr>
                <w:color w:val="000000"/>
              </w:rPr>
            </w:pPr>
            <w:r w:rsidRPr="00D13476">
              <w:rPr>
                <w:color w:val="000000"/>
              </w:rPr>
              <w:t>-8.26 to 13.02</w:t>
            </w:r>
          </w:p>
        </w:tc>
        <w:tc>
          <w:tcPr>
            <w:tcW w:w="992" w:type="dxa"/>
            <w:tcBorders>
              <w:top w:val="nil"/>
              <w:left w:val="single" w:sz="2" w:space="0" w:color="000000"/>
              <w:bottom w:val="single" w:sz="2" w:space="0" w:color="000000"/>
              <w:right w:val="single" w:sz="2" w:space="0" w:color="000000"/>
            </w:tcBorders>
            <w:shd w:val="clear" w:color="auto" w:fill="auto"/>
          </w:tcPr>
          <w:p w14:paraId="053B35D8" w14:textId="77777777" w:rsidR="00482346" w:rsidRPr="00D13476" w:rsidRDefault="00482346" w:rsidP="00C47645">
            <w:pPr>
              <w:adjustRightInd w:val="0"/>
              <w:spacing w:before="60" w:after="60"/>
              <w:rPr>
                <w:color w:val="000000"/>
              </w:rPr>
            </w:pPr>
            <w:r w:rsidRPr="00D13476">
              <w:rPr>
                <w:color w:val="000000"/>
              </w:rPr>
              <w:t>0.96*</w:t>
            </w:r>
          </w:p>
        </w:tc>
        <w:tc>
          <w:tcPr>
            <w:tcW w:w="857" w:type="dxa"/>
            <w:tcBorders>
              <w:top w:val="nil"/>
              <w:left w:val="single" w:sz="2" w:space="0" w:color="000000"/>
              <w:bottom w:val="single" w:sz="2" w:space="0" w:color="000000"/>
              <w:right w:val="single" w:sz="2" w:space="0" w:color="000000"/>
            </w:tcBorders>
            <w:shd w:val="clear" w:color="auto" w:fill="auto"/>
          </w:tcPr>
          <w:p w14:paraId="4B8D5830" w14:textId="77777777" w:rsidR="00482346" w:rsidRPr="00D13476" w:rsidRDefault="00482346" w:rsidP="00C47645">
            <w:pPr>
              <w:adjustRightInd w:val="0"/>
              <w:spacing w:before="60" w:after="60"/>
              <w:rPr>
                <w:color w:val="000000"/>
              </w:rPr>
            </w:pPr>
            <w:r w:rsidRPr="00D13476">
              <w:rPr>
                <w:color w:val="000000"/>
              </w:rPr>
              <w:t>7</w:t>
            </w:r>
          </w:p>
        </w:tc>
      </w:tr>
      <w:tr w:rsidR="00482346" w:rsidRPr="00D13476" w14:paraId="6A6A08E0" w14:textId="77777777" w:rsidTr="00C47645">
        <w:trPr>
          <w:cantSplit/>
        </w:trPr>
        <w:tc>
          <w:tcPr>
            <w:tcW w:w="2969" w:type="dxa"/>
            <w:tcBorders>
              <w:top w:val="nil"/>
              <w:left w:val="single" w:sz="6" w:space="0" w:color="000000"/>
              <w:bottom w:val="single" w:sz="2" w:space="0" w:color="000000"/>
              <w:right w:val="nil"/>
            </w:tcBorders>
            <w:shd w:val="clear" w:color="auto" w:fill="BBBBBB"/>
            <w:tcMar>
              <w:left w:w="60" w:type="dxa"/>
              <w:right w:w="60" w:type="dxa"/>
            </w:tcMar>
          </w:tcPr>
          <w:p w14:paraId="41D64B3A" w14:textId="77777777" w:rsidR="00482346" w:rsidRPr="00D13476" w:rsidRDefault="00482346" w:rsidP="00C47645">
            <w:pPr>
              <w:adjustRightInd w:val="0"/>
              <w:spacing w:before="60" w:after="60"/>
              <w:rPr>
                <w:color w:val="000000"/>
              </w:rPr>
            </w:pPr>
            <w:r w:rsidRPr="00D13476">
              <w:rPr>
                <w:rFonts w:cstheme="minorHAnsi"/>
                <w:szCs w:val="24"/>
              </w:rPr>
              <w:t>Pain/discomfort</w:t>
            </w:r>
          </w:p>
        </w:tc>
        <w:tc>
          <w:tcPr>
            <w:tcW w:w="3396" w:type="dxa"/>
            <w:tcBorders>
              <w:top w:val="nil"/>
              <w:left w:val="single" w:sz="2" w:space="0" w:color="000000"/>
              <w:bottom w:val="single" w:sz="2" w:space="0" w:color="000000"/>
              <w:right w:val="single" w:sz="2" w:space="0" w:color="000000"/>
            </w:tcBorders>
            <w:shd w:val="clear" w:color="auto" w:fill="FFFFFF"/>
          </w:tcPr>
          <w:p w14:paraId="5510D885" w14:textId="77777777" w:rsidR="00482346" w:rsidRPr="00D13476" w:rsidRDefault="00482346" w:rsidP="00C47645">
            <w:pPr>
              <w:tabs>
                <w:tab w:val="left" w:pos="5055"/>
              </w:tabs>
              <w:adjustRightInd w:val="0"/>
              <w:spacing w:before="60" w:after="60"/>
              <w:rPr>
                <w:color w:val="000000"/>
              </w:rPr>
            </w:pPr>
            <w:r w:rsidRPr="00D13476">
              <w:rPr>
                <w:color w:val="000000"/>
              </w:rPr>
              <w:t>1.69 (12.91)</w:t>
            </w:r>
          </w:p>
        </w:tc>
        <w:tc>
          <w:tcPr>
            <w:tcW w:w="1134" w:type="dxa"/>
            <w:tcBorders>
              <w:top w:val="nil"/>
              <w:left w:val="single" w:sz="2" w:space="0" w:color="000000"/>
              <w:bottom w:val="single" w:sz="2" w:space="0" w:color="000000"/>
              <w:right w:val="single" w:sz="2" w:space="0" w:color="000000"/>
            </w:tcBorders>
            <w:shd w:val="clear" w:color="auto" w:fill="FFFFFF"/>
          </w:tcPr>
          <w:p w14:paraId="024F481A" w14:textId="77777777" w:rsidR="00482346" w:rsidRPr="00D13476" w:rsidRDefault="00482346" w:rsidP="00C47645">
            <w:pPr>
              <w:adjustRightInd w:val="0"/>
              <w:spacing w:before="60" w:after="60"/>
              <w:rPr>
                <w:color w:val="000000"/>
              </w:rPr>
            </w:pPr>
            <w:r w:rsidRPr="00D13476">
              <w:rPr>
                <w:color w:val="000000"/>
              </w:rPr>
              <w:t>-1.14 to 4.53</w:t>
            </w:r>
          </w:p>
        </w:tc>
        <w:tc>
          <w:tcPr>
            <w:tcW w:w="992" w:type="dxa"/>
            <w:tcBorders>
              <w:top w:val="nil"/>
              <w:left w:val="single" w:sz="2" w:space="0" w:color="000000"/>
              <w:bottom w:val="single" w:sz="2" w:space="0" w:color="000000"/>
              <w:right w:val="single" w:sz="2" w:space="0" w:color="000000"/>
            </w:tcBorders>
            <w:shd w:val="clear" w:color="auto" w:fill="auto"/>
          </w:tcPr>
          <w:p w14:paraId="368DC27F" w14:textId="77777777" w:rsidR="00482346" w:rsidRPr="00D13476" w:rsidRDefault="00482346" w:rsidP="00C47645">
            <w:pPr>
              <w:adjustRightInd w:val="0"/>
              <w:spacing w:before="60" w:after="60"/>
              <w:rPr>
                <w:color w:val="000000"/>
              </w:rPr>
            </w:pPr>
            <w:r w:rsidRPr="00D13476">
              <w:rPr>
                <w:color w:val="000000"/>
              </w:rPr>
              <w:t>0.87*</w:t>
            </w:r>
          </w:p>
        </w:tc>
        <w:tc>
          <w:tcPr>
            <w:tcW w:w="857" w:type="dxa"/>
            <w:tcBorders>
              <w:top w:val="nil"/>
              <w:left w:val="single" w:sz="2" w:space="0" w:color="000000"/>
              <w:bottom w:val="single" w:sz="2" w:space="0" w:color="000000"/>
              <w:right w:val="single" w:sz="2" w:space="0" w:color="000000"/>
            </w:tcBorders>
            <w:shd w:val="clear" w:color="auto" w:fill="auto"/>
          </w:tcPr>
          <w:p w14:paraId="776B4CB1" w14:textId="77777777" w:rsidR="00482346" w:rsidRPr="00D13476" w:rsidRDefault="00482346" w:rsidP="00C47645">
            <w:pPr>
              <w:adjustRightInd w:val="0"/>
              <w:spacing w:before="60" w:after="60"/>
              <w:rPr>
                <w:color w:val="000000"/>
              </w:rPr>
            </w:pPr>
            <w:r w:rsidRPr="00D13476">
              <w:rPr>
                <w:color w:val="000000"/>
              </w:rPr>
              <w:t>82</w:t>
            </w:r>
          </w:p>
        </w:tc>
      </w:tr>
      <w:tr w:rsidR="00482346" w:rsidRPr="00D13476" w14:paraId="7F22D334" w14:textId="77777777" w:rsidTr="00C47645">
        <w:trPr>
          <w:cantSplit/>
        </w:trPr>
        <w:tc>
          <w:tcPr>
            <w:tcW w:w="2969" w:type="dxa"/>
            <w:tcBorders>
              <w:top w:val="nil"/>
              <w:left w:val="single" w:sz="6" w:space="0" w:color="000000"/>
              <w:bottom w:val="single" w:sz="2" w:space="0" w:color="000000"/>
              <w:right w:val="nil"/>
            </w:tcBorders>
            <w:shd w:val="clear" w:color="auto" w:fill="BBBBBB"/>
            <w:tcMar>
              <w:left w:w="60" w:type="dxa"/>
              <w:right w:w="60" w:type="dxa"/>
            </w:tcMar>
          </w:tcPr>
          <w:p w14:paraId="00E36CD8" w14:textId="77777777" w:rsidR="00482346" w:rsidRPr="00D13476" w:rsidRDefault="00482346" w:rsidP="00C47645">
            <w:pPr>
              <w:adjustRightInd w:val="0"/>
              <w:spacing w:before="60" w:after="60"/>
              <w:rPr>
                <w:color w:val="000000"/>
              </w:rPr>
            </w:pPr>
            <w:r w:rsidRPr="00D13476">
              <w:rPr>
                <w:rFonts w:cstheme="minorHAnsi"/>
                <w:szCs w:val="24"/>
              </w:rPr>
              <w:t xml:space="preserve">Stoma care </w:t>
            </w:r>
          </w:p>
        </w:tc>
        <w:tc>
          <w:tcPr>
            <w:tcW w:w="3396" w:type="dxa"/>
            <w:tcBorders>
              <w:top w:val="nil"/>
              <w:left w:val="single" w:sz="2" w:space="0" w:color="000000"/>
              <w:bottom w:val="single" w:sz="2" w:space="0" w:color="000000"/>
              <w:right w:val="single" w:sz="2" w:space="0" w:color="000000"/>
            </w:tcBorders>
            <w:shd w:val="clear" w:color="auto" w:fill="FFFFFF"/>
          </w:tcPr>
          <w:p w14:paraId="2FD34A6D" w14:textId="77777777" w:rsidR="00482346" w:rsidRPr="00D13476" w:rsidRDefault="00482346" w:rsidP="00C47645">
            <w:pPr>
              <w:adjustRightInd w:val="0"/>
              <w:spacing w:before="60" w:after="60"/>
              <w:rPr>
                <w:color w:val="000000"/>
              </w:rPr>
            </w:pPr>
            <w:r w:rsidRPr="00D13476">
              <w:rPr>
                <w:color w:val="000000"/>
              </w:rPr>
              <w:t>-4.76 (28.59)</w:t>
            </w:r>
          </w:p>
        </w:tc>
        <w:tc>
          <w:tcPr>
            <w:tcW w:w="1134" w:type="dxa"/>
            <w:tcBorders>
              <w:top w:val="nil"/>
              <w:left w:val="single" w:sz="2" w:space="0" w:color="000000"/>
              <w:bottom w:val="single" w:sz="2" w:space="0" w:color="000000"/>
              <w:right w:val="single" w:sz="2" w:space="0" w:color="000000"/>
            </w:tcBorders>
            <w:shd w:val="clear" w:color="auto" w:fill="FFFFFF"/>
          </w:tcPr>
          <w:p w14:paraId="57DAF4AA" w14:textId="77777777" w:rsidR="00482346" w:rsidRPr="00D13476" w:rsidRDefault="00482346" w:rsidP="00C47645">
            <w:pPr>
              <w:adjustRightInd w:val="0"/>
              <w:spacing w:before="60" w:after="60"/>
              <w:rPr>
                <w:color w:val="000000"/>
              </w:rPr>
            </w:pPr>
            <w:r w:rsidRPr="00D13476">
              <w:rPr>
                <w:color w:val="000000"/>
              </w:rPr>
              <w:t>-31.20 to 21.68</w:t>
            </w:r>
          </w:p>
        </w:tc>
        <w:tc>
          <w:tcPr>
            <w:tcW w:w="992" w:type="dxa"/>
            <w:tcBorders>
              <w:top w:val="nil"/>
              <w:left w:val="single" w:sz="2" w:space="0" w:color="000000"/>
              <w:bottom w:val="single" w:sz="2" w:space="0" w:color="000000"/>
              <w:right w:val="single" w:sz="2" w:space="0" w:color="000000"/>
            </w:tcBorders>
            <w:shd w:val="clear" w:color="auto" w:fill="auto"/>
          </w:tcPr>
          <w:p w14:paraId="05E90487" w14:textId="77777777" w:rsidR="00482346" w:rsidRPr="00D13476" w:rsidRDefault="00482346" w:rsidP="00C47645">
            <w:pPr>
              <w:adjustRightInd w:val="0"/>
              <w:spacing w:before="60" w:after="60"/>
              <w:rPr>
                <w:color w:val="000000"/>
              </w:rPr>
            </w:pPr>
            <w:r w:rsidRPr="00D13476">
              <w:rPr>
                <w:color w:val="000000"/>
              </w:rPr>
              <w:t>0.59</w:t>
            </w:r>
          </w:p>
        </w:tc>
        <w:tc>
          <w:tcPr>
            <w:tcW w:w="857" w:type="dxa"/>
            <w:tcBorders>
              <w:top w:val="nil"/>
              <w:left w:val="single" w:sz="2" w:space="0" w:color="000000"/>
              <w:bottom w:val="single" w:sz="2" w:space="0" w:color="000000"/>
              <w:right w:val="single" w:sz="2" w:space="0" w:color="000000"/>
            </w:tcBorders>
            <w:shd w:val="clear" w:color="auto" w:fill="auto"/>
          </w:tcPr>
          <w:p w14:paraId="575F53E8" w14:textId="77777777" w:rsidR="00482346" w:rsidRPr="00D13476" w:rsidRDefault="00482346" w:rsidP="00C47645">
            <w:pPr>
              <w:adjustRightInd w:val="0"/>
              <w:spacing w:before="60" w:after="60"/>
              <w:rPr>
                <w:color w:val="000000"/>
              </w:rPr>
            </w:pPr>
            <w:r w:rsidRPr="00D13476">
              <w:rPr>
                <w:color w:val="000000"/>
              </w:rPr>
              <w:t>7</w:t>
            </w:r>
          </w:p>
        </w:tc>
      </w:tr>
      <w:tr w:rsidR="00482346" w:rsidRPr="00D13476" w14:paraId="558DFE24" w14:textId="77777777" w:rsidTr="00C47645">
        <w:trPr>
          <w:cantSplit/>
        </w:trPr>
        <w:tc>
          <w:tcPr>
            <w:tcW w:w="2969" w:type="dxa"/>
            <w:tcBorders>
              <w:top w:val="nil"/>
              <w:left w:val="single" w:sz="6" w:space="0" w:color="000000"/>
              <w:bottom w:val="single" w:sz="2" w:space="0" w:color="000000"/>
              <w:right w:val="nil"/>
            </w:tcBorders>
            <w:shd w:val="clear" w:color="auto" w:fill="BBBBBB"/>
            <w:tcMar>
              <w:left w:w="60" w:type="dxa"/>
              <w:right w:w="60" w:type="dxa"/>
            </w:tcMar>
          </w:tcPr>
          <w:p w14:paraId="760D6F9E" w14:textId="77777777" w:rsidR="00482346" w:rsidRPr="00D13476" w:rsidRDefault="00482346" w:rsidP="00C47645">
            <w:pPr>
              <w:adjustRightInd w:val="0"/>
              <w:spacing w:before="60" w:after="60"/>
              <w:rPr>
                <w:color w:val="000000"/>
              </w:rPr>
            </w:pPr>
            <w:r w:rsidRPr="00D13476">
              <w:rPr>
                <w:rFonts w:cstheme="minorHAnsi"/>
              </w:rPr>
              <w:t>Vaginal symptoms</w:t>
            </w:r>
          </w:p>
        </w:tc>
        <w:tc>
          <w:tcPr>
            <w:tcW w:w="3396" w:type="dxa"/>
            <w:tcBorders>
              <w:top w:val="nil"/>
              <w:left w:val="single" w:sz="2" w:space="0" w:color="000000"/>
              <w:bottom w:val="single" w:sz="2" w:space="0" w:color="000000"/>
              <w:right w:val="single" w:sz="2" w:space="0" w:color="000000"/>
            </w:tcBorders>
            <w:shd w:val="clear" w:color="auto" w:fill="FFFFFF"/>
          </w:tcPr>
          <w:p w14:paraId="7C7FF8CE" w14:textId="77777777" w:rsidR="00482346" w:rsidRPr="00D13476" w:rsidRDefault="00482346" w:rsidP="00C47645">
            <w:pPr>
              <w:adjustRightInd w:val="0"/>
              <w:spacing w:before="60" w:after="60"/>
              <w:rPr>
                <w:color w:val="000000"/>
              </w:rPr>
            </w:pPr>
            <w:r w:rsidRPr="00D13476">
              <w:rPr>
                <w:color w:val="000000"/>
              </w:rPr>
              <w:t>4.56 (19.85)</w:t>
            </w:r>
          </w:p>
        </w:tc>
        <w:tc>
          <w:tcPr>
            <w:tcW w:w="1134" w:type="dxa"/>
            <w:tcBorders>
              <w:top w:val="nil"/>
              <w:left w:val="single" w:sz="2" w:space="0" w:color="000000"/>
              <w:bottom w:val="single" w:sz="2" w:space="0" w:color="000000"/>
              <w:right w:val="single" w:sz="2" w:space="0" w:color="000000"/>
            </w:tcBorders>
            <w:shd w:val="clear" w:color="auto" w:fill="FFFFFF"/>
          </w:tcPr>
          <w:p w14:paraId="5478F324" w14:textId="77777777" w:rsidR="00482346" w:rsidRPr="00D13476" w:rsidRDefault="00482346" w:rsidP="00C47645">
            <w:pPr>
              <w:adjustRightInd w:val="0"/>
              <w:spacing w:before="60" w:after="60"/>
              <w:rPr>
                <w:color w:val="000000"/>
              </w:rPr>
            </w:pPr>
            <w:r w:rsidRPr="00D13476">
              <w:rPr>
                <w:color w:val="000000"/>
              </w:rPr>
              <w:t>-0.75 to 9.88</w:t>
            </w:r>
          </w:p>
        </w:tc>
        <w:tc>
          <w:tcPr>
            <w:tcW w:w="992" w:type="dxa"/>
            <w:tcBorders>
              <w:top w:val="nil"/>
              <w:left w:val="single" w:sz="2" w:space="0" w:color="000000"/>
              <w:bottom w:val="single" w:sz="2" w:space="0" w:color="000000"/>
              <w:right w:val="single" w:sz="2" w:space="0" w:color="000000"/>
            </w:tcBorders>
            <w:shd w:val="clear" w:color="auto" w:fill="auto"/>
          </w:tcPr>
          <w:p w14:paraId="3F14931B" w14:textId="77777777" w:rsidR="00482346" w:rsidRPr="00D13476" w:rsidRDefault="00482346" w:rsidP="00C47645">
            <w:pPr>
              <w:adjustRightInd w:val="0"/>
              <w:spacing w:before="60" w:after="60"/>
              <w:rPr>
                <w:color w:val="000000"/>
              </w:rPr>
            </w:pPr>
            <w:r w:rsidRPr="00D13476">
              <w:rPr>
                <w:color w:val="000000"/>
              </w:rPr>
              <w:t>0.79*</w:t>
            </w:r>
          </w:p>
        </w:tc>
        <w:tc>
          <w:tcPr>
            <w:tcW w:w="857" w:type="dxa"/>
            <w:tcBorders>
              <w:top w:val="nil"/>
              <w:left w:val="single" w:sz="2" w:space="0" w:color="000000"/>
              <w:bottom w:val="single" w:sz="2" w:space="0" w:color="000000"/>
              <w:right w:val="single" w:sz="2" w:space="0" w:color="000000"/>
            </w:tcBorders>
            <w:shd w:val="clear" w:color="auto" w:fill="auto"/>
          </w:tcPr>
          <w:p w14:paraId="135C4349" w14:textId="77777777" w:rsidR="00482346" w:rsidRPr="00D13476" w:rsidRDefault="00482346" w:rsidP="00C47645">
            <w:pPr>
              <w:adjustRightInd w:val="0"/>
              <w:spacing w:before="60" w:after="60"/>
              <w:rPr>
                <w:color w:val="000000"/>
              </w:rPr>
            </w:pPr>
            <w:r w:rsidRPr="00D13476">
              <w:rPr>
                <w:color w:val="000000"/>
              </w:rPr>
              <w:t>56</w:t>
            </w:r>
          </w:p>
        </w:tc>
      </w:tr>
      <w:tr w:rsidR="00482346" w:rsidRPr="00D13476" w14:paraId="2E8241A3" w14:textId="77777777" w:rsidTr="00C47645">
        <w:trPr>
          <w:cantSplit/>
        </w:trPr>
        <w:tc>
          <w:tcPr>
            <w:tcW w:w="2969" w:type="dxa"/>
            <w:tcBorders>
              <w:top w:val="nil"/>
              <w:left w:val="single" w:sz="6" w:space="0" w:color="000000"/>
              <w:bottom w:val="single" w:sz="2" w:space="0" w:color="000000"/>
              <w:right w:val="nil"/>
            </w:tcBorders>
            <w:shd w:val="clear" w:color="auto" w:fill="BBBBBB"/>
            <w:tcMar>
              <w:left w:w="60" w:type="dxa"/>
              <w:right w:w="60" w:type="dxa"/>
            </w:tcMar>
          </w:tcPr>
          <w:p w14:paraId="435B94E1" w14:textId="77777777" w:rsidR="00482346" w:rsidRPr="00D13476" w:rsidRDefault="00482346" w:rsidP="00C47645">
            <w:pPr>
              <w:adjustRightInd w:val="0"/>
              <w:spacing w:before="60" w:after="60"/>
              <w:rPr>
                <w:color w:val="000000"/>
              </w:rPr>
            </w:pPr>
            <w:r w:rsidRPr="00D13476">
              <w:rPr>
                <w:color w:val="000000"/>
              </w:rPr>
              <w:t>Frequent urination</w:t>
            </w:r>
          </w:p>
        </w:tc>
        <w:tc>
          <w:tcPr>
            <w:tcW w:w="3396" w:type="dxa"/>
            <w:tcBorders>
              <w:top w:val="nil"/>
              <w:left w:val="single" w:sz="2" w:space="0" w:color="000000"/>
              <w:bottom w:val="single" w:sz="2" w:space="0" w:color="000000"/>
              <w:right w:val="single" w:sz="2" w:space="0" w:color="000000"/>
            </w:tcBorders>
            <w:shd w:val="clear" w:color="auto" w:fill="FFFFFF" w:themeFill="background1"/>
          </w:tcPr>
          <w:p w14:paraId="2B6B4180" w14:textId="77777777" w:rsidR="00482346" w:rsidRPr="00D13476" w:rsidRDefault="00482346" w:rsidP="00C47645">
            <w:pPr>
              <w:adjustRightInd w:val="0"/>
              <w:spacing w:before="60" w:after="60"/>
              <w:rPr>
                <w:color w:val="000000"/>
              </w:rPr>
            </w:pPr>
            <w:r w:rsidRPr="00D13476">
              <w:rPr>
                <w:color w:val="000000"/>
              </w:rPr>
              <w:t>0.00 (22.55)</w:t>
            </w:r>
          </w:p>
        </w:tc>
        <w:tc>
          <w:tcPr>
            <w:tcW w:w="1134" w:type="dxa"/>
            <w:tcBorders>
              <w:top w:val="nil"/>
              <w:left w:val="single" w:sz="2" w:space="0" w:color="000000"/>
              <w:bottom w:val="single" w:sz="2" w:space="0" w:color="000000"/>
              <w:right w:val="single" w:sz="2" w:space="0" w:color="000000"/>
            </w:tcBorders>
            <w:shd w:val="clear" w:color="auto" w:fill="FFFFFF" w:themeFill="background1"/>
          </w:tcPr>
          <w:p w14:paraId="4CBC8319" w14:textId="77777777" w:rsidR="00482346" w:rsidRPr="00D13476" w:rsidRDefault="00482346" w:rsidP="00C47645">
            <w:pPr>
              <w:adjustRightInd w:val="0"/>
              <w:spacing w:before="60" w:after="60"/>
              <w:rPr>
                <w:color w:val="000000"/>
              </w:rPr>
            </w:pPr>
            <w:r w:rsidRPr="00D13476">
              <w:rPr>
                <w:color w:val="000000"/>
              </w:rPr>
              <w:t>-4.89 to 4.89</w:t>
            </w:r>
          </w:p>
        </w:tc>
        <w:tc>
          <w:tcPr>
            <w:tcW w:w="992" w:type="dxa"/>
            <w:tcBorders>
              <w:top w:val="nil"/>
              <w:left w:val="single" w:sz="2" w:space="0" w:color="000000"/>
              <w:bottom w:val="single" w:sz="2" w:space="0" w:color="000000"/>
              <w:right w:val="single" w:sz="2" w:space="0" w:color="000000"/>
            </w:tcBorders>
            <w:shd w:val="clear" w:color="auto" w:fill="auto"/>
          </w:tcPr>
          <w:p w14:paraId="76FE2760" w14:textId="77777777" w:rsidR="00482346" w:rsidRPr="00D13476" w:rsidRDefault="00482346" w:rsidP="00C47645">
            <w:pPr>
              <w:adjustRightInd w:val="0"/>
              <w:spacing w:before="60" w:after="60"/>
              <w:rPr>
                <w:color w:val="000000"/>
              </w:rPr>
            </w:pPr>
            <w:r w:rsidRPr="00D13476">
              <w:rPr>
                <w:color w:val="000000"/>
              </w:rPr>
              <w:t>0.71*</w:t>
            </w:r>
          </w:p>
        </w:tc>
        <w:tc>
          <w:tcPr>
            <w:tcW w:w="857" w:type="dxa"/>
            <w:tcBorders>
              <w:top w:val="nil"/>
              <w:left w:val="single" w:sz="2" w:space="0" w:color="000000"/>
              <w:bottom w:val="single" w:sz="2" w:space="0" w:color="000000"/>
              <w:right w:val="single" w:sz="2" w:space="0" w:color="000000"/>
            </w:tcBorders>
            <w:shd w:val="clear" w:color="auto" w:fill="auto"/>
          </w:tcPr>
          <w:p w14:paraId="0F399127" w14:textId="77777777" w:rsidR="00482346" w:rsidRPr="00D13476" w:rsidRDefault="00482346" w:rsidP="00C47645">
            <w:pPr>
              <w:adjustRightInd w:val="0"/>
              <w:spacing w:before="60" w:after="60"/>
              <w:rPr>
                <w:color w:val="000000"/>
              </w:rPr>
            </w:pPr>
            <w:r w:rsidRPr="00D13476">
              <w:rPr>
                <w:color w:val="000000"/>
              </w:rPr>
              <w:t>84</w:t>
            </w:r>
          </w:p>
        </w:tc>
      </w:tr>
      <w:tr w:rsidR="00482346" w:rsidRPr="00D13476" w14:paraId="200692D7" w14:textId="77777777" w:rsidTr="00C47645">
        <w:trPr>
          <w:cantSplit/>
        </w:trPr>
        <w:tc>
          <w:tcPr>
            <w:tcW w:w="2969" w:type="dxa"/>
            <w:tcBorders>
              <w:top w:val="single" w:sz="2" w:space="0" w:color="000000"/>
              <w:left w:val="single" w:sz="6" w:space="0" w:color="000000"/>
              <w:bottom w:val="single" w:sz="4" w:space="0" w:color="auto"/>
              <w:right w:val="nil"/>
            </w:tcBorders>
            <w:shd w:val="clear" w:color="auto" w:fill="BBBBBB"/>
            <w:tcMar>
              <w:left w:w="60" w:type="dxa"/>
              <w:right w:w="60" w:type="dxa"/>
            </w:tcMar>
          </w:tcPr>
          <w:p w14:paraId="561CD418" w14:textId="77777777" w:rsidR="00482346" w:rsidRPr="00D13476" w:rsidRDefault="00482346" w:rsidP="00C47645">
            <w:pPr>
              <w:adjustRightInd w:val="0"/>
              <w:spacing w:before="60" w:after="60"/>
              <w:rPr>
                <w:color w:val="000000"/>
              </w:rPr>
            </w:pPr>
            <w:r w:rsidRPr="00D13476">
              <w:rPr>
                <w:color w:val="000000"/>
              </w:rPr>
              <w:t>Keeping clean</w:t>
            </w:r>
          </w:p>
        </w:tc>
        <w:tc>
          <w:tcPr>
            <w:tcW w:w="3396" w:type="dxa"/>
            <w:tcBorders>
              <w:top w:val="single" w:sz="2" w:space="0" w:color="000000"/>
              <w:left w:val="single" w:sz="2" w:space="0" w:color="000000"/>
              <w:bottom w:val="single" w:sz="4" w:space="0" w:color="auto"/>
              <w:right w:val="single" w:sz="2" w:space="0" w:color="000000"/>
            </w:tcBorders>
            <w:shd w:val="clear" w:color="auto" w:fill="auto"/>
          </w:tcPr>
          <w:p w14:paraId="2B017A4E" w14:textId="77777777" w:rsidR="00482346" w:rsidRPr="00D13476" w:rsidRDefault="00482346" w:rsidP="00C47645">
            <w:pPr>
              <w:adjustRightInd w:val="0"/>
              <w:spacing w:before="60" w:after="60"/>
              <w:rPr>
                <w:color w:val="000000"/>
              </w:rPr>
            </w:pPr>
            <w:r w:rsidRPr="00D13476">
              <w:rPr>
                <w:color w:val="000000"/>
              </w:rPr>
              <w:t>-2.41 (23.15)</w:t>
            </w:r>
          </w:p>
        </w:tc>
        <w:tc>
          <w:tcPr>
            <w:tcW w:w="1134" w:type="dxa"/>
            <w:tcBorders>
              <w:top w:val="single" w:sz="2" w:space="0" w:color="000000"/>
              <w:left w:val="single" w:sz="2" w:space="0" w:color="000000"/>
              <w:bottom w:val="single" w:sz="4" w:space="0" w:color="auto"/>
              <w:right w:val="single" w:sz="2" w:space="0" w:color="000000"/>
            </w:tcBorders>
            <w:shd w:val="clear" w:color="auto" w:fill="FFFFFF" w:themeFill="background1"/>
          </w:tcPr>
          <w:p w14:paraId="72BDD727" w14:textId="77777777" w:rsidR="00482346" w:rsidRPr="00D13476" w:rsidRDefault="00482346" w:rsidP="00C47645">
            <w:pPr>
              <w:adjustRightInd w:val="0"/>
              <w:spacing w:before="60" w:after="60"/>
              <w:rPr>
                <w:color w:val="000000"/>
              </w:rPr>
            </w:pPr>
            <w:r w:rsidRPr="00D13476">
              <w:rPr>
                <w:color w:val="000000"/>
              </w:rPr>
              <w:t>-7.47 to 2.65</w:t>
            </w:r>
          </w:p>
        </w:tc>
        <w:tc>
          <w:tcPr>
            <w:tcW w:w="992" w:type="dxa"/>
            <w:tcBorders>
              <w:top w:val="single" w:sz="2" w:space="0" w:color="000000"/>
              <w:left w:val="single" w:sz="2" w:space="0" w:color="000000"/>
              <w:bottom w:val="single" w:sz="4" w:space="0" w:color="auto"/>
              <w:right w:val="single" w:sz="2" w:space="0" w:color="000000"/>
            </w:tcBorders>
            <w:shd w:val="clear" w:color="auto" w:fill="auto"/>
          </w:tcPr>
          <w:p w14:paraId="77F3E4AE" w14:textId="77777777" w:rsidR="00482346" w:rsidRPr="00D13476" w:rsidRDefault="00482346" w:rsidP="00C47645">
            <w:pPr>
              <w:adjustRightInd w:val="0"/>
              <w:spacing w:before="60" w:after="60"/>
              <w:rPr>
                <w:color w:val="000000"/>
              </w:rPr>
            </w:pPr>
            <w:r w:rsidRPr="00D13476">
              <w:rPr>
                <w:color w:val="000000"/>
              </w:rPr>
              <w:t>0.68</w:t>
            </w:r>
          </w:p>
        </w:tc>
        <w:tc>
          <w:tcPr>
            <w:tcW w:w="857" w:type="dxa"/>
            <w:tcBorders>
              <w:top w:val="single" w:sz="2" w:space="0" w:color="000000"/>
              <w:left w:val="single" w:sz="2" w:space="0" w:color="000000"/>
              <w:bottom w:val="single" w:sz="4" w:space="0" w:color="auto"/>
              <w:right w:val="single" w:sz="2" w:space="0" w:color="000000"/>
            </w:tcBorders>
            <w:shd w:val="clear" w:color="auto" w:fill="auto"/>
          </w:tcPr>
          <w:p w14:paraId="6298EE9B" w14:textId="77777777" w:rsidR="00482346" w:rsidRPr="00D13476" w:rsidRDefault="00482346" w:rsidP="00C47645">
            <w:pPr>
              <w:adjustRightInd w:val="0"/>
              <w:spacing w:before="60" w:after="60"/>
              <w:rPr>
                <w:color w:val="000000"/>
              </w:rPr>
            </w:pPr>
            <w:r w:rsidRPr="00D13476">
              <w:rPr>
                <w:color w:val="000000"/>
              </w:rPr>
              <w:t>83</w:t>
            </w:r>
          </w:p>
        </w:tc>
      </w:tr>
      <w:tr w:rsidR="00482346" w:rsidRPr="00D13476" w14:paraId="6FDA77DF" w14:textId="77777777" w:rsidTr="00C47645">
        <w:trPr>
          <w:cantSplit/>
        </w:trPr>
        <w:tc>
          <w:tcPr>
            <w:tcW w:w="2969" w:type="dxa"/>
            <w:tcBorders>
              <w:top w:val="single" w:sz="4" w:space="0" w:color="auto"/>
              <w:left w:val="single" w:sz="6" w:space="0" w:color="000000"/>
              <w:bottom w:val="single" w:sz="4" w:space="0" w:color="auto"/>
              <w:right w:val="nil"/>
            </w:tcBorders>
            <w:shd w:val="clear" w:color="auto" w:fill="BBBBBB"/>
            <w:tcMar>
              <w:left w:w="60" w:type="dxa"/>
              <w:right w:w="60" w:type="dxa"/>
            </w:tcMar>
          </w:tcPr>
          <w:p w14:paraId="373C167A" w14:textId="77777777" w:rsidR="00482346" w:rsidRPr="00D13476" w:rsidRDefault="00482346" w:rsidP="00C47645">
            <w:pPr>
              <w:adjustRightInd w:val="0"/>
              <w:spacing w:before="60" w:after="60"/>
              <w:rPr>
                <w:color w:val="000000"/>
              </w:rPr>
            </w:pPr>
            <w:r w:rsidRPr="00D13476">
              <w:rPr>
                <w:color w:val="000000"/>
              </w:rPr>
              <w:t>Proximity to toilet</w:t>
            </w:r>
          </w:p>
        </w:tc>
        <w:tc>
          <w:tcPr>
            <w:tcW w:w="3396"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17370E08" w14:textId="77777777" w:rsidR="00482346" w:rsidRPr="00D13476" w:rsidRDefault="00482346" w:rsidP="00C47645">
            <w:pPr>
              <w:adjustRightInd w:val="0"/>
              <w:spacing w:before="60" w:after="60"/>
              <w:rPr>
                <w:color w:val="000000"/>
              </w:rPr>
            </w:pPr>
            <w:r w:rsidRPr="00D13476">
              <w:rPr>
                <w:color w:val="000000"/>
              </w:rPr>
              <w:t>2.78 (23.26)</w:t>
            </w:r>
          </w:p>
        </w:tc>
        <w:tc>
          <w:tcPr>
            <w:tcW w:w="1134"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3621F5DD" w14:textId="77777777" w:rsidR="00482346" w:rsidRPr="00D13476" w:rsidRDefault="00482346" w:rsidP="00C47645">
            <w:pPr>
              <w:adjustRightInd w:val="0"/>
              <w:spacing w:before="60" w:after="60"/>
              <w:rPr>
                <w:color w:val="000000"/>
              </w:rPr>
            </w:pPr>
            <w:r w:rsidRPr="00D13476">
              <w:rPr>
                <w:color w:val="000000"/>
              </w:rPr>
              <w:t>-2.27 to 7.83</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4FE1F886" w14:textId="77777777" w:rsidR="00482346" w:rsidRPr="00D13476" w:rsidRDefault="00482346" w:rsidP="00C47645">
            <w:pPr>
              <w:adjustRightInd w:val="0"/>
              <w:spacing w:before="60" w:after="60"/>
              <w:rPr>
                <w:color w:val="000000"/>
              </w:rPr>
            </w:pPr>
            <w:r w:rsidRPr="00D13476">
              <w:rPr>
                <w:color w:val="000000"/>
              </w:rPr>
              <w:t>0.69</w:t>
            </w:r>
          </w:p>
        </w:tc>
        <w:tc>
          <w:tcPr>
            <w:tcW w:w="857" w:type="dxa"/>
            <w:tcBorders>
              <w:top w:val="single" w:sz="4" w:space="0" w:color="auto"/>
              <w:left w:val="single" w:sz="2" w:space="0" w:color="000000"/>
              <w:bottom w:val="single" w:sz="4" w:space="0" w:color="auto"/>
              <w:right w:val="single" w:sz="2" w:space="0" w:color="000000"/>
            </w:tcBorders>
            <w:shd w:val="clear" w:color="auto" w:fill="auto"/>
          </w:tcPr>
          <w:p w14:paraId="2B081355" w14:textId="77777777" w:rsidR="00482346" w:rsidRPr="00D13476" w:rsidRDefault="00482346" w:rsidP="00C47645">
            <w:pPr>
              <w:adjustRightInd w:val="0"/>
              <w:spacing w:before="60" w:after="60"/>
              <w:rPr>
                <w:color w:val="000000"/>
              </w:rPr>
            </w:pPr>
            <w:r w:rsidRPr="00D13476">
              <w:rPr>
                <w:color w:val="000000"/>
              </w:rPr>
              <w:t>84</w:t>
            </w:r>
          </w:p>
        </w:tc>
      </w:tr>
      <w:tr w:rsidR="00482346" w:rsidRPr="00D13476" w14:paraId="0E97230A" w14:textId="77777777" w:rsidTr="00C47645">
        <w:trPr>
          <w:cantSplit/>
        </w:trPr>
        <w:tc>
          <w:tcPr>
            <w:tcW w:w="2969" w:type="dxa"/>
            <w:tcBorders>
              <w:top w:val="single" w:sz="4" w:space="0" w:color="auto"/>
              <w:left w:val="single" w:sz="6" w:space="0" w:color="000000"/>
              <w:bottom w:val="single" w:sz="4" w:space="0" w:color="auto"/>
              <w:right w:val="nil"/>
            </w:tcBorders>
            <w:shd w:val="clear" w:color="auto" w:fill="BBBBBB"/>
            <w:tcMar>
              <w:left w:w="60" w:type="dxa"/>
              <w:right w:w="60" w:type="dxa"/>
            </w:tcMar>
          </w:tcPr>
          <w:p w14:paraId="2B35979B" w14:textId="77777777" w:rsidR="00482346" w:rsidRPr="00D13476" w:rsidRDefault="00482346" w:rsidP="00C47645">
            <w:pPr>
              <w:adjustRightInd w:val="0"/>
              <w:spacing w:before="60" w:after="60"/>
              <w:rPr>
                <w:color w:val="000000"/>
              </w:rPr>
            </w:pPr>
            <w:r w:rsidRPr="00D13476">
              <w:rPr>
                <w:color w:val="000000"/>
              </w:rPr>
              <w:t>Lower limb oedema</w:t>
            </w:r>
          </w:p>
        </w:tc>
        <w:tc>
          <w:tcPr>
            <w:tcW w:w="3396"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4205D6DF" w14:textId="77777777" w:rsidR="00482346" w:rsidRPr="00D13476" w:rsidRDefault="00482346" w:rsidP="00C47645">
            <w:pPr>
              <w:adjustRightInd w:val="0"/>
              <w:spacing w:before="60" w:after="60"/>
              <w:rPr>
                <w:color w:val="000000"/>
              </w:rPr>
            </w:pPr>
            <w:r w:rsidRPr="00D13476">
              <w:rPr>
                <w:color w:val="000000"/>
              </w:rPr>
              <w:t>2.78 (18.08)</w:t>
            </w:r>
          </w:p>
        </w:tc>
        <w:tc>
          <w:tcPr>
            <w:tcW w:w="1134"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75110060" w14:textId="77777777" w:rsidR="00482346" w:rsidRPr="00D13476" w:rsidRDefault="00482346" w:rsidP="00C47645">
            <w:pPr>
              <w:adjustRightInd w:val="0"/>
              <w:spacing w:before="60" w:after="60"/>
              <w:rPr>
                <w:color w:val="000000"/>
              </w:rPr>
            </w:pPr>
            <w:r w:rsidRPr="00D13476">
              <w:rPr>
                <w:color w:val="000000"/>
              </w:rPr>
              <w:t>-1.15 to 6.70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8485B23" w14:textId="77777777" w:rsidR="00482346" w:rsidRPr="00D13476" w:rsidRDefault="00482346" w:rsidP="00C47645">
            <w:pPr>
              <w:adjustRightInd w:val="0"/>
              <w:spacing w:before="60" w:after="60"/>
              <w:rPr>
                <w:color w:val="000000"/>
              </w:rPr>
            </w:pPr>
            <w:r w:rsidRPr="00D13476">
              <w:rPr>
                <w:color w:val="000000"/>
              </w:rPr>
              <w:t>0.72*</w:t>
            </w:r>
          </w:p>
        </w:tc>
        <w:tc>
          <w:tcPr>
            <w:tcW w:w="857" w:type="dxa"/>
            <w:tcBorders>
              <w:top w:val="single" w:sz="4" w:space="0" w:color="auto"/>
              <w:left w:val="single" w:sz="2" w:space="0" w:color="000000"/>
              <w:bottom w:val="single" w:sz="4" w:space="0" w:color="auto"/>
              <w:right w:val="single" w:sz="2" w:space="0" w:color="000000"/>
            </w:tcBorders>
            <w:shd w:val="clear" w:color="auto" w:fill="auto"/>
          </w:tcPr>
          <w:p w14:paraId="7ADD15B8" w14:textId="77777777" w:rsidR="00482346" w:rsidRPr="00D13476" w:rsidRDefault="00482346" w:rsidP="00C47645">
            <w:pPr>
              <w:adjustRightInd w:val="0"/>
              <w:spacing w:before="60" w:after="60"/>
              <w:rPr>
                <w:color w:val="000000"/>
              </w:rPr>
            </w:pPr>
            <w:r w:rsidRPr="00D13476">
              <w:rPr>
                <w:color w:val="000000"/>
              </w:rPr>
              <w:t>84</w:t>
            </w:r>
          </w:p>
        </w:tc>
      </w:tr>
      <w:tr w:rsidR="00482346" w:rsidRPr="00D13476" w14:paraId="69B67A5A" w14:textId="77777777" w:rsidTr="00C47645">
        <w:trPr>
          <w:cantSplit/>
        </w:trPr>
        <w:tc>
          <w:tcPr>
            <w:tcW w:w="2969" w:type="dxa"/>
            <w:tcBorders>
              <w:top w:val="single" w:sz="4" w:space="0" w:color="auto"/>
              <w:left w:val="single" w:sz="6" w:space="0" w:color="000000"/>
              <w:bottom w:val="single" w:sz="4" w:space="0" w:color="auto"/>
              <w:right w:val="nil"/>
            </w:tcBorders>
            <w:shd w:val="clear" w:color="auto" w:fill="BBBBBB"/>
            <w:tcMar>
              <w:left w:w="60" w:type="dxa"/>
              <w:right w:w="60" w:type="dxa"/>
            </w:tcMar>
          </w:tcPr>
          <w:p w14:paraId="5727FF63" w14:textId="77777777" w:rsidR="00482346" w:rsidRPr="00D13476" w:rsidRDefault="00482346" w:rsidP="00C47645">
            <w:pPr>
              <w:adjustRightInd w:val="0"/>
              <w:spacing w:before="60" w:after="60"/>
              <w:rPr>
                <w:color w:val="000000"/>
              </w:rPr>
            </w:pPr>
            <w:r w:rsidRPr="00D13476">
              <w:rPr>
                <w:color w:val="000000"/>
              </w:rPr>
              <w:t>Planning activities</w:t>
            </w:r>
          </w:p>
        </w:tc>
        <w:tc>
          <w:tcPr>
            <w:tcW w:w="3396"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347D611E" w14:textId="77777777" w:rsidR="00482346" w:rsidRPr="00D13476" w:rsidRDefault="00482346" w:rsidP="00C47645">
            <w:pPr>
              <w:adjustRightInd w:val="0"/>
              <w:spacing w:before="60" w:after="60"/>
              <w:rPr>
                <w:color w:val="000000"/>
              </w:rPr>
            </w:pPr>
            <w:r w:rsidRPr="00D13476">
              <w:rPr>
                <w:color w:val="000000"/>
              </w:rPr>
              <w:t>-1.98 (24.46)</w:t>
            </w:r>
          </w:p>
        </w:tc>
        <w:tc>
          <w:tcPr>
            <w:tcW w:w="1134"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490381CE" w14:textId="77777777" w:rsidR="00482346" w:rsidRPr="00D13476" w:rsidRDefault="00482346" w:rsidP="00C47645">
            <w:pPr>
              <w:adjustRightInd w:val="0"/>
              <w:spacing w:before="60" w:after="60"/>
              <w:rPr>
                <w:color w:val="000000"/>
              </w:rPr>
            </w:pPr>
            <w:r w:rsidRPr="00D13476">
              <w:rPr>
                <w:color w:val="000000"/>
              </w:rPr>
              <w:t>-7.29 to 3.32</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697A7BC" w14:textId="77777777" w:rsidR="00482346" w:rsidRPr="00D13476" w:rsidRDefault="00482346" w:rsidP="00C47645">
            <w:pPr>
              <w:adjustRightInd w:val="0"/>
              <w:spacing w:before="60" w:after="60"/>
              <w:rPr>
                <w:color w:val="000000"/>
              </w:rPr>
            </w:pPr>
            <w:r w:rsidRPr="00D13476">
              <w:rPr>
                <w:color w:val="000000"/>
              </w:rPr>
              <w:t>0.72*</w:t>
            </w:r>
          </w:p>
        </w:tc>
        <w:tc>
          <w:tcPr>
            <w:tcW w:w="857" w:type="dxa"/>
            <w:tcBorders>
              <w:top w:val="single" w:sz="4" w:space="0" w:color="auto"/>
              <w:left w:val="single" w:sz="2" w:space="0" w:color="000000"/>
              <w:bottom w:val="single" w:sz="4" w:space="0" w:color="auto"/>
              <w:right w:val="single" w:sz="2" w:space="0" w:color="000000"/>
            </w:tcBorders>
            <w:shd w:val="clear" w:color="auto" w:fill="auto"/>
          </w:tcPr>
          <w:p w14:paraId="230AA05B" w14:textId="77777777" w:rsidR="00482346" w:rsidRPr="00D13476" w:rsidRDefault="00482346" w:rsidP="00C47645">
            <w:pPr>
              <w:adjustRightInd w:val="0"/>
              <w:spacing w:before="60" w:after="60"/>
              <w:rPr>
                <w:color w:val="000000"/>
              </w:rPr>
            </w:pPr>
            <w:r w:rsidRPr="00D13476">
              <w:rPr>
                <w:color w:val="000000"/>
              </w:rPr>
              <w:t>84</w:t>
            </w:r>
          </w:p>
        </w:tc>
      </w:tr>
      <w:tr w:rsidR="00482346" w:rsidRPr="00D13476" w14:paraId="05433381" w14:textId="77777777" w:rsidTr="00C47645">
        <w:trPr>
          <w:cantSplit/>
        </w:trPr>
        <w:tc>
          <w:tcPr>
            <w:tcW w:w="2969" w:type="dxa"/>
            <w:tcBorders>
              <w:top w:val="single" w:sz="4" w:space="0" w:color="auto"/>
              <w:left w:val="single" w:sz="6" w:space="0" w:color="000000"/>
              <w:bottom w:val="single" w:sz="4" w:space="0" w:color="auto"/>
              <w:right w:val="nil"/>
            </w:tcBorders>
            <w:shd w:val="clear" w:color="auto" w:fill="BBBBBB"/>
            <w:tcMar>
              <w:left w:w="60" w:type="dxa"/>
              <w:right w:w="60" w:type="dxa"/>
            </w:tcMar>
          </w:tcPr>
          <w:p w14:paraId="1880D0D9" w14:textId="77777777" w:rsidR="00482346" w:rsidRPr="00D13476" w:rsidRDefault="00482346" w:rsidP="00C47645">
            <w:pPr>
              <w:adjustRightInd w:val="0"/>
              <w:spacing w:before="60" w:after="60"/>
              <w:rPr>
                <w:color w:val="000000"/>
              </w:rPr>
            </w:pPr>
            <w:r w:rsidRPr="00D13476">
              <w:rPr>
                <w:color w:val="000000"/>
              </w:rPr>
              <w:lastRenderedPageBreak/>
              <w:t>Interest in sex</w:t>
            </w:r>
          </w:p>
        </w:tc>
        <w:tc>
          <w:tcPr>
            <w:tcW w:w="3396"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20D8DBDE" w14:textId="77777777" w:rsidR="00482346" w:rsidRPr="00D13476" w:rsidRDefault="00482346" w:rsidP="00C47645">
            <w:pPr>
              <w:adjustRightInd w:val="0"/>
              <w:spacing w:before="60" w:after="60"/>
              <w:rPr>
                <w:color w:val="000000"/>
              </w:rPr>
            </w:pPr>
            <w:r w:rsidRPr="00D13476">
              <w:rPr>
                <w:color w:val="000000"/>
              </w:rPr>
              <w:t>1.27 (15.51)</w:t>
            </w:r>
          </w:p>
        </w:tc>
        <w:tc>
          <w:tcPr>
            <w:tcW w:w="1134"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3A778E9E" w14:textId="77777777" w:rsidR="00482346" w:rsidRPr="00D13476" w:rsidRDefault="00482346" w:rsidP="00C47645">
            <w:pPr>
              <w:adjustRightInd w:val="0"/>
              <w:spacing w:before="60" w:after="60"/>
              <w:rPr>
                <w:color w:val="000000"/>
              </w:rPr>
            </w:pPr>
            <w:r w:rsidRPr="00D13476">
              <w:rPr>
                <w:color w:val="000000"/>
              </w:rPr>
              <w:t>-2.21 to 4.74</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7A71B5E" w14:textId="77777777" w:rsidR="00482346" w:rsidRPr="00D13476" w:rsidRDefault="00482346" w:rsidP="00C47645">
            <w:pPr>
              <w:adjustRightInd w:val="0"/>
              <w:spacing w:before="60" w:after="60"/>
              <w:rPr>
                <w:color w:val="000000"/>
              </w:rPr>
            </w:pPr>
            <w:r w:rsidRPr="00D13476">
              <w:rPr>
                <w:color w:val="000000"/>
              </w:rPr>
              <w:t>0.84*</w:t>
            </w:r>
          </w:p>
        </w:tc>
        <w:tc>
          <w:tcPr>
            <w:tcW w:w="857" w:type="dxa"/>
            <w:tcBorders>
              <w:top w:val="single" w:sz="4" w:space="0" w:color="auto"/>
              <w:left w:val="single" w:sz="2" w:space="0" w:color="000000"/>
              <w:bottom w:val="single" w:sz="4" w:space="0" w:color="auto"/>
              <w:right w:val="single" w:sz="2" w:space="0" w:color="000000"/>
            </w:tcBorders>
            <w:shd w:val="clear" w:color="auto" w:fill="auto"/>
          </w:tcPr>
          <w:p w14:paraId="00D1A212" w14:textId="77777777" w:rsidR="00482346" w:rsidRPr="00D13476" w:rsidRDefault="00482346" w:rsidP="00C47645">
            <w:pPr>
              <w:adjustRightInd w:val="0"/>
              <w:spacing w:before="60" w:after="60"/>
              <w:rPr>
                <w:color w:val="000000"/>
              </w:rPr>
            </w:pPr>
            <w:r w:rsidRPr="00D13476">
              <w:rPr>
                <w:color w:val="000000"/>
              </w:rPr>
              <w:t>79</w:t>
            </w:r>
          </w:p>
        </w:tc>
      </w:tr>
      <w:tr w:rsidR="00482346" w:rsidRPr="00D13476" w14:paraId="4D011D96" w14:textId="77777777" w:rsidTr="00C47645">
        <w:trPr>
          <w:cantSplit/>
        </w:trPr>
        <w:tc>
          <w:tcPr>
            <w:tcW w:w="2969" w:type="dxa"/>
            <w:tcBorders>
              <w:top w:val="single" w:sz="4" w:space="0" w:color="auto"/>
              <w:left w:val="single" w:sz="6" w:space="0" w:color="000000"/>
              <w:bottom w:val="single" w:sz="4" w:space="0" w:color="auto"/>
              <w:right w:val="nil"/>
            </w:tcBorders>
            <w:shd w:val="clear" w:color="auto" w:fill="BBBBBB"/>
            <w:tcMar>
              <w:left w:w="60" w:type="dxa"/>
              <w:right w:w="60" w:type="dxa"/>
            </w:tcMar>
          </w:tcPr>
          <w:p w14:paraId="7E1BA0B8" w14:textId="77777777" w:rsidR="00482346" w:rsidRPr="00D13476" w:rsidRDefault="00482346" w:rsidP="00C47645">
            <w:pPr>
              <w:adjustRightInd w:val="0"/>
              <w:spacing w:before="60" w:after="60"/>
              <w:rPr>
                <w:color w:val="000000"/>
              </w:rPr>
            </w:pPr>
            <w:r w:rsidRPr="00D13476">
              <w:rPr>
                <w:color w:val="000000"/>
              </w:rPr>
              <w:t>Sex life</w:t>
            </w:r>
          </w:p>
        </w:tc>
        <w:tc>
          <w:tcPr>
            <w:tcW w:w="3396"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04F1BBC6" w14:textId="77777777" w:rsidR="00482346" w:rsidRPr="00D13476" w:rsidRDefault="00482346" w:rsidP="00C47645">
            <w:pPr>
              <w:adjustRightInd w:val="0"/>
              <w:spacing w:before="60" w:after="60"/>
              <w:rPr>
                <w:color w:val="000000"/>
              </w:rPr>
            </w:pPr>
            <w:r w:rsidRPr="00D13476">
              <w:rPr>
                <w:color w:val="000000"/>
              </w:rPr>
              <w:t>0.88 (18.84)</w:t>
            </w:r>
          </w:p>
        </w:tc>
        <w:tc>
          <w:tcPr>
            <w:tcW w:w="1134"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48BD57FF" w14:textId="77777777" w:rsidR="00482346" w:rsidRPr="00D13476" w:rsidRDefault="00482346" w:rsidP="00C47645">
            <w:pPr>
              <w:adjustRightInd w:val="0"/>
              <w:spacing w:before="60" w:after="60"/>
              <w:rPr>
                <w:color w:val="000000"/>
              </w:rPr>
            </w:pPr>
            <w:r w:rsidRPr="00D13476">
              <w:rPr>
                <w:color w:val="000000"/>
              </w:rPr>
              <w:t>-3.43 to 5.18</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2E5ACE7" w14:textId="77777777" w:rsidR="00482346" w:rsidRPr="00D13476" w:rsidRDefault="00482346" w:rsidP="00C47645">
            <w:pPr>
              <w:adjustRightInd w:val="0"/>
              <w:spacing w:before="60" w:after="60"/>
              <w:rPr>
                <w:color w:val="000000"/>
              </w:rPr>
            </w:pPr>
            <w:r w:rsidRPr="00D13476">
              <w:rPr>
                <w:color w:val="000000"/>
              </w:rPr>
              <w:t>0.90*</w:t>
            </w:r>
          </w:p>
        </w:tc>
        <w:tc>
          <w:tcPr>
            <w:tcW w:w="857" w:type="dxa"/>
            <w:tcBorders>
              <w:top w:val="single" w:sz="4" w:space="0" w:color="auto"/>
              <w:left w:val="single" w:sz="2" w:space="0" w:color="000000"/>
              <w:bottom w:val="single" w:sz="4" w:space="0" w:color="auto"/>
              <w:right w:val="single" w:sz="2" w:space="0" w:color="000000"/>
            </w:tcBorders>
            <w:shd w:val="clear" w:color="auto" w:fill="auto"/>
          </w:tcPr>
          <w:p w14:paraId="6026D689" w14:textId="77777777" w:rsidR="00482346" w:rsidRPr="00D13476" w:rsidRDefault="00482346" w:rsidP="00C47645">
            <w:pPr>
              <w:adjustRightInd w:val="0"/>
              <w:spacing w:before="60" w:after="60"/>
              <w:rPr>
                <w:color w:val="000000"/>
              </w:rPr>
            </w:pPr>
            <w:r w:rsidRPr="00D13476">
              <w:rPr>
                <w:color w:val="000000"/>
              </w:rPr>
              <w:t>76</w:t>
            </w:r>
          </w:p>
        </w:tc>
      </w:tr>
      <w:tr w:rsidR="00482346" w:rsidRPr="00D13476" w14:paraId="5B799A4F" w14:textId="77777777" w:rsidTr="00C47645">
        <w:trPr>
          <w:cantSplit/>
        </w:trPr>
        <w:tc>
          <w:tcPr>
            <w:tcW w:w="2969" w:type="dxa"/>
            <w:tcBorders>
              <w:top w:val="single" w:sz="4" w:space="0" w:color="auto"/>
              <w:left w:val="single" w:sz="6" w:space="0" w:color="000000"/>
              <w:bottom w:val="single" w:sz="4" w:space="0" w:color="auto"/>
              <w:right w:val="nil"/>
            </w:tcBorders>
            <w:shd w:val="clear" w:color="auto" w:fill="BBBBBB"/>
            <w:tcMar>
              <w:left w:w="60" w:type="dxa"/>
              <w:right w:w="60" w:type="dxa"/>
            </w:tcMar>
          </w:tcPr>
          <w:p w14:paraId="3ED8D8D6" w14:textId="77777777" w:rsidR="00482346" w:rsidRPr="00D13476" w:rsidRDefault="00482346" w:rsidP="00C47645">
            <w:pPr>
              <w:adjustRightInd w:val="0"/>
              <w:spacing w:before="60" w:after="60"/>
              <w:rPr>
                <w:color w:val="000000"/>
              </w:rPr>
            </w:pPr>
            <w:r w:rsidRPr="00D13476">
              <w:rPr>
                <w:color w:val="000000"/>
              </w:rPr>
              <w:t>Pain during intercourse</w:t>
            </w:r>
          </w:p>
        </w:tc>
        <w:tc>
          <w:tcPr>
            <w:tcW w:w="3396"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20035F50" w14:textId="77777777" w:rsidR="00482346" w:rsidRPr="00D13476" w:rsidRDefault="00482346" w:rsidP="00C47645">
            <w:pPr>
              <w:adjustRightInd w:val="0"/>
              <w:spacing w:before="60" w:after="60"/>
              <w:rPr>
                <w:color w:val="000000"/>
              </w:rPr>
            </w:pPr>
            <w:r w:rsidRPr="00D13476">
              <w:rPr>
                <w:color w:val="000000"/>
              </w:rPr>
              <w:t>0.93 (18.53)</w:t>
            </w:r>
          </w:p>
        </w:tc>
        <w:tc>
          <w:tcPr>
            <w:tcW w:w="1134"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3C6C442C" w14:textId="77777777" w:rsidR="00482346" w:rsidRPr="00D13476" w:rsidRDefault="00482346" w:rsidP="00C47645">
            <w:pPr>
              <w:adjustRightInd w:val="0"/>
              <w:spacing w:before="60" w:after="60"/>
              <w:rPr>
                <w:color w:val="000000"/>
              </w:rPr>
            </w:pPr>
            <w:r w:rsidRPr="00D13476">
              <w:rPr>
                <w:color w:val="000000"/>
              </w:rPr>
              <w:t>-3.43 to 5.28</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0802A19" w14:textId="77777777" w:rsidR="00482346" w:rsidRPr="00D13476" w:rsidRDefault="00482346" w:rsidP="00C47645">
            <w:pPr>
              <w:adjustRightInd w:val="0"/>
              <w:spacing w:before="60" w:after="60"/>
              <w:rPr>
                <w:color w:val="000000"/>
              </w:rPr>
            </w:pPr>
            <w:r w:rsidRPr="00D13476">
              <w:rPr>
                <w:color w:val="000000"/>
              </w:rPr>
              <w:t>0.81*</w:t>
            </w:r>
          </w:p>
        </w:tc>
        <w:tc>
          <w:tcPr>
            <w:tcW w:w="857" w:type="dxa"/>
            <w:tcBorders>
              <w:top w:val="single" w:sz="4" w:space="0" w:color="auto"/>
              <w:left w:val="single" w:sz="2" w:space="0" w:color="000000"/>
              <w:bottom w:val="single" w:sz="4" w:space="0" w:color="auto"/>
              <w:right w:val="single" w:sz="2" w:space="0" w:color="000000"/>
            </w:tcBorders>
            <w:shd w:val="clear" w:color="auto" w:fill="auto"/>
          </w:tcPr>
          <w:p w14:paraId="6FDBB9F3" w14:textId="77777777" w:rsidR="00482346" w:rsidRPr="00D13476" w:rsidRDefault="00482346" w:rsidP="00C47645">
            <w:pPr>
              <w:adjustRightInd w:val="0"/>
              <w:spacing w:before="60" w:after="60"/>
              <w:rPr>
                <w:color w:val="000000"/>
              </w:rPr>
            </w:pPr>
            <w:r w:rsidRPr="00D13476">
              <w:rPr>
                <w:color w:val="000000"/>
              </w:rPr>
              <w:t>72</w:t>
            </w:r>
          </w:p>
        </w:tc>
      </w:tr>
      <w:tr w:rsidR="00482346" w:rsidRPr="00D13476" w14:paraId="2F63466A" w14:textId="77777777" w:rsidTr="00C47645">
        <w:trPr>
          <w:cantSplit/>
        </w:trPr>
        <w:tc>
          <w:tcPr>
            <w:tcW w:w="2969" w:type="dxa"/>
            <w:tcBorders>
              <w:top w:val="single" w:sz="4" w:space="0" w:color="auto"/>
              <w:left w:val="single" w:sz="6" w:space="0" w:color="000000"/>
              <w:bottom w:val="single" w:sz="6" w:space="0" w:color="000000"/>
              <w:right w:val="nil"/>
            </w:tcBorders>
            <w:shd w:val="clear" w:color="auto" w:fill="BBBBBB"/>
            <w:tcMar>
              <w:left w:w="60" w:type="dxa"/>
              <w:right w:w="60" w:type="dxa"/>
            </w:tcMar>
          </w:tcPr>
          <w:p w14:paraId="6321AC6D" w14:textId="77777777" w:rsidR="00482346" w:rsidRPr="00D13476" w:rsidRDefault="00482346" w:rsidP="00C47645">
            <w:pPr>
              <w:adjustRightInd w:val="0"/>
              <w:spacing w:before="60" w:after="60"/>
              <w:rPr>
                <w:color w:val="000000"/>
              </w:rPr>
            </w:pPr>
            <w:r w:rsidRPr="00D13476">
              <w:rPr>
                <w:color w:val="000000"/>
              </w:rPr>
              <w:t>Erectile problems</w:t>
            </w:r>
          </w:p>
        </w:tc>
        <w:tc>
          <w:tcPr>
            <w:tcW w:w="3396" w:type="dxa"/>
            <w:tcBorders>
              <w:top w:val="single" w:sz="4" w:space="0" w:color="auto"/>
              <w:left w:val="single" w:sz="2" w:space="0" w:color="000000"/>
              <w:bottom w:val="single" w:sz="6" w:space="0" w:color="000000"/>
              <w:right w:val="single" w:sz="2" w:space="0" w:color="000000"/>
            </w:tcBorders>
            <w:shd w:val="clear" w:color="auto" w:fill="FFFFFF" w:themeFill="background1"/>
          </w:tcPr>
          <w:p w14:paraId="1DE0C8BC" w14:textId="77777777" w:rsidR="00482346" w:rsidRPr="00D13476" w:rsidRDefault="00482346" w:rsidP="00C47645">
            <w:pPr>
              <w:adjustRightInd w:val="0"/>
              <w:spacing w:before="60" w:after="60"/>
              <w:rPr>
                <w:color w:val="000000"/>
              </w:rPr>
            </w:pPr>
            <w:r w:rsidRPr="00D13476">
              <w:rPr>
                <w:color w:val="000000"/>
              </w:rPr>
              <w:t>0.00 (14.91)</w:t>
            </w:r>
          </w:p>
        </w:tc>
        <w:tc>
          <w:tcPr>
            <w:tcW w:w="1134" w:type="dxa"/>
            <w:tcBorders>
              <w:top w:val="single" w:sz="4" w:space="0" w:color="auto"/>
              <w:left w:val="single" w:sz="2" w:space="0" w:color="000000"/>
              <w:bottom w:val="single" w:sz="6" w:space="0" w:color="000000"/>
              <w:right w:val="single" w:sz="2" w:space="0" w:color="000000"/>
            </w:tcBorders>
            <w:shd w:val="clear" w:color="auto" w:fill="FFFFFF" w:themeFill="background1"/>
          </w:tcPr>
          <w:p w14:paraId="5381A6CB" w14:textId="77777777" w:rsidR="00482346" w:rsidRPr="00D13476" w:rsidRDefault="00482346" w:rsidP="00C47645">
            <w:pPr>
              <w:adjustRightInd w:val="0"/>
              <w:spacing w:before="60" w:after="60"/>
              <w:rPr>
                <w:color w:val="000000"/>
              </w:rPr>
            </w:pPr>
            <w:r w:rsidRPr="00D13476">
              <w:rPr>
                <w:color w:val="000000"/>
              </w:rPr>
              <w:t>-6.79 to 6.79</w:t>
            </w:r>
          </w:p>
        </w:tc>
        <w:tc>
          <w:tcPr>
            <w:tcW w:w="992" w:type="dxa"/>
            <w:tcBorders>
              <w:top w:val="single" w:sz="4" w:space="0" w:color="auto"/>
              <w:left w:val="single" w:sz="2" w:space="0" w:color="000000"/>
              <w:bottom w:val="single" w:sz="6" w:space="0" w:color="000000"/>
              <w:right w:val="single" w:sz="2" w:space="0" w:color="000000"/>
            </w:tcBorders>
            <w:shd w:val="clear" w:color="auto" w:fill="auto"/>
          </w:tcPr>
          <w:p w14:paraId="2FE89310" w14:textId="77777777" w:rsidR="00482346" w:rsidRPr="00D13476" w:rsidRDefault="00482346" w:rsidP="00C47645">
            <w:pPr>
              <w:adjustRightInd w:val="0"/>
              <w:spacing w:before="60" w:after="60"/>
              <w:rPr>
                <w:color w:val="000000"/>
              </w:rPr>
            </w:pPr>
            <w:r w:rsidRPr="00D13476">
              <w:rPr>
                <w:color w:val="000000"/>
              </w:rPr>
              <w:t>0.92*</w:t>
            </w:r>
          </w:p>
        </w:tc>
        <w:tc>
          <w:tcPr>
            <w:tcW w:w="857" w:type="dxa"/>
            <w:tcBorders>
              <w:top w:val="single" w:sz="4" w:space="0" w:color="auto"/>
              <w:left w:val="single" w:sz="2" w:space="0" w:color="000000"/>
              <w:bottom w:val="single" w:sz="6" w:space="0" w:color="000000"/>
              <w:right w:val="single" w:sz="2" w:space="0" w:color="000000"/>
            </w:tcBorders>
            <w:shd w:val="clear" w:color="auto" w:fill="auto"/>
          </w:tcPr>
          <w:p w14:paraId="085E9413" w14:textId="77777777" w:rsidR="00482346" w:rsidRPr="00D13476" w:rsidRDefault="00482346" w:rsidP="00C47645">
            <w:pPr>
              <w:adjustRightInd w:val="0"/>
              <w:spacing w:before="60" w:after="60"/>
              <w:rPr>
                <w:color w:val="000000"/>
              </w:rPr>
            </w:pPr>
            <w:r w:rsidRPr="00D13476">
              <w:rPr>
                <w:color w:val="000000"/>
              </w:rPr>
              <w:t>21</w:t>
            </w:r>
          </w:p>
        </w:tc>
      </w:tr>
    </w:tbl>
    <w:p w14:paraId="0E911C1D" w14:textId="77777777" w:rsidR="00482346" w:rsidRPr="00D13476" w:rsidRDefault="00482346" w:rsidP="00482346">
      <w:pPr>
        <w:rPr>
          <w:sz w:val="18"/>
          <w:szCs w:val="18"/>
        </w:rPr>
      </w:pPr>
      <w:r w:rsidRPr="00D13476">
        <w:rPr>
          <w:sz w:val="18"/>
          <w:szCs w:val="18"/>
        </w:rPr>
        <w:t xml:space="preserve">*Acceptable consistency in responses to items on two repeated assessments, </w:t>
      </w:r>
      <w:r w:rsidRPr="00D13476">
        <w:rPr>
          <w:rFonts w:cs="Arial"/>
          <w:sz w:val="18"/>
          <w:szCs w:val="18"/>
        </w:rPr>
        <w:t xml:space="preserve">ICC </w:t>
      </w:r>
      <w:r w:rsidRPr="00D13476">
        <w:rPr>
          <w:sz w:val="18"/>
          <w:szCs w:val="18"/>
          <w:u w:val="single"/>
        </w:rPr>
        <w:t>&gt;</w:t>
      </w:r>
      <w:r w:rsidRPr="00D13476">
        <w:rPr>
          <w:sz w:val="18"/>
          <w:szCs w:val="18"/>
        </w:rPr>
        <w:t>0.70</w:t>
      </w:r>
    </w:p>
    <w:p w14:paraId="6FF04293" w14:textId="77777777" w:rsidR="00482346" w:rsidRPr="00D13476" w:rsidRDefault="00482346" w:rsidP="00482346"/>
    <w:p w14:paraId="6F36EA86" w14:textId="77777777" w:rsidR="00482346" w:rsidRPr="00D13476" w:rsidRDefault="00482346" w:rsidP="00482346">
      <w:pPr>
        <w:spacing w:line="360" w:lineRule="auto"/>
      </w:pPr>
      <w:r w:rsidRPr="00D13476">
        <w:t>Table 3. Multi-trait scaling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1"/>
        <w:gridCol w:w="3323"/>
        <w:gridCol w:w="3686"/>
      </w:tblGrid>
      <w:tr w:rsidR="00482346" w:rsidRPr="00D13476" w14:paraId="0ED197B0" w14:textId="77777777" w:rsidTr="00C47645">
        <w:trPr>
          <w:cantSplit/>
          <w:tblHeader/>
        </w:trPr>
        <w:tc>
          <w:tcPr>
            <w:tcW w:w="1561" w:type="dxa"/>
            <w:shd w:val="clear" w:color="auto" w:fill="BFBFBF" w:themeFill="background1" w:themeFillShade="BF"/>
            <w:tcMar>
              <w:left w:w="60" w:type="dxa"/>
              <w:right w:w="60" w:type="dxa"/>
            </w:tcMar>
            <w:vAlign w:val="bottom"/>
          </w:tcPr>
          <w:p w14:paraId="28D010E4" w14:textId="77777777" w:rsidR="00482346" w:rsidRPr="00D13476" w:rsidRDefault="00482346" w:rsidP="00C47645">
            <w:pPr>
              <w:adjustRightInd w:val="0"/>
              <w:spacing w:before="60" w:after="60"/>
              <w:rPr>
                <w:b/>
                <w:bCs/>
                <w:color w:val="000000"/>
              </w:rPr>
            </w:pPr>
            <w:r w:rsidRPr="00D13476">
              <w:rPr>
                <w:b/>
                <w:bCs/>
                <w:color w:val="000000"/>
              </w:rPr>
              <w:t>Subscale</w:t>
            </w:r>
          </w:p>
        </w:tc>
        <w:tc>
          <w:tcPr>
            <w:tcW w:w="3323" w:type="dxa"/>
            <w:shd w:val="clear" w:color="auto" w:fill="BFBFBF" w:themeFill="background1" w:themeFillShade="BF"/>
          </w:tcPr>
          <w:p w14:paraId="5124B832" w14:textId="77777777" w:rsidR="00482346" w:rsidRPr="00D13476" w:rsidRDefault="00482346" w:rsidP="00C47645">
            <w:pPr>
              <w:adjustRightInd w:val="0"/>
              <w:spacing w:before="60" w:after="60"/>
              <w:rPr>
                <w:b/>
                <w:bCs/>
                <w:color w:val="000000"/>
              </w:rPr>
            </w:pPr>
            <w:r w:rsidRPr="00D13476">
              <w:rPr>
                <w:b/>
                <w:bCs/>
                <w:color w:val="000000"/>
              </w:rPr>
              <w:t>Convergent validity (Items correlate &gt;0.40 with own scale)</w:t>
            </w:r>
          </w:p>
        </w:tc>
        <w:tc>
          <w:tcPr>
            <w:tcW w:w="3686" w:type="dxa"/>
            <w:shd w:val="clear" w:color="auto" w:fill="BFBFBF" w:themeFill="background1" w:themeFillShade="BF"/>
          </w:tcPr>
          <w:p w14:paraId="08BB26F1" w14:textId="77777777" w:rsidR="00482346" w:rsidRPr="00D13476" w:rsidRDefault="00482346" w:rsidP="00C47645">
            <w:pPr>
              <w:adjustRightInd w:val="0"/>
              <w:spacing w:before="60" w:after="60"/>
              <w:rPr>
                <w:b/>
                <w:bCs/>
                <w:color w:val="000000"/>
                <w:vertAlign w:val="superscript"/>
              </w:rPr>
            </w:pPr>
            <w:r w:rsidRPr="00D13476">
              <w:rPr>
                <w:b/>
                <w:bCs/>
                <w:color w:val="000000"/>
              </w:rPr>
              <w:t>Discriminant validity (items do not correlate as highly with another scale)</w:t>
            </w:r>
            <w:r w:rsidRPr="00D13476">
              <w:rPr>
                <w:vertAlign w:val="superscript"/>
              </w:rPr>
              <w:t>1</w:t>
            </w:r>
          </w:p>
        </w:tc>
      </w:tr>
      <w:tr w:rsidR="00482346" w:rsidRPr="00D13476" w14:paraId="13408241" w14:textId="77777777" w:rsidTr="00C47645">
        <w:trPr>
          <w:cantSplit/>
        </w:trPr>
        <w:tc>
          <w:tcPr>
            <w:tcW w:w="1561" w:type="dxa"/>
            <w:shd w:val="clear" w:color="auto" w:fill="BFBFBF" w:themeFill="background1" w:themeFillShade="BF"/>
            <w:tcMar>
              <w:left w:w="60" w:type="dxa"/>
              <w:right w:w="60" w:type="dxa"/>
            </w:tcMar>
          </w:tcPr>
          <w:p w14:paraId="19B4EDE4" w14:textId="77777777" w:rsidR="00482346" w:rsidRPr="00D13476" w:rsidRDefault="00482346" w:rsidP="00C47645">
            <w:pPr>
              <w:adjustRightInd w:val="0"/>
              <w:spacing w:before="60" w:after="60"/>
              <w:rPr>
                <w:color w:val="000000"/>
              </w:rPr>
            </w:pPr>
            <w:r w:rsidRPr="00D13476">
              <w:rPr>
                <w:rFonts w:cstheme="minorHAnsi"/>
                <w:szCs w:val="24"/>
              </w:rPr>
              <w:t xml:space="preserve">Bowel symptoms (non-stoma) </w:t>
            </w:r>
          </w:p>
        </w:tc>
        <w:tc>
          <w:tcPr>
            <w:tcW w:w="3323" w:type="dxa"/>
            <w:shd w:val="clear" w:color="auto" w:fill="auto"/>
          </w:tcPr>
          <w:p w14:paraId="4D170B16" w14:textId="77777777" w:rsidR="00482346" w:rsidRPr="00D13476" w:rsidRDefault="00482346" w:rsidP="00C47645">
            <w:pPr>
              <w:adjustRightInd w:val="0"/>
              <w:spacing w:before="60" w:after="60"/>
              <w:rPr>
                <w:color w:val="000000"/>
              </w:rPr>
            </w:pPr>
            <w:r w:rsidRPr="00D13476">
              <w:rPr>
                <w:color w:val="000000"/>
              </w:rPr>
              <w:t>0.66-0.81</w:t>
            </w:r>
          </w:p>
        </w:tc>
        <w:tc>
          <w:tcPr>
            <w:tcW w:w="3686" w:type="dxa"/>
            <w:shd w:val="clear" w:color="auto" w:fill="auto"/>
          </w:tcPr>
          <w:p w14:paraId="08111ADF" w14:textId="77777777" w:rsidR="00482346" w:rsidRPr="00D13476" w:rsidRDefault="00482346" w:rsidP="00C47645">
            <w:pPr>
              <w:adjustRightInd w:val="0"/>
              <w:spacing w:before="60" w:after="60"/>
              <w:rPr>
                <w:color w:val="000000"/>
              </w:rPr>
            </w:pPr>
            <w:r w:rsidRPr="00D13476">
              <w:rPr>
                <w:color w:val="000000"/>
              </w:rPr>
              <w:t>0.16-0.51</w:t>
            </w:r>
          </w:p>
        </w:tc>
      </w:tr>
      <w:tr w:rsidR="00482346" w:rsidRPr="00D13476" w14:paraId="6CECB7A3" w14:textId="77777777" w:rsidTr="00C47645">
        <w:trPr>
          <w:cantSplit/>
        </w:trPr>
        <w:tc>
          <w:tcPr>
            <w:tcW w:w="1561" w:type="dxa"/>
            <w:shd w:val="clear" w:color="auto" w:fill="BFBFBF" w:themeFill="background1" w:themeFillShade="BF"/>
            <w:tcMar>
              <w:left w:w="60" w:type="dxa"/>
              <w:right w:w="60" w:type="dxa"/>
            </w:tcMar>
          </w:tcPr>
          <w:p w14:paraId="2CD1B5A8" w14:textId="77777777" w:rsidR="00482346" w:rsidRPr="00D13476" w:rsidRDefault="00482346" w:rsidP="00C47645">
            <w:pPr>
              <w:adjustRightInd w:val="0"/>
              <w:spacing w:before="60" w:after="60"/>
              <w:rPr>
                <w:color w:val="000000"/>
              </w:rPr>
            </w:pPr>
            <w:r w:rsidRPr="00D13476">
              <w:rPr>
                <w:rFonts w:cstheme="minorHAnsi"/>
                <w:szCs w:val="24"/>
              </w:rPr>
              <w:t>Bowel symptoms (stoma)</w:t>
            </w:r>
          </w:p>
        </w:tc>
        <w:tc>
          <w:tcPr>
            <w:tcW w:w="3323" w:type="dxa"/>
            <w:shd w:val="clear" w:color="auto" w:fill="auto"/>
          </w:tcPr>
          <w:p w14:paraId="0432B0CC" w14:textId="77777777" w:rsidR="00482346" w:rsidRPr="00D13476" w:rsidRDefault="00482346" w:rsidP="00C47645">
            <w:pPr>
              <w:adjustRightInd w:val="0"/>
              <w:spacing w:before="60" w:after="60"/>
              <w:rPr>
                <w:color w:val="000000"/>
              </w:rPr>
            </w:pPr>
            <w:r w:rsidRPr="00D13476">
              <w:rPr>
                <w:color w:val="000000"/>
              </w:rPr>
              <w:t>0.86-0.87</w:t>
            </w:r>
          </w:p>
        </w:tc>
        <w:tc>
          <w:tcPr>
            <w:tcW w:w="3686" w:type="dxa"/>
            <w:shd w:val="clear" w:color="auto" w:fill="auto"/>
          </w:tcPr>
          <w:p w14:paraId="27B52F85" w14:textId="77777777" w:rsidR="00482346" w:rsidRPr="00D13476" w:rsidRDefault="00482346" w:rsidP="00C47645">
            <w:pPr>
              <w:adjustRightInd w:val="0"/>
              <w:spacing w:before="60" w:after="60"/>
              <w:rPr>
                <w:color w:val="000000"/>
              </w:rPr>
            </w:pPr>
            <w:r w:rsidRPr="00D13476">
              <w:rPr>
                <w:color w:val="000000"/>
              </w:rPr>
              <w:t>0.16-0.51</w:t>
            </w:r>
          </w:p>
        </w:tc>
      </w:tr>
      <w:tr w:rsidR="00482346" w:rsidRPr="00D13476" w14:paraId="4D118D73" w14:textId="77777777" w:rsidTr="00C47645">
        <w:trPr>
          <w:cantSplit/>
        </w:trPr>
        <w:tc>
          <w:tcPr>
            <w:tcW w:w="1561" w:type="dxa"/>
            <w:shd w:val="clear" w:color="auto" w:fill="BFBFBF" w:themeFill="background1" w:themeFillShade="BF"/>
            <w:tcMar>
              <w:left w:w="60" w:type="dxa"/>
              <w:right w:w="60" w:type="dxa"/>
            </w:tcMar>
          </w:tcPr>
          <w:p w14:paraId="504DDC81" w14:textId="77777777" w:rsidR="00482346" w:rsidRPr="00D13476" w:rsidRDefault="00482346" w:rsidP="00C47645">
            <w:pPr>
              <w:adjustRightInd w:val="0"/>
              <w:spacing w:before="60" w:after="60"/>
              <w:rPr>
                <w:color w:val="000000"/>
              </w:rPr>
            </w:pPr>
            <w:r w:rsidRPr="00D13476">
              <w:rPr>
                <w:rFonts w:cstheme="minorHAnsi"/>
                <w:szCs w:val="24"/>
              </w:rPr>
              <w:t>Pain/discomfort</w:t>
            </w:r>
          </w:p>
        </w:tc>
        <w:tc>
          <w:tcPr>
            <w:tcW w:w="3323" w:type="dxa"/>
            <w:shd w:val="clear" w:color="auto" w:fill="auto"/>
          </w:tcPr>
          <w:p w14:paraId="5611171B" w14:textId="77777777" w:rsidR="00482346" w:rsidRPr="00D13476" w:rsidRDefault="00482346" w:rsidP="00C47645">
            <w:pPr>
              <w:adjustRightInd w:val="0"/>
              <w:spacing w:before="60" w:after="60"/>
              <w:rPr>
                <w:color w:val="000000"/>
              </w:rPr>
            </w:pPr>
            <w:r w:rsidRPr="00D13476">
              <w:rPr>
                <w:color w:val="000000"/>
              </w:rPr>
              <w:t>0.75-0.86</w:t>
            </w:r>
          </w:p>
        </w:tc>
        <w:tc>
          <w:tcPr>
            <w:tcW w:w="3686" w:type="dxa"/>
            <w:shd w:val="clear" w:color="auto" w:fill="auto"/>
          </w:tcPr>
          <w:p w14:paraId="68B04345" w14:textId="77777777" w:rsidR="00482346" w:rsidRPr="00D13476" w:rsidRDefault="00482346" w:rsidP="00C47645">
            <w:pPr>
              <w:adjustRightInd w:val="0"/>
              <w:spacing w:before="60" w:after="60"/>
              <w:rPr>
                <w:color w:val="000000"/>
              </w:rPr>
            </w:pPr>
            <w:r w:rsidRPr="00D13476">
              <w:rPr>
                <w:color w:val="000000"/>
              </w:rPr>
              <w:t>0.07-0.53</w:t>
            </w:r>
          </w:p>
        </w:tc>
      </w:tr>
      <w:tr w:rsidR="00482346" w:rsidRPr="00D13476" w14:paraId="34D0DC69" w14:textId="77777777" w:rsidTr="00C47645">
        <w:trPr>
          <w:cantSplit/>
          <w:trHeight w:val="528"/>
        </w:trPr>
        <w:tc>
          <w:tcPr>
            <w:tcW w:w="1561" w:type="dxa"/>
            <w:shd w:val="clear" w:color="auto" w:fill="BFBFBF" w:themeFill="background1" w:themeFillShade="BF"/>
            <w:tcMar>
              <w:left w:w="60" w:type="dxa"/>
              <w:right w:w="60" w:type="dxa"/>
            </w:tcMar>
          </w:tcPr>
          <w:p w14:paraId="356C5762" w14:textId="77777777" w:rsidR="00482346" w:rsidRPr="00D13476" w:rsidRDefault="00482346" w:rsidP="00C47645">
            <w:pPr>
              <w:adjustRightInd w:val="0"/>
              <w:spacing w:before="60" w:after="60"/>
              <w:rPr>
                <w:color w:val="000000"/>
              </w:rPr>
            </w:pPr>
            <w:r w:rsidRPr="00D13476">
              <w:rPr>
                <w:rFonts w:cstheme="minorHAnsi"/>
                <w:szCs w:val="24"/>
              </w:rPr>
              <w:t>Stoma care</w:t>
            </w:r>
          </w:p>
        </w:tc>
        <w:tc>
          <w:tcPr>
            <w:tcW w:w="3323" w:type="dxa"/>
            <w:shd w:val="clear" w:color="auto" w:fill="auto"/>
          </w:tcPr>
          <w:p w14:paraId="186125F1" w14:textId="77777777" w:rsidR="00482346" w:rsidRPr="00D13476" w:rsidRDefault="00482346" w:rsidP="00C47645">
            <w:pPr>
              <w:adjustRightInd w:val="0"/>
              <w:spacing w:before="60" w:after="60"/>
              <w:rPr>
                <w:color w:val="000000"/>
              </w:rPr>
            </w:pPr>
            <w:r w:rsidRPr="00D13476">
              <w:rPr>
                <w:color w:val="000000"/>
              </w:rPr>
              <w:t>0.74-0.81</w:t>
            </w:r>
          </w:p>
        </w:tc>
        <w:tc>
          <w:tcPr>
            <w:tcW w:w="3686" w:type="dxa"/>
            <w:shd w:val="clear" w:color="auto" w:fill="auto"/>
          </w:tcPr>
          <w:p w14:paraId="61F95222" w14:textId="77777777" w:rsidR="00482346" w:rsidRPr="00D13476" w:rsidRDefault="00482346" w:rsidP="00C47645">
            <w:pPr>
              <w:adjustRightInd w:val="0"/>
              <w:spacing w:before="60" w:after="60"/>
              <w:rPr>
                <w:color w:val="000000"/>
              </w:rPr>
            </w:pPr>
            <w:r w:rsidRPr="00D13476">
              <w:rPr>
                <w:color w:val="000000"/>
              </w:rPr>
              <w:t>0.12-0.79</w:t>
            </w:r>
          </w:p>
        </w:tc>
      </w:tr>
      <w:tr w:rsidR="00482346" w:rsidRPr="00D13476" w14:paraId="133F6A60" w14:textId="77777777" w:rsidTr="00C47645">
        <w:trPr>
          <w:cantSplit/>
          <w:trHeight w:val="528"/>
        </w:trPr>
        <w:tc>
          <w:tcPr>
            <w:tcW w:w="1561" w:type="dxa"/>
            <w:shd w:val="clear" w:color="auto" w:fill="BFBFBF" w:themeFill="background1" w:themeFillShade="BF"/>
            <w:tcMar>
              <w:left w:w="60" w:type="dxa"/>
              <w:right w:w="60" w:type="dxa"/>
            </w:tcMar>
          </w:tcPr>
          <w:p w14:paraId="4BA47DDD" w14:textId="77777777" w:rsidR="00482346" w:rsidRPr="00D13476" w:rsidRDefault="00482346" w:rsidP="00C47645">
            <w:pPr>
              <w:adjustRightInd w:val="0"/>
              <w:spacing w:before="60" w:after="60"/>
              <w:rPr>
                <w:color w:val="000000"/>
              </w:rPr>
            </w:pPr>
            <w:r w:rsidRPr="00D13476">
              <w:rPr>
                <w:rFonts w:cstheme="minorHAnsi"/>
              </w:rPr>
              <w:t>Vaginal symptoms</w:t>
            </w:r>
          </w:p>
        </w:tc>
        <w:tc>
          <w:tcPr>
            <w:tcW w:w="3323" w:type="dxa"/>
            <w:shd w:val="clear" w:color="auto" w:fill="auto"/>
          </w:tcPr>
          <w:p w14:paraId="007D5956" w14:textId="77777777" w:rsidR="00482346" w:rsidRPr="00D13476" w:rsidRDefault="00482346" w:rsidP="00C47645">
            <w:pPr>
              <w:adjustRightInd w:val="0"/>
              <w:spacing w:before="60" w:after="60"/>
              <w:rPr>
                <w:color w:val="000000"/>
              </w:rPr>
            </w:pPr>
            <w:r w:rsidRPr="00D13476">
              <w:rPr>
                <w:color w:val="000000"/>
              </w:rPr>
              <w:t>0.88-0.91</w:t>
            </w:r>
          </w:p>
        </w:tc>
        <w:tc>
          <w:tcPr>
            <w:tcW w:w="3686" w:type="dxa"/>
            <w:shd w:val="clear" w:color="auto" w:fill="auto"/>
          </w:tcPr>
          <w:p w14:paraId="63D8E7BF" w14:textId="77777777" w:rsidR="00482346" w:rsidRPr="00D13476" w:rsidRDefault="00482346" w:rsidP="00C47645">
            <w:pPr>
              <w:adjustRightInd w:val="0"/>
              <w:spacing w:before="60" w:after="60"/>
              <w:rPr>
                <w:color w:val="000000"/>
              </w:rPr>
            </w:pPr>
            <w:r w:rsidRPr="00D13476">
              <w:rPr>
                <w:color w:val="000000"/>
              </w:rPr>
              <w:t>0.10-0.50</w:t>
            </w:r>
          </w:p>
        </w:tc>
      </w:tr>
    </w:tbl>
    <w:p w14:paraId="02E0979B" w14:textId="77777777" w:rsidR="00482346" w:rsidRPr="00D13476" w:rsidRDefault="00482346" w:rsidP="00482346">
      <w:pPr>
        <w:rPr>
          <w:sz w:val="18"/>
          <w:szCs w:val="18"/>
        </w:rPr>
      </w:pPr>
      <w:r w:rsidRPr="00D13476">
        <w:rPr>
          <w:i/>
          <w:iCs/>
          <w:vertAlign w:val="superscript"/>
        </w:rPr>
        <w:t>1</w:t>
      </w:r>
      <w:r w:rsidRPr="00D13476">
        <w:t xml:space="preserve"> </w:t>
      </w:r>
      <w:r w:rsidRPr="00D13476">
        <w:rPr>
          <w:sz w:val="18"/>
          <w:szCs w:val="18"/>
        </w:rPr>
        <w:t>Correlations between scales with overlapping items not produced (Bowel symptoms (non-stoma) and Bowel symptoms (stoma</w:t>
      </w:r>
      <w:r w:rsidRPr="00D13476">
        <w:rPr>
          <w:sz w:val="18"/>
          <w:szCs w:val="18"/>
        </w:rPr>
        <w:softHyphen/>
        <w:t>))</w:t>
      </w:r>
    </w:p>
    <w:p w14:paraId="7D24C7A8" w14:textId="77777777" w:rsidR="00482346" w:rsidRPr="00D13476" w:rsidRDefault="00482346" w:rsidP="00482346">
      <w:pPr>
        <w:rPr>
          <w:i/>
          <w:iCs/>
          <w:vertAlign w:val="superscript"/>
        </w:rPr>
      </w:pPr>
    </w:p>
    <w:p w14:paraId="070C7AA3" w14:textId="77777777" w:rsidR="00482346" w:rsidRPr="00D13476" w:rsidRDefault="00482346" w:rsidP="00482346">
      <w:r w:rsidRPr="00D13476">
        <w:t xml:space="preserve">Table 4. QLQ-ANL27 scale correlations with conceptually related QLQ-C30 scales </w:t>
      </w:r>
    </w:p>
    <w:tbl>
      <w:tblPr>
        <w:tblW w:w="0" w:type="auto"/>
        <w:jc w:val="center"/>
        <w:tblCellMar>
          <w:left w:w="0" w:type="dxa"/>
          <w:right w:w="0" w:type="dxa"/>
        </w:tblCellMar>
        <w:tblLook w:val="0000" w:firstRow="0" w:lastRow="0" w:firstColumn="0" w:lastColumn="0" w:noHBand="0" w:noVBand="0"/>
      </w:tblPr>
      <w:tblGrid>
        <w:gridCol w:w="2851"/>
        <w:gridCol w:w="1551"/>
        <w:gridCol w:w="1960"/>
        <w:gridCol w:w="2653"/>
      </w:tblGrid>
      <w:tr w:rsidR="00482346" w:rsidRPr="00482346" w14:paraId="70E09082" w14:textId="77777777" w:rsidTr="00C47645">
        <w:trPr>
          <w:cantSplit/>
          <w:tblHeader/>
          <w:jc w:val="center"/>
        </w:trPr>
        <w:tc>
          <w:tcPr>
            <w:tcW w:w="0" w:type="auto"/>
            <w:tcBorders>
              <w:top w:val="single" w:sz="6" w:space="0" w:color="000000"/>
              <w:left w:val="single" w:sz="6" w:space="0" w:color="000000"/>
              <w:bottom w:val="single" w:sz="2" w:space="0" w:color="000000"/>
              <w:right w:val="nil"/>
            </w:tcBorders>
            <w:shd w:val="clear" w:color="auto" w:fill="BFBFBF" w:themeFill="background1" w:themeFillShade="BF"/>
            <w:tcMar>
              <w:left w:w="60" w:type="dxa"/>
              <w:right w:w="60" w:type="dxa"/>
            </w:tcMar>
          </w:tcPr>
          <w:p w14:paraId="04C97A56" w14:textId="77777777" w:rsidR="00482346" w:rsidRPr="00D13476" w:rsidRDefault="00482346" w:rsidP="00C47645">
            <w:pPr>
              <w:adjustRightInd w:val="0"/>
              <w:spacing w:before="60" w:after="60"/>
              <w:rPr>
                <w:b/>
                <w:bCs/>
                <w:color w:val="000000"/>
              </w:rPr>
            </w:pPr>
            <w:r w:rsidRPr="00D13476">
              <w:rPr>
                <w:b/>
                <w:bCs/>
                <w:color w:val="000000"/>
              </w:rPr>
              <w:t>Conceptually related QLQ-C30 subscale</w:t>
            </w:r>
          </w:p>
        </w:tc>
        <w:tc>
          <w:tcPr>
            <w:tcW w:w="0" w:type="auto"/>
            <w:tcBorders>
              <w:top w:val="single" w:sz="6" w:space="0" w:color="000000"/>
              <w:left w:val="single" w:sz="2" w:space="0" w:color="000000"/>
              <w:bottom w:val="single" w:sz="2" w:space="0" w:color="000000"/>
              <w:right w:val="nil"/>
            </w:tcBorders>
            <w:shd w:val="clear" w:color="auto" w:fill="BFBFBF" w:themeFill="background1" w:themeFillShade="BF"/>
            <w:tcMar>
              <w:left w:w="60" w:type="dxa"/>
              <w:right w:w="60" w:type="dxa"/>
            </w:tcMar>
          </w:tcPr>
          <w:p w14:paraId="4066F4C8" w14:textId="77777777" w:rsidR="00482346" w:rsidRPr="00482346" w:rsidRDefault="00482346" w:rsidP="00C47645">
            <w:pPr>
              <w:adjustRightInd w:val="0"/>
              <w:spacing w:before="60" w:after="60"/>
              <w:jc w:val="center"/>
              <w:rPr>
                <w:b/>
                <w:bCs/>
                <w:color w:val="000000"/>
              </w:rPr>
            </w:pPr>
            <w:r w:rsidRPr="00482346">
              <w:rPr>
                <w:b/>
                <w:bCs/>
                <w:color w:val="000000"/>
              </w:rPr>
              <w:t>EORTC QLQ ANL27</w:t>
            </w:r>
          </w:p>
          <w:p w14:paraId="48C977B2" w14:textId="77777777" w:rsidR="00482346" w:rsidRPr="00482346" w:rsidRDefault="00482346" w:rsidP="00C47645">
            <w:pPr>
              <w:adjustRightInd w:val="0"/>
              <w:spacing w:before="60" w:after="60"/>
              <w:jc w:val="center"/>
              <w:rPr>
                <w:b/>
                <w:bCs/>
                <w:color w:val="000000"/>
              </w:rPr>
            </w:pPr>
            <w:r w:rsidRPr="00482346">
              <w:rPr>
                <w:b/>
                <w:bCs/>
                <w:color w:val="000000"/>
              </w:rPr>
              <w:t>Bowel symptoms</w:t>
            </w:r>
          </w:p>
          <w:p w14:paraId="7401B5BD" w14:textId="77777777" w:rsidR="00482346" w:rsidRPr="00482346" w:rsidRDefault="00482346" w:rsidP="00C47645">
            <w:pPr>
              <w:adjustRightInd w:val="0"/>
              <w:spacing w:before="60" w:after="60"/>
              <w:jc w:val="center"/>
              <w:rPr>
                <w:b/>
                <w:bCs/>
                <w:color w:val="000000"/>
              </w:rPr>
            </w:pPr>
            <w:r w:rsidRPr="00482346">
              <w:rPr>
                <w:b/>
                <w:bCs/>
                <w:color w:val="000000"/>
              </w:rPr>
              <w:t>(non-stoma)</w:t>
            </w:r>
          </w:p>
        </w:tc>
        <w:tc>
          <w:tcPr>
            <w:tcW w:w="0" w:type="auto"/>
            <w:tcBorders>
              <w:top w:val="single" w:sz="6" w:space="0" w:color="000000"/>
              <w:left w:val="single" w:sz="2" w:space="0" w:color="000000"/>
              <w:bottom w:val="single" w:sz="2" w:space="0" w:color="000000"/>
              <w:right w:val="single" w:sz="6" w:space="0" w:color="000000"/>
            </w:tcBorders>
            <w:shd w:val="clear" w:color="auto" w:fill="BFBFBF" w:themeFill="background1" w:themeFillShade="BF"/>
            <w:tcMar>
              <w:left w:w="60" w:type="dxa"/>
              <w:right w:w="60" w:type="dxa"/>
            </w:tcMar>
          </w:tcPr>
          <w:p w14:paraId="00A5F7D8" w14:textId="77777777" w:rsidR="00482346" w:rsidRPr="00482346" w:rsidRDefault="00482346" w:rsidP="00C47645">
            <w:pPr>
              <w:adjustRightInd w:val="0"/>
              <w:spacing w:before="60" w:after="60"/>
              <w:jc w:val="center"/>
              <w:rPr>
                <w:b/>
                <w:bCs/>
                <w:color w:val="000000"/>
                <w:lang w:val="nl-NL"/>
              </w:rPr>
            </w:pPr>
            <w:r w:rsidRPr="00482346">
              <w:rPr>
                <w:b/>
                <w:bCs/>
                <w:color w:val="000000"/>
                <w:lang w:val="nl-NL"/>
              </w:rPr>
              <w:t>EORTC QLQ ANL27</w:t>
            </w:r>
          </w:p>
          <w:p w14:paraId="7A21C766" w14:textId="77777777" w:rsidR="00482346" w:rsidRPr="00482346" w:rsidRDefault="00482346" w:rsidP="00C47645">
            <w:pPr>
              <w:adjustRightInd w:val="0"/>
              <w:spacing w:before="60" w:after="60"/>
              <w:jc w:val="center"/>
              <w:rPr>
                <w:b/>
                <w:bCs/>
                <w:color w:val="000000"/>
                <w:lang w:val="nl-NL"/>
              </w:rPr>
            </w:pPr>
            <w:proofErr w:type="spellStart"/>
            <w:r w:rsidRPr="00482346">
              <w:rPr>
                <w:b/>
                <w:bCs/>
                <w:color w:val="000000"/>
                <w:lang w:val="nl-NL"/>
              </w:rPr>
              <w:t>Bowel</w:t>
            </w:r>
            <w:proofErr w:type="spellEnd"/>
            <w:r w:rsidRPr="00482346">
              <w:rPr>
                <w:b/>
                <w:bCs/>
                <w:color w:val="000000"/>
                <w:lang w:val="nl-NL"/>
              </w:rPr>
              <w:t xml:space="preserve"> </w:t>
            </w:r>
            <w:proofErr w:type="spellStart"/>
            <w:r w:rsidRPr="00482346">
              <w:rPr>
                <w:b/>
                <w:bCs/>
                <w:color w:val="000000"/>
                <w:lang w:val="nl-NL"/>
              </w:rPr>
              <w:t>symptoms</w:t>
            </w:r>
            <w:proofErr w:type="spellEnd"/>
            <w:r w:rsidRPr="00482346">
              <w:rPr>
                <w:b/>
                <w:bCs/>
                <w:color w:val="000000"/>
                <w:lang w:val="nl-NL"/>
              </w:rPr>
              <w:t xml:space="preserve"> (stoma)</w:t>
            </w:r>
          </w:p>
        </w:tc>
        <w:tc>
          <w:tcPr>
            <w:tcW w:w="0" w:type="auto"/>
            <w:tcBorders>
              <w:top w:val="single" w:sz="6" w:space="0" w:color="000000"/>
              <w:left w:val="single" w:sz="2" w:space="0" w:color="000000"/>
              <w:bottom w:val="single" w:sz="2" w:space="0" w:color="000000"/>
              <w:right w:val="single" w:sz="2" w:space="0" w:color="000000"/>
            </w:tcBorders>
            <w:shd w:val="clear" w:color="auto" w:fill="BFBFBF" w:themeFill="background1" w:themeFillShade="BF"/>
          </w:tcPr>
          <w:p w14:paraId="7CEB7B27" w14:textId="77777777" w:rsidR="00482346" w:rsidRPr="00D13476" w:rsidRDefault="00482346" w:rsidP="00C47645">
            <w:pPr>
              <w:adjustRightInd w:val="0"/>
              <w:spacing w:before="60" w:after="60"/>
              <w:jc w:val="center"/>
              <w:rPr>
                <w:b/>
                <w:bCs/>
                <w:color w:val="000000"/>
                <w:lang w:val="fr-FR"/>
              </w:rPr>
            </w:pPr>
            <w:r w:rsidRPr="00D13476">
              <w:rPr>
                <w:b/>
                <w:bCs/>
                <w:color w:val="000000"/>
                <w:lang w:val="fr-FR"/>
              </w:rPr>
              <w:t>EORTC QLQ ANL27  Pain/</w:t>
            </w:r>
            <w:proofErr w:type="spellStart"/>
            <w:r w:rsidRPr="00D13476">
              <w:rPr>
                <w:b/>
                <w:bCs/>
                <w:color w:val="000000"/>
                <w:lang w:val="fr-FR"/>
              </w:rPr>
              <w:t>discomfort</w:t>
            </w:r>
            <w:proofErr w:type="spellEnd"/>
          </w:p>
        </w:tc>
      </w:tr>
      <w:tr w:rsidR="00482346" w:rsidRPr="00D13476" w14:paraId="5B248000" w14:textId="77777777" w:rsidTr="00C47645">
        <w:trPr>
          <w:cantSplit/>
          <w:jc w:val="center"/>
        </w:trPr>
        <w:tc>
          <w:tcPr>
            <w:tcW w:w="0" w:type="auto"/>
            <w:tcBorders>
              <w:top w:val="nil"/>
              <w:left w:val="single" w:sz="6" w:space="0" w:color="000000"/>
              <w:bottom w:val="single" w:sz="2" w:space="0" w:color="000000"/>
              <w:right w:val="nil"/>
            </w:tcBorders>
            <w:shd w:val="clear" w:color="auto" w:fill="BFBFBF" w:themeFill="background1" w:themeFillShade="BF"/>
            <w:tcMar>
              <w:left w:w="60" w:type="dxa"/>
              <w:right w:w="60" w:type="dxa"/>
            </w:tcMar>
          </w:tcPr>
          <w:p w14:paraId="7214C97A" w14:textId="77777777" w:rsidR="00482346" w:rsidRPr="00D13476" w:rsidRDefault="00482346" w:rsidP="00C47645">
            <w:pPr>
              <w:adjustRightInd w:val="0"/>
              <w:spacing w:before="60" w:after="60"/>
              <w:rPr>
                <w:color w:val="000000"/>
              </w:rPr>
            </w:pPr>
            <w:r w:rsidRPr="00D13476">
              <w:rPr>
                <w:color w:val="000000"/>
              </w:rPr>
              <w:t>QLQ-C30 Constipation</w:t>
            </w:r>
          </w:p>
        </w:tc>
        <w:tc>
          <w:tcPr>
            <w:tcW w:w="0" w:type="auto"/>
            <w:tcBorders>
              <w:top w:val="nil"/>
              <w:left w:val="single" w:sz="2" w:space="0" w:color="000000"/>
              <w:bottom w:val="single" w:sz="2" w:space="0" w:color="000000"/>
              <w:right w:val="nil"/>
            </w:tcBorders>
            <w:shd w:val="clear" w:color="auto" w:fill="auto"/>
            <w:tcMar>
              <w:left w:w="60" w:type="dxa"/>
              <w:right w:w="60" w:type="dxa"/>
            </w:tcMar>
          </w:tcPr>
          <w:p w14:paraId="22825013" w14:textId="77777777" w:rsidR="00482346" w:rsidRPr="00D13476" w:rsidRDefault="00482346" w:rsidP="00C47645">
            <w:pPr>
              <w:adjustRightInd w:val="0"/>
              <w:spacing w:before="60" w:after="60"/>
              <w:rPr>
                <w:color w:val="000000"/>
              </w:rPr>
            </w:pPr>
            <w:r w:rsidRPr="00D13476">
              <w:rPr>
                <w:color w:val="000000"/>
              </w:rPr>
              <w:t>0.21</w:t>
            </w:r>
          </w:p>
        </w:tc>
        <w:tc>
          <w:tcPr>
            <w:tcW w:w="0" w:type="auto"/>
            <w:tcBorders>
              <w:top w:val="nil"/>
              <w:left w:val="single" w:sz="2" w:space="0" w:color="000000"/>
              <w:bottom w:val="single" w:sz="2" w:space="0" w:color="000000"/>
              <w:right w:val="single" w:sz="6" w:space="0" w:color="000000"/>
            </w:tcBorders>
            <w:shd w:val="clear" w:color="auto" w:fill="auto"/>
            <w:tcMar>
              <w:left w:w="60" w:type="dxa"/>
              <w:right w:w="60" w:type="dxa"/>
            </w:tcMar>
          </w:tcPr>
          <w:p w14:paraId="7C469B07" w14:textId="77777777" w:rsidR="00482346" w:rsidRPr="00D13476" w:rsidRDefault="00482346" w:rsidP="00C47645">
            <w:pPr>
              <w:adjustRightInd w:val="0"/>
              <w:spacing w:before="60" w:after="60"/>
              <w:rPr>
                <w:color w:val="000000"/>
              </w:rPr>
            </w:pPr>
            <w:r w:rsidRPr="00D13476">
              <w:rPr>
                <w:color w:val="000000"/>
              </w:rPr>
              <w:t>-0.34</w:t>
            </w:r>
          </w:p>
        </w:tc>
        <w:tc>
          <w:tcPr>
            <w:tcW w:w="0" w:type="auto"/>
            <w:tcBorders>
              <w:top w:val="nil"/>
              <w:left w:val="single" w:sz="2" w:space="0" w:color="000000"/>
              <w:bottom w:val="single" w:sz="2" w:space="0" w:color="000000"/>
              <w:right w:val="single" w:sz="2" w:space="0" w:color="000000"/>
            </w:tcBorders>
            <w:shd w:val="clear" w:color="auto" w:fill="auto"/>
          </w:tcPr>
          <w:p w14:paraId="3BB6493D" w14:textId="77777777" w:rsidR="00482346" w:rsidRPr="00D13476" w:rsidRDefault="00482346" w:rsidP="00C47645">
            <w:pPr>
              <w:adjustRightInd w:val="0"/>
              <w:spacing w:before="60" w:after="60"/>
              <w:rPr>
                <w:color w:val="000000"/>
              </w:rPr>
            </w:pPr>
            <w:r w:rsidRPr="00D13476">
              <w:rPr>
                <w:color w:val="000000"/>
              </w:rPr>
              <w:t>N/A</w:t>
            </w:r>
          </w:p>
        </w:tc>
      </w:tr>
      <w:tr w:rsidR="00482346" w:rsidRPr="00D13476" w14:paraId="4862C7BF" w14:textId="77777777" w:rsidTr="00C47645">
        <w:trPr>
          <w:cantSplit/>
          <w:jc w:val="center"/>
        </w:trPr>
        <w:tc>
          <w:tcPr>
            <w:tcW w:w="0" w:type="auto"/>
            <w:tcBorders>
              <w:top w:val="nil"/>
              <w:left w:val="single" w:sz="6" w:space="0" w:color="000000"/>
              <w:bottom w:val="single" w:sz="2" w:space="0" w:color="000000"/>
              <w:right w:val="nil"/>
            </w:tcBorders>
            <w:shd w:val="clear" w:color="auto" w:fill="BFBFBF" w:themeFill="background1" w:themeFillShade="BF"/>
            <w:tcMar>
              <w:left w:w="60" w:type="dxa"/>
              <w:right w:w="60" w:type="dxa"/>
            </w:tcMar>
          </w:tcPr>
          <w:p w14:paraId="224F6DD9" w14:textId="77777777" w:rsidR="00482346" w:rsidRPr="00D13476" w:rsidRDefault="00482346" w:rsidP="00C47645">
            <w:pPr>
              <w:adjustRightInd w:val="0"/>
              <w:spacing w:before="60" w:after="60"/>
              <w:rPr>
                <w:color w:val="000000"/>
              </w:rPr>
            </w:pPr>
            <w:r w:rsidRPr="00D13476">
              <w:rPr>
                <w:color w:val="000000"/>
              </w:rPr>
              <w:t xml:space="preserve">QLQ-C30 </w:t>
            </w:r>
            <w:proofErr w:type="spellStart"/>
            <w:r w:rsidRPr="00D13476">
              <w:rPr>
                <w:color w:val="000000"/>
              </w:rPr>
              <w:t>Diarrhea</w:t>
            </w:r>
            <w:proofErr w:type="spellEnd"/>
          </w:p>
        </w:tc>
        <w:tc>
          <w:tcPr>
            <w:tcW w:w="0" w:type="auto"/>
            <w:tcBorders>
              <w:top w:val="nil"/>
              <w:left w:val="single" w:sz="2" w:space="0" w:color="000000"/>
              <w:bottom w:val="single" w:sz="2" w:space="0" w:color="000000"/>
              <w:right w:val="nil"/>
            </w:tcBorders>
            <w:shd w:val="clear" w:color="auto" w:fill="auto"/>
            <w:tcMar>
              <w:left w:w="60" w:type="dxa"/>
              <w:right w:w="60" w:type="dxa"/>
            </w:tcMar>
          </w:tcPr>
          <w:p w14:paraId="5C35DC3F" w14:textId="77777777" w:rsidR="00482346" w:rsidRPr="00D13476" w:rsidRDefault="00482346" w:rsidP="00C47645">
            <w:pPr>
              <w:adjustRightInd w:val="0"/>
              <w:spacing w:before="60" w:after="60"/>
              <w:rPr>
                <w:color w:val="000000"/>
              </w:rPr>
            </w:pPr>
            <w:r w:rsidRPr="00D13476">
              <w:rPr>
                <w:color w:val="000000"/>
              </w:rPr>
              <w:t>0.61*</w:t>
            </w:r>
          </w:p>
        </w:tc>
        <w:tc>
          <w:tcPr>
            <w:tcW w:w="0" w:type="auto"/>
            <w:tcBorders>
              <w:top w:val="nil"/>
              <w:left w:val="single" w:sz="2" w:space="0" w:color="000000"/>
              <w:bottom w:val="single" w:sz="2" w:space="0" w:color="000000"/>
              <w:right w:val="single" w:sz="6" w:space="0" w:color="000000"/>
            </w:tcBorders>
            <w:shd w:val="clear" w:color="auto" w:fill="auto"/>
            <w:tcMar>
              <w:left w:w="60" w:type="dxa"/>
              <w:right w:w="60" w:type="dxa"/>
            </w:tcMar>
          </w:tcPr>
          <w:p w14:paraId="194F427E" w14:textId="77777777" w:rsidR="00482346" w:rsidRPr="00D13476" w:rsidRDefault="00482346" w:rsidP="00C47645">
            <w:pPr>
              <w:adjustRightInd w:val="0"/>
              <w:spacing w:before="60" w:after="60"/>
              <w:rPr>
                <w:color w:val="000000"/>
              </w:rPr>
            </w:pPr>
            <w:r w:rsidRPr="00D13476">
              <w:rPr>
                <w:color w:val="000000"/>
              </w:rPr>
              <w:t>0.23</w:t>
            </w:r>
          </w:p>
        </w:tc>
        <w:tc>
          <w:tcPr>
            <w:tcW w:w="0" w:type="auto"/>
            <w:tcBorders>
              <w:top w:val="nil"/>
              <w:left w:val="single" w:sz="2" w:space="0" w:color="000000"/>
              <w:bottom w:val="single" w:sz="2" w:space="0" w:color="000000"/>
              <w:right w:val="single" w:sz="2" w:space="0" w:color="000000"/>
            </w:tcBorders>
            <w:shd w:val="clear" w:color="auto" w:fill="auto"/>
          </w:tcPr>
          <w:p w14:paraId="10B69AF1" w14:textId="77777777" w:rsidR="00482346" w:rsidRPr="00D13476" w:rsidRDefault="00482346" w:rsidP="00C47645">
            <w:pPr>
              <w:adjustRightInd w:val="0"/>
              <w:spacing w:before="60" w:after="60"/>
              <w:rPr>
                <w:color w:val="000000"/>
              </w:rPr>
            </w:pPr>
            <w:r w:rsidRPr="00D13476">
              <w:rPr>
                <w:color w:val="000000"/>
              </w:rPr>
              <w:t>N/A</w:t>
            </w:r>
          </w:p>
        </w:tc>
      </w:tr>
      <w:tr w:rsidR="00482346" w:rsidRPr="00D13476" w14:paraId="0EF01D98" w14:textId="77777777" w:rsidTr="00C47645">
        <w:trPr>
          <w:cantSplit/>
          <w:jc w:val="center"/>
        </w:trPr>
        <w:tc>
          <w:tcPr>
            <w:tcW w:w="0" w:type="auto"/>
            <w:tcBorders>
              <w:top w:val="nil"/>
              <w:left w:val="single" w:sz="6" w:space="0" w:color="000000"/>
              <w:bottom w:val="single" w:sz="2" w:space="0" w:color="000000"/>
              <w:right w:val="nil"/>
            </w:tcBorders>
            <w:shd w:val="clear" w:color="auto" w:fill="BFBFBF" w:themeFill="background1" w:themeFillShade="BF"/>
            <w:tcMar>
              <w:left w:w="60" w:type="dxa"/>
              <w:right w:w="60" w:type="dxa"/>
            </w:tcMar>
          </w:tcPr>
          <w:p w14:paraId="1095CD12" w14:textId="77777777" w:rsidR="00482346" w:rsidRPr="00D13476" w:rsidRDefault="00482346" w:rsidP="00C47645">
            <w:pPr>
              <w:adjustRightInd w:val="0"/>
              <w:spacing w:before="60" w:after="60"/>
              <w:rPr>
                <w:color w:val="000000"/>
              </w:rPr>
            </w:pPr>
            <w:r w:rsidRPr="00D13476">
              <w:rPr>
                <w:color w:val="000000"/>
              </w:rPr>
              <w:t>QLQ-C30 Pain</w:t>
            </w:r>
          </w:p>
        </w:tc>
        <w:tc>
          <w:tcPr>
            <w:tcW w:w="0" w:type="auto"/>
            <w:tcBorders>
              <w:top w:val="nil"/>
              <w:left w:val="single" w:sz="2" w:space="0" w:color="000000"/>
              <w:bottom w:val="single" w:sz="2" w:space="0" w:color="000000"/>
              <w:right w:val="nil"/>
            </w:tcBorders>
            <w:shd w:val="clear" w:color="auto" w:fill="auto"/>
            <w:tcMar>
              <w:left w:w="60" w:type="dxa"/>
              <w:right w:w="60" w:type="dxa"/>
            </w:tcMar>
          </w:tcPr>
          <w:p w14:paraId="5DE8E77B" w14:textId="77777777" w:rsidR="00482346" w:rsidRPr="00D13476" w:rsidRDefault="00482346" w:rsidP="00C47645">
            <w:pPr>
              <w:adjustRightInd w:val="0"/>
              <w:spacing w:before="60" w:after="60"/>
              <w:rPr>
                <w:color w:val="000000"/>
              </w:rPr>
            </w:pPr>
            <w:r w:rsidRPr="00D13476">
              <w:rPr>
                <w:color w:val="000000"/>
              </w:rPr>
              <w:t>N/A</w:t>
            </w:r>
          </w:p>
        </w:tc>
        <w:tc>
          <w:tcPr>
            <w:tcW w:w="0" w:type="auto"/>
            <w:tcBorders>
              <w:top w:val="nil"/>
              <w:left w:val="single" w:sz="2" w:space="0" w:color="000000"/>
              <w:bottom w:val="single" w:sz="2" w:space="0" w:color="000000"/>
              <w:right w:val="single" w:sz="6" w:space="0" w:color="000000"/>
            </w:tcBorders>
            <w:shd w:val="clear" w:color="auto" w:fill="auto"/>
            <w:tcMar>
              <w:left w:w="60" w:type="dxa"/>
              <w:right w:w="60" w:type="dxa"/>
            </w:tcMar>
          </w:tcPr>
          <w:p w14:paraId="4B053F83" w14:textId="77777777" w:rsidR="00482346" w:rsidRPr="00D13476" w:rsidRDefault="00482346" w:rsidP="00C47645">
            <w:pPr>
              <w:adjustRightInd w:val="0"/>
              <w:spacing w:before="60" w:after="60"/>
              <w:rPr>
                <w:color w:val="000000"/>
              </w:rPr>
            </w:pPr>
            <w:r w:rsidRPr="00D13476">
              <w:rPr>
                <w:color w:val="000000"/>
              </w:rPr>
              <w:t>N/A</w:t>
            </w:r>
          </w:p>
        </w:tc>
        <w:tc>
          <w:tcPr>
            <w:tcW w:w="0" w:type="auto"/>
            <w:tcBorders>
              <w:top w:val="nil"/>
              <w:left w:val="single" w:sz="2" w:space="0" w:color="000000"/>
              <w:bottom w:val="single" w:sz="2" w:space="0" w:color="000000"/>
              <w:right w:val="single" w:sz="2" w:space="0" w:color="000000"/>
            </w:tcBorders>
            <w:shd w:val="clear" w:color="auto" w:fill="auto"/>
          </w:tcPr>
          <w:p w14:paraId="236258A9" w14:textId="77777777" w:rsidR="00482346" w:rsidRPr="00D13476" w:rsidRDefault="00482346" w:rsidP="00C47645">
            <w:pPr>
              <w:adjustRightInd w:val="0"/>
              <w:spacing w:before="60" w:after="60"/>
              <w:rPr>
                <w:color w:val="000000"/>
              </w:rPr>
            </w:pPr>
            <w:r w:rsidRPr="00D13476">
              <w:rPr>
                <w:color w:val="000000"/>
              </w:rPr>
              <w:t>0.70*</w:t>
            </w:r>
          </w:p>
        </w:tc>
      </w:tr>
      <w:tr w:rsidR="00482346" w:rsidRPr="00D13476" w14:paraId="3F0FD52B" w14:textId="77777777" w:rsidTr="00C47645">
        <w:trPr>
          <w:cantSplit/>
          <w:jc w:val="center"/>
        </w:trPr>
        <w:tc>
          <w:tcPr>
            <w:tcW w:w="0" w:type="auto"/>
            <w:tcBorders>
              <w:top w:val="nil"/>
              <w:left w:val="single" w:sz="6" w:space="0" w:color="000000"/>
              <w:bottom w:val="single" w:sz="2" w:space="0" w:color="000000"/>
              <w:right w:val="nil"/>
            </w:tcBorders>
            <w:shd w:val="clear" w:color="auto" w:fill="BFBFBF" w:themeFill="background1" w:themeFillShade="BF"/>
            <w:tcMar>
              <w:left w:w="60" w:type="dxa"/>
              <w:right w:w="60" w:type="dxa"/>
            </w:tcMar>
          </w:tcPr>
          <w:p w14:paraId="2CAC0DA9" w14:textId="77777777" w:rsidR="00482346" w:rsidRPr="00D13476" w:rsidRDefault="00482346" w:rsidP="00C47645">
            <w:pPr>
              <w:adjustRightInd w:val="0"/>
              <w:spacing w:before="60" w:after="60"/>
              <w:rPr>
                <w:color w:val="000000"/>
              </w:rPr>
            </w:pPr>
            <w:r w:rsidRPr="00D13476">
              <w:rPr>
                <w:color w:val="000000"/>
              </w:rPr>
              <w:lastRenderedPageBreak/>
              <w:t>QLQ-C30 Physical functioning</w:t>
            </w:r>
          </w:p>
        </w:tc>
        <w:tc>
          <w:tcPr>
            <w:tcW w:w="0" w:type="auto"/>
            <w:tcBorders>
              <w:top w:val="nil"/>
              <w:left w:val="single" w:sz="2" w:space="0" w:color="000000"/>
              <w:bottom w:val="single" w:sz="2" w:space="0" w:color="000000"/>
              <w:right w:val="nil"/>
            </w:tcBorders>
            <w:shd w:val="clear" w:color="auto" w:fill="auto"/>
            <w:tcMar>
              <w:left w:w="60" w:type="dxa"/>
              <w:right w:w="60" w:type="dxa"/>
            </w:tcMar>
          </w:tcPr>
          <w:p w14:paraId="5F94E422" w14:textId="77777777" w:rsidR="00482346" w:rsidRPr="00D13476" w:rsidRDefault="00482346" w:rsidP="00C47645">
            <w:pPr>
              <w:adjustRightInd w:val="0"/>
              <w:spacing w:before="60" w:after="60"/>
              <w:rPr>
                <w:color w:val="000000"/>
              </w:rPr>
            </w:pPr>
            <w:r w:rsidRPr="00D13476">
              <w:rPr>
                <w:color w:val="000000"/>
              </w:rPr>
              <w:t>-0.36</w:t>
            </w:r>
          </w:p>
        </w:tc>
        <w:tc>
          <w:tcPr>
            <w:tcW w:w="0" w:type="auto"/>
            <w:tcBorders>
              <w:top w:val="nil"/>
              <w:left w:val="single" w:sz="2" w:space="0" w:color="000000"/>
              <w:bottom w:val="single" w:sz="2" w:space="0" w:color="000000"/>
              <w:right w:val="single" w:sz="6" w:space="0" w:color="000000"/>
            </w:tcBorders>
            <w:shd w:val="clear" w:color="auto" w:fill="auto"/>
            <w:tcMar>
              <w:left w:w="60" w:type="dxa"/>
              <w:right w:w="60" w:type="dxa"/>
            </w:tcMar>
          </w:tcPr>
          <w:p w14:paraId="6E00E116" w14:textId="77777777" w:rsidR="00482346" w:rsidRPr="00D13476" w:rsidRDefault="00482346" w:rsidP="00C47645">
            <w:pPr>
              <w:adjustRightInd w:val="0"/>
              <w:spacing w:before="60" w:after="60"/>
              <w:rPr>
                <w:color w:val="000000"/>
              </w:rPr>
            </w:pPr>
            <w:r w:rsidRPr="00D13476">
              <w:rPr>
                <w:color w:val="000000"/>
              </w:rPr>
              <w:t>-0.15</w:t>
            </w:r>
          </w:p>
        </w:tc>
        <w:tc>
          <w:tcPr>
            <w:tcW w:w="0" w:type="auto"/>
            <w:tcBorders>
              <w:top w:val="nil"/>
              <w:left w:val="single" w:sz="2" w:space="0" w:color="000000"/>
              <w:bottom w:val="single" w:sz="2" w:space="0" w:color="000000"/>
              <w:right w:val="single" w:sz="2" w:space="0" w:color="000000"/>
            </w:tcBorders>
            <w:shd w:val="clear" w:color="auto" w:fill="auto"/>
          </w:tcPr>
          <w:p w14:paraId="32C8090C" w14:textId="77777777" w:rsidR="00482346" w:rsidRPr="00D13476" w:rsidRDefault="00482346" w:rsidP="00C47645">
            <w:pPr>
              <w:adjustRightInd w:val="0"/>
              <w:spacing w:before="60" w:after="60"/>
              <w:rPr>
                <w:color w:val="000000"/>
              </w:rPr>
            </w:pPr>
            <w:r w:rsidRPr="00D13476">
              <w:rPr>
                <w:color w:val="000000"/>
              </w:rPr>
              <w:t>N/A</w:t>
            </w:r>
          </w:p>
        </w:tc>
      </w:tr>
      <w:tr w:rsidR="00482346" w:rsidRPr="00D13476" w14:paraId="1A11108B" w14:textId="77777777" w:rsidTr="00C47645">
        <w:trPr>
          <w:cantSplit/>
          <w:jc w:val="center"/>
        </w:trPr>
        <w:tc>
          <w:tcPr>
            <w:tcW w:w="0" w:type="auto"/>
            <w:tcBorders>
              <w:top w:val="nil"/>
              <w:left w:val="single" w:sz="6" w:space="0" w:color="000000"/>
              <w:bottom w:val="single" w:sz="6" w:space="0" w:color="000000"/>
              <w:right w:val="nil"/>
            </w:tcBorders>
            <w:shd w:val="clear" w:color="auto" w:fill="BFBFBF" w:themeFill="background1" w:themeFillShade="BF"/>
            <w:tcMar>
              <w:left w:w="60" w:type="dxa"/>
              <w:right w:w="60" w:type="dxa"/>
            </w:tcMar>
          </w:tcPr>
          <w:p w14:paraId="5D71BB38" w14:textId="77777777" w:rsidR="00482346" w:rsidRPr="00D13476" w:rsidRDefault="00482346" w:rsidP="00C47645">
            <w:pPr>
              <w:adjustRightInd w:val="0"/>
              <w:spacing w:before="60" w:after="60"/>
              <w:rPr>
                <w:color w:val="000000"/>
                <w:sz w:val="18"/>
                <w:szCs w:val="18"/>
              </w:rPr>
            </w:pPr>
            <w:r w:rsidRPr="00D13476">
              <w:rPr>
                <w:color w:val="000000"/>
              </w:rPr>
              <w:t>QLQ-C30 Social functioning</w:t>
            </w:r>
          </w:p>
        </w:tc>
        <w:tc>
          <w:tcPr>
            <w:tcW w:w="0" w:type="auto"/>
            <w:tcBorders>
              <w:top w:val="nil"/>
              <w:left w:val="single" w:sz="2" w:space="0" w:color="000000"/>
              <w:bottom w:val="single" w:sz="6" w:space="0" w:color="000000"/>
              <w:right w:val="nil"/>
            </w:tcBorders>
            <w:shd w:val="clear" w:color="auto" w:fill="auto"/>
            <w:tcMar>
              <w:left w:w="60" w:type="dxa"/>
              <w:right w:w="60" w:type="dxa"/>
            </w:tcMar>
          </w:tcPr>
          <w:p w14:paraId="6F28430F" w14:textId="77777777" w:rsidR="00482346" w:rsidRPr="00D13476" w:rsidRDefault="00482346" w:rsidP="00C47645">
            <w:pPr>
              <w:adjustRightInd w:val="0"/>
              <w:spacing w:before="60" w:after="60"/>
              <w:rPr>
                <w:color w:val="000000"/>
                <w:sz w:val="18"/>
                <w:szCs w:val="18"/>
              </w:rPr>
            </w:pPr>
            <w:r w:rsidRPr="00D13476">
              <w:rPr>
                <w:color w:val="000000"/>
                <w:sz w:val="18"/>
                <w:szCs w:val="18"/>
              </w:rPr>
              <w:t>-0.40</w:t>
            </w:r>
          </w:p>
        </w:tc>
        <w:tc>
          <w:tcPr>
            <w:tcW w:w="0" w:type="auto"/>
            <w:tcBorders>
              <w:top w:val="nil"/>
              <w:left w:val="single" w:sz="2" w:space="0" w:color="000000"/>
              <w:bottom w:val="single" w:sz="6" w:space="0" w:color="000000"/>
              <w:right w:val="single" w:sz="6" w:space="0" w:color="000000"/>
            </w:tcBorders>
            <w:shd w:val="clear" w:color="auto" w:fill="auto"/>
            <w:tcMar>
              <w:left w:w="60" w:type="dxa"/>
              <w:right w:w="60" w:type="dxa"/>
            </w:tcMar>
          </w:tcPr>
          <w:p w14:paraId="76A18FFB" w14:textId="77777777" w:rsidR="00482346" w:rsidRPr="00D13476" w:rsidRDefault="00482346" w:rsidP="00C47645">
            <w:pPr>
              <w:adjustRightInd w:val="0"/>
              <w:spacing w:before="60" w:after="60"/>
              <w:rPr>
                <w:color w:val="000000"/>
                <w:sz w:val="18"/>
                <w:szCs w:val="18"/>
              </w:rPr>
            </w:pPr>
            <w:r w:rsidRPr="00D13476">
              <w:rPr>
                <w:color w:val="000000"/>
                <w:sz w:val="18"/>
                <w:szCs w:val="18"/>
              </w:rPr>
              <w:t>-0.02</w:t>
            </w:r>
          </w:p>
        </w:tc>
        <w:tc>
          <w:tcPr>
            <w:tcW w:w="0" w:type="auto"/>
            <w:tcBorders>
              <w:top w:val="nil"/>
              <w:left w:val="single" w:sz="2" w:space="0" w:color="000000"/>
              <w:bottom w:val="single" w:sz="6" w:space="0" w:color="000000"/>
              <w:right w:val="single" w:sz="2" w:space="0" w:color="000000"/>
            </w:tcBorders>
            <w:shd w:val="clear" w:color="auto" w:fill="auto"/>
          </w:tcPr>
          <w:p w14:paraId="2F1D8200" w14:textId="77777777" w:rsidR="00482346" w:rsidRPr="00D13476" w:rsidRDefault="00482346" w:rsidP="00C47645">
            <w:pPr>
              <w:adjustRightInd w:val="0"/>
              <w:spacing w:before="60" w:after="60"/>
              <w:rPr>
                <w:color w:val="000000"/>
                <w:sz w:val="18"/>
                <w:szCs w:val="18"/>
              </w:rPr>
            </w:pPr>
            <w:r w:rsidRPr="00D13476">
              <w:rPr>
                <w:color w:val="000000"/>
                <w:sz w:val="18"/>
                <w:szCs w:val="18"/>
              </w:rPr>
              <w:t>N/A</w:t>
            </w:r>
          </w:p>
        </w:tc>
      </w:tr>
    </w:tbl>
    <w:p w14:paraId="1BB47678" w14:textId="77777777" w:rsidR="00482346" w:rsidRPr="00D13476" w:rsidRDefault="00482346" w:rsidP="00482346">
      <w:pPr>
        <w:rPr>
          <w:sz w:val="18"/>
          <w:szCs w:val="18"/>
        </w:rPr>
      </w:pPr>
      <w:r w:rsidRPr="00D13476">
        <w:rPr>
          <w:sz w:val="18"/>
          <w:szCs w:val="18"/>
        </w:rPr>
        <w:t>*Scales are conceptually related to an acceptable level, r</w:t>
      </w:r>
      <w:r w:rsidRPr="00D13476">
        <w:rPr>
          <w:sz w:val="18"/>
          <w:szCs w:val="18"/>
          <w:u w:val="single"/>
        </w:rPr>
        <w:t>&gt;</w:t>
      </w:r>
      <w:r w:rsidRPr="00D13476">
        <w:rPr>
          <w:sz w:val="18"/>
          <w:szCs w:val="18"/>
        </w:rPr>
        <w:t xml:space="preserve">0.40 </w:t>
      </w:r>
    </w:p>
    <w:p w14:paraId="7531A87E" w14:textId="77777777" w:rsidR="00482346" w:rsidRPr="00D13476" w:rsidRDefault="00482346" w:rsidP="00482346">
      <w:pPr>
        <w:spacing w:line="360" w:lineRule="auto"/>
      </w:pPr>
    </w:p>
    <w:p w14:paraId="0D19CDE2" w14:textId="77777777" w:rsidR="00482346" w:rsidRPr="00D13476" w:rsidRDefault="00482346" w:rsidP="00482346">
      <w:pPr>
        <w:spacing w:line="360" w:lineRule="auto"/>
      </w:pPr>
      <w:r w:rsidRPr="00D13476">
        <w:t xml:space="preserve">Table 5. Known group comparisons </w:t>
      </w:r>
    </w:p>
    <w:tbl>
      <w:tblPr>
        <w:tblStyle w:val="TableGrid"/>
        <w:tblW w:w="0" w:type="auto"/>
        <w:tblLook w:val="04A0" w:firstRow="1" w:lastRow="0" w:firstColumn="1" w:lastColumn="0" w:noHBand="0" w:noVBand="1"/>
      </w:tblPr>
      <w:tblGrid>
        <w:gridCol w:w="1474"/>
        <w:gridCol w:w="1474"/>
        <w:gridCol w:w="1474"/>
        <w:gridCol w:w="1474"/>
        <w:gridCol w:w="1474"/>
        <w:gridCol w:w="1474"/>
      </w:tblGrid>
      <w:tr w:rsidR="00482346" w:rsidRPr="00D13476" w14:paraId="7F4E36E5" w14:textId="77777777" w:rsidTr="00C47645">
        <w:tc>
          <w:tcPr>
            <w:tcW w:w="1474" w:type="dxa"/>
            <w:shd w:val="clear" w:color="auto" w:fill="BFBFBF" w:themeFill="background1" w:themeFillShade="BF"/>
          </w:tcPr>
          <w:p w14:paraId="31FBFDFE" w14:textId="77777777" w:rsidR="00482346" w:rsidRPr="00D13476" w:rsidRDefault="00482346" w:rsidP="00C47645">
            <w:pPr>
              <w:spacing w:line="360" w:lineRule="auto"/>
              <w:rPr>
                <w:rFonts w:cs="Arial"/>
                <w:b/>
                <w:bCs/>
              </w:rPr>
            </w:pPr>
            <w:r w:rsidRPr="00D13476">
              <w:rPr>
                <w:rFonts w:cs="Arial"/>
                <w:b/>
                <w:bCs/>
              </w:rPr>
              <w:t>Subscale</w:t>
            </w:r>
          </w:p>
        </w:tc>
        <w:tc>
          <w:tcPr>
            <w:tcW w:w="1474" w:type="dxa"/>
            <w:shd w:val="clear" w:color="auto" w:fill="BFBFBF" w:themeFill="background1" w:themeFillShade="BF"/>
          </w:tcPr>
          <w:p w14:paraId="2B4BB72A" w14:textId="77777777" w:rsidR="00482346" w:rsidRPr="00D13476" w:rsidRDefault="00482346" w:rsidP="00C47645">
            <w:pPr>
              <w:spacing w:line="360" w:lineRule="auto"/>
              <w:rPr>
                <w:rFonts w:cs="Arial"/>
                <w:b/>
                <w:bCs/>
              </w:rPr>
            </w:pPr>
            <w:r w:rsidRPr="00D13476">
              <w:rPr>
                <w:rFonts w:cs="Arial"/>
                <w:b/>
                <w:bCs/>
              </w:rPr>
              <w:t>Treatment phase (acute vs. early vs. late)</w:t>
            </w:r>
          </w:p>
        </w:tc>
        <w:tc>
          <w:tcPr>
            <w:tcW w:w="1474" w:type="dxa"/>
            <w:shd w:val="clear" w:color="auto" w:fill="BFBFBF" w:themeFill="background1" w:themeFillShade="BF"/>
          </w:tcPr>
          <w:p w14:paraId="12BEA173" w14:textId="77777777" w:rsidR="00482346" w:rsidRPr="00D13476" w:rsidRDefault="00482346" w:rsidP="00C47645">
            <w:pPr>
              <w:spacing w:line="360" w:lineRule="auto"/>
              <w:rPr>
                <w:rFonts w:cs="Arial"/>
                <w:b/>
                <w:bCs/>
              </w:rPr>
            </w:pPr>
            <w:r w:rsidRPr="00D13476">
              <w:rPr>
                <w:rFonts w:cs="Arial"/>
                <w:b/>
                <w:bCs/>
              </w:rPr>
              <w:t xml:space="preserve">Treatment status (on or off) </w:t>
            </w:r>
          </w:p>
        </w:tc>
        <w:tc>
          <w:tcPr>
            <w:tcW w:w="1474" w:type="dxa"/>
            <w:shd w:val="clear" w:color="auto" w:fill="BFBFBF" w:themeFill="background1" w:themeFillShade="BF"/>
          </w:tcPr>
          <w:p w14:paraId="36446E6D" w14:textId="77777777" w:rsidR="00482346" w:rsidRPr="00D13476" w:rsidRDefault="00482346" w:rsidP="00C47645">
            <w:pPr>
              <w:spacing w:line="360" w:lineRule="auto"/>
              <w:rPr>
                <w:rFonts w:cs="Arial"/>
                <w:b/>
                <w:bCs/>
              </w:rPr>
            </w:pPr>
            <w:r w:rsidRPr="00D13476">
              <w:rPr>
                <w:rFonts w:cs="Arial"/>
                <w:b/>
                <w:bCs/>
              </w:rPr>
              <w:t>Localised or locoregional</w:t>
            </w:r>
          </w:p>
        </w:tc>
        <w:tc>
          <w:tcPr>
            <w:tcW w:w="1474" w:type="dxa"/>
            <w:shd w:val="clear" w:color="auto" w:fill="BFBFBF" w:themeFill="background1" w:themeFillShade="BF"/>
          </w:tcPr>
          <w:p w14:paraId="7A4D2788" w14:textId="77777777" w:rsidR="00482346" w:rsidRPr="00D13476" w:rsidRDefault="00482346" w:rsidP="00C47645">
            <w:pPr>
              <w:spacing w:line="360" w:lineRule="auto"/>
              <w:rPr>
                <w:rFonts w:cs="Arial"/>
                <w:b/>
                <w:bCs/>
              </w:rPr>
            </w:pPr>
            <w:r w:rsidRPr="00D13476">
              <w:rPr>
                <w:rFonts w:cs="Arial"/>
                <w:b/>
                <w:bCs/>
              </w:rPr>
              <w:t>Radiotherapy type IMRT or CRT)</w:t>
            </w:r>
          </w:p>
        </w:tc>
        <w:tc>
          <w:tcPr>
            <w:tcW w:w="1474" w:type="dxa"/>
            <w:shd w:val="clear" w:color="auto" w:fill="BFBFBF" w:themeFill="background1" w:themeFillShade="BF"/>
          </w:tcPr>
          <w:p w14:paraId="7CF287BC" w14:textId="77777777" w:rsidR="00482346" w:rsidRPr="00D13476" w:rsidRDefault="00482346" w:rsidP="00C47645">
            <w:pPr>
              <w:spacing w:line="360" w:lineRule="auto"/>
              <w:rPr>
                <w:rFonts w:cs="Arial"/>
                <w:b/>
                <w:bCs/>
              </w:rPr>
            </w:pPr>
            <w:r w:rsidRPr="00D13476">
              <w:rPr>
                <w:rFonts w:cs="Arial"/>
                <w:b/>
                <w:bCs/>
              </w:rPr>
              <w:t>Performance status (0 or 1)</w:t>
            </w:r>
            <w:r w:rsidRPr="00D13476">
              <w:rPr>
                <w:rFonts w:cs="Arial"/>
                <w:b/>
                <w:bCs/>
                <w:vertAlign w:val="superscript"/>
              </w:rPr>
              <w:t>1</w:t>
            </w:r>
            <w:r w:rsidRPr="00D13476">
              <w:rPr>
                <w:rStyle w:val="CommentReference"/>
              </w:rPr>
              <w:t xml:space="preserve"> </w:t>
            </w:r>
          </w:p>
        </w:tc>
      </w:tr>
      <w:tr w:rsidR="00482346" w:rsidRPr="00D13476" w14:paraId="7FF6E195" w14:textId="77777777" w:rsidTr="00C47645">
        <w:tc>
          <w:tcPr>
            <w:tcW w:w="1474" w:type="dxa"/>
            <w:shd w:val="clear" w:color="auto" w:fill="BFBFBF" w:themeFill="background1" w:themeFillShade="BF"/>
          </w:tcPr>
          <w:p w14:paraId="769CFC47" w14:textId="77777777" w:rsidR="00482346" w:rsidRPr="00D13476" w:rsidRDefault="00482346" w:rsidP="00C47645">
            <w:pPr>
              <w:spacing w:line="360" w:lineRule="auto"/>
              <w:rPr>
                <w:rFonts w:cs="Arial"/>
              </w:rPr>
            </w:pPr>
            <w:r w:rsidRPr="00D13476">
              <w:rPr>
                <w:rFonts w:cs="Arial"/>
              </w:rPr>
              <w:t>Bowel symptoms (</w:t>
            </w:r>
            <w:proofErr w:type="spellStart"/>
            <w:r w:rsidRPr="00D13476">
              <w:rPr>
                <w:rFonts w:cs="Arial"/>
              </w:rPr>
              <w:t>non stoma</w:t>
            </w:r>
            <w:proofErr w:type="spellEnd"/>
            <w:r w:rsidRPr="00D13476">
              <w:rPr>
                <w:rFonts w:cs="Arial"/>
              </w:rPr>
              <w:t>)</w:t>
            </w:r>
          </w:p>
        </w:tc>
        <w:tc>
          <w:tcPr>
            <w:tcW w:w="1474" w:type="dxa"/>
            <w:shd w:val="clear" w:color="auto" w:fill="auto"/>
          </w:tcPr>
          <w:p w14:paraId="7F873131" w14:textId="77777777" w:rsidR="00482346" w:rsidRPr="00D13476" w:rsidRDefault="00482346" w:rsidP="00C47645">
            <w:pPr>
              <w:spacing w:line="360" w:lineRule="auto"/>
              <w:rPr>
                <w:rFonts w:cs="Arial"/>
              </w:rPr>
            </w:pPr>
            <w:r w:rsidRPr="00D13476">
              <w:rPr>
                <w:rFonts w:cs="Arial"/>
              </w:rPr>
              <w:t xml:space="preserve">ES=0.28 </w:t>
            </w:r>
          </w:p>
          <w:p w14:paraId="00771952" w14:textId="77777777" w:rsidR="00482346" w:rsidRPr="00D13476" w:rsidRDefault="00482346" w:rsidP="00C47645">
            <w:pPr>
              <w:spacing w:line="360" w:lineRule="auto"/>
              <w:rPr>
                <w:rFonts w:cs="Arial"/>
              </w:rPr>
            </w:pPr>
            <w:r w:rsidRPr="00D13476">
              <w:rPr>
                <w:rFonts w:cs="Arial"/>
              </w:rPr>
              <w:t>P=0.057</w:t>
            </w:r>
          </w:p>
        </w:tc>
        <w:tc>
          <w:tcPr>
            <w:tcW w:w="1474" w:type="dxa"/>
            <w:shd w:val="clear" w:color="auto" w:fill="auto"/>
          </w:tcPr>
          <w:p w14:paraId="7412FD48" w14:textId="77777777" w:rsidR="00482346" w:rsidRPr="00D13476" w:rsidRDefault="00482346" w:rsidP="00C47645">
            <w:pPr>
              <w:spacing w:line="360" w:lineRule="auto"/>
              <w:rPr>
                <w:rFonts w:cs="Arial"/>
              </w:rPr>
            </w:pPr>
            <w:r w:rsidRPr="00D13476">
              <w:rPr>
                <w:rFonts w:cs="Arial"/>
              </w:rPr>
              <w:t>ES=0.17</w:t>
            </w:r>
          </w:p>
          <w:p w14:paraId="178BB097" w14:textId="77777777" w:rsidR="00482346" w:rsidRPr="00D13476" w:rsidRDefault="00482346" w:rsidP="00C47645">
            <w:pPr>
              <w:spacing w:line="360" w:lineRule="auto"/>
              <w:rPr>
                <w:rFonts w:cs="Arial"/>
              </w:rPr>
            </w:pPr>
            <w:r w:rsidRPr="00D13476">
              <w:rPr>
                <w:rFonts w:cs="Arial"/>
              </w:rPr>
              <w:t>P=0.365</w:t>
            </w:r>
          </w:p>
        </w:tc>
        <w:tc>
          <w:tcPr>
            <w:tcW w:w="1474" w:type="dxa"/>
            <w:shd w:val="clear" w:color="auto" w:fill="auto"/>
          </w:tcPr>
          <w:p w14:paraId="6502526A" w14:textId="77777777" w:rsidR="00482346" w:rsidRPr="00D13476" w:rsidRDefault="00482346" w:rsidP="00C47645">
            <w:pPr>
              <w:spacing w:line="360" w:lineRule="auto"/>
              <w:rPr>
                <w:rFonts w:cs="Arial"/>
              </w:rPr>
            </w:pPr>
            <w:r w:rsidRPr="00D13476">
              <w:rPr>
                <w:rFonts w:cs="Arial"/>
              </w:rPr>
              <w:t>ES=0.12</w:t>
            </w:r>
          </w:p>
          <w:p w14:paraId="2520AA3D" w14:textId="77777777" w:rsidR="00482346" w:rsidRPr="00D13476" w:rsidRDefault="00482346" w:rsidP="00C47645">
            <w:pPr>
              <w:spacing w:line="360" w:lineRule="auto"/>
              <w:rPr>
                <w:rFonts w:cs="Arial"/>
              </w:rPr>
            </w:pPr>
            <w:r w:rsidRPr="00D13476">
              <w:rPr>
                <w:rFonts w:cs="Arial"/>
              </w:rPr>
              <w:t>P=0.327</w:t>
            </w:r>
          </w:p>
        </w:tc>
        <w:tc>
          <w:tcPr>
            <w:tcW w:w="1474" w:type="dxa"/>
            <w:shd w:val="clear" w:color="auto" w:fill="auto"/>
          </w:tcPr>
          <w:p w14:paraId="712FB80E" w14:textId="77777777" w:rsidR="00482346" w:rsidRPr="00D13476" w:rsidRDefault="00482346" w:rsidP="00C47645">
            <w:pPr>
              <w:spacing w:line="360" w:lineRule="auto"/>
              <w:rPr>
                <w:rFonts w:cs="Arial"/>
              </w:rPr>
            </w:pPr>
            <w:r w:rsidRPr="00D13476">
              <w:rPr>
                <w:rFonts w:cs="Arial"/>
              </w:rPr>
              <w:t>ES=0.06</w:t>
            </w:r>
          </w:p>
          <w:p w14:paraId="4EB4DF61" w14:textId="77777777" w:rsidR="00482346" w:rsidRPr="00D13476" w:rsidRDefault="00482346" w:rsidP="00C47645">
            <w:pPr>
              <w:spacing w:line="360" w:lineRule="auto"/>
              <w:rPr>
                <w:rFonts w:cs="Arial"/>
              </w:rPr>
            </w:pPr>
            <w:r w:rsidRPr="00D13476">
              <w:rPr>
                <w:rFonts w:cs="Arial"/>
              </w:rPr>
              <w:t>P=0.645</w:t>
            </w:r>
          </w:p>
        </w:tc>
        <w:tc>
          <w:tcPr>
            <w:tcW w:w="1474" w:type="dxa"/>
            <w:shd w:val="clear" w:color="auto" w:fill="auto"/>
          </w:tcPr>
          <w:p w14:paraId="0BEA7478" w14:textId="77777777" w:rsidR="00482346" w:rsidRPr="00D13476" w:rsidRDefault="00482346" w:rsidP="00C47645">
            <w:pPr>
              <w:spacing w:line="360" w:lineRule="auto"/>
              <w:rPr>
                <w:rFonts w:cs="Arial"/>
              </w:rPr>
            </w:pPr>
            <w:r w:rsidRPr="00D13476">
              <w:rPr>
                <w:rFonts w:cs="Arial"/>
              </w:rPr>
              <w:t>ES=0.25*</w:t>
            </w:r>
          </w:p>
          <w:p w14:paraId="3C82C61C" w14:textId="77777777" w:rsidR="00482346" w:rsidRPr="00D13476" w:rsidRDefault="00482346" w:rsidP="00C47645">
            <w:pPr>
              <w:spacing w:line="360" w:lineRule="auto"/>
              <w:rPr>
                <w:rFonts w:cs="Arial"/>
              </w:rPr>
            </w:pPr>
            <w:r w:rsidRPr="00D13476">
              <w:rPr>
                <w:rFonts w:cs="Arial"/>
              </w:rPr>
              <w:t>P=0.055</w:t>
            </w:r>
          </w:p>
        </w:tc>
      </w:tr>
      <w:tr w:rsidR="00482346" w:rsidRPr="00D13476" w14:paraId="00C95370" w14:textId="77777777" w:rsidTr="00C47645">
        <w:tc>
          <w:tcPr>
            <w:tcW w:w="1474" w:type="dxa"/>
            <w:shd w:val="clear" w:color="auto" w:fill="BFBFBF" w:themeFill="background1" w:themeFillShade="BF"/>
          </w:tcPr>
          <w:p w14:paraId="3D3900EC" w14:textId="77777777" w:rsidR="00482346" w:rsidRPr="00D13476" w:rsidRDefault="00482346" w:rsidP="00C47645">
            <w:pPr>
              <w:spacing w:line="360" w:lineRule="auto"/>
              <w:rPr>
                <w:rFonts w:cs="Arial"/>
              </w:rPr>
            </w:pPr>
            <w:r w:rsidRPr="00D13476">
              <w:rPr>
                <w:rFonts w:cs="Arial"/>
              </w:rPr>
              <w:t>Pain / discomfort</w:t>
            </w:r>
          </w:p>
        </w:tc>
        <w:tc>
          <w:tcPr>
            <w:tcW w:w="1474" w:type="dxa"/>
            <w:shd w:val="clear" w:color="auto" w:fill="auto"/>
          </w:tcPr>
          <w:p w14:paraId="4EE537DF" w14:textId="77777777" w:rsidR="00482346" w:rsidRPr="00D13476" w:rsidRDefault="00482346" w:rsidP="00C47645">
            <w:pPr>
              <w:spacing w:line="360" w:lineRule="auto"/>
              <w:rPr>
                <w:rFonts w:cs="Arial"/>
              </w:rPr>
            </w:pPr>
            <w:r w:rsidRPr="00D13476">
              <w:rPr>
                <w:rFonts w:cs="Arial"/>
              </w:rPr>
              <w:t xml:space="preserve">ES=0.92*** </w:t>
            </w:r>
          </w:p>
          <w:p w14:paraId="4A9D538E" w14:textId="77777777" w:rsidR="00482346" w:rsidRPr="00D13476" w:rsidRDefault="00482346" w:rsidP="00C47645">
            <w:pPr>
              <w:spacing w:line="360" w:lineRule="auto"/>
              <w:rPr>
                <w:rFonts w:cs="Arial"/>
              </w:rPr>
            </w:pPr>
            <w:r w:rsidRPr="00D13476">
              <w:rPr>
                <w:rFonts w:cs="Arial"/>
              </w:rPr>
              <w:t>P&lt;0.0001</w:t>
            </w:r>
          </w:p>
        </w:tc>
        <w:tc>
          <w:tcPr>
            <w:tcW w:w="1474" w:type="dxa"/>
            <w:shd w:val="clear" w:color="auto" w:fill="auto"/>
          </w:tcPr>
          <w:p w14:paraId="109B5DDC" w14:textId="77777777" w:rsidR="00482346" w:rsidRPr="00D13476" w:rsidRDefault="00482346" w:rsidP="00C47645">
            <w:pPr>
              <w:spacing w:line="360" w:lineRule="auto"/>
              <w:rPr>
                <w:rFonts w:cs="Arial"/>
              </w:rPr>
            </w:pPr>
            <w:r w:rsidRPr="00D13476">
              <w:rPr>
                <w:rFonts w:cs="Arial"/>
              </w:rPr>
              <w:t>ES= 0.20*</w:t>
            </w:r>
          </w:p>
          <w:p w14:paraId="336C6A49" w14:textId="77777777" w:rsidR="00482346" w:rsidRPr="00D13476" w:rsidRDefault="00482346" w:rsidP="00C47645">
            <w:r w:rsidRPr="00D13476">
              <w:rPr>
                <w:rFonts w:cs="Arial"/>
              </w:rPr>
              <w:t>P=0.270</w:t>
            </w:r>
          </w:p>
        </w:tc>
        <w:tc>
          <w:tcPr>
            <w:tcW w:w="1474" w:type="dxa"/>
            <w:shd w:val="clear" w:color="auto" w:fill="auto"/>
          </w:tcPr>
          <w:p w14:paraId="6136302F" w14:textId="77777777" w:rsidR="00482346" w:rsidRPr="00D13476" w:rsidRDefault="00482346" w:rsidP="00C47645">
            <w:pPr>
              <w:spacing w:line="360" w:lineRule="auto"/>
              <w:rPr>
                <w:rFonts w:cs="Arial"/>
              </w:rPr>
            </w:pPr>
            <w:r w:rsidRPr="00D13476">
              <w:rPr>
                <w:rFonts w:cs="Arial"/>
              </w:rPr>
              <w:t>ES=0.03</w:t>
            </w:r>
          </w:p>
          <w:p w14:paraId="76E367B8" w14:textId="77777777" w:rsidR="00482346" w:rsidRPr="00D13476" w:rsidRDefault="00482346" w:rsidP="00C47645">
            <w:pPr>
              <w:spacing w:line="360" w:lineRule="auto"/>
              <w:rPr>
                <w:rFonts w:cs="Arial"/>
              </w:rPr>
            </w:pPr>
            <w:r w:rsidRPr="00D13476">
              <w:rPr>
                <w:rFonts w:cs="Arial"/>
              </w:rPr>
              <w:t>P=0.818</w:t>
            </w:r>
          </w:p>
        </w:tc>
        <w:tc>
          <w:tcPr>
            <w:tcW w:w="1474" w:type="dxa"/>
            <w:shd w:val="clear" w:color="auto" w:fill="auto"/>
          </w:tcPr>
          <w:p w14:paraId="0D0EE639" w14:textId="77777777" w:rsidR="00482346" w:rsidRPr="00D13476" w:rsidRDefault="00482346" w:rsidP="00C47645">
            <w:pPr>
              <w:spacing w:line="360" w:lineRule="auto"/>
              <w:rPr>
                <w:rFonts w:cs="Arial"/>
              </w:rPr>
            </w:pPr>
            <w:r w:rsidRPr="00D13476">
              <w:rPr>
                <w:rFonts w:cs="Arial"/>
              </w:rPr>
              <w:t>ES=0.04</w:t>
            </w:r>
          </w:p>
          <w:p w14:paraId="0FA2CD3C" w14:textId="77777777" w:rsidR="00482346" w:rsidRPr="00D13476" w:rsidRDefault="00482346" w:rsidP="00C47645">
            <w:pPr>
              <w:spacing w:line="360" w:lineRule="auto"/>
              <w:rPr>
                <w:rFonts w:cs="Arial"/>
              </w:rPr>
            </w:pPr>
            <w:r w:rsidRPr="00D13476">
              <w:rPr>
                <w:rFonts w:cs="Arial"/>
              </w:rPr>
              <w:t>P=0.761</w:t>
            </w:r>
          </w:p>
        </w:tc>
        <w:tc>
          <w:tcPr>
            <w:tcW w:w="1474" w:type="dxa"/>
            <w:shd w:val="clear" w:color="auto" w:fill="auto"/>
          </w:tcPr>
          <w:p w14:paraId="73A836EF" w14:textId="77777777" w:rsidR="00482346" w:rsidRPr="00D13476" w:rsidRDefault="00482346" w:rsidP="00C47645">
            <w:pPr>
              <w:spacing w:line="360" w:lineRule="auto"/>
              <w:rPr>
                <w:rFonts w:cs="Arial"/>
              </w:rPr>
            </w:pPr>
            <w:r w:rsidRPr="00D13476">
              <w:rPr>
                <w:rFonts w:cs="Arial"/>
              </w:rPr>
              <w:t>ES=0.38*</w:t>
            </w:r>
          </w:p>
          <w:p w14:paraId="17505B40" w14:textId="77777777" w:rsidR="00482346" w:rsidRPr="00D13476" w:rsidRDefault="00482346" w:rsidP="00C47645">
            <w:pPr>
              <w:spacing w:line="360" w:lineRule="auto"/>
              <w:rPr>
                <w:rFonts w:cs="Arial"/>
              </w:rPr>
            </w:pPr>
            <w:r w:rsidRPr="00D13476">
              <w:rPr>
                <w:rFonts w:cs="Arial"/>
              </w:rPr>
              <w:t>P=0.002</w:t>
            </w:r>
          </w:p>
        </w:tc>
      </w:tr>
      <w:tr w:rsidR="00482346" w:rsidRPr="00D13476" w14:paraId="33EE337F" w14:textId="77777777" w:rsidTr="00C47645">
        <w:tc>
          <w:tcPr>
            <w:tcW w:w="1474" w:type="dxa"/>
            <w:shd w:val="clear" w:color="auto" w:fill="BFBFBF" w:themeFill="background1" w:themeFillShade="BF"/>
          </w:tcPr>
          <w:p w14:paraId="4692911B" w14:textId="77777777" w:rsidR="00482346" w:rsidRPr="00D13476" w:rsidDel="003D35E7" w:rsidRDefault="00482346" w:rsidP="00C47645">
            <w:pPr>
              <w:spacing w:line="360" w:lineRule="auto"/>
              <w:rPr>
                <w:rFonts w:cs="Arial"/>
              </w:rPr>
            </w:pPr>
            <w:r w:rsidRPr="00D13476">
              <w:rPr>
                <w:rFonts w:cs="Arial"/>
              </w:rPr>
              <w:t>Vaginal symptoms</w:t>
            </w:r>
          </w:p>
        </w:tc>
        <w:tc>
          <w:tcPr>
            <w:tcW w:w="1474" w:type="dxa"/>
            <w:shd w:val="clear" w:color="auto" w:fill="auto"/>
          </w:tcPr>
          <w:p w14:paraId="7FD59318" w14:textId="77777777" w:rsidR="00482346" w:rsidRPr="00D13476" w:rsidRDefault="00482346" w:rsidP="00C47645">
            <w:pPr>
              <w:spacing w:line="360" w:lineRule="auto"/>
              <w:rPr>
                <w:rFonts w:cs="Arial"/>
              </w:rPr>
            </w:pPr>
            <w:r w:rsidRPr="00D13476">
              <w:rPr>
                <w:rFonts w:cs="Arial"/>
              </w:rPr>
              <w:t>ES=0.44*</w:t>
            </w:r>
          </w:p>
          <w:p w14:paraId="3F7906AA" w14:textId="77777777" w:rsidR="00482346" w:rsidRPr="00D13476" w:rsidDel="003D35E7" w:rsidRDefault="00482346" w:rsidP="00C47645">
            <w:pPr>
              <w:spacing w:line="360" w:lineRule="auto"/>
              <w:rPr>
                <w:rFonts w:cs="Arial"/>
              </w:rPr>
            </w:pPr>
            <w:r w:rsidRPr="00D13476">
              <w:rPr>
                <w:rFonts w:cs="Arial"/>
              </w:rPr>
              <w:t>P=0.003</w:t>
            </w:r>
          </w:p>
        </w:tc>
        <w:tc>
          <w:tcPr>
            <w:tcW w:w="1474" w:type="dxa"/>
            <w:shd w:val="clear" w:color="auto" w:fill="auto"/>
          </w:tcPr>
          <w:p w14:paraId="210186D8" w14:textId="77777777" w:rsidR="00482346" w:rsidRPr="00D13476" w:rsidRDefault="00482346" w:rsidP="00C47645">
            <w:pPr>
              <w:spacing w:line="360" w:lineRule="auto"/>
              <w:jc w:val="both"/>
              <w:rPr>
                <w:rFonts w:cs="Arial"/>
              </w:rPr>
            </w:pPr>
            <w:r w:rsidRPr="00D13476">
              <w:rPr>
                <w:rFonts w:cs="Arial"/>
              </w:rPr>
              <w:t>ES=0.05</w:t>
            </w:r>
          </w:p>
          <w:p w14:paraId="529ED333" w14:textId="77777777" w:rsidR="00482346" w:rsidRPr="00D13476" w:rsidDel="003D35E7" w:rsidRDefault="00482346" w:rsidP="00C47645">
            <w:pPr>
              <w:spacing w:line="360" w:lineRule="auto"/>
              <w:rPr>
                <w:rFonts w:cs="Arial"/>
              </w:rPr>
            </w:pPr>
            <w:r w:rsidRPr="00D13476">
              <w:rPr>
                <w:rFonts w:cs="Arial"/>
              </w:rPr>
              <w:t>P=0.831</w:t>
            </w:r>
          </w:p>
        </w:tc>
        <w:tc>
          <w:tcPr>
            <w:tcW w:w="1474" w:type="dxa"/>
            <w:shd w:val="clear" w:color="auto" w:fill="auto"/>
          </w:tcPr>
          <w:p w14:paraId="3219375A" w14:textId="77777777" w:rsidR="00482346" w:rsidRPr="00D13476" w:rsidRDefault="00482346" w:rsidP="00C47645">
            <w:pPr>
              <w:spacing w:line="360" w:lineRule="auto"/>
              <w:jc w:val="both"/>
              <w:rPr>
                <w:rFonts w:cs="Arial"/>
              </w:rPr>
            </w:pPr>
            <w:r w:rsidRPr="00D13476">
              <w:rPr>
                <w:rFonts w:cs="Arial"/>
              </w:rPr>
              <w:t>ES=0.01</w:t>
            </w:r>
          </w:p>
          <w:p w14:paraId="0C6D39C9" w14:textId="77777777" w:rsidR="00482346" w:rsidRPr="00D13476" w:rsidDel="003D35E7" w:rsidRDefault="00482346" w:rsidP="00C47645">
            <w:pPr>
              <w:spacing w:line="360" w:lineRule="auto"/>
              <w:rPr>
                <w:rFonts w:cs="Arial"/>
              </w:rPr>
            </w:pPr>
            <w:r w:rsidRPr="00D13476">
              <w:rPr>
                <w:rFonts w:cs="Arial"/>
              </w:rPr>
              <w:t>P=0.950</w:t>
            </w:r>
          </w:p>
        </w:tc>
        <w:tc>
          <w:tcPr>
            <w:tcW w:w="1474" w:type="dxa"/>
            <w:shd w:val="clear" w:color="auto" w:fill="auto"/>
          </w:tcPr>
          <w:p w14:paraId="554E8F70" w14:textId="77777777" w:rsidR="00482346" w:rsidRPr="00D13476" w:rsidRDefault="00482346" w:rsidP="00C47645">
            <w:pPr>
              <w:spacing w:line="360" w:lineRule="auto"/>
              <w:jc w:val="both"/>
              <w:rPr>
                <w:rFonts w:cs="Arial"/>
              </w:rPr>
            </w:pPr>
            <w:r w:rsidRPr="00D13476">
              <w:rPr>
                <w:rFonts w:cs="Arial"/>
              </w:rPr>
              <w:t>ES=0.21*</w:t>
            </w:r>
          </w:p>
          <w:p w14:paraId="41E1971A" w14:textId="77777777" w:rsidR="00482346" w:rsidRPr="00D13476" w:rsidDel="003D35E7" w:rsidRDefault="00482346" w:rsidP="00C47645">
            <w:pPr>
              <w:spacing w:line="360" w:lineRule="auto"/>
              <w:rPr>
                <w:rFonts w:cs="Arial"/>
              </w:rPr>
            </w:pPr>
            <w:r w:rsidRPr="00D13476">
              <w:rPr>
                <w:rFonts w:cs="Arial"/>
              </w:rPr>
              <w:t>P=0.226</w:t>
            </w:r>
          </w:p>
        </w:tc>
        <w:tc>
          <w:tcPr>
            <w:tcW w:w="1474" w:type="dxa"/>
            <w:shd w:val="clear" w:color="auto" w:fill="auto"/>
          </w:tcPr>
          <w:p w14:paraId="066E8B01" w14:textId="77777777" w:rsidR="00482346" w:rsidRPr="00D13476" w:rsidRDefault="00482346" w:rsidP="00C47645">
            <w:pPr>
              <w:spacing w:line="360" w:lineRule="auto"/>
              <w:jc w:val="both"/>
              <w:rPr>
                <w:rFonts w:cs="Arial"/>
              </w:rPr>
            </w:pPr>
            <w:r w:rsidRPr="00D13476">
              <w:rPr>
                <w:rFonts w:cs="Arial"/>
              </w:rPr>
              <w:t>ES=0.07</w:t>
            </w:r>
          </w:p>
          <w:p w14:paraId="59D74E93" w14:textId="77777777" w:rsidR="00482346" w:rsidRPr="00D13476" w:rsidDel="003D35E7" w:rsidRDefault="00482346" w:rsidP="00C47645">
            <w:pPr>
              <w:spacing w:line="360" w:lineRule="auto"/>
              <w:rPr>
                <w:rFonts w:cs="Arial"/>
              </w:rPr>
            </w:pPr>
            <w:r w:rsidRPr="00D13476">
              <w:rPr>
                <w:rFonts w:cs="Arial"/>
              </w:rPr>
              <w:t>P=0.649</w:t>
            </w:r>
          </w:p>
        </w:tc>
      </w:tr>
    </w:tbl>
    <w:p w14:paraId="543A5DA9" w14:textId="77777777" w:rsidR="00482346" w:rsidRPr="00D13476" w:rsidRDefault="00482346" w:rsidP="00482346"/>
    <w:p w14:paraId="5E280405" w14:textId="77777777" w:rsidR="00482346" w:rsidRPr="00D13476" w:rsidRDefault="00482346" w:rsidP="00482346">
      <w:pPr>
        <w:rPr>
          <w:sz w:val="18"/>
          <w:szCs w:val="18"/>
        </w:rPr>
      </w:pPr>
      <w:r w:rsidRPr="00D13476">
        <w:rPr>
          <w:sz w:val="18"/>
          <w:szCs w:val="18"/>
          <w:vertAlign w:val="superscript"/>
        </w:rPr>
        <w:t>1</w:t>
      </w:r>
      <w:r w:rsidRPr="00D13476">
        <w:rPr>
          <w:sz w:val="18"/>
          <w:szCs w:val="18"/>
        </w:rPr>
        <w:t>Given that only 14 participants recorded their performance status as 2 or 3, comparisons were only performed for those scoring 0 or 1.</w:t>
      </w:r>
    </w:p>
    <w:p w14:paraId="402F15AC" w14:textId="77777777" w:rsidR="00482346" w:rsidRPr="00D13476" w:rsidRDefault="00482346" w:rsidP="00482346">
      <w:pPr>
        <w:rPr>
          <w:sz w:val="18"/>
          <w:szCs w:val="18"/>
        </w:rPr>
      </w:pPr>
      <w:r w:rsidRPr="00D13476">
        <w:rPr>
          <w:sz w:val="18"/>
          <w:szCs w:val="18"/>
        </w:rPr>
        <w:t xml:space="preserve">*Small effect size </w:t>
      </w:r>
      <w:r w:rsidRPr="00D13476">
        <w:rPr>
          <w:sz w:val="18"/>
          <w:szCs w:val="18"/>
          <w:u w:val="single"/>
        </w:rPr>
        <w:t>&gt;</w:t>
      </w:r>
      <w:r w:rsidRPr="00D13476">
        <w:rPr>
          <w:sz w:val="18"/>
          <w:szCs w:val="18"/>
        </w:rPr>
        <w:t>0.20</w:t>
      </w:r>
    </w:p>
    <w:p w14:paraId="695F49DD" w14:textId="77777777" w:rsidR="00482346" w:rsidRPr="00D13476" w:rsidRDefault="00482346" w:rsidP="00482346">
      <w:pPr>
        <w:rPr>
          <w:sz w:val="18"/>
          <w:szCs w:val="18"/>
        </w:rPr>
      </w:pPr>
      <w:r w:rsidRPr="00D13476">
        <w:rPr>
          <w:sz w:val="18"/>
          <w:szCs w:val="18"/>
        </w:rPr>
        <w:t xml:space="preserve">***Large effect size </w:t>
      </w:r>
      <w:r w:rsidRPr="00D13476">
        <w:rPr>
          <w:sz w:val="18"/>
          <w:szCs w:val="18"/>
          <w:u w:val="single"/>
        </w:rPr>
        <w:t>&gt;</w:t>
      </w:r>
      <w:r w:rsidRPr="00D13476">
        <w:rPr>
          <w:sz w:val="18"/>
          <w:szCs w:val="18"/>
        </w:rPr>
        <w:t>0.80</w:t>
      </w:r>
    </w:p>
    <w:p w14:paraId="07A19016" w14:textId="77777777" w:rsidR="00482346" w:rsidRPr="00D13476" w:rsidRDefault="00482346" w:rsidP="00482346"/>
    <w:p w14:paraId="5C214593" w14:textId="77777777" w:rsidR="00482346" w:rsidRPr="00D13476" w:rsidRDefault="00482346" w:rsidP="00482346">
      <w:r w:rsidRPr="00D13476">
        <w:t>Table 6. Responsiveness to deterioration over time</w:t>
      </w:r>
    </w:p>
    <w:tbl>
      <w:tblPr>
        <w:tblW w:w="5000" w:type="pct"/>
        <w:tblCellMar>
          <w:left w:w="0" w:type="dxa"/>
          <w:right w:w="0" w:type="dxa"/>
        </w:tblCellMar>
        <w:tblLook w:val="0000" w:firstRow="0" w:lastRow="0" w:firstColumn="0" w:lastColumn="0" w:noHBand="0" w:noVBand="0"/>
      </w:tblPr>
      <w:tblGrid>
        <w:gridCol w:w="987"/>
        <w:gridCol w:w="378"/>
        <w:gridCol w:w="1052"/>
        <w:gridCol w:w="694"/>
        <w:gridCol w:w="798"/>
        <w:gridCol w:w="888"/>
        <w:gridCol w:w="646"/>
        <w:gridCol w:w="627"/>
        <w:gridCol w:w="344"/>
        <w:gridCol w:w="1216"/>
        <w:gridCol w:w="1380"/>
      </w:tblGrid>
      <w:tr w:rsidR="00482346" w:rsidRPr="00D13476" w14:paraId="1619732F" w14:textId="77777777" w:rsidTr="00C47645">
        <w:trPr>
          <w:cantSplit/>
          <w:tblHeader/>
        </w:trPr>
        <w:tc>
          <w:tcPr>
            <w:tcW w:w="547" w:type="pct"/>
            <w:tcBorders>
              <w:top w:val="single" w:sz="6" w:space="0" w:color="000000"/>
              <w:left w:val="single" w:sz="6" w:space="0" w:color="000000"/>
              <w:bottom w:val="single" w:sz="2" w:space="0" w:color="000000"/>
              <w:right w:val="nil"/>
            </w:tcBorders>
            <w:shd w:val="clear" w:color="auto" w:fill="BBBBBB"/>
          </w:tcPr>
          <w:p w14:paraId="03771157" w14:textId="77777777" w:rsidR="00482346" w:rsidRPr="00D13476" w:rsidRDefault="00482346" w:rsidP="00C47645">
            <w:pPr>
              <w:adjustRightInd w:val="0"/>
              <w:spacing w:before="60" w:after="60"/>
              <w:rPr>
                <w:b/>
                <w:bCs/>
                <w:color w:val="000000"/>
                <w:vertAlign w:val="superscript"/>
              </w:rPr>
            </w:pPr>
            <w:bookmarkStart w:id="8" w:name="_Hlk92963168"/>
            <w:r w:rsidRPr="00D13476">
              <w:rPr>
                <w:b/>
                <w:bCs/>
                <w:color w:val="000000"/>
              </w:rPr>
              <w:lastRenderedPageBreak/>
              <w:t>Subscale</w:t>
            </w:r>
            <w:r w:rsidRPr="00D13476">
              <w:rPr>
                <w:b/>
                <w:bCs/>
                <w:color w:val="000000"/>
                <w:vertAlign w:val="superscript"/>
              </w:rPr>
              <w:t>1</w:t>
            </w:r>
          </w:p>
        </w:tc>
        <w:tc>
          <w:tcPr>
            <w:tcW w:w="210" w:type="pct"/>
            <w:tcBorders>
              <w:top w:val="single" w:sz="6" w:space="0" w:color="000000"/>
              <w:left w:val="single" w:sz="6" w:space="0" w:color="000000"/>
              <w:bottom w:val="single" w:sz="2" w:space="0" w:color="000000"/>
              <w:right w:val="nil"/>
            </w:tcBorders>
            <w:shd w:val="clear" w:color="auto" w:fill="BBBBBB"/>
            <w:tcMar>
              <w:left w:w="60" w:type="dxa"/>
              <w:right w:w="60" w:type="dxa"/>
            </w:tcMar>
            <w:vAlign w:val="bottom"/>
          </w:tcPr>
          <w:p w14:paraId="09E0F087" w14:textId="77777777" w:rsidR="00482346" w:rsidRPr="00D13476" w:rsidRDefault="00482346" w:rsidP="00C47645">
            <w:pPr>
              <w:adjustRightInd w:val="0"/>
              <w:spacing w:before="60" w:after="60"/>
              <w:rPr>
                <w:b/>
                <w:bCs/>
                <w:color w:val="000000"/>
              </w:rPr>
            </w:pPr>
            <w:r w:rsidRPr="00D13476">
              <w:rPr>
                <w:b/>
                <w:bCs/>
                <w:color w:val="000000"/>
              </w:rPr>
              <w:t>N</w:t>
            </w:r>
          </w:p>
        </w:tc>
        <w:tc>
          <w:tcPr>
            <w:tcW w:w="584" w:type="pct"/>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15782E2F" w14:textId="77777777" w:rsidR="00482346" w:rsidRPr="00D13476" w:rsidRDefault="00482346" w:rsidP="00C47645">
            <w:pPr>
              <w:adjustRightInd w:val="0"/>
              <w:spacing w:before="60" w:after="60"/>
              <w:rPr>
                <w:b/>
                <w:bCs/>
                <w:color w:val="000000"/>
              </w:rPr>
            </w:pPr>
            <w:r w:rsidRPr="00D13476">
              <w:rPr>
                <w:b/>
                <w:bCs/>
                <w:color w:val="000000"/>
              </w:rPr>
              <w:t>Paired mean difference (Baseline minus second)</w:t>
            </w:r>
          </w:p>
        </w:tc>
        <w:tc>
          <w:tcPr>
            <w:tcW w:w="385" w:type="pct"/>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3E906AF6" w14:textId="77777777" w:rsidR="00482346" w:rsidRPr="00D13476" w:rsidRDefault="00482346" w:rsidP="00C47645">
            <w:pPr>
              <w:adjustRightInd w:val="0"/>
              <w:spacing w:before="60" w:after="60"/>
              <w:rPr>
                <w:b/>
                <w:bCs/>
                <w:color w:val="000000"/>
              </w:rPr>
            </w:pPr>
            <w:r w:rsidRPr="00D13476">
              <w:rPr>
                <w:b/>
                <w:bCs/>
                <w:color w:val="000000"/>
              </w:rPr>
              <w:t>Lower CI</w:t>
            </w:r>
          </w:p>
        </w:tc>
        <w:tc>
          <w:tcPr>
            <w:tcW w:w="443" w:type="pct"/>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45642773" w14:textId="77777777" w:rsidR="00482346" w:rsidRPr="00D13476" w:rsidRDefault="00482346" w:rsidP="00C47645">
            <w:pPr>
              <w:adjustRightInd w:val="0"/>
              <w:spacing w:before="60" w:after="60"/>
              <w:rPr>
                <w:b/>
                <w:bCs/>
                <w:color w:val="000000"/>
              </w:rPr>
            </w:pPr>
            <w:r w:rsidRPr="00D13476">
              <w:rPr>
                <w:b/>
                <w:bCs/>
                <w:color w:val="000000"/>
              </w:rPr>
              <w:t>Upper CI</w:t>
            </w:r>
          </w:p>
        </w:tc>
        <w:tc>
          <w:tcPr>
            <w:tcW w:w="493" w:type="pct"/>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2E4A3694" w14:textId="77777777" w:rsidR="00482346" w:rsidRPr="00D13476" w:rsidRDefault="00482346" w:rsidP="00C47645">
            <w:pPr>
              <w:adjustRightInd w:val="0"/>
              <w:spacing w:before="60" w:after="60"/>
              <w:rPr>
                <w:b/>
                <w:bCs/>
                <w:color w:val="000000"/>
              </w:rPr>
            </w:pPr>
            <w:r w:rsidRPr="00D13476">
              <w:rPr>
                <w:b/>
                <w:bCs/>
                <w:color w:val="000000"/>
              </w:rPr>
              <w:t>Baseline SD</w:t>
            </w:r>
          </w:p>
        </w:tc>
        <w:tc>
          <w:tcPr>
            <w:tcW w:w="358" w:type="pct"/>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701C9066" w14:textId="77777777" w:rsidR="00482346" w:rsidRPr="00D13476" w:rsidRDefault="00482346" w:rsidP="00C47645">
            <w:pPr>
              <w:adjustRightInd w:val="0"/>
              <w:spacing w:before="60" w:after="60"/>
              <w:rPr>
                <w:b/>
                <w:bCs/>
                <w:color w:val="000000"/>
              </w:rPr>
            </w:pPr>
            <w:r w:rsidRPr="00D13476">
              <w:rPr>
                <w:b/>
                <w:bCs/>
                <w:color w:val="000000"/>
              </w:rPr>
              <w:t>Effect Size</w:t>
            </w:r>
          </w:p>
        </w:tc>
        <w:tc>
          <w:tcPr>
            <w:tcW w:w="348" w:type="pct"/>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12DC8195" w14:textId="77777777" w:rsidR="00482346" w:rsidRPr="00D13476" w:rsidRDefault="00482346" w:rsidP="00C47645">
            <w:pPr>
              <w:adjustRightInd w:val="0"/>
              <w:spacing w:before="60" w:after="60"/>
              <w:rPr>
                <w:b/>
                <w:bCs/>
                <w:color w:val="000000"/>
              </w:rPr>
            </w:pPr>
          </w:p>
        </w:tc>
        <w:tc>
          <w:tcPr>
            <w:tcW w:w="191" w:type="pct"/>
            <w:tcBorders>
              <w:top w:val="single" w:sz="6" w:space="0" w:color="000000"/>
              <w:left w:val="single" w:sz="2" w:space="0" w:color="000000"/>
              <w:bottom w:val="single" w:sz="2" w:space="0" w:color="000000"/>
              <w:right w:val="nil"/>
            </w:tcBorders>
            <w:shd w:val="clear" w:color="auto" w:fill="BBBBBB"/>
            <w:tcMar>
              <w:left w:w="60" w:type="dxa"/>
              <w:right w:w="60" w:type="dxa"/>
            </w:tcMar>
            <w:vAlign w:val="bottom"/>
          </w:tcPr>
          <w:p w14:paraId="3063F397" w14:textId="77777777" w:rsidR="00482346" w:rsidRPr="00D13476" w:rsidRDefault="00482346" w:rsidP="00C47645">
            <w:pPr>
              <w:adjustRightInd w:val="0"/>
              <w:spacing w:before="60" w:after="60"/>
              <w:rPr>
                <w:b/>
                <w:bCs/>
                <w:color w:val="000000"/>
              </w:rPr>
            </w:pPr>
          </w:p>
        </w:tc>
        <w:tc>
          <w:tcPr>
            <w:tcW w:w="675" w:type="pct"/>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0584C61F" w14:textId="77777777" w:rsidR="00482346" w:rsidRPr="00D13476" w:rsidRDefault="00482346" w:rsidP="00C47645">
            <w:pPr>
              <w:adjustRightInd w:val="0"/>
              <w:spacing w:before="60" w:after="60"/>
              <w:rPr>
                <w:b/>
                <w:bCs/>
                <w:color w:val="000000"/>
              </w:rPr>
            </w:pPr>
            <w:r w:rsidRPr="00D13476">
              <w:rPr>
                <w:b/>
                <w:bCs/>
                <w:color w:val="000000"/>
              </w:rPr>
              <w:t xml:space="preserve">P value </w:t>
            </w:r>
          </w:p>
        </w:tc>
        <w:tc>
          <w:tcPr>
            <w:tcW w:w="766" w:type="pct"/>
            <w:tcBorders>
              <w:top w:val="single" w:sz="6" w:space="0" w:color="000000"/>
              <w:left w:val="single" w:sz="2" w:space="0" w:color="000000"/>
              <w:bottom w:val="single" w:sz="2" w:space="0" w:color="000000"/>
              <w:right w:val="single" w:sz="6" w:space="0" w:color="000000"/>
            </w:tcBorders>
            <w:shd w:val="clear" w:color="auto" w:fill="BBBBBB"/>
          </w:tcPr>
          <w:p w14:paraId="51B133B4" w14:textId="77777777" w:rsidR="00482346" w:rsidRPr="00D13476" w:rsidRDefault="00482346" w:rsidP="00C47645">
            <w:pPr>
              <w:adjustRightInd w:val="0"/>
              <w:spacing w:before="60" w:after="60"/>
              <w:rPr>
                <w:b/>
                <w:bCs/>
                <w:color w:val="000000"/>
              </w:rPr>
            </w:pPr>
            <w:r w:rsidRPr="00D13476">
              <w:rPr>
                <w:b/>
                <w:bCs/>
                <w:color w:val="000000"/>
              </w:rPr>
              <w:t>Effect size category</w:t>
            </w:r>
          </w:p>
        </w:tc>
      </w:tr>
      <w:tr w:rsidR="00482346" w:rsidRPr="00D13476" w14:paraId="4329B3A1" w14:textId="77777777" w:rsidTr="00C47645">
        <w:trPr>
          <w:cantSplit/>
        </w:trPr>
        <w:tc>
          <w:tcPr>
            <w:tcW w:w="547" w:type="pct"/>
            <w:tcBorders>
              <w:top w:val="nil"/>
              <w:left w:val="single" w:sz="6" w:space="0" w:color="000000"/>
              <w:bottom w:val="single" w:sz="6" w:space="0" w:color="000000"/>
              <w:right w:val="nil"/>
            </w:tcBorders>
            <w:shd w:val="clear" w:color="auto" w:fill="FFFFFF"/>
          </w:tcPr>
          <w:p w14:paraId="6964900A" w14:textId="77777777" w:rsidR="00482346" w:rsidRPr="00D13476" w:rsidRDefault="00482346" w:rsidP="00C47645">
            <w:pPr>
              <w:adjustRightInd w:val="0"/>
              <w:spacing w:before="60" w:after="60"/>
              <w:rPr>
                <w:color w:val="000000"/>
              </w:rPr>
            </w:pPr>
            <w:r w:rsidRPr="00D13476">
              <w:rPr>
                <w:rFonts w:cs="Arial"/>
              </w:rPr>
              <w:t>Bowel symptoms (non- stoma)</w:t>
            </w:r>
          </w:p>
        </w:tc>
        <w:tc>
          <w:tcPr>
            <w:tcW w:w="210" w:type="pct"/>
            <w:tcBorders>
              <w:top w:val="nil"/>
              <w:left w:val="single" w:sz="6" w:space="0" w:color="000000"/>
              <w:bottom w:val="single" w:sz="6" w:space="0" w:color="000000"/>
              <w:right w:val="nil"/>
            </w:tcBorders>
            <w:shd w:val="clear" w:color="auto" w:fill="FFFFFF"/>
            <w:tcMar>
              <w:left w:w="60" w:type="dxa"/>
              <w:right w:w="60" w:type="dxa"/>
            </w:tcMar>
          </w:tcPr>
          <w:p w14:paraId="51F6B1CA" w14:textId="77777777" w:rsidR="00482346" w:rsidRPr="00D13476" w:rsidRDefault="00482346" w:rsidP="00C47645">
            <w:pPr>
              <w:adjustRightInd w:val="0"/>
              <w:spacing w:before="60" w:after="60"/>
              <w:rPr>
                <w:color w:val="000000"/>
              </w:rPr>
            </w:pPr>
            <w:r w:rsidRPr="00D13476">
              <w:rPr>
                <w:color w:val="000000"/>
              </w:rPr>
              <w:t>22</w:t>
            </w:r>
          </w:p>
        </w:tc>
        <w:tc>
          <w:tcPr>
            <w:tcW w:w="584" w:type="pct"/>
            <w:tcBorders>
              <w:top w:val="nil"/>
              <w:left w:val="single" w:sz="2" w:space="0" w:color="000000"/>
              <w:bottom w:val="single" w:sz="6" w:space="0" w:color="000000"/>
              <w:right w:val="nil"/>
            </w:tcBorders>
            <w:shd w:val="clear" w:color="auto" w:fill="FFFFFF"/>
            <w:tcMar>
              <w:left w:w="60" w:type="dxa"/>
              <w:right w:w="60" w:type="dxa"/>
            </w:tcMar>
          </w:tcPr>
          <w:p w14:paraId="000F6A47" w14:textId="77777777" w:rsidR="00482346" w:rsidRPr="00D13476" w:rsidRDefault="00482346" w:rsidP="00C47645">
            <w:pPr>
              <w:adjustRightInd w:val="0"/>
              <w:spacing w:before="60" w:after="60"/>
              <w:rPr>
                <w:color w:val="000000"/>
              </w:rPr>
            </w:pPr>
            <w:r w:rsidRPr="00D13476">
              <w:rPr>
                <w:color w:val="000000"/>
              </w:rPr>
              <w:t>-17.9</w:t>
            </w:r>
          </w:p>
        </w:tc>
        <w:tc>
          <w:tcPr>
            <w:tcW w:w="385" w:type="pct"/>
            <w:tcBorders>
              <w:top w:val="nil"/>
              <w:left w:val="single" w:sz="2" w:space="0" w:color="000000"/>
              <w:bottom w:val="single" w:sz="6" w:space="0" w:color="000000"/>
              <w:right w:val="nil"/>
            </w:tcBorders>
            <w:shd w:val="clear" w:color="auto" w:fill="FFFFFF"/>
            <w:tcMar>
              <w:left w:w="60" w:type="dxa"/>
              <w:right w:w="60" w:type="dxa"/>
            </w:tcMar>
          </w:tcPr>
          <w:p w14:paraId="6A6CDBBD" w14:textId="77777777" w:rsidR="00482346" w:rsidRPr="00D13476" w:rsidRDefault="00482346" w:rsidP="00C47645">
            <w:pPr>
              <w:adjustRightInd w:val="0"/>
              <w:spacing w:before="60" w:after="60"/>
              <w:rPr>
                <w:color w:val="000000"/>
              </w:rPr>
            </w:pPr>
            <w:r w:rsidRPr="00D13476">
              <w:rPr>
                <w:color w:val="000000"/>
              </w:rPr>
              <w:t>-27.7</w:t>
            </w:r>
          </w:p>
        </w:tc>
        <w:tc>
          <w:tcPr>
            <w:tcW w:w="443" w:type="pct"/>
            <w:tcBorders>
              <w:top w:val="nil"/>
              <w:left w:val="single" w:sz="2" w:space="0" w:color="000000"/>
              <w:bottom w:val="single" w:sz="6" w:space="0" w:color="000000"/>
              <w:right w:val="nil"/>
            </w:tcBorders>
            <w:shd w:val="clear" w:color="auto" w:fill="FFFFFF"/>
            <w:tcMar>
              <w:left w:w="60" w:type="dxa"/>
              <w:right w:w="60" w:type="dxa"/>
            </w:tcMar>
          </w:tcPr>
          <w:p w14:paraId="6D36D978" w14:textId="77777777" w:rsidR="00482346" w:rsidRPr="00D13476" w:rsidRDefault="00482346" w:rsidP="00C47645">
            <w:pPr>
              <w:adjustRightInd w:val="0"/>
              <w:spacing w:before="60" w:after="60"/>
              <w:rPr>
                <w:color w:val="000000"/>
              </w:rPr>
            </w:pPr>
            <w:r w:rsidRPr="00D13476">
              <w:rPr>
                <w:color w:val="000000"/>
              </w:rPr>
              <w:t>-8.1</w:t>
            </w:r>
          </w:p>
        </w:tc>
        <w:tc>
          <w:tcPr>
            <w:tcW w:w="493" w:type="pct"/>
            <w:tcBorders>
              <w:top w:val="nil"/>
              <w:left w:val="single" w:sz="2" w:space="0" w:color="000000"/>
              <w:bottom w:val="single" w:sz="6" w:space="0" w:color="000000"/>
              <w:right w:val="nil"/>
            </w:tcBorders>
            <w:shd w:val="clear" w:color="auto" w:fill="FFFFFF"/>
            <w:tcMar>
              <w:left w:w="60" w:type="dxa"/>
              <w:right w:w="60" w:type="dxa"/>
            </w:tcMar>
          </w:tcPr>
          <w:p w14:paraId="6C41C913" w14:textId="77777777" w:rsidR="00482346" w:rsidRPr="00D13476" w:rsidRDefault="00482346" w:rsidP="00C47645">
            <w:pPr>
              <w:adjustRightInd w:val="0"/>
              <w:spacing w:before="60" w:after="60"/>
              <w:rPr>
                <w:color w:val="000000"/>
              </w:rPr>
            </w:pPr>
            <w:r w:rsidRPr="00D13476">
              <w:rPr>
                <w:color w:val="000000"/>
              </w:rPr>
              <w:t>26.6</w:t>
            </w:r>
          </w:p>
        </w:tc>
        <w:tc>
          <w:tcPr>
            <w:tcW w:w="358" w:type="pct"/>
            <w:tcBorders>
              <w:top w:val="nil"/>
              <w:left w:val="single" w:sz="2" w:space="0" w:color="000000"/>
              <w:bottom w:val="single" w:sz="6" w:space="0" w:color="000000"/>
              <w:right w:val="nil"/>
            </w:tcBorders>
            <w:shd w:val="clear" w:color="auto" w:fill="FFFFFF"/>
            <w:tcMar>
              <w:left w:w="60" w:type="dxa"/>
              <w:right w:w="60" w:type="dxa"/>
            </w:tcMar>
          </w:tcPr>
          <w:p w14:paraId="32CBE11A" w14:textId="77777777" w:rsidR="00482346" w:rsidRPr="00D13476" w:rsidRDefault="00482346" w:rsidP="00C47645">
            <w:pPr>
              <w:adjustRightInd w:val="0"/>
              <w:spacing w:before="60" w:after="60"/>
              <w:rPr>
                <w:color w:val="000000"/>
              </w:rPr>
            </w:pPr>
            <w:r w:rsidRPr="00D13476">
              <w:rPr>
                <w:color w:val="000000"/>
              </w:rPr>
              <w:t>-0.7</w:t>
            </w:r>
          </w:p>
        </w:tc>
        <w:tc>
          <w:tcPr>
            <w:tcW w:w="348" w:type="pct"/>
            <w:tcBorders>
              <w:top w:val="nil"/>
              <w:left w:val="single" w:sz="2" w:space="0" w:color="000000"/>
              <w:bottom w:val="single" w:sz="6" w:space="0" w:color="000000"/>
              <w:right w:val="nil"/>
            </w:tcBorders>
            <w:shd w:val="clear" w:color="auto" w:fill="FFFFFF"/>
            <w:tcMar>
              <w:left w:w="60" w:type="dxa"/>
              <w:right w:w="60" w:type="dxa"/>
            </w:tcMar>
          </w:tcPr>
          <w:p w14:paraId="52877E62" w14:textId="77777777" w:rsidR="00482346" w:rsidRPr="00D13476" w:rsidRDefault="00482346" w:rsidP="00C47645">
            <w:pPr>
              <w:adjustRightInd w:val="0"/>
              <w:spacing w:before="60" w:after="60"/>
              <w:rPr>
                <w:color w:val="000000"/>
              </w:rPr>
            </w:pPr>
          </w:p>
        </w:tc>
        <w:tc>
          <w:tcPr>
            <w:tcW w:w="191" w:type="pct"/>
            <w:tcBorders>
              <w:top w:val="nil"/>
              <w:left w:val="single" w:sz="2" w:space="0" w:color="000000"/>
              <w:bottom w:val="single" w:sz="6" w:space="0" w:color="000000"/>
              <w:right w:val="nil"/>
            </w:tcBorders>
            <w:shd w:val="clear" w:color="auto" w:fill="FFFFFF"/>
            <w:tcMar>
              <w:left w:w="60" w:type="dxa"/>
              <w:right w:w="60" w:type="dxa"/>
            </w:tcMar>
          </w:tcPr>
          <w:p w14:paraId="33084A92" w14:textId="77777777" w:rsidR="00482346" w:rsidRPr="00D13476" w:rsidRDefault="00482346" w:rsidP="00C47645">
            <w:pPr>
              <w:adjustRightInd w:val="0"/>
              <w:spacing w:before="60" w:after="60"/>
              <w:rPr>
                <w:color w:val="000000"/>
              </w:rPr>
            </w:pPr>
          </w:p>
        </w:tc>
        <w:tc>
          <w:tcPr>
            <w:tcW w:w="675" w:type="pct"/>
            <w:tcBorders>
              <w:top w:val="nil"/>
              <w:left w:val="single" w:sz="2" w:space="0" w:color="000000"/>
              <w:bottom w:val="single" w:sz="6" w:space="0" w:color="000000"/>
              <w:right w:val="single" w:sz="6" w:space="0" w:color="000000"/>
            </w:tcBorders>
            <w:shd w:val="clear" w:color="auto" w:fill="FFFFFF"/>
            <w:tcMar>
              <w:left w:w="60" w:type="dxa"/>
              <w:right w:w="60" w:type="dxa"/>
            </w:tcMar>
          </w:tcPr>
          <w:p w14:paraId="60219C21" w14:textId="77777777" w:rsidR="00482346" w:rsidRPr="00D13476" w:rsidRDefault="00482346" w:rsidP="00C47645">
            <w:pPr>
              <w:adjustRightInd w:val="0"/>
              <w:spacing w:before="60" w:after="60"/>
              <w:rPr>
                <w:color w:val="000000"/>
              </w:rPr>
            </w:pPr>
            <w:r w:rsidRPr="00D13476">
              <w:rPr>
                <w:color w:val="000000"/>
              </w:rPr>
              <w:t>0.0011</w:t>
            </w:r>
          </w:p>
        </w:tc>
        <w:tc>
          <w:tcPr>
            <w:tcW w:w="766" w:type="pct"/>
            <w:tcBorders>
              <w:top w:val="nil"/>
              <w:left w:val="single" w:sz="2" w:space="0" w:color="000000"/>
              <w:bottom w:val="single" w:sz="6" w:space="0" w:color="000000"/>
              <w:right w:val="single" w:sz="6" w:space="0" w:color="000000"/>
            </w:tcBorders>
            <w:shd w:val="clear" w:color="auto" w:fill="FFFFFF"/>
          </w:tcPr>
          <w:p w14:paraId="046F76B5" w14:textId="77777777" w:rsidR="00482346" w:rsidRPr="00D13476" w:rsidRDefault="00482346" w:rsidP="00C47645">
            <w:pPr>
              <w:adjustRightInd w:val="0"/>
              <w:spacing w:before="60" w:after="60"/>
              <w:rPr>
                <w:color w:val="000000"/>
              </w:rPr>
            </w:pPr>
            <w:r w:rsidRPr="00D13476">
              <w:rPr>
                <w:color w:val="000000"/>
              </w:rPr>
              <w:t>Moderate deterioration</w:t>
            </w:r>
          </w:p>
        </w:tc>
      </w:tr>
      <w:tr w:rsidR="00482346" w:rsidRPr="00D13476" w14:paraId="1D7A4F60" w14:textId="77777777" w:rsidTr="00C47645">
        <w:trPr>
          <w:cantSplit/>
        </w:trPr>
        <w:tc>
          <w:tcPr>
            <w:tcW w:w="547" w:type="pct"/>
            <w:tcBorders>
              <w:top w:val="single" w:sz="4" w:space="0" w:color="auto"/>
              <w:left w:val="single" w:sz="6" w:space="0" w:color="000000"/>
              <w:bottom w:val="single" w:sz="6" w:space="0" w:color="000000"/>
              <w:right w:val="nil"/>
            </w:tcBorders>
            <w:shd w:val="clear" w:color="auto" w:fill="FFFFFF"/>
          </w:tcPr>
          <w:p w14:paraId="31DCF1F8" w14:textId="77777777" w:rsidR="00482346" w:rsidRPr="00D13476" w:rsidRDefault="00482346" w:rsidP="00C47645">
            <w:pPr>
              <w:adjustRightInd w:val="0"/>
              <w:spacing w:before="60" w:after="60"/>
              <w:rPr>
                <w:color w:val="000000"/>
              </w:rPr>
            </w:pPr>
            <w:r w:rsidRPr="00D13476">
              <w:rPr>
                <w:rFonts w:cs="Arial"/>
              </w:rPr>
              <w:t>Pain / discomfort</w:t>
            </w:r>
          </w:p>
        </w:tc>
        <w:tc>
          <w:tcPr>
            <w:tcW w:w="210" w:type="pct"/>
            <w:tcBorders>
              <w:top w:val="single" w:sz="4" w:space="0" w:color="auto"/>
              <w:left w:val="single" w:sz="6" w:space="0" w:color="000000"/>
              <w:bottom w:val="single" w:sz="6" w:space="0" w:color="000000"/>
              <w:right w:val="nil"/>
            </w:tcBorders>
            <w:shd w:val="clear" w:color="auto" w:fill="FFFFFF"/>
            <w:tcMar>
              <w:left w:w="60" w:type="dxa"/>
              <w:right w:w="60" w:type="dxa"/>
            </w:tcMar>
          </w:tcPr>
          <w:p w14:paraId="043B7FB4" w14:textId="77777777" w:rsidR="00482346" w:rsidRPr="00D13476" w:rsidRDefault="00482346" w:rsidP="00C47645">
            <w:pPr>
              <w:adjustRightInd w:val="0"/>
              <w:spacing w:before="60" w:after="60"/>
              <w:rPr>
                <w:color w:val="000000"/>
              </w:rPr>
            </w:pPr>
            <w:r w:rsidRPr="00D13476">
              <w:rPr>
                <w:color w:val="000000"/>
              </w:rPr>
              <w:t>29</w:t>
            </w:r>
          </w:p>
        </w:tc>
        <w:tc>
          <w:tcPr>
            <w:tcW w:w="584"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799ED03D" w14:textId="77777777" w:rsidR="00482346" w:rsidRPr="00D13476" w:rsidRDefault="00482346" w:rsidP="00C47645">
            <w:pPr>
              <w:adjustRightInd w:val="0"/>
              <w:spacing w:before="60" w:after="60"/>
              <w:rPr>
                <w:color w:val="000000"/>
              </w:rPr>
            </w:pPr>
            <w:r w:rsidRPr="00D13476">
              <w:rPr>
                <w:color w:val="000000"/>
              </w:rPr>
              <w:t>-34.9</w:t>
            </w:r>
          </w:p>
        </w:tc>
        <w:tc>
          <w:tcPr>
            <w:tcW w:w="385"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5CA7A8AC" w14:textId="77777777" w:rsidR="00482346" w:rsidRPr="00D13476" w:rsidRDefault="00482346" w:rsidP="00C47645">
            <w:pPr>
              <w:adjustRightInd w:val="0"/>
              <w:spacing w:before="60" w:after="60"/>
              <w:rPr>
                <w:color w:val="000000"/>
              </w:rPr>
            </w:pPr>
            <w:r w:rsidRPr="00D13476">
              <w:rPr>
                <w:color w:val="000000"/>
              </w:rPr>
              <w:t>-47.0</w:t>
            </w:r>
          </w:p>
        </w:tc>
        <w:tc>
          <w:tcPr>
            <w:tcW w:w="443"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26FEB9B5" w14:textId="77777777" w:rsidR="00482346" w:rsidRPr="00D13476" w:rsidRDefault="00482346" w:rsidP="00C47645">
            <w:pPr>
              <w:adjustRightInd w:val="0"/>
              <w:spacing w:before="60" w:after="60"/>
              <w:rPr>
                <w:color w:val="000000"/>
              </w:rPr>
            </w:pPr>
            <w:r w:rsidRPr="00D13476">
              <w:rPr>
                <w:color w:val="000000"/>
              </w:rPr>
              <w:t>-22.8</w:t>
            </w:r>
          </w:p>
        </w:tc>
        <w:tc>
          <w:tcPr>
            <w:tcW w:w="493"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15272BD3" w14:textId="77777777" w:rsidR="00482346" w:rsidRPr="00D13476" w:rsidRDefault="00482346" w:rsidP="00C47645">
            <w:pPr>
              <w:adjustRightInd w:val="0"/>
              <w:spacing w:before="60" w:after="60"/>
              <w:rPr>
                <w:color w:val="000000"/>
              </w:rPr>
            </w:pPr>
            <w:r w:rsidRPr="00D13476">
              <w:rPr>
                <w:color w:val="000000"/>
              </w:rPr>
              <w:t>26.8</w:t>
            </w:r>
          </w:p>
        </w:tc>
        <w:tc>
          <w:tcPr>
            <w:tcW w:w="358"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1AC8F3AE" w14:textId="77777777" w:rsidR="00482346" w:rsidRPr="00D13476" w:rsidRDefault="00482346" w:rsidP="00C47645">
            <w:pPr>
              <w:adjustRightInd w:val="0"/>
              <w:spacing w:before="60" w:after="60"/>
              <w:rPr>
                <w:color w:val="000000"/>
              </w:rPr>
            </w:pPr>
            <w:r w:rsidRPr="00D13476">
              <w:rPr>
                <w:color w:val="000000"/>
              </w:rPr>
              <w:t>-1.3</w:t>
            </w:r>
          </w:p>
        </w:tc>
        <w:tc>
          <w:tcPr>
            <w:tcW w:w="348"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2A390C44" w14:textId="77777777" w:rsidR="00482346" w:rsidRPr="00D13476" w:rsidRDefault="00482346" w:rsidP="00C47645">
            <w:pPr>
              <w:adjustRightInd w:val="0"/>
              <w:spacing w:before="60" w:after="60"/>
              <w:rPr>
                <w:color w:val="000000"/>
              </w:rPr>
            </w:pPr>
          </w:p>
        </w:tc>
        <w:tc>
          <w:tcPr>
            <w:tcW w:w="191"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69984D10" w14:textId="77777777" w:rsidR="00482346" w:rsidRPr="00D13476" w:rsidRDefault="00482346" w:rsidP="00C47645">
            <w:pPr>
              <w:adjustRightInd w:val="0"/>
              <w:spacing w:before="60" w:after="60"/>
              <w:rPr>
                <w:color w:val="000000"/>
              </w:rPr>
            </w:pPr>
          </w:p>
        </w:tc>
        <w:tc>
          <w:tcPr>
            <w:tcW w:w="675" w:type="pct"/>
            <w:tcBorders>
              <w:top w:val="single" w:sz="4" w:space="0" w:color="auto"/>
              <w:left w:val="single" w:sz="2" w:space="0" w:color="000000"/>
              <w:bottom w:val="single" w:sz="6" w:space="0" w:color="000000"/>
              <w:right w:val="single" w:sz="6" w:space="0" w:color="000000"/>
            </w:tcBorders>
            <w:shd w:val="clear" w:color="auto" w:fill="FFFFFF"/>
            <w:tcMar>
              <w:left w:w="60" w:type="dxa"/>
              <w:right w:w="60" w:type="dxa"/>
            </w:tcMar>
          </w:tcPr>
          <w:p w14:paraId="12D16024" w14:textId="77777777" w:rsidR="00482346" w:rsidRPr="00D13476" w:rsidRDefault="00482346" w:rsidP="00C47645">
            <w:pPr>
              <w:adjustRightInd w:val="0"/>
              <w:spacing w:before="60" w:after="60"/>
              <w:rPr>
                <w:color w:val="000000"/>
              </w:rPr>
            </w:pPr>
            <w:r w:rsidRPr="00D13476">
              <w:rPr>
                <w:color w:val="000000"/>
              </w:rPr>
              <w:t>&lt;.0001</w:t>
            </w:r>
          </w:p>
        </w:tc>
        <w:tc>
          <w:tcPr>
            <w:tcW w:w="766" w:type="pct"/>
            <w:tcBorders>
              <w:top w:val="single" w:sz="4" w:space="0" w:color="auto"/>
              <w:left w:val="single" w:sz="2" w:space="0" w:color="000000"/>
              <w:bottom w:val="single" w:sz="6" w:space="0" w:color="000000"/>
              <w:right w:val="single" w:sz="6" w:space="0" w:color="000000"/>
            </w:tcBorders>
            <w:shd w:val="clear" w:color="auto" w:fill="FFFFFF"/>
          </w:tcPr>
          <w:p w14:paraId="05620C30" w14:textId="77777777" w:rsidR="00482346" w:rsidRPr="00D13476" w:rsidRDefault="00482346" w:rsidP="00C47645">
            <w:pPr>
              <w:adjustRightInd w:val="0"/>
              <w:spacing w:before="60" w:after="60"/>
              <w:rPr>
                <w:color w:val="000000"/>
              </w:rPr>
            </w:pPr>
            <w:r w:rsidRPr="00D13476">
              <w:rPr>
                <w:color w:val="000000"/>
              </w:rPr>
              <w:t>Large deterioration</w:t>
            </w:r>
          </w:p>
        </w:tc>
      </w:tr>
      <w:tr w:rsidR="00482346" w:rsidRPr="00D13476" w14:paraId="751A3742" w14:textId="77777777" w:rsidTr="00C47645">
        <w:trPr>
          <w:cantSplit/>
        </w:trPr>
        <w:tc>
          <w:tcPr>
            <w:tcW w:w="547" w:type="pct"/>
            <w:tcBorders>
              <w:top w:val="single" w:sz="4" w:space="0" w:color="auto"/>
              <w:left w:val="single" w:sz="6" w:space="0" w:color="000000"/>
              <w:bottom w:val="single" w:sz="6" w:space="0" w:color="000000"/>
              <w:right w:val="nil"/>
            </w:tcBorders>
            <w:shd w:val="clear" w:color="auto" w:fill="FFFFFF"/>
          </w:tcPr>
          <w:p w14:paraId="7843E9B7" w14:textId="77777777" w:rsidR="00482346" w:rsidRPr="00D13476" w:rsidRDefault="00482346" w:rsidP="00C47645">
            <w:pPr>
              <w:adjustRightInd w:val="0"/>
              <w:spacing w:before="60" w:after="60"/>
              <w:rPr>
                <w:color w:val="000000"/>
              </w:rPr>
            </w:pPr>
            <w:r w:rsidRPr="00D13476">
              <w:rPr>
                <w:rFonts w:cs="Arial"/>
              </w:rPr>
              <w:t>Vaginal symptoms</w:t>
            </w:r>
          </w:p>
        </w:tc>
        <w:tc>
          <w:tcPr>
            <w:tcW w:w="210" w:type="pct"/>
            <w:tcBorders>
              <w:top w:val="single" w:sz="4" w:space="0" w:color="auto"/>
              <w:left w:val="single" w:sz="6" w:space="0" w:color="000000"/>
              <w:bottom w:val="single" w:sz="6" w:space="0" w:color="000000"/>
              <w:right w:val="nil"/>
            </w:tcBorders>
            <w:shd w:val="clear" w:color="auto" w:fill="FFFFFF"/>
            <w:tcMar>
              <w:left w:w="60" w:type="dxa"/>
              <w:right w:w="60" w:type="dxa"/>
            </w:tcMar>
          </w:tcPr>
          <w:p w14:paraId="606A1B7F" w14:textId="77777777" w:rsidR="00482346" w:rsidRPr="00D13476" w:rsidRDefault="00482346" w:rsidP="00C47645">
            <w:pPr>
              <w:adjustRightInd w:val="0"/>
              <w:spacing w:before="60" w:after="60"/>
              <w:rPr>
                <w:color w:val="000000"/>
              </w:rPr>
            </w:pPr>
            <w:r w:rsidRPr="00D13476">
              <w:rPr>
                <w:color w:val="000000"/>
              </w:rPr>
              <w:t>20</w:t>
            </w:r>
          </w:p>
        </w:tc>
        <w:tc>
          <w:tcPr>
            <w:tcW w:w="584"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61ADC774" w14:textId="77777777" w:rsidR="00482346" w:rsidRPr="00D13476" w:rsidRDefault="00482346" w:rsidP="00C47645">
            <w:pPr>
              <w:adjustRightInd w:val="0"/>
              <w:spacing w:before="60" w:after="60"/>
              <w:rPr>
                <w:color w:val="000000"/>
              </w:rPr>
            </w:pPr>
            <w:r w:rsidRPr="00D13476">
              <w:rPr>
                <w:color w:val="000000"/>
              </w:rPr>
              <w:t>-31.7</w:t>
            </w:r>
          </w:p>
        </w:tc>
        <w:tc>
          <w:tcPr>
            <w:tcW w:w="385"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62C991B1" w14:textId="77777777" w:rsidR="00482346" w:rsidRPr="00D13476" w:rsidRDefault="00482346" w:rsidP="00C47645">
            <w:pPr>
              <w:adjustRightInd w:val="0"/>
              <w:spacing w:before="60" w:after="60"/>
              <w:rPr>
                <w:color w:val="000000"/>
              </w:rPr>
            </w:pPr>
            <w:r w:rsidRPr="00D13476">
              <w:rPr>
                <w:color w:val="000000"/>
              </w:rPr>
              <w:t>-48.7</w:t>
            </w:r>
          </w:p>
        </w:tc>
        <w:tc>
          <w:tcPr>
            <w:tcW w:w="443"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69E72A5C" w14:textId="77777777" w:rsidR="00482346" w:rsidRPr="00D13476" w:rsidRDefault="00482346" w:rsidP="00C47645">
            <w:pPr>
              <w:adjustRightInd w:val="0"/>
              <w:spacing w:before="60" w:after="60"/>
              <w:rPr>
                <w:color w:val="000000"/>
              </w:rPr>
            </w:pPr>
            <w:r w:rsidRPr="00D13476">
              <w:rPr>
                <w:color w:val="000000"/>
              </w:rPr>
              <w:t>-14.6</w:t>
            </w:r>
          </w:p>
        </w:tc>
        <w:tc>
          <w:tcPr>
            <w:tcW w:w="493"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6450FD50" w14:textId="77777777" w:rsidR="00482346" w:rsidRPr="00D13476" w:rsidRDefault="00482346" w:rsidP="00C47645">
            <w:pPr>
              <w:adjustRightInd w:val="0"/>
              <w:spacing w:before="60" w:after="60"/>
              <w:rPr>
                <w:color w:val="000000"/>
              </w:rPr>
            </w:pPr>
            <w:r w:rsidRPr="00D13476">
              <w:rPr>
                <w:color w:val="000000"/>
              </w:rPr>
              <w:t>20.2</w:t>
            </w:r>
          </w:p>
        </w:tc>
        <w:tc>
          <w:tcPr>
            <w:tcW w:w="358"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1212C380" w14:textId="77777777" w:rsidR="00482346" w:rsidRPr="00D13476" w:rsidRDefault="00482346" w:rsidP="00C47645">
            <w:pPr>
              <w:adjustRightInd w:val="0"/>
              <w:spacing w:before="60" w:after="60"/>
              <w:rPr>
                <w:color w:val="000000"/>
              </w:rPr>
            </w:pPr>
            <w:r w:rsidRPr="00D13476">
              <w:rPr>
                <w:color w:val="000000"/>
              </w:rPr>
              <w:t>-1.6</w:t>
            </w:r>
          </w:p>
        </w:tc>
        <w:tc>
          <w:tcPr>
            <w:tcW w:w="348"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74E2CC61" w14:textId="77777777" w:rsidR="00482346" w:rsidRPr="00D13476" w:rsidDel="005C5271" w:rsidRDefault="00482346" w:rsidP="00C47645">
            <w:pPr>
              <w:adjustRightInd w:val="0"/>
              <w:spacing w:before="60" w:after="60"/>
              <w:rPr>
                <w:color w:val="000000"/>
              </w:rPr>
            </w:pPr>
          </w:p>
        </w:tc>
        <w:tc>
          <w:tcPr>
            <w:tcW w:w="191" w:type="pct"/>
            <w:tcBorders>
              <w:top w:val="single" w:sz="4" w:space="0" w:color="auto"/>
              <w:left w:val="single" w:sz="2" w:space="0" w:color="000000"/>
              <w:bottom w:val="single" w:sz="6" w:space="0" w:color="000000"/>
              <w:right w:val="nil"/>
            </w:tcBorders>
            <w:shd w:val="clear" w:color="auto" w:fill="FFFFFF"/>
            <w:tcMar>
              <w:left w:w="60" w:type="dxa"/>
              <w:right w:w="60" w:type="dxa"/>
            </w:tcMar>
          </w:tcPr>
          <w:p w14:paraId="3BC79EFF" w14:textId="77777777" w:rsidR="00482346" w:rsidRPr="00D13476" w:rsidDel="005C5271" w:rsidRDefault="00482346" w:rsidP="00C47645">
            <w:pPr>
              <w:adjustRightInd w:val="0"/>
              <w:spacing w:before="60" w:after="60"/>
              <w:rPr>
                <w:color w:val="000000"/>
              </w:rPr>
            </w:pPr>
          </w:p>
        </w:tc>
        <w:tc>
          <w:tcPr>
            <w:tcW w:w="675" w:type="pct"/>
            <w:tcBorders>
              <w:top w:val="single" w:sz="4" w:space="0" w:color="auto"/>
              <w:left w:val="single" w:sz="2" w:space="0" w:color="000000"/>
              <w:bottom w:val="single" w:sz="6" w:space="0" w:color="000000"/>
              <w:right w:val="single" w:sz="6" w:space="0" w:color="000000"/>
            </w:tcBorders>
            <w:shd w:val="clear" w:color="auto" w:fill="FFFFFF"/>
            <w:tcMar>
              <w:left w:w="60" w:type="dxa"/>
              <w:right w:w="60" w:type="dxa"/>
            </w:tcMar>
          </w:tcPr>
          <w:p w14:paraId="742B7CEB" w14:textId="77777777" w:rsidR="00482346" w:rsidRPr="00D13476" w:rsidRDefault="00482346" w:rsidP="00C47645">
            <w:pPr>
              <w:adjustRightInd w:val="0"/>
              <w:spacing w:before="60" w:after="60"/>
              <w:rPr>
                <w:color w:val="000000"/>
              </w:rPr>
            </w:pPr>
            <w:r w:rsidRPr="00D13476">
              <w:rPr>
                <w:color w:val="000000"/>
              </w:rPr>
              <w:t>0.0010</w:t>
            </w:r>
          </w:p>
        </w:tc>
        <w:tc>
          <w:tcPr>
            <w:tcW w:w="766" w:type="pct"/>
            <w:tcBorders>
              <w:top w:val="single" w:sz="4" w:space="0" w:color="auto"/>
              <w:left w:val="single" w:sz="2" w:space="0" w:color="000000"/>
              <w:bottom w:val="single" w:sz="6" w:space="0" w:color="000000"/>
              <w:right w:val="single" w:sz="6" w:space="0" w:color="000000"/>
            </w:tcBorders>
            <w:shd w:val="clear" w:color="auto" w:fill="FFFFFF"/>
          </w:tcPr>
          <w:p w14:paraId="43642CDF" w14:textId="77777777" w:rsidR="00482346" w:rsidRPr="00D13476" w:rsidRDefault="00482346" w:rsidP="00C47645">
            <w:pPr>
              <w:adjustRightInd w:val="0"/>
              <w:spacing w:before="60" w:after="60"/>
              <w:rPr>
                <w:color w:val="000000"/>
              </w:rPr>
            </w:pPr>
            <w:r w:rsidRPr="00D13476">
              <w:rPr>
                <w:color w:val="000000"/>
              </w:rPr>
              <w:t>Large deterioration</w:t>
            </w:r>
          </w:p>
        </w:tc>
      </w:tr>
      <w:bookmarkEnd w:id="8"/>
    </w:tbl>
    <w:p w14:paraId="09C6CD6D" w14:textId="77777777" w:rsidR="00482346" w:rsidRPr="00D13476" w:rsidRDefault="00482346" w:rsidP="00482346">
      <w:pPr>
        <w:pStyle w:val="Heading2"/>
      </w:pPr>
    </w:p>
    <w:p w14:paraId="2AC3782F" w14:textId="77777777" w:rsidR="00482346" w:rsidRPr="002F7C15" w:rsidRDefault="00482346" w:rsidP="00482346">
      <w:pPr>
        <w:spacing w:line="240" w:lineRule="auto"/>
        <w:rPr>
          <w:sz w:val="20"/>
          <w:szCs w:val="20"/>
        </w:rPr>
      </w:pPr>
      <w:r w:rsidRPr="00D13476">
        <w:rPr>
          <w:rStyle w:val="FootnoteReference"/>
        </w:rPr>
        <w:footnoteRef/>
      </w:r>
      <w:r w:rsidRPr="00D13476">
        <w:rPr>
          <w:sz w:val="20"/>
          <w:szCs w:val="20"/>
        </w:rPr>
        <w:t>For symptom scales a negative difference means that second timepoint had higher (worse) scores than baseline, while a positive difference means that second timepoint had lower (better) scores than baseline.</w:t>
      </w:r>
    </w:p>
    <w:p w14:paraId="27E675A6" w14:textId="77777777" w:rsidR="00482346" w:rsidRPr="00E55223" w:rsidRDefault="00482346" w:rsidP="00482346"/>
    <w:p w14:paraId="4F3C1B39" w14:textId="77777777" w:rsidR="00482346" w:rsidRDefault="00482346" w:rsidP="00482346"/>
    <w:p w14:paraId="28F505BC" w14:textId="6F10D4F1" w:rsidR="00482346" w:rsidRDefault="00482346">
      <w:r>
        <w:br w:type="page"/>
      </w:r>
    </w:p>
    <w:p w14:paraId="192D40AA" w14:textId="77777777" w:rsidR="00482346" w:rsidRPr="00131C30" w:rsidRDefault="00482346" w:rsidP="00482346">
      <w:r>
        <w:lastRenderedPageBreak/>
        <w:t xml:space="preserve">Supplementary Table 1. </w:t>
      </w:r>
      <w:r>
        <w:rPr>
          <w:rFonts w:cs="Calibri"/>
        </w:rPr>
        <w:t xml:space="preserve">Socio-demographic characteristics of the sample </w:t>
      </w:r>
    </w:p>
    <w:tbl>
      <w:tblPr>
        <w:tblW w:w="0" w:type="auto"/>
        <w:jc w:val="center"/>
        <w:tblCellMar>
          <w:left w:w="0" w:type="dxa"/>
          <w:right w:w="0" w:type="dxa"/>
        </w:tblCellMar>
        <w:tblLook w:val="0000" w:firstRow="0" w:lastRow="0" w:firstColumn="0" w:lastColumn="0" w:noHBand="0" w:noVBand="0"/>
      </w:tblPr>
      <w:tblGrid>
        <w:gridCol w:w="5225"/>
        <w:gridCol w:w="922"/>
        <w:gridCol w:w="992"/>
      </w:tblGrid>
      <w:tr w:rsidR="00482346" w14:paraId="61B36773" w14:textId="77777777" w:rsidTr="00C47645">
        <w:trPr>
          <w:cantSplit/>
          <w:trHeight w:val="410"/>
          <w:tblHeader/>
          <w:jc w:val="center"/>
        </w:trPr>
        <w:tc>
          <w:tcPr>
            <w:tcW w:w="0" w:type="auto"/>
            <w:vMerge w:val="restart"/>
            <w:tcBorders>
              <w:top w:val="single" w:sz="6" w:space="0" w:color="000000"/>
              <w:left w:val="single" w:sz="6" w:space="0" w:color="000000"/>
              <w:bottom w:val="single" w:sz="2" w:space="0" w:color="000000"/>
              <w:right w:val="nil"/>
            </w:tcBorders>
            <w:shd w:val="clear" w:color="auto" w:fill="BBBBBB"/>
            <w:tcMar>
              <w:left w:w="60" w:type="dxa"/>
              <w:right w:w="60" w:type="dxa"/>
            </w:tcMar>
            <w:vAlign w:val="center"/>
          </w:tcPr>
          <w:p w14:paraId="78166E48" w14:textId="77777777" w:rsidR="00482346" w:rsidRPr="00F24165" w:rsidRDefault="00482346" w:rsidP="00C47645">
            <w:pPr>
              <w:pStyle w:val="ListParagraph"/>
              <w:adjustRightInd w:val="0"/>
              <w:spacing w:before="60" w:after="60"/>
              <w:rPr>
                <w:b/>
                <w:bCs/>
                <w:color w:val="000000"/>
              </w:rPr>
            </w:pPr>
            <w:r w:rsidRPr="00F24165">
              <w:rPr>
                <w:b/>
                <w:bCs/>
                <w:color w:val="000000"/>
              </w:rPr>
              <w:t>Socio-demographic</w:t>
            </w:r>
            <w:r>
              <w:rPr>
                <w:b/>
                <w:bCs/>
                <w:color w:val="000000"/>
              </w:rPr>
              <w:t xml:space="preserve"> </w:t>
            </w:r>
            <w:r w:rsidRPr="00F24165">
              <w:rPr>
                <w:b/>
                <w:bCs/>
                <w:color w:val="000000"/>
              </w:rPr>
              <w:t>Attribute</w:t>
            </w:r>
          </w:p>
        </w:tc>
        <w:tc>
          <w:tcPr>
            <w:tcW w:w="1914" w:type="dxa"/>
            <w:gridSpan w:val="2"/>
            <w:vMerge w:val="restart"/>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0F91A6A9" w14:textId="77777777" w:rsidR="00482346" w:rsidRDefault="00482346" w:rsidP="00C47645">
            <w:pPr>
              <w:adjustRightInd w:val="0"/>
              <w:spacing w:before="60" w:after="60"/>
              <w:rPr>
                <w:b/>
                <w:bCs/>
                <w:color w:val="000000"/>
              </w:rPr>
            </w:pPr>
            <w:r>
              <w:rPr>
                <w:b/>
                <w:bCs/>
                <w:color w:val="000000"/>
              </w:rPr>
              <w:t>Overall Sample (N=382)</w:t>
            </w:r>
          </w:p>
        </w:tc>
      </w:tr>
      <w:tr w:rsidR="00482346" w14:paraId="72B6CE3D" w14:textId="77777777" w:rsidTr="00C47645">
        <w:trPr>
          <w:cantSplit/>
          <w:trHeight w:val="476"/>
          <w:tblHeader/>
          <w:jc w:val="center"/>
        </w:trPr>
        <w:tc>
          <w:tcPr>
            <w:tcW w:w="0" w:type="auto"/>
            <w:vMerge/>
            <w:tcBorders>
              <w:top w:val="single" w:sz="6" w:space="0" w:color="000000"/>
              <w:left w:val="single" w:sz="6" w:space="0" w:color="000000"/>
              <w:bottom w:val="single" w:sz="2" w:space="0" w:color="000000"/>
              <w:right w:val="nil"/>
            </w:tcBorders>
            <w:shd w:val="clear" w:color="auto" w:fill="BBBBBB"/>
            <w:tcMar>
              <w:left w:w="60" w:type="dxa"/>
              <w:right w:w="60" w:type="dxa"/>
            </w:tcMar>
            <w:vAlign w:val="center"/>
          </w:tcPr>
          <w:p w14:paraId="3A94A09D" w14:textId="77777777" w:rsidR="00482346" w:rsidRDefault="00482346" w:rsidP="00C47645">
            <w:pPr>
              <w:adjustRightInd w:val="0"/>
              <w:rPr>
                <w:sz w:val="24"/>
                <w:szCs w:val="24"/>
              </w:rPr>
            </w:pPr>
          </w:p>
        </w:tc>
        <w:tc>
          <w:tcPr>
            <w:tcW w:w="1914" w:type="dxa"/>
            <w:gridSpan w:val="2"/>
            <w:vMerge/>
            <w:tcBorders>
              <w:top w:val="single" w:sz="6" w:space="0" w:color="000000"/>
              <w:left w:val="single" w:sz="2" w:space="0" w:color="000000"/>
              <w:bottom w:val="single" w:sz="2" w:space="0" w:color="000000"/>
              <w:right w:val="single" w:sz="6" w:space="0" w:color="000000"/>
            </w:tcBorders>
            <w:shd w:val="clear" w:color="auto" w:fill="BBBBBB"/>
            <w:tcMar>
              <w:left w:w="60" w:type="dxa"/>
              <w:right w:w="60" w:type="dxa"/>
            </w:tcMar>
            <w:vAlign w:val="bottom"/>
          </w:tcPr>
          <w:p w14:paraId="72E267D8" w14:textId="77777777" w:rsidR="00482346" w:rsidRDefault="00482346" w:rsidP="00C47645">
            <w:pPr>
              <w:adjustRightInd w:val="0"/>
              <w:rPr>
                <w:sz w:val="24"/>
                <w:szCs w:val="24"/>
              </w:rPr>
            </w:pPr>
          </w:p>
        </w:tc>
      </w:tr>
      <w:tr w:rsidR="00482346" w14:paraId="00CCE3AC" w14:textId="77777777" w:rsidTr="00C47645">
        <w:trPr>
          <w:cantSplit/>
          <w:jc w:val="center"/>
        </w:trPr>
        <w:tc>
          <w:tcPr>
            <w:tcW w:w="0" w:type="auto"/>
            <w:vMerge w:val="restart"/>
            <w:tcBorders>
              <w:top w:val="nil"/>
              <w:left w:val="single" w:sz="6" w:space="0" w:color="000000"/>
              <w:right w:val="nil"/>
            </w:tcBorders>
            <w:shd w:val="clear" w:color="auto" w:fill="BBBBBB"/>
            <w:tcMar>
              <w:left w:w="60" w:type="dxa"/>
              <w:right w:w="60" w:type="dxa"/>
            </w:tcMar>
          </w:tcPr>
          <w:p w14:paraId="6A12F544" w14:textId="77777777" w:rsidR="00482346" w:rsidRDefault="00482346" w:rsidP="00C47645">
            <w:pPr>
              <w:adjustRightInd w:val="0"/>
              <w:spacing w:before="60" w:after="60"/>
              <w:rPr>
                <w:b/>
                <w:bCs/>
                <w:color w:val="000000"/>
              </w:rPr>
            </w:pPr>
            <w:r>
              <w:rPr>
                <w:b/>
                <w:bCs/>
                <w:color w:val="000000"/>
              </w:rPr>
              <w:t>Age (years)</w:t>
            </w: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4581C53" w14:textId="77777777" w:rsidR="00482346" w:rsidRPr="00581A6E" w:rsidRDefault="00482346" w:rsidP="00C47645">
            <w:pPr>
              <w:adjustRightInd w:val="0"/>
              <w:spacing w:before="60" w:after="60"/>
              <w:rPr>
                <w:b/>
                <w:bCs/>
                <w:color w:val="000000"/>
              </w:rPr>
            </w:pPr>
            <w:r w:rsidRPr="00581A6E">
              <w:rPr>
                <w:b/>
                <w:bCs/>
                <w:color w:val="000000"/>
              </w:rPr>
              <w:t xml:space="preserve">Mean </w:t>
            </w:r>
          </w:p>
        </w:tc>
        <w:tc>
          <w:tcPr>
            <w:tcW w:w="992" w:type="dxa"/>
            <w:tcBorders>
              <w:top w:val="nil"/>
              <w:left w:val="single" w:sz="2" w:space="0" w:color="000000"/>
              <w:bottom w:val="single" w:sz="2" w:space="0" w:color="000000"/>
              <w:right w:val="single" w:sz="6" w:space="0" w:color="000000"/>
            </w:tcBorders>
            <w:shd w:val="clear" w:color="auto" w:fill="FFFFFF"/>
            <w:vAlign w:val="bottom"/>
          </w:tcPr>
          <w:p w14:paraId="73438832" w14:textId="77777777" w:rsidR="00482346" w:rsidRPr="00581A6E" w:rsidRDefault="00482346" w:rsidP="00C47645">
            <w:pPr>
              <w:adjustRightInd w:val="0"/>
              <w:spacing w:before="60" w:after="60"/>
              <w:rPr>
                <w:b/>
                <w:bCs/>
                <w:color w:val="000000"/>
              </w:rPr>
            </w:pPr>
            <w:r w:rsidRPr="00581A6E">
              <w:rPr>
                <w:b/>
                <w:bCs/>
                <w:color w:val="000000"/>
              </w:rPr>
              <w:t>Standard deviation</w:t>
            </w:r>
          </w:p>
        </w:tc>
      </w:tr>
      <w:tr w:rsidR="00482346" w14:paraId="197206B9" w14:textId="77777777" w:rsidTr="00C47645">
        <w:trPr>
          <w:cantSplit/>
          <w:jc w:val="center"/>
        </w:trPr>
        <w:tc>
          <w:tcPr>
            <w:tcW w:w="0" w:type="auto"/>
            <w:vMerge/>
            <w:tcBorders>
              <w:left w:val="single" w:sz="6" w:space="0" w:color="000000"/>
              <w:right w:val="nil"/>
            </w:tcBorders>
            <w:shd w:val="clear" w:color="auto" w:fill="BBBBBB"/>
            <w:tcMar>
              <w:left w:w="60" w:type="dxa"/>
              <w:right w:w="60" w:type="dxa"/>
            </w:tcMar>
          </w:tcPr>
          <w:p w14:paraId="4F46FA8D" w14:textId="77777777" w:rsidR="00482346" w:rsidRPr="0013062D" w:rsidRDefault="00482346" w:rsidP="00C47645">
            <w:pPr>
              <w:adjustRightInd w:val="0"/>
              <w:spacing w:before="60" w:after="60"/>
              <w:rPr>
                <w:b/>
                <w:bCs/>
                <w:color w:val="000000"/>
              </w:rPr>
            </w:pP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106CE7C" w14:textId="77777777" w:rsidR="00482346" w:rsidRDefault="00482346" w:rsidP="00C47645">
            <w:pPr>
              <w:adjustRightInd w:val="0"/>
              <w:spacing w:before="60" w:after="60"/>
              <w:rPr>
                <w:color w:val="000000"/>
              </w:rPr>
            </w:pPr>
            <w:r>
              <w:rPr>
                <w:color w:val="000000"/>
              </w:rPr>
              <w:t>63.9</w:t>
            </w:r>
          </w:p>
        </w:tc>
        <w:tc>
          <w:tcPr>
            <w:tcW w:w="992" w:type="dxa"/>
            <w:tcBorders>
              <w:top w:val="nil"/>
              <w:left w:val="single" w:sz="2" w:space="0" w:color="000000"/>
              <w:bottom w:val="single" w:sz="2" w:space="0" w:color="000000"/>
              <w:right w:val="single" w:sz="6" w:space="0" w:color="000000"/>
            </w:tcBorders>
            <w:shd w:val="clear" w:color="auto" w:fill="FFFFFF"/>
          </w:tcPr>
          <w:p w14:paraId="2D2C597E" w14:textId="77777777" w:rsidR="00482346" w:rsidRDefault="00482346" w:rsidP="00C47645">
            <w:pPr>
              <w:adjustRightInd w:val="0"/>
              <w:spacing w:before="60" w:after="60"/>
              <w:rPr>
                <w:color w:val="000000"/>
              </w:rPr>
            </w:pPr>
            <w:r>
              <w:rPr>
                <w:color w:val="000000"/>
              </w:rPr>
              <w:t>10.44</w:t>
            </w:r>
          </w:p>
        </w:tc>
      </w:tr>
      <w:tr w:rsidR="00482346" w14:paraId="7A53FD2A" w14:textId="77777777" w:rsidTr="00C47645">
        <w:trPr>
          <w:cantSplit/>
          <w:jc w:val="center"/>
        </w:trPr>
        <w:tc>
          <w:tcPr>
            <w:tcW w:w="0" w:type="auto"/>
            <w:vMerge/>
            <w:tcBorders>
              <w:left w:val="single" w:sz="6" w:space="0" w:color="000000"/>
              <w:right w:val="nil"/>
            </w:tcBorders>
            <w:shd w:val="clear" w:color="auto" w:fill="BBBBBB"/>
            <w:tcMar>
              <w:left w:w="60" w:type="dxa"/>
              <w:right w:w="60" w:type="dxa"/>
            </w:tcMar>
          </w:tcPr>
          <w:p w14:paraId="4678B9C7" w14:textId="77777777" w:rsidR="00482346" w:rsidRPr="0013062D" w:rsidRDefault="00482346" w:rsidP="00C47645">
            <w:pPr>
              <w:adjustRightInd w:val="0"/>
              <w:spacing w:before="60" w:after="60"/>
              <w:rPr>
                <w:b/>
                <w:bCs/>
                <w:color w:val="000000"/>
              </w:rPr>
            </w:pP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207BE794" w14:textId="77777777" w:rsidR="00482346" w:rsidRPr="00581A6E" w:rsidRDefault="00482346" w:rsidP="00C47645">
            <w:pPr>
              <w:adjustRightInd w:val="0"/>
              <w:spacing w:before="60" w:after="60"/>
              <w:rPr>
                <w:b/>
                <w:bCs/>
                <w:color w:val="000000"/>
              </w:rPr>
            </w:pPr>
            <w:r w:rsidRPr="00581A6E">
              <w:rPr>
                <w:b/>
                <w:bCs/>
                <w:color w:val="000000"/>
              </w:rPr>
              <w:t>Median</w:t>
            </w:r>
          </w:p>
        </w:tc>
        <w:tc>
          <w:tcPr>
            <w:tcW w:w="992" w:type="dxa"/>
            <w:tcBorders>
              <w:top w:val="nil"/>
              <w:left w:val="single" w:sz="2" w:space="0" w:color="000000"/>
              <w:bottom w:val="single" w:sz="2" w:space="0" w:color="000000"/>
              <w:right w:val="single" w:sz="6" w:space="0" w:color="000000"/>
            </w:tcBorders>
            <w:shd w:val="clear" w:color="auto" w:fill="FFFFFF"/>
            <w:vAlign w:val="bottom"/>
          </w:tcPr>
          <w:p w14:paraId="4C6FDBE7" w14:textId="77777777" w:rsidR="00482346" w:rsidRPr="00581A6E" w:rsidRDefault="00482346" w:rsidP="00C47645">
            <w:pPr>
              <w:adjustRightInd w:val="0"/>
              <w:spacing w:before="60" w:after="60"/>
              <w:rPr>
                <w:b/>
                <w:bCs/>
                <w:color w:val="000000"/>
              </w:rPr>
            </w:pPr>
            <w:r w:rsidRPr="00581A6E">
              <w:rPr>
                <w:b/>
                <w:bCs/>
                <w:color w:val="000000"/>
              </w:rPr>
              <w:t>Range</w:t>
            </w:r>
          </w:p>
        </w:tc>
      </w:tr>
      <w:tr w:rsidR="00482346" w14:paraId="43071CA2" w14:textId="77777777" w:rsidTr="00C47645">
        <w:trPr>
          <w:cantSplit/>
          <w:jc w:val="center"/>
        </w:trPr>
        <w:tc>
          <w:tcPr>
            <w:tcW w:w="0" w:type="auto"/>
            <w:vMerge/>
            <w:tcBorders>
              <w:left w:val="single" w:sz="6" w:space="0" w:color="000000"/>
              <w:bottom w:val="single" w:sz="2" w:space="0" w:color="000000"/>
              <w:right w:val="nil"/>
            </w:tcBorders>
            <w:shd w:val="clear" w:color="auto" w:fill="BBBBBB"/>
            <w:tcMar>
              <w:left w:w="60" w:type="dxa"/>
              <w:right w:w="60" w:type="dxa"/>
            </w:tcMar>
          </w:tcPr>
          <w:p w14:paraId="032422B5" w14:textId="77777777" w:rsidR="00482346" w:rsidRPr="0013062D" w:rsidRDefault="00482346" w:rsidP="00C47645">
            <w:pPr>
              <w:adjustRightInd w:val="0"/>
              <w:spacing w:before="60" w:after="60"/>
              <w:rPr>
                <w:b/>
                <w:bCs/>
                <w:color w:val="000000"/>
              </w:rPr>
            </w:pP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1C542357" w14:textId="77777777" w:rsidR="00482346" w:rsidRDefault="00482346" w:rsidP="00C47645">
            <w:pPr>
              <w:adjustRightInd w:val="0"/>
              <w:spacing w:before="60" w:after="60"/>
              <w:rPr>
                <w:color w:val="000000"/>
              </w:rPr>
            </w:pPr>
            <w:r>
              <w:rPr>
                <w:color w:val="000000"/>
              </w:rPr>
              <w:t>65</w:t>
            </w:r>
          </w:p>
        </w:tc>
        <w:tc>
          <w:tcPr>
            <w:tcW w:w="992" w:type="dxa"/>
            <w:tcBorders>
              <w:top w:val="nil"/>
              <w:left w:val="single" w:sz="2" w:space="0" w:color="000000"/>
              <w:bottom w:val="single" w:sz="2" w:space="0" w:color="000000"/>
              <w:right w:val="single" w:sz="6" w:space="0" w:color="000000"/>
            </w:tcBorders>
            <w:shd w:val="clear" w:color="auto" w:fill="FFFFFF"/>
            <w:vAlign w:val="bottom"/>
          </w:tcPr>
          <w:p w14:paraId="62DC932D" w14:textId="77777777" w:rsidR="00482346" w:rsidRDefault="00482346" w:rsidP="00C47645">
            <w:pPr>
              <w:adjustRightInd w:val="0"/>
              <w:spacing w:before="60" w:after="60"/>
              <w:rPr>
                <w:color w:val="000000"/>
              </w:rPr>
            </w:pPr>
            <w:r>
              <w:rPr>
                <w:color w:val="000000"/>
              </w:rPr>
              <w:t>34-94</w:t>
            </w:r>
          </w:p>
        </w:tc>
      </w:tr>
      <w:tr w:rsidR="00482346" w14:paraId="54A1ABE7"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02E2534A" w14:textId="77777777" w:rsidR="00482346" w:rsidRPr="0013062D" w:rsidRDefault="00482346" w:rsidP="00C47645">
            <w:pPr>
              <w:adjustRightInd w:val="0"/>
              <w:spacing w:before="60" w:after="60"/>
              <w:rPr>
                <w:b/>
                <w:bCs/>
                <w:color w:val="000000"/>
              </w:rPr>
            </w:pP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3FA1E898" w14:textId="77777777" w:rsidR="00482346" w:rsidRDefault="00482346" w:rsidP="00C47645">
            <w:pPr>
              <w:adjustRightInd w:val="0"/>
              <w:spacing w:before="60" w:after="60"/>
              <w:rPr>
                <w:color w:val="000000"/>
              </w:rPr>
            </w:pPr>
            <w:r>
              <w:rPr>
                <w:b/>
                <w:bCs/>
                <w:color w:val="000000"/>
              </w:rPr>
              <w:t>N</w:t>
            </w:r>
          </w:p>
        </w:tc>
        <w:tc>
          <w:tcPr>
            <w:tcW w:w="992" w:type="dxa"/>
            <w:tcBorders>
              <w:top w:val="nil"/>
              <w:left w:val="single" w:sz="2" w:space="0" w:color="000000"/>
              <w:bottom w:val="single" w:sz="2" w:space="0" w:color="000000"/>
              <w:right w:val="single" w:sz="6" w:space="0" w:color="000000"/>
            </w:tcBorders>
            <w:shd w:val="clear" w:color="auto" w:fill="FFFFFF"/>
            <w:vAlign w:val="bottom"/>
          </w:tcPr>
          <w:p w14:paraId="4164D73A" w14:textId="77777777" w:rsidR="00482346" w:rsidRDefault="00482346" w:rsidP="00C47645">
            <w:pPr>
              <w:adjustRightInd w:val="0"/>
              <w:spacing w:before="60" w:after="60"/>
              <w:rPr>
                <w:color w:val="000000"/>
              </w:rPr>
            </w:pPr>
            <w:r>
              <w:rPr>
                <w:b/>
                <w:bCs/>
                <w:color w:val="000000"/>
              </w:rPr>
              <w:t>%</w:t>
            </w:r>
          </w:p>
        </w:tc>
      </w:tr>
      <w:tr w:rsidR="00482346" w14:paraId="79D7915E"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594CA2F8" w14:textId="77777777" w:rsidR="00482346" w:rsidRPr="0013062D" w:rsidRDefault="00482346" w:rsidP="00C47645">
            <w:pPr>
              <w:adjustRightInd w:val="0"/>
              <w:spacing w:before="60" w:after="60"/>
              <w:rPr>
                <w:b/>
                <w:bCs/>
                <w:color w:val="000000"/>
              </w:rPr>
            </w:pPr>
            <w:r>
              <w:rPr>
                <w:b/>
                <w:bCs/>
                <w:color w:val="000000"/>
              </w:rPr>
              <w:t>Sex</w:t>
            </w:r>
          </w:p>
        </w:tc>
        <w:tc>
          <w:tcPr>
            <w:tcW w:w="1914" w:type="dxa"/>
            <w:gridSpan w:val="2"/>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6C14ED11" w14:textId="77777777" w:rsidR="00482346" w:rsidRDefault="00482346" w:rsidP="00C47645">
            <w:pPr>
              <w:adjustRightInd w:val="0"/>
              <w:spacing w:before="60" w:after="60"/>
              <w:rPr>
                <w:color w:val="000000"/>
              </w:rPr>
            </w:pPr>
          </w:p>
        </w:tc>
      </w:tr>
      <w:tr w:rsidR="00482346" w14:paraId="56122468"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5DF0CE70" w14:textId="77777777" w:rsidR="00482346" w:rsidRPr="00581A6E" w:rsidRDefault="00482346" w:rsidP="00C47645">
            <w:pPr>
              <w:adjustRightInd w:val="0"/>
              <w:spacing w:before="60" w:after="60"/>
              <w:rPr>
                <w:color w:val="000000"/>
              </w:rPr>
            </w:pPr>
            <w:r w:rsidRPr="00581A6E">
              <w:rPr>
                <w:color w:val="000000"/>
              </w:rPr>
              <w:t>Male</w:t>
            </w: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7A2C924C" w14:textId="77777777" w:rsidR="00482346" w:rsidRDefault="00482346" w:rsidP="00C47645">
            <w:pPr>
              <w:adjustRightInd w:val="0"/>
              <w:spacing w:before="60" w:after="60"/>
              <w:rPr>
                <w:color w:val="000000"/>
              </w:rPr>
            </w:pPr>
            <w:r>
              <w:rPr>
                <w:color w:val="000000"/>
              </w:rPr>
              <w:t>109</w:t>
            </w:r>
          </w:p>
        </w:tc>
        <w:tc>
          <w:tcPr>
            <w:tcW w:w="992" w:type="dxa"/>
            <w:tcBorders>
              <w:top w:val="nil"/>
              <w:left w:val="single" w:sz="2" w:space="0" w:color="000000"/>
              <w:bottom w:val="single" w:sz="2" w:space="0" w:color="000000"/>
              <w:right w:val="single" w:sz="6" w:space="0" w:color="000000"/>
            </w:tcBorders>
            <w:shd w:val="clear" w:color="auto" w:fill="FFFFFF"/>
            <w:vAlign w:val="bottom"/>
          </w:tcPr>
          <w:p w14:paraId="1AF5783B" w14:textId="77777777" w:rsidR="00482346" w:rsidRDefault="00482346" w:rsidP="00C47645">
            <w:pPr>
              <w:adjustRightInd w:val="0"/>
              <w:spacing w:before="60" w:after="60"/>
              <w:rPr>
                <w:color w:val="000000"/>
              </w:rPr>
            </w:pPr>
            <w:r>
              <w:rPr>
                <w:color w:val="000000"/>
              </w:rPr>
              <w:t>28.5</w:t>
            </w:r>
          </w:p>
        </w:tc>
      </w:tr>
      <w:tr w:rsidR="00482346" w14:paraId="5F5F614C"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110B93BC" w14:textId="77777777" w:rsidR="00482346" w:rsidRPr="00581A6E" w:rsidRDefault="00482346" w:rsidP="00C47645">
            <w:pPr>
              <w:adjustRightInd w:val="0"/>
              <w:spacing w:before="60" w:after="60"/>
              <w:rPr>
                <w:color w:val="000000"/>
              </w:rPr>
            </w:pPr>
            <w:r w:rsidRPr="00581A6E">
              <w:rPr>
                <w:color w:val="000000"/>
              </w:rPr>
              <w:t>Female</w:t>
            </w: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042F40A2" w14:textId="77777777" w:rsidR="00482346" w:rsidRDefault="00482346" w:rsidP="00C47645">
            <w:pPr>
              <w:adjustRightInd w:val="0"/>
              <w:spacing w:before="60" w:after="60"/>
              <w:rPr>
                <w:color w:val="000000"/>
              </w:rPr>
            </w:pPr>
            <w:r>
              <w:rPr>
                <w:color w:val="000000"/>
              </w:rPr>
              <w:t>273</w:t>
            </w:r>
          </w:p>
        </w:tc>
        <w:tc>
          <w:tcPr>
            <w:tcW w:w="992" w:type="dxa"/>
            <w:tcBorders>
              <w:top w:val="nil"/>
              <w:left w:val="single" w:sz="2" w:space="0" w:color="000000"/>
              <w:bottom w:val="single" w:sz="2" w:space="0" w:color="000000"/>
              <w:right w:val="single" w:sz="6" w:space="0" w:color="000000"/>
            </w:tcBorders>
            <w:shd w:val="clear" w:color="auto" w:fill="FFFFFF"/>
            <w:vAlign w:val="bottom"/>
          </w:tcPr>
          <w:p w14:paraId="23CF3635" w14:textId="77777777" w:rsidR="00482346" w:rsidRDefault="00482346" w:rsidP="00C47645">
            <w:pPr>
              <w:adjustRightInd w:val="0"/>
              <w:spacing w:before="60" w:after="60"/>
              <w:rPr>
                <w:color w:val="000000"/>
              </w:rPr>
            </w:pPr>
            <w:r>
              <w:rPr>
                <w:color w:val="000000"/>
              </w:rPr>
              <w:t>33.0</w:t>
            </w:r>
          </w:p>
        </w:tc>
      </w:tr>
      <w:tr w:rsidR="00482346" w14:paraId="24EC73FC"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69249CD7" w14:textId="77777777" w:rsidR="00482346" w:rsidRDefault="00482346" w:rsidP="00C47645">
            <w:pPr>
              <w:adjustRightInd w:val="0"/>
              <w:spacing w:before="60" w:after="60"/>
              <w:rPr>
                <w:b/>
                <w:bCs/>
                <w:color w:val="000000"/>
              </w:rPr>
            </w:pPr>
            <w:r w:rsidRPr="0013062D">
              <w:rPr>
                <w:b/>
                <w:bCs/>
                <w:color w:val="000000"/>
              </w:rPr>
              <w:t>Country</w:t>
            </w:r>
          </w:p>
        </w:tc>
        <w:tc>
          <w:tcPr>
            <w:tcW w:w="1914" w:type="dxa"/>
            <w:gridSpan w:val="2"/>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3CA1C417" w14:textId="77777777" w:rsidR="00482346" w:rsidRDefault="00482346" w:rsidP="00C47645">
            <w:pPr>
              <w:adjustRightInd w:val="0"/>
              <w:spacing w:before="60" w:after="60"/>
              <w:rPr>
                <w:color w:val="000000"/>
              </w:rPr>
            </w:pPr>
          </w:p>
        </w:tc>
      </w:tr>
      <w:tr w:rsidR="00482346" w14:paraId="03D3F460"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1E2A44EB" w14:textId="77777777" w:rsidR="00482346" w:rsidRPr="0013062D" w:rsidRDefault="00482346" w:rsidP="00C47645">
            <w:pPr>
              <w:adjustRightInd w:val="0"/>
              <w:spacing w:before="60" w:after="60"/>
              <w:rPr>
                <w:color w:val="000000"/>
                <w:highlight w:val="cyan"/>
              </w:rPr>
            </w:pPr>
            <w:r w:rsidRPr="0013062D">
              <w:rPr>
                <w:color w:val="000000"/>
              </w:rPr>
              <w:t>Norway</w:t>
            </w:r>
            <w:r>
              <w:rPr>
                <w:color w:val="000000"/>
              </w:rPr>
              <w:t xml:space="preserve"> </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56A2B1F4" w14:textId="77777777" w:rsidR="00482346" w:rsidRDefault="00482346" w:rsidP="00C47645">
            <w:pPr>
              <w:adjustRightInd w:val="0"/>
              <w:spacing w:before="60" w:after="60"/>
              <w:rPr>
                <w:color w:val="000000"/>
              </w:rPr>
            </w:pPr>
            <w:r>
              <w:rPr>
                <w:color w:val="000000"/>
              </w:rPr>
              <w:t>53</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3A91BB87" w14:textId="77777777" w:rsidR="00482346" w:rsidRDefault="00482346" w:rsidP="00C47645">
            <w:pPr>
              <w:adjustRightInd w:val="0"/>
              <w:spacing w:before="60" w:after="60"/>
              <w:rPr>
                <w:color w:val="000000"/>
              </w:rPr>
            </w:pPr>
            <w:r>
              <w:rPr>
                <w:color w:val="000000"/>
              </w:rPr>
              <w:t>13.9</w:t>
            </w:r>
          </w:p>
        </w:tc>
      </w:tr>
      <w:tr w:rsidR="00482346" w14:paraId="4F330291"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552C18A" w14:textId="77777777" w:rsidR="00482346" w:rsidRPr="0013062D" w:rsidRDefault="00482346" w:rsidP="00C47645">
            <w:pPr>
              <w:adjustRightInd w:val="0"/>
              <w:spacing w:before="60" w:after="60"/>
              <w:rPr>
                <w:color w:val="000000"/>
              </w:rPr>
            </w:pPr>
            <w:r w:rsidRPr="0013062D">
              <w:rPr>
                <w:color w:val="000000"/>
              </w:rPr>
              <w:t>UK</w:t>
            </w:r>
            <w:r>
              <w:rPr>
                <w:color w:val="000000"/>
              </w:rPr>
              <w:t xml:space="preserve"> </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02D7D3F5" w14:textId="77777777" w:rsidR="00482346" w:rsidRDefault="00482346" w:rsidP="00C47645">
            <w:pPr>
              <w:adjustRightInd w:val="0"/>
              <w:spacing w:before="60" w:after="60"/>
              <w:rPr>
                <w:color w:val="000000"/>
              </w:rPr>
            </w:pPr>
            <w:r>
              <w:rPr>
                <w:color w:val="000000"/>
              </w:rPr>
              <w:t>50</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2CEB0531" w14:textId="77777777" w:rsidR="00482346" w:rsidRDefault="00482346" w:rsidP="00C47645">
            <w:pPr>
              <w:adjustRightInd w:val="0"/>
              <w:spacing w:before="60" w:after="60"/>
              <w:rPr>
                <w:color w:val="000000"/>
              </w:rPr>
            </w:pPr>
            <w:r>
              <w:rPr>
                <w:color w:val="000000"/>
              </w:rPr>
              <w:t>13.1</w:t>
            </w:r>
          </w:p>
        </w:tc>
      </w:tr>
      <w:tr w:rsidR="00482346" w14:paraId="436FA96A"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2F65661" w14:textId="77777777" w:rsidR="00482346" w:rsidRPr="0013062D" w:rsidRDefault="00482346" w:rsidP="00C47645">
            <w:pPr>
              <w:adjustRightInd w:val="0"/>
              <w:spacing w:before="60" w:after="60"/>
              <w:rPr>
                <w:color w:val="000000"/>
              </w:rPr>
            </w:pPr>
            <w:r w:rsidRPr="0013062D">
              <w:rPr>
                <w:color w:val="000000"/>
              </w:rPr>
              <w:t>France</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6F5CC20B" w14:textId="77777777" w:rsidR="00482346" w:rsidRDefault="00482346" w:rsidP="00C47645">
            <w:pPr>
              <w:adjustRightInd w:val="0"/>
              <w:spacing w:before="60" w:after="60"/>
              <w:rPr>
                <w:color w:val="000000"/>
              </w:rPr>
            </w:pPr>
            <w:r>
              <w:rPr>
                <w:color w:val="000000"/>
              </w:rPr>
              <w:t>48</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548D151C" w14:textId="77777777" w:rsidR="00482346" w:rsidRDefault="00482346" w:rsidP="00C47645">
            <w:pPr>
              <w:adjustRightInd w:val="0"/>
              <w:spacing w:before="60" w:after="60"/>
              <w:rPr>
                <w:color w:val="000000"/>
              </w:rPr>
            </w:pPr>
            <w:r>
              <w:rPr>
                <w:color w:val="000000"/>
              </w:rPr>
              <w:t>12.6</w:t>
            </w:r>
          </w:p>
        </w:tc>
      </w:tr>
      <w:tr w:rsidR="00482346" w14:paraId="48D4616F"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2DC323F9" w14:textId="77777777" w:rsidR="00482346" w:rsidRPr="0013062D" w:rsidRDefault="00482346" w:rsidP="00C47645">
            <w:pPr>
              <w:adjustRightInd w:val="0"/>
              <w:spacing w:before="60" w:after="60"/>
              <w:rPr>
                <w:color w:val="000000"/>
              </w:rPr>
            </w:pPr>
            <w:r>
              <w:rPr>
                <w:color w:val="000000"/>
              </w:rPr>
              <w:t>Italy</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3247C07B" w14:textId="77777777" w:rsidR="00482346" w:rsidRDefault="00482346" w:rsidP="00C47645">
            <w:pPr>
              <w:adjustRightInd w:val="0"/>
              <w:spacing w:before="60" w:after="60"/>
              <w:rPr>
                <w:color w:val="000000"/>
              </w:rPr>
            </w:pPr>
            <w:r>
              <w:rPr>
                <w:color w:val="000000"/>
              </w:rPr>
              <w:t>39</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05AFEAEE" w14:textId="77777777" w:rsidR="00482346" w:rsidRDefault="00482346" w:rsidP="00C47645">
            <w:pPr>
              <w:adjustRightInd w:val="0"/>
              <w:spacing w:before="60" w:after="60"/>
              <w:rPr>
                <w:color w:val="000000"/>
              </w:rPr>
            </w:pPr>
            <w:r>
              <w:rPr>
                <w:color w:val="000000"/>
              </w:rPr>
              <w:t>10.2</w:t>
            </w:r>
          </w:p>
        </w:tc>
      </w:tr>
      <w:tr w:rsidR="00482346" w14:paraId="02E10505"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16AAC947" w14:textId="77777777" w:rsidR="00482346" w:rsidRPr="0013062D" w:rsidRDefault="00482346" w:rsidP="00C47645">
            <w:pPr>
              <w:adjustRightInd w:val="0"/>
              <w:spacing w:before="60" w:after="60"/>
              <w:rPr>
                <w:color w:val="000000"/>
              </w:rPr>
            </w:pPr>
            <w:r w:rsidRPr="0013062D">
              <w:rPr>
                <w:color w:val="000000"/>
              </w:rPr>
              <w:t>Denmark</w:t>
            </w:r>
            <w:r>
              <w:rPr>
                <w:color w:val="000000"/>
              </w:rPr>
              <w:t xml:space="preserve"> </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30F85620" w14:textId="77777777" w:rsidR="00482346" w:rsidRDefault="00482346" w:rsidP="00C47645">
            <w:pPr>
              <w:adjustRightInd w:val="0"/>
              <w:spacing w:before="60" w:after="60"/>
              <w:rPr>
                <w:color w:val="000000"/>
              </w:rPr>
            </w:pPr>
            <w:r>
              <w:rPr>
                <w:color w:val="000000"/>
              </w:rPr>
              <w:t>35</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420CDF58" w14:textId="77777777" w:rsidR="00482346" w:rsidRDefault="00482346" w:rsidP="00C47645">
            <w:pPr>
              <w:adjustRightInd w:val="0"/>
              <w:spacing w:before="60" w:after="60"/>
              <w:rPr>
                <w:color w:val="000000"/>
              </w:rPr>
            </w:pPr>
            <w:r>
              <w:rPr>
                <w:color w:val="000000"/>
              </w:rPr>
              <w:t>9.2</w:t>
            </w:r>
          </w:p>
        </w:tc>
      </w:tr>
      <w:tr w:rsidR="00482346" w14:paraId="41B2069E"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0D8A4053" w14:textId="77777777" w:rsidR="00482346" w:rsidRPr="0013062D" w:rsidRDefault="00482346" w:rsidP="00C47645">
            <w:pPr>
              <w:adjustRightInd w:val="0"/>
              <w:spacing w:before="60" w:after="60"/>
              <w:rPr>
                <w:color w:val="000000"/>
              </w:rPr>
            </w:pPr>
            <w:r w:rsidRPr="0013062D">
              <w:rPr>
                <w:color w:val="000000"/>
              </w:rPr>
              <w:t>Canada</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0BD269C7" w14:textId="77777777" w:rsidR="00482346" w:rsidRDefault="00482346" w:rsidP="00C47645">
            <w:pPr>
              <w:adjustRightInd w:val="0"/>
              <w:spacing w:before="60" w:after="60"/>
              <w:rPr>
                <w:color w:val="000000"/>
              </w:rPr>
            </w:pPr>
            <w:r>
              <w:rPr>
                <w:color w:val="000000"/>
              </w:rPr>
              <w:t>28</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2230B58F" w14:textId="77777777" w:rsidR="00482346" w:rsidRDefault="00482346" w:rsidP="00C47645">
            <w:pPr>
              <w:adjustRightInd w:val="0"/>
              <w:spacing w:before="60" w:after="60"/>
              <w:rPr>
                <w:color w:val="000000"/>
              </w:rPr>
            </w:pPr>
            <w:r>
              <w:rPr>
                <w:color w:val="000000"/>
              </w:rPr>
              <w:t>7.3</w:t>
            </w:r>
          </w:p>
        </w:tc>
      </w:tr>
      <w:tr w:rsidR="00482346" w14:paraId="123E5BEA"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65B4A2CE" w14:textId="77777777" w:rsidR="00482346" w:rsidRPr="0013062D" w:rsidRDefault="00482346" w:rsidP="00C47645">
            <w:pPr>
              <w:adjustRightInd w:val="0"/>
              <w:spacing w:before="60" w:after="60"/>
              <w:rPr>
                <w:color w:val="000000"/>
              </w:rPr>
            </w:pPr>
            <w:r w:rsidRPr="0013062D">
              <w:rPr>
                <w:color w:val="000000"/>
              </w:rPr>
              <w:t>The Netherlands</w:t>
            </w:r>
            <w:r>
              <w:rPr>
                <w:color w:val="000000"/>
              </w:rPr>
              <w:t xml:space="preserve"> </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5DD696A5" w14:textId="77777777" w:rsidR="00482346" w:rsidRDefault="00482346" w:rsidP="00C47645">
            <w:pPr>
              <w:adjustRightInd w:val="0"/>
              <w:spacing w:before="60" w:after="60"/>
              <w:rPr>
                <w:color w:val="000000"/>
              </w:rPr>
            </w:pPr>
            <w:r>
              <w:rPr>
                <w:color w:val="000000"/>
              </w:rPr>
              <w:t>28</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0C5E21AB" w14:textId="77777777" w:rsidR="00482346" w:rsidRDefault="00482346" w:rsidP="00C47645">
            <w:pPr>
              <w:adjustRightInd w:val="0"/>
              <w:spacing w:before="60" w:after="60"/>
              <w:rPr>
                <w:color w:val="000000"/>
              </w:rPr>
            </w:pPr>
            <w:r>
              <w:rPr>
                <w:color w:val="000000"/>
              </w:rPr>
              <w:t>7.3</w:t>
            </w:r>
          </w:p>
        </w:tc>
      </w:tr>
      <w:tr w:rsidR="00482346" w14:paraId="3820B354"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D58DBB9" w14:textId="77777777" w:rsidR="00482346" w:rsidRPr="0013062D" w:rsidRDefault="00482346" w:rsidP="00C47645">
            <w:pPr>
              <w:adjustRightInd w:val="0"/>
              <w:spacing w:before="60" w:after="60"/>
              <w:rPr>
                <w:color w:val="000000"/>
              </w:rPr>
            </w:pPr>
            <w:r w:rsidRPr="0013062D">
              <w:rPr>
                <w:color w:val="000000"/>
              </w:rPr>
              <w:t>Brazil</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54F23F7E" w14:textId="77777777" w:rsidR="00482346" w:rsidRDefault="00482346" w:rsidP="00C47645">
            <w:pPr>
              <w:adjustRightInd w:val="0"/>
              <w:spacing w:before="60" w:after="60"/>
              <w:rPr>
                <w:color w:val="000000"/>
              </w:rPr>
            </w:pPr>
            <w:r>
              <w:rPr>
                <w:color w:val="000000"/>
              </w:rPr>
              <w:t>23</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6C7AA534" w14:textId="77777777" w:rsidR="00482346" w:rsidRDefault="00482346" w:rsidP="00C47645">
            <w:pPr>
              <w:adjustRightInd w:val="0"/>
              <w:spacing w:before="60" w:after="60"/>
              <w:rPr>
                <w:color w:val="000000"/>
              </w:rPr>
            </w:pPr>
            <w:r>
              <w:rPr>
                <w:color w:val="000000"/>
              </w:rPr>
              <w:t>6.0</w:t>
            </w:r>
          </w:p>
        </w:tc>
      </w:tr>
      <w:tr w:rsidR="00482346" w14:paraId="6CD1B899"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598C65AC" w14:textId="77777777" w:rsidR="00482346" w:rsidRPr="0013062D" w:rsidRDefault="00482346" w:rsidP="00C47645">
            <w:pPr>
              <w:adjustRightInd w:val="0"/>
              <w:spacing w:before="60" w:after="60"/>
              <w:rPr>
                <w:color w:val="000000"/>
              </w:rPr>
            </w:pPr>
            <w:r w:rsidRPr="0013062D">
              <w:rPr>
                <w:color w:val="000000"/>
              </w:rPr>
              <w:t>Portugal</w:t>
            </w:r>
            <w:r>
              <w:rPr>
                <w:color w:val="000000"/>
              </w:rPr>
              <w:t xml:space="preserve"> </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7A254E40" w14:textId="77777777" w:rsidR="00482346" w:rsidRDefault="00482346" w:rsidP="00C47645">
            <w:pPr>
              <w:adjustRightInd w:val="0"/>
              <w:spacing w:before="60" w:after="60"/>
              <w:rPr>
                <w:color w:val="000000"/>
              </w:rPr>
            </w:pPr>
            <w:r>
              <w:rPr>
                <w:color w:val="000000"/>
              </w:rPr>
              <w:t>21</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0437D421" w14:textId="77777777" w:rsidR="00482346" w:rsidRDefault="00482346" w:rsidP="00C47645">
            <w:pPr>
              <w:adjustRightInd w:val="0"/>
              <w:spacing w:before="60" w:after="60"/>
              <w:rPr>
                <w:color w:val="000000"/>
              </w:rPr>
            </w:pPr>
            <w:r>
              <w:rPr>
                <w:color w:val="000000"/>
              </w:rPr>
              <w:t>5.5</w:t>
            </w:r>
          </w:p>
        </w:tc>
      </w:tr>
      <w:tr w:rsidR="00482346" w14:paraId="1FF87A64"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44A3B1C7" w14:textId="77777777" w:rsidR="00482346" w:rsidRPr="0013062D" w:rsidRDefault="00482346" w:rsidP="00C47645">
            <w:pPr>
              <w:adjustRightInd w:val="0"/>
              <w:spacing w:before="60" w:after="60"/>
              <w:rPr>
                <w:color w:val="000000"/>
              </w:rPr>
            </w:pPr>
            <w:r w:rsidRPr="0013062D">
              <w:rPr>
                <w:color w:val="000000"/>
              </w:rPr>
              <w:t>Australia</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56E80438" w14:textId="77777777" w:rsidR="00482346" w:rsidRDefault="00482346" w:rsidP="00C47645">
            <w:pPr>
              <w:adjustRightInd w:val="0"/>
              <w:spacing w:before="60" w:after="60"/>
              <w:rPr>
                <w:color w:val="000000"/>
              </w:rPr>
            </w:pPr>
            <w:r>
              <w:rPr>
                <w:color w:val="000000"/>
              </w:rPr>
              <w:t>18</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1DF6CBE3" w14:textId="77777777" w:rsidR="00482346" w:rsidRDefault="00482346" w:rsidP="00C47645">
            <w:pPr>
              <w:adjustRightInd w:val="0"/>
              <w:spacing w:before="60" w:after="60"/>
              <w:rPr>
                <w:color w:val="000000"/>
              </w:rPr>
            </w:pPr>
            <w:r>
              <w:rPr>
                <w:color w:val="000000"/>
              </w:rPr>
              <w:t>4.7</w:t>
            </w:r>
          </w:p>
        </w:tc>
      </w:tr>
      <w:tr w:rsidR="00482346" w14:paraId="518F136D"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1A7C0747" w14:textId="77777777" w:rsidR="00482346" w:rsidRPr="0013062D" w:rsidRDefault="00482346" w:rsidP="00C47645">
            <w:pPr>
              <w:adjustRightInd w:val="0"/>
              <w:spacing w:before="60" w:after="60"/>
              <w:rPr>
                <w:color w:val="000000"/>
                <w:highlight w:val="cyan"/>
              </w:rPr>
            </w:pPr>
            <w:r w:rsidRPr="0013062D">
              <w:rPr>
                <w:color w:val="000000"/>
              </w:rPr>
              <w:t>Sweden</w:t>
            </w:r>
            <w:r>
              <w:rPr>
                <w:color w:val="000000"/>
              </w:rPr>
              <w:t xml:space="preserve"> </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232FE412" w14:textId="77777777" w:rsidR="00482346" w:rsidRDefault="00482346" w:rsidP="00C47645">
            <w:pPr>
              <w:adjustRightInd w:val="0"/>
              <w:spacing w:before="60" w:after="60"/>
              <w:rPr>
                <w:color w:val="000000"/>
              </w:rPr>
            </w:pPr>
            <w:r>
              <w:rPr>
                <w:color w:val="000000"/>
              </w:rPr>
              <w:t>13</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7F4D3FA2" w14:textId="77777777" w:rsidR="00482346" w:rsidRDefault="00482346" w:rsidP="00C47645">
            <w:pPr>
              <w:adjustRightInd w:val="0"/>
              <w:spacing w:before="60" w:after="60"/>
              <w:rPr>
                <w:color w:val="000000"/>
              </w:rPr>
            </w:pPr>
            <w:r>
              <w:rPr>
                <w:color w:val="000000"/>
              </w:rPr>
              <w:t>3.4</w:t>
            </w:r>
          </w:p>
        </w:tc>
      </w:tr>
      <w:tr w:rsidR="00482346" w14:paraId="1A6F84E5"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8E913E3" w14:textId="77777777" w:rsidR="00482346" w:rsidRPr="0013062D" w:rsidRDefault="00482346" w:rsidP="00C47645">
            <w:pPr>
              <w:adjustRightInd w:val="0"/>
              <w:spacing w:before="60" w:after="60"/>
              <w:rPr>
                <w:color w:val="000000"/>
              </w:rPr>
            </w:pPr>
            <w:r w:rsidRPr="0013062D">
              <w:rPr>
                <w:color w:val="000000"/>
              </w:rPr>
              <w:t>Cyprus</w:t>
            </w:r>
            <w:r>
              <w:rPr>
                <w:color w:val="000000"/>
              </w:rPr>
              <w:t xml:space="preserve"> </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20ACDCC2" w14:textId="77777777" w:rsidR="00482346" w:rsidRDefault="00482346" w:rsidP="00C47645">
            <w:pPr>
              <w:adjustRightInd w:val="0"/>
              <w:spacing w:before="60" w:after="60"/>
              <w:rPr>
                <w:color w:val="000000"/>
              </w:rPr>
            </w:pPr>
            <w:r>
              <w:rPr>
                <w:color w:val="000000"/>
              </w:rPr>
              <w:t>12</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229DCA88" w14:textId="77777777" w:rsidR="00482346" w:rsidRDefault="00482346" w:rsidP="00C47645">
            <w:pPr>
              <w:adjustRightInd w:val="0"/>
              <w:spacing w:before="60" w:after="60"/>
              <w:rPr>
                <w:color w:val="000000"/>
              </w:rPr>
            </w:pPr>
            <w:r>
              <w:rPr>
                <w:color w:val="000000"/>
              </w:rPr>
              <w:t>3.1</w:t>
            </w:r>
          </w:p>
        </w:tc>
      </w:tr>
      <w:tr w:rsidR="00482346" w14:paraId="62E69D35"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434A1597" w14:textId="77777777" w:rsidR="00482346" w:rsidRPr="0013062D" w:rsidRDefault="00482346" w:rsidP="00C47645">
            <w:pPr>
              <w:adjustRightInd w:val="0"/>
              <w:spacing w:before="60" w:after="60"/>
              <w:rPr>
                <w:color w:val="000000"/>
              </w:rPr>
            </w:pPr>
            <w:r w:rsidRPr="0013062D">
              <w:rPr>
                <w:color w:val="000000"/>
              </w:rPr>
              <w:t>Turkey</w:t>
            </w:r>
            <w:r>
              <w:rPr>
                <w:color w:val="000000"/>
              </w:rPr>
              <w:t xml:space="preserve"> </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0C2B17E0" w14:textId="77777777" w:rsidR="00482346" w:rsidRDefault="00482346" w:rsidP="00C47645">
            <w:pPr>
              <w:adjustRightInd w:val="0"/>
              <w:spacing w:before="60" w:after="60"/>
              <w:rPr>
                <w:color w:val="000000"/>
              </w:rPr>
            </w:pPr>
            <w:r>
              <w:rPr>
                <w:color w:val="000000"/>
              </w:rPr>
              <w:t>8</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6C3FB3EE" w14:textId="77777777" w:rsidR="00482346" w:rsidRDefault="00482346" w:rsidP="00C47645">
            <w:pPr>
              <w:adjustRightInd w:val="0"/>
              <w:spacing w:before="60" w:after="60"/>
              <w:rPr>
                <w:color w:val="000000"/>
              </w:rPr>
            </w:pPr>
            <w:r>
              <w:rPr>
                <w:color w:val="000000"/>
              </w:rPr>
              <w:t>2.1</w:t>
            </w:r>
          </w:p>
        </w:tc>
      </w:tr>
      <w:tr w:rsidR="00482346" w14:paraId="1F79B529"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4429DBE3" w14:textId="77777777" w:rsidR="00482346" w:rsidRPr="0013062D" w:rsidRDefault="00482346" w:rsidP="00C47645">
            <w:pPr>
              <w:adjustRightInd w:val="0"/>
              <w:spacing w:before="60" w:after="60"/>
              <w:rPr>
                <w:color w:val="000000"/>
              </w:rPr>
            </w:pPr>
            <w:r w:rsidRPr="0013062D">
              <w:rPr>
                <w:color w:val="000000"/>
              </w:rPr>
              <w:t>Greece</w:t>
            </w:r>
            <w:r>
              <w:rPr>
                <w:color w:val="000000"/>
              </w:rPr>
              <w:t xml:space="preserve"> </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14E560F2" w14:textId="77777777" w:rsidR="00482346" w:rsidRDefault="00482346" w:rsidP="00C47645">
            <w:pPr>
              <w:adjustRightInd w:val="0"/>
              <w:spacing w:before="60" w:after="60"/>
              <w:rPr>
                <w:color w:val="000000"/>
              </w:rPr>
            </w:pPr>
            <w:r>
              <w:rPr>
                <w:color w:val="000000"/>
              </w:rPr>
              <w:t>6</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3EC4D059" w14:textId="77777777" w:rsidR="00482346" w:rsidRDefault="00482346" w:rsidP="00C47645">
            <w:pPr>
              <w:adjustRightInd w:val="0"/>
              <w:spacing w:before="60" w:after="60"/>
              <w:rPr>
                <w:color w:val="000000"/>
              </w:rPr>
            </w:pPr>
            <w:r>
              <w:rPr>
                <w:color w:val="000000"/>
              </w:rPr>
              <w:t>1.6</w:t>
            </w:r>
          </w:p>
        </w:tc>
      </w:tr>
      <w:tr w:rsidR="00482346" w14:paraId="21224EA8"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1B279CAB" w14:textId="77777777" w:rsidR="00482346" w:rsidRDefault="00482346" w:rsidP="00C47645">
            <w:pPr>
              <w:adjustRightInd w:val="0"/>
              <w:spacing w:before="60" w:after="60"/>
              <w:rPr>
                <w:b/>
                <w:bCs/>
                <w:color w:val="000000"/>
              </w:rPr>
            </w:pPr>
            <w:r>
              <w:rPr>
                <w:b/>
                <w:bCs/>
                <w:color w:val="000000"/>
              </w:rPr>
              <w:t>Place of assessment</w:t>
            </w:r>
          </w:p>
        </w:tc>
        <w:tc>
          <w:tcPr>
            <w:tcW w:w="1914" w:type="dxa"/>
            <w:gridSpan w:val="2"/>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59B21D7E" w14:textId="77777777" w:rsidR="00482346" w:rsidRDefault="00482346" w:rsidP="00C47645">
            <w:pPr>
              <w:adjustRightInd w:val="0"/>
              <w:spacing w:before="60" w:after="60"/>
              <w:rPr>
                <w:color w:val="000000"/>
              </w:rPr>
            </w:pPr>
          </w:p>
        </w:tc>
      </w:tr>
      <w:tr w:rsidR="00482346" w14:paraId="093A3953"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3C303B61" w14:textId="77777777" w:rsidR="00482346" w:rsidRPr="00581A6E" w:rsidRDefault="00482346" w:rsidP="00C47645">
            <w:pPr>
              <w:adjustRightInd w:val="0"/>
              <w:spacing w:before="60" w:after="60"/>
              <w:rPr>
                <w:color w:val="000000"/>
              </w:rPr>
            </w:pPr>
            <w:r w:rsidRPr="00581A6E">
              <w:rPr>
                <w:color w:val="000000"/>
              </w:rPr>
              <w:t>Hospital</w:t>
            </w: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2162C27F" w14:textId="77777777" w:rsidR="00482346" w:rsidRDefault="00482346" w:rsidP="00C47645">
            <w:pPr>
              <w:adjustRightInd w:val="0"/>
              <w:spacing w:before="60" w:after="60"/>
              <w:rPr>
                <w:color w:val="000000"/>
              </w:rPr>
            </w:pPr>
            <w:r>
              <w:rPr>
                <w:color w:val="000000"/>
              </w:rPr>
              <w:t>319</w:t>
            </w:r>
          </w:p>
        </w:tc>
        <w:tc>
          <w:tcPr>
            <w:tcW w:w="992" w:type="dxa"/>
            <w:tcBorders>
              <w:top w:val="nil"/>
              <w:left w:val="single" w:sz="2" w:space="0" w:color="000000"/>
              <w:bottom w:val="single" w:sz="2" w:space="0" w:color="000000"/>
              <w:right w:val="single" w:sz="6" w:space="0" w:color="000000"/>
            </w:tcBorders>
            <w:shd w:val="clear" w:color="auto" w:fill="FFFFFF"/>
            <w:vAlign w:val="bottom"/>
          </w:tcPr>
          <w:p w14:paraId="64CC35D6" w14:textId="77777777" w:rsidR="00482346" w:rsidRDefault="00482346" w:rsidP="00C47645">
            <w:pPr>
              <w:adjustRightInd w:val="0"/>
              <w:spacing w:before="60" w:after="60"/>
              <w:rPr>
                <w:color w:val="000000"/>
              </w:rPr>
            </w:pPr>
            <w:r>
              <w:rPr>
                <w:color w:val="000000"/>
              </w:rPr>
              <w:t>83.5</w:t>
            </w:r>
          </w:p>
        </w:tc>
      </w:tr>
      <w:tr w:rsidR="00482346" w14:paraId="4CB1AC39"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19B5CBD1" w14:textId="77777777" w:rsidR="00482346" w:rsidRPr="00581A6E" w:rsidRDefault="00482346" w:rsidP="00C47645">
            <w:pPr>
              <w:adjustRightInd w:val="0"/>
              <w:spacing w:before="60" w:after="60"/>
              <w:rPr>
                <w:color w:val="000000"/>
              </w:rPr>
            </w:pPr>
            <w:r w:rsidRPr="00581A6E">
              <w:rPr>
                <w:color w:val="000000"/>
              </w:rPr>
              <w:t>Home</w:t>
            </w: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6E58E046" w14:textId="77777777" w:rsidR="00482346" w:rsidRDefault="00482346" w:rsidP="00C47645">
            <w:pPr>
              <w:adjustRightInd w:val="0"/>
              <w:spacing w:before="60" w:after="60"/>
              <w:rPr>
                <w:color w:val="000000"/>
              </w:rPr>
            </w:pPr>
            <w:r>
              <w:rPr>
                <w:color w:val="000000"/>
              </w:rPr>
              <w:t>57</w:t>
            </w:r>
          </w:p>
        </w:tc>
        <w:tc>
          <w:tcPr>
            <w:tcW w:w="992" w:type="dxa"/>
            <w:tcBorders>
              <w:top w:val="nil"/>
              <w:left w:val="single" w:sz="2" w:space="0" w:color="000000"/>
              <w:bottom w:val="single" w:sz="2" w:space="0" w:color="000000"/>
              <w:right w:val="single" w:sz="6" w:space="0" w:color="000000"/>
            </w:tcBorders>
            <w:shd w:val="clear" w:color="auto" w:fill="FFFFFF"/>
            <w:vAlign w:val="bottom"/>
          </w:tcPr>
          <w:p w14:paraId="62A0C4FB" w14:textId="77777777" w:rsidR="00482346" w:rsidRDefault="00482346" w:rsidP="00C47645">
            <w:pPr>
              <w:adjustRightInd w:val="0"/>
              <w:spacing w:before="60" w:after="60"/>
              <w:rPr>
                <w:color w:val="000000"/>
              </w:rPr>
            </w:pPr>
            <w:r>
              <w:rPr>
                <w:color w:val="000000"/>
              </w:rPr>
              <w:t>14.9</w:t>
            </w:r>
          </w:p>
        </w:tc>
      </w:tr>
      <w:tr w:rsidR="00482346" w14:paraId="16FDCE81"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5728D4C8" w14:textId="77777777" w:rsidR="00482346" w:rsidRPr="00581A6E" w:rsidRDefault="00482346" w:rsidP="00C47645">
            <w:pPr>
              <w:adjustRightInd w:val="0"/>
              <w:spacing w:before="60" w:after="60"/>
              <w:rPr>
                <w:color w:val="000000"/>
              </w:rPr>
            </w:pPr>
            <w:r>
              <w:rPr>
                <w:color w:val="000000"/>
              </w:rPr>
              <w:t>Unspecified</w:t>
            </w:r>
          </w:p>
        </w:tc>
        <w:tc>
          <w:tcPr>
            <w:tcW w:w="92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5477E0D6" w14:textId="77777777" w:rsidR="00482346" w:rsidRDefault="00482346" w:rsidP="00C47645">
            <w:pPr>
              <w:adjustRightInd w:val="0"/>
              <w:spacing w:before="60" w:after="60"/>
              <w:rPr>
                <w:color w:val="000000"/>
              </w:rPr>
            </w:pPr>
            <w:r>
              <w:rPr>
                <w:color w:val="000000"/>
              </w:rPr>
              <w:t>6</w:t>
            </w:r>
          </w:p>
        </w:tc>
        <w:tc>
          <w:tcPr>
            <w:tcW w:w="992" w:type="dxa"/>
            <w:tcBorders>
              <w:top w:val="nil"/>
              <w:left w:val="single" w:sz="2" w:space="0" w:color="000000"/>
              <w:bottom w:val="single" w:sz="2" w:space="0" w:color="000000"/>
              <w:right w:val="single" w:sz="6" w:space="0" w:color="000000"/>
            </w:tcBorders>
            <w:shd w:val="clear" w:color="auto" w:fill="FFFFFF"/>
            <w:vAlign w:val="bottom"/>
          </w:tcPr>
          <w:p w14:paraId="15F945F7" w14:textId="77777777" w:rsidR="00482346" w:rsidRDefault="00482346" w:rsidP="00C47645">
            <w:pPr>
              <w:adjustRightInd w:val="0"/>
              <w:spacing w:before="60" w:after="60"/>
              <w:rPr>
                <w:color w:val="000000"/>
              </w:rPr>
            </w:pPr>
            <w:r>
              <w:rPr>
                <w:color w:val="000000"/>
              </w:rPr>
              <w:t>1.6</w:t>
            </w:r>
          </w:p>
        </w:tc>
      </w:tr>
      <w:tr w:rsidR="00482346" w14:paraId="2244DDAB"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21E7E011" w14:textId="77777777" w:rsidR="00482346" w:rsidRDefault="00482346" w:rsidP="00C47645">
            <w:pPr>
              <w:adjustRightInd w:val="0"/>
              <w:spacing w:before="60" w:after="60"/>
              <w:rPr>
                <w:b/>
                <w:bCs/>
                <w:color w:val="000000"/>
              </w:rPr>
            </w:pPr>
            <w:r>
              <w:rPr>
                <w:b/>
                <w:bCs/>
                <w:color w:val="000000"/>
              </w:rPr>
              <w:t>Highest education level</w:t>
            </w:r>
          </w:p>
        </w:tc>
        <w:tc>
          <w:tcPr>
            <w:tcW w:w="1914" w:type="dxa"/>
            <w:gridSpan w:val="2"/>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578B9E4D" w14:textId="77777777" w:rsidR="00482346" w:rsidRDefault="00482346" w:rsidP="00C47645">
            <w:pPr>
              <w:adjustRightInd w:val="0"/>
              <w:spacing w:before="60" w:after="60"/>
              <w:rPr>
                <w:color w:val="000000"/>
              </w:rPr>
            </w:pPr>
          </w:p>
        </w:tc>
      </w:tr>
      <w:tr w:rsidR="00482346" w14:paraId="462EB24B"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46F8BFF6" w14:textId="77777777" w:rsidR="00482346" w:rsidRPr="007327E6" w:rsidRDefault="00482346" w:rsidP="00C47645">
            <w:pPr>
              <w:adjustRightInd w:val="0"/>
              <w:spacing w:before="60" w:after="60"/>
              <w:rPr>
                <w:color w:val="000000"/>
              </w:rPr>
            </w:pPr>
            <w:r w:rsidRPr="007327E6">
              <w:rPr>
                <w:color w:val="000000"/>
              </w:rPr>
              <w:t>Compulsory school education</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4FE92E36" w14:textId="77777777" w:rsidR="00482346" w:rsidRDefault="00482346" w:rsidP="00C47645">
            <w:pPr>
              <w:adjustRightInd w:val="0"/>
              <w:spacing w:before="60" w:after="60"/>
              <w:rPr>
                <w:color w:val="000000"/>
              </w:rPr>
            </w:pPr>
            <w:r>
              <w:rPr>
                <w:color w:val="000000"/>
              </w:rPr>
              <w:t>117</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3F9EB265" w14:textId="77777777" w:rsidR="00482346" w:rsidRDefault="00482346" w:rsidP="00C47645">
            <w:pPr>
              <w:adjustRightInd w:val="0"/>
              <w:spacing w:before="60" w:after="60"/>
              <w:rPr>
                <w:color w:val="000000"/>
              </w:rPr>
            </w:pPr>
            <w:r>
              <w:rPr>
                <w:color w:val="000000"/>
              </w:rPr>
              <w:t>30.6</w:t>
            </w:r>
          </w:p>
        </w:tc>
      </w:tr>
      <w:tr w:rsidR="00482346" w14:paraId="170F10AA"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087ACCC7" w14:textId="77777777" w:rsidR="00482346" w:rsidRPr="007327E6" w:rsidRDefault="00482346" w:rsidP="00C47645">
            <w:pPr>
              <w:adjustRightInd w:val="0"/>
              <w:spacing w:before="60" w:after="60"/>
              <w:rPr>
                <w:color w:val="000000"/>
              </w:rPr>
            </w:pPr>
            <w:r w:rsidRPr="007327E6">
              <w:rPr>
                <w:color w:val="000000"/>
              </w:rPr>
              <w:lastRenderedPageBreak/>
              <w:t>Less than compulsory school education</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6A0EA67D" w14:textId="77777777" w:rsidR="00482346" w:rsidRDefault="00482346" w:rsidP="00C47645">
            <w:pPr>
              <w:adjustRightInd w:val="0"/>
              <w:spacing w:before="60" w:after="60"/>
              <w:rPr>
                <w:color w:val="000000"/>
              </w:rPr>
            </w:pPr>
            <w:r>
              <w:rPr>
                <w:color w:val="000000"/>
              </w:rPr>
              <w:t>23</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4F15EC17" w14:textId="77777777" w:rsidR="00482346" w:rsidRDefault="00482346" w:rsidP="00C47645">
            <w:pPr>
              <w:adjustRightInd w:val="0"/>
              <w:spacing w:before="60" w:after="60"/>
              <w:rPr>
                <w:color w:val="000000"/>
              </w:rPr>
            </w:pPr>
            <w:r>
              <w:rPr>
                <w:color w:val="000000"/>
              </w:rPr>
              <w:t>6.0</w:t>
            </w:r>
          </w:p>
        </w:tc>
      </w:tr>
      <w:tr w:rsidR="00482346" w14:paraId="3C252E37"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37FF0939" w14:textId="77777777" w:rsidR="00482346" w:rsidRPr="007327E6" w:rsidRDefault="00482346" w:rsidP="00C47645">
            <w:pPr>
              <w:adjustRightInd w:val="0"/>
              <w:spacing w:before="60" w:after="60"/>
              <w:rPr>
                <w:color w:val="000000"/>
              </w:rPr>
            </w:pPr>
            <w:r w:rsidRPr="007327E6">
              <w:rPr>
                <w:color w:val="000000"/>
              </w:rPr>
              <w:t>Post compulsory school education, below university level</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4E11A3C7" w14:textId="77777777" w:rsidR="00482346" w:rsidRDefault="00482346" w:rsidP="00C47645">
            <w:pPr>
              <w:adjustRightInd w:val="0"/>
              <w:spacing w:before="60" w:after="60"/>
              <w:rPr>
                <w:color w:val="000000"/>
              </w:rPr>
            </w:pPr>
            <w:r>
              <w:rPr>
                <w:color w:val="000000"/>
              </w:rPr>
              <w:t>130</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15C4DB7E" w14:textId="77777777" w:rsidR="00482346" w:rsidRDefault="00482346" w:rsidP="00C47645">
            <w:pPr>
              <w:adjustRightInd w:val="0"/>
              <w:spacing w:before="60" w:after="60"/>
              <w:rPr>
                <w:color w:val="000000"/>
              </w:rPr>
            </w:pPr>
            <w:r>
              <w:rPr>
                <w:color w:val="000000"/>
              </w:rPr>
              <w:t>34.0</w:t>
            </w:r>
          </w:p>
        </w:tc>
      </w:tr>
      <w:tr w:rsidR="00482346" w14:paraId="45D24AC4"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96ACBB8" w14:textId="77777777" w:rsidR="00482346" w:rsidRPr="007327E6" w:rsidRDefault="00482346" w:rsidP="00C47645">
            <w:pPr>
              <w:adjustRightInd w:val="0"/>
              <w:spacing w:before="60" w:after="60"/>
              <w:rPr>
                <w:color w:val="000000"/>
              </w:rPr>
            </w:pPr>
            <w:r w:rsidRPr="007327E6">
              <w:rPr>
                <w:color w:val="000000"/>
              </w:rPr>
              <w:t>University level or above</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11164696" w14:textId="77777777" w:rsidR="00482346" w:rsidRDefault="00482346" w:rsidP="00C47645">
            <w:pPr>
              <w:adjustRightInd w:val="0"/>
              <w:spacing w:before="60" w:after="60"/>
              <w:rPr>
                <w:color w:val="000000"/>
              </w:rPr>
            </w:pPr>
            <w:r>
              <w:rPr>
                <w:color w:val="000000"/>
              </w:rPr>
              <w:t>99</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1E9E9BF8" w14:textId="77777777" w:rsidR="00482346" w:rsidRDefault="00482346" w:rsidP="00C47645">
            <w:pPr>
              <w:adjustRightInd w:val="0"/>
              <w:spacing w:before="60" w:after="60"/>
              <w:rPr>
                <w:color w:val="000000"/>
              </w:rPr>
            </w:pPr>
            <w:r>
              <w:rPr>
                <w:color w:val="000000"/>
              </w:rPr>
              <w:t>25.9</w:t>
            </w:r>
          </w:p>
        </w:tc>
      </w:tr>
      <w:tr w:rsidR="00482346" w14:paraId="2B4C799A"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2F8B1A98" w14:textId="77777777" w:rsidR="00482346" w:rsidRPr="007327E6" w:rsidRDefault="00482346" w:rsidP="00C47645">
            <w:pPr>
              <w:adjustRightInd w:val="0"/>
              <w:spacing w:before="60" w:after="60"/>
              <w:rPr>
                <w:color w:val="000000"/>
              </w:rPr>
            </w:pPr>
            <w:r>
              <w:rPr>
                <w:color w:val="000000"/>
              </w:rPr>
              <w:t>Unspecified</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06880773" w14:textId="77777777" w:rsidR="00482346" w:rsidRDefault="00482346" w:rsidP="00C47645">
            <w:pPr>
              <w:adjustRightInd w:val="0"/>
              <w:spacing w:before="60" w:after="60"/>
              <w:rPr>
                <w:color w:val="000000"/>
              </w:rPr>
            </w:pPr>
            <w:r>
              <w:rPr>
                <w:color w:val="000000"/>
              </w:rPr>
              <w:t>13</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2B926C2B" w14:textId="77777777" w:rsidR="00482346" w:rsidRDefault="00482346" w:rsidP="00C47645">
            <w:pPr>
              <w:adjustRightInd w:val="0"/>
              <w:spacing w:before="60" w:after="60"/>
              <w:rPr>
                <w:color w:val="000000"/>
              </w:rPr>
            </w:pPr>
            <w:r>
              <w:rPr>
                <w:color w:val="000000"/>
              </w:rPr>
              <w:t>3.4</w:t>
            </w:r>
          </w:p>
        </w:tc>
      </w:tr>
      <w:tr w:rsidR="00482346" w14:paraId="449C1B65"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2FE1C377" w14:textId="77777777" w:rsidR="00482346" w:rsidRDefault="00482346" w:rsidP="00C47645">
            <w:pPr>
              <w:adjustRightInd w:val="0"/>
              <w:spacing w:before="60" w:after="60"/>
              <w:rPr>
                <w:b/>
                <w:bCs/>
                <w:color w:val="000000"/>
              </w:rPr>
            </w:pPr>
            <w:r>
              <w:rPr>
                <w:b/>
                <w:bCs/>
                <w:color w:val="000000"/>
              </w:rPr>
              <w:t>Employment status</w:t>
            </w:r>
          </w:p>
        </w:tc>
        <w:tc>
          <w:tcPr>
            <w:tcW w:w="1914" w:type="dxa"/>
            <w:gridSpan w:val="2"/>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031480C1" w14:textId="77777777" w:rsidR="00482346" w:rsidRDefault="00482346" w:rsidP="00C47645">
            <w:pPr>
              <w:adjustRightInd w:val="0"/>
              <w:spacing w:before="60" w:after="60"/>
              <w:rPr>
                <w:color w:val="000000"/>
              </w:rPr>
            </w:pPr>
          </w:p>
        </w:tc>
      </w:tr>
      <w:tr w:rsidR="00482346" w14:paraId="2621B9BF"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33D3BCC6" w14:textId="77777777" w:rsidR="00482346" w:rsidRPr="007327E6" w:rsidRDefault="00482346" w:rsidP="00C47645">
            <w:pPr>
              <w:adjustRightInd w:val="0"/>
              <w:spacing w:before="60" w:after="60"/>
              <w:rPr>
                <w:color w:val="000000"/>
              </w:rPr>
            </w:pPr>
            <w:r w:rsidRPr="007327E6">
              <w:rPr>
                <w:color w:val="000000"/>
              </w:rPr>
              <w:t>Retired</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5CFDC28F" w14:textId="77777777" w:rsidR="00482346" w:rsidRDefault="00482346" w:rsidP="00C47645">
            <w:pPr>
              <w:adjustRightInd w:val="0"/>
              <w:spacing w:before="60" w:after="60"/>
              <w:rPr>
                <w:color w:val="000000"/>
              </w:rPr>
            </w:pPr>
            <w:r>
              <w:rPr>
                <w:color w:val="000000"/>
              </w:rPr>
              <w:t>197</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0E1DBE7F" w14:textId="77777777" w:rsidR="00482346" w:rsidRDefault="00482346" w:rsidP="00C47645">
            <w:pPr>
              <w:adjustRightInd w:val="0"/>
              <w:spacing w:before="60" w:after="60"/>
              <w:rPr>
                <w:color w:val="000000"/>
              </w:rPr>
            </w:pPr>
            <w:r>
              <w:rPr>
                <w:color w:val="000000"/>
              </w:rPr>
              <w:t>51.3</w:t>
            </w:r>
          </w:p>
        </w:tc>
      </w:tr>
      <w:tr w:rsidR="00482346" w14:paraId="58F13534"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6DFA348" w14:textId="77777777" w:rsidR="00482346" w:rsidRPr="007327E6" w:rsidRDefault="00482346" w:rsidP="00C47645">
            <w:pPr>
              <w:adjustRightInd w:val="0"/>
              <w:spacing w:before="60" w:after="60"/>
              <w:rPr>
                <w:color w:val="000000"/>
              </w:rPr>
            </w:pPr>
            <w:r w:rsidRPr="007327E6">
              <w:rPr>
                <w:color w:val="000000"/>
              </w:rPr>
              <w:t>Full time</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7C880B9F" w14:textId="77777777" w:rsidR="00482346" w:rsidRDefault="00482346" w:rsidP="00C47645">
            <w:pPr>
              <w:adjustRightInd w:val="0"/>
              <w:spacing w:before="60" w:after="60"/>
              <w:rPr>
                <w:color w:val="000000"/>
              </w:rPr>
            </w:pPr>
            <w:r>
              <w:rPr>
                <w:color w:val="000000"/>
              </w:rPr>
              <w:t>81</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0A32C661" w14:textId="77777777" w:rsidR="00482346" w:rsidRDefault="00482346" w:rsidP="00C47645">
            <w:pPr>
              <w:adjustRightInd w:val="0"/>
              <w:spacing w:before="60" w:after="60"/>
              <w:rPr>
                <w:color w:val="000000"/>
              </w:rPr>
            </w:pPr>
            <w:r>
              <w:rPr>
                <w:color w:val="000000"/>
              </w:rPr>
              <w:t>21.2</w:t>
            </w:r>
          </w:p>
        </w:tc>
      </w:tr>
      <w:tr w:rsidR="00482346" w14:paraId="3FBD96C3"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3892EE0C" w14:textId="77777777" w:rsidR="00482346" w:rsidRPr="007327E6" w:rsidRDefault="00482346" w:rsidP="00C47645">
            <w:pPr>
              <w:adjustRightInd w:val="0"/>
              <w:spacing w:before="60" w:after="60"/>
              <w:rPr>
                <w:color w:val="000000"/>
              </w:rPr>
            </w:pPr>
            <w:r>
              <w:rPr>
                <w:color w:val="000000"/>
              </w:rPr>
              <w:t>Sick leave</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77C31A3F" w14:textId="77777777" w:rsidR="00482346" w:rsidRDefault="00482346" w:rsidP="00C47645">
            <w:pPr>
              <w:adjustRightInd w:val="0"/>
              <w:spacing w:before="60" w:after="60"/>
              <w:rPr>
                <w:color w:val="000000"/>
              </w:rPr>
            </w:pPr>
            <w:r>
              <w:rPr>
                <w:color w:val="000000"/>
              </w:rPr>
              <w:t>55</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12D2E591" w14:textId="77777777" w:rsidR="00482346" w:rsidRDefault="00482346" w:rsidP="00C47645">
            <w:pPr>
              <w:adjustRightInd w:val="0"/>
              <w:spacing w:before="60" w:after="60"/>
              <w:rPr>
                <w:color w:val="000000"/>
              </w:rPr>
            </w:pPr>
            <w:r>
              <w:rPr>
                <w:color w:val="000000"/>
              </w:rPr>
              <w:t>14.4</w:t>
            </w:r>
          </w:p>
        </w:tc>
      </w:tr>
      <w:tr w:rsidR="00482346" w14:paraId="2F2DB536"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674D7B52" w14:textId="77777777" w:rsidR="00482346" w:rsidRPr="007327E6" w:rsidRDefault="00482346" w:rsidP="00C47645">
            <w:pPr>
              <w:adjustRightInd w:val="0"/>
              <w:spacing w:before="60" w:after="60"/>
              <w:rPr>
                <w:color w:val="000000"/>
              </w:rPr>
            </w:pPr>
            <w:r w:rsidRPr="007327E6">
              <w:rPr>
                <w:color w:val="000000"/>
              </w:rPr>
              <w:t>Unemployed</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2280F9BE" w14:textId="77777777" w:rsidR="00482346" w:rsidRDefault="00482346" w:rsidP="00C47645">
            <w:pPr>
              <w:adjustRightInd w:val="0"/>
              <w:spacing w:before="60" w:after="60"/>
              <w:rPr>
                <w:color w:val="000000"/>
              </w:rPr>
            </w:pPr>
            <w:r>
              <w:rPr>
                <w:color w:val="000000"/>
              </w:rPr>
              <w:t>28</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48F9B8A7" w14:textId="77777777" w:rsidR="00482346" w:rsidRDefault="00482346" w:rsidP="00C47645">
            <w:pPr>
              <w:adjustRightInd w:val="0"/>
              <w:spacing w:before="60" w:after="60"/>
              <w:rPr>
                <w:color w:val="000000"/>
              </w:rPr>
            </w:pPr>
            <w:r>
              <w:rPr>
                <w:color w:val="000000"/>
              </w:rPr>
              <w:t>7.3</w:t>
            </w:r>
          </w:p>
        </w:tc>
      </w:tr>
      <w:tr w:rsidR="00482346" w14:paraId="677F3A98"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078DAA98" w14:textId="77777777" w:rsidR="00482346" w:rsidRPr="007327E6" w:rsidRDefault="00482346" w:rsidP="00C47645">
            <w:pPr>
              <w:adjustRightInd w:val="0"/>
              <w:spacing w:before="60" w:after="60"/>
              <w:rPr>
                <w:color w:val="000000"/>
              </w:rPr>
            </w:pPr>
            <w:r w:rsidRPr="007327E6">
              <w:rPr>
                <w:color w:val="000000"/>
              </w:rPr>
              <w:t>Part time</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60D631C1" w14:textId="77777777" w:rsidR="00482346" w:rsidRDefault="00482346" w:rsidP="00C47645">
            <w:pPr>
              <w:adjustRightInd w:val="0"/>
              <w:spacing w:before="60" w:after="60"/>
              <w:rPr>
                <w:color w:val="000000"/>
              </w:rPr>
            </w:pPr>
            <w:r>
              <w:rPr>
                <w:color w:val="000000"/>
              </w:rPr>
              <w:t>27</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143F9D38" w14:textId="77777777" w:rsidR="00482346" w:rsidRDefault="00482346" w:rsidP="00C47645">
            <w:pPr>
              <w:adjustRightInd w:val="0"/>
              <w:spacing w:before="60" w:after="60"/>
              <w:rPr>
                <w:color w:val="000000"/>
              </w:rPr>
            </w:pPr>
            <w:r>
              <w:rPr>
                <w:color w:val="000000"/>
              </w:rPr>
              <w:t>7.1</w:t>
            </w:r>
          </w:p>
        </w:tc>
      </w:tr>
      <w:tr w:rsidR="00482346" w14:paraId="60B3FF13"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16F7BD7A" w14:textId="77777777" w:rsidR="00482346" w:rsidRPr="007327E6" w:rsidRDefault="00482346" w:rsidP="00C47645">
            <w:pPr>
              <w:adjustRightInd w:val="0"/>
              <w:spacing w:before="60" w:after="60"/>
              <w:rPr>
                <w:color w:val="000000"/>
              </w:rPr>
            </w:pPr>
            <w:r w:rsidRPr="007327E6">
              <w:rPr>
                <w:color w:val="000000"/>
              </w:rPr>
              <w:t>Self-employed</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392CA625" w14:textId="77777777" w:rsidR="00482346" w:rsidRDefault="00482346" w:rsidP="00C47645">
            <w:pPr>
              <w:adjustRightInd w:val="0"/>
              <w:spacing w:before="60" w:after="60"/>
              <w:rPr>
                <w:color w:val="000000"/>
              </w:rPr>
            </w:pPr>
            <w:r>
              <w:rPr>
                <w:color w:val="000000"/>
              </w:rPr>
              <w:t>19</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00EEB575" w14:textId="77777777" w:rsidR="00482346" w:rsidRDefault="00482346" w:rsidP="00C47645">
            <w:pPr>
              <w:adjustRightInd w:val="0"/>
              <w:spacing w:before="60" w:after="60"/>
              <w:rPr>
                <w:color w:val="000000"/>
              </w:rPr>
            </w:pPr>
            <w:r>
              <w:rPr>
                <w:color w:val="000000"/>
              </w:rPr>
              <w:t>5.0</w:t>
            </w:r>
          </w:p>
        </w:tc>
      </w:tr>
      <w:tr w:rsidR="00482346" w14:paraId="44A16BF6"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44D773C" w14:textId="77777777" w:rsidR="00482346" w:rsidRPr="007327E6" w:rsidRDefault="00482346" w:rsidP="00C47645">
            <w:pPr>
              <w:adjustRightInd w:val="0"/>
              <w:spacing w:before="60" w:after="60"/>
              <w:rPr>
                <w:color w:val="000000"/>
              </w:rPr>
            </w:pPr>
            <w:r w:rsidRPr="007327E6">
              <w:rPr>
                <w:color w:val="000000"/>
              </w:rPr>
              <w:t>Homemaker/parent/carer</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5AE41D59" w14:textId="77777777" w:rsidR="00482346" w:rsidRDefault="00482346" w:rsidP="00C47645">
            <w:pPr>
              <w:adjustRightInd w:val="0"/>
              <w:spacing w:before="60" w:after="60"/>
              <w:rPr>
                <w:color w:val="000000"/>
              </w:rPr>
            </w:pPr>
            <w:r>
              <w:rPr>
                <w:color w:val="000000"/>
              </w:rPr>
              <w:t>13</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7C46D68A" w14:textId="77777777" w:rsidR="00482346" w:rsidRDefault="00482346" w:rsidP="00C47645">
            <w:pPr>
              <w:adjustRightInd w:val="0"/>
              <w:spacing w:before="60" w:after="60"/>
              <w:rPr>
                <w:color w:val="000000"/>
              </w:rPr>
            </w:pPr>
            <w:r>
              <w:rPr>
                <w:color w:val="000000"/>
              </w:rPr>
              <w:t>3.4</w:t>
            </w:r>
          </w:p>
        </w:tc>
      </w:tr>
      <w:tr w:rsidR="00482346" w14:paraId="45EE8636"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FB791B5" w14:textId="77777777" w:rsidR="00482346" w:rsidRPr="00131C30" w:rsidRDefault="00482346" w:rsidP="00C47645">
            <w:pPr>
              <w:adjustRightInd w:val="0"/>
              <w:spacing w:before="60" w:after="60"/>
              <w:rPr>
                <w:color w:val="000000"/>
                <w:vertAlign w:val="superscript"/>
              </w:rPr>
            </w:pPr>
            <w:r w:rsidRPr="007327E6">
              <w:rPr>
                <w:color w:val="000000"/>
              </w:rPr>
              <w:t>Other</w:t>
            </w:r>
            <w:r>
              <w:rPr>
                <w:vertAlign w:val="superscript"/>
              </w:rPr>
              <w:t>1</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405DC8B0" w14:textId="77777777" w:rsidR="00482346" w:rsidRDefault="00482346" w:rsidP="00C47645">
            <w:pPr>
              <w:adjustRightInd w:val="0"/>
              <w:spacing w:before="60" w:after="60"/>
              <w:rPr>
                <w:color w:val="000000"/>
              </w:rPr>
            </w:pPr>
            <w:r>
              <w:rPr>
                <w:color w:val="000000"/>
              </w:rPr>
              <w:t xml:space="preserve">7 </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68E8CC32" w14:textId="77777777" w:rsidR="00482346" w:rsidRDefault="00482346" w:rsidP="00C47645">
            <w:pPr>
              <w:adjustRightInd w:val="0"/>
              <w:spacing w:before="60" w:after="60"/>
              <w:rPr>
                <w:color w:val="000000"/>
              </w:rPr>
            </w:pPr>
            <w:r>
              <w:rPr>
                <w:color w:val="000000"/>
              </w:rPr>
              <w:t>1.8</w:t>
            </w:r>
          </w:p>
        </w:tc>
      </w:tr>
      <w:tr w:rsidR="00482346" w14:paraId="0BF9D92F"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6A9F9C9B" w14:textId="77777777" w:rsidR="00482346" w:rsidRPr="007327E6" w:rsidRDefault="00482346" w:rsidP="00C47645">
            <w:pPr>
              <w:adjustRightInd w:val="0"/>
              <w:spacing w:before="60" w:after="60"/>
              <w:rPr>
                <w:color w:val="000000"/>
              </w:rPr>
            </w:pPr>
            <w:r>
              <w:rPr>
                <w:color w:val="000000"/>
              </w:rPr>
              <w:t>Unspecified</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0847E218" w14:textId="77777777" w:rsidR="00482346" w:rsidRDefault="00482346" w:rsidP="00C47645">
            <w:pPr>
              <w:adjustRightInd w:val="0"/>
              <w:spacing w:before="60" w:after="60"/>
              <w:rPr>
                <w:color w:val="000000"/>
              </w:rPr>
            </w:pPr>
            <w:r>
              <w:rPr>
                <w:color w:val="000000"/>
              </w:rPr>
              <w:t>9</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48B968E4" w14:textId="77777777" w:rsidR="00482346" w:rsidRDefault="00482346" w:rsidP="00C47645">
            <w:pPr>
              <w:adjustRightInd w:val="0"/>
              <w:spacing w:before="60" w:after="60"/>
              <w:rPr>
                <w:color w:val="000000"/>
              </w:rPr>
            </w:pPr>
            <w:r>
              <w:rPr>
                <w:color w:val="000000"/>
              </w:rPr>
              <w:t>2.4</w:t>
            </w:r>
          </w:p>
        </w:tc>
      </w:tr>
      <w:tr w:rsidR="00482346" w14:paraId="15AD24CE"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0B0D9833" w14:textId="77777777" w:rsidR="00482346" w:rsidRDefault="00482346" w:rsidP="00C47645">
            <w:pPr>
              <w:adjustRightInd w:val="0"/>
              <w:spacing w:before="60" w:after="60"/>
              <w:rPr>
                <w:b/>
                <w:bCs/>
                <w:color w:val="000000"/>
              </w:rPr>
            </w:pPr>
            <w:r>
              <w:rPr>
                <w:b/>
                <w:bCs/>
                <w:color w:val="000000"/>
              </w:rPr>
              <w:t>Employment level</w:t>
            </w:r>
          </w:p>
        </w:tc>
        <w:tc>
          <w:tcPr>
            <w:tcW w:w="1914" w:type="dxa"/>
            <w:gridSpan w:val="2"/>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239491E1" w14:textId="77777777" w:rsidR="00482346" w:rsidRDefault="00482346" w:rsidP="00C47645">
            <w:pPr>
              <w:adjustRightInd w:val="0"/>
              <w:spacing w:before="60" w:after="60"/>
              <w:rPr>
                <w:color w:val="000000"/>
              </w:rPr>
            </w:pPr>
          </w:p>
        </w:tc>
      </w:tr>
      <w:tr w:rsidR="00482346" w14:paraId="1B508A98"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2E69B1ED" w14:textId="77777777" w:rsidR="00482346" w:rsidRPr="007327E6" w:rsidRDefault="00482346" w:rsidP="00C47645">
            <w:pPr>
              <w:adjustRightInd w:val="0"/>
              <w:spacing w:before="60" w:after="60"/>
              <w:rPr>
                <w:color w:val="000000"/>
              </w:rPr>
            </w:pPr>
            <w:r w:rsidRPr="007327E6">
              <w:rPr>
                <w:color w:val="000000"/>
              </w:rPr>
              <w:t>Skilled manual</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27DBA8B1" w14:textId="77777777" w:rsidR="00482346" w:rsidRDefault="00482346" w:rsidP="00C47645">
            <w:pPr>
              <w:adjustRightInd w:val="0"/>
              <w:spacing w:before="60" w:after="60"/>
              <w:rPr>
                <w:color w:val="000000"/>
              </w:rPr>
            </w:pPr>
            <w:r>
              <w:rPr>
                <w:color w:val="000000"/>
              </w:rPr>
              <w:t>110</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30E34EBE" w14:textId="77777777" w:rsidR="00482346" w:rsidRDefault="00482346" w:rsidP="00C47645">
            <w:pPr>
              <w:adjustRightInd w:val="0"/>
              <w:spacing w:before="60" w:after="60"/>
              <w:rPr>
                <w:color w:val="000000"/>
              </w:rPr>
            </w:pPr>
            <w:r>
              <w:rPr>
                <w:color w:val="000000"/>
              </w:rPr>
              <w:t>28.8</w:t>
            </w:r>
          </w:p>
        </w:tc>
      </w:tr>
      <w:tr w:rsidR="00482346" w14:paraId="2D6E14EC"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BE1AC34" w14:textId="77777777" w:rsidR="00482346" w:rsidRPr="007327E6" w:rsidRDefault="00482346" w:rsidP="00C47645">
            <w:pPr>
              <w:adjustRightInd w:val="0"/>
              <w:spacing w:before="60" w:after="60"/>
              <w:rPr>
                <w:color w:val="000000"/>
              </w:rPr>
            </w:pPr>
            <w:r w:rsidRPr="007327E6">
              <w:rPr>
                <w:color w:val="000000"/>
              </w:rPr>
              <w:t>Administrative/middle management</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1B982F91" w14:textId="77777777" w:rsidR="00482346" w:rsidRDefault="00482346" w:rsidP="00C47645">
            <w:pPr>
              <w:adjustRightInd w:val="0"/>
              <w:spacing w:before="60" w:after="60"/>
              <w:rPr>
                <w:color w:val="000000"/>
              </w:rPr>
            </w:pPr>
            <w:r>
              <w:rPr>
                <w:color w:val="000000"/>
              </w:rPr>
              <w:t>109</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38659E13" w14:textId="77777777" w:rsidR="00482346" w:rsidRDefault="00482346" w:rsidP="00C47645">
            <w:pPr>
              <w:adjustRightInd w:val="0"/>
              <w:spacing w:before="60" w:after="60"/>
              <w:rPr>
                <w:color w:val="000000"/>
              </w:rPr>
            </w:pPr>
            <w:r>
              <w:rPr>
                <w:color w:val="000000"/>
              </w:rPr>
              <w:t>28.5</w:t>
            </w:r>
          </w:p>
        </w:tc>
      </w:tr>
      <w:tr w:rsidR="00482346" w14:paraId="77E5CBCF"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325694A" w14:textId="77777777" w:rsidR="00482346" w:rsidRPr="007327E6" w:rsidRDefault="00482346" w:rsidP="00C47645">
            <w:pPr>
              <w:adjustRightInd w:val="0"/>
              <w:spacing w:before="60" w:after="60"/>
              <w:rPr>
                <w:color w:val="000000"/>
              </w:rPr>
            </w:pPr>
            <w:r w:rsidRPr="007327E6">
              <w:rPr>
                <w:color w:val="000000"/>
              </w:rPr>
              <w:t>Professional/senior management</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7D4527A0" w14:textId="77777777" w:rsidR="00482346" w:rsidRDefault="00482346" w:rsidP="00C47645">
            <w:pPr>
              <w:adjustRightInd w:val="0"/>
              <w:spacing w:before="60" w:after="60"/>
              <w:rPr>
                <w:color w:val="000000"/>
              </w:rPr>
            </w:pPr>
            <w:r>
              <w:rPr>
                <w:color w:val="000000"/>
              </w:rPr>
              <w:t>99</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610E2D1E" w14:textId="77777777" w:rsidR="00482346" w:rsidRDefault="00482346" w:rsidP="00C47645">
            <w:pPr>
              <w:adjustRightInd w:val="0"/>
              <w:spacing w:before="60" w:after="60"/>
              <w:rPr>
                <w:color w:val="000000"/>
              </w:rPr>
            </w:pPr>
            <w:r>
              <w:rPr>
                <w:color w:val="000000"/>
              </w:rPr>
              <w:t>25.9</w:t>
            </w:r>
          </w:p>
        </w:tc>
      </w:tr>
      <w:tr w:rsidR="00482346" w14:paraId="1AAF0D31"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45C8C454" w14:textId="77777777" w:rsidR="00482346" w:rsidRPr="007327E6" w:rsidRDefault="00482346" w:rsidP="00C47645">
            <w:pPr>
              <w:adjustRightInd w:val="0"/>
              <w:spacing w:before="60" w:after="60"/>
              <w:rPr>
                <w:color w:val="000000"/>
              </w:rPr>
            </w:pPr>
            <w:r w:rsidRPr="007327E6">
              <w:rPr>
                <w:color w:val="000000"/>
              </w:rPr>
              <w:t>Unskilled</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4220955F" w14:textId="77777777" w:rsidR="00482346" w:rsidRDefault="00482346" w:rsidP="00C47645">
            <w:pPr>
              <w:adjustRightInd w:val="0"/>
              <w:spacing w:before="60" w:after="60"/>
              <w:rPr>
                <w:color w:val="000000"/>
              </w:rPr>
            </w:pPr>
            <w:r>
              <w:rPr>
                <w:color w:val="000000"/>
              </w:rPr>
              <w:t>42</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770F2298" w14:textId="77777777" w:rsidR="00482346" w:rsidRDefault="00482346" w:rsidP="00C47645">
            <w:pPr>
              <w:adjustRightInd w:val="0"/>
              <w:spacing w:before="60" w:after="60"/>
              <w:rPr>
                <w:color w:val="000000"/>
              </w:rPr>
            </w:pPr>
            <w:r>
              <w:rPr>
                <w:color w:val="000000"/>
              </w:rPr>
              <w:t>11.0</w:t>
            </w:r>
          </w:p>
        </w:tc>
      </w:tr>
      <w:tr w:rsidR="00482346" w14:paraId="68EA3671"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4899E0E6" w14:textId="77777777" w:rsidR="00482346" w:rsidRPr="007327E6" w:rsidRDefault="00482346" w:rsidP="00C47645">
            <w:pPr>
              <w:adjustRightInd w:val="0"/>
              <w:spacing w:before="60" w:after="60"/>
              <w:rPr>
                <w:color w:val="000000"/>
              </w:rPr>
            </w:pPr>
            <w:r>
              <w:rPr>
                <w:color w:val="000000"/>
              </w:rPr>
              <w:t>Unspecified</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5255B810" w14:textId="77777777" w:rsidR="00482346" w:rsidRDefault="00482346" w:rsidP="00C47645">
            <w:pPr>
              <w:adjustRightInd w:val="0"/>
              <w:spacing w:before="60" w:after="60"/>
              <w:rPr>
                <w:color w:val="000000"/>
              </w:rPr>
            </w:pPr>
            <w:r>
              <w:rPr>
                <w:color w:val="000000"/>
              </w:rPr>
              <w:t>22</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3D8315DB" w14:textId="77777777" w:rsidR="00482346" w:rsidRDefault="00482346" w:rsidP="00C47645">
            <w:pPr>
              <w:adjustRightInd w:val="0"/>
              <w:spacing w:before="60" w:after="60"/>
              <w:rPr>
                <w:color w:val="000000"/>
              </w:rPr>
            </w:pPr>
            <w:r>
              <w:rPr>
                <w:color w:val="000000"/>
              </w:rPr>
              <w:t>5.8</w:t>
            </w:r>
          </w:p>
        </w:tc>
      </w:tr>
      <w:tr w:rsidR="00482346" w14:paraId="682A9E2E"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C377C9E" w14:textId="77777777" w:rsidR="00482346" w:rsidRDefault="00482346" w:rsidP="00C47645">
            <w:pPr>
              <w:adjustRightInd w:val="0"/>
              <w:spacing w:before="60" w:after="60"/>
              <w:rPr>
                <w:b/>
                <w:bCs/>
                <w:color w:val="000000"/>
              </w:rPr>
            </w:pPr>
            <w:r>
              <w:rPr>
                <w:b/>
                <w:bCs/>
                <w:color w:val="000000"/>
              </w:rPr>
              <w:t>Marital status</w:t>
            </w:r>
          </w:p>
        </w:tc>
        <w:tc>
          <w:tcPr>
            <w:tcW w:w="1914" w:type="dxa"/>
            <w:gridSpan w:val="2"/>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77B4A4FE" w14:textId="77777777" w:rsidR="00482346" w:rsidRDefault="00482346" w:rsidP="00C47645">
            <w:pPr>
              <w:adjustRightInd w:val="0"/>
              <w:spacing w:before="60" w:after="60"/>
              <w:rPr>
                <w:color w:val="000000"/>
              </w:rPr>
            </w:pPr>
          </w:p>
        </w:tc>
      </w:tr>
      <w:tr w:rsidR="00482346" w14:paraId="66175181"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460338EE" w14:textId="77777777" w:rsidR="00482346" w:rsidRPr="00F24165" w:rsidRDefault="00482346" w:rsidP="00C47645">
            <w:pPr>
              <w:adjustRightInd w:val="0"/>
              <w:spacing w:before="60" w:after="60"/>
              <w:rPr>
                <w:color w:val="000000"/>
              </w:rPr>
            </w:pPr>
            <w:r w:rsidRPr="00F24165">
              <w:rPr>
                <w:color w:val="000000"/>
              </w:rPr>
              <w:t>Married/partner</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04ABE3B9" w14:textId="77777777" w:rsidR="00482346" w:rsidRDefault="00482346" w:rsidP="00C47645">
            <w:pPr>
              <w:adjustRightInd w:val="0"/>
              <w:spacing w:before="60" w:after="60"/>
              <w:rPr>
                <w:color w:val="000000"/>
              </w:rPr>
            </w:pPr>
            <w:r>
              <w:rPr>
                <w:color w:val="000000"/>
              </w:rPr>
              <w:t>205</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514BDAD7" w14:textId="77777777" w:rsidR="00482346" w:rsidRDefault="00482346" w:rsidP="00C47645">
            <w:pPr>
              <w:adjustRightInd w:val="0"/>
              <w:spacing w:before="60" w:after="60"/>
              <w:rPr>
                <w:color w:val="000000"/>
              </w:rPr>
            </w:pPr>
            <w:r>
              <w:rPr>
                <w:color w:val="000000"/>
              </w:rPr>
              <w:t>53.7</w:t>
            </w:r>
          </w:p>
        </w:tc>
      </w:tr>
      <w:tr w:rsidR="00482346" w14:paraId="2CA16B0F"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279EB52E" w14:textId="77777777" w:rsidR="00482346" w:rsidRPr="00F24165" w:rsidRDefault="00482346" w:rsidP="00C47645">
            <w:pPr>
              <w:adjustRightInd w:val="0"/>
              <w:spacing w:before="60" w:after="60"/>
              <w:rPr>
                <w:color w:val="000000"/>
              </w:rPr>
            </w:pPr>
            <w:r>
              <w:rPr>
                <w:color w:val="000000"/>
              </w:rPr>
              <w:t>S</w:t>
            </w:r>
            <w:r w:rsidRPr="00F24165">
              <w:rPr>
                <w:color w:val="000000"/>
              </w:rPr>
              <w:t>eparated, divorced, widowed</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0E996E18" w14:textId="77777777" w:rsidR="00482346" w:rsidRDefault="00482346" w:rsidP="00C47645">
            <w:pPr>
              <w:adjustRightInd w:val="0"/>
              <w:spacing w:before="60" w:after="60"/>
              <w:rPr>
                <w:color w:val="000000"/>
              </w:rPr>
            </w:pPr>
            <w:r>
              <w:rPr>
                <w:color w:val="000000"/>
              </w:rPr>
              <w:t>97</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2F215407" w14:textId="77777777" w:rsidR="00482346" w:rsidRDefault="00482346" w:rsidP="00C47645">
            <w:pPr>
              <w:adjustRightInd w:val="0"/>
              <w:spacing w:before="60" w:after="60"/>
              <w:rPr>
                <w:color w:val="000000"/>
              </w:rPr>
            </w:pPr>
            <w:r>
              <w:rPr>
                <w:color w:val="000000"/>
              </w:rPr>
              <w:t>25.4</w:t>
            </w:r>
          </w:p>
        </w:tc>
      </w:tr>
      <w:tr w:rsidR="00482346" w14:paraId="6AD12906"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4794E21C" w14:textId="77777777" w:rsidR="00482346" w:rsidRPr="00F24165" w:rsidRDefault="00482346" w:rsidP="00C47645">
            <w:pPr>
              <w:adjustRightInd w:val="0"/>
              <w:spacing w:before="60" w:after="60"/>
              <w:rPr>
                <w:color w:val="000000"/>
              </w:rPr>
            </w:pPr>
            <w:r>
              <w:rPr>
                <w:color w:val="000000"/>
              </w:rPr>
              <w:t>S</w:t>
            </w:r>
            <w:r w:rsidRPr="00F24165">
              <w:rPr>
                <w:color w:val="000000"/>
              </w:rPr>
              <w:t>ingle</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35B326D6" w14:textId="77777777" w:rsidR="00482346" w:rsidRDefault="00482346" w:rsidP="00C47645">
            <w:pPr>
              <w:adjustRightInd w:val="0"/>
              <w:spacing w:before="60" w:after="60"/>
              <w:rPr>
                <w:color w:val="000000"/>
              </w:rPr>
            </w:pPr>
            <w:r>
              <w:rPr>
                <w:color w:val="000000"/>
              </w:rPr>
              <w:t>70</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34E5B157" w14:textId="77777777" w:rsidR="00482346" w:rsidRDefault="00482346" w:rsidP="00C47645">
            <w:pPr>
              <w:adjustRightInd w:val="0"/>
              <w:spacing w:before="60" w:after="60"/>
              <w:rPr>
                <w:color w:val="000000"/>
              </w:rPr>
            </w:pPr>
            <w:r>
              <w:rPr>
                <w:color w:val="000000"/>
              </w:rPr>
              <w:t>18.3</w:t>
            </w:r>
          </w:p>
        </w:tc>
      </w:tr>
      <w:tr w:rsidR="00482346" w14:paraId="54F0B9FF"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751FC3E3" w14:textId="77777777" w:rsidR="00482346" w:rsidRDefault="00482346" w:rsidP="00C47645">
            <w:pPr>
              <w:adjustRightInd w:val="0"/>
              <w:spacing w:before="60" w:after="60"/>
              <w:rPr>
                <w:color w:val="000000"/>
              </w:rPr>
            </w:pPr>
            <w:r>
              <w:rPr>
                <w:color w:val="000000"/>
              </w:rPr>
              <w:t>Unspecified</w:t>
            </w:r>
          </w:p>
        </w:tc>
        <w:tc>
          <w:tcPr>
            <w:tcW w:w="922" w:type="dxa"/>
            <w:tcBorders>
              <w:top w:val="nil"/>
              <w:left w:val="single" w:sz="2" w:space="0" w:color="000000"/>
              <w:bottom w:val="single" w:sz="2" w:space="0" w:color="000000"/>
              <w:right w:val="nil"/>
            </w:tcBorders>
            <w:shd w:val="clear" w:color="auto" w:fill="FFFFFF"/>
            <w:tcMar>
              <w:left w:w="60" w:type="dxa"/>
              <w:right w:w="60" w:type="dxa"/>
            </w:tcMar>
            <w:vAlign w:val="bottom"/>
          </w:tcPr>
          <w:p w14:paraId="5EAACD48" w14:textId="77777777" w:rsidR="00482346" w:rsidRDefault="00482346" w:rsidP="00C47645">
            <w:pPr>
              <w:adjustRightInd w:val="0"/>
              <w:spacing w:before="60" w:after="60"/>
              <w:rPr>
                <w:color w:val="000000"/>
              </w:rPr>
            </w:pPr>
            <w:r>
              <w:rPr>
                <w:color w:val="000000"/>
              </w:rPr>
              <w:t>10</w:t>
            </w:r>
          </w:p>
        </w:tc>
        <w:tc>
          <w:tcPr>
            <w:tcW w:w="992" w:type="dxa"/>
            <w:tcBorders>
              <w:top w:val="nil"/>
              <w:left w:val="single" w:sz="2" w:space="0" w:color="000000"/>
              <w:bottom w:val="single" w:sz="2" w:space="0" w:color="000000"/>
              <w:right w:val="single" w:sz="6" w:space="0" w:color="000000"/>
            </w:tcBorders>
            <w:shd w:val="clear" w:color="auto" w:fill="FFFFFF"/>
            <w:tcMar>
              <w:left w:w="60" w:type="dxa"/>
              <w:right w:w="60" w:type="dxa"/>
            </w:tcMar>
            <w:vAlign w:val="bottom"/>
          </w:tcPr>
          <w:p w14:paraId="599219B2" w14:textId="77777777" w:rsidR="00482346" w:rsidRDefault="00482346" w:rsidP="00C47645">
            <w:pPr>
              <w:adjustRightInd w:val="0"/>
              <w:spacing w:before="60" w:after="60"/>
              <w:rPr>
                <w:color w:val="000000"/>
              </w:rPr>
            </w:pPr>
            <w:r>
              <w:rPr>
                <w:color w:val="000000"/>
              </w:rPr>
              <w:t>2.6</w:t>
            </w:r>
          </w:p>
        </w:tc>
      </w:tr>
      <w:tr w:rsidR="00482346" w14:paraId="6E038FA5"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321C60E7" w14:textId="77777777" w:rsidR="00482346" w:rsidRDefault="00482346" w:rsidP="00C47645">
            <w:pPr>
              <w:adjustRightInd w:val="0"/>
              <w:spacing w:before="60" w:after="60"/>
              <w:rPr>
                <w:b/>
                <w:bCs/>
                <w:color w:val="000000"/>
              </w:rPr>
            </w:pPr>
            <w:r>
              <w:rPr>
                <w:b/>
                <w:bCs/>
                <w:color w:val="000000"/>
              </w:rPr>
              <w:t>Domestic status</w:t>
            </w:r>
          </w:p>
        </w:tc>
        <w:tc>
          <w:tcPr>
            <w:tcW w:w="1914" w:type="dxa"/>
            <w:gridSpan w:val="2"/>
            <w:tcBorders>
              <w:top w:val="nil"/>
              <w:left w:val="single" w:sz="2" w:space="0" w:color="000000"/>
              <w:bottom w:val="single" w:sz="4" w:space="0" w:color="auto"/>
              <w:right w:val="single" w:sz="6" w:space="0" w:color="000000"/>
            </w:tcBorders>
            <w:shd w:val="clear" w:color="auto" w:fill="FFFFFF"/>
            <w:tcMar>
              <w:left w:w="60" w:type="dxa"/>
              <w:right w:w="60" w:type="dxa"/>
            </w:tcMar>
            <w:vAlign w:val="bottom"/>
          </w:tcPr>
          <w:p w14:paraId="05BE3BAA" w14:textId="77777777" w:rsidR="00482346" w:rsidRDefault="00482346" w:rsidP="00C47645">
            <w:pPr>
              <w:adjustRightInd w:val="0"/>
              <w:spacing w:before="60" w:after="60"/>
              <w:rPr>
                <w:color w:val="000000"/>
              </w:rPr>
            </w:pPr>
          </w:p>
        </w:tc>
      </w:tr>
      <w:tr w:rsidR="00482346" w14:paraId="2DA27D79" w14:textId="77777777" w:rsidTr="00C47645">
        <w:trPr>
          <w:cantSplit/>
          <w:jc w:val="center"/>
        </w:trPr>
        <w:tc>
          <w:tcPr>
            <w:tcW w:w="0" w:type="auto"/>
            <w:tcBorders>
              <w:top w:val="nil"/>
              <w:left w:val="single" w:sz="6" w:space="0" w:color="000000"/>
              <w:bottom w:val="single" w:sz="2" w:space="0" w:color="000000"/>
              <w:right w:val="nil"/>
            </w:tcBorders>
            <w:shd w:val="clear" w:color="auto" w:fill="BBBBBB"/>
            <w:tcMar>
              <w:left w:w="60" w:type="dxa"/>
              <w:right w:w="60" w:type="dxa"/>
            </w:tcMar>
          </w:tcPr>
          <w:p w14:paraId="19AA9133" w14:textId="77777777" w:rsidR="00482346" w:rsidRPr="00F24165" w:rsidRDefault="00482346" w:rsidP="00C47645">
            <w:pPr>
              <w:adjustRightInd w:val="0"/>
              <w:spacing w:before="60" w:after="60"/>
              <w:rPr>
                <w:color w:val="000000"/>
              </w:rPr>
            </w:pPr>
            <w:r w:rsidRPr="00F24165">
              <w:rPr>
                <w:color w:val="000000"/>
              </w:rPr>
              <w:t>Live alone</w:t>
            </w:r>
          </w:p>
        </w:tc>
        <w:tc>
          <w:tcPr>
            <w:tcW w:w="922" w:type="dxa"/>
            <w:tcBorders>
              <w:top w:val="single" w:sz="4" w:space="0" w:color="auto"/>
              <w:left w:val="single" w:sz="2" w:space="0" w:color="000000"/>
              <w:bottom w:val="single" w:sz="2" w:space="0" w:color="000000"/>
              <w:right w:val="nil"/>
            </w:tcBorders>
            <w:shd w:val="clear" w:color="auto" w:fill="FFFFFF"/>
            <w:tcMar>
              <w:left w:w="60" w:type="dxa"/>
              <w:right w:w="60" w:type="dxa"/>
            </w:tcMar>
            <w:vAlign w:val="bottom"/>
          </w:tcPr>
          <w:p w14:paraId="3F910681" w14:textId="77777777" w:rsidR="00482346" w:rsidRDefault="00482346" w:rsidP="00C47645">
            <w:pPr>
              <w:adjustRightInd w:val="0"/>
              <w:spacing w:before="60" w:after="60"/>
              <w:rPr>
                <w:color w:val="000000"/>
              </w:rPr>
            </w:pPr>
            <w:r>
              <w:rPr>
                <w:color w:val="000000"/>
              </w:rPr>
              <w:t>126</w:t>
            </w:r>
          </w:p>
        </w:tc>
        <w:tc>
          <w:tcPr>
            <w:tcW w:w="992" w:type="dxa"/>
            <w:tcBorders>
              <w:top w:val="single" w:sz="4" w:space="0" w:color="auto"/>
              <w:left w:val="single" w:sz="2" w:space="0" w:color="000000"/>
              <w:bottom w:val="single" w:sz="2" w:space="0" w:color="000000"/>
              <w:right w:val="single" w:sz="6" w:space="0" w:color="000000"/>
            </w:tcBorders>
            <w:shd w:val="clear" w:color="auto" w:fill="FFFFFF"/>
            <w:tcMar>
              <w:left w:w="60" w:type="dxa"/>
              <w:right w:w="60" w:type="dxa"/>
            </w:tcMar>
            <w:vAlign w:val="bottom"/>
          </w:tcPr>
          <w:p w14:paraId="39B34673" w14:textId="77777777" w:rsidR="00482346" w:rsidRDefault="00482346" w:rsidP="00C47645">
            <w:pPr>
              <w:adjustRightInd w:val="0"/>
              <w:spacing w:before="60" w:after="60"/>
              <w:rPr>
                <w:color w:val="000000"/>
              </w:rPr>
            </w:pPr>
            <w:r>
              <w:rPr>
                <w:color w:val="000000"/>
              </w:rPr>
              <w:t>33.0</w:t>
            </w:r>
          </w:p>
        </w:tc>
      </w:tr>
      <w:tr w:rsidR="00482346" w14:paraId="3831586F" w14:textId="77777777" w:rsidTr="00C47645">
        <w:trPr>
          <w:cantSplit/>
          <w:jc w:val="center"/>
        </w:trPr>
        <w:tc>
          <w:tcPr>
            <w:tcW w:w="0" w:type="auto"/>
            <w:tcBorders>
              <w:top w:val="nil"/>
              <w:left w:val="single" w:sz="6" w:space="0" w:color="000000"/>
              <w:bottom w:val="single" w:sz="4" w:space="0" w:color="auto"/>
              <w:right w:val="nil"/>
            </w:tcBorders>
            <w:shd w:val="clear" w:color="auto" w:fill="BBBBBB"/>
            <w:tcMar>
              <w:left w:w="60" w:type="dxa"/>
              <w:right w:w="60" w:type="dxa"/>
            </w:tcMar>
          </w:tcPr>
          <w:p w14:paraId="4DB460AD" w14:textId="77777777" w:rsidR="00482346" w:rsidRPr="00F24165" w:rsidRDefault="00482346" w:rsidP="00C47645">
            <w:pPr>
              <w:adjustRightInd w:val="0"/>
              <w:spacing w:before="60" w:after="60"/>
              <w:rPr>
                <w:color w:val="000000"/>
              </w:rPr>
            </w:pPr>
            <w:r>
              <w:rPr>
                <w:color w:val="000000"/>
              </w:rPr>
              <w:t>L</w:t>
            </w:r>
            <w:r w:rsidRPr="00F24165">
              <w:rPr>
                <w:color w:val="000000"/>
              </w:rPr>
              <w:t>ive with family/loved ones</w:t>
            </w:r>
          </w:p>
        </w:tc>
        <w:tc>
          <w:tcPr>
            <w:tcW w:w="922" w:type="dxa"/>
            <w:tcBorders>
              <w:top w:val="nil"/>
              <w:left w:val="single" w:sz="2" w:space="0" w:color="000000"/>
              <w:bottom w:val="single" w:sz="4" w:space="0" w:color="auto"/>
              <w:right w:val="nil"/>
            </w:tcBorders>
            <w:shd w:val="clear" w:color="auto" w:fill="FFFFFF"/>
            <w:tcMar>
              <w:left w:w="60" w:type="dxa"/>
              <w:right w:w="60" w:type="dxa"/>
            </w:tcMar>
            <w:vAlign w:val="bottom"/>
          </w:tcPr>
          <w:p w14:paraId="1BED9EE6" w14:textId="77777777" w:rsidR="00482346" w:rsidRDefault="00482346" w:rsidP="00C47645">
            <w:pPr>
              <w:adjustRightInd w:val="0"/>
              <w:spacing w:before="60" w:after="60"/>
              <w:rPr>
                <w:color w:val="000000"/>
              </w:rPr>
            </w:pPr>
            <w:r>
              <w:rPr>
                <w:color w:val="000000"/>
              </w:rPr>
              <w:t>242</w:t>
            </w:r>
          </w:p>
        </w:tc>
        <w:tc>
          <w:tcPr>
            <w:tcW w:w="992" w:type="dxa"/>
            <w:tcBorders>
              <w:top w:val="nil"/>
              <w:left w:val="single" w:sz="2" w:space="0" w:color="000000"/>
              <w:bottom w:val="single" w:sz="4" w:space="0" w:color="auto"/>
              <w:right w:val="single" w:sz="6" w:space="0" w:color="000000"/>
            </w:tcBorders>
            <w:shd w:val="clear" w:color="auto" w:fill="FFFFFF"/>
            <w:tcMar>
              <w:left w:w="60" w:type="dxa"/>
              <w:right w:w="60" w:type="dxa"/>
            </w:tcMar>
            <w:vAlign w:val="bottom"/>
          </w:tcPr>
          <w:p w14:paraId="05F58D10" w14:textId="77777777" w:rsidR="00482346" w:rsidRDefault="00482346" w:rsidP="00C47645">
            <w:pPr>
              <w:adjustRightInd w:val="0"/>
              <w:spacing w:before="60" w:after="60"/>
              <w:rPr>
                <w:color w:val="000000"/>
              </w:rPr>
            </w:pPr>
            <w:r>
              <w:rPr>
                <w:color w:val="000000"/>
              </w:rPr>
              <w:t>63.3</w:t>
            </w:r>
          </w:p>
        </w:tc>
      </w:tr>
      <w:tr w:rsidR="00482346" w14:paraId="56793F5E" w14:textId="77777777" w:rsidTr="00C4764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BBBBB"/>
            <w:tcMar>
              <w:left w:w="60" w:type="dxa"/>
              <w:right w:w="60" w:type="dxa"/>
            </w:tcMar>
          </w:tcPr>
          <w:p w14:paraId="581A67F3" w14:textId="77777777" w:rsidR="00482346" w:rsidRPr="00131C30" w:rsidRDefault="00482346" w:rsidP="00C47645">
            <w:pPr>
              <w:adjustRightInd w:val="0"/>
              <w:spacing w:before="60" w:after="60"/>
              <w:rPr>
                <w:color w:val="000000"/>
                <w:vertAlign w:val="superscript"/>
              </w:rPr>
            </w:pPr>
            <w:r>
              <w:rPr>
                <w:color w:val="000000"/>
              </w:rPr>
              <w:t>Ot</w:t>
            </w:r>
            <w:r w:rsidRPr="00F24165">
              <w:rPr>
                <w:color w:val="000000"/>
              </w:rPr>
              <w:t>her</w:t>
            </w:r>
            <w:r>
              <w:rPr>
                <w:vertAlign w:val="superscript"/>
              </w:rPr>
              <w:t>2</w:t>
            </w:r>
          </w:p>
        </w:tc>
        <w:tc>
          <w:tcPr>
            <w:tcW w:w="92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bottom"/>
          </w:tcPr>
          <w:p w14:paraId="0812B603" w14:textId="77777777" w:rsidR="00482346" w:rsidRDefault="00482346" w:rsidP="00C47645">
            <w:pPr>
              <w:adjustRightInd w:val="0"/>
              <w:spacing w:before="60" w:after="60"/>
              <w:rPr>
                <w:color w:val="000000"/>
              </w:rPr>
            </w:pPr>
            <w:r>
              <w:rPr>
                <w:color w:val="00000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bottom"/>
          </w:tcPr>
          <w:p w14:paraId="50DD57AC" w14:textId="77777777" w:rsidR="00482346" w:rsidRDefault="00482346" w:rsidP="00C47645">
            <w:pPr>
              <w:adjustRightInd w:val="0"/>
              <w:spacing w:before="60" w:after="60"/>
              <w:rPr>
                <w:color w:val="000000"/>
              </w:rPr>
            </w:pPr>
            <w:r>
              <w:rPr>
                <w:color w:val="000000"/>
              </w:rPr>
              <w:t>1.3</w:t>
            </w:r>
          </w:p>
        </w:tc>
      </w:tr>
      <w:tr w:rsidR="00482346" w14:paraId="41F99063" w14:textId="77777777" w:rsidTr="00C4764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BBBBB"/>
            <w:tcMar>
              <w:left w:w="60" w:type="dxa"/>
              <w:right w:w="60" w:type="dxa"/>
            </w:tcMar>
          </w:tcPr>
          <w:p w14:paraId="0480E9D8" w14:textId="77777777" w:rsidR="00482346" w:rsidRDefault="00482346" w:rsidP="00C47645">
            <w:pPr>
              <w:adjustRightInd w:val="0"/>
              <w:spacing w:before="60" w:after="60"/>
              <w:rPr>
                <w:color w:val="000000"/>
              </w:rPr>
            </w:pPr>
            <w:r>
              <w:rPr>
                <w:color w:val="000000"/>
              </w:rPr>
              <w:t>Unspecified</w:t>
            </w:r>
          </w:p>
        </w:tc>
        <w:tc>
          <w:tcPr>
            <w:tcW w:w="92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bottom"/>
          </w:tcPr>
          <w:p w14:paraId="6097BE23" w14:textId="77777777" w:rsidR="00482346" w:rsidRDefault="00482346" w:rsidP="00C47645">
            <w:pPr>
              <w:adjustRightInd w:val="0"/>
              <w:spacing w:before="60" w:after="60"/>
              <w:rPr>
                <w:color w:val="000000"/>
              </w:rPr>
            </w:pPr>
            <w:r>
              <w:rPr>
                <w:color w:val="000000"/>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bottom"/>
          </w:tcPr>
          <w:p w14:paraId="3866272C" w14:textId="77777777" w:rsidR="00482346" w:rsidRDefault="00482346" w:rsidP="00C47645">
            <w:pPr>
              <w:adjustRightInd w:val="0"/>
              <w:spacing w:before="60" w:after="60"/>
              <w:rPr>
                <w:color w:val="000000"/>
              </w:rPr>
            </w:pPr>
            <w:r>
              <w:rPr>
                <w:color w:val="000000"/>
              </w:rPr>
              <w:t>2.4</w:t>
            </w:r>
          </w:p>
        </w:tc>
      </w:tr>
    </w:tbl>
    <w:p w14:paraId="1E24F1CB" w14:textId="77777777" w:rsidR="00482346" w:rsidRPr="00131C30" w:rsidRDefault="00482346" w:rsidP="00482346">
      <w:pPr>
        <w:pStyle w:val="FootnoteText"/>
        <w:rPr>
          <w:sz w:val="18"/>
          <w:szCs w:val="18"/>
        </w:rPr>
      </w:pPr>
      <w:r>
        <w:rPr>
          <w:sz w:val="18"/>
          <w:szCs w:val="18"/>
          <w:vertAlign w:val="superscript"/>
        </w:rPr>
        <w:t>1</w:t>
      </w:r>
      <w:r w:rsidRPr="00131C30">
        <w:rPr>
          <w:sz w:val="18"/>
          <w:szCs w:val="18"/>
        </w:rPr>
        <w:t>Unable to work due to poor health (n=3); Casual work (n=1); In prison (n=1); Unspecified other (n=2)</w:t>
      </w:r>
    </w:p>
    <w:p w14:paraId="73C617B6" w14:textId="78B7B5DF" w:rsidR="00C87FE2" w:rsidRPr="00482346" w:rsidRDefault="00482346">
      <w:pPr>
        <w:rPr>
          <w:sz w:val="18"/>
          <w:szCs w:val="18"/>
        </w:rPr>
      </w:pPr>
      <w:r>
        <w:rPr>
          <w:sz w:val="18"/>
          <w:szCs w:val="18"/>
          <w:vertAlign w:val="superscript"/>
        </w:rPr>
        <w:t>2</w:t>
      </w:r>
      <w:r w:rsidRPr="00131C30">
        <w:rPr>
          <w:sz w:val="18"/>
          <w:szCs w:val="18"/>
        </w:rPr>
        <w:t>Live with friend (n=3); Unspecified other (n=2)</w:t>
      </w:r>
    </w:p>
    <w:sectPr w:rsidR="00C87FE2" w:rsidRPr="00482346" w:rsidSect="004750E5">
      <w:headerReference w:type="default"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3804" w14:textId="77777777" w:rsidR="00852362" w:rsidRDefault="00852362">
      <w:pPr>
        <w:spacing w:after="0" w:line="240" w:lineRule="auto"/>
      </w:pPr>
      <w:r>
        <w:separator/>
      </w:r>
    </w:p>
  </w:endnote>
  <w:endnote w:type="continuationSeparator" w:id="0">
    <w:p w14:paraId="6D1B02AE" w14:textId="77777777" w:rsidR="00852362" w:rsidRDefault="0085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630595"/>
      <w:docPartObj>
        <w:docPartGallery w:val="Page Numbers (Bottom of Page)"/>
        <w:docPartUnique/>
      </w:docPartObj>
    </w:sdtPr>
    <w:sdtEndPr>
      <w:rPr>
        <w:noProof/>
      </w:rPr>
    </w:sdtEndPr>
    <w:sdtContent>
      <w:p w14:paraId="7E5278F5" w14:textId="77777777" w:rsidR="00D7529D" w:rsidRDefault="009F672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CF737FB" w14:textId="77777777" w:rsidR="00D7529D" w:rsidRPr="00AF4531" w:rsidRDefault="00482346" w:rsidP="00612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CFC8" w14:textId="77777777" w:rsidR="00D7529D" w:rsidRPr="00411677" w:rsidRDefault="009F672C" w:rsidP="006121A1">
    <w:pPr>
      <w:spacing w:before="120"/>
      <w:jc w:val="both"/>
      <w:rPr>
        <w:rFonts w:ascii="Times New Roman" w:hAnsi="Times New Roman"/>
        <w:sz w:val="16"/>
      </w:rPr>
    </w:pPr>
    <w:r>
      <w:rPr>
        <w:rFonts w:ascii="Times New Roman" w:hAnsi="Times New Roman"/>
        <w:sz w:val="16"/>
      </w:rPr>
      <w:fldChar w:fldCharType="begin"/>
    </w:r>
    <w:r>
      <w:rPr>
        <w:rFonts w:ascii="Times New Roman" w:hAnsi="Times New Roman"/>
        <w:sz w:val="16"/>
      </w:rPr>
      <w:instrText>SYMBOL 227 \f "Symbol"</w:instrText>
    </w:r>
    <w:r>
      <w:rPr>
        <w:rFonts w:ascii="Times New Roman" w:hAnsi="Times New Roman"/>
        <w:sz w:val="16"/>
      </w:rPr>
      <w:fldChar w:fldCharType="end"/>
    </w:r>
    <w:r>
      <w:rPr>
        <w:rFonts w:ascii="Times New Roman" w:hAnsi="Times New Roman"/>
        <w:sz w:val="16"/>
      </w:rPr>
      <w:t xml:space="preserve"> QLQ-ANL27 Copyright 2016 EORTC Quality of life Group.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57A5" w14:textId="77777777" w:rsidR="00852362" w:rsidRDefault="00852362">
      <w:pPr>
        <w:spacing w:after="0" w:line="240" w:lineRule="auto"/>
      </w:pPr>
      <w:r>
        <w:separator/>
      </w:r>
    </w:p>
  </w:footnote>
  <w:footnote w:type="continuationSeparator" w:id="0">
    <w:p w14:paraId="3A9D462A" w14:textId="77777777" w:rsidR="00852362" w:rsidRDefault="00852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37D0" w14:textId="77777777" w:rsidR="00D7529D" w:rsidRPr="00F15E2E" w:rsidRDefault="00482346" w:rsidP="006121A1">
    <w:pPr>
      <w:pStyle w:val="Header"/>
      <w:tabs>
        <w:tab w:val="left" w:pos="8175"/>
      </w:tabs>
      <w:jc w:val="right"/>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8440" w14:textId="77777777" w:rsidR="00D7529D" w:rsidRPr="00411677" w:rsidRDefault="009F672C" w:rsidP="006121A1">
    <w:pPr>
      <w:pStyle w:val="Header"/>
      <w:jc w:val="right"/>
      <w:rPr>
        <w:bCs/>
        <w:sz w:val="16"/>
        <w:szCs w:val="16"/>
      </w:rPr>
    </w:pPr>
    <w:r w:rsidRPr="00EE62E5">
      <w:rPr>
        <w:bCs/>
        <w:sz w:val="16"/>
        <w:szCs w:val="16"/>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5F19"/>
    <w:multiLevelType w:val="multilevel"/>
    <w:tmpl w:val="1850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83F20"/>
    <w:multiLevelType w:val="hybridMultilevel"/>
    <w:tmpl w:val="631236DE"/>
    <w:lvl w:ilvl="0" w:tplc="287451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509D4"/>
    <w:multiLevelType w:val="multilevel"/>
    <w:tmpl w:val="5822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07152"/>
    <w:multiLevelType w:val="hybridMultilevel"/>
    <w:tmpl w:val="1A72C694"/>
    <w:lvl w:ilvl="0" w:tplc="FFF4E648">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E2BAD"/>
    <w:multiLevelType w:val="hybridMultilevel"/>
    <w:tmpl w:val="472CEE32"/>
    <w:lvl w:ilvl="0" w:tplc="5AA02302">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3D3F72"/>
    <w:multiLevelType w:val="multilevel"/>
    <w:tmpl w:val="6E8A3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826D0"/>
    <w:multiLevelType w:val="multilevel"/>
    <w:tmpl w:val="748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56F7A"/>
    <w:multiLevelType w:val="hybridMultilevel"/>
    <w:tmpl w:val="EBF0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96195"/>
    <w:multiLevelType w:val="hybridMultilevel"/>
    <w:tmpl w:val="8E1C5318"/>
    <w:lvl w:ilvl="0" w:tplc="853A7E16">
      <w:start w:val="19"/>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1757DFF"/>
    <w:multiLevelType w:val="multilevel"/>
    <w:tmpl w:val="08CC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344B6"/>
    <w:multiLevelType w:val="hybridMultilevel"/>
    <w:tmpl w:val="2D22B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AD6C9A"/>
    <w:multiLevelType w:val="multilevel"/>
    <w:tmpl w:val="1902D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7B0D86"/>
    <w:multiLevelType w:val="multilevel"/>
    <w:tmpl w:val="DA7E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624DD"/>
    <w:multiLevelType w:val="hybridMultilevel"/>
    <w:tmpl w:val="71FC719C"/>
    <w:lvl w:ilvl="0" w:tplc="E0DAB548">
      <w:start w:val="1"/>
      <w:numFmt w:val="decimal"/>
      <w:lvlText w:val="%1)"/>
      <w:lvlJc w:val="left"/>
      <w:pPr>
        <w:ind w:left="720" w:hanging="360"/>
      </w:pPr>
      <w:rPr>
        <w:rFonts w:asciiTheme="minorHAnsi" w:hAnsiTheme="minorHAnsi"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15:restartNumberingAfterBreak="0">
    <w:nsid w:val="7EB5289A"/>
    <w:multiLevelType w:val="hybridMultilevel"/>
    <w:tmpl w:val="EF3C7520"/>
    <w:lvl w:ilvl="0" w:tplc="EA461C6A">
      <w:start w:val="1"/>
      <w:numFmt w:val="decimal"/>
      <w:lvlText w:val="%1."/>
      <w:lvlJc w:val="left"/>
      <w:pPr>
        <w:ind w:left="644" w:hanging="360"/>
      </w:pPr>
      <w:rPr>
        <w:rFonts w:asciiTheme="minorHAnsi" w:hAnsiTheme="minorHAnsi" w:cs="Calibri,Bold" w:hint="default"/>
        <w:b w:val="0"/>
        <w:sz w:val="22"/>
        <w:szCs w:val="22"/>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4"/>
  </w:num>
  <w:num w:numId="2">
    <w:abstractNumId w:val="11"/>
  </w:num>
  <w:num w:numId="3">
    <w:abstractNumId w:val="0"/>
  </w:num>
  <w:num w:numId="4">
    <w:abstractNumId w:val="9"/>
  </w:num>
  <w:num w:numId="5">
    <w:abstractNumId w:val="12"/>
  </w:num>
  <w:num w:numId="6">
    <w:abstractNumId w:val="2"/>
  </w:num>
  <w:num w:numId="7">
    <w:abstractNumId w:val="6"/>
  </w:num>
  <w:num w:numId="8">
    <w:abstractNumId w:val="4"/>
  </w:num>
  <w:num w:numId="9">
    <w:abstractNumId w:val="13"/>
  </w:num>
  <w:num w:numId="10">
    <w:abstractNumId w:val="1"/>
  </w:num>
  <w:num w:numId="11">
    <w:abstractNumId w:val="10"/>
  </w:num>
  <w:num w:numId="12">
    <w:abstractNumId w:val="5"/>
  </w:num>
  <w:num w:numId="13">
    <w:abstractNumId w:val="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E48FF"/>
    <w:rsid w:val="000002EF"/>
    <w:rsid w:val="00023027"/>
    <w:rsid w:val="000232C8"/>
    <w:rsid w:val="0002661D"/>
    <w:rsid w:val="00030CB2"/>
    <w:rsid w:val="00031CCA"/>
    <w:rsid w:val="0006418F"/>
    <w:rsid w:val="0007504B"/>
    <w:rsid w:val="00083971"/>
    <w:rsid w:val="00091977"/>
    <w:rsid w:val="00091B03"/>
    <w:rsid w:val="00094275"/>
    <w:rsid w:val="000A07EA"/>
    <w:rsid w:val="000A1C6D"/>
    <w:rsid w:val="000B5B7F"/>
    <w:rsid w:val="000E5CB7"/>
    <w:rsid w:val="0010294F"/>
    <w:rsid w:val="00130E20"/>
    <w:rsid w:val="00131883"/>
    <w:rsid w:val="001537BA"/>
    <w:rsid w:val="00154200"/>
    <w:rsid w:val="00167516"/>
    <w:rsid w:val="00172086"/>
    <w:rsid w:val="00174276"/>
    <w:rsid w:val="00177B2E"/>
    <w:rsid w:val="00182CA4"/>
    <w:rsid w:val="00182E3D"/>
    <w:rsid w:val="00185EE2"/>
    <w:rsid w:val="001A0B76"/>
    <w:rsid w:val="001B7102"/>
    <w:rsid w:val="001C7FE9"/>
    <w:rsid w:val="001D0496"/>
    <w:rsid w:val="001E34FA"/>
    <w:rsid w:val="001F5424"/>
    <w:rsid w:val="002079B3"/>
    <w:rsid w:val="00211A54"/>
    <w:rsid w:val="00216971"/>
    <w:rsid w:val="00221AFE"/>
    <w:rsid w:val="00221D02"/>
    <w:rsid w:val="00231FEC"/>
    <w:rsid w:val="00242BBA"/>
    <w:rsid w:val="00243373"/>
    <w:rsid w:val="002505AC"/>
    <w:rsid w:val="0027341F"/>
    <w:rsid w:val="0027355C"/>
    <w:rsid w:val="002B1503"/>
    <w:rsid w:val="002E48FF"/>
    <w:rsid w:val="0030053E"/>
    <w:rsid w:val="00301EC6"/>
    <w:rsid w:val="00304BC3"/>
    <w:rsid w:val="00311BF0"/>
    <w:rsid w:val="0031682B"/>
    <w:rsid w:val="00317B70"/>
    <w:rsid w:val="00336DF6"/>
    <w:rsid w:val="00347C5F"/>
    <w:rsid w:val="00347D04"/>
    <w:rsid w:val="0035026B"/>
    <w:rsid w:val="00362FE0"/>
    <w:rsid w:val="00363267"/>
    <w:rsid w:val="00367748"/>
    <w:rsid w:val="00372E5A"/>
    <w:rsid w:val="003861FA"/>
    <w:rsid w:val="003A6A37"/>
    <w:rsid w:val="003B1812"/>
    <w:rsid w:val="003C53C3"/>
    <w:rsid w:val="00413DA6"/>
    <w:rsid w:val="00413E5E"/>
    <w:rsid w:val="00414D05"/>
    <w:rsid w:val="00474679"/>
    <w:rsid w:val="00482346"/>
    <w:rsid w:val="00483FAF"/>
    <w:rsid w:val="00490362"/>
    <w:rsid w:val="00491A31"/>
    <w:rsid w:val="00493F29"/>
    <w:rsid w:val="004A1C9B"/>
    <w:rsid w:val="004D5FDE"/>
    <w:rsid w:val="004E7B13"/>
    <w:rsid w:val="004F7638"/>
    <w:rsid w:val="00516B67"/>
    <w:rsid w:val="005349B6"/>
    <w:rsid w:val="00536EDD"/>
    <w:rsid w:val="005424E1"/>
    <w:rsid w:val="005632CE"/>
    <w:rsid w:val="005665C1"/>
    <w:rsid w:val="00572E54"/>
    <w:rsid w:val="00573211"/>
    <w:rsid w:val="0059344D"/>
    <w:rsid w:val="005A0381"/>
    <w:rsid w:val="005A4980"/>
    <w:rsid w:val="005A4A32"/>
    <w:rsid w:val="005A6EB2"/>
    <w:rsid w:val="005C663E"/>
    <w:rsid w:val="005E0174"/>
    <w:rsid w:val="005E57E1"/>
    <w:rsid w:val="005F368A"/>
    <w:rsid w:val="005F44FD"/>
    <w:rsid w:val="006077E9"/>
    <w:rsid w:val="00621B2C"/>
    <w:rsid w:val="00650EF8"/>
    <w:rsid w:val="00662135"/>
    <w:rsid w:val="006626B5"/>
    <w:rsid w:val="0066303E"/>
    <w:rsid w:val="00665BFF"/>
    <w:rsid w:val="006668BE"/>
    <w:rsid w:val="006677C0"/>
    <w:rsid w:val="00686027"/>
    <w:rsid w:val="006877E9"/>
    <w:rsid w:val="00691A9C"/>
    <w:rsid w:val="006A237F"/>
    <w:rsid w:val="006A500C"/>
    <w:rsid w:val="006B2098"/>
    <w:rsid w:val="006B570C"/>
    <w:rsid w:val="006C0E04"/>
    <w:rsid w:val="006E078D"/>
    <w:rsid w:val="006E7DF9"/>
    <w:rsid w:val="00705995"/>
    <w:rsid w:val="0073025E"/>
    <w:rsid w:val="007315AB"/>
    <w:rsid w:val="0073708F"/>
    <w:rsid w:val="00741710"/>
    <w:rsid w:val="0074398E"/>
    <w:rsid w:val="00753A48"/>
    <w:rsid w:val="00756E06"/>
    <w:rsid w:val="0077063C"/>
    <w:rsid w:val="00780C0C"/>
    <w:rsid w:val="007A671B"/>
    <w:rsid w:val="007B652B"/>
    <w:rsid w:val="007E34F2"/>
    <w:rsid w:val="00800E90"/>
    <w:rsid w:val="00800EEB"/>
    <w:rsid w:val="00814139"/>
    <w:rsid w:val="00851036"/>
    <w:rsid w:val="0085146D"/>
    <w:rsid w:val="008522BA"/>
    <w:rsid w:val="00852362"/>
    <w:rsid w:val="00857672"/>
    <w:rsid w:val="008659DE"/>
    <w:rsid w:val="0087023D"/>
    <w:rsid w:val="0088407D"/>
    <w:rsid w:val="008A1EAC"/>
    <w:rsid w:val="008A1EF7"/>
    <w:rsid w:val="008D16A6"/>
    <w:rsid w:val="008D682E"/>
    <w:rsid w:val="008E228B"/>
    <w:rsid w:val="008F72F5"/>
    <w:rsid w:val="0093303D"/>
    <w:rsid w:val="00935C07"/>
    <w:rsid w:val="00941E91"/>
    <w:rsid w:val="0094389B"/>
    <w:rsid w:val="00945F03"/>
    <w:rsid w:val="00950F0F"/>
    <w:rsid w:val="00955CC2"/>
    <w:rsid w:val="00957DF3"/>
    <w:rsid w:val="009825BD"/>
    <w:rsid w:val="009850E1"/>
    <w:rsid w:val="009A578D"/>
    <w:rsid w:val="009B1565"/>
    <w:rsid w:val="009C2380"/>
    <w:rsid w:val="009D3326"/>
    <w:rsid w:val="009E464A"/>
    <w:rsid w:val="009E5466"/>
    <w:rsid w:val="009F2C03"/>
    <w:rsid w:val="009F5660"/>
    <w:rsid w:val="009F672C"/>
    <w:rsid w:val="00A00A2F"/>
    <w:rsid w:val="00A22116"/>
    <w:rsid w:val="00A3498E"/>
    <w:rsid w:val="00A41212"/>
    <w:rsid w:val="00A52619"/>
    <w:rsid w:val="00A53842"/>
    <w:rsid w:val="00A55FE8"/>
    <w:rsid w:val="00A56F2D"/>
    <w:rsid w:val="00A60455"/>
    <w:rsid w:val="00A863CF"/>
    <w:rsid w:val="00A9693D"/>
    <w:rsid w:val="00A97360"/>
    <w:rsid w:val="00AB03E9"/>
    <w:rsid w:val="00AC069D"/>
    <w:rsid w:val="00AD4B04"/>
    <w:rsid w:val="00AF1153"/>
    <w:rsid w:val="00AF49E4"/>
    <w:rsid w:val="00B0257D"/>
    <w:rsid w:val="00B22EAD"/>
    <w:rsid w:val="00B42001"/>
    <w:rsid w:val="00B47A79"/>
    <w:rsid w:val="00B55A76"/>
    <w:rsid w:val="00B63C33"/>
    <w:rsid w:val="00B672E6"/>
    <w:rsid w:val="00B80EE8"/>
    <w:rsid w:val="00B836DF"/>
    <w:rsid w:val="00B83CBD"/>
    <w:rsid w:val="00B9521E"/>
    <w:rsid w:val="00BB2CDB"/>
    <w:rsid w:val="00BB785B"/>
    <w:rsid w:val="00BC04AC"/>
    <w:rsid w:val="00BD44D6"/>
    <w:rsid w:val="00BD63A0"/>
    <w:rsid w:val="00BE2741"/>
    <w:rsid w:val="00BE72C3"/>
    <w:rsid w:val="00BF18EB"/>
    <w:rsid w:val="00BF3A9B"/>
    <w:rsid w:val="00C1309A"/>
    <w:rsid w:val="00C25B76"/>
    <w:rsid w:val="00C30A3D"/>
    <w:rsid w:val="00C615FA"/>
    <w:rsid w:val="00C649F5"/>
    <w:rsid w:val="00C70677"/>
    <w:rsid w:val="00C72956"/>
    <w:rsid w:val="00C72D6C"/>
    <w:rsid w:val="00C87FE2"/>
    <w:rsid w:val="00C95E4A"/>
    <w:rsid w:val="00CA5E99"/>
    <w:rsid w:val="00CC67DC"/>
    <w:rsid w:val="00CD3132"/>
    <w:rsid w:val="00CE758F"/>
    <w:rsid w:val="00D16931"/>
    <w:rsid w:val="00D317BA"/>
    <w:rsid w:val="00D46793"/>
    <w:rsid w:val="00D47431"/>
    <w:rsid w:val="00D64406"/>
    <w:rsid w:val="00D661E3"/>
    <w:rsid w:val="00D66C6F"/>
    <w:rsid w:val="00D76163"/>
    <w:rsid w:val="00DA49F6"/>
    <w:rsid w:val="00DB13AD"/>
    <w:rsid w:val="00DC1F2B"/>
    <w:rsid w:val="00DE135E"/>
    <w:rsid w:val="00DF21D0"/>
    <w:rsid w:val="00DF36B1"/>
    <w:rsid w:val="00E11F67"/>
    <w:rsid w:val="00E17E5F"/>
    <w:rsid w:val="00E2459E"/>
    <w:rsid w:val="00E31A65"/>
    <w:rsid w:val="00E373EF"/>
    <w:rsid w:val="00E37828"/>
    <w:rsid w:val="00E423DD"/>
    <w:rsid w:val="00E56E18"/>
    <w:rsid w:val="00E7171E"/>
    <w:rsid w:val="00E7368B"/>
    <w:rsid w:val="00EA7113"/>
    <w:rsid w:val="00EE09F7"/>
    <w:rsid w:val="00EE396F"/>
    <w:rsid w:val="00EF5C45"/>
    <w:rsid w:val="00F05272"/>
    <w:rsid w:val="00F16ACE"/>
    <w:rsid w:val="00F265DB"/>
    <w:rsid w:val="00F46BAD"/>
    <w:rsid w:val="00F549F2"/>
    <w:rsid w:val="00F62EA5"/>
    <w:rsid w:val="00F63BFA"/>
    <w:rsid w:val="00F63CA9"/>
    <w:rsid w:val="00F97C49"/>
    <w:rsid w:val="00FE5BBD"/>
    <w:rsid w:val="00FF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54C2"/>
  <w15:chartTrackingRefBased/>
  <w15:docId w15:val="{21F58221-AB32-412D-A62B-B5F268C5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8FF"/>
  </w:style>
  <w:style w:type="paragraph" w:styleId="Heading1">
    <w:name w:val="heading 1"/>
    <w:basedOn w:val="Normal"/>
    <w:next w:val="Normal"/>
    <w:link w:val="Heading1Char"/>
    <w:uiPriority w:val="9"/>
    <w:qFormat/>
    <w:rsid w:val="002E48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4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48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E48F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E48F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8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48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48F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E48F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E48FF"/>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2E48F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2E48FF"/>
  </w:style>
  <w:style w:type="paragraph" w:styleId="BalloonText">
    <w:name w:val="Balloon Text"/>
    <w:basedOn w:val="Normal"/>
    <w:link w:val="BalloonTextChar"/>
    <w:uiPriority w:val="99"/>
    <w:semiHidden/>
    <w:unhideWhenUsed/>
    <w:rsid w:val="002E4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FF"/>
    <w:rPr>
      <w:rFonts w:ascii="Segoe UI" w:hAnsi="Segoe UI" w:cs="Segoe UI"/>
      <w:sz w:val="18"/>
      <w:szCs w:val="18"/>
    </w:rPr>
  </w:style>
  <w:style w:type="character" w:styleId="Hyperlink">
    <w:name w:val="Hyperlink"/>
    <w:basedOn w:val="DefaultParagraphFont"/>
    <w:uiPriority w:val="99"/>
    <w:unhideWhenUsed/>
    <w:rsid w:val="002E48FF"/>
    <w:rPr>
      <w:color w:val="0000FF"/>
      <w:u w:val="single"/>
    </w:rPr>
  </w:style>
  <w:style w:type="paragraph" w:customStyle="1" w:styleId="EndNoteBibliographyTitle">
    <w:name w:val="EndNote Bibliography Title"/>
    <w:basedOn w:val="Normal"/>
    <w:link w:val="EndNoteBibliographyTitleChar"/>
    <w:rsid w:val="002E48F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E48FF"/>
    <w:rPr>
      <w:rFonts w:ascii="Calibri" w:hAnsi="Calibri" w:cs="Calibri"/>
      <w:noProof/>
      <w:lang w:val="en-US"/>
    </w:rPr>
  </w:style>
  <w:style w:type="paragraph" w:customStyle="1" w:styleId="EndNoteBibliography">
    <w:name w:val="EndNote Bibliography"/>
    <w:basedOn w:val="Normal"/>
    <w:link w:val="EndNoteBibliographyChar"/>
    <w:rsid w:val="002E48F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E48FF"/>
    <w:rPr>
      <w:rFonts w:ascii="Calibri" w:hAnsi="Calibri" w:cs="Calibri"/>
      <w:noProof/>
      <w:lang w:val="en-US"/>
    </w:rPr>
  </w:style>
  <w:style w:type="character" w:customStyle="1" w:styleId="UnresolvedMention1">
    <w:name w:val="Unresolved Mention1"/>
    <w:basedOn w:val="DefaultParagraphFont"/>
    <w:uiPriority w:val="99"/>
    <w:semiHidden/>
    <w:unhideWhenUsed/>
    <w:rsid w:val="002E48FF"/>
    <w:rPr>
      <w:color w:val="605E5C"/>
      <w:shd w:val="clear" w:color="auto" w:fill="E1DFDD"/>
    </w:rPr>
  </w:style>
  <w:style w:type="paragraph" w:customStyle="1" w:styleId="c-article-referencesitem">
    <w:name w:val="c-article-references__item"/>
    <w:basedOn w:val="Normal"/>
    <w:rsid w:val="002E48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rticle-referencescounter">
    <w:name w:val="c-article-references__counter"/>
    <w:basedOn w:val="DefaultParagraphFont"/>
    <w:rsid w:val="002E48FF"/>
  </w:style>
  <w:style w:type="paragraph" w:customStyle="1" w:styleId="c-article-referencestext">
    <w:name w:val="c-article-references__text"/>
    <w:basedOn w:val="Normal"/>
    <w:rsid w:val="002E48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eferenceslinks">
    <w:name w:val="c-article-references__links"/>
    <w:basedOn w:val="Normal"/>
    <w:rsid w:val="002E48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2E48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1">
    <w:name w:val="Title1"/>
    <w:basedOn w:val="DefaultParagraphFont"/>
    <w:rsid w:val="002E48FF"/>
  </w:style>
  <w:style w:type="character" w:styleId="FollowedHyperlink">
    <w:name w:val="FollowedHyperlink"/>
    <w:basedOn w:val="DefaultParagraphFont"/>
    <w:uiPriority w:val="99"/>
    <w:semiHidden/>
    <w:unhideWhenUsed/>
    <w:rsid w:val="002E48FF"/>
    <w:rPr>
      <w:color w:val="954F72" w:themeColor="followedHyperlink"/>
      <w:u w:val="single"/>
    </w:rPr>
  </w:style>
  <w:style w:type="character" w:customStyle="1" w:styleId="metadata--author-name">
    <w:name w:val="metadata--author-name"/>
    <w:basedOn w:val="DefaultParagraphFont"/>
    <w:rsid w:val="002E48FF"/>
  </w:style>
  <w:style w:type="character" w:styleId="CommentReference">
    <w:name w:val="annotation reference"/>
    <w:basedOn w:val="DefaultParagraphFont"/>
    <w:uiPriority w:val="99"/>
    <w:semiHidden/>
    <w:unhideWhenUsed/>
    <w:rsid w:val="002E48FF"/>
    <w:rPr>
      <w:sz w:val="16"/>
      <w:szCs w:val="16"/>
    </w:rPr>
  </w:style>
  <w:style w:type="paragraph" w:styleId="CommentText">
    <w:name w:val="annotation text"/>
    <w:basedOn w:val="Normal"/>
    <w:link w:val="CommentTextChar"/>
    <w:uiPriority w:val="99"/>
    <w:semiHidden/>
    <w:unhideWhenUsed/>
    <w:rsid w:val="002E48FF"/>
    <w:pPr>
      <w:spacing w:line="240" w:lineRule="auto"/>
    </w:pPr>
    <w:rPr>
      <w:sz w:val="20"/>
      <w:szCs w:val="20"/>
    </w:rPr>
  </w:style>
  <w:style w:type="character" w:customStyle="1" w:styleId="CommentTextChar">
    <w:name w:val="Comment Text Char"/>
    <w:basedOn w:val="DefaultParagraphFont"/>
    <w:link w:val="CommentText"/>
    <w:uiPriority w:val="99"/>
    <w:semiHidden/>
    <w:rsid w:val="002E48FF"/>
    <w:rPr>
      <w:sz w:val="20"/>
      <w:szCs w:val="20"/>
    </w:rPr>
  </w:style>
  <w:style w:type="paragraph" w:styleId="CommentSubject">
    <w:name w:val="annotation subject"/>
    <w:basedOn w:val="CommentText"/>
    <w:next w:val="CommentText"/>
    <w:link w:val="CommentSubjectChar"/>
    <w:uiPriority w:val="99"/>
    <w:semiHidden/>
    <w:unhideWhenUsed/>
    <w:rsid w:val="002E48FF"/>
    <w:rPr>
      <w:b/>
      <w:bCs/>
    </w:rPr>
  </w:style>
  <w:style w:type="character" w:customStyle="1" w:styleId="CommentSubjectChar">
    <w:name w:val="Comment Subject Char"/>
    <w:basedOn w:val="CommentTextChar"/>
    <w:link w:val="CommentSubject"/>
    <w:uiPriority w:val="99"/>
    <w:semiHidden/>
    <w:rsid w:val="002E48FF"/>
    <w:rPr>
      <w:b/>
      <w:bCs/>
      <w:sz w:val="20"/>
      <w:szCs w:val="20"/>
    </w:rPr>
  </w:style>
  <w:style w:type="character" w:customStyle="1" w:styleId="ref-title">
    <w:name w:val="ref-title"/>
    <w:basedOn w:val="DefaultParagraphFont"/>
    <w:rsid w:val="002E48FF"/>
  </w:style>
  <w:style w:type="character" w:styleId="Emphasis">
    <w:name w:val="Emphasis"/>
    <w:basedOn w:val="DefaultParagraphFont"/>
    <w:uiPriority w:val="20"/>
    <w:qFormat/>
    <w:rsid w:val="002E48FF"/>
    <w:rPr>
      <w:i/>
      <w:iCs/>
    </w:rPr>
  </w:style>
  <w:style w:type="character" w:customStyle="1" w:styleId="nowrap">
    <w:name w:val="nowrap"/>
    <w:basedOn w:val="DefaultParagraphFont"/>
    <w:rsid w:val="002E48FF"/>
  </w:style>
  <w:style w:type="paragraph" w:customStyle="1" w:styleId="loaitem">
    <w:name w:val="loa__item"/>
    <w:basedOn w:val="Normal"/>
    <w:rsid w:val="002E48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headerdoi">
    <w:name w:val="article-header__doi"/>
    <w:basedOn w:val="DefaultParagraphFont"/>
    <w:rsid w:val="002E48FF"/>
  </w:style>
  <w:style w:type="character" w:customStyle="1" w:styleId="article-headerdoilabel">
    <w:name w:val="article-header__doi__label"/>
    <w:basedOn w:val="DefaultParagraphFont"/>
    <w:rsid w:val="002E48FF"/>
  </w:style>
  <w:style w:type="paragraph" w:customStyle="1" w:styleId="c-author-listitem">
    <w:name w:val="c-author-list__item"/>
    <w:basedOn w:val="Normal"/>
    <w:rsid w:val="002E48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info-details">
    <w:name w:val="c-article-info-details"/>
    <w:basedOn w:val="Normal"/>
    <w:rsid w:val="002E48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isually-hidden">
    <w:name w:val="u-visually-hidden"/>
    <w:basedOn w:val="DefaultParagraphFont"/>
    <w:rsid w:val="002E48FF"/>
  </w:style>
  <w:style w:type="paragraph" w:customStyle="1" w:styleId="c-article-metrics-barcount">
    <w:name w:val="c-article-metrics-bar__count"/>
    <w:basedOn w:val="Normal"/>
    <w:rsid w:val="002E48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rticle-metrics-barlabel">
    <w:name w:val="c-article-metrics-bar__label"/>
    <w:basedOn w:val="DefaultParagraphFont"/>
    <w:rsid w:val="002E48FF"/>
  </w:style>
  <w:style w:type="paragraph" w:customStyle="1" w:styleId="c-article-metrics-bardetails">
    <w:name w:val="c-article-metrics-bar__details"/>
    <w:basedOn w:val="Normal"/>
    <w:rsid w:val="002E48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how">
    <w:name w:val="show"/>
    <w:basedOn w:val="DefaultParagraphFont"/>
    <w:rsid w:val="002E48FF"/>
  </w:style>
  <w:style w:type="character" w:customStyle="1" w:styleId="nlmarticle-title">
    <w:name w:val="nlm_article-title"/>
    <w:basedOn w:val="DefaultParagraphFont"/>
    <w:rsid w:val="002E48FF"/>
  </w:style>
  <w:style w:type="character" w:customStyle="1" w:styleId="contribdegrees">
    <w:name w:val="contribdegrees"/>
    <w:basedOn w:val="DefaultParagraphFont"/>
    <w:rsid w:val="002E48FF"/>
  </w:style>
  <w:style w:type="character" w:customStyle="1" w:styleId="orcid-icon">
    <w:name w:val="orcid-icon"/>
    <w:basedOn w:val="DefaultParagraphFont"/>
    <w:rsid w:val="002E48FF"/>
  </w:style>
  <w:style w:type="character" w:styleId="Strong">
    <w:name w:val="Strong"/>
    <w:basedOn w:val="DefaultParagraphFont"/>
    <w:uiPriority w:val="22"/>
    <w:qFormat/>
    <w:rsid w:val="002E48FF"/>
    <w:rPr>
      <w:b/>
      <w:bCs/>
    </w:rPr>
  </w:style>
  <w:style w:type="character" w:customStyle="1" w:styleId="refseries">
    <w:name w:val="ref__series"/>
    <w:basedOn w:val="DefaultParagraphFont"/>
    <w:rsid w:val="002E48FF"/>
  </w:style>
  <w:style w:type="character" w:customStyle="1" w:styleId="refseriesdate">
    <w:name w:val="ref__seriesdate"/>
    <w:basedOn w:val="DefaultParagraphFont"/>
    <w:rsid w:val="002E48FF"/>
  </w:style>
  <w:style w:type="character" w:customStyle="1" w:styleId="refseriesvolume">
    <w:name w:val="ref__seriesvolume"/>
    <w:basedOn w:val="DefaultParagraphFont"/>
    <w:rsid w:val="002E48FF"/>
  </w:style>
  <w:style w:type="character" w:customStyle="1" w:styleId="refseriespages">
    <w:name w:val="ref__seriespages"/>
    <w:basedOn w:val="DefaultParagraphFont"/>
    <w:rsid w:val="002E48FF"/>
  </w:style>
  <w:style w:type="character" w:customStyle="1" w:styleId="StandardMariaZchn">
    <w:name w:val="Standard_Maria Zchn"/>
    <w:basedOn w:val="DefaultParagraphFont"/>
    <w:link w:val="StandardMaria"/>
    <w:locked/>
    <w:rsid w:val="002E48FF"/>
  </w:style>
  <w:style w:type="paragraph" w:customStyle="1" w:styleId="StandardMaria">
    <w:name w:val="Standard_Maria"/>
    <w:basedOn w:val="Normal"/>
    <w:link w:val="StandardMariaZchn"/>
    <w:qFormat/>
    <w:rsid w:val="002E48FF"/>
    <w:pPr>
      <w:spacing w:line="360" w:lineRule="auto"/>
      <w:ind w:firstLine="709"/>
      <w:jc w:val="both"/>
    </w:pPr>
  </w:style>
  <w:style w:type="paragraph" w:customStyle="1" w:styleId="hang1">
    <w:name w:val="hang1"/>
    <w:basedOn w:val="Normal"/>
    <w:rsid w:val="002E48FF"/>
    <w:pPr>
      <w:spacing w:after="240" w:line="240" w:lineRule="auto"/>
      <w:ind w:left="567" w:hanging="567"/>
    </w:pPr>
    <w:rPr>
      <w:rFonts w:ascii="Times New Roman" w:eastAsia="Times New Roman" w:hAnsi="Times New Roman" w:cs="Times New Roman"/>
      <w:sz w:val="24"/>
      <w:szCs w:val="20"/>
      <w:lang w:eastAsia="en-GB"/>
    </w:rPr>
  </w:style>
  <w:style w:type="paragraph" w:styleId="FootnoteText">
    <w:name w:val="footnote text"/>
    <w:basedOn w:val="Normal"/>
    <w:link w:val="FootnoteTextChar"/>
    <w:uiPriority w:val="99"/>
    <w:semiHidden/>
    <w:unhideWhenUsed/>
    <w:rsid w:val="002E48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8FF"/>
    <w:rPr>
      <w:sz w:val="20"/>
      <w:szCs w:val="20"/>
    </w:rPr>
  </w:style>
  <w:style w:type="character" w:styleId="FootnoteReference">
    <w:name w:val="footnote reference"/>
    <w:basedOn w:val="DefaultParagraphFont"/>
    <w:uiPriority w:val="99"/>
    <w:semiHidden/>
    <w:unhideWhenUsed/>
    <w:rsid w:val="002E48FF"/>
    <w:rPr>
      <w:vertAlign w:val="superscript"/>
    </w:rPr>
  </w:style>
  <w:style w:type="paragraph" w:styleId="Header">
    <w:name w:val="header"/>
    <w:aliases w:val="Kopfzeile1,Page Header"/>
    <w:basedOn w:val="Normal"/>
    <w:link w:val="HeaderChar"/>
    <w:uiPriority w:val="99"/>
    <w:unhideWhenUsed/>
    <w:rsid w:val="002E48FF"/>
    <w:pPr>
      <w:tabs>
        <w:tab w:val="center" w:pos="4513"/>
        <w:tab w:val="right" w:pos="9026"/>
      </w:tabs>
      <w:spacing w:after="0" w:line="240" w:lineRule="auto"/>
    </w:pPr>
    <w:rPr>
      <w:rFonts w:eastAsiaTheme="minorEastAsia"/>
      <w:lang w:eastAsia="zh-CN"/>
    </w:rPr>
  </w:style>
  <w:style w:type="character" w:customStyle="1" w:styleId="HeaderChar">
    <w:name w:val="Header Char"/>
    <w:aliases w:val="Kopfzeile1 Char,Page Header Char"/>
    <w:basedOn w:val="DefaultParagraphFont"/>
    <w:link w:val="Header"/>
    <w:uiPriority w:val="99"/>
    <w:rsid w:val="002E48FF"/>
    <w:rPr>
      <w:rFonts w:eastAsiaTheme="minorEastAsia"/>
      <w:lang w:eastAsia="zh-CN"/>
    </w:rPr>
  </w:style>
  <w:style w:type="paragraph" w:styleId="Footer">
    <w:name w:val="footer"/>
    <w:basedOn w:val="Normal"/>
    <w:link w:val="FooterChar"/>
    <w:uiPriority w:val="99"/>
    <w:unhideWhenUsed/>
    <w:rsid w:val="002E48FF"/>
    <w:pPr>
      <w:tabs>
        <w:tab w:val="center" w:pos="4513"/>
        <w:tab w:val="right" w:pos="9026"/>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E48FF"/>
    <w:rPr>
      <w:rFonts w:eastAsiaTheme="minorEastAsia"/>
      <w:lang w:eastAsia="zh-CN"/>
    </w:rPr>
  </w:style>
  <w:style w:type="paragraph" w:styleId="Caption">
    <w:name w:val="caption"/>
    <w:basedOn w:val="Normal"/>
    <w:next w:val="Normal"/>
    <w:uiPriority w:val="35"/>
    <w:unhideWhenUsed/>
    <w:qFormat/>
    <w:rsid w:val="002E48FF"/>
    <w:pPr>
      <w:spacing w:after="200" w:line="240" w:lineRule="auto"/>
    </w:pPr>
    <w:rPr>
      <w:i/>
      <w:iCs/>
      <w:color w:val="44546A" w:themeColor="text2"/>
      <w:sz w:val="18"/>
      <w:szCs w:val="18"/>
    </w:rPr>
  </w:style>
  <w:style w:type="table" w:styleId="TableGrid">
    <w:name w:val="Table Grid"/>
    <w:basedOn w:val="TableNormal"/>
    <w:uiPriority w:val="59"/>
    <w:rsid w:val="002E4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E48FF"/>
    <w:rPr>
      <w:color w:val="605E5C"/>
      <w:shd w:val="clear" w:color="auto" w:fill="E1DFDD"/>
    </w:rPr>
  </w:style>
  <w:style w:type="character" w:customStyle="1" w:styleId="docsum-authors">
    <w:name w:val="docsum-authors"/>
    <w:basedOn w:val="DefaultParagraphFont"/>
    <w:rsid w:val="002E48FF"/>
  </w:style>
  <w:style w:type="character" w:customStyle="1" w:styleId="docsum-journal-citation">
    <w:name w:val="docsum-journal-citation"/>
    <w:basedOn w:val="DefaultParagraphFont"/>
    <w:rsid w:val="002E48FF"/>
  </w:style>
  <w:style w:type="paragraph" w:styleId="Revision">
    <w:name w:val="Revision"/>
    <w:hidden/>
    <w:uiPriority w:val="99"/>
    <w:semiHidden/>
    <w:rsid w:val="002E48FF"/>
    <w:pPr>
      <w:spacing w:after="0" w:line="240" w:lineRule="auto"/>
    </w:pPr>
  </w:style>
  <w:style w:type="paragraph" w:styleId="HTMLPreformatted">
    <w:name w:val="HTML Preformatted"/>
    <w:basedOn w:val="Normal"/>
    <w:link w:val="HTMLPreformattedChar"/>
    <w:uiPriority w:val="99"/>
    <w:semiHidden/>
    <w:unhideWhenUsed/>
    <w:rsid w:val="002E4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E48FF"/>
    <w:rPr>
      <w:rFonts w:ascii="Courier New" w:eastAsia="Times New Roman" w:hAnsi="Courier New" w:cs="Courier New"/>
      <w:sz w:val="20"/>
      <w:szCs w:val="20"/>
      <w:lang w:eastAsia="en-GB"/>
    </w:rPr>
  </w:style>
  <w:style w:type="character" w:customStyle="1" w:styleId="y2iqfc">
    <w:name w:val="y2iqfc"/>
    <w:basedOn w:val="DefaultParagraphFont"/>
    <w:rsid w:val="002E48FF"/>
  </w:style>
  <w:style w:type="character" w:styleId="UnresolvedMention">
    <w:name w:val="Unresolved Mention"/>
    <w:basedOn w:val="DefaultParagraphFont"/>
    <w:uiPriority w:val="99"/>
    <w:semiHidden/>
    <w:unhideWhenUsed/>
    <w:rsid w:val="002E48FF"/>
    <w:rPr>
      <w:color w:val="605E5C"/>
      <w:shd w:val="clear" w:color="auto" w:fill="E1DFDD"/>
    </w:rPr>
  </w:style>
  <w:style w:type="paragraph" w:styleId="NoSpacing">
    <w:name w:val="No Spacing"/>
    <w:uiPriority w:val="1"/>
    <w:qFormat/>
    <w:rsid w:val="00023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50557">
      <w:bodyDiv w:val="1"/>
      <w:marLeft w:val="0"/>
      <w:marRight w:val="0"/>
      <w:marTop w:val="0"/>
      <w:marBottom w:val="0"/>
      <w:divBdr>
        <w:top w:val="none" w:sz="0" w:space="0" w:color="auto"/>
        <w:left w:val="none" w:sz="0" w:space="0" w:color="auto"/>
        <w:bottom w:val="none" w:sz="0" w:space="0" w:color="auto"/>
        <w:right w:val="none" w:sz="0" w:space="0" w:color="auto"/>
      </w:divBdr>
    </w:div>
    <w:div w:id="2764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qol.eortc.org%2F&amp;data=04%7C01%7CS.C.Sodergren%40soton.ac.uk%7C325b049c4499413de9a108d936f7c816%7C4a5378f929f44d3ebe89669d03ada9d8%7C0%7C0%7C637601260104945917%7CUnknown%7CTWFpbGZsb3d8eyJWIjoiMC4wLjAwMDAiLCJQIjoiV2luMzIiLCJBTiI6Ik1haWwiLCJXVCI6Mn0%3D%7C1000&amp;sdata=yE58eNJQv1A3%2BQTi%2FnwpteRVPiKqBRuEFjK95zHj3R0%3D&amp;reserved=0" TargetMode="External"/><Relationship Id="rId13" Type="http://schemas.openxmlformats.org/officeDocument/2006/relationships/hyperlink" Target="https://clinicaltrials.gov/ct2/show/NCT04472429"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clinicaltrials.gov/ct2/show/NCT0359729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researchuk.org/health-professional/cancer-statistics/statistics-by-cancer-type/anal-cancer/incide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qol.eortc.org/manual/developing-questionnaire-modul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er.cancer.gov/statfacts/html/anus.html"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8" ma:contentTypeDescription="Create a new document." ma:contentTypeScope="" ma:versionID="301f4707f5807f0e125fc1a72a8d3fe5">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7a75597a18e62bbd19af0d14dadd739"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xsi:nil="true"/>
  </documentManagement>
</p:properties>
</file>

<file path=customXml/itemProps1.xml><?xml version="1.0" encoding="utf-8"?>
<ds:datastoreItem xmlns:ds="http://schemas.openxmlformats.org/officeDocument/2006/customXml" ds:itemID="{A199C396-C870-4029-A19E-9D7E10C4B7E8}">
  <ds:schemaRefs>
    <ds:schemaRef ds:uri="http://schemas.openxmlformats.org/officeDocument/2006/bibliography"/>
  </ds:schemaRefs>
</ds:datastoreItem>
</file>

<file path=customXml/itemProps2.xml><?xml version="1.0" encoding="utf-8"?>
<ds:datastoreItem xmlns:ds="http://schemas.openxmlformats.org/officeDocument/2006/customXml" ds:itemID="{39EF80BA-2413-471F-89E1-48945C814F96}"/>
</file>

<file path=customXml/itemProps3.xml><?xml version="1.0" encoding="utf-8"?>
<ds:datastoreItem xmlns:ds="http://schemas.openxmlformats.org/officeDocument/2006/customXml" ds:itemID="{6ABCF4F3-DC35-4365-AB13-156DE5D146B4}"/>
</file>

<file path=customXml/itemProps4.xml><?xml version="1.0" encoding="utf-8"?>
<ds:datastoreItem xmlns:ds="http://schemas.openxmlformats.org/officeDocument/2006/customXml" ds:itemID="{B630600D-E896-4BBB-B67A-FED2A87A9292}"/>
</file>

<file path=docProps/app.xml><?xml version="1.0" encoding="utf-8"?>
<Properties xmlns="http://schemas.openxmlformats.org/officeDocument/2006/extended-properties" xmlns:vt="http://schemas.openxmlformats.org/officeDocument/2006/docPropsVTypes">
  <Template>Normal</Template>
  <TotalTime>0</TotalTime>
  <Pages>22</Pages>
  <Words>7031</Words>
  <Characters>40082</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Sodergren</dc:creator>
  <cp:keywords/>
  <dc:description/>
  <cp:lastModifiedBy>Susan Corbett</cp:lastModifiedBy>
  <cp:revision>2</cp:revision>
  <dcterms:created xsi:type="dcterms:W3CDTF">2022-11-30T12:13:00Z</dcterms:created>
  <dcterms:modified xsi:type="dcterms:W3CDTF">2022-11-30T12:13:00Z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ies>
</file>