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4144D" w14:textId="77777777" w:rsidR="00A0384D" w:rsidRDefault="00A0384D" w:rsidP="00AA283B">
      <w:pPr>
        <w:spacing w:line="480" w:lineRule="auto"/>
        <w:jc w:val="center"/>
        <w:rPr>
          <w:b/>
        </w:rPr>
      </w:pPr>
    </w:p>
    <w:p w14:paraId="6488E27B" w14:textId="77777777" w:rsidR="00B76E5E" w:rsidRPr="00762503" w:rsidRDefault="00B76E5E" w:rsidP="00B76E5E">
      <w:pPr>
        <w:jc w:val="center"/>
        <w:rPr>
          <w:b/>
          <w:bCs/>
        </w:rPr>
      </w:pPr>
      <w:r w:rsidRPr="467E3DB4">
        <w:rPr>
          <w:b/>
          <w:bCs/>
        </w:rPr>
        <w:t xml:space="preserve">BSACI guideline for </w:t>
      </w:r>
      <w:r>
        <w:rPr>
          <w:b/>
          <w:bCs/>
        </w:rPr>
        <w:t xml:space="preserve">the set-up of penicillin allergy </w:t>
      </w:r>
      <w:r w:rsidRPr="467E3DB4">
        <w:rPr>
          <w:b/>
          <w:bCs/>
        </w:rPr>
        <w:t xml:space="preserve">de-labelling </w:t>
      </w:r>
      <w:r>
        <w:rPr>
          <w:b/>
          <w:bCs/>
        </w:rPr>
        <w:t xml:space="preserve">services by non-allergists working in a hospital setting </w:t>
      </w:r>
    </w:p>
    <w:p w14:paraId="726579AC" w14:textId="77777777" w:rsidR="00B76E5E" w:rsidRPr="00EA10A2" w:rsidRDefault="00B76E5E" w:rsidP="00B76E5E">
      <w:pPr>
        <w:rPr>
          <w:b/>
        </w:rPr>
      </w:pPr>
    </w:p>
    <w:p w14:paraId="00886B23" w14:textId="6463B4F2" w:rsidR="003C500F" w:rsidRPr="00EA10A2" w:rsidRDefault="003C500F" w:rsidP="003C500F">
      <w:pPr>
        <w:rPr>
          <w:b/>
        </w:rPr>
      </w:pPr>
    </w:p>
    <w:p w14:paraId="4FF4B9B9" w14:textId="77777777" w:rsidR="00A0384D" w:rsidRDefault="00A0384D" w:rsidP="003C500F">
      <w:pPr>
        <w:rPr>
          <w:b/>
        </w:rPr>
      </w:pPr>
    </w:p>
    <w:p w14:paraId="0C82CFFF" w14:textId="5B27D4C5" w:rsidR="003C500F" w:rsidRPr="00A05168" w:rsidRDefault="003C500F" w:rsidP="003C500F">
      <w:pPr>
        <w:rPr>
          <w:b/>
        </w:rPr>
      </w:pPr>
      <w:r w:rsidRPr="00A05168">
        <w:rPr>
          <w:b/>
        </w:rPr>
        <w:t>Authors</w:t>
      </w:r>
      <w:r w:rsidR="00A0384D" w:rsidRPr="00A05168">
        <w:rPr>
          <w:b/>
        </w:rPr>
        <w:t xml:space="preserve"> </w:t>
      </w:r>
    </w:p>
    <w:p w14:paraId="61249733" w14:textId="2817BC34" w:rsidR="00D911B1" w:rsidRPr="006E0EE6" w:rsidRDefault="00D911B1" w:rsidP="00D911B1">
      <w:pPr>
        <w:autoSpaceDE w:val="0"/>
        <w:autoSpaceDN w:val="0"/>
        <w:adjustRightInd w:val="0"/>
        <w:spacing w:after="0" w:line="360" w:lineRule="auto"/>
        <w:rPr>
          <w:rFonts w:ascii="AppleSystemUIFont" w:eastAsiaTheme="minorHAnsi" w:hAnsi="AppleSystemUIFont" w:cs="AppleSystemUIFont"/>
          <w:sz w:val="24"/>
          <w:szCs w:val="24"/>
          <w:vertAlign w:val="superscript"/>
          <w:lang w:val="en-US" w:eastAsia="en-US"/>
        </w:rPr>
      </w:pPr>
      <w:r w:rsidRPr="00A05168">
        <w:rPr>
          <w:rFonts w:ascii="AppleSystemUIFont" w:eastAsiaTheme="minorHAnsi" w:hAnsi="AppleSystemUIFont" w:cs="AppleSystemUIFont"/>
          <w:sz w:val="24"/>
          <w:szCs w:val="24"/>
          <w:lang w:val="en-US" w:eastAsia="en-US"/>
        </w:rPr>
        <w:t>Dr Louise Savic</w:t>
      </w:r>
      <w:r w:rsidR="0091059A" w:rsidRPr="00A05168">
        <w:rPr>
          <w:rFonts w:ascii="AppleSystemUIFont" w:eastAsiaTheme="minorHAnsi" w:hAnsi="AppleSystemUIFont" w:cs="AppleSystemUIFont"/>
          <w:sz w:val="24"/>
          <w:szCs w:val="24"/>
          <w:vertAlign w:val="superscript"/>
          <w:lang w:val="en-US" w:eastAsia="en-US"/>
        </w:rPr>
        <w:t>1</w:t>
      </w:r>
      <w:r w:rsidR="0091059A" w:rsidRPr="00A05168">
        <w:rPr>
          <w:rFonts w:ascii="AppleSystemUIFont" w:eastAsiaTheme="minorHAnsi" w:hAnsi="AppleSystemUIFont" w:cs="AppleSystemUIFont"/>
          <w:sz w:val="24"/>
          <w:szCs w:val="24"/>
          <w:lang w:val="en-US" w:eastAsia="en-US"/>
        </w:rPr>
        <w:t>, Prof Michael Arde</w:t>
      </w:r>
      <w:r w:rsidR="006E0EE6">
        <w:rPr>
          <w:rFonts w:ascii="AppleSystemUIFont" w:eastAsiaTheme="minorHAnsi" w:hAnsi="AppleSystemUIFont" w:cs="AppleSystemUIFont"/>
          <w:sz w:val="24"/>
          <w:szCs w:val="24"/>
          <w:lang w:val="en-US" w:eastAsia="en-US"/>
        </w:rPr>
        <w:t>r</w:t>
      </w:r>
      <w:r w:rsidR="0091059A" w:rsidRPr="00A05168">
        <w:rPr>
          <w:rFonts w:ascii="AppleSystemUIFont" w:eastAsiaTheme="minorHAnsi" w:hAnsi="AppleSystemUIFont" w:cs="AppleSystemUIFont"/>
          <w:sz w:val="24"/>
          <w:szCs w:val="24"/>
          <w:lang w:val="en-US" w:eastAsia="en-US"/>
        </w:rPr>
        <w:t>n-Jones</w:t>
      </w:r>
      <w:r w:rsidR="0091059A" w:rsidRPr="00A05168">
        <w:rPr>
          <w:rFonts w:ascii="AppleSystemUIFont" w:eastAsiaTheme="minorHAnsi" w:hAnsi="AppleSystemUIFont" w:cs="AppleSystemUIFont"/>
          <w:sz w:val="24"/>
          <w:szCs w:val="24"/>
          <w:vertAlign w:val="superscript"/>
          <w:lang w:val="en-US" w:eastAsia="en-US"/>
        </w:rPr>
        <w:t xml:space="preserve">2, </w:t>
      </w:r>
      <w:r w:rsidR="0091059A" w:rsidRPr="00A05168">
        <w:rPr>
          <w:rFonts w:ascii="AppleSystemUIFont" w:eastAsiaTheme="minorHAnsi" w:hAnsi="AppleSystemUIFont" w:cs="AppleSystemUIFont"/>
          <w:sz w:val="24"/>
          <w:szCs w:val="24"/>
          <w:lang w:val="en-US" w:eastAsia="en-US"/>
        </w:rPr>
        <w:t>Prof Anthony Avery OBE</w:t>
      </w:r>
      <w:r w:rsidR="0091059A" w:rsidRPr="00A05168">
        <w:rPr>
          <w:rFonts w:ascii="AppleSystemUIFont" w:eastAsiaTheme="minorHAnsi" w:hAnsi="AppleSystemUIFont" w:cs="AppleSystemUIFont"/>
          <w:sz w:val="24"/>
          <w:szCs w:val="24"/>
          <w:vertAlign w:val="superscript"/>
          <w:lang w:val="en-US" w:eastAsia="en-US"/>
        </w:rPr>
        <w:t>3</w:t>
      </w:r>
      <w:r w:rsidR="0091059A" w:rsidRPr="00A05168">
        <w:rPr>
          <w:rFonts w:ascii="AppleSystemUIFont" w:eastAsiaTheme="minorHAnsi" w:hAnsi="AppleSystemUIFont" w:cs="AppleSystemUIFont"/>
          <w:sz w:val="24"/>
          <w:szCs w:val="24"/>
          <w:lang w:val="en-US" w:eastAsia="en-US"/>
        </w:rPr>
        <w:t xml:space="preserve">, Prof Tim Cook </w:t>
      </w:r>
      <w:r w:rsidR="0091059A" w:rsidRPr="00A05168">
        <w:rPr>
          <w:rFonts w:ascii="AppleSystemUIFont" w:eastAsiaTheme="minorHAnsi" w:hAnsi="AppleSystemUIFont" w:cs="AppleSystemUIFont"/>
          <w:sz w:val="24"/>
          <w:szCs w:val="24"/>
          <w:vertAlign w:val="superscript"/>
          <w:lang w:val="en-US" w:eastAsia="en-US"/>
        </w:rPr>
        <w:t xml:space="preserve">4, </w:t>
      </w:r>
      <w:proofErr w:type="spellStart"/>
      <w:r w:rsidR="0091059A" w:rsidRPr="00A05168">
        <w:rPr>
          <w:rFonts w:ascii="AppleSystemUIFont" w:eastAsiaTheme="minorHAnsi" w:hAnsi="AppleSystemUIFont" w:cs="AppleSystemUIFont"/>
          <w:sz w:val="24"/>
          <w:szCs w:val="24"/>
          <w:lang w:val="en-US" w:eastAsia="en-US"/>
        </w:rPr>
        <w:t>Ms</w:t>
      </w:r>
      <w:proofErr w:type="spellEnd"/>
      <w:r w:rsidR="0091059A" w:rsidRPr="00A05168">
        <w:rPr>
          <w:rFonts w:ascii="AppleSystemUIFont" w:eastAsiaTheme="minorHAnsi" w:hAnsi="AppleSystemUIFont" w:cs="AppleSystemUIFont"/>
          <w:sz w:val="24"/>
          <w:szCs w:val="24"/>
          <w:lang w:val="en-US" w:eastAsia="en-US"/>
        </w:rPr>
        <w:t xml:space="preserve"> Sarah Denman </w:t>
      </w:r>
      <w:r w:rsidR="0091059A" w:rsidRPr="00A05168">
        <w:rPr>
          <w:rFonts w:ascii="AppleSystemUIFont" w:eastAsiaTheme="minorHAnsi" w:hAnsi="AppleSystemUIFont" w:cs="AppleSystemUIFont"/>
          <w:sz w:val="24"/>
          <w:szCs w:val="24"/>
          <w:vertAlign w:val="superscript"/>
          <w:lang w:val="en-US" w:eastAsia="en-US"/>
        </w:rPr>
        <w:t>5</w:t>
      </w:r>
      <w:r w:rsidR="0091059A" w:rsidRPr="00A05168">
        <w:rPr>
          <w:rFonts w:ascii="AppleSystemUIFont" w:eastAsiaTheme="minorHAnsi" w:hAnsi="AppleSystemUIFont" w:cs="AppleSystemUIFont"/>
          <w:sz w:val="24"/>
          <w:szCs w:val="24"/>
          <w:lang w:val="en-US" w:eastAsia="en-US"/>
        </w:rPr>
        <w:t xml:space="preserve">, </w:t>
      </w:r>
      <w:r w:rsidRPr="00A05168">
        <w:rPr>
          <w:rFonts w:ascii="AppleSystemUIFont" w:eastAsiaTheme="minorHAnsi" w:hAnsi="AppleSystemUIFont" w:cs="AppleSystemUIFont"/>
          <w:sz w:val="24"/>
          <w:szCs w:val="24"/>
          <w:lang w:val="en-US" w:eastAsia="en-US"/>
        </w:rPr>
        <w:t>Dr Sophie Farooque</w:t>
      </w:r>
      <w:r w:rsidR="0091059A" w:rsidRPr="00A05168">
        <w:rPr>
          <w:rFonts w:ascii="AppleSystemUIFont" w:eastAsiaTheme="minorHAnsi" w:hAnsi="AppleSystemUIFont" w:cs="AppleSystemUIFont"/>
          <w:sz w:val="24"/>
          <w:szCs w:val="24"/>
          <w:vertAlign w:val="superscript"/>
          <w:lang w:val="en-US" w:eastAsia="en-US"/>
        </w:rPr>
        <w:t>6</w:t>
      </w:r>
      <w:r w:rsidR="0091059A" w:rsidRPr="00A05168">
        <w:rPr>
          <w:rFonts w:ascii="AppleSystemUIFont" w:eastAsiaTheme="minorHAnsi" w:hAnsi="AppleSystemUIFont" w:cs="AppleSystemUIFont"/>
          <w:sz w:val="24"/>
          <w:szCs w:val="24"/>
          <w:lang w:val="en-US" w:eastAsia="en-US"/>
        </w:rPr>
        <w:t xml:space="preserve">, Dr Tomaz Garcez </w:t>
      </w:r>
      <w:r w:rsidR="0091059A" w:rsidRPr="00A05168">
        <w:rPr>
          <w:rFonts w:ascii="AppleSystemUIFont" w:eastAsiaTheme="minorHAnsi" w:hAnsi="AppleSystemUIFont" w:cs="AppleSystemUIFont"/>
          <w:sz w:val="24"/>
          <w:szCs w:val="24"/>
          <w:vertAlign w:val="superscript"/>
          <w:lang w:val="en-US" w:eastAsia="en-US"/>
        </w:rPr>
        <w:t xml:space="preserve">7, </w:t>
      </w:r>
      <w:r w:rsidR="0091059A" w:rsidRPr="00A05168">
        <w:rPr>
          <w:rFonts w:ascii="AppleSystemUIFont" w:eastAsiaTheme="minorHAnsi" w:hAnsi="AppleSystemUIFont" w:cs="AppleSystemUIFont"/>
          <w:sz w:val="24"/>
          <w:szCs w:val="24"/>
          <w:lang w:val="en-US" w:eastAsia="en-US"/>
        </w:rPr>
        <w:t xml:space="preserve">Mrs Rochelle Gold </w:t>
      </w:r>
      <w:r w:rsidR="0091059A" w:rsidRPr="00A05168">
        <w:rPr>
          <w:rFonts w:ascii="AppleSystemUIFont" w:eastAsiaTheme="minorHAnsi" w:hAnsi="AppleSystemUIFont" w:cs="AppleSystemUIFont"/>
          <w:sz w:val="24"/>
          <w:szCs w:val="24"/>
          <w:vertAlign w:val="superscript"/>
          <w:lang w:val="en-US" w:eastAsia="en-US"/>
        </w:rPr>
        <w:t>8</w:t>
      </w:r>
      <w:r w:rsidR="0091059A" w:rsidRPr="00A05168">
        <w:rPr>
          <w:rFonts w:ascii="AppleSystemUIFont" w:eastAsiaTheme="minorHAnsi" w:hAnsi="AppleSystemUIFont" w:cs="AppleSystemUIFont"/>
          <w:sz w:val="24"/>
          <w:szCs w:val="24"/>
          <w:lang w:val="en-US" w:eastAsia="en-US"/>
        </w:rPr>
        <w:t>, Dr Nicola Jay</w:t>
      </w:r>
      <w:r w:rsidR="0091059A" w:rsidRPr="00A05168">
        <w:rPr>
          <w:rFonts w:ascii="AppleSystemUIFont" w:eastAsiaTheme="minorHAnsi" w:hAnsi="AppleSystemUIFont" w:cs="AppleSystemUIFont"/>
          <w:sz w:val="24"/>
          <w:szCs w:val="24"/>
          <w:vertAlign w:val="superscript"/>
          <w:lang w:val="en-US" w:eastAsia="en-US"/>
        </w:rPr>
        <w:t>9</w:t>
      </w:r>
      <w:r w:rsidR="0091059A" w:rsidRPr="00A05168">
        <w:rPr>
          <w:rFonts w:ascii="AppleSystemUIFont" w:eastAsiaTheme="minorHAnsi" w:hAnsi="AppleSystemUIFont" w:cs="AppleSystemUIFont"/>
          <w:sz w:val="24"/>
          <w:szCs w:val="24"/>
          <w:lang w:val="en-US" w:eastAsia="en-US"/>
        </w:rPr>
        <w:t xml:space="preserve">, Prof </w:t>
      </w:r>
      <w:proofErr w:type="spellStart"/>
      <w:r w:rsidR="0091059A" w:rsidRPr="00A05168">
        <w:rPr>
          <w:rFonts w:ascii="AppleSystemUIFont" w:eastAsiaTheme="minorHAnsi" w:hAnsi="AppleSystemUIFont" w:cs="AppleSystemUIFont"/>
          <w:sz w:val="24"/>
          <w:szCs w:val="24"/>
          <w:lang w:val="en-US" w:eastAsia="en-US"/>
        </w:rPr>
        <w:t>Mamidipudi</w:t>
      </w:r>
      <w:proofErr w:type="spellEnd"/>
      <w:r w:rsidR="0091059A" w:rsidRPr="00A05168">
        <w:rPr>
          <w:rFonts w:ascii="AppleSystemUIFont" w:eastAsiaTheme="minorHAnsi" w:hAnsi="AppleSystemUIFont" w:cs="AppleSystemUIFont"/>
          <w:sz w:val="24"/>
          <w:szCs w:val="24"/>
          <w:lang w:val="en-US" w:eastAsia="en-US"/>
        </w:rPr>
        <w:t xml:space="preserve"> Thirumala Krishna</w:t>
      </w:r>
      <w:r w:rsidR="0091059A" w:rsidRPr="00A05168">
        <w:rPr>
          <w:rFonts w:ascii="AppleSystemUIFont" w:eastAsiaTheme="minorHAnsi" w:hAnsi="AppleSystemUIFont" w:cs="AppleSystemUIFont"/>
          <w:sz w:val="24"/>
          <w:szCs w:val="24"/>
          <w:vertAlign w:val="superscript"/>
          <w:lang w:val="en-US" w:eastAsia="en-US"/>
        </w:rPr>
        <w:t>10</w:t>
      </w:r>
      <w:r w:rsidR="0091059A" w:rsidRPr="00A05168">
        <w:rPr>
          <w:rFonts w:ascii="AppleSystemUIFont" w:eastAsiaTheme="minorHAnsi" w:hAnsi="AppleSystemUIFont" w:cs="AppleSystemUIFont"/>
          <w:sz w:val="24"/>
          <w:szCs w:val="24"/>
          <w:lang w:val="en-US" w:eastAsia="en-US"/>
        </w:rPr>
        <w:t>, Dr Sue Leech</w:t>
      </w:r>
      <w:r w:rsidR="0091059A" w:rsidRPr="00A05168">
        <w:rPr>
          <w:rFonts w:ascii="AppleSystemUIFont" w:eastAsiaTheme="minorHAnsi" w:hAnsi="AppleSystemUIFont" w:cs="AppleSystemUIFont"/>
          <w:sz w:val="24"/>
          <w:szCs w:val="24"/>
          <w:vertAlign w:val="superscript"/>
          <w:lang w:val="en-US" w:eastAsia="en-US"/>
        </w:rPr>
        <w:t>11</w:t>
      </w:r>
      <w:r w:rsidR="0091059A" w:rsidRPr="00A05168">
        <w:rPr>
          <w:rFonts w:ascii="AppleSystemUIFont" w:eastAsiaTheme="minorHAnsi" w:hAnsi="AppleSystemUIFont" w:cs="AppleSystemUIFont"/>
          <w:sz w:val="24"/>
          <w:szCs w:val="24"/>
          <w:lang w:val="en-US" w:eastAsia="en-US"/>
        </w:rPr>
        <w:t xml:space="preserve">, Dr Shauna McKibben </w:t>
      </w:r>
      <w:r w:rsidR="0091059A" w:rsidRPr="00A05168">
        <w:rPr>
          <w:rFonts w:ascii="AppleSystemUIFont" w:eastAsiaTheme="minorHAnsi" w:hAnsi="AppleSystemUIFont" w:cs="AppleSystemUIFont"/>
          <w:sz w:val="24"/>
          <w:szCs w:val="24"/>
          <w:vertAlign w:val="superscript"/>
          <w:lang w:val="en-US" w:eastAsia="en-US"/>
        </w:rPr>
        <w:t>12</w:t>
      </w:r>
      <w:r w:rsidR="0091059A" w:rsidRPr="00A05168">
        <w:rPr>
          <w:rFonts w:ascii="AppleSystemUIFont" w:eastAsiaTheme="minorHAnsi" w:hAnsi="AppleSystemUIFont" w:cs="AppleSystemUIFont"/>
          <w:sz w:val="24"/>
          <w:szCs w:val="24"/>
          <w:lang w:val="en-US" w:eastAsia="en-US"/>
        </w:rPr>
        <w:t xml:space="preserve">, </w:t>
      </w:r>
      <w:r w:rsidRPr="00A05168">
        <w:rPr>
          <w:rFonts w:ascii="AppleSystemUIFont" w:eastAsiaTheme="minorHAnsi" w:hAnsi="AppleSystemUIFont" w:cs="AppleSystemUIFont"/>
          <w:sz w:val="24"/>
          <w:szCs w:val="24"/>
          <w:lang w:val="en-US" w:eastAsia="en-US"/>
        </w:rPr>
        <w:t>Dr Shuaib Nasser</w:t>
      </w:r>
      <w:r w:rsidR="0091059A" w:rsidRPr="00A05168">
        <w:rPr>
          <w:rFonts w:ascii="AppleSystemUIFont" w:eastAsiaTheme="minorHAnsi" w:hAnsi="AppleSystemUIFont" w:cs="AppleSystemUIFont"/>
          <w:sz w:val="24"/>
          <w:szCs w:val="24"/>
          <w:vertAlign w:val="superscript"/>
          <w:lang w:val="en-US" w:eastAsia="en-US"/>
        </w:rPr>
        <w:t>13</w:t>
      </w:r>
      <w:r w:rsidR="0091059A" w:rsidRPr="00A05168">
        <w:rPr>
          <w:rFonts w:ascii="AppleSystemUIFont" w:eastAsiaTheme="minorHAnsi" w:hAnsi="AppleSystemUIFont" w:cs="AppleSystemUIFont"/>
          <w:sz w:val="24"/>
          <w:szCs w:val="24"/>
          <w:lang w:val="en-US" w:eastAsia="en-US"/>
        </w:rPr>
        <w:t>, Dr Nikhil Premchand</w:t>
      </w:r>
      <w:r w:rsidR="0091059A" w:rsidRPr="00A05168">
        <w:rPr>
          <w:rFonts w:ascii="AppleSystemUIFont" w:eastAsiaTheme="minorHAnsi" w:hAnsi="AppleSystemUIFont" w:cs="AppleSystemUIFont"/>
          <w:sz w:val="24"/>
          <w:szCs w:val="24"/>
          <w:vertAlign w:val="superscript"/>
          <w:lang w:val="en-US" w:eastAsia="en-US"/>
        </w:rPr>
        <w:t>14</w:t>
      </w:r>
      <w:r w:rsidR="0091059A" w:rsidRPr="00A05168">
        <w:rPr>
          <w:rFonts w:ascii="AppleSystemUIFont" w:eastAsiaTheme="minorHAnsi" w:hAnsi="AppleSystemUIFont" w:cs="AppleSystemUIFont"/>
          <w:sz w:val="24"/>
          <w:szCs w:val="24"/>
          <w:lang w:val="en-US" w:eastAsia="en-US"/>
        </w:rPr>
        <w:t xml:space="preserve">, </w:t>
      </w:r>
      <w:r w:rsidRPr="00A05168">
        <w:rPr>
          <w:rFonts w:ascii="AppleSystemUIFont" w:eastAsiaTheme="minorHAnsi" w:hAnsi="AppleSystemUIFont" w:cs="AppleSystemUIFont"/>
          <w:sz w:val="24"/>
          <w:szCs w:val="24"/>
          <w:lang w:val="en-US" w:eastAsia="en-US"/>
        </w:rPr>
        <w:t>Dr Jonathan Sandoe</w:t>
      </w:r>
      <w:r w:rsidR="0091059A" w:rsidRPr="00A05168">
        <w:rPr>
          <w:rFonts w:ascii="AppleSystemUIFont" w:eastAsiaTheme="minorHAnsi" w:hAnsi="AppleSystemUIFont" w:cs="AppleSystemUIFont"/>
          <w:sz w:val="24"/>
          <w:szCs w:val="24"/>
          <w:vertAlign w:val="superscript"/>
          <w:lang w:val="en-US" w:eastAsia="en-US"/>
        </w:rPr>
        <w:t>15</w:t>
      </w:r>
      <w:r w:rsidR="0091059A" w:rsidRPr="00A05168">
        <w:rPr>
          <w:rFonts w:ascii="AppleSystemUIFont" w:eastAsiaTheme="minorHAnsi" w:hAnsi="AppleSystemUIFont" w:cs="AppleSystemUIFont"/>
          <w:sz w:val="24"/>
          <w:szCs w:val="24"/>
          <w:lang w:val="en-US" w:eastAsia="en-US"/>
        </w:rPr>
        <w:t>,</w:t>
      </w:r>
      <w:r w:rsidR="006E0EE6">
        <w:rPr>
          <w:rFonts w:ascii="AppleSystemUIFont" w:eastAsiaTheme="minorHAnsi" w:hAnsi="AppleSystemUIFont" w:cs="AppleSystemUIFont"/>
          <w:sz w:val="24"/>
          <w:szCs w:val="24"/>
          <w:vertAlign w:val="superscript"/>
          <w:lang w:val="en-US" w:eastAsia="en-US"/>
        </w:rPr>
        <w:t>16</w:t>
      </w:r>
      <w:r w:rsidR="0091059A" w:rsidRPr="00A05168">
        <w:rPr>
          <w:rFonts w:ascii="AppleSystemUIFont" w:eastAsiaTheme="minorHAnsi" w:hAnsi="AppleSystemUIFont" w:cs="AppleSystemUIFont"/>
          <w:sz w:val="24"/>
          <w:szCs w:val="24"/>
          <w:lang w:val="en-US" w:eastAsia="en-US"/>
        </w:rPr>
        <w:t xml:space="preserve"> </w:t>
      </w:r>
      <w:r w:rsidRPr="00A05168">
        <w:rPr>
          <w:rFonts w:ascii="AppleSystemUIFont" w:eastAsiaTheme="minorHAnsi" w:hAnsi="AppleSystemUIFont" w:cs="AppleSystemUIFont"/>
          <w:sz w:val="24"/>
          <w:szCs w:val="24"/>
          <w:lang w:val="en-US" w:eastAsia="en-US"/>
        </w:rPr>
        <w:t>Dr Jac</w:t>
      </w:r>
      <w:r w:rsidR="00AE0B47" w:rsidRPr="00A05168">
        <w:rPr>
          <w:rFonts w:ascii="AppleSystemUIFont" w:eastAsiaTheme="minorHAnsi" w:hAnsi="AppleSystemUIFont" w:cs="AppleSystemUIFont"/>
          <w:sz w:val="24"/>
          <w:szCs w:val="24"/>
          <w:lang w:val="en-US" w:eastAsia="en-US"/>
        </w:rPr>
        <w:t>q</w:t>
      </w:r>
      <w:r w:rsidR="00353EA9" w:rsidRPr="00A05168">
        <w:rPr>
          <w:rFonts w:ascii="AppleSystemUIFont" w:eastAsiaTheme="minorHAnsi" w:hAnsi="AppleSystemUIFont" w:cs="AppleSystemUIFont"/>
          <w:sz w:val="24"/>
          <w:szCs w:val="24"/>
          <w:lang w:val="en-US" w:eastAsia="en-US"/>
        </w:rPr>
        <w:t>ueline</w:t>
      </w:r>
      <w:r w:rsidRPr="00A05168">
        <w:rPr>
          <w:rFonts w:ascii="AppleSystemUIFont" w:eastAsiaTheme="minorHAnsi" w:hAnsi="AppleSystemUIFont" w:cs="AppleSystemUIFont"/>
          <w:sz w:val="24"/>
          <w:szCs w:val="24"/>
          <w:lang w:val="en-US" w:eastAsia="en-US"/>
        </w:rPr>
        <w:t xml:space="preserve"> Sneddon</w:t>
      </w:r>
      <w:r w:rsidR="0091059A" w:rsidRPr="00A05168">
        <w:rPr>
          <w:rFonts w:ascii="AppleSystemUIFont" w:eastAsiaTheme="minorHAnsi" w:hAnsi="AppleSystemUIFont" w:cs="AppleSystemUIFont"/>
          <w:sz w:val="24"/>
          <w:szCs w:val="24"/>
          <w:vertAlign w:val="superscript"/>
          <w:lang w:val="en-US" w:eastAsia="en-US"/>
        </w:rPr>
        <w:t>1</w:t>
      </w:r>
      <w:r w:rsidR="006E0EE6">
        <w:rPr>
          <w:rFonts w:ascii="AppleSystemUIFont" w:eastAsiaTheme="minorHAnsi" w:hAnsi="AppleSystemUIFont" w:cs="AppleSystemUIFont"/>
          <w:sz w:val="24"/>
          <w:szCs w:val="24"/>
          <w:vertAlign w:val="superscript"/>
          <w:lang w:val="en-US" w:eastAsia="en-US"/>
        </w:rPr>
        <w:t>7</w:t>
      </w:r>
      <w:r w:rsidR="0091059A" w:rsidRPr="00A05168">
        <w:rPr>
          <w:rFonts w:ascii="AppleSystemUIFont" w:eastAsiaTheme="minorHAnsi" w:hAnsi="AppleSystemUIFont" w:cs="AppleSystemUIFont"/>
          <w:sz w:val="24"/>
          <w:szCs w:val="24"/>
          <w:lang w:val="en-US" w:eastAsia="en-US"/>
        </w:rPr>
        <w:t>,</w:t>
      </w:r>
      <w:r w:rsidR="006E0EE6">
        <w:rPr>
          <w:rFonts w:ascii="AppleSystemUIFont" w:eastAsiaTheme="minorHAnsi" w:hAnsi="AppleSystemUIFont" w:cs="AppleSystemUIFont"/>
          <w:sz w:val="24"/>
          <w:szCs w:val="24"/>
          <w:vertAlign w:val="superscript"/>
          <w:lang w:val="en-US" w:eastAsia="en-US"/>
        </w:rPr>
        <w:t>18</w:t>
      </w:r>
    </w:p>
    <w:p w14:paraId="70FA1FD9" w14:textId="44C87A9E" w:rsidR="00D911B1" w:rsidRPr="00A05168" w:rsidRDefault="00D911B1" w:rsidP="00D911B1">
      <w:pPr>
        <w:autoSpaceDE w:val="0"/>
        <w:autoSpaceDN w:val="0"/>
        <w:adjustRightInd w:val="0"/>
        <w:spacing w:after="0" w:line="360" w:lineRule="auto"/>
        <w:rPr>
          <w:rFonts w:ascii="AppleSystemUIFont" w:eastAsiaTheme="minorHAnsi" w:hAnsi="AppleSystemUIFont" w:cs="AppleSystemUIFont"/>
          <w:sz w:val="24"/>
          <w:szCs w:val="24"/>
          <w:vertAlign w:val="superscript"/>
          <w:lang w:val="en-US" w:eastAsia="en-US"/>
        </w:rPr>
      </w:pPr>
      <w:proofErr w:type="spellStart"/>
      <w:r w:rsidRPr="00A05168">
        <w:rPr>
          <w:rFonts w:ascii="AppleSystemUIFont" w:eastAsiaTheme="minorHAnsi" w:hAnsi="AppleSystemUIFont" w:cs="AppleSystemUIFont"/>
          <w:sz w:val="24"/>
          <w:szCs w:val="24"/>
          <w:lang w:val="en-US" w:eastAsia="en-US"/>
        </w:rPr>
        <w:t>Ms</w:t>
      </w:r>
      <w:proofErr w:type="spellEnd"/>
      <w:r w:rsidRPr="00A05168">
        <w:rPr>
          <w:rFonts w:ascii="AppleSystemUIFont" w:eastAsiaTheme="minorHAnsi" w:hAnsi="AppleSystemUIFont" w:cs="AppleSystemUIFont"/>
          <w:sz w:val="24"/>
          <w:szCs w:val="24"/>
          <w:lang w:val="en-US" w:eastAsia="en-US"/>
        </w:rPr>
        <w:t xml:space="preserve"> Amena Wa</w:t>
      </w:r>
      <w:r w:rsidR="0075658F" w:rsidRPr="00A05168">
        <w:rPr>
          <w:rFonts w:ascii="AppleSystemUIFont" w:eastAsiaTheme="minorHAnsi" w:hAnsi="AppleSystemUIFont" w:cs="AppleSystemUIFont"/>
          <w:sz w:val="24"/>
          <w:szCs w:val="24"/>
          <w:lang w:val="en-US" w:eastAsia="en-US"/>
        </w:rPr>
        <w:t>rn</w:t>
      </w:r>
      <w:r w:rsidRPr="00A05168">
        <w:rPr>
          <w:rFonts w:ascii="AppleSystemUIFont" w:eastAsiaTheme="minorHAnsi" w:hAnsi="AppleSystemUIFont" w:cs="AppleSystemUIFont"/>
          <w:sz w:val="24"/>
          <w:szCs w:val="24"/>
          <w:lang w:val="en-US" w:eastAsia="en-US"/>
        </w:rPr>
        <w:t>er</w:t>
      </w:r>
      <w:r w:rsidR="0091059A" w:rsidRPr="00A05168">
        <w:rPr>
          <w:rFonts w:ascii="AppleSystemUIFont" w:eastAsiaTheme="minorHAnsi" w:hAnsi="AppleSystemUIFont" w:cs="AppleSystemUIFont"/>
          <w:sz w:val="24"/>
          <w:szCs w:val="24"/>
          <w:vertAlign w:val="superscript"/>
          <w:lang w:val="en-US" w:eastAsia="en-US"/>
        </w:rPr>
        <w:t>1</w:t>
      </w:r>
      <w:r w:rsidR="006E0EE6">
        <w:rPr>
          <w:rFonts w:ascii="AppleSystemUIFont" w:eastAsiaTheme="minorHAnsi" w:hAnsi="AppleSystemUIFont" w:cs="AppleSystemUIFont"/>
          <w:sz w:val="24"/>
          <w:szCs w:val="24"/>
          <w:vertAlign w:val="superscript"/>
          <w:lang w:val="en-US" w:eastAsia="en-US"/>
        </w:rPr>
        <w:t>9</w:t>
      </w:r>
    </w:p>
    <w:p w14:paraId="35225DEB" w14:textId="6C6D9044" w:rsidR="00AB46D0" w:rsidRPr="00AB46D0" w:rsidRDefault="00AB46D0" w:rsidP="00AB46D0">
      <w:pPr>
        <w:pStyle w:val="ListParagraph"/>
        <w:numPr>
          <w:ilvl w:val="0"/>
          <w:numId w:val="22"/>
        </w:numPr>
      </w:pPr>
      <w:r w:rsidRPr="00AB46D0">
        <w:rPr>
          <w:rFonts w:ascii="AppleSystemUIFont" w:hAnsi="AppleSystemUIFont" w:cs="AppleSystemUIFont"/>
        </w:rPr>
        <w:t xml:space="preserve">Leeds Teaching Hospitals NHS Trust </w:t>
      </w:r>
      <w:r>
        <w:rPr>
          <w:rFonts w:ascii="AppleSystemUIFont" w:hAnsi="AppleSystemUIFont" w:cs="AppleSystemUIFont"/>
        </w:rPr>
        <w:t>(</w:t>
      </w:r>
      <w:r w:rsidR="006E0EE6">
        <w:rPr>
          <w:rFonts w:ascii="AppleSystemUIFont" w:hAnsi="AppleSystemUIFont" w:cs="AppleSystemUIFont"/>
        </w:rPr>
        <w:t>0000-0003-2681-2288)</w:t>
      </w:r>
    </w:p>
    <w:p w14:paraId="32459F1F" w14:textId="7310FA78"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University of Southampton</w:t>
      </w:r>
      <w:r w:rsidR="006E0EE6">
        <w:rPr>
          <w:rFonts w:ascii="AppleSystemUIFont" w:hAnsi="AppleSystemUIFont" w:cs="AppleSystemUIFont"/>
        </w:rPr>
        <w:t xml:space="preserve"> (0000-0003-1466-2016)</w:t>
      </w:r>
    </w:p>
    <w:p w14:paraId="601CE1BD" w14:textId="13B749BE"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University of Nottingham</w:t>
      </w:r>
      <w:r w:rsidR="006E0EE6">
        <w:rPr>
          <w:rFonts w:ascii="AppleSystemUIFont" w:hAnsi="AppleSystemUIFont" w:cs="AppleSystemUIFont"/>
        </w:rPr>
        <w:t xml:space="preserve"> (0000-0001-7591-4438)</w:t>
      </w:r>
    </w:p>
    <w:p w14:paraId="4F0CEEAB" w14:textId="6596A198"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Royal United Hospitals Bath NHS Foundation Trust</w:t>
      </w:r>
      <w:r w:rsidR="00864522">
        <w:rPr>
          <w:rFonts w:ascii="AppleSystemUIFont" w:hAnsi="AppleSystemUIFont" w:cs="AppleSystemUIFont"/>
        </w:rPr>
        <w:t xml:space="preserve"> (0000-0002-3654-497X)</w:t>
      </w:r>
    </w:p>
    <w:p w14:paraId="3E2CFC40" w14:textId="00BD4E8D"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Leeds Teaching Hospitals NHS Trust</w:t>
      </w:r>
      <w:r>
        <w:rPr>
          <w:rFonts w:ascii="AppleSystemUIFont" w:hAnsi="AppleSystemUIFont" w:cs="AppleSystemUIFont"/>
        </w:rPr>
        <w:t xml:space="preserve"> (0000-0003-2749-7996)</w:t>
      </w:r>
    </w:p>
    <w:p w14:paraId="5ED5ECD4" w14:textId="77777777" w:rsidR="00AB46D0" w:rsidRPr="00AB46D0" w:rsidRDefault="00AB46D0" w:rsidP="00AB46D0">
      <w:pPr>
        <w:pStyle w:val="ListParagraph"/>
        <w:numPr>
          <w:ilvl w:val="0"/>
          <w:numId w:val="22"/>
        </w:numPr>
      </w:pPr>
      <w:r w:rsidRPr="00AB46D0">
        <w:rPr>
          <w:rFonts w:ascii="AppleSystemUIFont" w:hAnsi="AppleSystemUIFont" w:cs="AppleSystemUIFont"/>
        </w:rPr>
        <w:t>Imperial College Healthcare NHS Trust</w:t>
      </w:r>
    </w:p>
    <w:p w14:paraId="4FEB6917" w14:textId="5EC23163"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Central Manchester University NHS Foundation Trust</w:t>
      </w:r>
      <w:r w:rsidR="00864522">
        <w:rPr>
          <w:rFonts w:ascii="AppleSystemUIFont" w:hAnsi="AppleSystemUIFont" w:cs="AppleSystemUIFont"/>
        </w:rPr>
        <w:t xml:space="preserve"> </w:t>
      </w:r>
    </w:p>
    <w:p w14:paraId="152B7CA9" w14:textId="4867F9F9"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NHS Digital</w:t>
      </w:r>
      <w:r w:rsidR="006E0EE6">
        <w:rPr>
          <w:rFonts w:ascii="AppleSystemUIFont" w:hAnsi="AppleSystemUIFont" w:cs="AppleSystemUIFont"/>
        </w:rPr>
        <w:t xml:space="preserve"> (0000-0002-2685-0236)</w:t>
      </w:r>
    </w:p>
    <w:p w14:paraId="405A290D" w14:textId="77777777"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Sheffield Childrens NHS Foundation Trust</w:t>
      </w:r>
    </w:p>
    <w:p w14:paraId="5DE5A067" w14:textId="137C734F"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University Hospitals Birmingham</w:t>
      </w:r>
      <w:r w:rsidR="006E0EE6">
        <w:rPr>
          <w:rFonts w:ascii="AppleSystemUIFont" w:hAnsi="AppleSystemUIFont" w:cs="AppleSystemUIFont"/>
        </w:rPr>
        <w:t xml:space="preserve"> (0000-0003-2109-5777)</w:t>
      </w:r>
    </w:p>
    <w:p w14:paraId="4D477099" w14:textId="77777777"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Kings College Hospital NHS Foundation Trust</w:t>
      </w:r>
    </w:p>
    <w:p w14:paraId="48B78DF9" w14:textId="1D761DF4"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Imperial College Healthcare NHS Trust</w:t>
      </w:r>
      <w:r w:rsidR="006E0EE6">
        <w:rPr>
          <w:rFonts w:ascii="AppleSystemUIFont" w:hAnsi="AppleSystemUIFont" w:cs="AppleSystemUIFont"/>
        </w:rPr>
        <w:t xml:space="preserve"> (0000-0003-2725-7044)</w:t>
      </w:r>
    </w:p>
    <w:p w14:paraId="44CE74FB" w14:textId="77777777" w:rsidR="00AB46D0" w:rsidRP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Cambridge University Hospitals NHS Foundation Trust</w:t>
      </w:r>
    </w:p>
    <w:p w14:paraId="3F6A8DC3" w14:textId="77777777" w:rsidR="00AB46D0" w:rsidRPr="00AB46D0" w:rsidRDefault="00AB46D0" w:rsidP="00AB46D0">
      <w:pPr>
        <w:pStyle w:val="ListParagraph"/>
        <w:numPr>
          <w:ilvl w:val="0"/>
          <w:numId w:val="22"/>
        </w:numPr>
        <w:rPr>
          <w:rFonts w:ascii="AppleSystemUIFont" w:hAnsi="AppleSystemUIFont" w:cs="AppleSystemUIFont"/>
        </w:rPr>
      </w:pPr>
      <w:proofErr w:type="spellStart"/>
      <w:r w:rsidRPr="00AB46D0">
        <w:rPr>
          <w:rFonts w:ascii="AppleSystemUIFont" w:hAnsi="AppleSystemUIFont" w:cs="AppleSystemUIFont"/>
        </w:rPr>
        <w:t>Northumbria</w:t>
      </w:r>
      <w:proofErr w:type="spellEnd"/>
      <w:r w:rsidRPr="00AB46D0">
        <w:rPr>
          <w:rFonts w:ascii="AppleSystemUIFont" w:hAnsi="AppleSystemUIFont" w:cs="AppleSystemUIFont"/>
        </w:rPr>
        <w:t xml:space="preserve"> Healthcare NHS Foundation Trust</w:t>
      </w:r>
    </w:p>
    <w:p w14:paraId="75CD3DBD" w14:textId="4BC5A481" w:rsidR="00AB46D0" w:rsidRDefault="00AB46D0"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University of Leeds</w:t>
      </w:r>
      <w:r w:rsidR="006E0EE6">
        <w:rPr>
          <w:rFonts w:ascii="AppleSystemUIFont" w:hAnsi="AppleSystemUIFont" w:cs="AppleSystemUIFont"/>
        </w:rPr>
        <w:t xml:space="preserve"> (0000-0003-0193-8677)</w:t>
      </w:r>
    </w:p>
    <w:p w14:paraId="6B99F972" w14:textId="1FE223CE" w:rsidR="006E0EE6" w:rsidRPr="00AB46D0" w:rsidRDefault="006E0EE6" w:rsidP="00AB46D0">
      <w:pPr>
        <w:pStyle w:val="ListParagraph"/>
        <w:numPr>
          <w:ilvl w:val="0"/>
          <w:numId w:val="22"/>
        </w:numPr>
        <w:rPr>
          <w:rFonts w:ascii="AppleSystemUIFont" w:hAnsi="AppleSystemUIFont" w:cs="AppleSystemUIFont"/>
        </w:rPr>
      </w:pPr>
      <w:r w:rsidRPr="00AB46D0">
        <w:rPr>
          <w:rFonts w:ascii="AppleSystemUIFont" w:hAnsi="AppleSystemUIFont" w:cs="AppleSystemUIFont"/>
        </w:rPr>
        <w:t>Leeds Teaching Hospitals NHS Trust</w:t>
      </w:r>
    </w:p>
    <w:p w14:paraId="5DC67BF0" w14:textId="767BD48F" w:rsidR="00AB46D0" w:rsidRDefault="006E0EE6" w:rsidP="00AB46D0">
      <w:pPr>
        <w:pStyle w:val="ListParagraph"/>
        <w:numPr>
          <w:ilvl w:val="0"/>
          <w:numId w:val="22"/>
        </w:numPr>
        <w:rPr>
          <w:rFonts w:ascii="AppleSystemUIFont" w:hAnsi="AppleSystemUIFont" w:cs="AppleSystemUIFont"/>
        </w:rPr>
      </w:pPr>
      <w:r>
        <w:rPr>
          <w:rFonts w:ascii="AppleSystemUIFont" w:hAnsi="AppleSystemUIFont" w:cs="AppleSystemUIFont"/>
        </w:rPr>
        <w:t xml:space="preserve">British Society for Antimicrobial Chemotherapy, </w:t>
      </w:r>
      <w:proofErr w:type="spellStart"/>
      <w:r>
        <w:rPr>
          <w:rFonts w:ascii="AppleSystemUIFont" w:hAnsi="AppleSystemUIFont" w:cs="AppleSystemUIFont"/>
        </w:rPr>
        <w:t>Birmigham</w:t>
      </w:r>
      <w:proofErr w:type="spellEnd"/>
      <w:r>
        <w:rPr>
          <w:rFonts w:ascii="AppleSystemUIFont" w:hAnsi="AppleSystemUIFont" w:cs="AppleSystemUIFont"/>
        </w:rPr>
        <w:t xml:space="preserve"> (0000-0003-1926-9491)</w:t>
      </w:r>
    </w:p>
    <w:p w14:paraId="07965F20" w14:textId="56D3B548" w:rsidR="006E0EE6" w:rsidRPr="00AB46D0" w:rsidRDefault="006E0EE6" w:rsidP="00AB46D0">
      <w:pPr>
        <w:pStyle w:val="ListParagraph"/>
        <w:numPr>
          <w:ilvl w:val="0"/>
          <w:numId w:val="22"/>
        </w:numPr>
        <w:rPr>
          <w:rFonts w:ascii="AppleSystemUIFont" w:hAnsi="AppleSystemUIFont" w:cs="AppleSystemUIFont"/>
        </w:rPr>
      </w:pPr>
      <w:r>
        <w:rPr>
          <w:rFonts w:ascii="AppleSystemUIFont" w:hAnsi="AppleSystemUIFont" w:cs="AppleSystemUIFont"/>
        </w:rPr>
        <w:t>Health Improvement Scotland, Glasgow</w:t>
      </w:r>
    </w:p>
    <w:p w14:paraId="6578A348" w14:textId="228D7ED4" w:rsidR="00AB46D0" w:rsidRPr="00AB46D0" w:rsidRDefault="00AB46D0" w:rsidP="00AB46D0">
      <w:pPr>
        <w:pStyle w:val="ListParagraph"/>
        <w:numPr>
          <w:ilvl w:val="0"/>
          <w:numId w:val="22"/>
        </w:numPr>
      </w:pPr>
      <w:r w:rsidRPr="00AB46D0">
        <w:rPr>
          <w:rFonts w:ascii="AppleSystemUIFont" w:hAnsi="AppleSystemUIFont" w:cs="AppleSystemUIFont"/>
        </w:rPr>
        <w:t>Allergy UK</w:t>
      </w:r>
    </w:p>
    <w:p w14:paraId="69503F5B" w14:textId="317998E5" w:rsidR="00D911B1" w:rsidRPr="00AB46D0" w:rsidRDefault="00D911B1" w:rsidP="003C500F">
      <w:pPr>
        <w:rPr>
          <w:b/>
        </w:rPr>
      </w:pPr>
    </w:p>
    <w:p w14:paraId="752670C5" w14:textId="05239A16" w:rsidR="0080702D" w:rsidRPr="006E670B" w:rsidRDefault="0007539F" w:rsidP="0080702D">
      <w:pPr>
        <w:spacing w:line="480" w:lineRule="auto"/>
        <w:jc w:val="both"/>
        <w:rPr>
          <w:rFonts w:asciiTheme="minorHAnsi" w:hAnsiTheme="minorHAnsi"/>
          <w:b/>
          <w:u w:val="single"/>
        </w:rPr>
      </w:pPr>
      <w:r w:rsidRPr="006E670B">
        <w:rPr>
          <w:rFonts w:asciiTheme="minorHAnsi" w:hAnsiTheme="minorHAnsi"/>
          <w:b/>
          <w:u w:val="single"/>
        </w:rPr>
        <w:t>Corresponding author: Dr Louise Savic (louise.savic@nhs.net)</w:t>
      </w:r>
    </w:p>
    <w:p w14:paraId="042565A3" w14:textId="715B6F49" w:rsidR="006E670B" w:rsidRPr="006E670B" w:rsidRDefault="006E670B" w:rsidP="006E670B">
      <w:pPr>
        <w:spacing w:after="0" w:line="240" w:lineRule="auto"/>
        <w:rPr>
          <w:rFonts w:ascii="Helvetica" w:eastAsia="Times New Roman" w:hAnsi="Helvetica" w:cs="Times New Roman"/>
          <w:sz w:val="18"/>
          <w:szCs w:val="18"/>
          <w:lang w:eastAsia="en-US"/>
        </w:rPr>
      </w:pPr>
      <w:r w:rsidRPr="006E670B">
        <w:rPr>
          <w:rFonts w:ascii="Helvetica" w:hAnsi="Helvetica"/>
          <w:iCs/>
          <w:sz w:val="18"/>
          <w:szCs w:val="18"/>
        </w:rPr>
        <w:t xml:space="preserve">TG has received payment for consulting and advisory work, and educational support from </w:t>
      </w:r>
      <w:proofErr w:type="spellStart"/>
      <w:r w:rsidRPr="006E670B">
        <w:rPr>
          <w:rFonts w:ascii="Helvetica" w:hAnsi="Helvetica"/>
          <w:iCs/>
          <w:sz w:val="18"/>
          <w:szCs w:val="18"/>
        </w:rPr>
        <w:t>BioCryst</w:t>
      </w:r>
      <w:proofErr w:type="spellEnd"/>
      <w:r w:rsidRPr="006E670B">
        <w:rPr>
          <w:rFonts w:ascii="Helvetica" w:hAnsi="Helvetica"/>
          <w:iCs/>
          <w:sz w:val="18"/>
          <w:szCs w:val="18"/>
        </w:rPr>
        <w:t xml:space="preserve">, CSL Behring, Novartis, </w:t>
      </w:r>
      <w:proofErr w:type="spellStart"/>
      <w:r w:rsidRPr="006E670B">
        <w:rPr>
          <w:rFonts w:ascii="Helvetica" w:hAnsi="Helvetica"/>
          <w:iCs/>
          <w:sz w:val="18"/>
          <w:szCs w:val="18"/>
        </w:rPr>
        <w:t>Octapharma</w:t>
      </w:r>
      <w:proofErr w:type="spellEnd"/>
      <w:r w:rsidRPr="006E670B">
        <w:rPr>
          <w:rFonts w:ascii="Helvetica" w:hAnsi="Helvetica"/>
          <w:iCs/>
          <w:sz w:val="18"/>
          <w:szCs w:val="18"/>
        </w:rPr>
        <w:t xml:space="preserve">, Pharming, Takeda. MTK received education grants from pharmaceutical companies including ALK </w:t>
      </w:r>
      <w:proofErr w:type="spellStart"/>
      <w:r w:rsidRPr="006E670B">
        <w:rPr>
          <w:rFonts w:ascii="Helvetica" w:hAnsi="Helvetica"/>
          <w:iCs/>
          <w:sz w:val="18"/>
          <w:szCs w:val="18"/>
        </w:rPr>
        <w:t>Abello</w:t>
      </w:r>
      <w:proofErr w:type="spellEnd"/>
      <w:r w:rsidRPr="006E670B">
        <w:rPr>
          <w:rFonts w:ascii="Helvetica" w:hAnsi="Helvetica"/>
          <w:iCs/>
          <w:sz w:val="18"/>
          <w:szCs w:val="18"/>
        </w:rPr>
        <w:t xml:space="preserve">, Allergy Therapeutics, MEDA, </w:t>
      </w:r>
      <w:proofErr w:type="spellStart"/>
      <w:r w:rsidRPr="006E670B">
        <w:rPr>
          <w:rFonts w:ascii="Helvetica" w:hAnsi="Helvetica"/>
          <w:iCs/>
          <w:sz w:val="18"/>
          <w:szCs w:val="18"/>
        </w:rPr>
        <w:t>Thermo</w:t>
      </w:r>
      <w:proofErr w:type="spellEnd"/>
      <w:r w:rsidRPr="006E670B">
        <w:rPr>
          <w:rFonts w:ascii="Helvetica" w:hAnsi="Helvetica"/>
          <w:iCs/>
          <w:sz w:val="18"/>
          <w:szCs w:val="18"/>
        </w:rPr>
        <w:t xml:space="preserve"> Fisher, and has received personal funding from ALK </w:t>
      </w:r>
      <w:proofErr w:type="spellStart"/>
      <w:r w:rsidRPr="006E670B">
        <w:rPr>
          <w:rFonts w:ascii="Helvetica" w:hAnsi="Helvetica"/>
          <w:iCs/>
          <w:sz w:val="18"/>
          <w:szCs w:val="18"/>
        </w:rPr>
        <w:t>Abello</w:t>
      </w:r>
      <w:proofErr w:type="spellEnd"/>
      <w:r w:rsidRPr="006E670B">
        <w:rPr>
          <w:rFonts w:ascii="Helvetica" w:hAnsi="Helvetica"/>
          <w:iCs/>
          <w:sz w:val="18"/>
          <w:szCs w:val="18"/>
        </w:rPr>
        <w:t xml:space="preserve">. </w:t>
      </w:r>
      <w:proofErr w:type="spellStart"/>
      <w:r w:rsidRPr="006E670B">
        <w:rPr>
          <w:rFonts w:ascii="Helvetica" w:hAnsi="Helvetica"/>
          <w:iCs/>
          <w:sz w:val="18"/>
          <w:szCs w:val="18"/>
        </w:rPr>
        <w:t>JSandoe</w:t>
      </w:r>
      <w:proofErr w:type="spellEnd"/>
      <w:r w:rsidRPr="006E670B">
        <w:rPr>
          <w:rFonts w:ascii="Helvetica" w:hAnsi="Helvetica"/>
          <w:iCs/>
          <w:sz w:val="18"/>
          <w:szCs w:val="18"/>
        </w:rPr>
        <w:t xml:space="preserve"> has received consultancy fees from </w:t>
      </w:r>
      <w:proofErr w:type="spellStart"/>
      <w:r w:rsidRPr="006E670B">
        <w:rPr>
          <w:rFonts w:ascii="Helvetica" w:hAnsi="Helvetica"/>
          <w:iCs/>
          <w:sz w:val="18"/>
          <w:szCs w:val="18"/>
        </w:rPr>
        <w:t>MedTronic</w:t>
      </w:r>
      <w:proofErr w:type="spellEnd"/>
      <w:r w:rsidRPr="006E670B">
        <w:rPr>
          <w:rFonts w:ascii="Helvetica" w:hAnsi="Helvetica"/>
          <w:iCs/>
          <w:sz w:val="18"/>
          <w:szCs w:val="18"/>
        </w:rPr>
        <w:t xml:space="preserve"> and </w:t>
      </w:r>
      <w:proofErr w:type="spellStart"/>
      <w:r w:rsidRPr="006E670B">
        <w:rPr>
          <w:rFonts w:ascii="Helvetica" w:hAnsi="Helvetica"/>
          <w:iCs/>
          <w:sz w:val="18"/>
          <w:szCs w:val="18"/>
        </w:rPr>
        <w:t>Tillotts</w:t>
      </w:r>
      <w:proofErr w:type="spellEnd"/>
      <w:r w:rsidRPr="006E670B">
        <w:rPr>
          <w:rFonts w:ascii="Helvetica" w:hAnsi="Helvetica"/>
          <w:iCs/>
          <w:sz w:val="18"/>
          <w:szCs w:val="18"/>
        </w:rPr>
        <w:t xml:space="preserve"> Pharma. All other authors confirmed they have no conflicts of interest. Allergy UK has received funding from Thermo-Fisher Scientific</w:t>
      </w:r>
      <w:r w:rsidR="009704AC">
        <w:rPr>
          <w:rFonts w:ascii="Helvetica" w:hAnsi="Helvetica"/>
          <w:iCs/>
          <w:sz w:val="18"/>
          <w:szCs w:val="18"/>
        </w:rPr>
        <w:t xml:space="preserve">. BSACI </w:t>
      </w:r>
    </w:p>
    <w:p w14:paraId="22C46F29" w14:textId="29B8DD4E" w:rsidR="000C4D67" w:rsidRDefault="006E670B" w:rsidP="009704AC">
      <w:pPr>
        <w:autoSpaceDE w:val="0"/>
        <w:autoSpaceDN w:val="0"/>
        <w:adjustRightInd w:val="0"/>
        <w:spacing w:after="0" w:line="240" w:lineRule="auto"/>
        <w:rPr>
          <w:rFonts w:asciiTheme="minorHAnsi" w:eastAsiaTheme="minorHAnsi" w:hAnsiTheme="minorHAnsi" w:cs="AppleSystemUIFont"/>
          <w:b/>
          <w:lang w:val="en-US" w:eastAsia="en-US"/>
        </w:rPr>
      </w:pPr>
      <w:r>
        <w:rPr>
          <w:rFonts w:asciiTheme="minorHAnsi" w:eastAsiaTheme="minorHAnsi" w:hAnsiTheme="minorHAnsi" w:cs="AppleSystemUIFont"/>
          <w:b/>
          <w:lang w:val="en-US" w:eastAsia="en-US"/>
        </w:rPr>
        <w:lastRenderedPageBreak/>
        <w:t xml:space="preserve"> </w:t>
      </w:r>
      <w:r w:rsidR="0007539F" w:rsidRPr="009704AC">
        <w:rPr>
          <w:rFonts w:asciiTheme="minorHAnsi" w:eastAsiaTheme="minorHAnsi" w:hAnsiTheme="minorHAnsi" w:cs="AppleSystemUIFont"/>
          <w:lang w:val="en-US" w:eastAsia="en-US"/>
        </w:rPr>
        <w:t>All members of the writing group contributed to the development of the P</w:t>
      </w:r>
      <w:r w:rsidR="00C66EE9" w:rsidRPr="009704AC">
        <w:rPr>
          <w:rFonts w:asciiTheme="minorHAnsi" w:eastAsiaTheme="minorHAnsi" w:hAnsiTheme="minorHAnsi" w:cs="AppleSystemUIFont"/>
          <w:lang w:val="en-US" w:eastAsia="en-US"/>
        </w:rPr>
        <w:t>I</w:t>
      </w:r>
      <w:r w:rsidR="0007539F" w:rsidRPr="009704AC">
        <w:rPr>
          <w:rFonts w:asciiTheme="minorHAnsi" w:eastAsiaTheme="minorHAnsi" w:hAnsiTheme="minorHAnsi" w:cs="AppleSystemUIFont"/>
          <w:lang w:val="en-US" w:eastAsia="en-US"/>
        </w:rPr>
        <w:t>CO questions and the drafting of the guideline</w:t>
      </w:r>
      <w:r w:rsidR="0007539F">
        <w:rPr>
          <w:rFonts w:asciiTheme="minorHAnsi" w:eastAsiaTheme="minorHAnsi" w:hAnsiTheme="minorHAnsi" w:cs="AppleSystemUIFont"/>
          <w:b/>
          <w:lang w:val="en-US" w:eastAsia="en-US"/>
        </w:rPr>
        <w:t>.</w:t>
      </w:r>
    </w:p>
    <w:p w14:paraId="28DBB882" w14:textId="77777777" w:rsidR="00C66EE9" w:rsidRDefault="00C66EE9" w:rsidP="0080702D">
      <w:pPr>
        <w:autoSpaceDE w:val="0"/>
        <w:autoSpaceDN w:val="0"/>
        <w:adjustRightInd w:val="0"/>
        <w:spacing w:after="0" w:line="480" w:lineRule="auto"/>
        <w:rPr>
          <w:rFonts w:asciiTheme="minorHAnsi" w:eastAsiaTheme="minorHAnsi" w:hAnsiTheme="minorHAnsi" w:cs="AppleSystemUIFont"/>
          <w:b/>
          <w:lang w:val="en-US" w:eastAsia="en-US"/>
        </w:rPr>
      </w:pPr>
    </w:p>
    <w:p w14:paraId="5EC134CB" w14:textId="3CFBF466" w:rsidR="0080702D" w:rsidRPr="00763ECA" w:rsidRDefault="0080702D" w:rsidP="0080702D">
      <w:pPr>
        <w:autoSpaceDE w:val="0"/>
        <w:autoSpaceDN w:val="0"/>
        <w:adjustRightInd w:val="0"/>
        <w:spacing w:after="0" w:line="480" w:lineRule="auto"/>
        <w:rPr>
          <w:rFonts w:asciiTheme="minorHAnsi" w:eastAsiaTheme="minorHAnsi" w:hAnsiTheme="minorHAnsi" w:cs="AppleSystemUIFont"/>
          <w:b/>
          <w:lang w:val="en-US" w:eastAsia="en-US"/>
        </w:rPr>
      </w:pPr>
      <w:r w:rsidRPr="00763ECA">
        <w:rPr>
          <w:rFonts w:asciiTheme="minorHAnsi" w:eastAsiaTheme="minorHAnsi" w:hAnsiTheme="minorHAnsi" w:cs="AppleSystemUIFont"/>
          <w:b/>
          <w:lang w:val="en-US" w:eastAsia="en-US"/>
        </w:rPr>
        <w:t>Stakeholder representation:</w:t>
      </w:r>
    </w:p>
    <w:p w14:paraId="35133A12" w14:textId="6ED2AA00" w:rsidR="0080702D" w:rsidRPr="00763ECA" w:rsidRDefault="00147BE6" w:rsidP="00147BE6">
      <w:pPr>
        <w:spacing w:after="0" w:line="480" w:lineRule="auto"/>
        <w:jc w:val="both"/>
        <w:rPr>
          <w:rFonts w:asciiTheme="minorHAnsi" w:eastAsiaTheme="minorHAnsi" w:hAnsiTheme="minorHAnsi" w:cs="AppleSystemUIFont"/>
          <w:lang w:val="en-US" w:eastAsia="en-US"/>
        </w:rPr>
      </w:pPr>
      <w:r>
        <w:rPr>
          <w:rFonts w:asciiTheme="minorHAnsi" w:eastAsiaTheme="minorHAnsi" w:hAnsiTheme="minorHAnsi" w:cs="AppleSystemUIFont"/>
          <w:lang w:val="en-US" w:eastAsia="en-US"/>
        </w:rPr>
        <w:t>The Royal College of Pathologists (</w:t>
      </w:r>
      <w:r w:rsidRPr="00B471EB">
        <w:rPr>
          <w:rFonts w:asciiTheme="minorHAnsi" w:eastAsiaTheme="minorHAnsi" w:hAnsiTheme="minorHAnsi" w:cs="AppleSystemUIFont"/>
          <w:i/>
          <w:iCs/>
          <w:lang w:val="en-US" w:eastAsia="en-US"/>
        </w:rPr>
        <w:t xml:space="preserve">Professor </w:t>
      </w:r>
      <w:proofErr w:type="spellStart"/>
      <w:r w:rsidRPr="00B471EB">
        <w:rPr>
          <w:rFonts w:asciiTheme="minorHAnsi" w:eastAsiaTheme="minorHAnsi" w:hAnsiTheme="minorHAnsi" w:cs="AppleSystemUIFont"/>
          <w:i/>
          <w:iCs/>
          <w:lang w:val="en-US" w:eastAsia="en-US"/>
        </w:rPr>
        <w:t>Mamidipudi</w:t>
      </w:r>
      <w:proofErr w:type="spellEnd"/>
      <w:r w:rsidRPr="00B471EB">
        <w:rPr>
          <w:rFonts w:asciiTheme="minorHAnsi" w:eastAsiaTheme="minorHAnsi" w:hAnsiTheme="minorHAnsi" w:cs="AppleSystemUIFont"/>
          <w:i/>
          <w:iCs/>
          <w:lang w:val="en-US" w:eastAsia="en-US"/>
        </w:rPr>
        <w:t xml:space="preserve"> Thirumala Krishna</w:t>
      </w:r>
      <w:r>
        <w:rPr>
          <w:rFonts w:asciiTheme="minorHAnsi" w:eastAsiaTheme="minorHAnsi" w:hAnsiTheme="minorHAnsi" w:cs="AppleSystemUIFont"/>
          <w:lang w:val="en-US" w:eastAsia="en-US"/>
        </w:rPr>
        <w:t>)</w:t>
      </w:r>
    </w:p>
    <w:p w14:paraId="3DA794B6" w14:textId="77777777"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 xml:space="preserve">Association of </w:t>
      </w:r>
      <w:proofErr w:type="spellStart"/>
      <w:r w:rsidRPr="00763ECA">
        <w:rPr>
          <w:rFonts w:asciiTheme="minorHAnsi" w:eastAsiaTheme="minorHAnsi" w:hAnsiTheme="minorHAnsi" w:cs="AppleSystemUIFont"/>
          <w:lang w:val="en-US" w:eastAsia="en-US"/>
        </w:rPr>
        <w:t>Anaesthetists</w:t>
      </w:r>
      <w:proofErr w:type="spellEnd"/>
      <w:r w:rsidRPr="00763ECA">
        <w:rPr>
          <w:rFonts w:asciiTheme="minorHAnsi" w:eastAsiaTheme="minorHAnsi" w:hAnsiTheme="minorHAnsi" w:cs="AppleSystemUIFont"/>
          <w:lang w:val="en-US" w:eastAsia="en-US"/>
        </w:rPr>
        <w:t xml:space="preserve"> and Royal College of </w:t>
      </w:r>
      <w:proofErr w:type="spellStart"/>
      <w:r w:rsidRPr="00763ECA">
        <w:rPr>
          <w:rFonts w:asciiTheme="minorHAnsi" w:eastAsiaTheme="minorHAnsi" w:hAnsiTheme="minorHAnsi" w:cs="AppleSystemUIFont"/>
          <w:lang w:val="en-US" w:eastAsia="en-US"/>
        </w:rPr>
        <w:t>Anaesthetists</w:t>
      </w:r>
      <w:proofErr w:type="spellEnd"/>
      <w:r w:rsidRPr="00763ECA">
        <w:rPr>
          <w:rFonts w:asciiTheme="minorHAnsi" w:eastAsiaTheme="minorHAnsi" w:hAnsiTheme="minorHAnsi" w:cs="AppleSystemUIFont"/>
          <w:lang w:val="en-US" w:eastAsia="en-US"/>
        </w:rPr>
        <w:t xml:space="preserve"> (</w:t>
      </w:r>
      <w:r w:rsidRPr="00763ECA">
        <w:rPr>
          <w:rFonts w:asciiTheme="minorHAnsi" w:eastAsiaTheme="minorHAnsi" w:hAnsiTheme="minorHAnsi" w:cs="AppleSystemUIFont"/>
          <w:i/>
          <w:lang w:val="en-US" w:eastAsia="en-US"/>
        </w:rPr>
        <w:t>Professor Tim Cook</w:t>
      </w:r>
      <w:r w:rsidRPr="00763ECA">
        <w:rPr>
          <w:rFonts w:asciiTheme="minorHAnsi" w:eastAsiaTheme="minorHAnsi" w:hAnsiTheme="minorHAnsi" w:cs="AppleSystemUIFont"/>
          <w:lang w:val="en-US" w:eastAsia="en-US"/>
        </w:rPr>
        <w:t>)</w:t>
      </w:r>
    </w:p>
    <w:p w14:paraId="3DE234C6" w14:textId="77777777" w:rsidR="00147BE6" w:rsidRPr="00763ECA" w:rsidRDefault="00147BE6" w:rsidP="00147BE6">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Royal College Physicians (</w:t>
      </w:r>
      <w:r w:rsidRPr="00763ECA">
        <w:rPr>
          <w:rFonts w:asciiTheme="minorHAnsi" w:eastAsiaTheme="minorHAnsi" w:hAnsiTheme="minorHAnsi" w:cs="AppleSystemUIFont"/>
          <w:i/>
          <w:lang w:val="en-US" w:eastAsia="en-US"/>
        </w:rPr>
        <w:t>Dr Shuaib Nasser</w:t>
      </w:r>
      <w:r w:rsidRPr="00763ECA">
        <w:rPr>
          <w:rFonts w:asciiTheme="minorHAnsi" w:eastAsiaTheme="minorHAnsi" w:hAnsiTheme="minorHAnsi" w:cs="AppleSystemUIFont"/>
          <w:lang w:val="en-US" w:eastAsia="en-US"/>
        </w:rPr>
        <w:t>)</w:t>
      </w:r>
    </w:p>
    <w:p w14:paraId="24791C5E" w14:textId="77777777"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Royal College Physicians (Edinburgh) (</w:t>
      </w:r>
      <w:r w:rsidRPr="00763ECA">
        <w:rPr>
          <w:rFonts w:asciiTheme="minorHAnsi" w:eastAsiaTheme="minorHAnsi" w:hAnsiTheme="minorHAnsi" w:cs="AppleSystemUIFont"/>
          <w:i/>
          <w:lang w:val="en-US" w:eastAsia="en-US"/>
        </w:rPr>
        <w:t>Dr Nikhil Premchand</w:t>
      </w:r>
      <w:r w:rsidRPr="00763ECA">
        <w:rPr>
          <w:rFonts w:asciiTheme="minorHAnsi" w:eastAsiaTheme="minorHAnsi" w:hAnsiTheme="minorHAnsi" w:cs="AppleSystemUIFont"/>
          <w:lang w:val="en-US" w:eastAsia="en-US"/>
        </w:rPr>
        <w:t>)</w:t>
      </w:r>
    </w:p>
    <w:p w14:paraId="5541F9BF" w14:textId="77777777"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British Infection Association (</w:t>
      </w:r>
      <w:r w:rsidRPr="00763ECA">
        <w:rPr>
          <w:rFonts w:asciiTheme="minorHAnsi" w:eastAsiaTheme="minorHAnsi" w:hAnsiTheme="minorHAnsi" w:cs="AppleSystemUIFont"/>
          <w:i/>
          <w:lang w:val="en-US" w:eastAsia="en-US"/>
        </w:rPr>
        <w:t>Dr Nikhil Premchand</w:t>
      </w:r>
      <w:r w:rsidRPr="00763ECA">
        <w:rPr>
          <w:rFonts w:asciiTheme="minorHAnsi" w:eastAsiaTheme="minorHAnsi" w:hAnsiTheme="minorHAnsi" w:cs="AppleSystemUIFont"/>
          <w:lang w:val="en-US" w:eastAsia="en-US"/>
        </w:rPr>
        <w:t>)</w:t>
      </w:r>
    </w:p>
    <w:p w14:paraId="5F16E5AF" w14:textId="77777777"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 xml:space="preserve">Society for Acute </w:t>
      </w:r>
      <w:proofErr w:type="gramStart"/>
      <w:r w:rsidRPr="00763ECA">
        <w:rPr>
          <w:rFonts w:asciiTheme="minorHAnsi" w:eastAsiaTheme="minorHAnsi" w:hAnsiTheme="minorHAnsi" w:cs="AppleSystemUIFont"/>
          <w:lang w:val="en-US" w:eastAsia="en-US"/>
        </w:rPr>
        <w:t>Medicine  (</w:t>
      </w:r>
      <w:proofErr w:type="gramEnd"/>
      <w:r w:rsidRPr="00763ECA">
        <w:rPr>
          <w:rFonts w:asciiTheme="minorHAnsi" w:eastAsiaTheme="minorHAnsi" w:hAnsiTheme="minorHAnsi" w:cs="AppleSystemUIFont"/>
          <w:i/>
          <w:lang w:val="en-US" w:eastAsia="en-US"/>
        </w:rPr>
        <w:t>Dr Nikhil Premchand</w:t>
      </w:r>
      <w:r w:rsidRPr="00763ECA">
        <w:rPr>
          <w:rFonts w:asciiTheme="minorHAnsi" w:eastAsiaTheme="minorHAnsi" w:hAnsiTheme="minorHAnsi" w:cs="AppleSystemUIFont"/>
          <w:lang w:val="en-US" w:eastAsia="en-US"/>
        </w:rPr>
        <w:t>)</w:t>
      </w:r>
    </w:p>
    <w:p w14:paraId="0C76477D" w14:textId="4D90825C"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 xml:space="preserve">British Association </w:t>
      </w:r>
      <w:proofErr w:type="gramStart"/>
      <w:r w:rsidRPr="00763ECA">
        <w:rPr>
          <w:rFonts w:asciiTheme="minorHAnsi" w:eastAsiaTheme="minorHAnsi" w:hAnsiTheme="minorHAnsi" w:cs="AppleSystemUIFont"/>
          <w:lang w:val="en-US" w:eastAsia="en-US"/>
        </w:rPr>
        <w:t>Dermatolog</w:t>
      </w:r>
      <w:r w:rsidR="007661AA">
        <w:rPr>
          <w:rFonts w:asciiTheme="minorHAnsi" w:eastAsiaTheme="minorHAnsi" w:hAnsiTheme="minorHAnsi" w:cs="AppleSystemUIFont"/>
          <w:lang w:val="en-US" w:eastAsia="en-US"/>
        </w:rPr>
        <w:t>ists</w:t>
      </w:r>
      <w:r w:rsidRPr="00763ECA">
        <w:rPr>
          <w:rFonts w:asciiTheme="minorHAnsi" w:eastAsiaTheme="minorHAnsi" w:hAnsiTheme="minorHAnsi" w:cs="AppleSystemUIFont"/>
          <w:lang w:val="en-US" w:eastAsia="en-US"/>
        </w:rPr>
        <w:t xml:space="preserve">  (</w:t>
      </w:r>
      <w:proofErr w:type="gramEnd"/>
      <w:r w:rsidRPr="00763ECA">
        <w:rPr>
          <w:rFonts w:asciiTheme="minorHAnsi" w:eastAsiaTheme="minorHAnsi" w:hAnsiTheme="minorHAnsi" w:cs="AppleSystemUIFont"/>
          <w:i/>
          <w:lang w:val="en-US" w:eastAsia="en-US"/>
        </w:rPr>
        <w:t>Professor Mike Arde</w:t>
      </w:r>
      <w:r w:rsidR="006E0EE6">
        <w:rPr>
          <w:rFonts w:asciiTheme="minorHAnsi" w:eastAsiaTheme="minorHAnsi" w:hAnsiTheme="minorHAnsi" w:cs="AppleSystemUIFont"/>
          <w:i/>
          <w:lang w:val="en-US" w:eastAsia="en-US"/>
        </w:rPr>
        <w:t>r</w:t>
      </w:r>
      <w:r w:rsidRPr="00763ECA">
        <w:rPr>
          <w:rFonts w:asciiTheme="minorHAnsi" w:eastAsiaTheme="minorHAnsi" w:hAnsiTheme="minorHAnsi" w:cs="AppleSystemUIFont"/>
          <w:i/>
          <w:lang w:val="en-US" w:eastAsia="en-US"/>
        </w:rPr>
        <w:t>n-Jones</w:t>
      </w:r>
      <w:r w:rsidRPr="00763ECA">
        <w:rPr>
          <w:rFonts w:asciiTheme="minorHAnsi" w:eastAsiaTheme="minorHAnsi" w:hAnsiTheme="minorHAnsi" w:cs="AppleSystemUIFont"/>
          <w:lang w:val="en-US" w:eastAsia="en-US"/>
        </w:rPr>
        <w:t>)</w:t>
      </w:r>
    </w:p>
    <w:p w14:paraId="358F7B9E" w14:textId="77777777" w:rsidR="0080702D" w:rsidRPr="00763ECA" w:rsidRDefault="0080702D" w:rsidP="0080702D">
      <w:pPr>
        <w:autoSpaceDE w:val="0"/>
        <w:autoSpaceDN w:val="0"/>
        <w:adjustRightInd w:val="0"/>
        <w:spacing w:after="0" w:line="480" w:lineRule="auto"/>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Royal Pharmaceutical Society – (</w:t>
      </w:r>
      <w:r w:rsidRPr="00763ECA">
        <w:rPr>
          <w:rFonts w:asciiTheme="minorHAnsi" w:eastAsiaTheme="minorHAnsi" w:hAnsiTheme="minorHAnsi" w:cs="AppleSystemUIFont"/>
          <w:i/>
          <w:lang w:val="en-US" w:eastAsia="en-US"/>
        </w:rPr>
        <w:t>Dr Jacqueline Sneddon</w:t>
      </w:r>
      <w:r w:rsidRPr="00763ECA">
        <w:rPr>
          <w:rFonts w:asciiTheme="minorHAnsi" w:eastAsiaTheme="minorHAnsi" w:hAnsiTheme="minorHAnsi" w:cs="AppleSystemUIFont"/>
          <w:lang w:val="en-US" w:eastAsia="en-US"/>
        </w:rPr>
        <w:t>)</w:t>
      </w:r>
    </w:p>
    <w:p w14:paraId="246B4D5E" w14:textId="3A18D20F" w:rsidR="0080702D" w:rsidRDefault="0080702D" w:rsidP="0080702D">
      <w:pPr>
        <w:spacing w:after="0" w:line="480" w:lineRule="auto"/>
        <w:jc w:val="both"/>
        <w:rPr>
          <w:rFonts w:asciiTheme="minorHAnsi" w:eastAsiaTheme="minorHAnsi" w:hAnsiTheme="minorHAnsi" w:cs="AppleSystemUIFont"/>
          <w:lang w:val="en-US" w:eastAsia="en-US"/>
        </w:rPr>
      </w:pPr>
      <w:r w:rsidRPr="00763ECA">
        <w:rPr>
          <w:rFonts w:asciiTheme="minorHAnsi" w:eastAsiaTheme="minorHAnsi" w:hAnsiTheme="minorHAnsi" w:cs="AppleSystemUIFont"/>
          <w:lang w:val="en-US" w:eastAsia="en-US"/>
        </w:rPr>
        <w:t>Allergy U</w:t>
      </w:r>
      <w:r w:rsidR="00054129">
        <w:rPr>
          <w:rFonts w:asciiTheme="minorHAnsi" w:eastAsiaTheme="minorHAnsi" w:hAnsiTheme="minorHAnsi" w:cs="AppleSystemUIFont"/>
          <w:lang w:val="en-US" w:eastAsia="en-US"/>
        </w:rPr>
        <w:t>K</w:t>
      </w:r>
      <w:r w:rsidRPr="00763ECA">
        <w:rPr>
          <w:rFonts w:asciiTheme="minorHAnsi" w:eastAsiaTheme="minorHAnsi" w:hAnsiTheme="minorHAnsi" w:cs="AppleSystemUIFont"/>
          <w:lang w:val="en-US" w:eastAsia="en-US"/>
        </w:rPr>
        <w:t xml:space="preserve"> (</w:t>
      </w:r>
      <w:proofErr w:type="spellStart"/>
      <w:r w:rsidRPr="00763ECA">
        <w:rPr>
          <w:rFonts w:asciiTheme="minorHAnsi" w:eastAsiaTheme="minorHAnsi" w:hAnsiTheme="minorHAnsi" w:cs="AppleSystemUIFont"/>
          <w:lang w:val="en-US" w:eastAsia="en-US"/>
        </w:rPr>
        <w:t>Ms</w:t>
      </w:r>
      <w:proofErr w:type="spellEnd"/>
      <w:r w:rsidRPr="00763ECA">
        <w:rPr>
          <w:rFonts w:asciiTheme="minorHAnsi" w:eastAsiaTheme="minorHAnsi" w:hAnsiTheme="minorHAnsi" w:cs="AppleSystemUIFont"/>
          <w:lang w:val="en-US" w:eastAsia="en-US"/>
        </w:rPr>
        <w:t xml:space="preserve"> </w:t>
      </w:r>
      <w:r w:rsidRPr="00763ECA">
        <w:rPr>
          <w:rFonts w:asciiTheme="minorHAnsi" w:eastAsiaTheme="minorHAnsi" w:hAnsiTheme="minorHAnsi" w:cs="AppleSystemUIFont"/>
          <w:i/>
          <w:lang w:val="en-US" w:eastAsia="en-US"/>
        </w:rPr>
        <w:t>Amena Walker</w:t>
      </w:r>
      <w:r w:rsidRPr="00763ECA">
        <w:rPr>
          <w:rFonts w:asciiTheme="minorHAnsi" w:eastAsiaTheme="minorHAnsi" w:hAnsiTheme="minorHAnsi" w:cs="AppleSystemUIFont"/>
          <w:lang w:val="en-US" w:eastAsia="en-US"/>
        </w:rPr>
        <w:t>)</w:t>
      </w:r>
    </w:p>
    <w:p w14:paraId="2ADB2D71" w14:textId="77777777" w:rsidR="00147BE6" w:rsidRPr="00147BE6" w:rsidRDefault="00147BE6" w:rsidP="00147BE6">
      <w:pPr>
        <w:autoSpaceDE w:val="0"/>
        <w:autoSpaceDN w:val="0"/>
        <w:adjustRightInd w:val="0"/>
        <w:spacing w:after="0" w:line="480" w:lineRule="auto"/>
        <w:rPr>
          <w:rFonts w:asciiTheme="minorHAnsi" w:eastAsiaTheme="minorHAnsi" w:hAnsiTheme="minorHAnsi" w:cs="AppleSystemUIFont"/>
          <w:lang w:val="en-US" w:eastAsia="en-US"/>
        </w:rPr>
      </w:pPr>
      <w:r w:rsidRPr="00147BE6">
        <w:rPr>
          <w:rFonts w:asciiTheme="minorHAnsi" w:eastAsiaTheme="minorHAnsi" w:hAnsiTheme="minorHAnsi" w:cs="AppleSystemUIFont"/>
          <w:lang w:val="en-US" w:eastAsia="en-US"/>
        </w:rPr>
        <w:t>British Society of Antimicrobial Chemotherapy (</w:t>
      </w:r>
      <w:r w:rsidRPr="00147BE6">
        <w:rPr>
          <w:rFonts w:asciiTheme="minorHAnsi" w:eastAsiaTheme="minorHAnsi" w:hAnsiTheme="minorHAnsi" w:cs="AppleSystemUIFont"/>
          <w:i/>
          <w:lang w:val="en-US" w:eastAsia="en-US"/>
        </w:rPr>
        <w:t>Dr Jonathan Sandoe</w:t>
      </w:r>
      <w:r w:rsidRPr="00147BE6">
        <w:rPr>
          <w:rFonts w:asciiTheme="minorHAnsi" w:eastAsiaTheme="minorHAnsi" w:hAnsiTheme="minorHAnsi" w:cs="AppleSystemUIFont"/>
          <w:lang w:val="en-US" w:eastAsia="en-US"/>
        </w:rPr>
        <w:t>)</w:t>
      </w:r>
    </w:p>
    <w:p w14:paraId="4383DA4D" w14:textId="77777777" w:rsidR="0080702D" w:rsidRPr="00763ECA" w:rsidRDefault="0080702D" w:rsidP="0080702D">
      <w:pPr>
        <w:spacing w:after="0" w:line="480" w:lineRule="auto"/>
        <w:jc w:val="both"/>
        <w:rPr>
          <w:rFonts w:asciiTheme="minorHAnsi" w:eastAsiaTheme="minorHAnsi" w:hAnsiTheme="minorHAnsi" w:cs="AppleSystemUIFont"/>
          <w:lang w:val="en-US" w:eastAsia="en-US"/>
        </w:rPr>
      </w:pPr>
    </w:p>
    <w:p w14:paraId="134331F4" w14:textId="77777777" w:rsidR="0080702D" w:rsidRDefault="0080702D" w:rsidP="003C500F">
      <w:pPr>
        <w:rPr>
          <w:b/>
        </w:rPr>
      </w:pPr>
    </w:p>
    <w:p w14:paraId="14BE6BEE" w14:textId="77777777" w:rsidR="0080702D" w:rsidRDefault="0080702D" w:rsidP="003C500F">
      <w:pPr>
        <w:rPr>
          <w:b/>
        </w:rPr>
      </w:pPr>
    </w:p>
    <w:p w14:paraId="5C903AAD" w14:textId="77777777" w:rsidR="0080702D" w:rsidRDefault="0080702D" w:rsidP="003C500F">
      <w:pPr>
        <w:rPr>
          <w:b/>
        </w:rPr>
      </w:pPr>
    </w:p>
    <w:p w14:paraId="2C6AD32A" w14:textId="77777777" w:rsidR="0080702D" w:rsidRDefault="0080702D" w:rsidP="003C500F">
      <w:pPr>
        <w:rPr>
          <w:b/>
        </w:rPr>
      </w:pPr>
    </w:p>
    <w:p w14:paraId="71CDDC66" w14:textId="77777777" w:rsidR="0080702D" w:rsidRDefault="0080702D" w:rsidP="003C500F">
      <w:pPr>
        <w:rPr>
          <w:b/>
        </w:rPr>
      </w:pPr>
    </w:p>
    <w:p w14:paraId="212CD78E" w14:textId="77777777" w:rsidR="0080702D" w:rsidRDefault="0080702D" w:rsidP="003C500F">
      <w:pPr>
        <w:rPr>
          <w:b/>
        </w:rPr>
      </w:pPr>
    </w:p>
    <w:p w14:paraId="15DAAFF9" w14:textId="77777777" w:rsidR="0080702D" w:rsidRDefault="0080702D" w:rsidP="003C500F">
      <w:pPr>
        <w:rPr>
          <w:b/>
        </w:rPr>
      </w:pPr>
    </w:p>
    <w:p w14:paraId="197CD4EA" w14:textId="77777777" w:rsidR="0080702D" w:rsidRDefault="0080702D" w:rsidP="003C500F">
      <w:pPr>
        <w:rPr>
          <w:b/>
        </w:rPr>
      </w:pPr>
    </w:p>
    <w:p w14:paraId="6E9E8619" w14:textId="77777777" w:rsidR="0080702D" w:rsidRDefault="0080702D" w:rsidP="003C500F">
      <w:pPr>
        <w:rPr>
          <w:b/>
        </w:rPr>
      </w:pPr>
    </w:p>
    <w:p w14:paraId="4A6235E4" w14:textId="77777777" w:rsidR="0080702D" w:rsidRDefault="0080702D" w:rsidP="003C500F">
      <w:pPr>
        <w:rPr>
          <w:b/>
        </w:rPr>
      </w:pPr>
    </w:p>
    <w:p w14:paraId="66AB3E56" w14:textId="356B0618" w:rsidR="0080702D" w:rsidRDefault="0080702D" w:rsidP="003C500F">
      <w:pPr>
        <w:rPr>
          <w:b/>
        </w:rPr>
      </w:pPr>
    </w:p>
    <w:p w14:paraId="65D5897A" w14:textId="4C080774" w:rsidR="00147BE6" w:rsidRDefault="00147BE6" w:rsidP="003C500F">
      <w:pPr>
        <w:rPr>
          <w:b/>
        </w:rPr>
      </w:pPr>
    </w:p>
    <w:p w14:paraId="79D6C545" w14:textId="77777777" w:rsidR="009704AC" w:rsidRDefault="009704AC" w:rsidP="003C500F">
      <w:pPr>
        <w:rPr>
          <w:b/>
        </w:rPr>
      </w:pPr>
    </w:p>
    <w:p w14:paraId="61246698" w14:textId="4151CA9D" w:rsidR="003C500F" w:rsidRDefault="0007539F" w:rsidP="003C500F">
      <w:pPr>
        <w:rPr>
          <w:b/>
        </w:rPr>
      </w:pPr>
      <w:r>
        <w:rPr>
          <w:b/>
        </w:rPr>
        <w:lastRenderedPageBreak/>
        <w:t>ABSTRACT</w:t>
      </w:r>
    </w:p>
    <w:p w14:paraId="1AAF89D7" w14:textId="77777777" w:rsidR="00A0384D" w:rsidRPr="00A0384D" w:rsidRDefault="00A0384D" w:rsidP="003C500F"/>
    <w:p w14:paraId="08B3D998" w14:textId="35E9D298" w:rsidR="00D15BD9" w:rsidRPr="00062636" w:rsidRDefault="009F745B" w:rsidP="467E3DB4">
      <w:pPr>
        <w:spacing w:line="480" w:lineRule="auto"/>
        <w:jc w:val="both"/>
        <w:rPr>
          <w:rFonts w:asciiTheme="minorHAnsi" w:hAnsiTheme="minorHAnsi"/>
        </w:rPr>
      </w:pPr>
      <w:r w:rsidRPr="00062636">
        <w:rPr>
          <w:rFonts w:asciiTheme="minorHAnsi" w:hAnsiTheme="minorHAnsi"/>
        </w:rPr>
        <w:t xml:space="preserve">The Standards of Care Committee </w:t>
      </w:r>
      <w:r w:rsidR="00DF3EE1" w:rsidRPr="00062636">
        <w:rPr>
          <w:rFonts w:asciiTheme="minorHAnsi" w:hAnsiTheme="minorHAnsi"/>
        </w:rPr>
        <w:t xml:space="preserve">of the British Society </w:t>
      </w:r>
      <w:r w:rsidR="00B471EB">
        <w:rPr>
          <w:rFonts w:asciiTheme="minorHAnsi" w:hAnsiTheme="minorHAnsi"/>
        </w:rPr>
        <w:t>for</w:t>
      </w:r>
      <w:r w:rsidR="00DF3EE1" w:rsidRPr="00062636">
        <w:rPr>
          <w:rFonts w:asciiTheme="minorHAnsi" w:hAnsiTheme="minorHAnsi"/>
        </w:rPr>
        <w:t xml:space="preserve"> Allergy and Clinical Immunology (BSACI) </w:t>
      </w:r>
      <w:r w:rsidRPr="00062636">
        <w:rPr>
          <w:rFonts w:asciiTheme="minorHAnsi" w:hAnsiTheme="minorHAnsi"/>
        </w:rPr>
        <w:t xml:space="preserve">and </w:t>
      </w:r>
      <w:r w:rsidR="00DF3EE1" w:rsidRPr="00062636">
        <w:rPr>
          <w:rFonts w:asciiTheme="minorHAnsi" w:hAnsiTheme="minorHAnsi"/>
        </w:rPr>
        <w:t xml:space="preserve">a committee of experts and key stakeholders have </w:t>
      </w:r>
      <w:r w:rsidR="00772473" w:rsidRPr="00062636">
        <w:rPr>
          <w:rFonts w:asciiTheme="minorHAnsi" w:hAnsiTheme="minorHAnsi"/>
        </w:rPr>
        <w:t>developed</w:t>
      </w:r>
      <w:r w:rsidR="00DF3EE1" w:rsidRPr="00062636">
        <w:rPr>
          <w:rFonts w:asciiTheme="minorHAnsi" w:hAnsiTheme="minorHAnsi"/>
        </w:rPr>
        <w:t xml:space="preserve"> this guideline for the </w:t>
      </w:r>
      <w:r w:rsidR="003968FB" w:rsidRPr="00062636">
        <w:rPr>
          <w:rFonts w:asciiTheme="minorHAnsi" w:hAnsiTheme="minorHAnsi"/>
        </w:rPr>
        <w:t>evaluation and testing</w:t>
      </w:r>
      <w:r w:rsidR="00A966DD" w:rsidRPr="00062636">
        <w:rPr>
          <w:rFonts w:asciiTheme="minorHAnsi" w:hAnsiTheme="minorHAnsi"/>
        </w:rPr>
        <w:t xml:space="preserve"> of </w:t>
      </w:r>
      <w:r w:rsidR="003968FB" w:rsidRPr="00062636">
        <w:rPr>
          <w:rFonts w:asciiTheme="minorHAnsi" w:hAnsiTheme="minorHAnsi"/>
        </w:rPr>
        <w:t xml:space="preserve">patients with an unsubstantiated label of </w:t>
      </w:r>
      <w:r w:rsidR="00A966DD" w:rsidRPr="00062636">
        <w:rPr>
          <w:rFonts w:asciiTheme="minorHAnsi" w:hAnsiTheme="minorHAnsi"/>
        </w:rPr>
        <w:t>penicillin allergy</w:t>
      </w:r>
      <w:r w:rsidR="007D7D8C">
        <w:rPr>
          <w:rFonts w:asciiTheme="minorHAnsi" w:hAnsiTheme="minorHAnsi"/>
        </w:rPr>
        <w:t>.</w:t>
      </w:r>
      <w:r w:rsidR="00A966DD" w:rsidRPr="00062636">
        <w:rPr>
          <w:rFonts w:asciiTheme="minorHAnsi" w:hAnsiTheme="minorHAnsi"/>
        </w:rPr>
        <w:t xml:space="preserve"> </w:t>
      </w:r>
      <w:r w:rsidR="00963BC3" w:rsidRPr="00062636">
        <w:rPr>
          <w:rFonts w:asciiTheme="minorHAnsi" w:hAnsiTheme="minorHAnsi"/>
        </w:rPr>
        <w:t xml:space="preserve">The guideline is intended for </w:t>
      </w:r>
      <w:r w:rsidR="00E676D0">
        <w:rPr>
          <w:rFonts w:asciiTheme="minorHAnsi" w:hAnsiTheme="minorHAnsi"/>
        </w:rPr>
        <w:t xml:space="preserve">UK clinicians who are not trained in allergy or immunology, but </w:t>
      </w:r>
      <w:r w:rsidR="00D71545" w:rsidRPr="00062636">
        <w:rPr>
          <w:rFonts w:asciiTheme="minorHAnsi" w:hAnsiTheme="minorHAnsi"/>
        </w:rPr>
        <w:t xml:space="preserve">who </w:t>
      </w:r>
      <w:r w:rsidR="00175860" w:rsidRPr="00062636">
        <w:rPr>
          <w:rFonts w:asciiTheme="minorHAnsi" w:hAnsiTheme="minorHAnsi"/>
        </w:rPr>
        <w:t xml:space="preserve">wish to develop a penicillin allergy de-labelling service </w:t>
      </w:r>
      <w:r w:rsidR="00D71545" w:rsidRPr="00062636">
        <w:rPr>
          <w:rFonts w:asciiTheme="minorHAnsi" w:hAnsiTheme="minorHAnsi"/>
        </w:rPr>
        <w:t>for their patients. It is intended to suppl</w:t>
      </w:r>
      <w:r w:rsidR="000003E7" w:rsidRPr="00062636">
        <w:rPr>
          <w:rFonts w:asciiTheme="minorHAnsi" w:hAnsiTheme="minorHAnsi"/>
        </w:rPr>
        <w:t>e</w:t>
      </w:r>
      <w:r w:rsidR="00D71545" w:rsidRPr="00062636">
        <w:rPr>
          <w:rFonts w:asciiTheme="minorHAnsi" w:hAnsiTheme="minorHAnsi"/>
        </w:rPr>
        <w:t>ment</w:t>
      </w:r>
      <w:r w:rsidR="00A966DD" w:rsidRPr="00062636">
        <w:rPr>
          <w:rFonts w:asciiTheme="minorHAnsi" w:hAnsiTheme="minorHAnsi"/>
        </w:rPr>
        <w:t xml:space="preserve"> </w:t>
      </w:r>
      <w:r w:rsidR="000003E7" w:rsidRPr="00062636">
        <w:rPr>
          <w:rFonts w:asciiTheme="minorHAnsi" w:hAnsiTheme="minorHAnsi"/>
        </w:rPr>
        <w:t>the BSACI 2015 guideline ‘Management of allergy to penicillin and other beta-lactams’</w:t>
      </w:r>
      <w:r w:rsidR="007D7D8C">
        <w:rPr>
          <w:rFonts w:asciiTheme="minorHAnsi" w:hAnsiTheme="minorHAnsi"/>
        </w:rPr>
        <w:t xml:space="preserve"> and therefore </w:t>
      </w:r>
      <w:r w:rsidR="007D7D8C" w:rsidRPr="00062636">
        <w:rPr>
          <w:rFonts w:asciiTheme="minorHAnsi" w:hAnsiTheme="minorHAnsi"/>
        </w:rPr>
        <w:t>does not detail the epidemiology or aetiology of penicillin allergy, as this is covered extensively in the 2015 guideline</w:t>
      </w:r>
      <w:r w:rsidR="00E37F76">
        <w:rPr>
          <w:rFonts w:asciiTheme="minorHAnsi" w:hAnsiTheme="minorHAnsi"/>
          <w:vertAlign w:val="superscript"/>
        </w:rPr>
        <w:t xml:space="preserve"> </w:t>
      </w:r>
      <w:r w:rsidR="00E37F76">
        <w:rPr>
          <w:rFonts w:asciiTheme="minorHAnsi" w:hAnsiTheme="minorHAnsi"/>
        </w:rPr>
        <w:t>(1)</w:t>
      </w:r>
      <w:r w:rsidR="007D7D8C">
        <w:rPr>
          <w:rFonts w:asciiTheme="minorHAnsi" w:hAnsiTheme="minorHAnsi"/>
        </w:rPr>
        <w:t xml:space="preserve">. </w:t>
      </w:r>
      <w:r w:rsidR="00D23F20" w:rsidRPr="00062636">
        <w:rPr>
          <w:rFonts w:asciiTheme="minorHAnsi" w:hAnsiTheme="minorHAnsi"/>
        </w:rPr>
        <w:t xml:space="preserve">The guideline is intended for use </w:t>
      </w:r>
      <w:r w:rsidR="00937A22" w:rsidRPr="00062636">
        <w:rPr>
          <w:rFonts w:asciiTheme="minorHAnsi" w:hAnsiTheme="minorHAnsi"/>
        </w:rPr>
        <w:t xml:space="preserve">only </w:t>
      </w:r>
      <w:r w:rsidR="00794B0D" w:rsidRPr="00062636">
        <w:rPr>
          <w:rFonts w:asciiTheme="minorHAnsi" w:hAnsiTheme="minorHAnsi"/>
        </w:rPr>
        <w:t>in patients</w:t>
      </w:r>
      <w:r w:rsidR="00FA0826" w:rsidRPr="00062636">
        <w:rPr>
          <w:rFonts w:asciiTheme="minorHAnsi" w:hAnsiTheme="minorHAnsi"/>
        </w:rPr>
        <w:t xml:space="preserve"> with </w:t>
      </w:r>
      <w:r w:rsidR="00296D64">
        <w:rPr>
          <w:rFonts w:asciiTheme="minorHAnsi" w:hAnsiTheme="minorHAnsi"/>
        </w:rPr>
        <w:t xml:space="preserve">a label of </w:t>
      </w:r>
      <w:r w:rsidR="00FA0826" w:rsidRPr="00062636">
        <w:rPr>
          <w:rFonts w:asciiTheme="minorHAnsi" w:hAnsiTheme="minorHAnsi"/>
        </w:rPr>
        <w:t>penicillin allergy and does not apply to other beta-lactam allergies. The recommend</w:t>
      </w:r>
      <w:r w:rsidR="00062589" w:rsidRPr="00062636">
        <w:rPr>
          <w:rFonts w:asciiTheme="minorHAnsi" w:hAnsiTheme="minorHAnsi"/>
        </w:rPr>
        <w:t xml:space="preserve">ations </w:t>
      </w:r>
      <w:r w:rsidR="00F03E81" w:rsidRPr="00062636">
        <w:rPr>
          <w:rFonts w:asciiTheme="minorHAnsi" w:hAnsiTheme="minorHAnsi"/>
        </w:rPr>
        <w:t>include a</w:t>
      </w:r>
      <w:r w:rsidR="007D7D8C">
        <w:rPr>
          <w:rFonts w:asciiTheme="minorHAnsi" w:hAnsiTheme="minorHAnsi"/>
        </w:rPr>
        <w:t xml:space="preserve"> checklist </w:t>
      </w:r>
      <w:r w:rsidR="00F03E81" w:rsidRPr="00062636">
        <w:rPr>
          <w:rFonts w:asciiTheme="minorHAnsi" w:hAnsiTheme="minorHAnsi"/>
        </w:rPr>
        <w:t xml:space="preserve">to </w:t>
      </w:r>
      <w:r w:rsidR="00937A22" w:rsidRPr="00062636">
        <w:rPr>
          <w:rFonts w:asciiTheme="minorHAnsi" w:hAnsiTheme="minorHAnsi"/>
        </w:rPr>
        <w:t xml:space="preserve">identify patients at low risk of </w:t>
      </w:r>
      <w:r w:rsidR="00F92E9D" w:rsidRPr="00062636">
        <w:rPr>
          <w:rFonts w:asciiTheme="minorHAnsi" w:hAnsiTheme="minorHAnsi"/>
        </w:rPr>
        <w:t>allergy</w:t>
      </w:r>
      <w:r w:rsidR="002E2BB7" w:rsidRPr="00062636">
        <w:rPr>
          <w:rFonts w:asciiTheme="minorHAnsi" w:hAnsiTheme="minorHAnsi"/>
        </w:rPr>
        <w:t xml:space="preserve"> </w:t>
      </w:r>
      <w:r w:rsidR="003A1278" w:rsidRPr="00062636">
        <w:rPr>
          <w:rFonts w:asciiTheme="minorHAnsi" w:hAnsiTheme="minorHAnsi"/>
        </w:rPr>
        <w:t>and a framework for the conduct of dr</w:t>
      </w:r>
      <w:r w:rsidR="002C661C" w:rsidRPr="00062636">
        <w:rPr>
          <w:rFonts w:asciiTheme="minorHAnsi" w:hAnsiTheme="minorHAnsi"/>
        </w:rPr>
        <w:t>ug prov</w:t>
      </w:r>
      <w:r w:rsidR="003A1278" w:rsidRPr="00062636">
        <w:rPr>
          <w:rFonts w:asciiTheme="minorHAnsi" w:hAnsiTheme="minorHAnsi"/>
        </w:rPr>
        <w:t xml:space="preserve">ocation testing </w:t>
      </w:r>
      <w:r w:rsidR="002C661C" w:rsidRPr="00062636">
        <w:rPr>
          <w:rFonts w:asciiTheme="minorHAnsi" w:hAnsiTheme="minorHAnsi"/>
        </w:rPr>
        <w:t>by non-allergists.</w:t>
      </w:r>
      <w:r w:rsidR="006A13EE" w:rsidRPr="00062636">
        <w:rPr>
          <w:rFonts w:asciiTheme="minorHAnsi" w:hAnsiTheme="minorHAnsi"/>
        </w:rPr>
        <w:t xml:space="preserve"> There are sep</w:t>
      </w:r>
      <w:r w:rsidR="00B63524" w:rsidRPr="00062636">
        <w:rPr>
          <w:rFonts w:asciiTheme="minorHAnsi" w:hAnsiTheme="minorHAnsi"/>
        </w:rPr>
        <w:t>arate recommendations for adults</w:t>
      </w:r>
      <w:r w:rsidR="006A13EE" w:rsidRPr="00062636">
        <w:rPr>
          <w:rFonts w:asciiTheme="minorHAnsi" w:hAnsiTheme="minorHAnsi"/>
        </w:rPr>
        <w:t xml:space="preserve"> and children wit</w:t>
      </w:r>
      <w:r w:rsidR="00B63524" w:rsidRPr="00062636">
        <w:rPr>
          <w:rFonts w:asciiTheme="minorHAnsi" w:hAnsiTheme="minorHAnsi"/>
        </w:rPr>
        <w:t>hin the gu</w:t>
      </w:r>
      <w:r w:rsidR="006A13EE" w:rsidRPr="00062636">
        <w:rPr>
          <w:rFonts w:asciiTheme="minorHAnsi" w:hAnsiTheme="minorHAnsi"/>
        </w:rPr>
        <w:t xml:space="preserve">ideline, in recognition of the </w:t>
      </w:r>
      <w:r w:rsidR="009F4231" w:rsidRPr="00062636">
        <w:rPr>
          <w:rFonts w:asciiTheme="minorHAnsi" w:hAnsiTheme="minorHAnsi"/>
        </w:rPr>
        <w:t xml:space="preserve">common </w:t>
      </w:r>
      <w:r w:rsidR="006A13EE" w:rsidRPr="00062636">
        <w:rPr>
          <w:rFonts w:asciiTheme="minorHAnsi" w:hAnsiTheme="minorHAnsi"/>
        </w:rPr>
        <w:t xml:space="preserve">differences in </w:t>
      </w:r>
      <w:r w:rsidR="00D538D7" w:rsidRPr="00062636">
        <w:rPr>
          <w:rFonts w:asciiTheme="minorHAnsi" w:hAnsiTheme="minorHAnsi"/>
        </w:rPr>
        <w:t>reported allergy history and likelihood of true allergy</w:t>
      </w:r>
      <w:r w:rsidR="009F4231" w:rsidRPr="00062636">
        <w:rPr>
          <w:rFonts w:asciiTheme="minorHAnsi" w:hAnsiTheme="minorHAnsi"/>
        </w:rPr>
        <w:t>.</w:t>
      </w:r>
    </w:p>
    <w:p w14:paraId="2274A269" w14:textId="660D1D67" w:rsidR="00D15BD9" w:rsidRPr="00062636" w:rsidRDefault="00D538D7" w:rsidP="1CC2B567">
      <w:pPr>
        <w:spacing w:line="480" w:lineRule="auto"/>
        <w:jc w:val="both"/>
        <w:rPr>
          <w:rFonts w:asciiTheme="minorHAnsi" w:hAnsiTheme="minorHAnsi"/>
        </w:rPr>
      </w:pPr>
      <w:r w:rsidRPr="00062636">
        <w:rPr>
          <w:rFonts w:asciiTheme="minorHAnsi" w:hAnsiTheme="minorHAnsi"/>
        </w:rPr>
        <w:t>Keywords: penicillin allergy, de</w:t>
      </w:r>
      <w:r w:rsidR="08C7297A" w:rsidRPr="00062636">
        <w:rPr>
          <w:rFonts w:asciiTheme="minorHAnsi" w:hAnsiTheme="minorHAnsi"/>
        </w:rPr>
        <w:t>-</w:t>
      </w:r>
      <w:r w:rsidRPr="00062636">
        <w:rPr>
          <w:rFonts w:asciiTheme="minorHAnsi" w:hAnsiTheme="minorHAnsi"/>
        </w:rPr>
        <w:t xml:space="preserve">labelling, </w:t>
      </w:r>
      <w:r w:rsidR="00C444A0">
        <w:rPr>
          <w:rFonts w:asciiTheme="minorHAnsi" w:hAnsiTheme="minorHAnsi"/>
        </w:rPr>
        <w:t>healthcare professional</w:t>
      </w:r>
      <w:r w:rsidRPr="00062636">
        <w:rPr>
          <w:rFonts w:asciiTheme="minorHAnsi" w:hAnsiTheme="minorHAnsi"/>
        </w:rPr>
        <w:t xml:space="preserve">, </w:t>
      </w:r>
      <w:r w:rsidR="00ED598D" w:rsidRPr="00062636">
        <w:rPr>
          <w:rFonts w:asciiTheme="minorHAnsi" w:hAnsiTheme="minorHAnsi"/>
        </w:rPr>
        <w:t>drug provocation testing, risk stratification.</w:t>
      </w:r>
    </w:p>
    <w:p w14:paraId="6A2F261E" w14:textId="77777777" w:rsidR="00ED598D" w:rsidRPr="00062636" w:rsidRDefault="00ED598D" w:rsidP="00763ECA">
      <w:pPr>
        <w:spacing w:line="480" w:lineRule="auto"/>
        <w:jc w:val="both"/>
        <w:rPr>
          <w:rFonts w:asciiTheme="minorHAnsi" w:hAnsiTheme="minorHAnsi"/>
          <w:b/>
        </w:rPr>
      </w:pPr>
    </w:p>
    <w:p w14:paraId="0DE357F4" w14:textId="77777777" w:rsidR="00ED598D" w:rsidRPr="00062636" w:rsidRDefault="00ED598D" w:rsidP="00763ECA">
      <w:pPr>
        <w:spacing w:line="480" w:lineRule="auto"/>
        <w:jc w:val="both"/>
        <w:rPr>
          <w:rFonts w:asciiTheme="minorHAnsi" w:hAnsiTheme="minorHAnsi"/>
          <w:b/>
        </w:rPr>
      </w:pPr>
    </w:p>
    <w:p w14:paraId="74368EA7" w14:textId="77777777" w:rsidR="00ED598D" w:rsidRPr="00062636" w:rsidRDefault="00ED598D" w:rsidP="00763ECA">
      <w:pPr>
        <w:spacing w:line="480" w:lineRule="auto"/>
        <w:jc w:val="both"/>
        <w:rPr>
          <w:rFonts w:asciiTheme="minorHAnsi" w:hAnsiTheme="minorHAnsi"/>
          <w:b/>
        </w:rPr>
      </w:pPr>
    </w:p>
    <w:p w14:paraId="1403EEF8" w14:textId="77777777" w:rsidR="00ED598D" w:rsidRPr="00062636" w:rsidRDefault="00ED598D" w:rsidP="00763ECA">
      <w:pPr>
        <w:spacing w:line="480" w:lineRule="auto"/>
        <w:jc w:val="both"/>
        <w:rPr>
          <w:rFonts w:asciiTheme="minorHAnsi" w:hAnsiTheme="minorHAnsi"/>
          <w:b/>
        </w:rPr>
      </w:pPr>
    </w:p>
    <w:p w14:paraId="14BCC3FD" w14:textId="77777777" w:rsidR="00ED598D" w:rsidRPr="00062636" w:rsidRDefault="00ED598D" w:rsidP="00763ECA">
      <w:pPr>
        <w:spacing w:line="480" w:lineRule="auto"/>
        <w:jc w:val="both"/>
        <w:rPr>
          <w:rFonts w:asciiTheme="minorHAnsi" w:hAnsiTheme="minorHAnsi"/>
          <w:b/>
        </w:rPr>
      </w:pPr>
    </w:p>
    <w:p w14:paraId="228AAA85" w14:textId="77777777" w:rsidR="00ED598D" w:rsidRPr="00062636" w:rsidRDefault="00ED598D" w:rsidP="00763ECA">
      <w:pPr>
        <w:spacing w:line="480" w:lineRule="auto"/>
        <w:jc w:val="both"/>
        <w:rPr>
          <w:rFonts w:asciiTheme="minorHAnsi" w:hAnsiTheme="minorHAnsi"/>
          <w:b/>
        </w:rPr>
      </w:pPr>
    </w:p>
    <w:p w14:paraId="1B402B67" w14:textId="77777777" w:rsidR="009704AC" w:rsidRDefault="009704AC" w:rsidP="00C66EE9">
      <w:pPr>
        <w:spacing w:line="480" w:lineRule="auto"/>
        <w:rPr>
          <w:rFonts w:asciiTheme="minorHAnsi" w:hAnsiTheme="minorHAnsi"/>
          <w:b/>
        </w:rPr>
      </w:pPr>
    </w:p>
    <w:p w14:paraId="2EB1A623" w14:textId="3F5AD8E9" w:rsidR="00C66EE9" w:rsidRPr="00062636" w:rsidRDefault="00C66EE9" w:rsidP="00C66EE9">
      <w:pPr>
        <w:spacing w:line="480" w:lineRule="auto"/>
        <w:rPr>
          <w:rFonts w:asciiTheme="minorHAnsi" w:hAnsiTheme="minorHAnsi"/>
          <w:b/>
        </w:rPr>
      </w:pPr>
      <w:r w:rsidRPr="00062636">
        <w:rPr>
          <w:rFonts w:asciiTheme="minorHAnsi" w:hAnsiTheme="minorHAnsi"/>
          <w:b/>
        </w:rPr>
        <w:lastRenderedPageBreak/>
        <w:t xml:space="preserve">Executive Summary </w:t>
      </w:r>
    </w:p>
    <w:p w14:paraId="703F5252" w14:textId="77777777" w:rsidR="00C66EE9" w:rsidRPr="00062636" w:rsidRDefault="00C66EE9" w:rsidP="00C66EE9">
      <w:pPr>
        <w:spacing w:line="480" w:lineRule="auto"/>
        <w:rPr>
          <w:rFonts w:asciiTheme="minorHAnsi" w:hAnsiTheme="minorHAnsi" w:cstheme="minorBidi"/>
          <w:caps/>
        </w:rPr>
      </w:pPr>
      <w:r w:rsidRPr="00062636">
        <w:rPr>
          <w:rFonts w:asciiTheme="minorHAnsi" w:hAnsiTheme="minorHAnsi" w:cstheme="minorBidi"/>
          <w:caps/>
        </w:rPr>
        <w:t>G</w:t>
      </w:r>
      <w:r w:rsidRPr="00062636">
        <w:rPr>
          <w:rFonts w:asciiTheme="minorHAnsi" w:hAnsiTheme="minorHAnsi" w:cstheme="minorBidi"/>
        </w:rPr>
        <w:t xml:space="preserve">rades of recommendation, A-E are based on evidence graded using SIGN criteria </w:t>
      </w:r>
    </w:p>
    <w:p w14:paraId="48460A2D" w14:textId="77777777" w:rsidR="00C66EE9" w:rsidRPr="00062636" w:rsidRDefault="00C66EE9" w:rsidP="00C66EE9">
      <w:pPr>
        <w:pStyle w:val="ListParagraph"/>
        <w:numPr>
          <w:ilvl w:val="0"/>
          <w:numId w:val="23"/>
        </w:numPr>
        <w:spacing w:line="480" w:lineRule="auto"/>
        <w:rPr>
          <w:rFonts w:cs="Arial"/>
          <w:sz w:val="22"/>
          <w:szCs w:val="22"/>
        </w:rPr>
      </w:pPr>
      <w:r w:rsidRPr="00062636">
        <w:rPr>
          <w:rFonts w:cs="Arial"/>
          <w:sz w:val="22"/>
          <w:szCs w:val="22"/>
        </w:rPr>
        <w:t xml:space="preserve">All patients labelled as ‘penicillin allergic’ attending secondary or tertiary care should be considered for penicillin allergy </w:t>
      </w:r>
      <w:r>
        <w:rPr>
          <w:rFonts w:cs="Arial"/>
          <w:sz w:val="22"/>
          <w:szCs w:val="22"/>
        </w:rPr>
        <w:t>testing</w:t>
      </w:r>
      <w:r w:rsidRPr="00062636">
        <w:rPr>
          <w:rFonts w:cs="Arial"/>
          <w:sz w:val="22"/>
          <w:szCs w:val="22"/>
        </w:rPr>
        <w:t xml:space="preserve"> (E)</w:t>
      </w:r>
    </w:p>
    <w:p w14:paraId="420139E3" w14:textId="77777777" w:rsidR="00C66EE9" w:rsidRPr="00062636" w:rsidRDefault="00C66EE9" w:rsidP="00C66EE9">
      <w:pPr>
        <w:pStyle w:val="ListParagraph"/>
        <w:numPr>
          <w:ilvl w:val="0"/>
          <w:numId w:val="23"/>
        </w:numPr>
        <w:spacing w:line="480" w:lineRule="auto"/>
        <w:rPr>
          <w:rFonts w:eastAsiaTheme="minorEastAsia"/>
        </w:rPr>
      </w:pPr>
      <w:r>
        <w:rPr>
          <w:rFonts w:cs="Arial"/>
          <w:sz w:val="22"/>
          <w:szCs w:val="22"/>
        </w:rPr>
        <w:t>N</w:t>
      </w:r>
      <w:r w:rsidRPr="00062636">
        <w:rPr>
          <w:rFonts w:cs="Arial"/>
          <w:sz w:val="22"/>
          <w:szCs w:val="22"/>
        </w:rPr>
        <w:t>on-allergists</w:t>
      </w:r>
      <w:r>
        <w:rPr>
          <w:rFonts w:cs="Arial"/>
          <w:sz w:val="22"/>
          <w:szCs w:val="22"/>
        </w:rPr>
        <w:t xml:space="preserve"> providing de-labelling services should be networked with a specialist allergy immunology service for advice and support</w:t>
      </w:r>
      <w:r w:rsidRPr="00062636">
        <w:rPr>
          <w:rFonts w:cs="Arial"/>
          <w:sz w:val="22"/>
          <w:szCs w:val="22"/>
        </w:rPr>
        <w:t xml:space="preserve">. </w:t>
      </w:r>
      <w:r>
        <w:rPr>
          <w:rFonts w:cs="Arial"/>
          <w:sz w:val="22"/>
          <w:szCs w:val="22"/>
        </w:rPr>
        <w:t>(E).</w:t>
      </w:r>
    </w:p>
    <w:p w14:paraId="441695A0" w14:textId="77777777" w:rsidR="00C66EE9" w:rsidRDefault="00C66EE9" w:rsidP="00C66EE9">
      <w:pPr>
        <w:pStyle w:val="ListParagraph"/>
        <w:numPr>
          <w:ilvl w:val="0"/>
          <w:numId w:val="23"/>
        </w:numPr>
        <w:spacing w:line="480" w:lineRule="auto"/>
        <w:rPr>
          <w:rFonts w:cs="Arial"/>
          <w:sz w:val="22"/>
          <w:szCs w:val="22"/>
        </w:rPr>
      </w:pPr>
      <w:r w:rsidRPr="769F5195">
        <w:rPr>
          <w:rFonts w:cs="Arial"/>
          <w:sz w:val="22"/>
          <w:szCs w:val="22"/>
        </w:rPr>
        <w:t>All patients identified as low risk for true penicillin allergy should be offered direct drug provocation testing (DPT), providing no exclusion criteria are met (C)</w:t>
      </w:r>
    </w:p>
    <w:p w14:paraId="31770500" w14:textId="77777777" w:rsidR="00C66EE9" w:rsidRPr="00062636" w:rsidRDefault="00C66EE9" w:rsidP="00C66EE9">
      <w:pPr>
        <w:pStyle w:val="ListParagraph"/>
        <w:numPr>
          <w:ilvl w:val="0"/>
          <w:numId w:val="23"/>
        </w:numPr>
        <w:spacing w:line="480" w:lineRule="auto"/>
        <w:rPr>
          <w:rFonts w:cs="Arial"/>
          <w:b/>
          <w:sz w:val="22"/>
          <w:szCs w:val="22"/>
        </w:rPr>
      </w:pPr>
      <w:r w:rsidRPr="00062636">
        <w:rPr>
          <w:rFonts w:cs="Arial"/>
          <w:sz w:val="22"/>
          <w:szCs w:val="22"/>
        </w:rPr>
        <w:t xml:space="preserve">Non-allergists </w:t>
      </w:r>
      <w:r>
        <w:rPr>
          <w:rFonts w:cs="Arial"/>
          <w:sz w:val="22"/>
          <w:szCs w:val="22"/>
        </w:rPr>
        <w:t>should</w:t>
      </w:r>
      <w:r w:rsidRPr="00062636">
        <w:rPr>
          <w:rFonts w:cs="Arial"/>
          <w:sz w:val="22"/>
          <w:szCs w:val="22"/>
        </w:rPr>
        <w:t xml:space="preserve"> perform DPT in </w:t>
      </w:r>
      <w:r>
        <w:rPr>
          <w:rFonts w:cs="Arial"/>
          <w:sz w:val="22"/>
          <w:szCs w:val="22"/>
        </w:rPr>
        <w:t xml:space="preserve">low-risk </w:t>
      </w:r>
      <w:r w:rsidRPr="00062636">
        <w:rPr>
          <w:rFonts w:cs="Arial"/>
          <w:sz w:val="22"/>
          <w:szCs w:val="22"/>
        </w:rPr>
        <w:t xml:space="preserve">patients </w:t>
      </w:r>
      <w:r>
        <w:rPr>
          <w:rFonts w:cs="Arial"/>
          <w:sz w:val="22"/>
          <w:szCs w:val="22"/>
        </w:rPr>
        <w:t xml:space="preserve">in a setting where allergic reactions including anaphylaxis can be </w:t>
      </w:r>
      <w:r w:rsidRPr="005A70DC">
        <w:rPr>
          <w:rFonts w:cs="Arial"/>
          <w:color w:val="000000" w:themeColor="text1"/>
          <w:sz w:val="22"/>
          <w:szCs w:val="22"/>
        </w:rPr>
        <w:t>treated (C)</w:t>
      </w:r>
    </w:p>
    <w:p w14:paraId="3E079DBA" w14:textId="77777777" w:rsidR="00C66EE9" w:rsidRPr="007661AA" w:rsidRDefault="00C66EE9" w:rsidP="00C66EE9">
      <w:pPr>
        <w:pStyle w:val="ListParagraph"/>
        <w:numPr>
          <w:ilvl w:val="0"/>
          <w:numId w:val="23"/>
        </w:numPr>
        <w:spacing w:line="480" w:lineRule="auto"/>
        <w:rPr>
          <w:rFonts w:cs="Arial"/>
          <w:b/>
          <w:bCs/>
          <w:sz w:val="22"/>
          <w:szCs w:val="22"/>
        </w:rPr>
      </w:pPr>
      <w:r w:rsidRPr="769F5195">
        <w:rPr>
          <w:sz w:val="22"/>
          <w:szCs w:val="22"/>
        </w:rPr>
        <w:t xml:space="preserve">Minor gastro-intestinal upset, nausea, headache, and a family history of penicillin allergy without a personal history are not predictors of penicillin allergy. Patients with these symptoms or history do not require allergy testing.  However, if patients seek reassurance of their tolerance to penicillin, a single dose DPT may be </w:t>
      </w:r>
      <w:proofErr w:type="gramStart"/>
      <w:r w:rsidRPr="769F5195">
        <w:rPr>
          <w:sz w:val="22"/>
          <w:szCs w:val="22"/>
        </w:rPr>
        <w:t>appropriate.(</w:t>
      </w:r>
      <w:proofErr w:type="gramEnd"/>
      <w:r w:rsidRPr="769F5195">
        <w:rPr>
          <w:sz w:val="22"/>
          <w:szCs w:val="22"/>
        </w:rPr>
        <w:t>Delphi consensus process)</w:t>
      </w:r>
    </w:p>
    <w:p w14:paraId="453AC269" w14:textId="77777777" w:rsidR="00C66EE9" w:rsidRPr="00062636" w:rsidRDefault="00C66EE9" w:rsidP="00C66EE9">
      <w:pPr>
        <w:pStyle w:val="ListParagraph"/>
        <w:numPr>
          <w:ilvl w:val="0"/>
          <w:numId w:val="23"/>
        </w:numPr>
        <w:spacing w:line="480" w:lineRule="auto"/>
        <w:rPr>
          <w:rFonts w:cs="Arial"/>
          <w:b/>
          <w:bCs/>
          <w:sz w:val="22"/>
          <w:szCs w:val="22"/>
        </w:rPr>
      </w:pPr>
      <w:r w:rsidRPr="00062636">
        <w:rPr>
          <w:rFonts w:cs="Arial"/>
          <w:sz w:val="22"/>
          <w:szCs w:val="22"/>
        </w:rPr>
        <w:t xml:space="preserve">The </w:t>
      </w:r>
      <w:r>
        <w:rPr>
          <w:rFonts w:cs="Arial"/>
          <w:sz w:val="22"/>
          <w:szCs w:val="22"/>
        </w:rPr>
        <w:t>penicillin</w:t>
      </w:r>
      <w:r w:rsidRPr="00062636">
        <w:rPr>
          <w:rFonts w:cs="Arial"/>
          <w:sz w:val="22"/>
          <w:szCs w:val="22"/>
        </w:rPr>
        <w:t xml:space="preserve"> </w:t>
      </w:r>
      <w:r>
        <w:rPr>
          <w:rFonts w:cs="Arial"/>
          <w:sz w:val="22"/>
          <w:szCs w:val="22"/>
        </w:rPr>
        <w:t xml:space="preserve">involved in </w:t>
      </w:r>
      <w:r w:rsidRPr="00062636">
        <w:rPr>
          <w:rFonts w:cs="Arial"/>
          <w:sz w:val="22"/>
          <w:szCs w:val="22"/>
        </w:rPr>
        <w:t>the index reaction</w:t>
      </w:r>
      <w:r>
        <w:rPr>
          <w:rFonts w:cs="Arial"/>
          <w:sz w:val="22"/>
          <w:szCs w:val="22"/>
        </w:rPr>
        <w:t xml:space="preserve"> should be used for the DPT</w:t>
      </w:r>
      <w:r w:rsidRPr="00062636">
        <w:rPr>
          <w:rFonts w:cs="Arial"/>
          <w:sz w:val="22"/>
          <w:szCs w:val="22"/>
        </w:rPr>
        <w:t xml:space="preserve">. If this is not known amoxicillin should be used </w:t>
      </w:r>
      <w:r w:rsidRPr="005A70DC">
        <w:rPr>
          <w:rFonts w:cs="Arial"/>
          <w:color w:val="000000" w:themeColor="text1"/>
          <w:sz w:val="22"/>
          <w:szCs w:val="22"/>
        </w:rPr>
        <w:t>(C)</w:t>
      </w:r>
    </w:p>
    <w:p w14:paraId="7A4107D0" w14:textId="77777777" w:rsidR="00C66EE9" w:rsidRPr="00062636" w:rsidRDefault="00C66EE9" w:rsidP="00C66EE9">
      <w:pPr>
        <w:pStyle w:val="ListParagraph"/>
        <w:numPr>
          <w:ilvl w:val="0"/>
          <w:numId w:val="23"/>
        </w:numPr>
        <w:spacing w:line="480" w:lineRule="auto"/>
        <w:rPr>
          <w:sz w:val="22"/>
          <w:szCs w:val="22"/>
        </w:rPr>
      </w:pPr>
      <w:r>
        <w:rPr>
          <w:rFonts w:cs="Arial"/>
          <w:sz w:val="22"/>
          <w:szCs w:val="22"/>
        </w:rPr>
        <w:t xml:space="preserve">Drug provocation testing requires a </w:t>
      </w:r>
      <w:r w:rsidRPr="00062636">
        <w:rPr>
          <w:rFonts w:cs="Arial"/>
          <w:sz w:val="22"/>
          <w:szCs w:val="22"/>
        </w:rPr>
        <w:t xml:space="preserve">set of minimum </w:t>
      </w:r>
      <w:r>
        <w:rPr>
          <w:rFonts w:cs="Arial"/>
          <w:sz w:val="22"/>
          <w:szCs w:val="22"/>
        </w:rPr>
        <w:t xml:space="preserve">safety </w:t>
      </w:r>
      <w:r w:rsidRPr="00062636">
        <w:rPr>
          <w:rFonts w:cs="Arial"/>
          <w:sz w:val="22"/>
          <w:szCs w:val="22"/>
        </w:rPr>
        <w:t>standards (E)</w:t>
      </w:r>
    </w:p>
    <w:p w14:paraId="2BD5B651" w14:textId="77777777" w:rsidR="00C66EE9" w:rsidRDefault="00C66EE9" w:rsidP="00C66EE9">
      <w:pPr>
        <w:pStyle w:val="ListParagraph"/>
        <w:numPr>
          <w:ilvl w:val="0"/>
          <w:numId w:val="23"/>
        </w:numPr>
        <w:spacing w:before="100" w:beforeAutospacing="1" w:after="100" w:afterAutospacing="1" w:line="480" w:lineRule="auto"/>
        <w:rPr>
          <w:rFonts w:eastAsia="Times New Roman" w:cstheme="minorHAnsi"/>
          <w:color w:val="000000"/>
          <w:sz w:val="22"/>
          <w:szCs w:val="22"/>
        </w:rPr>
      </w:pPr>
      <w:r w:rsidRPr="00BD3720">
        <w:rPr>
          <w:rFonts w:eastAsia="Times New Roman" w:cstheme="minorHAnsi"/>
          <w:color w:val="000000"/>
          <w:sz w:val="22"/>
          <w:szCs w:val="22"/>
        </w:rPr>
        <w:t> A prolonged (multiple dose) DPT should be considered when the index reaction occurred after the second or subsequent dose of a course of penicillin (or where the timing of the reaction is unknown) (D)</w:t>
      </w:r>
    </w:p>
    <w:p w14:paraId="577BCB5F" w14:textId="77777777" w:rsidR="00CC0F78" w:rsidRPr="00CC0F78" w:rsidRDefault="00C66EE9" w:rsidP="00763ECA">
      <w:pPr>
        <w:pStyle w:val="ListParagraph"/>
        <w:numPr>
          <w:ilvl w:val="0"/>
          <w:numId w:val="23"/>
        </w:numPr>
        <w:spacing w:before="100" w:beforeAutospacing="1" w:after="100" w:afterAutospacing="1" w:line="480" w:lineRule="auto"/>
        <w:rPr>
          <w:rFonts w:eastAsia="Times New Roman" w:cstheme="minorHAnsi"/>
          <w:color w:val="000000"/>
        </w:rPr>
      </w:pPr>
      <w:r>
        <w:rPr>
          <w:rFonts w:eastAsia="Times New Roman" w:cstheme="minorHAnsi"/>
          <w:color w:val="000000"/>
          <w:sz w:val="22"/>
          <w:szCs w:val="22"/>
        </w:rPr>
        <w:t>Where indicated, a</w:t>
      </w:r>
      <w:r w:rsidRPr="00BD3720">
        <w:rPr>
          <w:rFonts w:eastAsia="Times New Roman" w:cstheme="minorHAnsi"/>
          <w:color w:val="000000"/>
          <w:sz w:val="22"/>
          <w:szCs w:val="22"/>
        </w:rPr>
        <w:t xml:space="preserve"> prolonged DPT </w:t>
      </w:r>
      <w:r>
        <w:rPr>
          <w:rFonts w:eastAsia="Times New Roman" w:cstheme="minorHAnsi"/>
          <w:color w:val="000000"/>
          <w:sz w:val="22"/>
          <w:szCs w:val="22"/>
        </w:rPr>
        <w:t>lasting 3 days is sufficient in the majority of patients. If the index reaction is clearly remembered to have occurred after more than 3 days, advice should be sought from the local or regional allergy service as to how long to extend the DPT</w:t>
      </w:r>
      <w:r w:rsidRPr="00BD3720">
        <w:rPr>
          <w:rFonts w:eastAsia="Times New Roman" w:cstheme="minorHAnsi"/>
          <w:color w:val="000000"/>
          <w:sz w:val="22"/>
          <w:szCs w:val="22"/>
        </w:rPr>
        <w:t>. (E)</w:t>
      </w:r>
    </w:p>
    <w:p w14:paraId="27699CB2" w14:textId="47565EB3" w:rsidR="003C500F" w:rsidRPr="00CC0F78" w:rsidRDefault="003C500F" w:rsidP="00CC0F78">
      <w:pPr>
        <w:spacing w:before="100" w:beforeAutospacing="1" w:after="100" w:afterAutospacing="1" w:line="480" w:lineRule="auto"/>
        <w:rPr>
          <w:rFonts w:eastAsia="Times New Roman" w:cstheme="minorHAnsi"/>
          <w:color w:val="000000"/>
        </w:rPr>
      </w:pPr>
      <w:r w:rsidRPr="00CC0F78">
        <w:rPr>
          <w:b/>
        </w:rPr>
        <w:lastRenderedPageBreak/>
        <w:t xml:space="preserve">Background </w:t>
      </w:r>
    </w:p>
    <w:p w14:paraId="69C53D98" w14:textId="59E539DF" w:rsidR="005A59F0" w:rsidRPr="00062636" w:rsidRDefault="0048020C" w:rsidP="4F2776EC">
      <w:pPr>
        <w:spacing w:line="480" w:lineRule="auto"/>
        <w:jc w:val="both"/>
        <w:rPr>
          <w:rFonts w:asciiTheme="minorHAnsi" w:hAnsiTheme="minorHAnsi"/>
        </w:rPr>
      </w:pPr>
      <w:r w:rsidRPr="4F2776EC">
        <w:rPr>
          <w:rFonts w:asciiTheme="minorHAnsi" w:hAnsiTheme="minorHAnsi"/>
        </w:rPr>
        <w:t xml:space="preserve">A label of penicillin allergy is carried by </w:t>
      </w:r>
      <w:r w:rsidR="005A59F0" w:rsidRPr="4F2776EC">
        <w:rPr>
          <w:rFonts w:asciiTheme="minorHAnsi" w:hAnsiTheme="minorHAnsi"/>
        </w:rPr>
        <w:t>5.</w:t>
      </w:r>
      <w:r w:rsidRPr="4F2776EC">
        <w:rPr>
          <w:rFonts w:asciiTheme="minorHAnsi" w:hAnsiTheme="minorHAnsi"/>
        </w:rPr>
        <w:t>6% of the general population,</w:t>
      </w:r>
      <w:r w:rsidR="005A59F0" w:rsidRPr="4F2776EC">
        <w:rPr>
          <w:rFonts w:asciiTheme="minorHAnsi" w:hAnsiTheme="minorHAnsi"/>
        </w:rPr>
        <w:t xml:space="preserve"> with an estimated 2.7</w:t>
      </w:r>
      <w:r w:rsidRPr="4F2776EC">
        <w:rPr>
          <w:rFonts w:asciiTheme="minorHAnsi" w:hAnsiTheme="minorHAnsi"/>
        </w:rPr>
        <w:t xml:space="preserve"> million people in the UK affected</w:t>
      </w:r>
      <w:r w:rsidR="000C4AA6" w:rsidRPr="4F2776EC">
        <w:rPr>
          <w:rFonts w:asciiTheme="minorHAnsi" w:hAnsiTheme="minorHAnsi"/>
        </w:rPr>
        <w:t xml:space="preserve"> </w:t>
      </w:r>
      <w:r w:rsidRPr="4F2776EC">
        <w:rPr>
          <w:rFonts w:asciiTheme="minorHAnsi" w:hAnsiTheme="minorHAnsi"/>
        </w:rPr>
        <w:t>(</w:t>
      </w:r>
      <w:r w:rsidR="00E37F76" w:rsidRPr="4F2776EC">
        <w:rPr>
          <w:rFonts w:asciiTheme="minorHAnsi" w:hAnsiTheme="minorHAnsi"/>
        </w:rPr>
        <w:t>2</w:t>
      </w:r>
      <w:r w:rsidRPr="4F2776EC">
        <w:rPr>
          <w:rFonts w:asciiTheme="minorHAnsi" w:hAnsiTheme="minorHAnsi"/>
        </w:rPr>
        <w:t>)</w:t>
      </w:r>
      <w:r w:rsidR="005A70DC" w:rsidRPr="4F2776EC">
        <w:rPr>
          <w:rFonts w:asciiTheme="minorHAnsi" w:hAnsiTheme="minorHAnsi"/>
        </w:rPr>
        <w:t>.</w:t>
      </w:r>
      <w:r w:rsidRPr="4F2776EC">
        <w:rPr>
          <w:rFonts w:asciiTheme="minorHAnsi" w:hAnsiTheme="minorHAnsi"/>
        </w:rPr>
        <w:t xml:space="preserve"> </w:t>
      </w:r>
      <w:r w:rsidR="09CC09E9" w:rsidRPr="4F2776EC">
        <w:rPr>
          <w:rFonts w:asciiTheme="minorHAnsi" w:hAnsiTheme="minorHAnsi"/>
        </w:rPr>
        <w:t>The i</w:t>
      </w:r>
      <w:r w:rsidRPr="4F2776EC">
        <w:rPr>
          <w:rFonts w:asciiTheme="minorHAnsi" w:hAnsiTheme="minorHAnsi"/>
        </w:rPr>
        <w:t>ncidence in hospitalised patients appears to be higher</w:t>
      </w:r>
      <w:r w:rsidR="005A70DC" w:rsidRPr="4F2776EC">
        <w:rPr>
          <w:rFonts w:asciiTheme="minorHAnsi" w:hAnsiTheme="minorHAnsi"/>
        </w:rPr>
        <w:t xml:space="preserve"> </w:t>
      </w:r>
      <w:r w:rsidRPr="4F2776EC">
        <w:rPr>
          <w:rFonts w:asciiTheme="minorHAnsi" w:hAnsiTheme="minorHAnsi"/>
        </w:rPr>
        <w:t>(</w:t>
      </w:r>
      <w:r w:rsidR="00115E7D" w:rsidRPr="4F2776EC">
        <w:rPr>
          <w:rFonts w:asciiTheme="minorHAnsi" w:hAnsiTheme="minorHAnsi"/>
        </w:rPr>
        <w:t>3</w:t>
      </w:r>
      <w:r w:rsidR="00E37F76" w:rsidRPr="4F2776EC">
        <w:rPr>
          <w:rFonts w:asciiTheme="minorHAnsi" w:hAnsiTheme="minorHAnsi"/>
        </w:rPr>
        <w:t>,4</w:t>
      </w:r>
      <w:r w:rsidRPr="4F2776EC">
        <w:rPr>
          <w:rFonts w:asciiTheme="minorHAnsi" w:hAnsiTheme="minorHAnsi"/>
        </w:rPr>
        <w:t xml:space="preserve">).  </w:t>
      </w:r>
      <w:r w:rsidR="007873F5" w:rsidRPr="4F2776EC">
        <w:rPr>
          <w:rFonts w:asciiTheme="minorHAnsi" w:hAnsiTheme="minorHAnsi"/>
        </w:rPr>
        <w:t>Around 95% of penicillin allergy labels are incorrect when tested (</w:t>
      </w:r>
      <w:r w:rsidR="006E4DD6" w:rsidRPr="4F2776EC">
        <w:rPr>
          <w:rFonts w:asciiTheme="minorHAnsi" w:hAnsiTheme="minorHAnsi"/>
        </w:rPr>
        <w:t>5,6</w:t>
      </w:r>
      <w:r w:rsidR="007873F5" w:rsidRPr="4F2776EC">
        <w:rPr>
          <w:rFonts w:asciiTheme="minorHAnsi" w:hAnsiTheme="minorHAnsi"/>
        </w:rPr>
        <w:t xml:space="preserve">). </w:t>
      </w:r>
      <w:r w:rsidR="005A59F0" w:rsidRPr="4F2776EC">
        <w:rPr>
          <w:rFonts w:asciiTheme="minorHAnsi" w:hAnsiTheme="minorHAnsi"/>
        </w:rPr>
        <w:t>Over the past 10 years</w:t>
      </w:r>
      <w:r w:rsidR="10852CB3" w:rsidRPr="4F2776EC">
        <w:rPr>
          <w:rFonts w:asciiTheme="minorHAnsi" w:hAnsiTheme="minorHAnsi"/>
        </w:rPr>
        <w:t>,</w:t>
      </w:r>
      <w:r w:rsidR="005A59F0" w:rsidRPr="4F2776EC">
        <w:rPr>
          <w:rFonts w:asciiTheme="minorHAnsi" w:hAnsiTheme="minorHAnsi"/>
        </w:rPr>
        <w:t xml:space="preserve"> the clinical ramifications of a label of ‘penicillin allergy’ have been clearly defined.</w:t>
      </w:r>
      <w:r w:rsidR="00A01363" w:rsidRPr="4F2776EC">
        <w:rPr>
          <w:rFonts w:asciiTheme="minorHAnsi" w:hAnsiTheme="minorHAnsi"/>
        </w:rPr>
        <w:t xml:space="preserve"> </w:t>
      </w:r>
      <w:r w:rsidR="00FA1721" w:rsidRPr="4F2776EC">
        <w:rPr>
          <w:rFonts w:asciiTheme="minorHAnsi" w:hAnsiTheme="minorHAnsi"/>
        </w:rPr>
        <w:t xml:space="preserve">A diagnosis of penicillin allergy increases the risk of MRSA, </w:t>
      </w:r>
      <w:proofErr w:type="spellStart"/>
      <w:proofErr w:type="gramStart"/>
      <w:r w:rsidR="00FA1721" w:rsidRPr="4F2776EC">
        <w:rPr>
          <w:rFonts w:asciiTheme="minorHAnsi" w:hAnsiTheme="minorHAnsi"/>
          <w:i/>
          <w:iCs/>
        </w:rPr>
        <w:t>C.difficile</w:t>
      </w:r>
      <w:proofErr w:type="spellEnd"/>
      <w:proofErr w:type="gramEnd"/>
      <w:r w:rsidR="00573CA7" w:rsidRPr="4F2776EC">
        <w:rPr>
          <w:rFonts w:asciiTheme="minorHAnsi" w:hAnsiTheme="minorHAnsi"/>
        </w:rPr>
        <w:t xml:space="preserve"> or </w:t>
      </w:r>
      <w:r w:rsidR="00FA1721" w:rsidRPr="4F2776EC">
        <w:rPr>
          <w:rFonts w:asciiTheme="minorHAnsi" w:hAnsiTheme="minorHAnsi"/>
        </w:rPr>
        <w:t xml:space="preserve">VRE </w:t>
      </w:r>
      <w:r w:rsidR="00573CA7" w:rsidRPr="4F2776EC">
        <w:rPr>
          <w:rFonts w:asciiTheme="minorHAnsi" w:hAnsiTheme="minorHAnsi"/>
        </w:rPr>
        <w:t xml:space="preserve">infections </w:t>
      </w:r>
      <w:r w:rsidR="00FA1721" w:rsidRPr="4F2776EC">
        <w:rPr>
          <w:rFonts w:asciiTheme="minorHAnsi" w:hAnsiTheme="minorHAnsi"/>
        </w:rPr>
        <w:t>and death</w:t>
      </w:r>
      <w:r w:rsidR="000342F0" w:rsidRPr="4F2776EC">
        <w:rPr>
          <w:rFonts w:asciiTheme="minorHAnsi" w:hAnsiTheme="minorHAnsi"/>
        </w:rPr>
        <w:t xml:space="preserve">; </w:t>
      </w:r>
      <w:r w:rsidR="00573CA7" w:rsidRPr="4F2776EC">
        <w:rPr>
          <w:rFonts w:asciiTheme="minorHAnsi" w:hAnsiTheme="minorHAnsi"/>
        </w:rPr>
        <w:t>presumabl</w:t>
      </w:r>
      <w:r w:rsidR="56F8B0D5" w:rsidRPr="4F2776EC">
        <w:rPr>
          <w:rFonts w:asciiTheme="minorHAnsi" w:hAnsiTheme="minorHAnsi"/>
        </w:rPr>
        <w:t>y</w:t>
      </w:r>
      <w:r w:rsidR="00211216">
        <w:rPr>
          <w:rFonts w:asciiTheme="minorHAnsi" w:hAnsiTheme="minorHAnsi"/>
        </w:rPr>
        <w:t xml:space="preserve"> </w:t>
      </w:r>
      <w:r w:rsidR="00FA1721" w:rsidRPr="4F2776EC">
        <w:rPr>
          <w:rFonts w:asciiTheme="minorHAnsi" w:hAnsiTheme="minorHAnsi"/>
        </w:rPr>
        <w:t>th</w:t>
      </w:r>
      <w:r w:rsidR="46657416" w:rsidRPr="4F2776EC">
        <w:rPr>
          <w:rFonts w:asciiTheme="minorHAnsi" w:hAnsiTheme="minorHAnsi"/>
        </w:rPr>
        <w:t>r</w:t>
      </w:r>
      <w:r w:rsidR="00FA1721" w:rsidRPr="4F2776EC">
        <w:rPr>
          <w:rFonts w:asciiTheme="minorHAnsi" w:hAnsiTheme="minorHAnsi"/>
        </w:rPr>
        <w:t>ough increased use of alternatives</w:t>
      </w:r>
      <w:r w:rsidR="00B76E5E">
        <w:rPr>
          <w:rFonts w:asciiTheme="minorHAnsi" w:hAnsiTheme="minorHAnsi"/>
        </w:rPr>
        <w:t xml:space="preserve"> to beta lactam </w:t>
      </w:r>
      <w:proofErr w:type="spellStart"/>
      <w:r w:rsidR="00B76E5E">
        <w:rPr>
          <w:rFonts w:asciiTheme="minorHAnsi" w:hAnsiTheme="minorHAnsi"/>
        </w:rPr>
        <w:t>antibitoics</w:t>
      </w:r>
      <w:proofErr w:type="spellEnd"/>
      <w:r w:rsidR="00FA1721" w:rsidRPr="4F2776EC">
        <w:rPr>
          <w:rFonts w:asciiTheme="minorHAnsi" w:hAnsiTheme="minorHAnsi"/>
        </w:rPr>
        <w:t xml:space="preserve"> (</w:t>
      </w:r>
      <w:r w:rsidR="00115E7D" w:rsidRPr="4F2776EC">
        <w:rPr>
          <w:rFonts w:asciiTheme="minorHAnsi" w:hAnsiTheme="minorHAnsi"/>
        </w:rPr>
        <w:t>2,</w:t>
      </w:r>
      <w:r w:rsidR="00E37F76" w:rsidRPr="4F2776EC">
        <w:rPr>
          <w:rFonts w:asciiTheme="minorHAnsi" w:hAnsiTheme="minorHAnsi"/>
        </w:rPr>
        <w:t>3,</w:t>
      </w:r>
      <w:r w:rsidR="006E4DD6" w:rsidRPr="4F2776EC">
        <w:rPr>
          <w:rFonts w:asciiTheme="minorHAnsi" w:hAnsiTheme="minorHAnsi"/>
        </w:rPr>
        <w:t>7</w:t>
      </w:r>
      <w:r w:rsidR="00FA1721" w:rsidRPr="4F2776EC">
        <w:rPr>
          <w:rFonts w:asciiTheme="minorHAnsi" w:hAnsiTheme="minorHAnsi"/>
        </w:rPr>
        <w:t>). It increases the duration of hospital admissions</w:t>
      </w:r>
      <w:r w:rsidR="1EB4CECC" w:rsidRPr="4F2776EC">
        <w:rPr>
          <w:rFonts w:asciiTheme="minorHAnsi" w:hAnsiTheme="minorHAnsi"/>
        </w:rPr>
        <w:t xml:space="preserve"> </w:t>
      </w:r>
      <w:r w:rsidR="003927A6" w:rsidRPr="4F2776EC">
        <w:rPr>
          <w:rFonts w:asciiTheme="minorHAnsi" w:hAnsiTheme="minorHAnsi"/>
        </w:rPr>
        <w:t>and has significant implications for the cost of healthcare (</w:t>
      </w:r>
      <w:r w:rsidR="006E4DD6" w:rsidRPr="4F2776EC">
        <w:rPr>
          <w:rFonts w:asciiTheme="minorHAnsi" w:hAnsiTheme="minorHAnsi"/>
        </w:rPr>
        <w:t>8,9</w:t>
      </w:r>
      <w:r w:rsidR="003927A6" w:rsidRPr="4F2776EC">
        <w:rPr>
          <w:rFonts w:asciiTheme="minorHAnsi" w:hAnsiTheme="minorHAnsi"/>
        </w:rPr>
        <w:t xml:space="preserve">). </w:t>
      </w:r>
      <w:r w:rsidR="007873F5" w:rsidRPr="4F2776EC">
        <w:rPr>
          <w:rFonts w:asciiTheme="minorHAnsi" w:hAnsiTheme="minorHAnsi"/>
        </w:rPr>
        <w:t xml:space="preserve">The economic </w:t>
      </w:r>
      <w:r w:rsidR="00211216">
        <w:rPr>
          <w:rFonts w:asciiTheme="minorHAnsi" w:hAnsiTheme="minorHAnsi"/>
        </w:rPr>
        <w:t>impact</w:t>
      </w:r>
      <w:r w:rsidR="00211216" w:rsidRPr="4F2776EC">
        <w:rPr>
          <w:rFonts w:asciiTheme="minorHAnsi" w:hAnsiTheme="minorHAnsi"/>
        </w:rPr>
        <w:t xml:space="preserve"> </w:t>
      </w:r>
      <w:r w:rsidR="007873F5" w:rsidRPr="4F2776EC">
        <w:rPr>
          <w:rFonts w:asciiTheme="minorHAnsi" w:hAnsiTheme="minorHAnsi"/>
        </w:rPr>
        <w:t xml:space="preserve">of penicillin allergy labels has also been elucidated in recent years, with several studies demonstrating the healthcare costs of the label and the economic benefits of removing incorrect labels </w:t>
      </w:r>
      <w:r w:rsidR="00E1639B" w:rsidRPr="4F2776EC">
        <w:rPr>
          <w:rFonts w:asciiTheme="minorHAnsi" w:hAnsiTheme="minorHAnsi"/>
        </w:rPr>
        <w:t>(</w:t>
      </w:r>
      <w:r w:rsidR="006E4DD6" w:rsidRPr="4F2776EC">
        <w:rPr>
          <w:rFonts w:asciiTheme="minorHAnsi" w:hAnsiTheme="minorHAnsi"/>
        </w:rPr>
        <w:t>10-12</w:t>
      </w:r>
      <w:r w:rsidR="00E1639B" w:rsidRPr="4F2776EC">
        <w:rPr>
          <w:rFonts w:asciiTheme="minorHAnsi" w:hAnsiTheme="minorHAnsi"/>
        </w:rPr>
        <w:t>).</w:t>
      </w:r>
    </w:p>
    <w:p w14:paraId="0942AB47" w14:textId="538BEB18" w:rsidR="0048020C" w:rsidRPr="00A05168" w:rsidRDefault="005A59F0" w:rsidP="00A05168">
      <w:pPr>
        <w:spacing w:line="480" w:lineRule="auto"/>
        <w:rPr>
          <w:rFonts w:asciiTheme="minorHAnsi" w:hAnsiTheme="minorHAnsi" w:cstheme="minorHAnsi"/>
          <w:b/>
          <w:bCs/>
        </w:rPr>
      </w:pPr>
      <w:r w:rsidRPr="7E959518">
        <w:rPr>
          <w:rFonts w:asciiTheme="minorHAnsi" w:hAnsiTheme="minorHAnsi"/>
        </w:rPr>
        <w:t xml:space="preserve">Despite this clear association with harm, penicillin allergy testing is a </w:t>
      </w:r>
      <w:r w:rsidR="00F96555" w:rsidRPr="7E959518">
        <w:rPr>
          <w:rFonts w:asciiTheme="minorHAnsi" w:hAnsiTheme="minorHAnsi"/>
        </w:rPr>
        <w:t xml:space="preserve">scarce </w:t>
      </w:r>
      <w:r w:rsidRPr="7E959518">
        <w:rPr>
          <w:rFonts w:asciiTheme="minorHAnsi" w:hAnsiTheme="minorHAnsi"/>
        </w:rPr>
        <w:t xml:space="preserve">resource in the NHS </w:t>
      </w:r>
      <w:r w:rsidR="00157869" w:rsidRPr="7E959518">
        <w:rPr>
          <w:rFonts w:asciiTheme="minorHAnsi" w:hAnsiTheme="minorHAnsi"/>
        </w:rPr>
        <w:t>(</w:t>
      </w:r>
      <w:r w:rsidR="006E4DD6" w:rsidRPr="7E959518">
        <w:rPr>
          <w:rFonts w:asciiTheme="minorHAnsi" w:hAnsiTheme="minorHAnsi"/>
        </w:rPr>
        <w:t>13</w:t>
      </w:r>
      <w:r w:rsidR="0048020C" w:rsidRPr="7E959518">
        <w:rPr>
          <w:rFonts w:asciiTheme="minorHAnsi" w:hAnsiTheme="minorHAnsi"/>
        </w:rPr>
        <w:t xml:space="preserve">). </w:t>
      </w:r>
      <w:r w:rsidRPr="7E959518">
        <w:rPr>
          <w:rFonts w:asciiTheme="minorHAnsi" w:hAnsiTheme="minorHAnsi"/>
        </w:rPr>
        <w:t>T</w:t>
      </w:r>
      <w:r w:rsidR="0048020C" w:rsidRPr="7E959518">
        <w:rPr>
          <w:rFonts w:asciiTheme="minorHAnsi" w:hAnsiTheme="minorHAnsi"/>
        </w:rPr>
        <w:t xml:space="preserve">esting </w:t>
      </w:r>
      <w:r w:rsidR="00F96555" w:rsidRPr="7E959518">
        <w:rPr>
          <w:rFonts w:asciiTheme="minorHAnsi" w:hAnsiTheme="minorHAnsi"/>
        </w:rPr>
        <w:t xml:space="preserve">is </w:t>
      </w:r>
      <w:r w:rsidR="0048020C" w:rsidRPr="7E959518">
        <w:rPr>
          <w:rFonts w:asciiTheme="minorHAnsi" w:hAnsiTheme="minorHAnsi"/>
        </w:rPr>
        <w:t xml:space="preserve">currently </w:t>
      </w:r>
      <w:r w:rsidRPr="7E959518">
        <w:rPr>
          <w:rFonts w:asciiTheme="minorHAnsi" w:hAnsiTheme="minorHAnsi"/>
        </w:rPr>
        <w:t xml:space="preserve">performed by </w:t>
      </w:r>
      <w:r w:rsidR="0048020C" w:rsidRPr="7E959518">
        <w:rPr>
          <w:rFonts w:asciiTheme="minorHAnsi" w:hAnsiTheme="minorHAnsi"/>
        </w:rPr>
        <w:t xml:space="preserve">allergists and immunologists working in specialist clinics and is </w:t>
      </w:r>
      <w:r w:rsidR="00573CA7" w:rsidRPr="7E959518">
        <w:rPr>
          <w:rFonts w:asciiTheme="minorHAnsi" w:hAnsiTheme="minorHAnsi"/>
        </w:rPr>
        <w:t xml:space="preserve">consequently </w:t>
      </w:r>
      <w:r w:rsidR="0048020C" w:rsidRPr="7E959518">
        <w:rPr>
          <w:rFonts w:asciiTheme="minorHAnsi" w:hAnsiTheme="minorHAnsi"/>
        </w:rPr>
        <w:t xml:space="preserve">limited to </w:t>
      </w:r>
      <w:r w:rsidR="00573CA7" w:rsidRPr="7E959518">
        <w:rPr>
          <w:rFonts w:asciiTheme="minorHAnsi" w:hAnsiTheme="minorHAnsi"/>
        </w:rPr>
        <w:t xml:space="preserve">select </w:t>
      </w:r>
      <w:r w:rsidR="0048020C" w:rsidRPr="7E959518">
        <w:rPr>
          <w:rFonts w:asciiTheme="minorHAnsi" w:hAnsiTheme="minorHAnsi"/>
        </w:rPr>
        <w:t xml:space="preserve">patient groups (NICE CG </w:t>
      </w:r>
      <w:proofErr w:type="gramStart"/>
      <w:r w:rsidR="0048020C" w:rsidRPr="7E959518">
        <w:rPr>
          <w:rFonts w:asciiTheme="minorHAnsi" w:hAnsiTheme="minorHAnsi"/>
        </w:rPr>
        <w:t>183)</w:t>
      </w:r>
      <w:r w:rsidR="00E37F76" w:rsidRPr="7E959518">
        <w:rPr>
          <w:rFonts w:asciiTheme="minorHAnsi" w:hAnsiTheme="minorHAnsi"/>
        </w:rPr>
        <w:t>(</w:t>
      </w:r>
      <w:proofErr w:type="gramEnd"/>
      <w:r w:rsidR="006E4DD6" w:rsidRPr="7E959518">
        <w:rPr>
          <w:rFonts w:asciiTheme="minorHAnsi" w:hAnsiTheme="minorHAnsi"/>
        </w:rPr>
        <w:t>14</w:t>
      </w:r>
      <w:r w:rsidR="00E37F76" w:rsidRPr="7E959518">
        <w:rPr>
          <w:rFonts w:asciiTheme="minorHAnsi" w:hAnsiTheme="minorHAnsi"/>
        </w:rPr>
        <w:t>)</w:t>
      </w:r>
      <w:r w:rsidR="0048020C" w:rsidRPr="7E959518">
        <w:rPr>
          <w:rFonts w:asciiTheme="minorHAnsi" w:hAnsiTheme="minorHAnsi"/>
        </w:rPr>
        <w:t xml:space="preserve">. </w:t>
      </w:r>
      <w:r w:rsidR="00B13FEF" w:rsidRPr="7E959518">
        <w:rPr>
          <w:rFonts w:asciiTheme="minorHAnsi" w:hAnsiTheme="minorHAnsi"/>
        </w:rPr>
        <w:t>T</w:t>
      </w:r>
      <w:r w:rsidR="0048020C" w:rsidRPr="7E959518">
        <w:rPr>
          <w:rFonts w:asciiTheme="minorHAnsi" w:hAnsiTheme="minorHAnsi"/>
        </w:rPr>
        <w:t>his model can</w:t>
      </w:r>
      <w:r w:rsidR="00573CA7" w:rsidRPr="7E959518">
        <w:rPr>
          <w:rFonts w:asciiTheme="minorHAnsi" w:hAnsiTheme="minorHAnsi"/>
        </w:rPr>
        <w:t>not</w:t>
      </w:r>
      <w:r w:rsidR="0048020C" w:rsidRPr="7E959518">
        <w:rPr>
          <w:rFonts w:asciiTheme="minorHAnsi" w:hAnsiTheme="minorHAnsi"/>
        </w:rPr>
        <w:t xml:space="preserve"> meet either current or future demand and leaves the vast majority of </w:t>
      </w:r>
      <w:r w:rsidR="00C924B5" w:rsidRPr="7E959518">
        <w:rPr>
          <w:rFonts w:asciiTheme="minorHAnsi" w:hAnsiTheme="minorHAnsi"/>
        </w:rPr>
        <w:t xml:space="preserve">labelled </w:t>
      </w:r>
      <w:r w:rsidR="0048020C" w:rsidRPr="7E959518">
        <w:rPr>
          <w:rFonts w:asciiTheme="minorHAnsi" w:hAnsiTheme="minorHAnsi"/>
        </w:rPr>
        <w:t>patients unable to access testing</w:t>
      </w:r>
      <w:r w:rsidR="005373E5" w:rsidRPr="7E959518">
        <w:rPr>
          <w:rFonts w:asciiTheme="minorHAnsi" w:hAnsiTheme="minorHAnsi"/>
        </w:rPr>
        <w:t>.</w:t>
      </w:r>
      <w:r w:rsidR="00C66EE9" w:rsidRPr="00C66EE9">
        <w:rPr>
          <w:rFonts w:asciiTheme="minorHAnsi" w:hAnsiTheme="minorHAnsi" w:cstheme="minorHAnsi"/>
        </w:rPr>
        <w:t xml:space="preserve"> </w:t>
      </w:r>
      <w:r w:rsidR="00C66EE9" w:rsidRPr="007661AA">
        <w:rPr>
          <w:rFonts w:asciiTheme="minorHAnsi" w:hAnsiTheme="minorHAnsi" w:cstheme="minorHAnsi"/>
        </w:rPr>
        <w:t xml:space="preserve">The provision of de-labelling at scale is therefore only possible with the engagement of </w:t>
      </w:r>
      <w:r w:rsidR="00C66EE9">
        <w:rPr>
          <w:rFonts w:asciiTheme="minorHAnsi" w:hAnsiTheme="minorHAnsi" w:cstheme="minorHAnsi"/>
        </w:rPr>
        <w:t>clinicians who are not trained in allergy or immunology, referred to throughout this document as ‘</w:t>
      </w:r>
      <w:r w:rsidR="00C66EE9" w:rsidRPr="007661AA">
        <w:rPr>
          <w:rFonts w:asciiTheme="minorHAnsi" w:hAnsiTheme="minorHAnsi" w:cstheme="minorHAnsi"/>
        </w:rPr>
        <w:t>non-allergists</w:t>
      </w:r>
      <w:r w:rsidR="00C66EE9">
        <w:rPr>
          <w:rFonts w:asciiTheme="minorHAnsi" w:hAnsiTheme="minorHAnsi" w:cstheme="minorHAnsi"/>
        </w:rPr>
        <w:t>’.</w:t>
      </w:r>
    </w:p>
    <w:p w14:paraId="7F1E856F" w14:textId="080A8D89" w:rsidR="00B156CE" w:rsidRDefault="001A19FA" w:rsidP="0048020C">
      <w:pPr>
        <w:spacing w:line="480" w:lineRule="auto"/>
        <w:jc w:val="both"/>
        <w:rPr>
          <w:rFonts w:asciiTheme="minorHAnsi" w:hAnsiTheme="minorHAnsi"/>
        </w:rPr>
      </w:pPr>
      <w:r w:rsidRPr="00062636">
        <w:rPr>
          <w:rFonts w:asciiTheme="minorHAnsi" w:hAnsiTheme="minorHAnsi"/>
        </w:rPr>
        <w:t xml:space="preserve">A drug provocation test (DPT) is considered the gold standard test to confirm or refute the diagnosis of allergy in </w:t>
      </w:r>
      <w:r w:rsidR="00573CA7">
        <w:rPr>
          <w:rFonts w:asciiTheme="minorHAnsi" w:hAnsiTheme="minorHAnsi"/>
        </w:rPr>
        <w:t>individuals</w:t>
      </w:r>
      <w:r w:rsidR="00573CA7" w:rsidRPr="00062636">
        <w:rPr>
          <w:rFonts w:asciiTheme="minorHAnsi" w:hAnsiTheme="minorHAnsi"/>
        </w:rPr>
        <w:t xml:space="preserve"> </w:t>
      </w:r>
      <w:r w:rsidRPr="00062636">
        <w:rPr>
          <w:rFonts w:asciiTheme="minorHAnsi" w:hAnsiTheme="minorHAnsi"/>
        </w:rPr>
        <w:t>at low-risk of an IgE-mediated</w:t>
      </w:r>
      <w:r w:rsidR="009347F5">
        <w:rPr>
          <w:rFonts w:asciiTheme="minorHAnsi" w:hAnsiTheme="minorHAnsi"/>
        </w:rPr>
        <w:t xml:space="preserve"> </w:t>
      </w:r>
      <w:r w:rsidRPr="00062636">
        <w:rPr>
          <w:rFonts w:asciiTheme="minorHAnsi" w:hAnsiTheme="minorHAnsi"/>
        </w:rPr>
        <w:t>type 1 immediate hypersensitivity reaction</w:t>
      </w:r>
      <w:r w:rsidR="005373E5" w:rsidRPr="00062636">
        <w:rPr>
          <w:rFonts w:asciiTheme="minorHAnsi" w:hAnsiTheme="minorHAnsi"/>
        </w:rPr>
        <w:t xml:space="preserve">. Current UK and international guidelines for penicillin allergy testing recommend the use of skin testing prior to DPT as a means of assessing the likelihood of a positive provocation </w:t>
      </w:r>
      <w:r w:rsidRPr="0086714E">
        <w:rPr>
          <w:rFonts w:asciiTheme="minorHAnsi" w:hAnsiTheme="minorHAnsi"/>
        </w:rPr>
        <w:t>(</w:t>
      </w:r>
      <w:r w:rsidR="00E37F76">
        <w:rPr>
          <w:rFonts w:asciiTheme="minorHAnsi" w:hAnsiTheme="minorHAnsi"/>
        </w:rPr>
        <w:t>1</w:t>
      </w:r>
      <w:r w:rsidR="006E4DD6">
        <w:rPr>
          <w:rFonts w:asciiTheme="minorHAnsi" w:hAnsiTheme="minorHAnsi"/>
        </w:rPr>
        <w:t>5</w:t>
      </w:r>
      <w:r w:rsidRPr="0086714E">
        <w:rPr>
          <w:rFonts w:asciiTheme="minorHAnsi" w:hAnsiTheme="minorHAnsi"/>
        </w:rPr>
        <w:t>).</w:t>
      </w:r>
      <w:r w:rsidRPr="00062636">
        <w:rPr>
          <w:rFonts w:asciiTheme="minorHAnsi" w:hAnsiTheme="minorHAnsi"/>
        </w:rPr>
        <w:t xml:space="preserve"> </w:t>
      </w:r>
      <w:r w:rsidR="0048020C" w:rsidRPr="00062636">
        <w:rPr>
          <w:rFonts w:asciiTheme="minorHAnsi" w:hAnsiTheme="minorHAnsi"/>
        </w:rPr>
        <w:t xml:space="preserve">In recent years </w:t>
      </w:r>
      <w:r w:rsidR="00BB1521">
        <w:rPr>
          <w:rFonts w:asciiTheme="minorHAnsi" w:hAnsiTheme="minorHAnsi"/>
        </w:rPr>
        <w:t xml:space="preserve">several </w:t>
      </w:r>
      <w:r w:rsidR="00E67B86" w:rsidRPr="00062636">
        <w:rPr>
          <w:rFonts w:asciiTheme="minorHAnsi" w:hAnsiTheme="minorHAnsi"/>
        </w:rPr>
        <w:t>studies</w:t>
      </w:r>
      <w:r w:rsidR="0048020C" w:rsidRPr="00062636">
        <w:rPr>
          <w:rFonts w:asciiTheme="minorHAnsi" w:hAnsiTheme="minorHAnsi"/>
        </w:rPr>
        <w:t xml:space="preserve"> </w:t>
      </w:r>
      <w:r w:rsidR="00E67B86" w:rsidRPr="00062636">
        <w:rPr>
          <w:rFonts w:asciiTheme="minorHAnsi" w:hAnsiTheme="minorHAnsi"/>
        </w:rPr>
        <w:t>have</w:t>
      </w:r>
      <w:r w:rsidR="0048020C" w:rsidRPr="00062636">
        <w:rPr>
          <w:rFonts w:asciiTheme="minorHAnsi" w:hAnsiTheme="minorHAnsi"/>
        </w:rPr>
        <w:t xml:space="preserve"> </w:t>
      </w:r>
      <w:r w:rsidR="00E67B86" w:rsidRPr="00062636">
        <w:rPr>
          <w:rFonts w:asciiTheme="minorHAnsi" w:hAnsiTheme="minorHAnsi"/>
        </w:rPr>
        <w:t xml:space="preserve">demonstrated that it </w:t>
      </w:r>
      <w:r w:rsidR="00BB1521">
        <w:rPr>
          <w:rFonts w:asciiTheme="minorHAnsi" w:hAnsiTheme="minorHAnsi"/>
        </w:rPr>
        <w:t>is</w:t>
      </w:r>
      <w:r w:rsidR="0054034E" w:rsidRPr="00062636">
        <w:rPr>
          <w:rFonts w:asciiTheme="minorHAnsi" w:hAnsiTheme="minorHAnsi"/>
        </w:rPr>
        <w:t xml:space="preserve"> possible to identify patients who are at low risk of penicillin </w:t>
      </w:r>
      <w:r w:rsidR="00B156CE">
        <w:rPr>
          <w:rFonts w:asciiTheme="minorHAnsi" w:hAnsiTheme="minorHAnsi"/>
        </w:rPr>
        <w:t xml:space="preserve">allergy with </w:t>
      </w:r>
      <w:proofErr w:type="gramStart"/>
      <w:r w:rsidR="00B156CE">
        <w:rPr>
          <w:rFonts w:asciiTheme="minorHAnsi" w:hAnsiTheme="minorHAnsi"/>
        </w:rPr>
        <w:t xml:space="preserve">an </w:t>
      </w:r>
      <w:r w:rsidR="00674443" w:rsidRPr="00062636">
        <w:rPr>
          <w:rFonts w:asciiTheme="minorHAnsi" w:hAnsiTheme="minorHAnsi"/>
        </w:rPr>
        <w:t xml:space="preserve"> allergy</w:t>
      </w:r>
      <w:proofErr w:type="gramEnd"/>
      <w:r w:rsidR="00674443" w:rsidRPr="00062636">
        <w:rPr>
          <w:rFonts w:asciiTheme="minorHAnsi" w:hAnsiTheme="minorHAnsi"/>
        </w:rPr>
        <w:t xml:space="preserve"> </w:t>
      </w:r>
      <w:r w:rsidR="0054034E" w:rsidRPr="00062636">
        <w:rPr>
          <w:rFonts w:asciiTheme="minorHAnsi" w:hAnsiTheme="minorHAnsi"/>
        </w:rPr>
        <w:t>history alone</w:t>
      </w:r>
      <w:r w:rsidR="005373E5" w:rsidRPr="00062636">
        <w:rPr>
          <w:rFonts w:asciiTheme="minorHAnsi" w:hAnsiTheme="minorHAnsi"/>
        </w:rPr>
        <w:t xml:space="preserve"> </w:t>
      </w:r>
      <w:r w:rsidR="00F64FDD" w:rsidRPr="00062636">
        <w:rPr>
          <w:rFonts w:asciiTheme="minorHAnsi" w:hAnsiTheme="minorHAnsi"/>
        </w:rPr>
        <w:t>(</w:t>
      </w:r>
      <w:r w:rsidR="00E37F76">
        <w:rPr>
          <w:rFonts w:asciiTheme="minorHAnsi" w:hAnsiTheme="minorHAnsi"/>
        </w:rPr>
        <w:t>1</w:t>
      </w:r>
      <w:r w:rsidR="006E4DD6">
        <w:rPr>
          <w:rFonts w:asciiTheme="minorHAnsi" w:hAnsiTheme="minorHAnsi"/>
        </w:rPr>
        <w:t>6-</w:t>
      </w:r>
      <w:r w:rsidR="00FC43AE">
        <w:rPr>
          <w:rFonts w:asciiTheme="minorHAnsi" w:hAnsiTheme="minorHAnsi"/>
        </w:rPr>
        <w:t>20</w:t>
      </w:r>
      <w:r w:rsidR="00F64FDD" w:rsidRPr="00062636">
        <w:rPr>
          <w:rFonts w:asciiTheme="minorHAnsi" w:hAnsiTheme="minorHAnsi"/>
        </w:rPr>
        <w:t>)</w:t>
      </w:r>
      <w:r w:rsidR="00674443" w:rsidRPr="00062636">
        <w:rPr>
          <w:rFonts w:asciiTheme="minorHAnsi" w:hAnsiTheme="minorHAnsi"/>
        </w:rPr>
        <w:t xml:space="preserve">. It appears to be safe and efficacious </w:t>
      </w:r>
      <w:r w:rsidR="00A22597">
        <w:rPr>
          <w:rFonts w:asciiTheme="minorHAnsi" w:hAnsiTheme="minorHAnsi"/>
        </w:rPr>
        <w:t xml:space="preserve">to </w:t>
      </w:r>
      <w:r w:rsidR="00B156CE" w:rsidRPr="00062636">
        <w:rPr>
          <w:rFonts w:asciiTheme="minorHAnsi" w:hAnsiTheme="minorHAnsi"/>
        </w:rPr>
        <w:t>offer a direct drug provocation test (DPT)</w:t>
      </w:r>
      <w:r w:rsidR="00B156CE">
        <w:rPr>
          <w:rFonts w:asciiTheme="minorHAnsi" w:hAnsiTheme="minorHAnsi"/>
        </w:rPr>
        <w:t xml:space="preserve"> without prior</w:t>
      </w:r>
      <w:r w:rsidR="00E36955" w:rsidRPr="00062636">
        <w:rPr>
          <w:rFonts w:asciiTheme="minorHAnsi" w:hAnsiTheme="minorHAnsi"/>
        </w:rPr>
        <w:t xml:space="preserve"> skin testing in such</w:t>
      </w:r>
      <w:r w:rsidR="00674443" w:rsidRPr="00062636">
        <w:rPr>
          <w:rFonts w:asciiTheme="minorHAnsi" w:hAnsiTheme="minorHAnsi"/>
        </w:rPr>
        <w:t xml:space="preserve"> patients. </w:t>
      </w:r>
      <w:r w:rsidR="00D20FCF">
        <w:rPr>
          <w:rFonts w:asciiTheme="minorHAnsi" w:hAnsiTheme="minorHAnsi"/>
        </w:rPr>
        <w:t xml:space="preserve">The term ‘direct provocation test’ in this guideline refers to the administration of single or multiple doses of the drug </w:t>
      </w:r>
      <w:r w:rsidR="00D20FCF">
        <w:rPr>
          <w:rFonts w:asciiTheme="minorHAnsi" w:hAnsiTheme="minorHAnsi"/>
        </w:rPr>
        <w:lastRenderedPageBreak/>
        <w:t xml:space="preserve">without prior skin testing. </w:t>
      </w:r>
      <w:r w:rsidR="00A22597" w:rsidRPr="009038DC">
        <w:rPr>
          <w:rFonts w:asciiTheme="minorHAnsi" w:hAnsiTheme="minorHAnsi"/>
        </w:rPr>
        <w:t>In some patients, t</w:t>
      </w:r>
      <w:r w:rsidR="00B156CE" w:rsidRPr="009038DC">
        <w:rPr>
          <w:rFonts w:asciiTheme="minorHAnsi" w:hAnsiTheme="minorHAnsi"/>
        </w:rPr>
        <w:t>he</w:t>
      </w:r>
      <w:r w:rsidR="00E7639C" w:rsidRPr="009038DC">
        <w:rPr>
          <w:rFonts w:asciiTheme="minorHAnsi" w:hAnsiTheme="minorHAnsi"/>
        </w:rPr>
        <w:t xml:space="preserve"> allergy history may indicate that </w:t>
      </w:r>
      <w:r w:rsidR="00B156CE" w:rsidRPr="009038DC">
        <w:rPr>
          <w:rFonts w:asciiTheme="minorHAnsi" w:hAnsiTheme="minorHAnsi"/>
        </w:rPr>
        <w:t>the</w:t>
      </w:r>
      <w:r w:rsidR="00A22597" w:rsidRPr="009038DC">
        <w:rPr>
          <w:rFonts w:asciiTheme="minorHAnsi" w:hAnsiTheme="minorHAnsi"/>
        </w:rPr>
        <w:t>re</w:t>
      </w:r>
      <w:r w:rsidR="00B156CE" w:rsidRPr="009038DC">
        <w:rPr>
          <w:rFonts w:asciiTheme="minorHAnsi" w:hAnsiTheme="minorHAnsi"/>
        </w:rPr>
        <w:t xml:space="preserve"> </w:t>
      </w:r>
      <w:r w:rsidR="00E7639C" w:rsidRPr="009038DC">
        <w:rPr>
          <w:rFonts w:asciiTheme="minorHAnsi" w:hAnsiTheme="minorHAnsi"/>
        </w:rPr>
        <w:t xml:space="preserve">is no increased risk </w:t>
      </w:r>
      <w:r w:rsidR="00A22597" w:rsidRPr="009038DC">
        <w:rPr>
          <w:rFonts w:asciiTheme="minorHAnsi" w:hAnsiTheme="minorHAnsi"/>
        </w:rPr>
        <w:t xml:space="preserve">of allergy </w:t>
      </w:r>
      <w:r w:rsidR="00E7639C" w:rsidRPr="009038DC">
        <w:rPr>
          <w:rFonts w:asciiTheme="minorHAnsi" w:hAnsiTheme="minorHAnsi"/>
        </w:rPr>
        <w:t>compared to th</w:t>
      </w:r>
      <w:r w:rsidR="009347F5" w:rsidRPr="009038DC">
        <w:rPr>
          <w:rFonts w:asciiTheme="minorHAnsi" w:hAnsiTheme="minorHAnsi"/>
        </w:rPr>
        <w:t>at of the</w:t>
      </w:r>
      <w:r w:rsidR="00E7639C" w:rsidRPr="009038DC">
        <w:rPr>
          <w:rFonts w:asciiTheme="minorHAnsi" w:hAnsiTheme="minorHAnsi"/>
        </w:rPr>
        <w:t xml:space="preserve"> baseline population </w:t>
      </w:r>
      <w:r w:rsidR="00A22597" w:rsidRPr="009038DC">
        <w:rPr>
          <w:rFonts w:asciiTheme="minorHAnsi" w:hAnsiTheme="minorHAnsi"/>
        </w:rPr>
        <w:t>risk</w:t>
      </w:r>
      <w:r w:rsidR="009347F5" w:rsidRPr="009038DC">
        <w:rPr>
          <w:rFonts w:asciiTheme="minorHAnsi" w:hAnsiTheme="minorHAnsi"/>
        </w:rPr>
        <w:t>. I</w:t>
      </w:r>
      <w:r w:rsidR="00E7639C" w:rsidRPr="009038DC">
        <w:rPr>
          <w:rFonts w:asciiTheme="minorHAnsi" w:hAnsiTheme="minorHAnsi"/>
        </w:rPr>
        <w:t xml:space="preserve">n this group no allergy testing is required </w:t>
      </w:r>
      <w:r w:rsidR="009347F5" w:rsidRPr="009038DC">
        <w:rPr>
          <w:rFonts w:asciiTheme="minorHAnsi" w:hAnsiTheme="minorHAnsi"/>
        </w:rPr>
        <w:t>before removing</w:t>
      </w:r>
      <w:r w:rsidR="00E7639C" w:rsidRPr="009038DC">
        <w:rPr>
          <w:rFonts w:asciiTheme="minorHAnsi" w:hAnsiTheme="minorHAnsi"/>
        </w:rPr>
        <w:t xml:space="preserve"> the allergy</w:t>
      </w:r>
      <w:r w:rsidR="00E7639C">
        <w:rPr>
          <w:rFonts w:asciiTheme="minorHAnsi" w:hAnsiTheme="minorHAnsi"/>
        </w:rPr>
        <w:t xml:space="preserve"> label. </w:t>
      </w:r>
    </w:p>
    <w:p w14:paraId="2F7A5C20" w14:textId="17FB1BB3" w:rsidR="000C4AA6" w:rsidRDefault="0048020C" w:rsidP="0048020C">
      <w:pPr>
        <w:spacing w:line="480" w:lineRule="auto"/>
        <w:jc w:val="both"/>
        <w:rPr>
          <w:rFonts w:asciiTheme="minorHAnsi" w:hAnsiTheme="minorHAnsi"/>
        </w:rPr>
      </w:pPr>
      <w:r w:rsidRPr="00062636">
        <w:rPr>
          <w:rFonts w:asciiTheme="minorHAnsi" w:hAnsiTheme="minorHAnsi"/>
        </w:rPr>
        <w:t xml:space="preserve">In </w:t>
      </w:r>
      <w:r w:rsidR="00BB1521">
        <w:rPr>
          <w:rFonts w:asciiTheme="minorHAnsi" w:hAnsiTheme="minorHAnsi"/>
        </w:rPr>
        <w:t>many of these</w:t>
      </w:r>
      <w:r w:rsidRPr="00062636">
        <w:rPr>
          <w:rFonts w:asciiTheme="minorHAnsi" w:hAnsiTheme="minorHAnsi"/>
        </w:rPr>
        <w:t xml:space="preserve"> studies, </w:t>
      </w:r>
      <w:r w:rsidR="00E7639C">
        <w:rPr>
          <w:rFonts w:asciiTheme="minorHAnsi" w:hAnsiTheme="minorHAnsi"/>
        </w:rPr>
        <w:t xml:space="preserve">de-labelling </w:t>
      </w:r>
      <w:r w:rsidRPr="00062636">
        <w:rPr>
          <w:rFonts w:asciiTheme="minorHAnsi" w:hAnsiTheme="minorHAnsi"/>
        </w:rPr>
        <w:t xml:space="preserve">has been performed by non-allergists including allied medical healthcare workers such as pharmacists, </w:t>
      </w:r>
      <w:r w:rsidR="00B5747F" w:rsidRPr="00062636">
        <w:rPr>
          <w:rFonts w:asciiTheme="minorHAnsi" w:hAnsiTheme="minorHAnsi"/>
        </w:rPr>
        <w:t xml:space="preserve">nurses and associate physicians, </w:t>
      </w:r>
      <w:r w:rsidR="009347F5">
        <w:rPr>
          <w:rFonts w:asciiTheme="minorHAnsi" w:hAnsiTheme="minorHAnsi"/>
        </w:rPr>
        <w:t xml:space="preserve">working under </w:t>
      </w:r>
      <w:r w:rsidR="00E7639C">
        <w:rPr>
          <w:rFonts w:asciiTheme="minorHAnsi" w:hAnsiTheme="minorHAnsi"/>
        </w:rPr>
        <w:t xml:space="preserve">immediate or remote </w:t>
      </w:r>
      <w:r w:rsidR="00B5747F" w:rsidRPr="00062636">
        <w:rPr>
          <w:rFonts w:asciiTheme="minorHAnsi" w:hAnsiTheme="minorHAnsi"/>
        </w:rPr>
        <w:t>medical supervision.</w:t>
      </w:r>
      <w:r w:rsidRPr="00062636">
        <w:rPr>
          <w:rFonts w:asciiTheme="minorHAnsi" w:hAnsiTheme="minorHAnsi"/>
        </w:rPr>
        <w:t xml:space="preserve"> There is currently no defined </w:t>
      </w:r>
      <w:r w:rsidR="001A19FA" w:rsidRPr="00062636">
        <w:rPr>
          <w:rFonts w:asciiTheme="minorHAnsi" w:hAnsiTheme="minorHAnsi"/>
        </w:rPr>
        <w:t xml:space="preserve">pathway or governance framework </w:t>
      </w:r>
      <w:r w:rsidR="00B5747F" w:rsidRPr="00062636">
        <w:rPr>
          <w:rFonts w:asciiTheme="minorHAnsi" w:hAnsiTheme="minorHAnsi"/>
        </w:rPr>
        <w:t xml:space="preserve">in the UK </w:t>
      </w:r>
      <w:r w:rsidR="001A19FA" w:rsidRPr="00062636">
        <w:rPr>
          <w:rFonts w:asciiTheme="minorHAnsi" w:hAnsiTheme="minorHAnsi"/>
        </w:rPr>
        <w:t xml:space="preserve">to support this practice. </w:t>
      </w:r>
      <w:r w:rsidRPr="00062636">
        <w:rPr>
          <w:rFonts w:asciiTheme="minorHAnsi" w:hAnsiTheme="minorHAnsi"/>
        </w:rPr>
        <w:t xml:space="preserve">The definition of ‘low-risk’ varies, but the proportion of patients deemed suitable for a direct DPT may be as high as 65% </w:t>
      </w:r>
      <w:r w:rsidR="00CA0A55" w:rsidRPr="00062636">
        <w:rPr>
          <w:rFonts w:asciiTheme="minorHAnsi" w:hAnsiTheme="minorHAnsi"/>
        </w:rPr>
        <w:t>(</w:t>
      </w:r>
      <w:r w:rsidR="00E37F76">
        <w:rPr>
          <w:rFonts w:asciiTheme="minorHAnsi" w:hAnsiTheme="minorHAnsi"/>
        </w:rPr>
        <w:t>4</w:t>
      </w:r>
      <w:r w:rsidR="00CA0A55" w:rsidRPr="00062636">
        <w:rPr>
          <w:rFonts w:asciiTheme="minorHAnsi" w:hAnsiTheme="minorHAnsi"/>
        </w:rPr>
        <w:t>).</w:t>
      </w:r>
      <w:r w:rsidRPr="00062636">
        <w:rPr>
          <w:rFonts w:asciiTheme="minorHAnsi" w:hAnsiTheme="minorHAnsi"/>
        </w:rPr>
        <w:t xml:space="preserve"> This novel approach offers the potential for testing at-scale within the NHS </w:t>
      </w:r>
      <w:r w:rsidR="00B156CE">
        <w:rPr>
          <w:rFonts w:asciiTheme="minorHAnsi" w:hAnsiTheme="minorHAnsi"/>
        </w:rPr>
        <w:t>as</w:t>
      </w:r>
      <w:r w:rsidR="00B156CE" w:rsidRPr="00062636">
        <w:rPr>
          <w:rFonts w:asciiTheme="minorHAnsi" w:hAnsiTheme="minorHAnsi"/>
        </w:rPr>
        <w:t xml:space="preserve"> </w:t>
      </w:r>
      <w:r w:rsidRPr="00062636">
        <w:rPr>
          <w:rFonts w:asciiTheme="minorHAnsi" w:hAnsiTheme="minorHAnsi"/>
        </w:rPr>
        <w:t xml:space="preserve">it allows a significant proportion of patients to be de-labelled in settings outside a specialist allergy clinic. It is also less costly and may be more acceptable to the patient since it is less invasive. </w:t>
      </w:r>
    </w:p>
    <w:p w14:paraId="0B963A1E" w14:textId="74442E31" w:rsidR="00C66EE9" w:rsidRPr="00062636" w:rsidRDefault="00C66EE9" w:rsidP="00C66EE9">
      <w:pPr>
        <w:spacing w:line="480" w:lineRule="auto"/>
        <w:jc w:val="both"/>
        <w:rPr>
          <w:rFonts w:asciiTheme="minorHAnsi" w:hAnsiTheme="minorHAnsi"/>
          <w:b/>
          <w:bCs/>
        </w:rPr>
      </w:pPr>
      <w:r w:rsidRPr="00062636">
        <w:rPr>
          <w:rFonts w:asciiTheme="minorHAnsi" w:hAnsiTheme="minorHAnsi"/>
        </w:rPr>
        <w:t xml:space="preserve">The aim of this guideline is to provide a framework for the set-up and delivery of penicillin allergy de-labelling services by non-allergists. The intended users are non-allergists with an interest in </w:t>
      </w:r>
      <w:r>
        <w:rPr>
          <w:rFonts w:asciiTheme="minorHAnsi" w:hAnsiTheme="minorHAnsi"/>
        </w:rPr>
        <w:t>clarifying the penicillin allergy status of their patients</w:t>
      </w:r>
      <w:r w:rsidRPr="00062636">
        <w:rPr>
          <w:rFonts w:asciiTheme="minorHAnsi" w:hAnsiTheme="minorHAnsi"/>
        </w:rPr>
        <w:t xml:space="preserve">. The target population is adult and </w:t>
      </w:r>
      <w:r>
        <w:rPr>
          <w:rFonts w:asciiTheme="minorHAnsi" w:hAnsiTheme="minorHAnsi"/>
        </w:rPr>
        <w:t>children</w:t>
      </w:r>
      <w:r w:rsidRPr="00062636">
        <w:rPr>
          <w:rFonts w:asciiTheme="minorHAnsi" w:hAnsiTheme="minorHAnsi"/>
        </w:rPr>
        <w:t xml:space="preserve"> with an untested label of penicillin allergy. Th</w:t>
      </w:r>
      <w:r w:rsidR="00D4722A">
        <w:rPr>
          <w:rFonts w:asciiTheme="minorHAnsi" w:hAnsiTheme="minorHAnsi"/>
        </w:rPr>
        <w:t>e</w:t>
      </w:r>
      <w:r w:rsidRPr="00062636">
        <w:rPr>
          <w:rFonts w:asciiTheme="minorHAnsi" w:hAnsiTheme="minorHAnsi"/>
        </w:rPr>
        <w:t xml:space="preserve"> guideline is intended to supplement the 2015 BSACI guideline ‘Management of allergy to penicillin and other beta-lactams’</w:t>
      </w:r>
      <w:r>
        <w:rPr>
          <w:rFonts w:asciiTheme="minorHAnsi" w:hAnsiTheme="minorHAnsi"/>
        </w:rPr>
        <w:t xml:space="preserve"> that</w:t>
      </w:r>
      <w:r w:rsidRPr="00062636">
        <w:rPr>
          <w:rFonts w:asciiTheme="minorHAnsi" w:hAnsiTheme="minorHAnsi"/>
        </w:rPr>
        <w:t xml:space="preserve"> details the aetiology of penicillin allergy, the molecular structure of antigenic determinants, clinical patterns of penicillin hypersensitivity, cross-reactivity with cephalosporins and management of allergic reactions to penicillin</w:t>
      </w:r>
      <w:r>
        <w:rPr>
          <w:rFonts w:asciiTheme="minorHAnsi" w:hAnsiTheme="minorHAnsi"/>
        </w:rPr>
        <w:t xml:space="preserve"> (1)</w:t>
      </w:r>
      <w:r w:rsidRPr="00062636">
        <w:rPr>
          <w:rFonts w:asciiTheme="minorHAnsi" w:hAnsiTheme="minorHAnsi"/>
        </w:rPr>
        <w:t xml:space="preserve">. </w:t>
      </w:r>
      <w:r>
        <w:rPr>
          <w:rFonts w:asciiTheme="minorHAnsi" w:hAnsiTheme="minorHAnsi"/>
        </w:rPr>
        <w:t xml:space="preserve">The guideline details appropriate </w:t>
      </w:r>
      <w:r w:rsidRPr="00062636">
        <w:rPr>
          <w:rFonts w:asciiTheme="minorHAnsi" w:hAnsiTheme="minorHAnsi"/>
        </w:rPr>
        <w:t xml:space="preserve">patient selection, risk stratification, minimum safety standards, conduct of a drug provocation test, and the degree of oversight required from allergy or immunology specialists. </w:t>
      </w:r>
    </w:p>
    <w:p w14:paraId="1D4046A0" w14:textId="78F0531B" w:rsidR="00C66EE9" w:rsidRPr="00062636" w:rsidRDefault="00C66EE9" w:rsidP="00C66EE9">
      <w:pPr>
        <w:spacing w:line="480" w:lineRule="auto"/>
        <w:jc w:val="both"/>
        <w:rPr>
          <w:rFonts w:asciiTheme="minorHAnsi" w:hAnsiTheme="minorHAnsi"/>
        </w:rPr>
      </w:pPr>
      <w:r w:rsidRPr="00062636">
        <w:rPr>
          <w:rFonts w:asciiTheme="minorHAnsi" w:hAnsiTheme="minorHAnsi"/>
        </w:rPr>
        <w:t>The writing group comprises members of BSACI with an interest in this topic</w:t>
      </w:r>
      <w:r>
        <w:rPr>
          <w:rFonts w:asciiTheme="minorHAnsi" w:hAnsiTheme="minorHAnsi"/>
        </w:rPr>
        <w:t xml:space="preserve"> and invited representatives of </w:t>
      </w:r>
      <w:r w:rsidRPr="00062636">
        <w:rPr>
          <w:rFonts w:asciiTheme="minorHAnsi" w:hAnsiTheme="minorHAnsi"/>
        </w:rPr>
        <w:t xml:space="preserve">specialties identified </w:t>
      </w:r>
      <w:r>
        <w:rPr>
          <w:rFonts w:asciiTheme="minorHAnsi" w:hAnsiTheme="minorHAnsi"/>
        </w:rPr>
        <w:t xml:space="preserve">by the BSACI </w:t>
      </w:r>
      <w:r w:rsidRPr="00062636">
        <w:rPr>
          <w:rFonts w:asciiTheme="minorHAnsi" w:hAnsiTheme="minorHAnsi"/>
        </w:rPr>
        <w:t xml:space="preserve">as key stakeholders in this topic. All additional members have a clinical and/or research interest in penicillin allergy de-labelling and all </w:t>
      </w:r>
      <w:r>
        <w:rPr>
          <w:rFonts w:asciiTheme="minorHAnsi" w:hAnsiTheme="minorHAnsi"/>
        </w:rPr>
        <w:t>are</w:t>
      </w:r>
      <w:r w:rsidRPr="00062636">
        <w:rPr>
          <w:rFonts w:asciiTheme="minorHAnsi" w:hAnsiTheme="minorHAnsi"/>
        </w:rPr>
        <w:t xml:space="preserve"> </w:t>
      </w:r>
      <w:r>
        <w:rPr>
          <w:rFonts w:asciiTheme="minorHAnsi" w:hAnsiTheme="minorHAnsi"/>
        </w:rPr>
        <w:t xml:space="preserve">formally </w:t>
      </w:r>
      <w:r w:rsidRPr="00062636">
        <w:rPr>
          <w:rFonts w:asciiTheme="minorHAnsi" w:hAnsiTheme="minorHAnsi"/>
        </w:rPr>
        <w:t>represent</w:t>
      </w:r>
      <w:r>
        <w:rPr>
          <w:rFonts w:asciiTheme="minorHAnsi" w:hAnsiTheme="minorHAnsi"/>
        </w:rPr>
        <w:t>ing</w:t>
      </w:r>
      <w:r w:rsidRPr="00062636">
        <w:rPr>
          <w:rFonts w:asciiTheme="minorHAnsi" w:hAnsiTheme="minorHAnsi"/>
        </w:rPr>
        <w:t xml:space="preserve"> th</w:t>
      </w:r>
      <w:r>
        <w:rPr>
          <w:rFonts w:asciiTheme="minorHAnsi" w:hAnsiTheme="minorHAnsi"/>
        </w:rPr>
        <w:t>eir respective professional</w:t>
      </w:r>
      <w:r w:rsidRPr="00062636">
        <w:rPr>
          <w:rFonts w:asciiTheme="minorHAnsi" w:hAnsiTheme="minorHAnsi"/>
        </w:rPr>
        <w:t xml:space="preserve"> body on the guideline working group (GWG).  Evidence for </w:t>
      </w:r>
      <w:r w:rsidRPr="00062636">
        <w:rPr>
          <w:rFonts w:asciiTheme="minorHAnsi" w:hAnsiTheme="minorHAnsi"/>
        </w:rPr>
        <w:lastRenderedPageBreak/>
        <w:t>the recommendations made in this guideline was included based on the PICO questions developed by the GWG (</w:t>
      </w:r>
      <w:r w:rsidR="00D4722A">
        <w:rPr>
          <w:rFonts w:asciiTheme="minorHAnsi" w:hAnsiTheme="minorHAnsi"/>
        </w:rPr>
        <w:t>see Supplementary Materials</w:t>
      </w:r>
      <w:r w:rsidRPr="00062636">
        <w:rPr>
          <w:rFonts w:asciiTheme="minorHAnsi" w:hAnsiTheme="minorHAnsi"/>
        </w:rPr>
        <w:t xml:space="preserve">). The </w:t>
      </w:r>
      <w:r>
        <w:rPr>
          <w:rFonts w:asciiTheme="minorHAnsi" w:hAnsiTheme="minorHAnsi"/>
        </w:rPr>
        <w:t xml:space="preserve">inclusion criteria for </w:t>
      </w:r>
      <w:r w:rsidRPr="00062636">
        <w:rPr>
          <w:rFonts w:asciiTheme="minorHAnsi" w:hAnsiTheme="minorHAnsi"/>
        </w:rPr>
        <w:t xml:space="preserve">patients suitable for </w:t>
      </w:r>
      <w:r>
        <w:rPr>
          <w:rFonts w:asciiTheme="minorHAnsi" w:hAnsiTheme="minorHAnsi"/>
        </w:rPr>
        <w:t>a direct drug provocation test (</w:t>
      </w:r>
      <w:r w:rsidRPr="00062636">
        <w:rPr>
          <w:rFonts w:asciiTheme="minorHAnsi" w:hAnsiTheme="minorHAnsi"/>
        </w:rPr>
        <w:t>DPT</w:t>
      </w:r>
      <w:r>
        <w:rPr>
          <w:rFonts w:asciiTheme="minorHAnsi" w:hAnsiTheme="minorHAnsi"/>
        </w:rPr>
        <w:t>)</w:t>
      </w:r>
      <w:r w:rsidRPr="00062636">
        <w:rPr>
          <w:rFonts w:asciiTheme="minorHAnsi" w:hAnsiTheme="minorHAnsi"/>
        </w:rPr>
        <w:t xml:space="preserve"> performed by a non-allergist w</w:t>
      </w:r>
      <w:r>
        <w:rPr>
          <w:rFonts w:asciiTheme="minorHAnsi" w:hAnsiTheme="minorHAnsi"/>
        </w:rPr>
        <w:t>ere</w:t>
      </w:r>
      <w:r w:rsidRPr="00062636">
        <w:rPr>
          <w:rFonts w:asciiTheme="minorHAnsi" w:hAnsiTheme="minorHAnsi"/>
        </w:rPr>
        <w:t xml:space="preserve"> determined through a Delphi consensus process run amongst </w:t>
      </w:r>
      <w:r w:rsidRPr="00211216">
        <w:rPr>
          <w:rFonts w:asciiTheme="minorHAnsi" w:hAnsiTheme="minorHAnsi"/>
          <w:color w:val="000000" w:themeColor="text1"/>
        </w:rPr>
        <w:t xml:space="preserve">adult allergists and immunologists practising drug allergy in the UK. The findings were extended to </w:t>
      </w:r>
      <w:r>
        <w:rPr>
          <w:rFonts w:asciiTheme="minorHAnsi" w:hAnsiTheme="minorHAnsi"/>
        </w:rPr>
        <w:t xml:space="preserve">children on the advice of the paediatric allergists in the GWG.  </w:t>
      </w:r>
      <w:r w:rsidRPr="00062636">
        <w:rPr>
          <w:rFonts w:asciiTheme="minorHAnsi" w:hAnsiTheme="minorHAnsi"/>
        </w:rPr>
        <w:t>For other areas of the guideline where evidence was lacking, expert opinion amongst the GWG and wider BSACI membership was sought.</w:t>
      </w:r>
    </w:p>
    <w:p w14:paraId="45E224AB" w14:textId="77777777" w:rsidR="00C66EE9" w:rsidRPr="00062636" w:rsidRDefault="00C66EE9" w:rsidP="00C66EE9">
      <w:pPr>
        <w:spacing w:line="480" w:lineRule="auto"/>
        <w:jc w:val="both"/>
        <w:rPr>
          <w:rFonts w:asciiTheme="minorHAnsi" w:hAnsiTheme="minorHAnsi"/>
        </w:rPr>
      </w:pPr>
      <w:r>
        <w:rPr>
          <w:rFonts w:asciiTheme="minorHAnsi" w:hAnsiTheme="minorHAnsi"/>
        </w:rPr>
        <w:t>The</w:t>
      </w:r>
      <w:r w:rsidRPr="00062636">
        <w:rPr>
          <w:rFonts w:asciiTheme="minorHAnsi" w:hAnsiTheme="minorHAnsi"/>
        </w:rPr>
        <w:t xml:space="preserve"> guideline will be </w:t>
      </w:r>
      <w:r>
        <w:rPr>
          <w:rFonts w:asciiTheme="minorHAnsi" w:hAnsiTheme="minorHAnsi"/>
        </w:rPr>
        <w:t>reviewed</w:t>
      </w:r>
      <w:r w:rsidRPr="00062636">
        <w:rPr>
          <w:rFonts w:asciiTheme="minorHAnsi" w:hAnsiTheme="minorHAnsi"/>
        </w:rPr>
        <w:t xml:space="preserve"> 5 years from original publication date. </w:t>
      </w:r>
    </w:p>
    <w:p w14:paraId="17625847" w14:textId="77777777" w:rsidR="00C66EE9" w:rsidRDefault="00C66EE9" w:rsidP="0048020C">
      <w:pPr>
        <w:spacing w:line="480" w:lineRule="auto"/>
        <w:jc w:val="both"/>
        <w:rPr>
          <w:rFonts w:asciiTheme="minorHAnsi" w:hAnsiTheme="minorHAnsi"/>
        </w:rPr>
      </w:pPr>
    </w:p>
    <w:p w14:paraId="050D58F1" w14:textId="77777777" w:rsidR="00BC6EFC" w:rsidRPr="00062636" w:rsidRDefault="00BC6EFC" w:rsidP="0048020C">
      <w:pPr>
        <w:spacing w:line="480" w:lineRule="auto"/>
        <w:jc w:val="both"/>
        <w:rPr>
          <w:rFonts w:asciiTheme="minorHAnsi" w:hAnsiTheme="minorHAnsi"/>
        </w:rPr>
      </w:pPr>
    </w:p>
    <w:p w14:paraId="4DFCAC69" w14:textId="6C24349A" w:rsidR="00A0384D" w:rsidRPr="00062636" w:rsidRDefault="00C66EE9" w:rsidP="00763ECA">
      <w:pPr>
        <w:spacing w:line="480" w:lineRule="auto"/>
        <w:rPr>
          <w:rFonts w:asciiTheme="minorHAnsi" w:hAnsiTheme="minorHAnsi"/>
          <w:b/>
        </w:rPr>
      </w:pPr>
      <w:r>
        <w:rPr>
          <w:rFonts w:asciiTheme="minorHAnsi" w:hAnsiTheme="minorHAnsi"/>
          <w:b/>
        </w:rPr>
        <w:t>Methods</w:t>
      </w:r>
    </w:p>
    <w:p w14:paraId="5C53670C" w14:textId="4044F5DB" w:rsidR="000D3547" w:rsidRPr="00202EAD" w:rsidRDefault="006C1B96" w:rsidP="00170B1A">
      <w:pPr>
        <w:spacing w:line="480" w:lineRule="auto"/>
        <w:jc w:val="both"/>
        <w:rPr>
          <w:rFonts w:asciiTheme="minorHAnsi" w:hAnsiTheme="minorHAnsi"/>
          <w:color w:val="FF0000"/>
        </w:rPr>
      </w:pPr>
      <w:r w:rsidRPr="00062636">
        <w:rPr>
          <w:rFonts w:asciiTheme="minorHAnsi" w:hAnsiTheme="minorHAnsi"/>
        </w:rPr>
        <w:t xml:space="preserve">The PICO </w:t>
      </w:r>
      <w:r w:rsidR="00B76E5E">
        <w:rPr>
          <w:rFonts w:asciiTheme="minorHAnsi" w:hAnsiTheme="minorHAnsi"/>
        </w:rPr>
        <w:t xml:space="preserve">(Population, Intervention, Comparator, Outcome) </w:t>
      </w:r>
      <w:r w:rsidRPr="00062636">
        <w:rPr>
          <w:rFonts w:asciiTheme="minorHAnsi" w:hAnsiTheme="minorHAnsi"/>
        </w:rPr>
        <w:t>questions were developed and refined by the GWG</w:t>
      </w:r>
      <w:r w:rsidR="00170B1A" w:rsidRPr="00062636">
        <w:rPr>
          <w:rFonts w:asciiTheme="minorHAnsi" w:hAnsiTheme="minorHAnsi"/>
        </w:rPr>
        <w:t xml:space="preserve"> (see</w:t>
      </w:r>
      <w:r w:rsidR="00FE3760">
        <w:rPr>
          <w:rFonts w:asciiTheme="minorHAnsi" w:hAnsiTheme="minorHAnsi"/>
        </w:rPr>
        <w:t xml:space="preserve"> Supplementary Material</w:t>
      </w:r>
      <w:r w:rsidR="00170B1A" w:rsidRPr="00062636">
        <w:rPr>
          <w:rFonts w:asciiTheme="minorHAnsi" w:hAnsiTheme="minorHAnsi"/>
        </w:rPr>
        <w:t>)</w:t>
      </w:r>
      <w:r w:rsidRPr="00062636">
        <w:rPr>
          <w:rFonts w:asciiTheme="minorHAnsi" w:hAnsiTheme="minorHAnsi"/>
        </w:rPr>
        <w:t xml:space="preserve">. </w:t>
      </w:r>
      <w:r w:rsidR="00170B1A" w:rsidRPr="00062636">
        <w:rPr>
          <w:rFonts w:asciiTheme="minorHAnsi" w:hAnsiTheme="minorHAnsi"/>
        </w:rPr>
        <w:t xml:space="preserve">These questions, broadly, ask whether non-allergist healthcare workers can safely identify patients who are suitable to undergo a drug provocation test (DPT) to confirm tolerance to penicillin without prior skin testing and without evaluation by an allergy specialist, as well as how this testing can be performed outside of the specialist allergy clinic setting. The literature search was conducted by the BSACI Chief Scientific Officer on </w:t>
      </w:r>
      <w:r w:rsidR="009953E3">
        <w:rPr>
          <w:rFonts w:asciiTheme="minorHAnsi" w:hAnsiTheme="minorHAnsi"/>
        </w:rPr>
        <w:t xml:space="preserve">12/10/2020 using Embase and Medline, English language only and from the </w:t>
      </w:r>
      <w:r w:rsidR="009953E3" w:rsidRPr="009038DC">
        <w:rPr>
          <w:rFonts w:asciiTheme="minorHAnsi" w:hAnsiTheme="minorHAnsi"/>
        </w:rPr>
        <w:t>last 10 years</w:t>
      </w:r>
      <w:r w:rsidR="009953E3">
        <w:rPr>
          <w:rFonts w:asciiTheme="minorHAnsi" w:hAnsiTheme="minorHAnsi"/>
        </w:rPr>
        <w:t xml:space="preserve">. The keywords used for the search were: penicillin allergy; de-labelling; beta lactam; drug provocation test; challenge test; risk stratification. A total of 445 papers were identified. These were reviewed by two members of the GWG and after removal of abstracts and papers not directly relevant to the PICO questions a total of 35 papers remained. Each of these was graded by at least two members of the GWG, following the SIGN guidelines. </w:t>
      </w:r>
      <w:r w:rsidR="00905CBA">
        <w:rPr>
          <w:rFonts w:asciiTheme="minorHAnsi" w:hAnsiTheme="minorHAnsi"/>
        </w:rPr>
        <w:t xml:space="preserve">A further literature search was conducted by the BSACI Scientific Officer to cover the period between October 2020 and October 2021, during which time work on the guideline was </w:t>
      </w:r>
      <w:r w:rsidR="00C924B5">
        <w:rPr>
          <w:rFonts w:asciiTheme="minorHAnsi" w:hAnsiTheme="minorHAnsi"/>
        </w:rPr>
        <w:t xml:space="preserve">paused </w:t>
      </w:r>
      <w:r w:rsidR="00905CBA">
        <w:rPr>
          <w:rFonts w:asciiTheme="minorHAnsi" w:hAnsiTheme="minorHAnsi"/>
        </w:rPr>
        <w:t xml:space="preserve">due </w:t>
      </w:r>
      <w:r w:rsidR="00905CBA">
        <w:rPr>
          <w:rFonts w:asciiTheme="minorHAnsi" w:hAnsiTheme="minorHAnsi"/>
        </w:rPr>
        <w:lastRenderedPageBreak/>
        <w:t xml:space="preserve">to the COVID 19 pandemic. The same search </w:t>
      </w:r>
      <w:proofErr w:type="spellStart"/>
      <w:r w:rsidR="00905CBA">
        <w:rPr>
          <w:rFonts w:asciiTheme="minorHAnsi" w:hAnsiTheme="minorHAnsi"/>
        </w:rPr>
        <w:t>critieria</w:t>
      </w:r>
      <w:proofErr w:type="spellEnd"/>
      <w:r w:rsidR="00905CBA">
        <w:rPr>
          <w:rFonts w:asciiTheme="minorHAnsi" w:hAnsiTheme="minorHAnsi"/>
        </w:rPr>
        <w:t xml:space="preserve"> were employed, yielding 91 papers of which </w:t>
      </w:r>
      <w:r w:rsidR="003C4E0A">
        <w:rPr>
          <w:rFonts w:asciiTheme="minorHAnsi" w:hAnsiTheme="minorHAnsi"/>
        </w:rPr>
        <w:t>2</w:t>
      </w:r>
      <w:r w:rsidR="000D3547">
        <w:rPr>
          <w:rFonts w:asciiTheme="minorHAnsi" w:hAnsiTheme="minorHAnsi"/>
        </w:rPr>
        <w:t xml:space="preserve"> were subsequently graded and included into the evidence table.</w:t>
      </w:r>
      <w:r w:rsidR="00905CBA">
        <w:rPr>
          <w:rFonts w:asciiTheme="minorHAnsi" w:hAnsiTheme="minorHAnsi"/>
        </w:rPr>
        <w:t xml:space="preserve"> </w:t>
      </w:r>
    </w:p>
    <w:p w14:paraId="3F93118D" w14:textId="6C5F939F" w:rsidR="00170B1A" w:rsidRPr="00062636" w:rsidRDefault="00170B1A" w:rsidP="00170B1A">
      <w:pPr>
        <w:spacing w:line="480" w:lineRule="auto"/>
        <w:jc w:val="both"/>
        <w:rPr>
          <w:rFonts w:asciiTheme="minorHAnsi" w:hAnsiTheme="minorHAnsi"/>
        </w:rPr>
      </w:pPr>
      <w:r w:rsidRPr="0086714E">
        <w:rPr>
          <w:rFonts w:asciiTheme="minorHAnsi" w:hAnsiTheme="minorHAnsi"/>
        </w:rPr>
        <w:t xml:space="preserve">Where evidence was lacking, a </w:t>
      </w:r>
      <w:r w:rsidR="00CA0A55" w:rsidRPr="0086714E">
        <w:rPr>
          <w:rFonts w:asciiTheme="minorHAnsi" w:hAnsiTheme="minorHAnsi"/>
        </w:rPr>
        <w:t xml:space="preserve">consensus approach was taken </w:t>
      </w:r>
      <w:r w:rsidR="00E7639C">
        <w:rPr>
          <w:rFonts w:asciiTheme="minorHAnsi" w:hAnsiTheme="minorHAnsi"/>
        </w:rPr>
        <w:t>by</w:t>
      </w:r>
      <w:r w:rsidR="00CA0A55" w:rsidRPr="0086714E">
        <w:rPr>
          <w:rFonts w:asciiTheme="minorHAnsi" w:hAnsiTheme="minorHAnsi"/>
        </w:rPr>
        <w:t xml:space="preserve"> the GWG. The patient group </w:t>
      </w:r>
      <w:r w:rsidR="000D3547">
        <w:rPr>
          <w:rFonts w:asciiTheme="minorHAnsi" w:hAnsiTheme="minorHAnsi"/>
        </w:rPr>
        <w:t xml:space="preserve">considered </w:t>
      </w:r>
      <w:r w:rsidR="00CA0A55" w:rsidRPr="0086714E">
        <w:rPr>
          <w:rFonts w:asciiTheme="minorHAnsi" w:hAnsiTheme="minorHAnsi"/>
        </w:rPr>
        <w:t xml:space="preserve">suitable for direct DPT by a non-allergist was defined through a formal </w:t>
      </w:r>
      <w:r w:rsidRPr="0086714E">
        <w:rPr>
          <w:rFonts w:asciiTheme="minorHAnsi" w:hAnsiTheme="minorHAnsi"/>
        </w:rPr>
        <w:t xml:space="preserve">Delphi consensus process </w:t>
      </w:r>
      <w:r w:rsidR="00CA0A55" w:rsidRPr="0086714E">
        <w:rPr>
          <w:rFonts w:asciiTheme="minorHAnsi" w:hAnsiTheme="minorHAnsi"/>
        </w:rPr>
        <w:t>undertaken by c</w:t>
      </w:r>
      <w:r w:rsidRPr="0086714E">
        <w:rPr>
          <w:rFonts w:asciiTheme="minorHAnsi" w:hAnsiTheme="minorHAnsi"/>
        </w:rPr>
        <w:t>onsultant allergists and immunologists practising adult drug allergy in the UK</w:t>
      </w:r>
      <w:r w:rsidR="00CA0A55" w:rsidRPr="0086714E">
        <w:rPr>
          <w:rFonts w:asciiTheme="minorHAnsi" w:hAnsiTheme="minorHAnsi"/>
        </w:rPr>
        <w:t xml:space="preserve">. </w:t>
      </w:r>
      <w:r w:rsidRPr="0086714E">
        <w:rPr>
          <w:rFonts w:asciiTheme="minorHAnsi" w:hAnsiTheme="minorHAnsi"/>
        </w:rPr>
        <w:t xml:space="preserve"> </w:t>
      </w:r>
      <w:r w:rsidR="00E1639B">
        <w:rPr>
          <w:rFonts w:asciiTheme="minorHAnsi" w:hAnsiTheme="minorHAnsi"/>
        </w:rPr>
        <w:t xml:space="preserve">All such individuals were approached </w:t>
      </w:r>
      <w:r w:rsidR="000D3547">
        <w:rPr>
          <w:rFonts w:asciiTheme="minorHAnsi" w:hAnsiTheme="minorHAnsi"/>
        </w:rPr>
        <w:t>via BSACI, with</w:t>
      </w:r>
      <w:r w:rsidR="00E1639B">
        <w:rPr>
          <w:rFonts w:asciiTheme="minorHAnsi" w:hAnsiTheme="minorHAnsi"/>
        </w:rPr>
        <w:t xml:space="preserve"> 27 </w:t>
      </w:r>
      <w:r w:rsidR="000D3547">
        <w:rPr>
          <w:rFonts w:asciiTheme="minorHAnsi" w:hAnsiTheme="minorHAnsi"/>
        </w:rPr>
        <w:t xml:space="preserve">subsequently </w:t>
      </w:r>
      <w:r w:rsidR="00E1639B">
        <w:rPr>
          <w:rFonts w:asciiTheme="minorHAnsi" w:hAnsiTheme="minorHAnsi"/>
        </w:rPr>
        <w:t>partic</w:t>
      </w:r>
      <w:r w:rsidR="000D3547">
        <w:rPr>
          <w:rFonts w:asciiTheme="minorHAnsi" w:hAnsiTheme="minorHAnsi"/>
        </w:rPr>
        <w:t>ipating</w:t>
      </w:r>
      <w:r w:rsidR="00E1639B">
        <w:rPr>
          <w:rFonts w:asciiTheme="minorHAnsi" w:hAnsiTheme="minorHAnsi"/>
        </w:rPr>
        <w:t xml:space="preserve"> in the survey. </w:t>
      </w:r>
      <w:r w:rsidR="00CA0A55" w:rsidRPr="0086714E">
        <w:rPr>
          <w:rFonts w:asciiTheme="minorHAnsi" w:hAnsiTheme="minorHAnsi"/>
        </w:rPr>
        <w:t>The</w:t>
      </w:r>
      <w:r w:rsidR="000D3547">
        <w:rPr>
          <w:rFonts w:asciiTheme="minorHAnsi" w:hAnsiTheme="minorHAnsi"/>
        </w:rPr>
        <w:t>y were</w:t>
      </w:r>
      <w:r w:rsidR="00CA0A55" w:rsidRPr="0086714E">
        <w:rPr>
          <w:rFonts w:asciiTheme="minorHAnsi" w:hAnsiTheme="minorHAnsi"/>
        </w:rPr>
        <w:t xml:space="preserve"> </w:t>
      </w:r>
      <w:r w:rsidRPr="0086714E">
        <w:rPr>
          <w:rFonts w:asciiTheme="minorHAnsi" w:hAnsiTheme="minorHAnsi"/>
        </w:rPr>
        <w:t>asked to rate the appropriateness of several statements. A median score of 7-9 indicated that a statement was ‘appropriate’, whilst a score of 1-3 indicated ‘inappropriate’. Consensus was deemed to have been achieved if the disagreement index (DI) was &lt; 0.5</w:t>
      </w:r>
      <w:r w:rsidR="00CA0A55" w:rsidRPr="0086714E">
        <w:rPr>
          <w:rFonts w:asciiTheme="minorHAnsi" w:hAnsiTheme="minorHAnsi"/>
        </w:rPr>
        <w:t>.</w:t>
      </w:r>
      <w:r w:rsidRPr="0086714E">
        <w:rPr>
          <w:rFonts w:asciiTheme="minorHAnsi" w:hAnsiTheme="minorHAnsi"/>
        </w:rPr>
        <w:t xml:space="preserve">  Following the first round of the survey, statements for which consensus had not been achieved were removed or modified in light of feedback from partic</w:t>
      </w:r>
      <w:r w:rsidR="009B79EB" w:rsidRPr="0086714E">
        <w:rPr>
          <w:rFonts w:asciiTheme="minorHAnsi" w:hAnsiTheme="minorHAnsi"/>
        </w:rPr>
        <w:t>i</w:t>
      </w:r>
      <w:r w:rsidRPr="0086714E">
        <w:rPr>
          <w:rFonts w:asciiTheme="minorHAnsi" w:hAnsiTheme="minorHAnsi"/>
        </w:rPr>
        <w:t xml:space="preserve">pants. A further round was completed in which consensus was gained in all areas. See </w:t>
      </w:r>
      <w:r w:rsidR="00FE3760">
        <w:rPr>
          <w:rFonts w:asciiTheme="minorHAnsi" w:hAnsiTheme="minorHAnsi"/>
        </w:rPr>
        <w:t>Supplementary Material</w:t>
      </w:r>
      <w:r w:rsidRPr="0086714E">
        <w:rPr>
          <w:rFonts w:asciiTheme="minorHAnsi" w:hAnsiTheme="minorHAnsi"/>
        </w:rPr>
        <w:t xml:space="preserve"> for survey questions and scores</w:t>
      </w:r>
      <w:r w:rsidR="0007539F">
        <w:rPr>
          <w:rFonts w:asciiTheme="minorHAnsi" w:hAnsiTheme="minorHAnsi"/>
        </w:rPr>
        <w:t xml:space="preserve"> and for the CREDES checklist for reporting of a Delphi process.</w:t>
      </w:r>
    </w:p>
    <w:p w14:paraId="77F96E01" w14:textId="08152239" w:rsidR="006C1B96" w:rsidRPr="00062636" w:rsidRDefault="006C1B96" w:rsidP="00763ECA">
      <w:pPr>
        <w:spacing w:line="480" w:lineRule="auto"/>
        <w:rPr>
          <w:rFonts w:asciiTheme="minorHAnsi" w:hAnsiTheme="minorHAnsi"/>
        </w:rPr>
      </w:pPr>
    </w:p>
    <w:p w14:paraId="30863694" w14:textId="77777777" w:rsidR="00211216" w:rsidRDefault="00211216" w:rsidP="00E37F76">
      <w:pPr>
        <w:spacing w:line="480" w:lineRule="auto"/>
        <w:jc w:val="center"/>
        <w:rPr>
          <w:rFonts w:asciiTheme="minorHAnsi" w:hAnsiTheme="minorHAnsi"/>
          <w:b/>
        </w:rPr>
      </w:pPr>
    </w:p>
    <w:p w14:paraId="211AD485" w14:textId="77777777" w:rsidR="00211216" w:rsidRDefault="00211216" w:rsidP="00E37F76">
      <w:pPr>
        <w:spacing w:line="480" w:lineRule="auto"/>
        <w:jc w:val="center"/>
        <w:rPr>
          <w:rFonts w:asciiTheme="minorHAnsi" w:hAnsiTheme="minorHAnsi"/>
          <w:b/>
        </w:rPr>
      </w:pPr>
    </w:p>
    <w:p w14:paraId="49998AB9" w14:textId="77777777" w:rsidR="00211216" w:rsidRDefault="00211216" w:rsidP="00E37F76">
      <w:pPr>
        <w:spacing w:line="480" w:lineRule="auto"/>
        <w:jc w:val="center"/>
        <w:rPr>
          <w:rFonts w:asciiTheme="minorHAnsi" w:hAnsiTheme="minorHAnsi"/>
          <w:b/>
        </w:rPr>
      </w:pPr>
    </w:p>
    <w:p w14:paraId="1B018888" w14:textId="77777777" w:rsidR="00211216" w:rsidRDefault="00211216" w:rsidP="00E37F76">
      <w:pPr>
        <w:spacing w:line="480" w:lineRule="auto"/>
        <w:jc w:val="center"/>
        <w:rPr>
          <w:rFonts w:asciiTheme="minorHAnsi" w:hAnsiTheme="minorHAnsi"/>
          <w:b/>
        </w:rPr>
      </w:pPr>
    </w:p>
    <w:p w14:paraId="2E7BA81E" w14:textId="77777777" w:rsidR="00211216" w:rsidRDefault="00211216" w:rsidP="00E37F76">
      <w:pPr>
        <w:spacing w:line="480" w:lineRule="auto"/>
        <w:jc w:val="center"/>
        <w:rPr>
          <w:rFonts w:asciiTheme="minorHAnsi" w:hAnsiTheme="minorHAnsi"/>
          <w:b/>
        </w:rPr>
      </w:pPr>
    </w:p>
    <w:p w14:paraId="23B0DAD6" w14:textId="77777777" w:rsidR="00211216" w:rsidRDefault="00211216" w:rsidP="00E37F76">
      <w:pPr>
        <w:spacing w:line="480" w:lineRule="auto"/>
        <w:jc w:val="center"/>
        <w:rPr>
          <w:rFonts w:asciiTheme="minorHAnsi" w:hAnsiTheme="minorHAnsi"/>
          <w:b/>
        </w:rPr>
      </w:pPr>
    </w:p>
    <w:p w14:paraId="604C4402" w14:textId="77777777" w:rsidR="00211216" w:rsidRDefault="00211216" w:rsidP="00E37F76">
      <w:pPr>
        <w:spacing w:line="480" w:lineRule="auto"/>
        <w:jc w:val="center"/>
        <w:rPr>
          <w:rFonts w:asciiTheme="minorHAnsi" w:hAnsiTheme="minorHAnsi"/>
          <w:b/>
        </w:rPr>
      </w:pPr>
    </w:p>
    <w:p w14:paraId="3E5BC3CD" w14:textId="77777777" w:rsidR="009704AC" w:rsidRDefault="009704AC" w:rsidP="00FE3760">
      <w:pPr>
        <w:spacing w:line="480" w:lineRule="auto"/>
        <w:jc w:val="center"/>
        <w:rPr>
          <w:rFonts w:asciiTheme="minorHAnsi" w:hAnsiTheme="minorHAnsi"/>
          <w:b/>
        </w:rPr>
      </w:pPr>
    </w:p>
    <w:p w14:paraId="180A38CE" w14:textId="242E8D24" w:rsidR="00A0384D" w:rsidRDefault="00FE3760" w:rsidP="009704AC">
      <w:pPr>
        <w:spacing w:line="480" w:lineRule="auto"/>
        <w:rPr>
          <w:rFonts w:asciiTheme="minorHAnsi" w:hAnsiTheme="minorHAnsi"/>
          <w:b/>
        </w:rPr>
      </w:pPr>
      <w:r>
        <w:rPr>
          <w:rFonts w:asciiTheme="minorHAnsi" w:hAnsiTheme="minorHAnsi"/>
          <w:b/>
        </w:rPr>
        <w:lastRenderedPageBreak/>
        <w:t xml:space="preserve">Recommendations </w:t>
      </w:r>
    </w:p>
    <w:p w14:paraId="28E9651D" w14:textId="3FCD4780" w:rsidR="009704AC" w:rsidRPr="00062636" w:rsidRDefault="009704AC" w:rsidP="009704AC">
      <w:pPr>
        <w:spacing w:line="480" w:lineRule="auto"/>
        <w:rPr>
          <w:rFonts w:asciiTheme="minorHAnsi" w:hAnsiTheme="minorHAnsi"/>
          <w:b/>
        </w:rPr>
      </w:pPr>
      <w:r>
        <w:rPr>
          <w:rFonts w:asciiTheme="minorHAnsi" w:hAnsiTheme="minorHAnsi"/>
          <w:b/>
        </w:rPr>
        <w:t>Adults</w:t>
      </w:r>
    </w:p>
    <w:p w14:paraId="24C0DE67" w14:textId="3FA3075D" w:rsidR="00B5747F" w:rsidRPr="00C040FF" w:rsidRDefault="00D91ADE" w:rsidP="746A2C93">
      <w:pPr>
        <w:spacing w:line="480" w:lineRule="auto"/>
        <w:rPr>
          <w:rFonts w:asciiTheme="minorHAnsi" w:hAnsiTheme="minorHAnsi"/>
        </w:rPr>
      </w:pPr>
      <w:r>
        <w:rPr>
          <w:rFonts w:asciiTheme="minorHAnsi" w:hAnsiTheme="minorHAnsi"/>
        </w:rPr>
        <w:t>These r</w:t>
      </w:r>
      <w:r w:rsidR="009328B3" w:rsidRPr="00C040FF">
        <w:rPr>
          <w:rFonts w:asciiTheme="minorHAnsi" w:hAnsiTheme="minorHAnsi"/>
        </w:rPr>
        <w:t>ecommendations apply to patients in a hospital setting</w:t>
      </w:r>
      <w:r w:rsidR="00CD5313" w:rsidRPr="00C040FF">
        <w:rPr>
          <w:rFonts w:asciiTheme="minorHAnsi" w:hAnsiTheme="minorHAnsi"/>
        </w:rPr>
        <w:t xml:space="preserve">. </w:t>
      </w:r>
      <w:r>
        <w:rPr>
          <w:rFonts w:asciiTheme="minorHAnsi" w:hAnsiTheme="minorHAnsi"/>
        </w:rPr>
        <w:t>T</w:t>
      </w:r>
      <w:r w:rsidR="007E15F9">
        <w:rPr>
          <w:rFonts w:asciiTheme="minorHAnsi" w:hAnsiTheme="minorHAnsi"/>
        </w:rPr>
        <w:t xml:space="preserve">here is </w:t>
      </w:r>
      <w:r w:rsidR="00CD5313" w:rsidRPr="00C040FF">
        <w:rPr>
          <w:rFonts w:asciiTheme="minorHAnsi" w:hAnsiTheme="minorHAnsi"/>
        </w:rPr>
        <w:t xml:space="preserve">insufficient evidence to </w:t>
      </w:r>
      <w:r w:rsidR="00911689">
        <w:rPr>
          <w:rFonts w:asciiTheme="minorHAnsi" w:hAnsiTheme="minorHAnsi"/>
        </w:rPr>
        <w:t xml:space="preserve">make strong recommendations about the use of drug provocation testing in </w:t>
      </w:r>
      <w:r>
        <w:rPr>
          <w:rFonts w:asciiTheme="minorHAnsi" w:hAnsiTheme="minorHAnsi"/>
        </w:rPr>
        <w:t>primary care</w:t>
      </w:r>
      <w:r w:rsidR="00911689">
        <w:rPr>
          <w:rFonts w:asciiTheme="minorHAnsi" w:hAnsiTheme="minorHAnsi"/>
        </w:rPr>
        <w:t xml:space="preserve">. However, primary care physicians </w:t>
      </w:r>
      <w:r w:rsidR="007E15F9">
        <w:rPr>
          <w:rFonts w:asciiTheme="minorHAnsi" w:hAnsiTheme="minorHAnsi"/>
        </w:rPr>
        <w:t>can</w:t>
      </w:r>
      <w:r w:rsidR="00A22597">
        <w:rPr>
          <w:rFonts w:asciiTheme="minorHAnsi" w:hAnsiTheme="minorHAnsi"/>
        </w:rPr>
        <w:t xml:space="preserve"> </w:t>
      </w:r>
      <w:r w:rsidR="007E15F9">
        <w:rPr>
          <w:rFonts w:asciiTheme="minorHAnsi" w:hAnsiTheme="minorHAnsi"/>
        </w:rPr>
        <w:t>remove</w:t>
      </w:r>
      <w:r>
        <w:rPr>
          <w:rFonts w:asciiTheme="minorHAnsi" w:hAnsiTheme="minorHAnsi"/>
        </w:rPr>
        <w:t xml:space="preserve"> a</w:t>
      </w:r>
      <w:r w:rsidR="007E15F9">
        <w:rPr>
          <w:rFonts w:asciiTheme="minorHAnsi" w:hAnsiTheme="minorHAnsi"/>
        </w:rPr>
        <w:t xml:space="preserve"> </w:t>
      </w:r>
      <w:r w:rsidR="00911689">
        <w:rPr>
          <w:rFonts w:asciiTheme="minorHAnsi" w:hAnsiTheme="minorHAnsi"/>
        </w:rPr>
        <w:t xml:space="preserve">label of penicillin allergy where the history </w:t>
      </w:r>
      <w:r>
        <w:rPr>
          <w:rFonts w:asciiTheme="minorHAnsi" w:hAnsiTheme="minorHAnsi"/>
        </w:rPr>
        <w:t>suggests there is</w:t>
      </w:r>
      <w:r w:rsidR="007E15F9">
        <w:rPr>
          <w:rFonts w:asciiTheme="minorHAnsi" w:hAnsiTheme="minorHAnsi"/>
        </w:rPr>
        <w:t xml:space="preserve"> no risk of penicilli</w:t>
      </w:r>
      <w:r w:rsidR="00A22597">
        <w:rPr>
          <w:rFonts w:asciiTheme="minorHAnsi" w:hAnsiTheme="minorHAnsi"/>
        </w:rPr>
        <w:t>n</w:t>
      </w:r>
      <w:r w:rsidR="007E15F9">
        <w:rPr>
          <w:rFonts w:asciiTheme="minorHAnsi" w:hAnsiTheme="minorHAnsi"/>
        </w:rPr>
        <w:t xml:space="preserve"> allergy.  </w:t>
      </w:r>
    </w:p>
    <w:p w14:paraId="20225186" w14:textId="77777777" w:rsidR="00CD5313" w:rsidRPr="00062636" w:rsidRDefault="00CD5313" w:rsidP="00763ECA">
      <w:pPr>
        <w:spacing w:line="480" w:lineRule="auto"/>
        <w:rPr>
          <w:rFonts w:asciiTheme="minorHAnsi" w:hAnsiTheme="minorHAnsi"/>
          <w:b/>
          <w:i/>
        </w:rPr>
      </w:pPr>
    </w:p>
    <w:p w14:paraId="6511B088" w14:textId="72AE3489" w:rsidR="00CD5313" w:rsidRPr="00062636" w:rsidRDefault="003A1F73" w:rsidP="00763ECA">
      <w:pPr>
        <w:spacing w:line="480" w:lineRule="auto"/>
        <w:rPr>
          <w:rFonts w:asciiTheme="minorHAnsi" w:hAnsiTheme="minorHAnsi"/>
          <w:b/>
          <w:i/>
        </w:rPr>
      </w:pPr>
      <w:r w:rsidRPr="00062636">
        <w:rPr>
          <w:rFonts w:asciiTheme="minorHAnsi" w:hAnsiTheme="minorHAnsi"/>
          <w:b/>
          <w:i/>
        </w:rPr>
        <w:t>Risk stratification</w:t>
      </w:r>
    </w:p>
    <w:p w14:paraId="2C7DD68D" w14:textId="78D12CBF" w:rsidR="00834269" w:rsidRDefault="00834269" w:rsidP="746A2C93">
      <w:pPr>
        <w:spacing w:line="480" w:lineRule="auto"/>
        <w:rPr>
          <w:rFonts w:asciiTheme="minorHAnsi" w:hAnsiTheme="minorHAnsi"/>
        </w:rPr>
      </w:pPr>
      <w:r>
        <w:rPr>
          <w:rFonts w:asciiTheme="minorHAnsi" w:hAnsiTheme="minorHAnsi"/>
        </w:rPr>
        <w:t xml:space="preserve">A </w:t>
      </w:r>
      <w:r w:rsidR="003A1F73" w:rsidRPr="00062636">
        <w:rPr>
          <w:rFonts w:asciiTheme="minorHAnsi" w:hAnsiTheme="minorHAnsi"/>
        </w:rPr>
        <w:t xml:space="preserve">detailed </w:t>
      </w:r>
      <w:r>
        <w:rPr>
          <w:rFonts w:asciiTheme="minorHAnsi" w:hAnsiTheme="minorHAnsi"/>
        </w:rPr>
        <w:t>drug</w:t>
      </w:r>
      <w:r w:rsidR="003A1F73" w:rsidRPr="00062636">
        <w:rPr>
          <w:rFonts w:asciiTheme="minorHAnsi" w:hAnsiTheme="minorHAnsi"/>
        </w:rPr>
        <w:t xml:space="preserve"> allerg</w:t>
      </w:r>
      <w:r>
        <w:rPr>
          <w:rFonts w:asciiTheme="minorHAnsi" w:hAnsiTheme="minorHAnsi"/>
        </w:rPr>
        <w:t>y</w:t>
      </w:r>
      <w:r w:rsidR="003A1F73" w:rsidRPr="00062636">
        <w:rPr>
          <w:rFonts w:asciiTheme="minorHAnsi" w:hAnsiTheme="minorHAnsi"/>
        </w:rPr>
        <w:t xml:space="preserve"> history</w:t>
      </w:r>
      <w:r>
        <w:rPr>
          <w:rFonts w:asciiTheme="minorHAnsi" w:hAnsiTheme="minorHAnsi"/>
        </w:rPr>
        <w:t>,</w:t>
      </w:r>
      <w:r w:rsidR="00B471EB">
        <w:rPr>
          <w:rFonts w:asciiTheme="minorHAnsi" w:hAnsiTheme="minorHAnsi"/>
        </w:rPr>
        <w:t xml:space="preserve"> including review of prescription records where possible</w:t>
      </w:r>
      <w:r>
        <w:rPr>
          <w:rFonts w:asciiTheme="minorHAnsi" w:hAnsiTheme="minorHAnsi"/>
        </w:rPr>
        <w:t>, will allow the clinician to stratify the risk of allergy</w:t>
      </w:r>
      <w:r w:rsidR="003A1F73" w:rsidRPr="00062636">
        <w:rPr>
          <w:rFonts w:asciiTheme="minorHAnsi" w:hAnsiTheme="minorHAnsi"/>
        </w:rPr>
        <w:t xml:space="preserve">. </w:t>
      </w:r>
      <w:r>
        <w:rPr>
          <w:rFonts w:asciiTheme="minorHAnsi" w:hAnsiTheme="minorHAnsi"/>
        </w:rPr>
        <w:t xml:space="preserve">  Patients may report symptoms and/or signs:</w:t>
      </w:r>
    </w:p>
    <w:p w14:paraId="23C99C2C" w14:textId="3F11CE89" w:rsidR="00834269" w:rsidRPr="006E4DD6" w:rsidRDefault="00D91ADE" w:rsidP="00A22597">
      <w:pPr>
        <w:pStyle w:val="ListParagraph"/>
        <w:numPr>
          <w:ilvl w:val="0"/>
          <w:numId w:val="15"/>
        </w:numPr>
        <w:spacing w:line="480" w:lineRule="auto"/>
        <w:rPr>
          <w:rFonts w:cstheme="minorHAnsi"/>
          <w:sz w:val="22"/>
          <w:szCs w:val="22"/>
        </w:rPr>
      </w:pPr>
      <w:r w:rsidRPr="006E4DD6">
        <w:rPr>
          <w:rFonts w:cstheme="minorHAnsi"/>
          <w:sz w:val="22"/>
          <w:szCs w:val="22"/>
        </w:rPr>
        <w:t>I</w:t>
      </w:r>
      <w:r w:rsidR="00834269" w:rsidRPr="006E4DD6">
        <w:rPr>
          <w:rFonts w:cstheme="minorHAnsi"/>
          <w:sz w:val="22"/>
          <w:szCs w:val="22"/>
        </w:rPr>
        <w:t>n keeping with non-immunological side effects from penicillin antibiotics and probable non-allergic phenomena (</w:t>
      </w:r>
      <w:r w:rsidR="00FE3760">
        <w:rPr>
          <w:rFonts w:cstheme="minorHAnsi"/>
          <w:sz w:val="22"/>
          <w:szCs w:val="22"/>
        </w:rPr>
        <w:t xml:space="preserve">Table </w:t>
      </w:r>
      <w:r w:rsidR="00211216">
        <w:rPr>
          <w:rFonts w:cstheme="minorHAnsi"/>
          <w:sz w:val="22"/>
          <w:szCs w:val="22"/>
        </w:rPr>
        <w:t>1</w:t>
      </w:r>
      <w:r w:rsidR="00834269" w:rsidRPr="006E4DD6">
        <w:rPr>
          <w:rFonts w:cstheme="minorHAnsi"/>
          <w:sz w:val="22"/>
          <w:szCs w:val="22"/>
        </w:rPr>
        <w:t>). This group is often referred to as ‘low risk’, however, there is wide variation within this definition and the GWG preferred to consider patients as either ‘suitable’ or ‘not suitable’ for direct DPT.</w:t>
      </w:r>
    </w:p>
    <w:p w14:paraId="6DE3DB28" w14:textId="292D28B3" w:rsidR="00211216" w:rsidRPr="006E4DD6" w:rsidRDefault="00834269" w:rsidP="00211216">
      <w:pPr>
        <w:pStyle w:val="ListParagraph"/>
        <w:numPr>
          <w:ilvl w:val="0"/>
          <w:numId w:val="15"/>
        </w:numPr>
        <w:spacing w:line="480" w:lineRule="auto"/>
        <w:rPr>
          <w:rFonts w:cstheme="minorHAnsi"/>
          <w:sz w:val="22"/>
          <w:szCs w:val="22"/>
        </w:rPr>
      </w:pPr>
      <w:r w:rsidRPr="006E4DD6">
        <w:rPr>
          <w:rFonts w:cstheme="minorHAnsi"/>
          <w:sz w:val="22"/>
          <w:szCs w:val="22"/>
        </w:rPr>
        <w:t xml:space="preserve"> </w:t>
      </w:r>
      <w:r w:rsidR="00211216" w:rsidRPr="006E4DD6">
        <w:rPr>
          <w:rFonts w:cstheme="minorHAnsi"/>
          <w:sz w:val="22"/>
          <w:szCs w:val="22"/>
        </w:rPr>
        <w:t>Consistent with either type 1, (IgE-mediated) immediate hypersensitivity reactions, or, type 4 (typically T cell mediated) delayed reactions (</w:t>
      </w:r>
      <w:r w:rsidR="00FE3760">
        <w:rPr>
          <w:rFonts w:cstheme="minorHAnsi"/>
          <w:sz w:val="22"/>
          <w:szCs w:val="22"/>
        </w:rPr>
        <w:t xml:space="preserve">Table </w:t>
      </w:r>
      <w:r w:rsidR="00211216">
        <w:rPr>
          <w:rFonts w:cstheme="minorHAnsi"/>
          <w:sz w:val="22"/>
          <w:szCs w:val="22"/>
        </w:rPr>
        <w:t>2</w:t>
      </w:r>
      <w:r w:rsidR="00211216" w:rsidRPr="006E4DD6">
        <w:rPr>
          <w:rFonts w:cstheme="minorHAnsi"/>
          <w:sz w:val="22"/>
          <w:szCs w:val="22"/>
        </w:rPr>
        <w:t>). These patients are considered</w:t>
      </w:r>
      <w:r w:rsidR="009E4821">
        <w:rPr>
          <w:rFonts w:cstheme="minorHAnsi"/>
          <w:sz w:val="22"/>
          <w:szCs w:val="22"/>
        </w:rPr>
        <w:t xml:space="preserve"> not </w:t>
      </w:r>
      <w:r w:rsidR="00211216" w:rsidRPr="006E4DD6">
        <w:rPr>
          <w:rFonts w:cstheme="minorHAnsi"/>
          <w:sz w:val="22"/>
          <w:szCs w:val="22"/>
        </w:rPr>
        <w:t>suitable for direct DPT by non-allergists and require evaluation by an allergy specialist.</w:t>
      </w:r>
    </w:p>
    <w:p w14:paraId="33DA754A" w14:textId="447F2714" w:rsidR="00E1639B" w:rsidRPr="006E4DD6" w:rsidRDefault="00D91ADE" w:rsidP="00A22597">
      <w:pPr>
        <w:pStyle w:val="ListParagraph"/>
        <w:numPr>
          <w:ilvl w:val="0"/>
          <w:numId w:val="15"/>
        </w:numPr>
        <w:spacing w:line="480" w:lineRule="auto"/>
        <w:rPr>
          <w:rFonts w:cstheme="minorHAnsi"/>
          <w:sz w:val="22"/>
          <w:szCs w:val="22"/>
        </w:rPr>
      </w:pPr>
      <w:r w:rsidRPr="006E4DD6">
        <w:rPr>
          <w:rFonts w:cstheme="minorHAnsi"/>
          <w:sz w:val="22"/>
          <w:szCs w:val="22"/>
        </w:rPr>
        <w:t>E</w:t>
      </w:r>
      <w:r w:rsidR="00491924" w:rsidRPr="006E4DD6">
        <w:rPr>
          <w:rFonts w:cstheme="minorHAnsi"/>
          <w:sz w:val="22"/>
          <w:szCs w:val="22"/>
        </w:rPr>
        <w:t>ntirely in keeping with side effects</w:t>
      </w:r>
      <w:r w:rsidR="00E7639C" w:rsidRPr="006E4DD6">
        <w:rPr>
          <w:rFonts w:cstheme="minorHAnsi"/>
          <w:sz w:val="22"/>
          <w:szCs w:val="22"/>
        </w:rPr>
        <w:t xml:space="preserve"> and other non-allergic phenomena</w:t>
      </w:r>
      <w:r w:rsidR="00491924" w:rsidRPr="006E4DD6">
        <w:rPr>
          <w:rFonts w:cstheme="minorHAnsi"/>
          <w:sz w:val="22"/>
          <w:szCs w:val="22"/>
        </w:rPr>
        <w:t>, in whom no allergy testing in indicated</w:t>
      </w:r>
      <w:r w:rsidR="00211216">
        <w:rPr>
          <w:rFonts w:cstheme="minorHAnsi"/>
          <w:sz w:val="22"/>
          <w:szCs w:val="22"/>
        </w:rPr>
        <w:t xml:space="preserve"> (</w:t>
      </w:r>
      <w:r w:rsidR="00FE3760">
        <w:rPr>
          <w:rFonts w:cstheme="minorHAnsi"/>
          <w:sz w:val="22"/>
          <w:szCs w:val="22"/>
        </w:rPr>
        <w:t>Table</w:t>
      </w:r>
      <w:r w:rsidR="00211216">
        <w:rPr>
          <w:rFonts w:cstheme="minorHAnsi"/>
          <w:sz w:val="22"/>
          <w:szCs w:val="22"/>
        </w:rPr>
        <w:t xml:space="preserve"> 1)</w:t>
      </w:r>
      <w:r w:rsidR="00491924" w:rsidRPr="006E4DD6">
        <w:rPr>
          <w:rFonts w:cstheme="minorHAnsi"/>
          <w:sz w:val="22"/>
          <w:szCs w:val="22"/>
        </w:rPr>
        <w:t xml:space="preserve">. However, such patients may </w:t>
      </w:r>
      <w:r w:rsidR="00E7639C" w:rsidRPr="006E4DD6">
        <w:rPr>
          <w:rFonts w:cstheme="minorHAnsi"/>
          <w:sz w:val="22"/>
          <w:szCs w:val="22"/>
        </w:rPr>
        <w:t>require</w:t>
      </w:r>
      <w:r w:rsidR="00491924" w:rsidRPr="006E4DD6">
        <w:rPr>
          <w:rFonts w:cstheme="minorHAnsi"/>
          <w:sz w:val="22"/>
          <w:szCs w:val="22"/>
        </w:rPr>
        <w:t xml:space="preserve"> reassurance </w:t>
      </w:r>
      <w:r w:rsidR="00E7639C" w:rsidRPr="006E4DD6">
        <w:rPr>
          <w:rFonts w:cstheme="minorHAnsi"/>
          <w:sz w:val="22"/>
          <w:szCs w:val="22"/>
        </w:rPr>
        <w:t>from</w:t>
      </w:r>
      <w:r w:rsidR="00491924" w:rsidRPr="006E4DD6">
        <w:rPr>
          <w:rFonts w:cstheme="minorHAnsi"/>
          <w:sz w:val="22"/>
          <w:szCs w:val="22"/>
        </w:rPr>
        <w:t xml:space="preserve"> a test as proof of tolerance and in this situation, a DPT </w:t>
      </w:r>
      <w:r w:rsidR="00E1639B" w:rsidRPr="006E4DD6">
        <w:rPr>
          <w:rFonts w:cstheme="minorHAnsi"/>
          <w:sz w:val="22"/>
          <w:szCs w:val="22"/>
        </w:rPr>
        <w:t xml:space="preserve">could </w:t>
      </w:r>
      <w:r w:rsidR="00E7639C" w:rsidRPr="006E4DD6">
        <w:rPr>
          <w:rFonts w:cstheme="minorHAnsi"/>
          <w:sz w:val="22"/>
          <w:szCs w:val="22"/>
        </w:rPr>
        <w:t>be considered</w:t>
      </w:r>
      <w:r w:rsidR="00491924" w:rsidRPr="006E4DD6">
        <w:rPr>
          <w:rFonts w:cstheme="minorHAnsi"/>
          <w:sz w:val="22"/>
          <w:szCs w:val="22"/>
        </w:rPr>
        <w:t xml:space="preserve">.  </w:t>
      </w:r>
    </w:p>
    <w:p w14:paraId="61536A84" w14:textId="77777777" w:rsidR="00E1639B" w:rsidRPr="006E4DD6" w:rsidRDefault="00E1639B" w:rsidP="00E1639B">
      <w:pPr>
        <w:spacing w:line="480" w:lineRule="auto"/>
        <w:rPr>
          <w:rFonts w:asciiTheme="minorHAnsi" w:hAnsiTheme="minorHAnsi" w:cstheme="minorHAnsi"/>
        </w:rPr>
      </w:pPr>
    </w:p>
    <w:p w14:paraId="69BEDA3C" w14:textId="77777777" w:rsidR="00B76E5E" w:rsidRPr="006E4DD6" w:rsidRDefault="00B76E5E" w:rsidP="00B76E5E">
      <w:pPr>
        <w:spacing w:line="480" w:lineRule="auto"/>
        <w:rPr>
          <w:rFonts w:asciiTheme="minorHAnsi" w:hAnsiTheme="minorHAnsi" w:cstheme="minorHAnsi"/>
        </w:rPr>
      </w:pPr>
      <w:r>
        <w:rPr>
          <w:rFonts w:asciiTheme="minorHAnsi" w:hAnsiTheme="minorHAnsi" w:cstheme="minorHAnsi"/>
        </w:rPr>
        <w:t xml:space="preserve">There </w:t>
      </w:r>
      <w:r w:rsidRPr="006E4DD6">
        <w:rPr>
          <w:rFonts w:asciiTheme="minorHAnsi" w:hAnsiTheme="minorHAnsi" w:cstheme="minorHAnsi"/>
        </w:rPr>
        <w:t>are patients in group</w:t>
      </w:r>
      <w:r>
        <w:rPr>
          <w:rFonts w:asciiTheme="minorHAnsi" w:hAnsiTheme="minorHAnsi" w:cstheme="minorHAnsi"/>
        </w:rPr>
        <w:t>s 1 and</w:t>
      </w:r>
      <w:r w:rsidRPr="006E4DD6">
        <w:rPr>
          <w:rFonts w:asciiTheme="minorHAnsi" w:hAnsiTheme="minorHAnsi" w:cstheme="minorHAnsi"/>
        </w:rPr>
        <w:t xml:space="preserve"> 2 in whom there is a clinical imperative for treatment with penicillin </w:t>
      </w:r>
      <w:r>
        <w:rPr>
          <w:rFonts w:asciiTheme="minorHAnsi" w:hAnsiTheme="minorHAnsi" w:cstheme="minorHAnsi"/>
        </w:rPr>
        <w:t xml:space="preserve">but a DPT is not appropriate - </w:t>
      </w:r>
      <w:r w:rsidRPr="006E4DD6">
        <w:rPr>
          <w:rFonts w:asciiTheme="minorHAnsi" w:hAnsiTheme="minorHAnsi" w:cstheme="minorHAnsi"/>
        </w:rPr>
        <w:t xml:space="preserve">for example, treatment of syphilis in pregnancy. These </w:t>
      </w:r>
      <w:r w:rsidRPr="006E4DD6">
        <w:rPr>
          <w:rFonts w:asciiTheme="minorHAnsi" w:hAnsiTheme="minorHAnsi" w:cstheme="minorHAnsi"/>
        </w:rPr>
        <w:lastRenderedPageBreak/>
        <w:t xml:space="preserve">patients must be evaluated and treated by an allergy specialist </w:t>
      </w:r>
      <w:r>
        <w:rPr>
          <w:rFonts w:asciiTheme="minorHAnsi" w:hAnsiTheme="minorHAnsi" w:cstheme="minorHAnsi"/>
        </w:rPr>
        <w:t xml:space="preserve">who may perform desensitisation. This is a highly specialised procedure in which temporary tolerance of </w:t>
      </w:r>
      <w:proofErr w:type="spellStart"/>
      <w:r>
        <w:rPr>
          <w:rFonts w:asciiTheme="minorHAnsi" w:hAnsiTheme="minorHAnsi" w:cstheme="minorHAnsi"/>
        </w:rPr>
        <w:t>pencillin</w:t>
      </w:r>
      <w:proofErr w:type="spellEnd"/>
      <w:r>
        <w:rPr>
          <w:rFonts w:asciiTheme="minorHAnsi" w:hAnsiTheme="minorHAnsi" w:cstheme="minorHAnsi"/>
        </w:rPr>
        <w:t xml:space="preserve"> is induced in the patient, but this topic</w:t>
      </w:r>
      <w:r w:rsidRPr="006E4DD6">
        <w:rPr>
          <w:rFonts w:asciiTheme="minorHAnsi" w:hAnsiTheme="minorHAnsi" w:cstheme="minorHAnsi"/>
        </w:rPr>
        <w:t xml:space="preserve"> falls outside the scope of the guideline.  </w:t>
      </w:r>
    </w:p>
    <w:p w14:paraId="22CCE632" w14:textId="5410B8BF" w:rsidR="002427B2" w:rsidRDefault="002427B2">
      <w:pPr>
        <w:spacing w:after="160" w:line="259" w:lineRule="auto"/>
        <w:rPr>
          <w:rFonts w:asciiTheme="minorHAnsi" w:hAnsiTheme="minorHAnsi" w:cstheme="minorHAnsi"/>
        </w:rPr>
      </w:pPr>
    </w:p>
    <w:p w14:paraId="2106E5B5" w14:textId="4E092D47" w:rsidR="00010B7B" w:rsidRPr="00062636" w:rsidRDefault="00010B7B" w:rsidP="00763ECA">
      <w:pPr>
        <w:spacing w:line="480" w:lineRule="auto"/>
        <w:rPr>
          <w:rFonts w:asciiTheme="minorHAnsi" w:hAnsiTheme="minorHAnsi"/>
          <w:b/>
          <w:i/>
        </w:rPr>
      </w:pPr>
      <w:r w:rsidRPr="00062636">
        <w:rPr>
          <w:rFonts w:asciiTheme="minorHAnsi" w:hAnsiTheme="minorHAnsi"/>
          <w:b/>
          <w:i/>
        </w:rPr>
        <w:t>Conduct of DPT</w:t>
      </w:r>
    </w:p>
    <w:p w14:paraId="026F72AA" w14:textId="23CBE51C" w:rsidR="00FE3760" w:rsidRDefault="00010B7B" w:rsidP="467E3DB4">
      <w:pPr>
        <w:spacing w:line="480" w:lineRule="auto"/>
        <w:rPr>
          <w:rFonts w:asciiTheme="minorHAnsi" w:hAnsiTheme="minorHAnsi"/>
        </w:rPr>
      </w:pPr>
      <w:r w:rsidRPr="00062636">
        <w:rPr>
          <w:rFonts w:asciiTheme="minorHAnsi" w:hAnsiTheme="minorHAnsi"/>
        </w:rPr>
        <w:t>Where a patient reports a</w:t>
      </w:r>
      <w:r w:rsidR="00170B1A" w:rsidRPr="00062636">
        <w:rPr>
          <w:rFonts w:asciiTheme="minorHAnsi" w:hAnsiTheme="minorHAnsi"/>
        </w:rPr>
        <w:t xml:space="preserve"> </w:t>
      </w:r>
      <w:r w:rsidRPr="00062636">
        <w:rPr>
          <w:rFonts w:asciiTheme="minorHAnsi" w:hAnsiTheme="minorHAnsi"/>
        </w:rPr>
        <w:t xml:space="preserve">reaction to penicillin in which only symptoms from </w:t>
      </w:r>
      <w:r w:rsidR="00211216">
        <w:rPr>
          <w:rFonts w:asciiTheme="minorHAnsi" w:hAnsiTheme="minorHAnsi"/>
        </w:rPr>
        <w:t>Box</w:t>
      </w:r>
      <w:r w:rsidR="00211216" w:rsidRPr="00062636">
        <w:rPr>
          <w:rFonts w:asciiTheme="minorHAnsi" w:hAnsiTheme="minorHAnsi"/>
        </w:rPr>
        <w:t xml:space="preserve"> </w:t>
      </w:r>
      <w:r w:rsidRPr="00062636">
        <w:rPr>
          <w:rFonts w:asciiTheme="minorHAnsi" w:hAnsiTheme="minorHAnsi"/>
        </w:rPr>
        <w:t xml:space="preserve">1 occurred, and none of the </w:t>
      </w:r>
      <w:r w:rsidR="007661AA">
        <w:rPr>
          <w:rFonts w:asciiTheme="minorHAnsi" w:hAnsiTheme="minorHAnsi"/>
        </w:rPr>
        <w:t>exclusion criteria from</w:t>
      </w:r>
      <w:r w:rsidR="00353EA9">
        <w:rPr>
          <w:rFonts w:asciiTheme="minorHAnsi" w:hAnsiTheme="minorHAnsi"/>
        </w:rPr>
        <w:t xml:space="preserve"> </w:t>
      </w:r>
      <w:r w:rsidR="00FE3760">
        <w:rPr>
          <w:rFonts w:asciiTheme="minorHAnsi" w:hAnsiTheme="minorHAnsi"/>
        </w:rPr>
        <w:t xml:space="preserve">Table </w:t>
      </w:r>
      <w:r w:rsidR="007661AA">
        <w:rPr>
          <w:rFonts w:asciiTheme="minorHAnsi" w:hAnsiTheme="minorHAnsi"/>
        </w:rPr>
        <w:t>2</w:t>
      </w:r>
      <w:r w:rsidRPr="00062636">
        <w:rPr>
          <w:rFonts w:asciiTheme="minorHAnsi" w:hAnsiTheme="minorHAnsi"/>
        </w:rPr>
        <w:t xml:space="preserve">, a direct DPT can be performed. </w:t>
      </w:r>
      <w:r w:rsidR="00493ECA" w:rsidRPr="00062636">
        <w:rPr>
          <w:rFonts w:asciiTheme="minorHAnsi" w:hAnsiTheme="minorHAnsi"/>
        </w:rPr>
        <w:t xml:space="preserve">See </w:t>
      </w:r>
      <w:r w:rsidR="00FE3760">
        <w:rPr>
          <w:rFonts w:asciiTheme="minorHAnsi" w:hAnsiTheme="minorHAnsi"/>
        </w:rPr>
        <w:t>Table</w:t>
      </w:r>
      <w:r w:rsidR="00FE3760" w:rsidRPr="00062636">
        <w:rPr>
          <w:rFonts w:asciiTheme="minorHAnsi" w:hAnsiTheme="minorHAnsi"/>
        </w:rPr>
        <w:t xml:space="preserve"> </w:t>
      </w:r>
      <w:r w:rsidR="00211216">
        <w:rPr>
          <w:rFonts w:asciiTheme="minorHAnsi" w:hAnsiTheme="minorHAnsi"/>
        </w:rPr>
        <w:t>3</w:t>
      </w:r>
      <w:r w:rsidR="00211216" w:rsidRPr="00062636">
        <w:rPr>
          <w:rFonts w:asciiTheme="minorHAnsi" w:hAnsiTheme="minorHAnsi"/>
        </w:rPr>
        <w:t xml:space="preserve"> </w:t>
      </w:r>
      <w:r w:rsidR="00493ECA" w:rsidRPr="00062636">
        <w:rPr>
          <w:rFonts w:asciiTheme="minorHAnsi" w:hAnsiTheme="minorHAnsi"/>
        </w:rPr>
        <w:t xml:space="preserve">for the safe conduct of </w:t>
      </w:r>
      <w:r w:rsidR="009B79EB" w:rsidRPr="00062636">
        <w:rPr>
          <w:rFonts w:asciiTheme="minorHAnsi" w:hAnsiTheme="minorHAnsi"/>
        </w:rPr>
        <w:t>DPT</w:t>
      </w:r>
      <w:r w:rsidR="00493ECA" w:rsidRPr="00062636">
        <w:rPr>
          <w:rFonts w:asciiTheme="minorHAnsi" w:hAnsiTheme="minorHAnsi"/>
        </w:rPr>
        <w:t xml:space="preserve">. </w:t>
      </w:r>
      <w:r w:rsidR="00A36A04">
        <w:rPr>
          <w:rFonts w:asciiTheme="minorHAnsi" w:hAnsiTheme="minorHAnsi"/>
        </w:rPr>
        <w:t xml:space="preserve">A single or graded DPT may be used, depending on local preference of the allergy team supporting the set-up of the de-labelling service. </w:t>
      </w:r>
      <w:r w:rsidR="000A5A92">
        <w:rPr>
          <w:rFonts w:asciiTheme="minorHAnsi" w:hAnsiTheme="minorHAnsi"/>
        </w:rPr>
        <w:t>Amoxicillin is the drug of choice unless the index penicillin is known to be different, in which the index penicillin should be used. Amoxic</w:t>
      </w:r>
      <w:r w:rsidR="00D20FCF">
        <w:rPr>
          <w:rFonts w:asciiTheme="minorHAnsi" w:hAnsiTheme="minorHAnsi"/>
        </w:rPr>
        <w:t>i</w:t>
      </w:r>
      <w:r w:rsidR="000A5A92">
        <w:rPr>
          <w:rFonts w:asciiTheme="minorHAnsi" w:hAnsiTheme="minorHAnsi"/>
        </w:rPr>
        <w:t xml:space="preserve">llin is widely used in routine NHS practice for DPC and has a more favourable side effect profile compared to other </w:t>
      </w:r>
      <w:proofErr w:type="spellStart"/>
      <w:r w:rsidR="000A5A92">
        <w:rPr>
          <w:rFonts w:asciiTheme="minorHAnsi" w:hAnsiTheme="minorHAnsi"/>
        </w:rPr>
        <w:t>penicillins</w:t>
      </w:r>
      <w:proofErr w:type="spellEnd"/>
      <w:r w:rsidR="000A5A92">
        <w:rPr>
          <w:rFonts w:asciiTheme="minorHAnsi" w:hAnsiTheme="minorHAnsi"/>
        </w:rPr>
        <w:t xml:space="preserve"> such as co-amoxiclav.  </w:t>
      </w:r>
      <w:r w:rsidR="009347F5">
        <w:rPr>
          <w:rFonts w:asciiTheme="minorHAnsi" w:hAnsiTheme="minorHAnsi"/>
        </w:rPr>
        <w:t>All</w:t>
      </w:r>
      <w:r w:rsidR="00493ECA" w:rsidRPr="00062636">
        <w:rPr>
          <w:rFonts w:asciiTheme="minorHAnsi" w:hAnsiTheme="minorHAnsi"/>
        </w:rPr>
        <w:t xml:space="preserve"> personnel administering a DPT should have up to date training in </w:t>
      </w:r>
      <w:r w:rsidR="00E676D0">
        <w:rPr>
          <w:rFonts w:asciiTheme="minorHAnsi" w:hAnsiTheme="minorHAnsi"/>
        </w:rPr>
        <w:t>advanced life support</w:t>
      </w:r>
      <w:r w:rsidR="00493ECA" w:rsidRPr="00062636">
        <w:rPr>
          <w:rFonts w:asciiTheme="minorHAnsi" w:hAnsiTheme="minorHAnsi"/>
        </w:rPr>
        <w:t xml:space="preserve"> and </w:t>
      </w:r>
      <w:r w:rsidR="00E7639C">
        <w:rPr>
          <w:rFonts w:asciiTheme="minorHAnsi" w:hAnsiTheme="minorHAnsi"/>
        </w:rPr>
        <w:t xml:space="preserve">management of anaphylaxis, and </w:t>
      </w:r>
      <w:r w:rsidR="00B471EB">
        <w:rPr>
          <w:rFonts w:asciiTheme="minorHAnsi" w:hAnsiTheme="minorHAnsi"/>
        </w:rPr>
        <w:t xml:space="preserve">immediate </w:t>
      </w:r>
      <w:r w:rsidR="00493ECA" w:rsidRPr="00062636">
        <w:rPr>
          <w:rFonts w:asciiTheme="minorHAnsi" w:hAnsiTheme="minorHAnsi"/>
        </w:rPr>
        <w:t xml:space="preserve">access to on-site resuscitation facilities including provision of critical care. </w:t>
      </w:r>
      <w:r w:rsidR="00A36A04">
        <w:rPr>
          <w:rFonts w:asciiTheme="minorHAnsi" w:hAnsiTheme="minorHAnsi"/>
        </w:rPr>
        <w:t xml:space="preserve"> </w:t>
      </w:r>
    </w:p>
    <w:p w14:paraId="0B4BF001" w14:textId="77777777" w:rsidR="00B76E5E" w:rsidRDefault="00B76E5E" w:rsidP="00763ECA">
      <w:pPr>
        <w:spacing w:line="480" w:lineRule="auto"/>
        <w:rPr>
          <w:rFonts w:asciiTheme="minorHAnsi" w:hAnsiTheme="minorHAnsi"/>
          <w:bCs/>
          <w:iCs/>
        </w:rPr>
      </w:pPr>
    </w:p>
    <w:p w14:paraId="10372F97" w14:textId="6C3C3845" w:rsidR="00493ECA" w:rsidRPr="00062636" w:rsidRDefault="00493ECA" w:rsidP="00763ECA">
      <w:pPr>
        <w:spacing w:line="480" w:lineRule="auto"/>
        <w:rPr>
          <w:rFonts w:asciiTheme="minorHAnsi" w:hAnsiTheme="minorHAnsi"/>
          <w:b/>
          <w:i/>
        </w:rPr>
      </w:pPr>
      <w:r w:rsidRPr="00062636">
        <w:rPr>
          <w:rFonts w:asciiTheme="minorHAnsi" w:hAnsiTheme="minorHAnsi"/>
          <w:b/>
          <w:i/>
        </w:rPr>
        <w:t>Use of prolonged DPT</w:t>
      </w:r>
    </w:p>
    <w:p w14:paraId="5B8424FA" w14:textId="77777777" w:rsidR="00CC0F78" w:rsidRDefault="00835D1A" w:rsidP="009704AC">
      <w:pPr>
        <w:spacing w:line="480" w:lineRule="auto"/>
        <w:rPr>
          <w:rFonts w:asciiTheme="minorHAnsi" w:hAnsiTheme="minorHAnsi"/>
        </w:rPr>
      </w:pPr>
      <w:r w:rsidRPr="00062636">
        <w:rPr>
          <w:rFonts w:asciiTheme="minorHAnsi" w:hAnsiTheme="minorHAnsi"/>
        </w:rPr>
        <w:t>The</w:t>
      </w:r>
      <w:r w:rsidR="00493ECA" w:rsidRPr="00062636">
        <w:rPr>
          <w:rFonts w:asciiTheme="minorHAnsi" w:hAnsiTheme="minorHAnsi"/>
        </w:rPr>
        <w:t xml:space="preserve"> evidence supporting the use of prolonged DPT is too weak to mandate this practice in all patients. </w:t>
      </w:r>
      <w:r w:rsidRPr="00062636">
        <w:rPr>
          <w:rFonts w:asciiTheme="minorHAnsi" w:hAnsiTheme="minorHAnsi"/>
        </w:rPr>
        <w:t xml:space="preserve">There are important considerations around the unintended </w:t>
      </w:r>
      <w:r w:rsidR="00B471EB">
        <w:rPr>
          <w:rFonts w:asciiTheme="minorHAnsi" w:hAnsiTheme="minorHAnsi"/>
        </w:rPr>
        <w:t>potential risk</w:t>
      </w:r>
      <w:r w:rsidRPr="00062636">
        <w:rPr>
          <w:rFonts w:asciiTheme="minorHAnsi" w:hAnsiTheme="minorHAnsi"/>
        </w:rPr>
        <w:t xml:space="preserve"> of antimicrobial resistance when prolonged courses are used, which must be weighed against the benefits of ensuring that delayed reactions to penicillin are not missed. It is not known whether a single dose of antibiotic is sufficient to trigger a delayed </w:t>
      </w:r>
      <w:r w:rsidR="009347F5">
        <w:rPr>
          <w:rFonts w:asciiTheme="minorHAnsi" w:hAnsiTheme="minorHAnsi"/>
        </w:rPr>
        <w:t xml:space="preserve">hypersensitivity </w:t>
      </w:r>
      <w:r w:rsidRPr="00062636">
        <w:rPr>
          <w:rFonts w:asciiTheme="minorHAnsi" w:hAnsiTheme="minorHAnsi"/>
        </w:rPr>
        <w:t>reaction or whether this is a problem which develops only after accumulation of the drug</w:t>
      </w:r>
      <w:r w:rsidR="00FB6622">
        <w:rPr>
          <w:rFonts w:asciiTheme="minorHAnsi" w:hAnsiTheme="minorHAnsi"/>
        </w:rPr>
        <w:t xml:space="preserve"> (see Table 4)</w:t>
      </w:r>
      <w:r w:rsidRPr="00062636">
        <w:rPr>
          <w:rFonts w:asciiTheme="minorHAnsi" w:hAnsiTheme="minorHAnsi"/>
        </w:rPr>
        <w:t xml:space="preserve">. </w:t>
      </w:r>
      <w:r w:rsidR="00493ECA" w:rsidRPr="00062636">
        <w:rPr>
          <w:rFonts w:asciiTheme="minorHAnsi" w:hAnsiTheme="minorHAnsi"/>
        </w:rPr>
        <w:t xml:space="preserve">Consultation with the local/regional allergy service providing oversight </w:t>
      </w:r>
      <w:r w:rsidRPr="00062636">
        <w:rPr>
          <w:rFonts w:asciiTheme="minorHAnsi" w:hAnsiTheme="minorHAnsi"/>
        </w:rPr>
        <w:t>for the de-labelling service should be sought to define which patients require a prolonged DPT</w:t>
      </w:r>
      <w:r w:rsidR="005B4C6E">
        <w:rPr>
          <w:rFonts w:asciiTheme="minorHAnsi" w:hAnsiTheme="minorHAnsi"/>
        </w:rPr>
        <w:t xml:space="preserve"> and how long this should be.</w:t>
      </w:r>
      <w:r w:rsidR="00FB6622">
        <w:rPr>
          <w:rFonts w:asciiTheme="minorHAnsi" w:hAnsiTheme="minorHAnsi"/>
        </w:rPr>
        <w:t xml:space="preserve"> </w:t>
      </w:r>
    </w:p>
    <w:p w14:paraId="642FB196" w14:textId="557DF09A" w:rsidR="009704AC" w:rsidRPr="00CC0F78" w:rsidRDefault="00FE3760" w:rsidP="009704AC">
      <w:pPr>
        <w:spacing w:line="480" w:lineRule="auto"/>
        <w:rPr>
          <w:rFonts w:asciiTheme="minorHAnsi" w:hAnsiTheme="minorHAnsi"/>
        </w:rPr>
      </w:pPr>
      <w:r>
        <w:rPr>
          <w:rFonts w:asciiTheme="minorHAnsi" w:hAnsiTheme="minorHAnsi"/>
          <w:b/>
          <w:bCs/>
        </w:rPr>
        <w:lastRenderedPageBreak/>
        <w:t xml:space="preserve">Recommendations </w:t>
      </w:r>
      <w:r w:rsidR="00230021" w:rsidRPr="7E959518">
        <w:rPr>
          <w:rFonts w:asciiTheme="minorHAnsi" w:hAnsiTheme="minorHAnsi"/>
          <w:b/>
          <w:bCs/>
        </w:rPr>
        <w:t xml:space="preserve"> </w:t>
      </w:r>
    </w:p>
    <w:p w14:paraId="123D0514" w14:textId="5F5A464A" w:rsidR="00230021" w:rsidRPr="009038DC" w:rsidRDefault="009704AC" w:rsidP="009704AC">
      <w:pPr>
        <w:spacing w:line="480" w:lineRule="auto"/>
        <w:rPr>
          <w:rFonts w:asciiTheme="minorHAnsi" w:hAnsiTheme="minorHAnsi"/>
          <w:b/>
          <w:bCs/>
        </w:rPr>
      </w:pPr>
      <w:r>
        <w:rPr>
          <w:rFonts w:asciiTheme="minorHAnsi" w:hAnsiTheme="minorHAnsi"/>
          <w:b/>
          <w:bCs/>
        </w:rPr>
        <w:t>Paed</w:t>
      </w:r>
      <w:r w:rsidR="00CC0F78">
        <w:rPr>
          <w:rFonts w:asciiTheme="minorHAnsi" w:hAnsiTheme="minorHAnsi"/>
          <w:b/>
          <w:bCs/>
        </w:rPr>
        <w:t>ia</w:t>
      </w:r>
      <w:r>
        <w:rPr>
          <w:rFonts w:asciiTheme="minorHAnsi" w:hAnsiTheme="minorHAnsi"/>
          <w:b/>
          <w:bCs/>
        </w:rPr>
        <w:t xml:space="preserve">trics </w:t>
      </w:r>
    </w:p>
    <w:p w14:paraId="1BE03D47" w14:textId="76F21F6D" w:rsidR="00726730" w:rsidRDefault="00230021" w:rsidP="7E959518">
      <w:pPr>
        <w:spacing w:line="480" w:lineRule="auto"/>
        <w:rPr>
          <w:rFonts w:asciiTheme="minorHAnsi" w:hAnsiTheme="minorHAnsi"/>
        </w:rPr>
      </w:pPr>
      <w:r w:rsidRPr="7E959518">
        <w:rPr>
          <w:rFonts w:asciiTheme="minorHAnsi" w:hAnsiTheme="minorHAnsi"/>
        </w:rPr>
        <w:t>True allergic reactions to pen</w:t>
      </w:r>
      <w:r w:rsidR="008306A3" w:rsidRPr="7E959518">
        <w:rPr>
          <w:rFonts w:asciiTheme="minorHAnsi" w:hAnsiTheme="minorHAnsi"/>
        </w:rPr>
        <w:t>i</w:t>
      </w:r>
      <w:r w:rsidRPr="7E959518">
        <w:rPr>
          <w:rFonts w:asciiTheme="minorHAnsi" w:hAnsiTheme="minorHAnsi"/>
        </w:rPr>
        <w:t>cillin are l</w:t>
      </w:r>
      <w:r w:rsidR="006A6D0B" w:rsidRPr="7E959518">
        <w:rPr>
          <w:rFonts w:asciiTheme="minorHAnsi" w:hAnsiTheme="minorHAnsi"/>
        </w:rPr>
        <w:t>ess common than in adults. Child</w:t>
      </w:r>
      <w:r w:rsidRPr="7E959518">
        <w:rPr>
          <w:rFonts w:asciiTheme="minorHAnsi" w:hAnsiTheme="minorHAnsi"/>
        </w:rPr>
        <w:t>ren</w:t>
      </w:r>
      <w:r w:rsidR="00FB6622">
        <w:rPr>
          <w:rFonts w:asciiTheme="minorHAnsi" w:hAnsiTheme="minorHAnsi"/>
        </w:rPr>
        <w:t xml:space="preserve"> </w:t>
      </w:r>
      <w:r w:rsidR="00FB6622" w:rsidRPr="7E959518">
        <w:rPr>
          <w:rFonts w:asciiTheme="minorHAnsi" w:hAnsiTheme="minorHAnsi"/>
        </w:rPr>
        <w:t>treated with beta lactams</w:t>
      </w:r>
      <w:r w:rsidRPr="7E959518">
        <w:rPr>
          <w:rFonts w:asciiTheme="minorHAnsi" w:hAnsiTheme="minorHAnsi"/>
        </w:rPr>
        <w:t xml:space="preserve">, particularly those under 4 years of </w:t>
      </w:r>
      <w:proofErr w:type="gramStart"/>
      <w:r w:rsidRPr="7E959518">
        <w:rPr>
          <w:rFonts w:asciiTheme="minorHAnsi" w:hAnsiTheme="minorHAnsi"/>
        </w:rPr>
        <w:t>age,  frequently</w:t>
      </w:r>
      <w:proofErr w:type="gramEnd"/>
      <w:r w:rsidRPr="7E959518">
        <w:rPr>
          <w:rFonts w:asciiTheme="minorHAnsi" w:hAnsiTheme="minorHAnsi"/>
        </w:rPr>
        <w:t xml:space="preserve"> develop urticarial or maculopa</w:t>
      </w:r>
      <w:r w:rsidR="6E0F8B7A" w:rsidRPr="7E959518">
        <w:rPr>
          <w:rFonts w:asciiTheme="minorHAnsi" w:hAnsiTheme="minorHAnsi"/>
        </w:rPr>
        <w:t>p</w:t>
      </w:r>
      <w:r w:rsidRPr="7E959518">
        <w:rPr>
          <w:rFonts w:asciiTheme="minorHAnsi" w:hAnsiTheme="minorHAnsi"/>
        </w:rPr>
        <w:t>ular skin rashes. These reaction</w:t>
      </w:r>
      <w:r w:rsidR="006A6D0B" w:rsidRPr="7E959518">
        <w:rPr>
          <w:rFonts w:asciiTheme="minorHAnsi" w:hAnsiTheme="minorHAnsi"/>
        </w:rPr>
        <w:t>s</w:t>
      </w:r>
      <w:r w:rsidRPr="7E959518">
        <w:rPr>
          <w:rFonts w:asciiTheme="minorHAnsi" w:hAnsiTheme="minorHAnsi"/>
        </w:rPr>
        <w:t xml:space="preserve"> are rarely reproduced </w:t>
      </w:r>
      <w:r w:rsidR="003723C4" w:rsidRPr="00CC0F78">
        <w:rPr>
          <w:rFonts w:asciiTheme="minorHAnsi" w:hAnsiTheme="minorHAnsi"/>
          <w:color w:val="000000" w:themeColor="text1"/>
        </w:rPr>
        <w:t>with challenge testing</w:t>
      </w:r>
      <w:r w:rsidRPr="00CC0F78">
        <w:rPr>
          <w:rFonts w:asciiTheme="minorHAnsi" w:hAnsiTheme="minorHAnsi"/>
          <w:color w:val="000000" w:themeColor="text1"/>
        </w:rPr>
        <w:t xml:space="preserve">. </w:t>
      </w:r>
      <w:r w:rsidR="006A6D0B" w:rsidRPr="00CC0F78">
        <w:rPr>
          <w:rFonts w:asciiTheme="minorHAnsi" w:hAnsiTheme="minorHAnsi"/>
          <w:color w:val="000000" w:themeColor="text1"/>
        </w:rPr>
        <w:t>De</w:t>
      </w:r>
      <w:r w:rsidR="3D9335FD" w:rsidRPr="00CC0F78">
        <w:rPr>
          <w:rFonts w:asciiTheme="minorHAnsi" w:hAnsiTheme="minorHAnsi"/>
          <w:color w:val="000000" w:themeColor="text1"/>
        </w:rPr>
        <w:t>-</w:t>
      </w:r>
      <w:r w:rsidR="006A6D0B" w:rsidRPr="00CC0F78">
        <w:rPr>
          <w:rFonts w:asciiTheme="minorHAnsi" w:hAnsiTheme="minorHAnsi"/>
          <w:color w:val="000000" w:themeColor="text1"/>
        </w:rPr>
        <w:t xml:space="preserve">labelling </w:t>
      </w:r>
      <w:r w:rsidR="00BF2FB2" w:rsidRPr="00CC0F78">
        <w:rPr>
          <w:rFonts w:asciiTheme="minorHAnsi" w:hAnsiTheme="minorHAnsi"/>
          <w:color w:val="000000" w:themeColor="text1"/>
        </w:rPr>
        <w:t>provides reassurance that penicillin use is safe in the future</w:t>
      </w:r>
      <w:r w:rsidR="006A6D0B" w:rsidRPr="00CC0F78">
        <w:rPr>
          <w:rFonts w:asciiTheme="minorHAnsi" w:hAnsiTheme="minorHAnsi"/>
          <w:color w:val="000000" w:themeColor="text1"/>
        </w:rPr>
        <w:t xml:space="preserve"> (</w:t>
      </w:r>
      <w:r w:rsidR="00877627" w:rsidRPr="00CC0F78">
        <w:rPr>
          <w:rFonts w:asciiTheme="minorHAnsi" w:hAnsiTheme="minorHAnsi"/>
          <w:color w:val="000000" w:themeColor="text1"/>
        </w:rPr>
        <w:t>2</w:t>
      </w:r>
      <w:r w:rsidR="00FC43AE" w:rsidRPr="00CC0F78">
        <w:rPr>
          <w:rFonts w:asciiTheme="minorHAnsi" w:hAnsiTheme="minorHAnsi"/>
          <w:color w:val="000000" w:themeColor="text1"/>
        </w:rPr>
        <w:t>2</w:t>
      </w:r>
      <w:r w:rsidR="007D418F" w:rsidRPr="00CC0F78">
        <w:rPr>
          <w:rFonts w:asciiTheme="minorHAnsi" w:hAnsiTheme="minorHAnsi"/>
          <w:color w:val="000000" w:themeColor="text1"/>
        </w:rPr>
        <w:t>).</w:t>
      </w:r>
      <w:r w:rsidR="006A6D0B" w:rsidRPr="00CC0F78">
        <w:rPr>
          <w:rFonts w:asciiTheme="minorHAnsi" w:hAnsiTheme="minorHAnsi"/>
          <w:color w:val="000000" w:themeColor="text1"/>
        </w:rPr>
        <w:t xml:space="preserve"> </w:t>
      </w:r>
      <w:r w:rsidRPr="00CC0F78">
        <w:rPr>
          <w:rFonts w:asciiTheme="minorHAnsi" w:hAnsiTheme="minorHAnsi"/>
          <w:color w:val="000000" w:themeColor="text1"/>
        </w:rPr>
        <w:t>Less than 7% of</w:t>
      </w:r>
      <w:r w:rsidRPr="7E959518">
        <w:rPr>
          <w:rFonts w:asciiTheme="minorHAnsi" w:hAnsiTheme="minorHAnsi"/>
        </w:rPr>
        <w:t xml:space="preserve"> ch</w:t>
      </w:r>
      <w:r w:rsidR="006A6D0B" w:rsidRPr="7E959518">
        <w:rPr>
          <w:rFonts w:asciiTheme="minorHAnsi" w:hAnsiTheme="minorHAnsi"/>
        </w:rPr>
        <w:t>ildren</w:t>
      </w:r>
      <w:r w:rsidRPr="7E959518">
        <w:rPr>
          <w:rFonts w:asciiTheme="minorHAnsi" w:hAnsiTheme="minorHAnsi"/>
        </w:rPr>
        <w:t xml:space="preserve"> react on re-exposure (</w:t>
      </w:r>
      <w:r w:rsidR="007D418F" w:rsidRPr="7E959518">
        <w:rPr>
          <w:rFonts w:asciiTheme="minorHAnsi" w:hAnsiTheme="minorHAnsi"/>
        </w:rPr>
        <w:t>2</w:t>
      </w:r>
      <w:r w:rsidR="00FC43AE">
        <w:rPr>
          <w:rFonts w:asciiTheme="minorHAnsi" w:hAnsiTheme="minorHAnsi"/>
        </w:rPr>
        <w:t>3</w:t>
      </w:r>
      <w:r w:rsidR="007D418F" w:rsidRPr="7E959518">
        <w:rPr>
          <w:rFonts w:asciiTheme="minorHAnsi" w:hAnsiTheme="minorHAnsi"/>
        </w:rPr>
        <w:t>-2</w:t>
      </w:r>
      <w:r w:rsidR="00FC43AE">
        <w:rPr>
          <w:rFonts w:asciiTheme="minorHAnsi" w:hAnsiTheme="minorHAnsi"/>
        </w:rPr>
        <w:t>7</w:t>
      </w:r>
      <w:r w:rsidRPr="7E959518">
        <w:rPr>
          <w:rFonts w:asciiTheme="minorHAnsi" w:hAnsiTheme="minorHAnsi"/>
        </w:rPr>
        <w:t>). Reactions, if they develop, are usually mild-moderate and occur 3-4 days from the start of the challenge.</w:t>
      </w:r>
      <w:r w:rsidR="006A6D0B" w:rsidRPr="7E959518">
        <w:rPr>
          <w:rFonts w:asciiTheme="minorHAnsi" w:hAnsiTheme="minorHAnsi"/>
        </w:rPr>
        <w:t xml:space="preserve"> </w:t>
      </w:r>
      <w:r w:rsidR="00496F82">
        <w:rPr>
          <w:rFonts w:asciiTheme="minorHAnsi" w:hAnsiTheme="minorHAnsi"/>
        </w:rPr>
        <w:t xml:space="preserve">Recommendations </w:t>
      </w:r>
      <w:proofErr w:type="gramStart"/>
      <w:r w:rsidR="00496F82">
        <w:rPr>
          <w:rFonts w:asciiTheme="minorHAnsi" w:hAnsiTheme="minorHAnsi"/>
        </w:rPr>
        <w:t>for  children</w:t>
      </w:r>
      <w:proofErr w:type="gramEnd"/>
      <w:r w:rsidR="00496F82">
        <w:rPr>
          <w:rFonts w:asciiTheme="minorHAnsi" w:hAnsiTheme="minorHAnsi"/>
        </w:rPr>
        <w:t xml:space="preserve"> of all ages are as the same as those for adults, in terms of risk stratification and the conduct of DPT (see Tables 1-3). Doses of medication should be age adjusted. </w:t>
      </w:r>
      <w:r w:rsidR="006A6D0B" w:rsidRPr="7E959518">
        <w:rPr>
          <w:rFonts w:asciiTheme="minorHAnsi" w:hAnsiTheme="minorHAnsi"/>
        </w:rPr>
        <w:t>Research around the use of DPT in primary care settings, suggests that it is safe and acceptable to patients, parents and healthcare providers (</w:t>
      </w:r>
      <w:r w:rsidR="007D418F" w:rsidRPr="7E959518">
        <w:rPr>
          <w:rFonts w:asciiTheme="minorHAnsi" w:hAnsiTheme="minorHAnsi"/>
        </w:rPr>
        <w:t>2</w:t>
      </w:r>
      <w:r w:rsidR="00FC43AE">
        <w:rPr>
          <w:rFonts w:asciiTheme="minorHAnsi" w:hAnsiTheme="minorHAnsi"/>
        </w:rPr>
        <w:t>8</w:t>
      </w:r>
      <w:r w:rsidR="007D418F" w:rsidRPr="7E959518">
        <w:rPr>
          <w:rFonts w:asciiTheme="minorHAnsi" w:hAnsiTheme="minorHAnsi"/>
        </w:rPr>
        <w:t>).</w:t>
      </w:r>
      <w:r w:rsidR="00A36A04">
        <w:rPr>
          <w:rFonts w:asciiTheme="minorHAnsi" w:hAnsiTheme="minorHAnsi"/>
        </w:rPr>
        <w:t xml:space="preserve"> However, more </w:t>
      </w:r>
      <w:r w:rsidR="00A36A04" w:rsidRPr="00CC0F78">
        <w:rPr>
          <w:rFonts w:asciiTheme="minorHAnsi" w:hAnsiTheme="minorHAnsi"/>
          <w:color w:val="000000" w:themeColor="text1"/>
        </w:rPr>
        <w:t>rese</w:t>
      </w:r>
      <w:r w:rsidR="003723C4" w:rsidRPr="00CC0F78">
        <w:rPr>
          <w:rFonts w:asciiTheme="minorHAnsi" w:hAnsiTheme="minorHAnsi"/>
          <w:color w:val="000000" w:themeColor="text1"/>
        </w:rPr>
        <w:t>a</w:t>
      </w:r>
      <w:r w:rsidR="00A36A04" w:rsidRPr="00CC0F78">
        <w:rPr>
          <w:rFonts w:asciiTheme="minorHAnsi" w:hAnsiTheme="minorHAnsi"/>
          <w:color w:val="000000" w:themeColor="text1"/>
        </w:rPr>
        <w:t>rch</w:t>
      </w:r>
      <w:r w:rsidR="00A36A04">
        <w:rPr>
          <w:rFonts w:asciiTheme="minorHAnsi" w:hAnsiTheme="minorHAnsi"/>
        </w:rPr>
        <w:t xml:space="preserve"> is needed before this can become a standard of care and this guideline does not support the provision of DPT in primary care for children</w:t>
      </w:r>
      <w:r w:rsidR="00FB6622">
        <w:rPr>
          <w:rFonts w:asciiTheme="minorHAnsi" w:hAnsiTheme="minorHAnsi"/>
        </w:rPr>
        <w:t xml:space="preserve"> (see Table 4)</w:t>
      </w:r>
      <w:r w:rsidR="00A36A04">
        <w:rPr>
          <w:rFonts w:asciiTheme="minorHAnsi" w:hAnsiTheme="minorHAnsi"/>
        </w:rPr>
        <w:t>.</w:t>
      </w:r>
      <w:r w:rsidR="00FB6622">
        <w:rPr>
          <w:rFonts w:asciiTheme="minorHAnsi" w:hAnsiTheme="minorHAnsi"/>
        </w:rPr>
        <w:t xml:space="preserve"> </w:t>
      </w:r>
    </w:p>
    <w:p w14:paraId="293F8634" w14:textId="1F195E7A" w:rsidR="00BB1521" w:rsidRPr="00BB1521" w:rsidRDefault="00BB1521" w:rsidP="00763ECA">
      <w:pPr>
        <w:spacing w:line="480" w:lineRule="auto"/>
        <w:rPr>
          <w:rFonts w:asciiTheme="minorHAnsi" w:hAnsiTheme="minorHAnsi"/>
          <w:b/>
          <w:bCs/>
        </w:rPr>
      </w:pPr>
      <w:r w:rsidRPr="00BB1521">
        <w:rPr>
          <w:rFonts w:asciiTheme="minorHAnsi" w:hAnsiTheme="minorHAnsi"/>
          <w:b/>
          <w:bCs/>
        </w:rPr>
        <w:t>Retention of de-labelled status</w:t>
      </w:r>
    </w:p>
    <w:p w14:paraId="3D9AB1C8" w14:textId="77777777" w:rsidR="009704AC" w:rsidRDefault="00BB1521" w:rsidP="009704AC">
      <w:pPr>
        <w:spacing w:line="480" w:lineRule="auto"/>
        <w:rPr>
          <w:rFonts w:asciiTheme="minorHAnsi" w:hAnsiTheme="minorHAnsi"/>
        </w:rPr>
      </w:pPr>
      <w:r w:rsidRPr="7E959518">
        <w:rPr>
          <w:rFonts w:asciiTheme="minorHAnsi" w:hAnsiTheme="minorHAnsi"/>
        </w:rPr>
        <w:t xml:space="preserve">Failure to retain ‘de-labelled’ status is associated with persistent and unnecessary penicillin avoidance by the patient. </w:t>
      </w:r>
      <w:r w:rsidR="00E37F76" w:rsidRPr="7E959518">
        <w:rPr>
          <w:rFonts w:asciiTheme="minorHAnsi" w:hAnsiTheme="minorHAnsi"/>
        </w:rPr>
        <w:t>Failure</w:t>
      </w:r>
      <w:r w:rsidRPr="7E959518">
        <w:rPr>
          <w:rFonts w:asciiTheme="minorHAnsi" w:hAnsiTheme="minorHAnsi"/>
        </w:rPr>
        <w:t xml:space="preserve"> to cascade the information robustly to all relevant healthcare providers</w:t>
      </w:r>
      <w:r w:rsidR="00E37F76" w:rsidRPr="7E959518">
        <w:rPr>
          <w:rFonts w:asciiTheme="minorHAnsi" w:hAnsiTheme="minorHAnsi"/>
        </w:rPr>
        <w:t xml:space="preserve"> </w:t>
      </w:r>
      <w:r w:rsidRPr="7E959518">
        <w:rPr>
          <w:rFonts w:asciiTheme="minorHAnsi" w:hAnsiTheme="minorHAnsi"/>
        </w:rPr>
        <w:t>and poor understanding of the implications of a negative test</w:t>
      </w:r>
      <w:r w:rsidR="00E37F76" w:rsidRPr="7E959518">
        <w:rPr>
          <w:rFonts w:asciiTheme="minorHAnsi" w:hAnsiTheme="minorHAnsi"/>
        </w:rPr>
        <w:t>,</w:t>
      </w:r>
      <w:r w:rsidRPr="7E959518">
        <w:rPr>
          <w:rFonts w:asciiTheme="minorHAnsi" w:hAnsiTheme="minorHAnsi"/>
        </w:rPr>
        <w:t xml:space="preserve"> by both patients and their healthcare providers</w:t>
      </w:r>
      <w:r w:rsidR="00E37F76" w:rsidRPr="7E959518">
        <w:rPr>
          <w:rFonts w:asciiTheme="minorHAnsi" w:hAnsiTheme="minorHAnsi"/>
        </w:rPr>
        <w:t>, contribute to this problem</w:t>
      </w:r>
      <w:r w:rsidRPr="7E959518">
        <w:rPr>
          <w:rFonts w:asciiTheme="minorHAnsi" w:hAnsiTheme="minorHAnsi"/>
        </w:rPr>
        <w:t xml:space="preserve">. It is beyond the scope of this guideline to determine the most effective way to address these issues, but as a minimum the patient and their GP should be provided with clear written information about the test result and its implications for future prescribing. </w:t>
      </w:r>
      <w:r w:rsidR="00A23C09" w:rsidRPr="7E959518">
        <w:rPr>
          <w:rFonts w:asciiTheme="minorHAnsi" w:hAnsiTheme="minorHAnsi"/>
        </w:rPr>
        <w:t>Some centres have successfully implemented a range of initiatives to improve retention of patients’ de</w:t>
      </w:r>
      <w:r w:rsidR="12FBE13E" w:rsidRPr="7E959518">
        <w:rPr>
          <w:rFonts w:asciiTheme="minorHAnsi" w:hAnsiTheme="minorHAnsi"/>
        </w:rPr>
        <w:t>-</w:t>
      </w:r>
      <w:r w:rsidR="00A23C09" w:rsidRPr="7E959518">
        <w:rPr>
          <w:rFonts w:asciiTheme="minorHAnsi" w:hAnsiTheme="minorHAnsi"/>
        </w:rPr>
        <w:t>labelled status (2</w:t>
      </w:r>
      <w:r w:rsidR="00FC43AE">
        <w:rPr>
          <w:rFonts w:asciiTheme="minorHAnsi" w:hAnsiTheme="minorHAnsi"/>
        </w:rPr>
        <w:t>9</w:t>
      </w:r>
      <w:r w:rsidR="00A23C09" w:rsidRPr="7E959518">
        <w:rPr>
          <w:rFonts w:asciiTheme="minorHAnsi" w:hAnsiTheme="minorHAnsi"/>
        </w:rPr>
        <w:t>). R</w:t>
      </w:r>
      <w:r w:rsidRPr="7E959518">
        <w:rPr>
          <w:rFonts w:asciiTheme="minorHAnsi" w:hAnsiTheme="minorHAnsi"/>
        </w:rPr>
        <w:t>esearch into this problem is ongoing and may inform future iterations of this guideline</w:t>
      </w:r>
      <w:r w:rsidR="00FB6622">
        <w:rPr>
          <w:rFonts w:asciiTheme="minorHAnsi" w:hAnsiTheme="minorHAnsi"/>
        </w:rPr>
        <w:t xml:space="preserve"> (see Table 4)</w:t>
      </w:r>
      <w:r w:rsidRPr="7E959518">
        <w:rPr>
          <w:rFonts w:asciiTheme="minorHAnsi" w:hAnsiTheme="minorHAnsi"/>
        </w:rPr>
        <w:t>.</w:t>
      </w:r>
    </w:p>
    <w:p w14:paraId="3AEC0A32" w14:textId="77777777" w:rsidR="00CC0F78" w:rsidRDefault="00CC0F78" w:rsidP="009704AC">
      <w:pPr>
        <w:spacing w:line="480" w:lineRule="auto"/>
        <w:rPr>
          <w:b/>
        </w:rPr>
      </w:pPr>
    </w:p>
    <w:p w14:paraId="66A2EC55" w14:textId="778B6D46" w:rsidR="00FF60CF" w:rsidRPr="009704AC" w:rsidRDefault="00FF60CF" w:rsidP="009704AC">
      <w:pPr>
        <w:spacing w:line="480" w:lineRule="auto"/>
        <w:rPr>
          <w:rFonts w:asciiTheme="minorHAnsi" w:hAnsiTheme="minorHAnsi"/>
        </w:rPr>
      </w:pPr>
      <w:r>
        <w:rPr>
          <w:b/>
        </w:rPr>
        <w:lastRenderedPageBreak/>
        <w:t>References</w:t>
      </w:r>
    </w:p>
    <w:p w14:paraId="5F1A0678" w14:textId="5CE8ADF2" w:rsidR="00235421" w:rsidRPr="00235421" w:rsidRDefault="00FF60CF" w:rsidP="00354EC4">
      <w:pPr>
        <w:numPr>
          <w:ilvl w:val="0"/>
          <w:numId w:val="11"/>
        </w:numPr>
        <w:spacing w:after="0" w:line="360" w:lineRule="auto"/>
        <w:rPr>
          <w:rFonts w:asciiTheme="minorHAnsi" w:hAnsiTheme="minorHAnsi" w:cstheme="minorHAnsi"/>
        </w:rPr>
      </w:pPr>
      <w:proofErr w:type="spellStart"/>
      <w:r w:rsidRPr="00702234">
        <w:rPr>
          <w:rFonts w:asciiTheme="minorHAnsi" w:hAnsiTheme="minorHAnsi" w:cstheme="minorHAnsi"/>
        </w:rPr>
        <w:t>Mirakian</w:t>
      </w:r>
      <w:proofErr w:type="spellEnd"/>
      <w:r w:rsidRPr="00702234">
        <w:rPr>
          <w:rFonts w:asciiTheme="minorHAnsi" w:hAnsiTheme="minorHAnsi" w:cstheme="minorHAnsi"/>
        </w:rPr>
        <w:t xml:space="preserve"> R, Leech SC, Krishna M</w:t>
      </w:r>
      <w:r w:rsidR="00147BE6">
        <w:rPr>
          <w:rFonts w:asciiTheme="minorHAnsi" w:hAnsiTheme="minorHAnsi" w:cstheme="minorHAnsi"/>
        </w:rPr>
        <w:t>T et al</w:t>
      </w:r>
      <w:r w:rsidRPr="00702234">
        <w:rPr>
          <w:rFonts w:asciiTheme="minorHAnsi" w:hAnsiTheme="minorHAnsi" w:cstheme="minorHAnsi"/>
        </w:rPr>
        <w:t xml:space="preserve">. </w:t>
      </w:r>
      <w:hyperlink r:id="rId9" w:history="1">
        <w:r w:rsidRPr="00702234">
          <w:rPr>
            <w:rFonts w:asciiTheme="minorHAnsi" w:hAnsiTheme="minorHAnsi" w:cstheme="minorHAnsi"/>
          </w:rPr>
          <w:t xml:space="preserve">Management of allergy to </w:t>
        </w:r>
        <w:proofErr w:type="spellStart"/>
        <w:r w:rsidRPr="00702234">
          <w:rPr>
            <w:rFonts w:asciiTheme="minorHAnsi" w:hAnsiTheme="minorHAnsi" w:cstheme="minorHAnsi"/>
          </w:rPr>
          <w:t>penicillins</w:t>
        </w:r>
        <w:proofErr w:type="spellEnd"/>
        <w:r w:rsidRPr="00702234">
          <w:rPr>
            <w:rFonts w:asciiTheme="minorHAnsi" w:hAnsiTheme="minorHAnsi" w:cstheme="minorHAnsi"/>
          </w:rPr>
          <w:t xml:space="preserve"> and other beta-lactams.</w:t>
        </w:r>
      </w:hyperlink>
      <w:r w:rsidRPr="00702234">
        <w:rPr>
          <w:rFonts w:asciiTheme="minorHAnsi" w:hAnsiTheme="minorHAnsi" w:cstheme="minorHAnsi"/>
        </w:rPr>
        <w:t xml:space="preserve"> </w:t>
      </w:r>
      <w:r w:rsidRPr="00820E0D">
        <w:rPr>
          <w:rStyle w:val="jrnl"/>
          <w:rFonts w:asciiTheme="minorHAnsi" w:hAnsiTheme="minorHAnsi" w:cstheme="minorHAnsi"/>
        </w:rPr>
        <w:t>Clin</w:t>
      </w:r>
      <w:r w:rsidR="00CC0F78">
        <w:rPr>
          <w:rStyle w:val="jrnl"/>
          <w:rFonts w:asciiTheme="minorHAnsi" w:hAnsiTheme="minorHAnsi" w:cstheme="minorHAnsi"/>
        </w:rPr>
        <w:t>ical and</w:t>
      </w:r>
      <w:r w:rsidRPr="00820E0D">
        <w:rPr>
          <w:rStyle w:val="jrnl"/>
          <w:rFonts w:asciiTheme="minorHAnsi" w:hAnsiTheme="minorHAnsi" w:cstheme="minorHAnsi"/>
        </w:rPr>
        <w:t xml:space="preserve"> Exp Allergy</w:t>
      </w:r>
      <w:r w:rsidRPr="00702234">
        <w:rPr>
          <w:rFonts w:asciiTheme="minorHAnsi" w:hAnsiTheme="minorHAnsi" w:cstheme="minorHAnsi"/>
        </w:rPr>
        <w:t>. 2015 Feb;45(2):300-2</w:t>
      </w:r>
      <w:r w:rsidR="00235421">
        <w:rPr>
          <w:rFonts w:asciiTheme="minorHAnsi" w:hAnsiTheme="minorHAnsi" w:cstheme="minorHAnsi"/>
        </w:rPr>
        <w:t>7</w:t>
      </w:r>
    </w:p>
    <w:p w14:paraId="3714F282" w14:textId="4F10C443" w:rsidR="00FF60CF" w:rsidRPr="00702234" w:rsidRDefault="00FF60CF" w:rsidP="00354EC4">
      <w:pPr>
        <w:pStyle w:val="ListParagraph"/>
        <w:numPr>
          <w:ilvl w:val="0"/>
          <w:numId w:val="11"/>
        </w:numPr>
        <w:spacing w:line="360" w:lineRule="auto"/>
        <w:jc w:val="both"/>
        <w:rPr>
          <w:rFonts w:cstheme="minorHAnsi"/>
          <w:b/>
          <w:sz w:val="22"/>
          <w:szCs w:val="22"/>
        </w:rPr>
      </w:pPr>
      <w:r w:rsidRPr="00702234">
        <w:rPr>
          <w:rFonts w:cstheme="minorHAnsi"/>
          <w:noProof/>
          <w:sz w:val="22"/>
          <w:szCs w:val="22"/>
        </w:rPr>
        <w:t>West RM</w:t>
      </w:r>
      <w:r w:rsidR="00147BE6">
        <w:rPr>
          <w:rFonts w:cstheme="minorHAnsi"/>
          <w:noProof/>
          <w:sz w:val="22"/>
          <w:szCs w:val="22"/>
        </w:rPr>
        <w:t xml:space="preserve">, Smith CJ, Pavitt SH, </w:t>
      </w:r>
      <w:r w:rsidRPr="00702234">
        <w:rPr>
          <w:rFonts w:cstheme="minorHAnsi"/>
          <w:noProof/>
          <w:sz w:val="22"/>
          <w:szCs w:val="22"/>
        </w:rPr>
        <w:t xml:space="preserve">et al. </w:t>
      </w:r>
      <w:r w:rsidR="00147BE6">
        <w:rPr>
          <w:rFonts w:cstheme="minorHAnsi"/>
          <w:noProof/>
          <w:sz w:val="22"/>
          <w:szCs w:val="22"/>
        </w:rPr>
        <w:t>Warning:</w:t>
      </w:r>
      <w:r w:rsidR="00820E0D">
        <w:rPr>
          <w:rFonts w:cstheme="minorHAnsi"/>
          <w:noProof/>
          <w:sz w:val="22"/>
          <w:szCs w:val="22"/>
        </w:rPr>
        <w:t xml:space="preserve"> </w:t>
      </w:r>
      <w:r w:rsidR="00147BE6">
        <w:rPr>
          <w:rFonts w:cstheme="minorHAnsi"/>
          <w:noProof/>
          <w:sz w:val="22"/>
          <w:szCs w:val="22"/>
        </w:rPr>
        <w:t>allergic to penicillin:</w:t>
      </w:r>
      <w:r w:rsidR="00820E0D">
        <w:rPr>
          <w:rFonts w:cstheme="minorHAnsi"/>
          <w:noProof/>
          <w:sz w:val="22"/>
          <w:szCs w:val="22"/>
        </w:rPr>
        <w:t xml:space="preserve"> </w:t>
      </w:r>
      <w:r w:rsidR="00147BE6">
        <w:rPr>
          <w:rFonts w:cstheme="minorHAnsi"/>
          <w:noProof/>
          <w:sz w:val="22"/>
          <w:szCs w:val="22"/>
        </w:rPr>
        <w:t>asssociation between penicillin allergy status in 2.3 million NHS general practice electronic health records, antibiotic prescribing and health outcomes</w:t>
      </w:r>
      <w:r w:rsidR="00147BE6" w:rsidRPr="00820E0D">
        <w:rPr>
          <w:rFonts w:cstheme="minorHAnsi"/>
          <w:noProof/>
          <w:sz w:val="22"/>
          <w:szCs w:val="22"/>
        </w:rPr>
        <w:t xml:space="preserve">. </w:t>
      </w:r>
      <w:r w:rsidRPr="00820E0D">
        <w:rPr>
          <w:rFonts w:cstheme="minorHAnsi"/>
          <w:noProof/>
          <w:sz w:val="22"/>
          <w:szCs w:val="22"/>
        </w:rPr>
        <w:t>J Antimicrob Chemo</w:t>
      </w:r>
      <w:r w:rsidRPr="00702234">
        <w:rPr>
          <w:rFonts w:cstheme="minorHAnsi"/>
          <w:noProof/>
          <w:sz w:val="22"/>
          <w:szCs w:val="22"/>
        </w:rPr>
        <w:t xml:space="preserve"> 2019</w:t>
      </w:r>
      <w:r w:rsidR="00147BE6">
        <w:rPr>
          <w:rFonts w:cstheme="minorHAnsi"/>
          <w:noProof/>
          <w:sz w:val="22"/>
          <w:szCs w:val="22"/>
        </w:rPr>
        <w:t xml:space="preserve"> July;74(7):2075-2082</w:t>
      </w:r>
    </w:p>
    <w:p w14:paraId="6A0DCAB1" w14:textId="77BF9403" w:rsidR="00702234" w:rsidRPr="00235421" w:rsidRDefault="00FF60CF" w:rsidP="00354EC4">
      <w:pPr>
        <w:numPr>
          <w:ilvl w:val="0"/>
          <w:numId w:val="11"/>
        </w:numPr>
        <w:spacing w:before="100" w:beforeAutospacing="1" w:after="0" w:afterAutospacing="1" w:line="360" w:lineRule="auto"/>
        <w:rPr>
          <w:rFonts w:asciiTheme="minorHAnsi" w:eastAsia="Times New Roman" w:hAnsiTheme="minorHAnsi" w:cstheme="minorHAnsi"/>
        </w:rPr>
      </w:pPr>
      <w:r w:rsidRPr="00702234">
        <w:rPr>
          <w:rFonts w:asciiTheme="minorHAnsi" w:eastAsia="Times New Roman" w:hAnsiTheme="minorHAnsi" w:cstheme="minorHAnsi"/>
          <w:color w:val="505050"/>
        </w:rPr>
        <w:t>Macy E</w:t>
      </w:r>
      <w:r w:rsidR="00147BE6">
        <w:rPr>
          <w:rFonts w:asciiTheme="minorHAnsi" w:eastAsia="Times New Roman" w:hAnsiTheme="minorHAnsi" w:cstheme="minorHAnsi"/>
          <w:color w:val="505050"/>
        </w:rPr>
        <w:t>, Contreras R</w:t>
      </w:r>
      <w:r w:rsidRPr="00702234">
        <w:rPr>
          <w:rFonts w:asciiTheme="minorHAnsi" w:eastAsia="Times New Roman" w:hAnsiTheme="minorHAnsi" w:cstheme="minorHAnsi"/>
          <w:color w:val="505050"/>
        </w:rPr>
        <w:t xml:space="preserve"> </w:t>
      </w:r>
      <w:r w:rsidRPr="00820E0D">
        <w:rPr>
          <w:rFonts w:asciiTheme="minorHAnsi" w:eastAsia="Times New Roman" w:hAnsiTheme="minorHAnsi" w:cstheme="minorHAnsi"/>
          <w:iCs/>
          <w:color w:val="505050"/>
        </w:rPr>
        <w:t>J </w:t>
      </w:r>
      <w:r w:rsidR="00820E0D">
        <w:rPr>
          <w:rFonts w:asciiTheme="minorHAnsi" w:eastAsia="Times New Roman" w:hAnsiTheme="minorHAnsi" w:cstheme="minorHAnsi"/>
          <w:iCs/>
          <w:color w:val="505050"/>
        </w:rPr>
        <w:t xml:space="preserve">Health care use and serious infection prevalence associated with penicillin allergy in hospitalised </w:t>
      </w:r>
      <w:proofErr w:type="spellStart"/>
      <w:proofErr w:type="gramStart"/>
      <w:r w:rsidR="00820E0D">
        <w:rPr>
          <w:rFonts w:asciiTheme="minorHAnsi" w:eastAsia="Times New Roman" w:hAnsiTheme="minorHAnsi" w:cstheme="minorHAnsi"/>
          <w:iCs/>
          <w:color w:val="505050"/>
        </w:rPr>
        <w:t>patients:a</w:t>
      </w:r>
      <w:proofErr w:type="spellEnd"/>
      <w:proofErr w:type="gramEnd"/>
      <w:r w:rsidR="00820E0D">
        <w:rPr>
          <w:rFonts w:asciiTheme="minorHAnsi" w:eastAsia="Times New Roman" w:hAnsiTheme="minorHAnsi" w:cstheme="minorHAnsi"/>
          <w:iCs/>
          <w:color w:val="505050"/>
        </w:rPr>
        <w:t xml:space="preserve"> cohort study. </w:t>
      </w:r>
      <w:r w:rsidR="009704AC">
        <w:rPr>
          <w:rFonts w:asciiTheme="minorHAnsi" w:eastAsia="Times New Roman" w:hAnsiTheme="minorHAnsi" w:cstheme="minorHAnsi"/>
          <w:iCs/>
          <w:color w:val="505050"/>
        </w:rPr>
        <w:t xml:space="preserve">J </w:t>
      </w:r>
      <w:r w:rsidRPr="00820E0D">
        <w:rPr>
          <w:rFonts w:asciiTheme="minorHAnsi" w:eastAsia="Times New Roman" w:hAnsiTheme="minorHAnsi" w:cstheme="minorHAnsi"/>
          <w:iCs/>
          <w:color w:val="505050"/>
        </w:rPr>
        <w:t>Allergy Clin Immunol</w:t>
      </w:r>
      <w:r w:rsidRPr="00702234">
        <w:rPr>
          <w:rFonts w:asciiTheme="minorHAnsi" w:eastAsia="Times New Roman" w:hAnsiTheme="minorHAnsi" w:cstheme="minorHAnsi"/>
          <w:i/>
          <w:iCs/>
          <w:color w:val="505050"/>
        </w:rPr>
        <w:t>.</w:t>
      </w:r>
      <w:r w:rsidRPr="00702234">
        <w:rPr>
          <w:rFonts w:asciiTheme="minorHAnsi" w:eastAsia="Times New Roman" w:hAnsiTheme="minorHAnsi" w:cstheme="minorHAnsi"/>
          <w:color w:val="505050"/>
        </w:rPr>
        <w:t> 2014; </w:t>
      </w:r>
      <w:r w:rsidRPr="00820E0D">
        <w:rPr>
          <w:rFonts w:asciiTheme="minorHAnsi" w:eastAsia="Times New Roman" w:hAnsiTheme="minorHAnsi" w:cstheme="minorHAnsi"/>
          <w:bCs/>
          <w:color w:val="505050"/>
        </w:rPr>
        <w:t>133</w:t>
      </w:r>
      <w:r w:rsidR="00820E0D" w:rsidRPr="00820E0D">
        <w:rPr>
          <w:rFonts w:asciiTheme="minorHAnsi" w:eastAsia="Times New Roman" w:hAnsiTheme="minorHAnsi" w:cstheme="minorHAnsi"/>
          <w:bCs/>
          <w:color w:val="505050"/>
        </w:rPr>
        <w:t>(3</w:t>
      </w:r>
      <w:r w:rsidR="00820E0D">
        <w:rPr>
          <w:rFonts w:asciiTheme="minorHAnsi" w:eastAsia="Times New Roman" w:hAnsiTheme="minorHAnsi" w:cstheme="minorHAnsi"/>
          <w:b/>
          <w:bCs/>
          <w:color w:val="505050"/>
        </w:rPr>
        <w:t>)</w:t>
      </w:r>
      <w:r w:rsidRPr="00702234">
        <w:rPr>
          <w:rFonts w:asciiTheme="minorHAnsi" w:eastAsia="Times New Roman" w:hAnsiTheme="minorHAnsi" w:cstheme="minorHAnsi"/>
          <w:color w:val="505050"/>
          <w:shd w:val="clear" w:color="auto" w:fill="FFFFFF"/>
        </w:rPr>
        <w:t>: </w:t>
      </w:r>
      <w:r w:rsidRPr="00702234">
        <w:rPr>
          <w:rFonts w:asciiTheme="minorHAnsi" w:eastAsia="Times New Roman" w:hAnsiTheme="minorHAnsi" w:cstheme="minorHAnsi"/>
          <w:color w:val="505050"/>
        </w:rPr>
        <w:t>790-79</w:t>
      </w:r>
      <w:r w:rsidR="00820E0D">
        <w:rPr>
          <w:rFonts w:asciiTheme="minorHAnsi" w:eastAsia="Times New Roman" w:hAnsiTheme="minorHAnsi" w:cstheme="minorHAnsi"/>
          <w:color w:val="505050"/>
        </w:rPr>
        <w:t>6</w:t>
      </w:r>
    </w:p>
    <w:p w14:paraId="25AE987F" w14:textId="3EF839E6" w:rsidR="00702234" w:rsidRPr="00235421" w:rsidRDefault="00FF60CF" w:rsidP="00354EC4">
      <w:pPr>
        <w:pStyle w:val="ListParagraph"/>
        <w:numPr>
          <w:ilvl w:val="0"/>
          <w:numId w:val="11"/>
        </w:numPr>
        <w:spacing w:line="360" w:lineRule="auto"/>
        <w:rPr>
          <w:rStyle w:val="Hyperlink"/>
          <w:rFonts w:eastAsia="Times New Roman" w:cstheme="minorHAnsi"/>
          <w:bCs/>
          <w:color w:val="auto"/>
          <w:sz w:val="22"/>
          <w:szCs w:val="22"/>
          <w:u w:val="none"/>
        </w:rPr>
      </w:pPr>
      <w:r w:rsidRPr="00702234">
        <w:rPr>
          <w:rFonts w:cstheme="minorHAnsi"/>
          <w:bCs/>
          <w:sz w:val="22"/>
          <w:szCs w:val="22"/>
        </w:rPr>
        <w:t>Savic L</w:t>
      </w:r>
      <w:r w:rsidR="00820E0D">
        <w:rPr>
          <w:rFonts w:cstheme="minorHAnsi"/>
          <w:bCs/>
          <w:sz w:val="22"/>
          <w:szCs w:val="22"/>
        </w:rPr>
        <w:t xml:space="preserve">, Thomas C, </w:t>
      </w:r>
      <w:proofErr w:type="spellStart"/>
      <w:r w:rsidR="00820E0D">
        <w:rPr>
          <w:rFonts w:cstheme="minorHAnsi"/>
          <w:bCs/>
          <w:sz w:val="22"/>
          <w:szCs w:val="22"/>
        </w:rPr>
        <w:t>Fallaha</w:t>
      </w:r>
      <w:proofErr w:type="spellEnd"/>
      <w:r w:rsidR="00820E0D">
        <w:rPr>
          <w:rFonts w:cstheme="minorHAnsi"/>
          <w:bCs/>
          <w:sz w:val="22"/>
          <w:szCs w:val="22"/>
        </w:rPr>
        <w:t xml:space="preserve"> D </w:t>
      </w:r>
      <w:r w:rsidRPr="00702234">
        <w:rPr>
          <w:rFonts w:cstheme="minorHAnsi"/>
          <w:bCs/>
          <w:sz w:val="22"/>
          <w:szCs w:val="22"/>
        </w:rPr>
        <w:t xml:space="preserve">et al. </w:t>
      </w:r>
      <w:r w:rsidR="00820E0D">
        <w:rPr>
          <w:rFonts w:cstheme="minorHAnsi"/>
          <w:bCs/>
          <w:sz w:val="22"/>
          <w:szCs w:val="22"/>
        </w:rPr>
        <w:t xml:space="preserve">DALES, Drug allergy labels in elective surgical patients: a prospective multicenter cross-sectional study of incidence, risks, and attitudes in </w:t>
      </w:r>
      <w:proofErr w:type="spellStart"/>
      <w:r w:rsidR="00820E0D">
        <w:rPr>
          <w:rFonts w:cstheme="minorHAnsi"/>
          <w:bCs/>
          <w:sz w:val="22"/>
          <w:szCs w:val="22"/>
        </w:rPr>
        <w:t>pencillin</w:t>
      </w:r>
      <w:proofErr w:type="spellEnd"/>
      <w:r w:rsidR="00820E0D">
        <w:rPr>
          <w:rFonts w:cstheme="minorHAnsi"/>
          <w:bCs/>
          <w:sz w:val="22"/>
          <w:szCs w:val="22"/>
        </w:rPr>
        <w:t xml:space="preserve"> de-labelling strategies. </w:t>
      </w:r>
      <w:r w:rsidRPr="00820E0D">
        <w:rPr>
          <w:rFonts w:cstheme="minorHAnsi"/>
          <w:bCs/>
          <w:iCs/>
          <w:sz w:val="22"/>
          <w:szCs w:val="22"/>
        </w:rPr>
        <w:t xml:space="preserve">Br J </w:t>
      </w:r>
      <w:proofErr w:type="spellStart"/>
      <w:r w:rsidRPr="00820E0D">
        <w:rPr>
          <w:rFonts w:cstheme="minorHAnsi"/>
          <w:bCs/>
          <w:iCs/>
          <w:sz w:val="22"/>
          <w:szCs w:val="22"/>
        </w:rPr>
        <w:t>Anaes</w:t>
      </w:r>
      <w:proofErr w:type="spellEnd"/>
      <w:r w:rsidRPr="00702234">
        <w:rPr>
          <w:rFonts w:cstheme="minorHAnsi"/>
          <w:bCs/>
          <w:sz w:val="22"/>
          <w:szCs w:val="22"/>
        </w:rPr>
        <w:t>. 2020; 125(6): 962-969</w:t>
      </w:r>
    </w:p>
    <w:p w14:paraId="7A4C7B0F" w14:textId="11F89D6E" w:rsidR="00702234" w:rsidRPr="00CC0F78" w:rsidRDefault="00FF60CF" w:rsidP="00354EC4">
      <w:pPr>
        <w:pStyle w:val="ListParagraph"/>
        <w:numPr>
          <w:ilvl w:val="0"/>
          <w:numId w:val="11"/>
        </w:numPr>
        <w:spacing w:line="360" w:lineRule="auto"/>
        <w:jc w:val="both"/>
        <w:rPr>
          <w:rStyle w:val="Hyperlink"/>
          <w:rFonts w:cstheme="minorHAnsi"/>
          <w:bCs/>
          <w:color w:val="000000" w:themeColor="text1"/>
          <w:sz w:val="22"/>
          <w:szCs w:val="22"/>
          <w:u w:val="none"/>
        </w:rPr>
      </w:pPr>
      <w:r w:rsidRPr="00702234">
        <w:rPr>
          <w:rFonts w:cstheme="minorHAnsi"/>
          <w:noProof/>
          <w:sz w:val="22"/>
          <w:szCs w:val="22"/>
        </w:rPr>
        <w:t>Macy E</w:t>
      </w:r>
      <w:r w:rsidR="00820E0D">
        <w:rPr>
          <w:rFonts w:cstheme="minorHAnsi"/>
          <w:noProof/>
          <w:sz w:val="22"/>
          <w:szCs w:val="22"/>
        </w:rPr>
        <w:t xml:space="preserve">, Ngor EW. Safely diagnosing clinically significant penicillin allergy using only penicilloyl-poly-lysine, penicillin and oral </w:t>
      </w:r>
      <w:r w:rsidR="00820E0D" w:rsidRPr="00CC0F78">
        <w:rPr>
          <w:rFonts w:cstheme="minorHAnsi"/>
          <w:noProof/>
          <w:color w:val="000000" w:themeColor="text1"/>
          <w:sz w:val="22"/>
          <w:szCs w:val="22"/>
        </w:rPr>
        <w:t xml:space="preserve">amoxicillin. </w:t>
      </w:r>
      <w:r w:rsidRPr="00CC0F78">
        <w:rPr>
          <w:rFonts w:cstheme="minorHAnsi"/>
          <w:noProof/>
          <w:color w:val="000000" w:themeColor="text1"/>
          <w:sz w:val="22"/>
          <w:szCs w:val="22"/>
        </w:rPr>
        <w:t>J All</w:t>
      </w:r>
      <w:r w:rsidR="00EA1302" w:rsidRPr="00CC0F78">
        <w:rPr>
          <w:rFonts w:cstheme="minorHAnsi"/>
          <w:noProof/>
          <w:color w:val="000000" w:themeColor="text1"/>
          <w:sz w:val="22"/>
          <w:szCs w:val="22"/>
        </w:rPr>
        <w:t>ergy</w:t>
      </w:r>
      <w:r w:rsidRPr="00CC0F78">
        <w:rPr>
          <w:rFonts w:cstheme="minorHAnsi"/>
          <w:noProof/>
          <w:color w:val="000000" w:themeColor="text1"/>
          <w:sz w:val="22"/>
          <w:szCs w:val="22"/>
        </w:rPr>
        <w:t xml:space="preserve"> CIin Imm</w:t>
      </w:r>
      <w:r w:rsidR="00EA1302" w:rsidRPr="00CC0F78">
        <w:rPr>
          <w:rFonts w:cstheme="minorHAnsi"/>
          <w:noProof/>
          <w:color w:val="000000" w:themeColor="text1"/>
          <w:sz w:val="22"/>
          <w:szCs w:val="22"/>
        </w:rPr>
        <w:t>unol</w:t>
      </w:r>
      <w:r w:rsidRPr="00CC0F78">
        <w:rPr>
          <w:rFonts w:cstheme="minorHAnsi"/>
          <w:noProof/>
          <w:color w:val="000000" w:themeColor="text1"/>
          <w:sz w:val="22"/>
          <w:szCs w:val="22"/>
        </w:rPr>
        <w:t>:In Prac</w:t>
      </w:r>
      <w:r w:rsidRPr="00CC0F78">
        <w:rPr>
          <w:rFonts w:cstheme="minorHAnsi"/>
          <w:i/>
          <w:noProof/>
          <w:color w:val="000000" w:themeColor="text1"/>
          <w:sz w:val="22"/>
          <w:szCs w:val="22"/>
        </w:rPr>
        <w:t xml:space="preserve">. </w:t>
      </w:r>
      <w:r w:rsidRPr="00CC0F78">
        <w:rPr>
          <w:rFonts w:cstheme="minorHAnsi"/>
          <w:noProof/>
          <w:color w:val="000000" w:themeColor="text1"/>
          <w:sz w:val="22"/>
          <w:szCs w:val="22"/>
        </w:rPr>
        <w:t>2013</w:t>
      </w:r>
      <w:r w:rsidR="00820E0D" w:rsidRPr="00CC0F78">
        <w:rPr>
          <w:rFonts w:cstheme="minorHAnsi"/>
          <w:noProof/>
          <w:color w:val="000000" w:themeColor="text1"/>
          <w:sz w:val="22"/>
          <w:szCs w:val="22"/>
        </w:rPr>
        <w:t xml:space="preserve"> April 8; 1(3):258-263</w:t>
      </w:r>
    </w:p>
    <w:p w14:paraId="720B2F43" w14:textId="67BF66CD" w:rsidR="00702234" w:rsidRPr="00CC0F78" w:rsidRDefault="00FF60CF" w:rsidP="00354EC4">
      <w:pPr>
        <w:pStyle w:val="ListParagraph"/>
        <w:numPr>
          <w:ilvl w:val="0"/>
          <w:numId w:val="11"/>
        </w:numPr>
        <w:spacing w:line="360" w:lineRule="auto"/>
        <w:jc w:val="both"/>
        <w:rPr>
          <w:rFonts w:eastAsia="Times New Roman" w:cstheme="minorHAnsi"/>
          <w:bCs/>
          <w:color w:val="000000" w:themeColor="text1"/>
          <w:sz w:val="22"/>
          <w:szCs w:val="22"/>
        </w:rPr>
      </w:pPr>
      <w:r w:rsidRPr="00CC0F78">
        <w:rPr>
          <w:rFonts w:cstheme="minorHAnsi"/>
          <w:noProof/>
          <w:color w:val="000000" w:themeColor="text1"/>
          <w:sz w:val="22"/>
          <w:szCs w:val="22"/>
        </w:rPr>
        <w:t>Blumenthal KG</w:t>
      </w:r>
      <w:r w:rsidR="00820E0D" w:rsidRPr="00CC0F78">
        <w:rPr>
          <w:rFonts w:cstheme="minorHAnsi"/>
          <w:noProof/>
          <w:color w:val="000000" w:themeColor="text1"/>
          <w:sz w:val="22"/>
          <w:szCs w:val="22"/>
        </w:rPr>
        <w:t>, Huebner EM, Fu X</w:t>
      </w:r>
      <w:r w:rsidRPr="00CC0F78">
        <w:rPr>
          <w:rFonts w:cstheme="minorHAnsi"/>
          <w:noProof/>
          <w:color w:val="000000" w:themeColor="text1"/>
          <w:sz w:val="22"/>
          <w:szCs w:val="22"/>
        </w:rPr>
        <w:t xml:space="preserve"> et al. </w:t>
      </w:r>
      <w:r w:rsidR="00820E0D" w:rsidRPr="00CC0F78">
        <w:rPr>
          <w:rFonts w:cstheme="minorHAnsi"/>
          <w:noProof/>
          <w:color w:val="000000" w:themeColor="text1"/>
          <w:sz w:val="22"/>
          <w:szCs w:val="22"/>
        </w:rPr>
        <w:t xml:space="preserve">Risk-based pathway for outpatient penicillin allergy evaluations. </w:t>
      </w:r>
      <w:r w:rsidRPr="00CC0F78">
        <w:rPr>
          <w:rFonts w:cstheme="minorHAnsi"/>
          <w:noProof/>
          <w:color w:val="000000" w:themeColor="text1"/>
          <w:sz w:val="22"/>
          <w:szCs w:val="22"/>
        </w:rPr>
        <w:t>J All</w:t>
      </w:r>
      <w:r w:rsidR="00EA1302" w:rsidRPr="00CC0F78">
        <w:rPr>
          <w:rFonts w:cstheme="minorHAnsi"/>
          <w:noProof/>
          <w:color w:val="000000" w:themeColor="text1"/>
          <w:sz w:val="22"/>
          <w:szCs w:val="22"/>
        </w:rPr>
        <w:t>ergy</w:t>
      </w:r>
      <w:r w:rsidRPr="00CC0F78">
        <w:rPr>
          <w:rFonts w:cstheme="minorHAnsi"/>
          <w:noProof/>
          <w:color w:val="000000" w:themeColor="text1"/>
          <w:sz w:val="22"/>
          <w:szCs w:val="22"/>
        </w:rPr>
        <w:t xml:space="preserve"> CIin Imm</w:t>
      </w:r>
      <w:r w:rsidR="00EA1302" w:rsidRPr="00CC0F78">
        <w:rPr>
          <w:rFonts w:cstheme="minorHAnsi"/>
          <w:noProof/>
          <w:color w:val="000000" w:themeColor="text1"/>
          <w:sz w:val="22"/>
          <w:szCs w:val="22"/>
        </w:rPr>
        <w:t>unol</w:t>
      </w:r>
      <w:r w:rsidRPr="00CC0F78">
        <w:rPr>
          <w:rFonts w:cstheme="minorHAnsi"/>
          <w:noProof/>
          <w:color w:val="000000" w:themeColor="text1"/>
          <w:sz w:val="22"/>
          <w:szCs w:val="22"/>
        </w:rPr>
        <w:t>:In Pract</w:t>
      </w:r>
      <w:r w:rsidRPr="00CC0F78">
        <w:rPr>
          <w:rFonts w:cstheme="minorHAnsi"/>
          <w:i/>
          <w:noProof/>
          <w:color w:val="000000" w:themeColor="text1"/>
          <w:sz w:val="22"/>
          <w:szCs w:val="22"/>
        </w:rPr>
        <w:t xml:space="preserve"> </w:t>
      </w:r>
      <w:r w:rsidRPr="00CC0F78">
        <w:rPr>
          <w:rFonts w:cstheme="minorHAnsi"/>
          <w:noProof/>
          <w:color w:val="000000" w:themeColor="text1"/>
          <w:sz w:val="22"/>
          <w:szCs w:val="22"/>
        </w:rPr>
        <w:t>2019</w:t>
      </w:r>
      <w:r w:rsidR="00820E0D" w:rsidRPr="00CC0F78">
        <w:rPr>
          <w:rFonts w:cstheme="minorHAnsi"/>
          <w:noProof/>
          <w:color w:val="000000" w:themeColor="text1"/>
          <w:sz w:val="22"/>
          <w:szCs w:val="22"/>
        </w:rPr>
        <w:t xml:space="preserve"> Sept 1;7(7):2411-2414 </w:t>
      </w:r>
    </w:p>
    <w:p w14:paraId="5CE13DEA" w14:textId="51462537" w:rsidR="00235421" w:rsidRPr="00CC0F78" w:rsidRDefault="00FF60CF" w:rsidP="00354EC4">
      <w:pPr>
        <w:pStyle w:val="ListParagraph"/>
        <w:numPr>
          <w:ilvl w:val="0"/>
          <w:numId w:val="11"/>
        </w:numPr>
        <w:spacing w:line="360" w:lineRule="auto"/>
        <w:jc w:val="both"/>
        <w:rPr>
          <w:rStyle w:val="Hyperlink"/>
          <w:rFonts w:cstheme="minorHAnsi"/>
          <w:bCs/>
          <w:color w:val="000000" w:themeColor="text1"/>
          <w:sz w:val="22"/>
          <w:szCs w:val="22"/>
          <w:u w:val="none"/>
        </w:rPr>
      </w:pPr>
      <w:r w:rsidRPr="00CC0F78">
        <w:rPr>
          <w:rFonts w:cstheme="minorHAnsi"/>
          <w:noProof/>
          <w:color w:val="000000" w:themeColor="text1"/>
          <w:sz w:val="22"/>
          <w:szCs w:val="22"/>
        </w:rPr>
        <w:t>Blumenthal KG</w:t>
      </w:r>
      <w:r w:rsidR="00820E0D" w:rsidRPr="00CC0F78">
        <w:rPr>
          <w:rFonts w:cstheme="minorHAnsi"/>
          <w:noProof/>
          <w:color w:val="000000" w:themeColor="text1"/>
          <w:sz w:val="22"/>
          <w:szCs w:val="22"/>
        </w:rPr>
        <w:t>, Lu N, Zhang Y</w:t>
      </w:r>
      <w:r w:rsidRPr="00CC0F78">
        <w:rPr>
          <w:rFonts w:cstheme="minorHAnsi"/>
          <w:noProof/>
          <w:color w:val="000000" w:themeColor="text1"/>
          <w:sz w:val="22"/>
          <w:szCs w:val="22"/>
        </w:rPr>
        <w:t xml:space="preserve"> et al. </w:t>
      </w:r>
      <w:r w:rsidR="00820E0D" w:rsidRPr="00CC0F78">
        <w:rPr>
          <w:rFonts w:cstheme="minorHAnsi"/>
          <w:noProof/>
          <w:color w:val="000000" w:themeColor="text1"/>
          <w:sz w:val="22"/>
          <w:szCs w:val="22"/>
        </w:rPr>
        <w:t xml:space="preserve">Risk of methicillin resistant Staphylococcus aureus and Clostridium difficile in patients with a documented penicillin allergy:population based matched cohort study. </w:t>
      </w:r>
      <w:r w:rsidR="00FC7349" w:rsidRPr="00CC0F78">
        <w:rPr>
          <w:rFonts w:cstheme="minorHAnsi"/>
          <w:noProof/>
          <w:color w:val="000000" w:themeColor="text1"/>
          <w:sz w:val="22"/>
          <w:szCs w:val="22"/>
        </w:rPr>
        <w:t>BMJ</w:t>
      </w:r>
      <w:r w:rsidRPr="00CC0F78">
        <w:rPr>
          <w:rFonts w:cstheme="minorHAnsi"/>
          <w:noProof/>
          <w:color w:val="000000" w:themeColor="text1"/>
          <w:sz w:val="22"/>
          <w:szCs w:val="22"/>
        </w:rPr>
        <w:t>. 2018</w:t>
      </w:r>
      <w:r w:rsidR="00820E0D" w:rsidRPr="00CC0F78">
        <w:rPr>
          <w:rFonts w:cstheme="minorHAnsi"/>
          <w:noProof/>
          <w:color w:val="000000" w:themeColor="text1"/>
          <w:sz w:val="22"/>
          <w:szCs w:val="22"/>
        </w:rPr>
        <w:t xml:space="preserve"> June 27;361:</w:t>
      </w:r>
      <w:r w:rsidR="004302EC" w:rsidRPr="00CC0F78">
        <w:rPr>
          <w:rFonts w:cstheme="minorHAnsi"/>
          <w:noProof/>
          <w:color w:val="000000" w:themeColor="text1"/>
          <w:sz w:val="22"/>
          <w:szCs w:val="22"/>
        </w:rPr>
        <w:t>k2400</w:t>
      </w:r>
    </w:p>
    <w:p w14:paraId="69300943" w14:textId="61230459" w:rsidR="00702234" w:rsidRPr="00235421" w:rsidRDefault="00FF60CF" w:rsidP="00354EC4">
      <w:pPr>
        <w:pStyle w:val="ListParagraph"/>
        <w:numPr>
          <w:ilvl w:val="0"/>
          <w:numId w:val="11"/>
        </w:numPr>
        <w:spacing w:line="360" w:lineRule="auto"/>
        <w:jc w:val="both"/>
        <w:rPr>
          <w:rFonts w:cstheme="minorHAnsi"/>
          <w:bCs/>
          <w:sz w:val="22"/>
          <w:szCs w:val="22"/>
        </w:rPr>
      </w:pPr>
      <w:r w:rsidRPr="00CC0F78">
        <w:rPr>
          <w:rFonts w:cstheme="minorHAnsi"/>
          <w:color w:val="000000" w:themeColor="text1"/>
          <w:sz w:val="22"/>
          <w:szCs w:val="22"/>
        </w:rPr>
        <w:t>Lee OC, Cheng DC, Paul J et al</w:t>
      </w:r>
      <w:r w:rsidRPr="00235421">
        <w:rPr>
          <w:rFonts w:cstheme="minorHAnsi"/>
          <w:sz w:val="22"/>
          <w:szCs w:val="22"/>
        </w:rPr>
        <w:t>. Economic Burden of Patient-Reported Penicillin Allergy on Total Hip and Total Knee Arthroplasty</w:t>
      </w:r>
      <w:r w:rsidR="004302EC">
        <w:rPr>
          <w:rFonts w:cstheme="minorHAnsi"/>
          <w:sz w:val="22"/>
          <w:szCs w:val="22"/>
        </w:rPr>
        <w:t xml:space="preserve">. </w:t>
      </w:r>
      <w:r w:rsidR="004302EC" w:rsidRPr="004302EC">
        <w:rPr>
          <w:rFonts w:cstheme="minorHAnsi"/>
          <w:iCs/>
          <w:sz w:val="22"/>
          <w:szCs w:val="22"/>
        </w:rPr>
        <w:t>J of Arth</w:t>
      </w:r>
      <w:r w:rsidR="004302EC">
        <w:rPr>
          <w:rFonts w:cstheme="minorHAnsi"/>
          <w:iCs/>
          <w:sz w:val="22"/>
          <w:szCs w:val="22"/>
        </w:rPr>
        <w:t>ro</w:t>
      </w:r>
      <w:r w:rsidR="004302EC" w:rsidRPr="004302EC">
        <w:rPr>
          <w:rFonts w:cstheme="minorHAnsi"/>
          <w:iCs/>
          <w:sz w:val="22"/>
          <w:szCs w:val="22"/>
        </w:rPr>
        <w:t>plasty</w:t>
      </w:r>
      <w:r w:rsidR="004302EC" w:rsidRPr="00235421">
        <w:rPr>
          <w:rFonts w:cstheme="minorHAnsi"/>
          <w:sz w:val="22"/>
          <w:szCs w:val="22"/>
        </w:rPr>
        <w:t xml:space="preserve"> </w:t>
      </w:r>
      <w:r w:rsidR="004302EC">
        <w:rPr>
          <w:rFonts w:cstheme="minorHAnsi"/>
          <w:sz w:val="22"/>
          <w:szCs w:val="22"/>
        </w:rPr>
        <w:t>Sept;36(9)</w:t>
      </w:r>
      <w:r w:rsidR="004302EC" w:rsidRPr="00235421">
        <w:rPr>
          <w:rFonts w:cstheme="minorHAnsi"/>
          <w:sz w:val="22"/>
          <w:szCs w:val="22"/>
        </w:rPr>
        <w:t>: 3067-3072</w:t>
      </w:r>
    </w:p>
    <w:p w14:paraId="02D16E62" w14:textId="3DD60906" w:rsidR="00702234" w:rsidRPr="00235421" w:rsidRDefault="00FF60CF" w:rsidP="00354EC4">
      <w:pPr>
        <w:pStyle w:val="NormalWeb"/>
        <w:numPr>
          <w:ilvl w:val="0"/>
          <w:numId w:val="11"/>
        </w:numPr>
        <w:spacing w:line="360" w:lineRule="auto"/>
        <w:rPr>
          <w:rFonts w:asciiTheme="minorHAnsi" w:hAnsiTheme="minorHAnsi" w:cstheme="minorHAnsi"/>
          <w:color w:val="000000" w:themeColor="text1"/>
          <w:sz w:val="22"/>
          <w:szCs w:val="22"/>
          <w:bdr w:val="none" w:sz="0" w:space="0" w:color="auto" w:frame="1"/>
        </w:rPr>
      </w:pPr>
      <w:r w:rsidRPr="00235421">
        <w:rPr>
          <w:rStyle w:val="Hyperlink"/>
          <w:rFonts w:asciiTheme="minorHAnsi" w:hAnsiTheme="minorHAnsi" w:cstheme="minorHAnsi"/>
          <w:color w:val="000000" w:themeColor="text1"/>
          <w:sz w:val="22"/>
          <w:szCs w:val="22"/>
          <w:u w:val="none"/>
          <w:bdr w:val="none" w:sz="0" w:space="0" w:color="auto" w:frame="1"/>
        </w:rPr>
        <w:t>Mattingly TJ</w:t>
      </w:r>
      <w:r w:rsidR="004302EC">
        <w:rPr>
          <w:rStyle w:val="Hyperlink"/>
          <w:rFonts w:asciiTheme="minorHAnsi" w:hAnsiTheme="minorHAnsi" w:cstheme="minorHAnsi"/>
          <w:color w:val="000000" w:themeColor="text1"/>
          <w:sz w:val="22"/>
          <w:szCs w:val="22"/>
          <w:u w:val="none"/>
          <w:bdr w:val="none" w:sz="0" w:space="0" w:color="auto" w:frame="1"/>
        </w:rPr>
        <w:t xml:space="preserve">, Fulton A, </w:t>
      </w:r>
      <w:proofErr w:type="spellStart"/>
      <w:r w:rsidR="004302EC">
        <w:rPr>
          <w:rStyle w:val="Hyperlink"/>
          <w:rFonts w:asciiTheme="minorHAnsi" w:hAnsiTheme="minorHAnsi" w:cstheme="minorHAnsi"/>
          <w:color w:val="000000" w:themeColor="text1"/>
          <w:sz w:val="22"/>
          <w:szCs w:val="22"/>
          <w:u w:val="none"/>
          <w:bdr w:val="none" w:sz="0" w:space="0" w:color="auto" w:frame="1"/>
        </w:rPr>
        <w:t>Lumish</w:t>
      </w:r>
      <w:proofErr w:type="spellEnd"/>
      <w:r w:rsidR="004302EC">
        <w:rPr>
          <w:rStyle w:val="Hyperlink"/>
          <w:rFonts w:asciiTheme="minorHAnsi" w:hAnsiTheme="minorHAnsi" w:cstheme="minorHAnsi"/>
          <w:color w:val="000000" w:themeColor="text1"/>
          <w:sz w:val="22"/>
          <w:szCs w:val="22"/>
          <w:u w:val="none"/>
          <w:bdr w:val="none" w:sz="0" w:space="0" w:color="auto" w:frame="1"/>
        </w:rPr>
        <w:t xml:space="preserve"> RA</w:t>
      </w:r>
      <w:r w:rsidRPr="00235421">
        <w:rPr>
          <w:rStyle w:val="Hyperlink"/>
          <w:rFonts w:asciiTheme="minorHAnsi" w:hAnsiTheme="minorHAnsi" w:cstheme="minorHAnsi"/>
          <w:color w:val="000000" w:themeColor="text1"/>
          <w:sz w:val="22"/>
          <w:szCs w:val="22"/>
          <w:u w:val="none"/>
          <w:bdr w:val="none" w:sz="0" w:space="0" w:color="auto" w:frame="1"/>
        </w:rPr>
        <w:t xml:space="preserve"> et al. </w:t>
      </w:r>
      <w:r w:rsidR="004302EC">
        <w:rPr>
          <w:rStyle w:val="Hyperlink"/>
          <w:rFonts w:asciiTheme="minorHAnsi" w:hAnsiTheme="minorHAnsi" w:cstheme="minorHAnsi"/>
          <w:color w:val="000000" w:themeColor="text1"/>
          <w:sz w:val="22"/>
          <w:szCs w:val="22"/>
          <w:u w:val="none"/>
          <w:bdr w:val="none" w:sz="0" w:space="0" w:color="auto" w:frame="1"/>
        </w:rPr>
        <w:t xml:space="preserve">The cost of self-reported penicillin allergy: a systematic review. </w:t>
      </w:r>
      <w:r w:rsidRPr="004302EC">
        <w:rPr>
          <w:rFonts w:asciiTheme="minorHAnsi" w:hAnsiTheme="minorHAnsi" w:cstheme="minorHAnsi"/>
          <w:iCs/>
          <w:color w:val="505050"/>
          <w:sz w:val="22"/>
          <w:szCs w:val="22"/>
        </w:rPr>
        <w:t>J Allergy Clin Immunol</w:t>
      </w:r>
      <w:r w:rsidRPr="00235421">
        <w:rPr>
          <w:rFonts w:asciiTheme="minorHAnsi" w:hAnsiTheme="minorHAnsi" w:cstheme="minorHAnsi"/>
          <w:i/>
          <w:iCs/>
          <w:color w:val="505050"/>
          <w:sz w:val="22"/>
          <w:szCs w:val="22"/>
        </w:rPr>
        <w:t xml:space="preserve"> </w:t>
      </w:r>
      <w:r w:rsidRPr="00235421">
        <w:rPr>
          <w:rFonts w:asciiTheme="minorHAnsi" w:hAnsiTheme="minorHAnsi" w:cstheme="minorHAnsi"/>
          <w:color w:val="505050"/>
          <w:sz w:val="22"/>
          <w:szCs w:val="22"/>
        </w:rPr>
        <w:t>2018</w:t>
      </w:r>
      <w:r w:rsidR="004302EC">
        <w:rPr>
          <w:rFonts w:asciiTheme="minorHAnsi" w:hAnsiTheme="minorHAnsi" w:cstheme="minorHAnsi"/>
          <w:color w:val="505050"/>
          <w:sz w:val="22"/>
          <w:szCs w:val="22"/>
        </w:rPr>
        <w:t xml:space="preserve"> Sept</w:t>
      </w:r>
      <w:r w:rsidRPr="00235421">
        <w:rPr>
          <w:rFonts w:asciiTheme="minorHAnsi" w:hAnsiTheme="minorHAnsi" w:cstheme="minorHAnsi"/>
          <w:color w:val="505050"/>
          <w:sz w:val="22"/>
          <w:szCs w:val="22"/>
        </w:rPr>
        <w:t>;</w:t>
      </w:r>
      <w:r w:rsidR="004302EC">
        <w:rPr>
          <w:rFonts w:asciiTheme="minorHAnsi" w:hAnsiTheme="minorHAnsi" w:cstheme="minorHAnsi"/>
          <w:color w:val="505050"/>
          <w:sz w:val="22"/>
          <w:szCs w:val="22"/>
        </w:rPr>
        <w:t>6(5):1649-1654</w:t>
      </w:r>
      <w:r w:rsidRPr="00235421">
        <w:rPr>
          <w:rFonts w:asciiTheme="minorHAnsi" w:hAnsiTheme="minorHAnsi" w:cstheme="minorHAnsi"/>
          <w:i/>
          <w:iCs/>
          <w:color w:val="505050"/>
          <w:sz w:val="22"/>
          <w:szCs w:val="22"/>
        </w:rPr>
        <w:t xml:space="preserve"> </w:t>
      </w:r>
    </w:p>
    <w:p w14:paraId="364179DC" w14:textId="49C28204" w:rsidR="00702234" w:rsidRPr="00235421" w:rsidRDefault="00FF60CF" w:rsidP="00354EC4">
      <w:pPr>
        <w:pStyle w:val="ListParagraph"/>
        <w:numPr>
          <w:ilvl w:val="0"/>
          <w:numId w:val="11"/>
        </w:numPr>
        <w:spacing w:after="100" w:line="360" w:lineRule="auto"/>
        <w:rPr>
          <w:rFonts w:cstheme="minorHAnsi"/>
          <w:sz w:val="22"/>
          <w:szCs w:val="22"/>
        </w:rPr>
      </w:pPr>
      <w:r w:rsidRPr="00702234">
        <w:rPr>
          <w:rFonts w:cstheme="minorHAnsi"/>
          <w:bCs/>
          <w:sz w:val="22"/>
          <w:szCs w:val="22"/>
        </w:rPr>
        <w:t>Sousa-Pinto</w:t>
      </w:r>
      <w:r w:rsidR="004302EC">
        <w:rPr>
          <w:rFonts w:cstheme="minorHAnsi"/>
          <w:bCs/>
          <w:sz w:val="22"/>
          <w:szCs w:val="22"/>
        </w:rPr>
        <w:t xml:space="preserve"> B</w:t>
      </w:r>
      <w:r w:rsidRPr="00702234">
        <w:rPr>
          <w:rFonts w:cstheme="minorHAnsi"/>
          <w:bCs/>
          <w:sz w:val="22"/>
          <w:szCs w:val="22"/>
        </w:rPr>
        <w:t xml:space="preserve">, Blumenthal </w:t>
      </w:r>
      <w:r w:rsidR="004302EC">
        <w:rPr>
          <w:rFonts w:cstheme="minorHAnsi"/>
          <w:bCs/>
          <w:sz w:val="22"/>
          <w:szCs w:val="22"/>
        </w:rPr>
        <w:t xml:space="preserve">KG, Macy E </w:t>
      </w:r>
      <w:r w:rsidRPr="00702234">
        <w:rPr>
          <w:rFonts w:cstheme="minorHAnsi"/>
          <w:bCs/>
          <w:sz w:val="22"/>
          <w:szCs w:val="22"/>
        </w:rPr>
        <w:t xml:space="preserve">et al. </w:t>
      </w:r>
      <w:r w:rsidRPr="00702234">
        <w:rPr>
          <w:rFonts w:cstheme="minorHAnsi"/>
          <w:sz w:val="22"/>
          <w:szCs w:val="22"/>
        </w:rPr>
        <w:t>Penicillin Allergy Testing Is Cost-Saving: An Economic Evaluation Study</w:t>
      </w:r>
      <w:r w:rsidR="004302EC">
        <w:rPr>
          <w:rFonts w:cstheme="minorHAnsi"/>
          <w:sz w:val="22"/>
          <w:szCs w:val="22"/>
        </w:rPr>
        <w:t xml:space="preserve">. </w:t>
      </w:r>
      <w:r w:rsidR="004302EC" w:rsidRPr="004302EC">
        <w:rPr>
          <w:rFonts w:cstheme="minorHAnsi"/>
          <w:bCs/>
          <w:iCs/>
          <w:sz w:val="22"/>
          <w:szCs w:val="22"/>
        </w:rPr>
        <w:t>Clin Infect Dis</w:t>
      </w:r>
      <w:r w:rsidR="004302EC" w:rsidRPr="00702234">
        <w:rPr>
          <w:rFonts w:cstheme="minorHAnsi"/>
          <w:bCs/>
          <w:sz w:val="22"/>
          <w:szCs w:val="22"/>
        </w:rPr>
        <w:t xml:space="preserve"> </w:t>
      </w:r>
      <w:r w:rsidR="004302EC">
        <w:rPr>
          <w:rFonts w:cstheme="minorHAnsi"/>
          <w:sz w:val="22"/>
          <w:szCs w:val="22"/>
        </w:rPr>
        <w:t xml:space="preserve">2021 March;72(6):924-938 </w:t>
      </w:r>
    </w:p>
    <w:p w14:paraId="0408DE09" w14:textId="2B75FCAB" w:rsidR="00702234" w:rsidRPr="00235421" w:rsidRDefault="00FF60CF" w:rsidP="00354EC4">
      <w:pPr>
        <w:pStyle w:val="ListParagraph"/>
        <w:numPr>
          <w:ilvl w:val="0"/>
          <w:numId w:val="11"/>
        </w:numPr>
        <w:spacing w:line="360" w:lineRule="auto"/>
        <w:jc w:val="both"/>
        <w:rPr>
          <w:rFonts w:cstheme="minorHAnsi"/>
          <w:sz w:val="22"/>
          <w:szCs w:val="22"/>
        </w:rPr>
      </w:pPr>
      <w:r w:rsidRPr="00702234">
        <w:rPr>
          <w:rFonts w:cstheme="minorHAnsi"/>
          <w:noProof/>
          <w:sz w:val="22"/>
          <w:szCs w:val="22"/>
        </w:rPr>
        <w:t>Pagani NR, Moverman MA, Puzzitiello RN</w:t>
      </w:r>
      <w:r w:rsidR="004302EC">
        <w:rPr>
          <w:rFonts w:cstheme="minorHAnsi"/>
          <w:noProof/>
          <w:sz w:val="22"/>
          <w:szCs w:val="22"/>
        </w:rPr>
        <w:t xml:space="preserve"> et al.</w:t>
      </w:r>
      <w:r w:rsidRPr="00702234">
        <w:rPr>
          <w:rFonts w:cstheme="minorHAnsi"/>
          <w:noProof/>
          <w:sz w:val="22"/>
          <w:szCs w:val="22"/>
        </w:rPr>
        <w:t xml:space="preserve"> </w:t>
      </w:r>
      <w:r w:rsidRPr="00702234">
        <w:rPr>
          <w:rFonts w:cstheme="minorHAnsi"/>
          <w:sz w:val="22"/>
          <w:szCs w:val="22"/>
        </w:rPr>
        <w:t>Preoperative Allergy Testing for Patients Reporting Penicillin and Cephalosporin Allergies is Cost-Effective in Preventing Infection after Total Knee and Hip Arthroplasty</w:t>
      </w:r>
      <w:r w:rsidR="004302EC">
        <w:rPr>
          <w:rFonts w:cstheme="minorHAnsi"/>
          <w:sz w:val="22"/>
          <w:szCs w:val="22"/>
        </w:rPr>
        <w:t>.</w:t>
      </w:r>
      <w:r w:rsidRPr="00702234">
        <w:rPr>
          <w:rFonts w:cstheme="minorHAnsi"/>
          <w:sz w:val="22"/>
          <w:szCs w:val="22"/>
        </w:rPr>
        <w:t xml:space="preserve"> </w:t>
      </w:r>
      <w:r w:rsidR="004302EC" w:rsidRPr="004302EC">
        <w:rPr>
          <w:rFonts w:cstheme="minorHAnsi"/>
          <w:iCs/>
          <w:noProof/>
          <w:sz w:val="22"/>
          <w:szCs w:val="22"/>
        </w:rPr>
        <w:t>J Arthroplasty</w:t>
      </w:r>
      <w:r w:rsidR="004302EC">
        <w:rPr>
          <w:rFonts w:cstheme="minorHAnsi"/>
          <w:sz w:val="22"/>
          <w:szCs w:val="22"/>
        </w:rPr>
        <w:t xml:space="preserve"> Feb;36(2):700-704 </w:t>
      </w:r>
      <w:r w:rsidR="004302EC" w:rsidRPr="004302EC">
        <w:rPr>
          <w:rFonts w:cstheme="minorHAnsi"/>
          <w:sz w:val="22"/>
          <w:szCs w:val="22"/>
        </w:rPr>
        <w:t xml:space="preserve"> </w:t>
      </w:r>
    </w:p>
    <w:p w14:paraId="5FCDE533" w14:textId="0B0E97E2" w:rsidR="00702234" w:rsidRPr="00235421" w:rsidRDefault="00FF60CF" w:rsidP="00354EC4">
      <w:pPr>
        <w:pStyle w:val="EndNoteBibliography"/>
        <w:numPr>
          <w:ilvl w:val="0"/>
          <w:numId w:val="11"/>
        </w:numPr>
        <w:spacing w:line="360" w:lineRule="auto"/>
        <w:rPr>
          <w:rFonts w:asciiTheme="minorHAnsi" w:hAnsiTheme="minorHAnsi" w:cstheme="minorHAnsi"/>
          <w:noProof/>
          <w:sz w:val="22"/>
          <w:szCs w:val="22"/>
        </w:rPr>
      </w:pPr>
      <w:r w:rsidRPr="00702234">
        <w:rPr>
          <w:rFonts w:asciiTheme="minorHAnsi" w:hAnsiTheme="minorHAnsi" w:cstheme="minorHAnsi"/>
          <w:noProof/>
          <w:sz w:val="22"/>
          <w:szCs w:val="22"/>
        </w:rPr>
        <w:t xml:space="preserve">Sobrino-Garcia M, Munoz-Bellido FJ, Moreno E, et al. </w:t>
      </w:r>
      <w:r w:rsidR="004302EC">
        <w:rPr>
          <w:rFonts w:asciiTheme="minorHAnsi" w:hAnsiTheme="minorHAnsi" w:cstheme="minorHAnsi"/>
          <w:noProof/>
          <w:sz w:val="22"/>
          <w:szCs w:val="22"/>
        </w:rPr>
        <w:t>A comprehensive prospective study of the costs associated with evaluation of b-lactam allergy</w:t>
      </w:r>
      <w:r w:rsidR="00755E24">
        <w:rPr>
          <w:rFonts w:asciiTheme="minorHAnsi" w:hAnsiTheme="minorHAnsi" w:cstheme="minorHAnsi"/>
          <w:noProof/>
          <w:sz w:val="22"/>
          <w:szCs w:val="22"/>
        </w:rPr>
        <w:t xml:space="preserve">. </w:t>
      </w:r>
      <w:r w:rsidRPr="004302EC">
        <w:rPr>
          <w:rFonts w:asciiTheme="minorHAnsi" w:hAnsiTheme="minorHAnsi" w:cstheme="minorHAnsi"/>
          <w:iCs/>
          <w:noProof/>
          <w:sz w:val="22"/>
          <w:szCs w:val="22"/>
        </w:rPr>
        <w:t>J Investig All</w:t>
      </w:r>
      <w:r w:rsidR="00FC7349">
        <w:rPr>
          <w:rFonts w:asciiTheme="minorHAnsi" w:hAnsiTheme="minorHAnsi" w:cstheme="minorHAnsi"/>
          <w:iCs/>
          <w:noProof/>
          <w:sz w:val="22"/>
          <w:szCs w:val="22"/>
        </w:rPr>
        <w:t xml:space="preserve">lergy </w:t>
      </w:r>
      <w:r w:rsidRPr="004302EC">
        <w:rPr>
          <w:rFonts w:asciiTheme="minorHAnsi" w:hAnsiTheme="minorHAnsi" w:cstheme="minorHAnsi"/>
          <w:iCs/>
          <w:noProof/>
          <w:sz w:val="22"/>
          <w:szCs w:val="22"/>
        </w:rPr>
        <w:t>Clin Immunol</w:t>
      </w:r>
      <w:r w:rsidRPr="00702234">
        <w:rPr>
          <w:rFonts w:asciiTheme="minorHAnsi" w:hAnsiTheme="minorHAnsi" w:cstheme="minorHAnsi"/>
          <w:noProof/>
          <w:sz w:val="22"/>
          <w:szCs w:val="22"/>
        </w:rPr>
        <w:t xml:space="preserve"> 2021; 31(1): 52-57</w:t>
      </w:r>
    </w:p>
    <w:p w14:paraId="40B94311" w14:textId="0B888BDA" w:rsidR="00702234" w:rsidRPr="00235421" w:rsidRDefault="00FF60CF" w:rsidP="00354EC4">
      <w:pPr>
        <w:pStyle w:val="EndNoteBibliography"/>
        <w:numPr>
          <w:ilvl w:val="0"/>
          <w:numId w:val="11"/>
        </w:numPr>
        <w:spacing w:line="360" w:lineRule="auto"/>
        <w:rPr>
          <w:rFonts w:asciiTheme="minorHAnsi" w:hAnsiTheme="minorHAnsi" w:cstheme="minorHAnsi"/>
          <w:noProof/>
          <w:sz w:val="22"/>
          <w:szCs w:val="22"/>
        </w:rPr>
      </w:pPr>
      <w:r w:rsidRPr="00702234">
        <w:rPr>
          <w:rFonts w:asciiTheme="minorHAnsi" w:hAnsiTheme="minorHAnsi" w:cstheme="minorHAnsi"/>
          <w:noProof/>
          <w:sz w:val="22"/>
          <w:szCs w:val="22"/>
        </w:rPr>
        <w:t xml:space="preserve">Royal Coll Physicians. Allergy: the unmet need. 2003. URL: </w:t>
      </w:r>
      <w:hyperlink r:id="rId10" w:history="1">
        <w:r w:rsidR="00702234" w:rsidRPr="0080164B">
          <w:rPr>
            <w:rStyle w:val="Hyperlink"/>
            <w:rFonts w:asciiTheme="minorHAnsi" w:hAnsiTheme="minorHAnsi" w:cstheme="minorHAnsi"/>
            <w:sz w:val="22"/>
            <w:szCs w:val="22"/>
          </w:rPr>
          <w:t>www.bsaci.org/wp-content/uploads/2020/02/allergy_the_unmet_need.pdf</w:t>
        </w:r>
      </w:hyperlink>
      <w:r w:rsidR="00755E24">
        <w:rPr>
          <w:rStyle w:val="Hyperlink"/>
          <w:rFonts w:asciiTheme="minorHAnsi" w:hAnsiTheme="minorHAnsi" w:cstheme="minorHAnsi"/>
          <w:sz w:val="22"/>
          <w:szCs w:val="22"/>
        </w:rPr>
        <w:t xml:space="preserve"> (accessed 4/5/2022)</w:t>
      </w:r>
    </w:p>
    <w:p w14:paraId="1340B27F" w14:textId="0EB1B9B2" w:rsidR="00702234" w:rsidRPr="00235421" w:rsidRDefault="00FF60CF" w:rsidP="00354EC4">
      <w:pPr>
        <w:numPr>
          <w:ilvl w:val="0"/>
          <w:numId w:val="11"/>
        </w:numPr>
        <w:spacing w:after="0" w:line="360" w:lineRule="auto"/>
        <w:rPr>
          <w:rFonts w:asciiTheme="minorHAnsi" w:hAnsiTheme="minorHAnsi" w:cstheme="minorHAnsi"/>
        </w:rPr>
      </w:pPr>
      <w:proofErr w:type="spellStart"/>
      <w:r w:rsidRPr="00702234">
        <w:rPr>
          <w:rFonts w:asciiTheme="minorHAnsi" w:hAnsiTheme="minorHAnsi" w:cstheme="minorHAnsi"/>
        </w:rPr>
        <w:lastRenderedPageBreak/>
        <w:t>Dworzynski</w:t>
      </w:r>
      <w:proofErr w:type="spellEnd"/>
      <w:r w:rsidRPr="00702234">
        <w:rPr>
          <w:rFonts w:asciiTheme="minorHAnsi" w:hAnsiTheme="minorHAnsi" w:cstheme="minorHAnsi"/>
        </w:rPr>
        <w:t xml:space="preserve"> K, Ardern-Jones M, </w:t>
      </w:r>
      <w:r w:rsidRPr="00702234">
        <w:rPr>
          <w:rFonts w:asciiTheme="minorHAnsi" w:hAnsiTheme="minorHAnsi" w:cstheme="minorHAnsi"/>
          <w:bCs/>
        </w:rPr>
        <w:t>Nasser</w:t>
      </w:r>
      <w:r w:rsidRPr="00702234">
        <w:rPr>
          <w:rFonts w:asciiTheme="minorHAnsi" w:hAnsiTheme="minorHAnsi" w:cstheme="minorHAnsi"/>
        </w:rPr>
        <w:t xml:space="preserve"> S. </w:t>
      </w:r>
      <w:r w:rsidRPr="00CC0F78">
        <w:rPr>
          <w:rFonts w:asciiTheme="minorHAnsi" w:hAnsiTheme="minorHAnsi" w:cstheme="minorHAnsi"/>
          <w:bCs/>
          <w:color w:val="000000" w:themeColor="text1"/>
        </w:rPr>
        <w:t>Diagnosis and management of drug allergy in adults,</w:t>
      </w:r>
      <w:r w:rsidRPr="00CC0F78">
        <w:rPr>
          <w:rFonts w:asciiTheme="minorHAnsi" w:hAnsiTheme="minorHAnsi" w:cstheme="minorHAnsi"/>
          <w:color w:val="000000" w:themeColor="text1"/>
        </w:rPr>
        <w:t xml:space="preserve"> </w:t>
      </w:r>
      <w:r w:rsidRPr="00CC0F78">
        <w:rPr>
          <w:rFonts w:asciiTheme="minorHAnsi" w:hAnsiTheme="minorHAnsi" w:cstheme="minorHAnsi"/>
          <w:bCs/>
          <w:color w:val="000000" w:themeColor="text1"/>
        </w:rPr>
        <w:t xml:space="preserve">children and young people: summary of NICE guidance. </w:t>
      </w:r>
      <w:r w:rsidRPr="00CC0F78">
        <w:rPr>
          <w:rStyle w:val="jrnl"/>
          <w:rFonts w:asciiTheme="minorHAnsi" w:hAnsiTheme="minorHAnsi" w:cstheme="minorHAnsi"/>
          <w:bCs/>
          <w:color w:val="000000" w:themeColor="text1"/>
        </w:rPr>
        <w:t>BMJ</w:t>
      </w:r>
      <w:r w:rsidRPr="00CC0F78">
        <w:rPr>
          <w:rFonts w:asciiTheme="minorHAnsi" w:hAnsiTheme="minorHAnsi" w:cstheme="minorHAnsi"/>
          <w:color w:val="000000" w:themeColor="text1"/>
        </w:rPr>
        <w:t xml:space="preserve">. </w:t>
      </w:r>
      <w:r w:rsidRPr="00702234">
        <w:rPr>
          <w:rFonts w:asciiTheme="minorHAnsi" w:hAnsiTheme="minorHAnsi" w:cstheme="minorHAnsi"/>
        </w:rPr>
        <w:t xml:space="preserve">2014 Sep </w:t>
      </w:r>
      <w:proofErr w:type="gramStart"/>
      <w:r w:rsidRPr="00702234">
        <w:rPr>
          <w:rFonts w:asciiTheme="minorHAnsi" w:hAnsiTheme="minorHAnsi" w:cstheme="minorHAnsi"/>
        </w:rPr>
        <w:t>3;349:4852</w:t>
      </w:r>
      <w:proofErr w:type="gramEnd"/>
      <w:r w:rsidRPr="00702234">
        <w:rPr>
          <w:rFonts w:asciiTheme="minorHAnsi" w:hAnsiTheme="minorHAnsi" w:cstheme="minorHAnsi"/>
        </w:rPr>
        <w:t xml:space="preserve">. </w:t>
      </w:r>
    </w:p>
    <w:p w14:paraId="245A8F9C" w14:textId="04044E93" w:rsidR="00FF60CF" w:rsidRPr="00702234" w:rsidRDefault="00FF60CF" w:rsidP="00354EC4">
      <w:pPr>
        <w:pStyle w:val="ListParagraph"/>
        <w:numPr>
          <w:ilvl w:val="0"/>
          <w:numId w:val="11"/>
        </w:numPr>
        <w:spacing w:line="360" w:lineRule="auto"/>
        <w:jc w:val="both"/>
        <w:rPr>
          <w:rStyle w:val="Hyperlink"/>
          <w:rFonts w:cstheme="minorHAnsi"/>
          <w:bCs/>
          <w:color w:val="auto"/>
          <w:sz w:val="22"/>
          <w:szCs w:val="22"/>
          <w:u w:val="none"/>
        </w:rPr>
      </w:pPr>
      <w:r w:rsidRPr="00702234">
        <w:rPr>
          <w:rFonts w:cstheme="minorHAnsi"/>
          <w:noProof/>
          <w:sz w:val="22"/>
          <w:szCs w:val="22"/>
        </w:rPr>
        <w:t>Demoly P</w:t>
      </w:r>
      <w:r w:rsidR="00755E24">
        <w:rPr>
          <w:rFonts w:cstheme="minorHAnsi"/>
          <w:noProof/>
          <w:sz w:val="22"/>
          <w:szCs w:val="22"/>
        </w:rPr>
        <w:t>, Adkinson NF, Brockow K</w:t>
      </w:r>
      <w:r w:rsidRPr="00702234">
        <w:rPr>
          <w:rFonts w:cstheme="minorHAnsi"/>
          <w:noProof/>
          <w:sz w:val="22"/>
          <w:szCs w:val="22"/>
        </w:rPr>
        <w:t xml:space="preserve"> et al. </w:t>
      </w:r>
      <w:r w:rsidR="00755E24">
        <w:rPr>
          <w:rFonts w:cstheme="minorHAnsi"/>
          <w:noProof/>
          <w:sz w:val="22"/>
          <w:szCs w:val="22"/>
        </w:rPr>
        <w:t xml:space="preserve">International consensus on drug allergy. </w:t>
      </w:r>
      <w:r w:rsidRPr="00755E24">
        <w:rPr>
          <w:rFonts w:cstheme="minorHAnsi"/>
          <w:noProof/>
          <w:sz w:val="22"/>
          <w:szCs w:val="22"/>
        </w:rPr>
        <w:t>Allergy.</w:t>
      </w:r>
      <w:r w:rsidRPr="00702234">
        <w:rPr>
          <w:rFonts w:cstheme="minorHAnsi"/>
          <w:noProof/>
          <w:sz w:val="22"/>
          <w:szCs w:val="22"/>
        </w:rPr>
        <w:t xml:space="preserve"> 2014</w:t>
      </w:r>
      <w:r w:rsidR="00755E24">
        <w:rPr>
          <w:rFonts w:cstheme="minorHAnsi"/>
          <w:noProof/>
          <w:sz w:val="22"/>
          <w:szCs w:val="22"/>
        </w:rPr>
        <w:t xml:space="preserve"> Feb 21;69(4):420-437 </w:t>
      </w:r>
    </w:p>
    <w:p w14:paraId="4F58B851" w14:textId="49E577F7" w:rsidR="00702234" w:rsidRPr="00755E24" w:rsidRDefault="00FF60CF" w:rsidP="00354EC4">
      <w:pPr>
        <w:pStyle w:val="ListParagraph"/>
        <w:numPr>
          <w:ilvl w:val="0"/>
          <w:numId w:val="11"/>
        </w:numPr>
        <w:autoSpaceDE w:val="0"/>
        <w:autoSpaceDN w:val="0"/>
        <w:adjustRightInd w:val="0"/>
        <w:spacing w:line="360" w:lineRule="auto"/>
        <w:rPr>
          <w:rFonts w:cstheme="minorHAnsi"/>
          <w:bCs/>
          <w:color w:val="000000" w:themeColor="text1"/>
          <w:sz w:val="22"/>
          <w:szCs w:val="22"/>
        </w:rPr>
      </w:pPr>
      <w:r w:rsidRPr="00755E24">
        <w:rPr>
          <w:rFonts w:cstheme="minorHAnsi"/>
          <w:color w:val="000000" w:themeColor="text1"/>
          <w:sz w:val="22"/>
          <w:szCs w:val="22"/>
        </w:rPr>
        <w:t>Tucker MH</w:t>
      </w:r>
      <w:r w:rsidR="00755E24" w:rsidRPr="00755E24">
        <w:rPr>
          <w:rFonts w:cstheme="minorHAnsi"/>
          <w:color w:val="000000" w:themeColor="text1"/>
          <w:sz w:val="22"/>
          <w:szCs w:val="22"/>
        </w:rPr>
        <w:t xml:space="preserve">, Lomas CM, </w:t>
      </w:r>
      <w:proofErr w:type="spellStart"/>
      <w:r w:rsidR="00755E24" w:rsidRPr="00755E24">
        <w:rPr>
          <w:rFonts w:cstheme="minorHAnsi"/>
          <w:color w:val="000000" w:themeColor="text1"/>
          <w:sz w:val="22"/>
          <w:szCs w:val="22"/>
        </w:rPr>
        <w:t>Ramchander</w:t>
      </w:r>
      <w:proofErr w:type="spellEnd"/>
      <w:r w:rsidR="00755E24" w:rsidRPr="00755E24">
        <w:rPr>
          <w:rFonts w:cstheme="minorHAnsi"/>
          <w:color w:val="000000" w:themeColor="text1"/>
          <w:sz w:val="22"/>
          <w:szCs w:val="22"/>
        </w:rPr>
        <w:t xml:space="preserve"> N</w:t>
      </w:r>
      <w:r w:rsidRPr="00755E24">
        <w:rPr>
          <w:rFonts w:cstheme="minorHAnsi"/>
          <w:color w:val="000000" w:themeColor="text1"/>
          <w:sz w:val="22"/>
          <w:szCs w:val="22"/>
        </w:rPr>
        <w:t xml:space="preserve"> et al</w:t>
      </w:r>
      <w:r w:rsidR="00755E24" w:rsidRPr="00755E24">
        <w:rPr>
          <w:rFonts w:cstheme="minorHAnsi"/>
          <w:color w:val="000000" w:themeColor="text1"/>
          <w:sz w:val="22"/>
          <w:szCs w:val="22"/>
        </w:rPr>
        <w:t xml:space="preserve">. Amoxicillin challenge without penicillin skin testing in evaluation of penicillin allergy in a cohort of Marine recruits. </w:t>
      </w:r>
      <w:r w:rsidRPr="00755E24">
        <w:rPr>
          <w:rFonts w:cstheme="minorHAnsi"/>
          <w:color w:val="000000" w:themeColor="text1"/>
          <w:sz w:val="22"/>
          <w:szCs w:val="22"/>
        </w:rPr>
        <w:t xml:space="preserve"> </w:t>
      </w:r>
      <w:r w:rsidRPr="00755E24">
        <w:rPr>
          <w:rFonts w:cstheme="minorHAnsi"/>
          <w:iCs/>
          <w:color w:val="000000" w:themeColor="text1"/>
          <w:sz w:val="22"/>
          <w:szCs w:val="22"/>
        </w:rPr>
        <w:t>J Allergy Clin Immunol</w:t>
      </w:r>
      <w:r w:rsidR="00FC7349">
        <w:rPr>
          <w:rFonts w:cstheme="minorHAnsi"/>
          <w:iCs/>
          <w:color w:val="000000" w:themeColor="text1"/>
          <w:sz w:val="22"/>
          <w:szCs w:val="22"/>
        </w:rPr>
        <w:t xml:space="preserve">: In </w:t>
      </w:r>
      <w:proofErr w:type="spellStart"/>
      <w:r w:rsidRPr="00A05168">
        <w:rPr>
          <w:rFonts w:cstheme="minorHAnsi"/>
          <w:iCs/>
          <w:color w:val="000000" w:themeColor="text1"/>
          <w:sz w:val="22"/>
          <w:szCs w:val="22"/>
        </w:rPr>
        <w:t>Pract</w:t>
      </w:r>
      <w:proofErr w:type="spellEnd"/>
      <w:r w:rsidRPr="00755E24">
        <w:rPr>
          <w:rFonts w:cstheme="minorHAnsi"/>
          <w:color w:val="000000" w:themeColor="text1"/>
          <w:sz w:val="22"/>
          <w:szCs w:val="22"/>
        </w:rPr>
        <w:t xml:space="preserve"> 2017; 5: 813e5</w:t>
      </w:r>
    </w:p>
    <w:p w14:paraId="666A2A72" w14:textId="3A645518" w:rsidR="00702234" w:rsidRPr="00755E24" w:rsidRDefault="00FF60CF" w:rsidP="00354EC4">
      <w:pPr>
        <w:pStyle w:val="ListParagraph"/>
        <w:numPr>
          <w:ilvl w:val="0"/>
          <w:numId w:val="11"/>
        </w:numPr>
        <w:autoSpaceDE w:val="0"/>
        <w:autoSpaceDN w:val="0"/>
        <w:adjustRightInd w:val="0"/>
        <w:spacing w:line="360" w:lineRule="auto"/>
        <w:rPr>
          <w:rFonts w:cstheme="minorHAnsi"/>
          <w:color w:val="000000" w:themeColor="text1"/>
          <w:sz w:val="22"/>
          <w:szCs w:val="22"/>
        </w:rPr>
      </w:pPr>
      <w:proofErr w:type="spellStart"/>
      <w:r w:rsidRPr="00755E24">
        <w:rPr>
          <w:rFonts w:cstheme="minorHAnsi"/>
          <w:color w:val="000000" w:themeColor="text1"/>
          <w:sz w:val="22"/>
          <w:szCs w:val="22"/>
        </w:rPr>
        <w:t>Iammatteo</w:t>
      </w:r>
      <w:proofErr w:type="spellEnd"/>
      <w:r w:rsidRPr="00755E24">
        <w:rPr>
          <w:rFonts w:cstheme="minorHAnsi"/>
          <w:color w:val="000000" w:themeColor="text1"/>
          <w:sz w:val="22"/>
          <w:szCs w:val="22"/>
        </w:rPr>
        <w:t xml:space="preserve"> M</w:t>
      </w:r>
      <w:r w:rsidR="00755E24">
        <w:rPr>
          <w:rFonts w:cstheme="minorHAnsi"/>
          <w:color w:val="000000" w:themeColor="text1"/>
          <w:sz w:val="22"/>
          <w:szCs w:val="22"/>
        </w:rPr>
        <w:t xml:space="preserve">, Arango SA, </w:t>
      </w:r>
      <w:proofErr w:type="spellStart"/>
      <w:r w:rsidR="00755E24">
        <w:rPr>
          <w:rFonts w:cstheme="minorHAnsi"/>
          <w:color w:val="000000" w:themeColor="text1"/>
          <w:sz w:val="22"/>
          <w:szCs w:val="22"/>
        </w:rPr>
        <w:t>Ferastraoaru</w:t>
      </w:r>
      <w:proofErr w:type="spellEnd"/>
      <w:r w:rsidR="00755E24">
        <w:rPr>
          <w:rFonts w:cstheme="minorHAnsi"/>
          <w:color w:val="000000" w:themeColor="text1"/>
          <w:sz w:val="22"/>
          <w:szCs w:val="22"/>
        </w:rPr>
        <w:t xml:space="preserve"> D</w:t>
      </w:r>
      <w:r w:rsidRPr="00755E24">
        <w:rPr>
          <w:rFonts w:cstheme="minorHAnsi"/>
          <w:color w:val="000000" w:themeColor="text1"/>
          <w:sz w:val="22"/>
          <w:szCs w:val="22"/>
        </w:rPr>
        <w:t xml:space="preserve"> et al</w:t>
      </w:r>
      <w:r w:rsidR="00755E24">
        <w:rPr>
          <w:rFonts w:cstheme="minorHAnsi"/>
          <w:color w:val="000000" w:themeColor="text1"/>
          <w:sz w:val="22"/>
          <w:szCs w:val="22"/>
        </w:rPr>
        <w:t>. Safety and outcomes of oral graded challenges to amoxicillin without prior skin testing.</w:t>
      </w:r>
      <w:r w:rsidRPr="00755E24">
        <w:rPr>
          <w:rFonts w:cstheme="minorHAnsi"/>
          <w:color w:val="000000" w:themeColor="text1"/>
          <w:sz w:val="22"/>
          <w:szCs w:val="22"/>
        </w:rPr>
        <w:t xml:space="preserve"> </w:t>
      </w:r>
      <w:r w:rsidRPr="00755E24">
        <w:rPr>
          <w:rFonts w:cstheme="minorHAnsi"/>
          <w:iCs/>
          <w:color w:val="000000" w:themeColor="text1"/>
          <w:sz w:val="22"/>
          <w:szCs w:val="22"/>
        </w:rPr>
        <w:t>J Allergy Clin Immunol</w:t>
      </w:r>
      <w:r w:rsidR="009704AC">
        <w:rPr>
          <w:rFonts w:cstheme="minorHAnsi"/>
          <w:iCs/>
          <w:color w:val="000000" w:themeColor="text1"/>
          <w:sz w:val="22"/>
          <w:szCs w:val="22"/>
        </w:rPr>
        <w:t>:</w:t>
      </w:r>
      <w:r w:rsidRPr="00755E24">
        <w:rPr>
          <w:rFonts w:cstheme="minorHAnsi"/>
          <w:iCs/>
          <w:color w:val="000000" w:themeColor="text1"/>
          <w:sz w:val="22"/>
          <w:szCs w:val="22"/>
        </w:rPr>
        <w:t xml:space="preserve"> </w:t>
      </w:r>
      <w:r w:rsidR="009704AC">
        <w:rPr>
          <w:rFonts w:cstheme="minorHAnsi"/>
          <w:iCs/>
          <w:color w:val="000000" w:themeColor="text1"/>
          <w:sz w:val="22"/>
          <w:szCs w:val="22"/>
        </w:rPr>
        <w:t xml:space="preserve">In </w:t>
      </w:r>
      <w:proofErr w:type="spellStart"/>
      <w:r w:rsidRPr="00755E24">
        <w:rPr>
          <w:rFonts w:cstheme="minorHAnsi"/>
          <w:iCs/>
          <w:color w:val="000000" w:themeColor="text1"/>
          <w:sz w:val="22"/>
          <w:szCs w:val="22"/>
        </w:rPr>
        <w:t>Pract</w:t>
      </w:r>
      <w:proofErr w:type="spellEnd"/>
      <w:r w:rsidRPr="00755E24">
        <w:rPr>
          <w:rFonts w:cstheme="minorHAnsi"/>
          <w:i/>
          <w:iCs/>
          <w:color w:val="000000" w:themeColor="text1"/>
          <w:sz w:val="22"/>
          <w:szCs w:val="22"/>
        </w:rPr>
        <w:t xml:space="preserve"> </w:t>
      </w:r>
      <w:r w:rsidRPr="00755E24">
        <w:rPr>
          <w:rFonts w:cstheme="minorHAnsi"/>
          <w:color w:val="000000" w:themeColor="text1"/>
          <w:sz w:val="22"/>
          <w:szCs w:val="22"/>
        </w:rPr>
        <w:t>2019</w:t>
      </w:r>
      <w:r w:rsidR="00755E24">
        <w:rPr>
          <w:rFonts w:cstheme="minorHAnsi"/>
          <w:color w:val="000000" w:themeColor="text1"/>
          <w:sz w:val="22"/>
          <w:szCs w:val="22"/>
        </w:rPr>
        <w:t xml:space="preserve"> Jan</w:t>
      </w:r>
      <w:r w:rsidRPr="00755E24">
        <w:rPr>
          <w:rFonts w:cstheme="minorHAnsi"/>
          <w:color w:val="000000" w:themeColor="text1"/>
          <w:sz w:val="22"/>
          <w:szCs w:val="22"/>
        </w:rPr>
        <w:t>; 7</w:t>
      </w:r>
      <w:r w:rsidR="00755E24">
        <w:rPr>
          <w:rFonts w:cstheme="minorHAnsi"/>
          <w:color w:val="000000" w:themeColor="text1"/>
          <w:sz w:val="22"/>
          <w:szCs w:val="22"/>
        </w:rPr>
        <w:t>(1)</w:t>
      </w:r>
      <w:r w:rsidRPr="00755E24">
        <w:rPr>
          <w:rFonts w:cstheme="minorHAnsi"/>
          <w:color w:val="000000" w:themeColor="text1"/>
          <w:sz w:val="22"/>
          <w:szCs w:val="22"/>
        </w:rPr>
        <w:t>: 236</w:t>
      </w:r>
      <w:r w:rsidR="00755E24">
        <w:rPr>
          <w:rFonts w:cstheme="minorHAnsi"/>
          <w:color w:val="000000" w:themeColor="text1"/>
          <w:sz w:val="22"/>
          <w:szCs w:val="22"/>
        </w:rPr>
        <w:t>-243</w:t>
      </w:r>
    </w:p>
    <w:p w14:paraId="69906BA9" w14:textId="18D4FF6B" w:rsidR="00702234" w:rsidRPr="00755E24" w:rsidRDefault="00FF60CF" w:rsidP="00354EC4">
      <w:pPr>
        <w:pStyle w:val="ListParagraph"/>
        <w:numPr>
          <w:ilvl w:val="0"/>
          <w:numId w:val="11"/>
        </w:numPr>
        <w:spacing w:line="360" w:lineRule="auto"/>
        <w:rPr>
          <w:rFonts w:eastAsia="Times New Roman" w:cstheme="minorHAnsi"/>
          <w:color w:val="000000" w:themeColor="text1"/>
          <w:sz w:val="22"/>
          <w:szCs w:val="22"/>
        </w:rPr>
      </w:pPr>
      <w:r w:rsidRPr="00755E24">
        <w:rPr>
          <w:rFonts w:cstheme="minorHAnsi"/>
          <w:color w:val="000000" w:themeColor="text1"/>
          <w:sz w:val="22"/>
          <w:szCs w:val="22"/>
        </w:rPr>
        <w:t>Du Plessis T</w:t>
      </w:r>
      <w:r w:rsidR="00755E24">
        <w:rPr>
          <w:rFonts w:cstheme="minorHAnsi"/>
          <w:color w:val="000000" w:themeColor="text1"/>
          <w:sz w:val="22"/>
          <w:szCs w:val="22"/>
        </w:rPr>
        <w:t>, Walls G, Jordan A, Holland DJ</w:t>
      </w:r>
      <w:r w:rsidRPr="00755E24">
        <w:rPr>
          <w:rFonts w:cstheme="minorHAnsi"/>
          <w:color w:val="000000" w:themeColor="text1"/>
          <w:sz w:val="22"/>
          <w:szCs w:val="22"/>
        </w:rPr>
        <w:t xml:space="preserve">. </w:t>
      </w:r>
      <w:r w:rsidR="00755E24">
        <w:rPr>
          <w:rFonts w:cstheme="minorHAnsi"/>
          <w:color w:val="000000" w:themeColor="text1"/>
          <w:sz w:val="22"/>
          <w:szCs w:val="22"/>
        </w:rPr>
        <w:t xml:space="preserve">Implementation of a pharmacist-led penicillin allergy de-labelling service in a public hospital. </w:t>
      </w:r>
      <w:r w:rsidRPr="00755E24">
        <w:rPr>
          <w:rFonts w:cstheme="minorHAnsi"/>
          <w:iCs/>
          <w:color w:val="000000" w:themeColor="text1"/>
          <w:sz w:val="22"/>
          <w:szCs w:val="22"/>
        </w:rPr>
        <w:t xml:space="preserve">J </w:t>
      </w:r>
      <w:proofErr w:type="spellStart"/>
      <w:r w:rsidRPr="00755E24">
        <w:rPr>
          <w:rFonts w:cstheme="minorHAnsi"/>
          <w:iCs/>
          <w:color w:val="000000" w:themeColor="text1"/>
          <w:sz w:val="22"/>
          <w:szCs w:val="22"/>
        </w:rPr>
        <w:t>Antimcrob</w:t>
      </w:r>
      <w:proofErr w:type="spellEnd"/>
      <w:r w:rsidRPr="00755E24">
        <w:rPr>
          <w:rFonts w:cstheme="minorHAnsi"/>
          <w:iCs/>
          <w:color w:val="000000" w:themeColor="text1"/>
          <w:sz w:val="22"/>
          <w:szCs w:val="22"/>
        </w:rPr>
        <w:t xml:space="preserve"> Chemo</w:t>
      </w:r>
      <w:r w:rsidRPr="00755E24">
        <w:rPr>
          <w:rFonts w:cstheme="minorHAnsi"/>
          <w:i/>
          <w:iCs/>
          <w:color w:val="000000" w:themeColor="text1"/>
          <w:sz w:val="22"/>
          <w:szCs w:val="22"/>
        </w:rPr>
        <w:t xml:space="preserve"> </w:t>
      </w:r>
      <w:r w:rsidRPr="00755E24">
        <w:rPr>
          <w:rFonts w:cstheme="minorHAnsi"/>
          <w:color w:val="000000" w:themeColor="text1"/>
          <w:sz w:val="22"/>
          <w:szCs w:val="22"/>
        </w:rPr>
        <w:t xml:space="preserve">2019 </w:t>
      </w:r>
      <w:r w:rsidR="00755E24">
        <w:rPr>
          <w:rFonts w:cstheme="minorHAnsi"/>
          <w:color w:val="000000" w:themeColor="text1"/>
          <w:sz w:val="22"/>
          <w:szCs w:val="22"/>
        </w:rPr>
        <w:t xml:space="preserve">May 6;74(5):1438-1446 </w:t>
      </w:r>
    </w:p>
    <w:p w14:paraId="7D9A5BCA" w14:textId="2E5BE2E8" w:rsidR="00FF60CF" w:rsidRPr="00202EAD" w:rsidRDefault="00FF60CF" w:rsidP="00354EC4">
      <w:pPr>
        <w:pStyle w:val="ListParagraph"/>
        <w:numPr>
          <w:ilvl w:val="0"/>
          <w:numId w:val="11"/>
        </w:numPr>
        <w:spacing w:line="360" w:lineRule="auto"/>
        <w:rPr>
          <w:rFonts w:eastAsia="Times New Roman" w:cstheme="minorHAnsi"/>
          <w:sz w:val="22"/>
          <w:szCs w:val="22"/>
        </w:rPr>
      </w:pPr>
      <w:r w:rsidRPr="00211216">
        <w:rPr>
          <w:rFonts w:cstheme="minorHAnsi"/>
          <w:bCs/>
          <w:noProof/>
          <w:sz w:val="22"/>
          <w:szCs w:val="22"/>
        </w:rPr>
        <w:t>Savic L</w:t>
      </w:r>
      <w:r w:rsidR="00755E24">
        <w:rPr>
          <w:rFonts w:cstheme="minorHAnsi"/>
          <w:bCs/>
          <w:noProof/>
          <w:sz w:val="22"/>
          <w:szCs w:val="22"/>
        </w:rPr>
        <w:t xml:space="preserve">, Gurr L, Kaura V </w:t>
      </w:r>
      <w:r w:rsidRPr="00211216">
        <w:rPr>
          <w:rFonts w:cstheme="minorHAnsi"/>
          <w:bCs/>
          <w:noProof/>
          <w:sz w:val="22"/>
          <w:szCs w:val="22"/>
        </w:rPr>
        <w:t>et</w:t>
      </w:r>
      <w:r w:rsidRPr="00702234">
        <w:rPr>
          <w:rFonts w:cstheme="minorHAnsi"/>
          <w:b/>
          <w:noProof/>
          <w:sz w:val="22"/>
          <w:szCs w:val="22"/>
        </w:rPr>
        <w:t xml:space="preserve"> </w:t>
      </w:r>
      <w:r w:rsidRPr="00702234">
        <w:rPr>
          <w:rFonts w:cstheme="minorHAnsi"/>
          <w:noProof/>
          <w:sz w:val="22"/>
          <w:szCs w:val="22"/>
        </w:rPr>
        <w:t>al</w:t>
      </w:r>
      <w:r w:rsidR="00755E24">
        <w:rPr>
          <w:rFonts w:cstheme="minorHAnsi"/>
          <w:noProof/>
          <w:sz w:val="22"/>
          <w:szCs w:val="22"/>
        </w:rPr>
        <w:t>. Penicillin allergy de-labelling ahead of elective surgery: feasibility and barriers.</w:t>
      </w:r>
      <w:r w:rsidRPr="00702234">
        <w:rPr>
          <w:rFonts w:cstheme="minorHAnsi"/>
          <w:noProof/>
          <w:sz w:val="22"/>
          <w:szCs w:val="22"/>
        </w:rPr>
        <w:t xml:space="preserve"> </w:t>
      </w:r>
      <w:r w:rsidRPr="00755E24">
        <w:rPr>
          <w:rFonts w:cstheme="minorHAnsi"/>
          <w:noProof/>
          <w:sz w:val="22"/>
          <w:szCs w:val="22"/>
        </w:rPr>
        <w:t>Br J Anaes</w:t>
      </w:r>
      <w:r w:rsidRPr="00702234">
        <w:rPr>
          <w:rFonts w:cstheme="minorHAnsi"/>
          <w:noProof/>
          <w:sz w:val="22"/>
          <w:szCs w:val="22"/>
        </w:rPr>
        <w:t xml:space="preserve"> 2018</w:t>
      </w:r>
      <w:r w:rsidR="00755E24">
        <w:rPr>
          <w:rFonts w:cstheme="minorHAnsi"/>
          <w:noProof/>
          <w:sz w:val="22"/>
          <w:szCs w:val="22"/>
        </w:rPr>
        <w:t xml:space="preserve"> July;</w:t>
      </w:r>
      <w:r w:rsidR="00D85153">
        <w:rPr>
          <w:rFonts w:cstheme="minorHAnsi"/>
          <w:noProof/>
          <w:sz w:val="22"/>
          <w:szCs w:val="22"/>
        </w:rPr>
        <w:t xml:space="preserve">123(1):e110-116 </w:t>
      </w:r>
    </w:p>
    <w:p w14:paraId="5917DFD9" w14:textId="59D57801" w:rsidR="00FC43AE" w:rsidRDefault="00FC43AE" w:rsidP="00354EC4">
      <w:pPr>
        <w:pStyle w:val="ListParagraph"/>
        <w:numPr>
          <w:ilvl w:val="0"/>
          <w:numId w:val="11"/>
        </w:numPr>
        <w:spacing w:line="360" w:lineRule="auto"/>
        <w:rPr>
          <w:rStyle w:val="Hyperlink"/>
          <w:rFonts w:eastAsia="Times New Roman" w:cstheme="minorHAnsi"/>
          <w:color w:val="auto"/>
          <w:sz w:val="22"/>
          <w:szCs w:val="22"/>
          <w:u w:val="none"/>
        </w:rPr>
      </w:pPr>
      <w:r>
        <w:rPr>
          <w:rStyle w:val="Hyperlink"/>
          <w:rFonts w:eastAsia="Times New Roman" w:cstheme="minorHAnsi"/>
          <w:color w:val="auto"/>
          <w:sz w:val="22"/>
          <w:szCs w:val="22"/>
          <w:u w:val="none"/>
        </w:rPr>
        <w:t xml:space="preserve">Chua KYL, </w:t>
      </w:r>
      <w:proofErr w:type="spellStart"/>
      <w:r>
        <w:rPr>
          <w:rStyle w:val="Hyperlink"/>
          <w:rFonts w:eastAsia="Times New Roman" w:cstheme="minorHAnsi"/>
          <w:color w:val="auto"/>
          <w:sz w:val="22"/>
          <w:szCs w:val="22"/>
          <w:u w:val="none"/>
        </w:rPr>
        <w:t>Vogin</w:t>
      </w:r>
      <w:proofErr w:type="spellEnd"/>
      <w:r>
        <w:rPr>
          <w:rStyle w:val="Hyperlink"/>
          <w:rFonts w:eastAsia="Times New Roman" w:cstheme="minorHAnsi"/>
          <w:color w:val="auto"/>
          <w:sz w:val="22"/>
          <w:szCs w:val="22"/>
          <w:u w:val="none"/>
        </w:rPr>
        <w:t xml:space="preserve"> S, Bury S et al. The penicillin allergy </w:t>
      </w:r>
      <w:proofErr w:type="spellStart"/>
      <w:r>
        <w:rPr>
          <w:rStyle w:val="Hyperlink"/>
          <w:rFonts w:eastAsia="Times New Roman" w:cstheme="minorHAnsi"/>
          <w:color w:val="auto"/>
          <w:sz w:val="22"/>
          <w:szCs w:val="22"/>
          <w:u w:val="none"/>
        </w:rPr>
        <w:t>delabeling</w:t>
      </w:r>
      <w:proofErr w:type="spellEnd"/>
      <w:r>
        <w:rPr>
          <w:rStyle w:val="Hyperlink"/>
          <w:rFonts w:eastAsia="Times New Roman" w:cstheme="minorHAnsi"/>
          <w:color w:val="auto"/>
          <w:sz w:val="22"/>
          <w:szCs w:val="22"/>
          <w:u w:val="none"/>
        </w:rPr>
        <w:t xml:space="preserve"> program: A whole-of-hospital health services intervention and comparative effectiveness study. Clin Infect Dis. 2021 Aug;73(3):487-496</w:t>
      </w:r>
    </w:p>
    <w:p w14:paraId="161CABD6" w14:textId="337CE2DC" w:rsidR="003723C4" w:rsidRPr="00235421" w:rsidRDefault="003723C4" w:rsidP="00354EC4">
      <w:pPr>
        <w:pStyle w:val="ListParagraph"/>
        <w:numPr>
          <w:ilvl w:val="0"/>
          <w:numId w:val="11"/>
        </w:numPr>
        <w:spacing w:line="360" w:lineRule="auto"/>
        <w:rPr>
          <w:rStyle w:val="Hyperlink"/>
          <w:rFonts w:eastAsia="Times New Roman" w:cstheme="minorHAnsi"/>
          <w:color w:val="auto"/>
          <w:sz w:val="22"/>
          <w:szCs w:val="22"/>
          <w:u w:val="none"/>
        </w:rPr>
      </w:pPr>
      <w:r w:rsidRPr="003723C4">
        <w:rPr>
          <w:rStyle w:val="Hyperlink"/>
          <w:rFonts w:eastAsia="Times New Roman" w:cstheme="minorHAnsi"/>
          <w:color w:val="auto"/>
          <w:sz w:val="22"/>
          <w:szCs w:val="22"/>
          <w:u w:val="none"/>
        </w:rPr>
        <w:t>https://www.resus.org.uk/about-us/news-and-events/rcuk-guidelines-2021-published</w:t>
      </w:r>
    </w:p>
    <w:p w14:paraId="5E3A9315" w14:textId="7C835F7C" w:rsidR="00FF60CF" w:rsidRPr="00702234" w:rsidRDefault="00FF60CF" w:rsidP="00354EC4">
      <w:pPr>
        <w:pStyle w:val="ListParagraph"/>
        <w:numPr>
          <w:ilvl w:val="0"/>
          <w:numId w:val="11"/>
        </w:numPr>
        <w:spacing w:line="360" w:lineRule="auto"/>
        <w:rPr>
          <w:rFonts w:cstheme="minorHAnsi"/>
          <w:sz w:val="22"/>
          <w:szCs w:val="22"/>
        </w:rPr>
      </w:pPr>
      <w:proofErr w:type="spellStart"/>
      <w:r w:rsidRPr="00702234">
        <w:rPr>
          <w:rFonts w:cstheme="minorHAnsi"/>
          <w:sz w:val="22"/>
          <w:szCs w:val="22"/>
        </w:rPr>
        <w:t>Protudjer</w:t>
      </w:r>
      <w:proofErr w:type="spellEnd"/>
      <w:r w:rsidR="0026083B">
        <w:rPr>
          <w:rFonts w:cstheme="minorHAnsi"/>
          <w:sz w:val="22"/>
          <w:szCs w:val="22"/>
        </w:rPr>
        <w:t xml:space="preserve"> JLP, Golding M, </w:t>
      </w:r>
      <w:proofErr w:type="spellStart"/>
      <w:r w:rsidR="0026083B">
        <w:rPr>
          <w:rFonts w:cstheme="minorHAnsi"/>
          <w:sz w:val="22"/>
          <w:szCs w:val="22"/>
        </w:rPr>
        <w:t>Bouwman</w:t>
      </w:r>
      <w:proofErr w:type="spellEnd"/>
      <w:r w:rsidR="0026083B">
        <w:rPr>
          <w:rFonts w:cstheme="minorHAnsi"/>
          <w:sz w:val="22"/>
          <w:szCs w:val="22"/>
        </w:rPr>
        <w:t xml:space="preserve"> </w:t>
      </w:r>
      <w:proofErr w:type="gramStart"/>
      <w:r w:rsidR="0026083B">
        <w:rPr>
          <w:rFonts w:cstheme="minorHAnsi"/>
          <w:sz w:val="22"/>
          <w:szCs w:val="22"/>
        </w:rPr>
        <w:t xml:space="preserve">T, </w:t>
      </w:r>
      <w:r w:rsidRPr="00702234">
        <w:rPr>
          <w:rFonts w:cstheme="minorHAnsi"/>
          <w:sz w:val="22"/>
          <w:szCs w:val="22"/>
        </w:rPr>
        <w:t xml:space="preserve"> </w:t>
      </w:r>
      <w:r w:rsidR="00020D21">
        <w:rPr>
          <w:rFonts w:cstheme="minorHAnsi"/>
          <w:sz w:val="22"/>
          <w:szCs w:val="22"/>
        </w:rPr>
        <w:t>Ben</w:t>
      </w:r>
      <w:proofErr w:type="gramEnd"/>
      <w:r w:rsidR="00020D21">
        <w:rPr>
          <w:rFonts w:cstheme="minorHAnsi"/>
          <w:sz w:val="22"/>
          <w:szCs w:val="22"/>
        </w:rPr>
        <w:t>-</w:t>
      </w:r>
      <w:proofErr w:type="spellStart"/>
      <w:r w:rsidR="00020D21">
        <w:rPr>
          <w:rFonts w:cstheme="minorHAnsi"/>
          <w:sz w:val="22"/>
          <w:szCs w:val="22"/>
        </w:rPr>
        <w:t>Shoshan</w:t>
      </w:r>
      <w:proofErr w:type="spellEnd"/>
      <w:r w:rsidR="00020D21">
        <w:rPr>
          <w:rFonts w:cstheme="minorHAnsi"/>
          <w:sz w:val="22"/>
          <w:szCs w:val="22"/>
        </w:rPr>
        <w:t xml:space="preserve"> M, Abrams EM</w:t>
      </w:r>
      <w:r w:rsidRPr="00702234">
        <w:rPr>
          <w:rFonts w:cstheme="minorHAnsi"/>
          <w:sz w:val="22"/>
          <w:szCs w:val="22"/>
        </w:rPr>
        <w:t xml:space="preserve">. </w:t>
      </w:r>
      <w:r w:rsidR="00020D21">
        <w:rPr>
          <w:rFonts w:cstheme="minorHAnsi"/>
          <w:sz w:val="22"/>
          <w:szCs w:val="22"/>
        </w:rPr>
        <w:t>Graded oral challenge for drug allergy evaluation-</w:t>
      </w:r>
      <w:proofErr w:type="spellStart"/>
      <w:r w:rsidR="00020D21">
        <w:rPr>
          <w:rFonts w:cstheme="minorHAnsi"/>
          <w:sz w:val="22"/>
          <w:szCs w:val="22"/>
        </w:rPr>
        <w:t>delaeblling</w:t>
      </w:r>
      <w:proofErr w:type="spellEnd"/>
      <w:r w:rsidR="00020D21">
        <w:rPr>
          <w:rFonts w:cstheme="minorHAnsi"/>
          <w:sz w:val="22"/>
          <w:szCs w:val="22"/>
        </w:rPr>
        <w:t xml:space="preserve"> described through families’ voices. </w:t>
      </w:r>
      <w:r w:rsidR="0026083B" w:rsidRPr="00020D21">
        <w:rPr>
          <w:rFonts w:cstheme="minorHAnsi"/>
          <w:iCs/>
          <w:sz w:val="22"/>
          <w:szCs w:val="22"/>
        </w:rPr>
        <w:t>Clinical and Exp Allergy</w:t>
      </w:r>
      <w:r w:rsidR="0026083B">
        <w:rPr>
          <w:rFonts w:cstheme="minorHAnsi"/>
          <w:i/>
          <w:iCs/>
          <w:sz w:val="22"/>
          <w:szCs w:val="22"/>
        </w:rPr>
        <w:t xml:space="preserve"> </w:t>
      </w:r>
      <w:r w:rsidR="0026083B">
        <w:rPr>
          <w:rFonts w:cstheme="minorHAnsi"/>
          <w:sz w:val="22"/>
          <w:szCs w:val="22"/>
        </w:rPr>
        <w:t xml:space="preserve">2020 </w:t>
      </w:r>
      <w:r w:rsidR="00020D21">
        <w:rPr>
          <w:rFonts w:cstheme="minorHAnsi"/>
          <w:sz w:val="22"/>
          <w:szCs w:val="22"/>
        </w:rPr>
        <w:t>Sep</w:t>
      </w:r>
      <w:r w:rsidR="0026083B">
        <w:rPr>
          <w:rFonts w:cstheme="minorHAnsi"/>
          <w:sz w:val="22"/>
          <w:szCs w:val="22"/>
        </w:rPr>
        <w:t>;</w:t>
      </w:r>
      <w:r w:rsidRPr="00702234">
        <w:rPr>
          <w:rFonts w:cstheme="minorHAnsi"/>
          <w:sz w:val="22"/>
          <w:szCs w:val="22"/>
        </w:rPr>
        <w:t xml:space="preserve">50 </w:t>
      </w:r>
      <w:r w:rsidR="00FC43AE">
        <w:rPr>
          <w:rFonts w:cstheme="minorHAnsi"/>
          <w:sz w:val="22"/>
          <w:szCs w:val="22"/>
        </w:rPr>
        <w:t>(</w:t>
      </w:r>
      <w:r w:rsidRPr="00702234">
        <w:rPr>
          <w:rFonts w:cstheme="minorHAnsi"/>
          <w:sz w:val="22"/>
          <w:szCs w:val="22"/>
        </w:rPr>
        <w:t>9)</w:t>
      </w:r>
      <w:r w:rsidR="0026083B">
        <w:rPr>
          <w:rFonts w:cstheme="minorHAnsi"/>
          <w:sz w:val="22"/>
          <w:szCs w:val="22"/>
        </w:rPr>
        <w:t>:</w:t>
      </w:r>
      <w:r w:rsidRPr="00702234">
        <w:rPr>
          <w:rFonts w:cstheme="minorHAnsi"/>
          <w:sz w:val="22"/>
          <w:szCs w:val="22"/>
        </w:rPr>
        <w:t xml:space="preserve"> 1078-83. </w:t>
      </w:r>
    </w:p>
    <w:p w14:paraId="08297AED" w14:textId="43C55590" w:rsidR="00FF60CF" w:rsidRPr="00702234" w:rsidRDefault="00FF60CF" w:rsidP="00354EC4">
      <w:pPr>
        <w:pStyle w:val="ListParagraph"/>
        <w:numPr>
          <w:ilvl w:val="0"/>
          <w:numId w:val="11"/>
        </w:numPr>
        <w:spacing w:line="360" w:lineRule="auto"/>
        <w:rPr>
          <w:rFonts w:cstheme="minorHAnsi"/>
          <w:sz w:val="22"/>
          <w:szCs w:val="22"/>
        </w:rPr>
      </w:pPr>
      <w:r w:rsidRPr="00702234">
        <w:rPr>
          <w:rFonts w:cstheme="minorHAnsi"/>
          <w:sz w:val="22"/>
          <w:szCs w:val="22"/>
        </w:rPr>
        <w:t>Caubet</w:t>
      </w:r>
      <w:r w:rsidR="00C952AE">
        <w:rPr>
          <w:rFonts w:cstheme="minorHAnsi"/>
          <w:sz w:val="22"/>
          <w:szCs w:val="22"/>
        </w:rPr>
        <w:t xml:space="preserve"> JC, Kaiser L, Lemaitre B</w:t>
      </w:r>
      <w:r w:rsidR="00020D21">
        <w:rPr>
          <w:rFonts w:cstheme="minorHAnsi"/>
          <w:sz w:val="22"/>
          <w:szCs w:val="22"/>
        </w:rPr>
        <w:t xml:space="preserve">, </w:t>
      </w:r>
      <w:proofErr w:type="spellStart"/>
      <w:r w:rsidR="00020D21">
        <w:rPr>
          <w:rFonts w:cstheme="minorHAnsi"/>
          <w:sz w:val="22"/>
          <w:szCs w:val="22"/>
        </w:rPr>
        <w:t>Fellay</w:t>
      </w:r>
      <w:proofErr w:type="spellEnd"/>
      <w:r w:rsidR="00020D21">
        <w:rPr>
          <w:rFonts w:cstheme="minorHAnsi"/>
          <w:sz w:val="22"/>
          <w:szCs w:val="22"/>
        </w:rPr>
        <w:t xml:space="preserve"> B, </w:t>
      </w:r>
      <w:proofErr w:type="spellStart"/>
      <w:r w:rsidR="00020D21">
        <w:rPr>
          <w:rFonts w:cstheme="minorHAnsi"/>
          <w:sz w:val="22"/>
          <w:szCs w:val="22"/>
        </w:rPr>
        <w:t>Gervaix</w:t>
      </w:r>
      <w:proofErr w:type="spellEnd"/>
      <w:r w:rsidR="00020D21">
        <w:rPr>
          <w:rFonts w:cstheme="minorHAnsi"/>
          <w:sz w:val="22"/>
          <w:szCs w:val="22"/>
        </w:rPr>
        <w:t xml:space="preserve"> A, </w:t>
      </w:r>
      <w:proofErr w:type="spellStart"/>
      <w:r w:rsidR="00020D21">
        <w:rPr>
          <w:rFonts w:cstheme="minorHAnsi"/>
          <w:sz w:val="22"/>
          <w:szCs w:val="22"/>
        </w:rPr>
        <w:t>Eigenmann</w:t>
      </w:r>
      <w:proofErr w:type="spellEnd"/>
      <w:r w:rsidR="00020D21">
        <w:rPr>
          <w:rFonts w:cstheme="minorHAnsi"/>
          <w:sz w:val="22"/>
          <w:szCs w:val="22"/>
        </w:rPr>
        <w:t xml:space="preserve"> PA</w:t>
      </w:r>
      <w:r w:rsidR="00C952AE">
        <w:rPr>
          <w:rFonts w:cstheme="minorHAnsi"/>
          <w:sz w:val="22"/>
          <w:szCs w:val="22"/>
        </w:rPr>
        <w:t xml:space="preserve">. </w:t>
      </w:r>
      <w:r w:rsidR="00C952AE" w:rsidRPr="00020D21">
        <w:rPr>
          <w:rFonts w:cstheme="minorHAnsi"/>
          <w:iCs/>
          <w:sz w:val="22"/>
          <w:szCs w:val="22"/>
        </w:rPr>
        <w:t>J All</w:t>
      </w:r>
      <w:r w:rsidR="00FC7349">
        <w:rPr>
          <w:rFonts w:cstheme="minorHAnsi"/>
          <w:iCs/>
          <w:sz w:val="22"/>
          <w:szCs w:val="22"/>
        </w:rPr>
        <w:t>ergy</w:t>
      </w:r>
      <w:r w:rsidR="00C952AE" w:rsidRPr="00020D21">
        <w:rPr>
          <w:rFonts w:cstheme="minorHAnsi"/>
          <w:iCs/>
          <w:sz w:val="22"/>
          <w:szCs w:val="22"/>
        </w:rPr>
        <w:t xml:space="preserve"> Clin Immunol</w:t>
      </w:r>
      <w:r w:rsidR="00C952AE">
        <w:rPr>
          <w:rFonts w:cstheme="minorHAnsi"/>
          <w:sz w:val="22"/>
          <w:szCs w:val="22"/>
        </w:rPr>
        <w:t xml:space="preserve"> 2011</w:t>
      </w:r>
      <w:r w:rsidR="00020D21">
        <w:rPr>
          <w:rFonts w:cstheme="minorHAnsi"/>
          <w:sz w:val="22"/>
          <w:szCs w:val="22"/>
        </w:rPr>
        <w:t xml:space="preserve"> Jan</w:t>
      </w:r>
      <w:r w:rsidR="00C952AE">
        <w:rPr>
          <w:rFonts w:cstheme="minorHAnsi"/>
          <w:sz w:val="22"/>
          <w:szCs w:val="22"/>
        </w:rPr>
        <w:t>;127(1): 218-222</w:t>
      </w:r>
      <w:r w:rsidRPr="00702234">
        <w:rPr>
          <w:rFonts w:cstheme="minorHAnsi"/>
          <w:sz w:val="22"/>
          <w:szCs w:val="22"/>
        </w:rPr>
        <w:t xml:space="preserve">, </w:t>
      </w:r>
    </w:p>
    <w:p w14:paraId="3A5D97F6" w14:textId="1B36A2FA" w:rsidR="00FF60CF" w:rsidRPr="00702234" w:rsidRDefault="00C952AE" w:rsidP="00354EC4">
      <w:pPr>
        <w:pStyle w:val="ListParagraph"/>
        <w:numPr>
          <w:ilvl w:val="0"/>
          <w:numId w:val="11"/>
        </w:numPr>
        <w:spacing w:line="360" w:lineRule="auto"/>
        <w:rPr>
          <w:rFonts w:cstheme="minorHAnsi"/>
          <w:sz w:val="22"/>
          <w:szCs w:val="22"/>
        </w:rPr>
      </w:pPr>
      <w:proofErr w:type="spellStart"/>
      <w:r>
        <w:rPr>
          <w:rFonts w:cstheme="minorHAnsi"/>
          <w:sz w:val="22"/>
          <w:szCs w:val="22"/>
        </w:rPr>
        <w:t>Robelo</w:t>
      </w:r>
      <w:proofErr w:type="spellEnd"/>
      <w:r>
        <w:rPr>
          <w:rFonts w:cstheme="minorHAnsi"/>
          <w:sz w:val="22"/>
          <w:szCs w:val="22"/>
        </w:rPr>
        <w:t xml:space="preserve"> GE, Fonseca J, Araujo</w:t>
      </w:r>
      <w:r w:rsidR="00020D21">
        <w:rPr>
          <w:rFonts w:cstheme="minorHAnsi"/>
          <w:sz w:val="22"/>
          <w:szCs w:val="22"/>
        </w:rPr>
        <w:t xml:space="preserve"> L, </w:t>
      </w:r>
      <w:proofErr w:type="spellStart"/>
      <w:r w:rsidR="00020D21">
        <w:rPr>
          <w:rFonts w:cstheme="minorHAnsi"/>
          <w:sz w:val="22"/>
          <w:szCs w:val="22"/>
        </w:rPr>
        <w:t>Demoly</w:t>
      </w:r>
      <w:proofErr w:type="spellEnd"/>
      <w:r w:rsidR="00020D21">
        <w:rPr>
          <w:rFonts w:cstheme="minorHAnsi"/>
          <w:sz w:val="22"/>
          <w:szCs w:val="22"/>
        </w:rPr>
        <w:t xml:space="preserve"> P</w:t>
      </w:r>
      <w:r>
        <w:rPr>
          <w:rFonts w:cstheme="minorHAnsi"/>
          <w:sz w:val="22"/>
          <w:szCs w:val="22"/>
        </w:rPr>
        <w:t>.</w:t>
      </w:r>
      <w:r w:rsidR="00020D21">
        <w:rPr>
          <w:rFonts w:cstheme="minorHAnsi"/>
          <w:sz w:val="22"/>
          <w:szCs w:val="22"/>
        </w:rPr>
        <w:t xml:space="preserve"> Drug allergy claims in children: from self-reporting to confirmed diagnosis.</w:t>
      </w:r>
      <w:r>
        <w:rPr>
          <w:rFonts w:cstheme="minorHAnsi"/>
          <w:sz w:val="22"/>
          <w:szCs w:val="22"/>
        </w:rPr>
        <w:t xml:space="preserve"> </w:t>
      </w:r>
      <w:r w:rsidRPr="00020D21">
        <w:rPr>
          <w:rFonts w:cstheme="minorHAnsi"/>
          <w:iCs/>
          <w:sz w:val="22"/>
          <w:szCs w:val="22"/>
        </w:rPr>
        <w:t>Clin</w:t>
      </w:r>
      <w:r w:rsidR="009704AC">
        <w:rPr>
          <w:rFonts w:cstheme="minorHAnsi"/>
          <w:iCs/>
          <w:sz w:val="22"/>
          <w:szCs w:val="22"/>
        </w:rPr>
        <w:t>ical and</w:t>
      </w:r>
      <w:r w:rsidRPr="00020D21">
        <w:rPr>
          <w:rFonts w:cstheme="minorHAnsi"/>
          <w:iCs/>
          <w:sz w:val="22"/>
          <w:szCs w:val="22"/>
        </w:rPr>
        <w:t xml:space="preserve"> Exp All</w:t>
      </w:r>
      <w:r w:rsidR="009704AC">
        <w:rPr>
          <w:rFonts w:cstheme="minorHAnsi"/>
          <w:iCs/>
          <w:sz w:val="22"/>
          <w:szCs w:val="22"/>
        </w:rPr>
        <w:t>ergy</w:t>
      </w:r>
      <w:r>
        <w:rPr>
          <w:rFonts w:cstheme="minorHAnsi"/>
          <w:i/>
          <w:iCs/>
          <w:sz w:val="22"/>
          <w:szCs w:val="22"/>
        </w:rPr>
        <w:t xml:space="preserve"> </w:t>
      </w:r>
      <w:r>
        <w:rPr>
          <w:rFonts w:cstheme="minorHAnsi"/>
          <w:sz w:val="22"/>
          <w:szCs w:val="22"/>
        </w:rPr>
        <w:t>2008;38(1):191-198</w:t>
      </w:r>
    </w:p>
    <w:p w14:paraId="339B853F" w14:textId="1A17068C" w:rsidR="00FF60CF" w:rsidRPr="00702234" w:rsidRDefault="00FF60CF" w:rsidP="00354EC4">
      <w:pPr>
        <w:pStyle w:val="ListParagraph"/>
        <w:numPr>
          <w:ilvl w:val="0"/>
          <w:numId w:val="11"/>
        </w:numPr>
        <w:spacing w:line="360" w:lineRule="auto"/>
        <w:rPr>
          <w:rFonts w:cstheme="minorHAnsi"/>
          <w:sz w:val="22"/>
          <w:szCs w:val="22"/>
        </w:rPr>
      </w:pPr>
      <w:r w:rsidRPr="00702234">
        <w:rPr>
          <w:rFonts w:cstheme="minorHAnsi"/>
          <w:sz w:val="22"/>
          <w:szCs w:val="22"/>
        </w:rPr>
        <w:t xml:space="preserve">Romano </w:t>
      </w:r>
      <w:r w:rsidR="00235421">
        <w:rPr>
          <w:rFonts w:cstheme="minorHAnsi"/>
          <w:sz w:val="22"/>
          <w:szCs w:val="22"/>
        </w:rPr>
        <w:t xml:space="preserve">A, Gaeta F, </w:t>
      </w:r>
      <w:proofErr w:type="spellStart"/>
      <w:r w:rsidR="00235421">
        <w:rPr>
          <w:rFonts w:cstheme="minorHAnsi"/>
          <w:sz w:val="22"/>
          <w:szCs w:val="22"/>
        </w:rPr>
        <w:t>Valluzzi</w:t>
      </w:r>
      <w:proofErr w:type="spellEnd"/>
      <w:r w:rsidR="00235421">
        <w:rPr>
          <w:rFonts w:cstheme="minorHAnsi"/>
          <w:sz w:val="22"/>
          <w:szCs w:val="22"/>
        </w:rPr>
        <w:t xml:space="preserve"> R</w:t>
      </w:r>
      <w:r w:rsidR="00020D21">
        <w:rPr>
          <w:rFonts w:cstheme="minorHAnsi"/>
          <w:sz w:val="22"/>
          <w:szCs w:val="22"/>
        </w:rPr>
        <w:t xml:space="preserve">L, </w:t>
      </w:r>
      <w:proofErr w:type="spellStart"/>
      <w:r w:rsidR="00020D21">
        <w:rPr>
          <w:rFonts w:cstheme="minorHAnsi"/>
          <w:sz w:val="22"/>
          <w:szCs w:val="22"/>
        </w:rPr>
        <w:t>Alonzi</w:t>
      </w:r>
      <w:proofErr w:type="spellEnd"/>
      <w:r w:rsidR="00020D21">
        <w:rPr>
          <w:rFonts w:cstheme="minorHAnsi"/>
          <w:sz w:val="22"/>
          <w:szCs w:val="22"/>
        </w:rPr>
        <w:t xml:space="preserve"> C, Viola M, Bousquet PJ</w:t>
      </w:r>
      <w:r w:rsidR="00235421">
        <w:rPr>
          <w:rFonts w:cstheme="minorHAnsi"/>
          <w:sz w:val="22"/>
          <w:szCs w:val="22"/>
        </w:rPr>
        <w:t>.</w:t>
      </w:r>
      <w:r w:rsidR="00020D21">
        <w:rPr>
          <w:rFonts w:cstheme="minorHAnsi"/>
          <w:sz w:val="22"/>
          <w:szCs w:val="22"/>
        </w:rPr>
        <w:t xml:space="preserve"> Diagnosing hypersensitivity reactions to </w:t>
      </w:r>
      <w:proofErr w:type="spellStart"/>
      <w:r w:rsidR="00020D21">
        <w:rPr>
          <w:rFonts w:cstheme="minorHAnsi"/>
          <w:sz w:val="22"/>
          <w:szCs w:val="22"/>
        </w:rPr>
        <w:t>cephalosprins</w:t>
      </w:r>
      <w:proofErr w:type="spellEnd"/>
      <w:r w:rsidR="00020D21">
        <w:rPr>
          <w:rFonts w:cstheme="minorHAnsi"/>
          <w:sz w:val="22"/>
          <w:szCs w:val="22"/>
        </w:rPr>
        <w:t xml:space="preserve"> in children.</w:t>
      </w:r>
      <w:r w:rsidR="00235421">
        <w:rPr>
          <w:rFonts w:cstheme="minorHAnsi"/>
          <w:sz w:val="22"/>
          <w:szCs w:val="22"/>
        </w:rPr>
        <w:t xml:space="preserve"> </w:t>
      </w:r>
      <w:r w:rsidR="00235421" w:rsidRPr="00020D21">
        <w:rPr>
          <w:rFonts w:cstheme="minorHAnsi"/>
          <w:iCs/>
          <w:sz w:val="22"/>
          <w:szCs w:val="22"/>
        </w:rPr>
        <w:t>Pediatrics</w:t>
      </w:r>
      <w:r w:rsidR="00235421">
        <w:rPr>
          <w:rFonts w:cstheme="minorHAnsi"/>
          <w:i/>
          <w:iCs/>
          <w:sz w:val="22"/>
          <w:szCs w:val="22"/>
        </w:rPr>
        <w:t xml:space="preserve">. </w:t>
      </w:r>
      <w:r w:rsidR="00235421">
        <w:rPr>
          <w:rFonts w:cstheme="minorHAnsi"/>
          <w:sz w:val="22"/>
          <w:szCs w:val="22"/>
        </w:rPr>
        <w:t>2008</w:t>
      </w:r>
      <w:r w:rsidR="00020D21">
        <w:rPr>
          <w:rFonts w:cstheme="minorHAnsi"/>
          <w:sz w:val="22"/>
          <w:szCs w:val="22"/>
        </w:rPr>
        <w:t xml:space="preserve"> Sept</w:t>
      </w:r>
      <w:r w:rsidR="00235421">
        <w:rPr>
          <w:rFonts w:cstheme="minorHAnsi"/>
          <w:sz w:val="22"/>
          <w:szCs w:val="22"/>
        </w:rPr>
        <w:t>; 122(3):521</w:t>
      </w:r>
      <w:r w:rsidR="00020D21">
        <w:rPr>
          <w:rFonts w:cstheme="minorHAnsi"/>
          <w:sz w:val="22"/>
          <w:szCs w:val="22"/>
        </w:rPr>
        <w:t>-527</w:t>
      </w:r>
    </w:p>
    <w:p w14:paraId="7053834C" w14:textId="780EDBA9" w:rsidR="00FF60CF" w:rsidRPr="00702234" w:rsidRDefault="00665B6F" w:rsidP="00354EC4">
      <w:pPr>
        <w:pStyle w:val="ListParagraph"/>
        <w:numPr>
          <w:ilvl w:val="0"/>
          <w:numId w:val="11"/>
        </w:numPr>
        <w:spacing w:line="360" w:lineRule="auto"/>
        <w:rPr>
          <w:rFonts w:cstheme="minorHAnsi"/>
          <w:sz w:val="22"/>
          <w:szCs w:val="22"/>
        </w:rPr>
      </w:pPr>
      <w:r>
        <w:rPr>
          <w:rFonts w:cstheme="minorHAnsi"/>
          <w:sz w:val="22"/>
          <w:szCs w:val="22"/>
        </w:rPr>
        <w:t xml:space="preserve">Mill C, </w:t>
      </w:r>
      <w:proofErr w:type="spellStart"/>
      <w:r>
        <w:rPr>
          <w:rFonts w:cstheme="minorHAnsi"/>
          <w:sz w:val="22"/>
          <w:szCs w:val="22"/>
        </w:rPr>
        <w:t>Primeau</w:t>
      </w:r>
      <w:proofErr w:type="spellEnd"/>
      <w:r>
        <w:rPr>
          <w:rFonts w:cstheme="minorHAnsi"/>
          <w:sz w:val="22"/>
          <w:szCs w:val="22"/>
        </w:rPr>
        <w:t xml:space="preserve"> MN, </w:t>
      </w:r>
      <w:proofErr w:type="spellStart"/>
      <w:r>
        <w:rPr>
          <w:rFonts w:cstheme="minorHAnsi"/>
          <w:sz w:val="22"/>
          <w:szCs w:val="22"/>
        </w:rPr>
        <w:t>Medoff</w:t>
      </w:r>
      <w:proofErr w:type="spellEnd"/>
      <w:r>
        <w:rPr>
          <w:rFonts w:cstheme="minorHAnsi"/>
          <w:sz w:val="22"/>
          <w:szCs w:val="22"/>
        </w:rPr>
        <w:t xml:space="preserve"> E et al. </w:t>
      </w:r>
      <w:r w:rsidR="00020D21">
        <w:rPr>
          <w:rFonts w:cstheme="minorHAnsi"/>
          <w:sz w:val="22"/>
          <w:szCs w:val="22"/>
        </w:rPr>
        <w:t xml:space="preserve">Assessing the diagnostic properties of a graded </w:t>
      </w:r>
      <w:proofErr w:type="spellStart"/>
      <w:r w:rsidR="00020D21">
        <w:rPr>
          <w:rFonts w:cstheme="minorHAnsi"/>
          <w:sz w:val="22"/>
          <w:szCs w:val="22"/>
        </w:rPr>
        <w:t>oal</w:t>
      </w:r>
      <w:proofErr w:type="spellEnd"/>
      <w:r w:rsidR="00020D21">
        <w:rPr>
          <w:rFonts w:cstheme="minorHAnsi"/>
          <w:sz w:val="22"/>
          <w:szCs w:val="22"/>
        </w:rPr>
        <w:t xml:space="preserve"> provocation challenge for the diagnosis of immediate and nonimmediate reactions to amoxicillin in children. </w:t>
      </w:r>
      <w:r w:rsidRPr="00020D21">
        <w:rPr>
          <w:rFonts w:cstheme="minorHAnsi"/>
          <w:iCs/>
          <w:sz w:val="22"/>
          <w:szCs w:val="22"/>
        </w:rPr>
        <w:t>JAMA Ped</w:t>
      </w:r>
      <w:r w:rsidR="00CC0F78">
        <w:rPr>
          <w:rFonts w:cstheme="minorHAnsi"/>
          <w:iCs/>
          <w:sz w:val="22"/>
          <w:szCs w:val="22"/>
        </w:rPr>
        <w:t>iatrics</w:t>
      </w:r>
      <w:r>
        <w:rPr>
          <w:rFonts w:cstheme="minorHAnsi"/>
          <w:i/>
          <w:iCs/>
          <w:sz w:val="22"/>
          <w:szCs w:val="22"/>
        </w:rPr>
        <w:t xml:space="preserve"> </w:t>
      </w:r>
      <w:r>
        <w:rPr>
          <w:rFonts w:cstheme="minorHAnsi"/>
          <w:sz w:val="22"/>
          <w:szCs w:val="22"/>
        </w:rPr>
        <w:t>2016</w:t>
      </w:r>
      <w:r w:rsidR="00020D21">
        <w:rPr>
          <w:rFonts w:cstheme="minorHAnsi"/>
          <w:sz w:val="22"/>
          <w:szCs w:val="22"/>
        </w:rPr>
        <w:t xml:space="preserve"> Jun 6</w:t>
      </w:r>
      <w:r>
        <w:rPr>
          <w:rFonts w:cstheme="minorHAnsi"/>
          <w:sz w:val="22"/>
          <w:szCs w:val="22"/>
        </w:rPr>
        <w:t>;170(6</w:t>
      </w:r>
      <w:proofErr w:type="gramStart"/>
      <w:r>
        <w:rPr>
          <w:rFonts w:cstheme="minorHAnsi"/>
          <w:sz w:val="22"/>
          <w:szCs w:val="22"/>
        </w:rPr>
        <w:t>):e</w:t>
      </w:r>
      <w:proofErr w:type="gramEnd"/>
      <w:r>
        <w:rPr>
          <w:rFonts w:cstheme="minorHAnsi"/>
          <w:sz w:val="22"/>
          <w:szCs w:val="22"/>
        </w:rPr>
        <w:t>160033</w:t>
      </w:r>
    </w:p>
    <w:p w14:paraId="4EE0EA67" w14:textId="19AF5313" w:rsidR="00FF60CF" w:rsidRPr="00702234" w:rsidRDefault="00665B6F" w:rsidP="00354EC4">
      <w:pPr>
        <w:pStyle w:val="ListParagraph"/>
        <w:numPr>
          <w:ilvl w:val="0"/>
          <w:numId w:val="11"/>
        </w:numPr>
        <w:spacing w:line="360" w:lineRule="auto"/>
        <w:rPr>
          <w:rFonts w:cstheme="minorHAnsi"/>
          <w:sz w:val="22"/>
          <w:szCs w:val="22"/>
        </w:rPr>
      </w:pPr>
      <w:r>
        <w:rPr>
          <w:rFonts w:cstheme="minorHAnsi"/>
          <w:sz w:val="22"/>
          <w:szCs w:val="22"/>
        </w:rPr>
        <w:t xml:space="preserve">Arnold A, </w:t>
      </w:r>
      <w:proofErr w:type="spellStart"/>
      <w:r>
        <w:rPr>
          <w:rFonts w:cstheme="minorHAnsi"/>
          <w:sz w:val="22"/>
          <w:szCs w:val="22"/>
        </w:rPr>
        <w:t>Sommerfield</w:t>
      </w:r>
      <w:proofErr w:type="spellEnd"/>
      <w:r>
        <w:rPr>
          <w:rFonts w:cstheme="minorHAnsi"/>
          <w:sz w:val="22"/>
          <w:szCs w:val="22"/>
        </w:rPr>
        <w:t xml:space="preserve"> A, </w:t>
      </w:r>
      <w:proofErr w:type="spellStart"/>
      <w:r>
        <w:rPr>
          <w:rFonts w:cstheme="minorHAnsi"/>
          <w:sz w:val="22"/>
          <w:szCs w:val="22"/>
        </w:rPr>
        <w:t>Ramgolam</w:t>
      </w:r>
      <w:proofErr w:type="spellEnd"/>
      <w:r>
        <w:rPr>
          <w:rFonts w:cstheme="minorHAnsi"/>
          <w:sz w:val="22"/>
          <w:szCs w:val="22"/>
        </w:rPr>
        <w:t xml:space="preserve"> A et al. </w:t>
      </w:r>
      <w:r w:rsidR="00020D21">
        <w:rPr>
          <w:rFonts w:cstheme="minorHAnsi"/>
          <w:sz w:val="22"/>
          <w:szCs w:val="22"/>
        </w:rPr>
        <w:t xml:space="preserve">The role of skin testing and extended antibiotic courses in assessment of children with penicillin allergy: an Australian experience. </w:t>
      </w:r>
      <w:r w:rsidRPr="00020D21">
        <w:rPr>
          <w:rFonts w:cstheme="minorHAnsi"/>
          <w:iCs/>
          <w:sz w:val="22"/>
          <w:szCs w:val="22"/>
        </w:rPr>
        <w:t xml:space="preserve">J </w:t>
      </w:r>
      <w:proofErr w:type="spellStart"/>
      <w:r w:rsidRPr="00020D21">
        <w:rPr>
          <w:rFonts w:cstheme="minorHAnsi"/>
          <w:iCs/>
          <w:sz w:val="22"/>
          <w:szCs w:val="22"/>
        </w:rPr>
        <w:t>Paed</w:t>
      </w:r>
      <w:proofErr w:type="spellEnd"/>
      <w:r w:rsidRPr="00020D21">
        <w:rPr>
          <w:rFonts w:cstheme="minorHAnsi"/>
          <w:iCs/>
          <w:sz w:val="22"/>
          <w:szCs w:val="22"/>
        </w:rPr>
        <w:t xml:space="preserve"> and Ch</w:t>
      </w:r>
      <w:r w:rsidR="00FC7349">
        <w:rPr>
          <w:rFonts w:cstheme="minorHAnsi"/>
          <w:iCs/>
          <w:sz w:val="22"/>
          <w:szCs w:val="22"/>
        </w:rPr>
        <w:t>ild</w:t>
      </w:r>
      <w:r w:rsidRPr="00020D21">
        <w:rPr>
          <w:rFonts w:cstheme="minorHAnsi"/>
          <w:iCs/>
          <w:sz w:val="22"/>
          <w:szCs w:val="22"/>
        </w:rPr>
        <w:t xml:space="preserve"> Health</w:t>
      </w:r>
      <w:r>
        <w:rPr>
          <w:rFonts w:cstheme="minorHAnsi"/>
          <w:i/>
          <w:iCs/>
          <w:sz w:val="22"/>
          <w:szCs w:val="22"/>
        </w:rPr>
        <w:t xml:space="preserve"> </w:t>
      </w:r>
      <w:r>
        <w:rPr>
          <w:rFonts w:cstheme="minorHAnsi"/>
          <w:sz w:val="22"/>
          <w:szCs w:val="22"/>
        </w:rPr>
        <w:t>2019</w:t>
      </w:r>
      <w:r w:rsidR="00020D21">
        <w:rPr>
          <w:rFonts w:cstheme="minorHAnsi"/>
          <w:sz w:val="22"/>
          <w:szCs w:val="22"/>
        </w:rPr>
        <w:t xml:space="preserve"> Sept 13</w:t>
      </w:r>
      <w:r>
        <w:rPr>
          <w:rFonts w:cstheme="minorHAnsi"/>
          <w:sz w:val="22"/>
          <w:szCs w:val="22"/>
        </w:rPr>
        <w:t>;55</w:t>
      </w:r>
      <w:r w:rsidR="00020D21">
        <w:rPr>
          <w:rFonts w:cstheme="minorHAnsi"/>
          <w:sz w:val="22"/>
          <w:szCs w:val="22"/>
        </w:rPr>
        <w:t>(4)</w:t>
      </w:r>
      <w:r>
        <w:rPr>
          <w:rFonts w:cstheme="minorHAnsi"/>
          <w:sz w:val="22"/>
          <w:szCs w:val="22"/>
        </w:rPr>
        <w:t>:428-432</w:t>
      </w:r>
    </w:p>
    <w:p w14:paraId="258D4B8F" w14:textId="56186111" w:rsidR="00FF60CF" w:rsidRPr="00702234" w:rsidRDefault="00FF60CF" w:rsidP="00354EC4">
      <w:pPr>
        <w:pStyle w:val="ListParagraph"/>
        <w:numPr>
          <w:ilvl w:val="0"/>
          <w:numId w:val="11"/>
        </w:numPr>
        <w:spacing w:line="360" w:lineRule="auto"/>
        <w:rPr>
          <w:rFonts w:cstheme="minorHAnsi"/>
          <w:sz w:val="22"/>
          <w:szCs w:val="22"/>
        </w:rPr>
      </w:pPr>
      <w:proofErr w:type="spellStart"/>
      <w:r w:rsidRPr="00702234">
        <w:rPr>
          <w:rFonts w:cstheme="minorHAnsi"/>
          <w:sz w:val="22"/>
          <w:szCs w:val="22"/>
        </w:rPr>
        <w:lastRenderedPageBreak/>
        <w:t>Chigullapalli</w:t>
      </w:r>
      <w:proofErr w:type="spellEnd"/>
      <w:r w:rsidRPr="00702234">
        <w:rPr>
          <w:rFonts w:cstheme="minorHAnsi"/>
          <w:sz w:val="22"/>
          <w:szCs w:val="22"/>
        </w:rPr>
        <w:t xml:space="preserve"> </w:t>
      </w:r>
      <w:r w:rsidR="009704AC">
        <w:rPr>
          <w:rFonts w:cstheme="minorHAnsi"/>
          <w:sz w:val="22"/>
          <w:szCs w:val="22"/>
        </w:rPr>
        <w:t>S, Cartland S</w:t>
      </w:r>
      <w:r w:rsidR="00CC0F78">
        <w:rPr>
          <w:rFonts w:cstheme="minorHAnsi"/>
          <w:sz w:val="22"/>
          <w:szCs w:val="22"/>
        </w:rPr>
        <w:t>, Bilal S</w:t>
      </w:r>
      <w:r w:rsidRPr="00702234">
        <w:rPr>
          <w:rFonts w:cstheme="minorHAnsi"/>
          <w:sz w:val="22"/>
          <w:szCs w:val="22"/>
        </w:rPr>
        <w:t xml:space="preserve">. </w:t>
      </w:r>
      <w:r w:rsidR="00020D21">
        <w:rPr>
          <w:rFonts w:cstheme="minorHAnsi"/>
          <w:sz w:val="22"/>
          <w:szCs w:val="22"/>
        </w:rPr>
        <w:t xml:space="preserve"> Clin</w:t>
      </w:r>
      <w:r w:rsidR="009704AC">
        <w:rPr>
          <w:rFonts w:cstheme="minorHAnsi"/>
          <w:sz w:val="22"/>
          <w:szCs w:val="22"/>
        </w:rPr>
        <w:t>ical</w:t>
      </w:r>
      <w:r w:rsidR="00020D21">
        <w:rPr>
          <w:rFonts w:cstheme="minorHAnsi"/>
          <w:sz w:val="22"/>
          <w:szCs w:val="22"/>
        </w:rPr>
        <w:t xml:space="preserve"> </w:t>
      </w:r>
      <w:r w:rsidR="009704AC">
        <w:rPr>
          <w:rFonts w:cstheme="minorHAnsi"/>
          <w:sz w:val="22"/>
          <w:szCs w:val="22"/>
        </w:rPr>
        <w:t xml:space="preserve">and </w:t>
      </w:r>
      <w:r w:rsidR="00020D21">
        <w:rPr>
          <w:rFonts w:cstheme="minorHAnsi"/>
          <w:sz w:val="22"/>
          <w:szCs w:val="22"/>
        </w:rPr>
        <w:t xml:space="preserve">Exp Allergy </w:t>
      </w:r>
      <w:r w:rsidRPr="00702234">
        <w:rPr>
          <w:rFonts w:cstheme="minorHAnsi"/>
          <w:sz w:val="22"/>
          <w:szCs w:val="22"/>
        </w:rPr>
        <w:t xml:space="preserve">2021 </w:t>
      </w:r>
      <w:r w:rsidR="00020D21">
        <w:rPr>
          <w:rFonts w:cstheme="minorHAnsi"/>
          <w:sz w:val="22"/>
          <w:szCs w:val="22"/>
        </w:rPr>
        <w:t>Jan;</w:t>
      </w:r>
      <w:r w:rsidRPr="00702234">
        <w:rPr>
          <w:rFonts w:cstheme="minorHAnsi"/>
          <w:sz w:val="22"/>
          <w:szCs w:val="22"/>
        </w:rPr>
        <w:t xml:space="preserve">51 (1) 182 </w:t>
      </w:r>
      <w:r w:rsidR="00CC0F78">
        <w:rPr>
          <w:rFonts w:cstheme="minorHAnsi"/>
          <w:sz w:val="22"/>
          <w:szCs w:val="22"/>
        </w:rPr>
        <w:t xml:space="preserve">Abstract </w:t>
      </w:r>
      <w:r w:rsidRPr="00702234">
        <w:rPr>
          <w:rFonts w:cstheme="minorHAnsi"/>
          <w:sz w:val="22"/>
          <w:szCs w:val="22"/>
        </w:rPr>
        <w:t>p050.</w:t>
      </w:r>
    </w:p>
    <w:p w14:paraId="38987422" w14:textId="31F7B1B4" w:rsidR="00FF60CF" w:rsidRPr="00702234" w:rsidRDefault="00FF60CF" w:rsidP="00354EC4">
      <w:pPr>
        <w:pStyle w:val="ListParagraph"/>
        <w:numPr>
          <w:ilvl w:val="0"/>
          <w:numId w:val="11"/>
        </w:numPr>
        <w:spacing w:line="360" w:lineRule="auto"/>
        <w:rPr>
          <w:rFonts w:cstheme="minorHAnsi"/>
          <w:sz w:val="22"/>
          <w:szCs w:val="22"/>
        </w:rPr>
      </w:pPr>
      <w:proofErr w:type="spellStart"/>
      <w:r w:rsidRPr="00702234">
        <w:rPr>
          <w:rFonts w:cstheme="minorHAnsi"/>
          <w:sz w:val="22"/>
          <w:szCs w:val="22"/>
        </w:rPr>
        <w:t>Lutfeali</w:t>
      </w:r>
      <w:proofErr w:type="spellEnd"/>
      <w:r w:rsidRPr="00702234">
        <w:rPr>
          <w:rFonts w:cstheme="minorHAnsi"/>
          <w:sz w:val="22"/>
          <w:szCs w:val="22"/>
        </w:rPr>
        <w:t xml:space="preserve"> S, </w:t>
      </w:r>
      <w:proofErr w:type="spellStart"/>
      <w:r w:rsidRPr="00702234">
        <w:rPr>
          <w:rFonts w:cstheme="minorHAnsi"/>
          <w:sz w:val="22"/>
          <w:szCs w:val="22"/>
        </w:rPr>
        <w:t>DiLoreto</w:t>
      </w:r>
      <w:proofErr w:type="spellEnd"/>
      <w:r w:rsidRPr="00702234">
        <w:rPr>
          <w:rFonts w:cstheme="minorHAnsi"/>
          <w:sz w:val="22"/>
          <w:szCs w:val="22"/>
        </w:rPr>
        <w:t xml:space="preserve"> FF, Alvarez KS, et al. </w:t>
      </w:r>
      <w:r w:rsidR="00354EC4">
        <w:rPr>
          <w:rFonts w:cstheme="minorHAnsi"/>
          <w:sz w:val="22"/>
          <w:szCs w:val="22"/>
        </w:rPr>
        <w:t xml:space="preserve">Maintaining penicillin allergy </w:t>
      </w:r>
      <w:proofErr w:type="spellStart"/>
      <w:r w:rsidR="00354EC4">
        <w:rPr>
          <w:rFonts w:cstheme="minorHAnsi"/>
          <w:sz w:val="22"/>
          <w:szCs w:val="22"/>
        </w:rPr>
        <w:t>delabelling</w:t>
      </w:r>
      <w:proofErr w:type="spellEnd"/>
      <w:r w:rsidR="00354EC4">
        <w:rPr>
          <w:rFonts w:cstheme="minorHAnsi"/>
          <w:sz w:val="22"/>
          <w:szCs w:val="22"/>
        </w:rPr>
        <w:t xml:space="preserve">: a quality improvement initiative. </w:t>
      </w:r>
      <w:r w:rsidRPr="00354EC4">
        <w:rPr>
          <w:rFonts w:cstheme="minorHAnsi"/>
          <w:iCs/>
          <w:sz w:val="22"/>
          <w:szCs w:val="22"/>
        </w:rPr>
        <w:t>J All</w:t>
      </w:r>
      <w:r w:rsidR="00FC7349">
        <w:rPr>
          <w:rFonts w:cstheme="minorHAnsi"/>
          <w:iCs/>
          <w:sz w:val="22"/>
          <w:szCs w:val="22"/>
        </w:rPr>
        <w:t>ergy</w:t>
      </w:r>
      <w:r w:rsidRPr="00354EC4">
        <w:rPr>
          <w:rFonts w:cstheme="minorHAnsi"/>
          <w:iCs/>
          <w:sz w:val="22"/>
          <w:szCs w:val="22"/>
        </w:rPr>
        <w:t xml:space="preserve"> Clin </w:t>
      </w:r>
      <w:proofErr w:type="spellStart"/>
      <w:r w:rsidRPr="00354EC4">
        <w:rPr>
          <w:rFonts w:cstheme="minorHAnsi"/>
          <w:iCs/>
          <w:sz w:val="22"/>
          <w:szCs w:val="22"/>
        </w:rPr>
        <w:t>Immuno</w:t>
      </w:r>
      <w:proofErr w:type="spellEnd"/>
      <w:r w:rsidRPr="00702234">
        <w:rPr>
          <w:rFonts w:cstheme="minorHAnsi"/>
          <w:i/>
          <w:iCs/>
          <w:sz w:val="22"/>
          <w:szCs w:val="22"/>
        </w:rPr>
        <w:t xml:space="preserve"> </w:t>
      </w:r>
      <w:r w:rsidRPr="00702234">
        <w:rPr>
          <w:rFonts w:cstheme="minorHAnsi"/>
          <w:sz w:val="22"/>
          <w:szCs w:val="22"/>
        </w:rPr>
        <w:t xml:space="preserve">2021 </w:t>
      </w:r>
      <w:r w:rsidR="00354EC4">
        <w:rPr>
          <w:rFonts w:cstheme="minorHAnsi"/>
          <w:sz w:val="22"/>
          <w:szCs w:val="22"/>
        </w:rPr>
        <w:t>May;</w:t>
      </w:r>
      <w:r w:rsidRPr="00702234">
        <w:rPr>
          <w:rFonts w:cstheme="minorHAnsi"/>
          <w:sz w:val="22"/>
          <w:szCs w:val="22"/>
        </w:rPr>
        <w:t>9</w:t>
      </w:r>
      <w:r w:rsidR="00354EC4">
        <w:rPr>
          <w:rFonts w:cstheme="minorHAnsi"/>
          <w:sz w:val="22"/>
          <w:szCs w:val="22"/>
        </w:rPr>
        <w:t>(</w:t>
      </w:r>
      <w:r w:rsidRPr="00702234">
        <w:rPr>
          <w:rFonts w:cstheme="minorHAnsi"/>
          <w:sz w:val="22"/>
          <w:szCs w:val="22"/>
        </w:rPr>
        <w:t>5</w:t>
      </w:r>
      <w:r w:rsidR="00354EC4">
        <w:rPr>
          <w:rFonts w:cstheme="minorHAnsi"/>
          <w:sz w:val="22"/>
          <w:szCs w:val="22"/>
        </w:rPr>
        <w:t>)</w:t>
      </w:r>
      <w:r w:rsidRPr="00702234">
        <w:rPr>
          <w:rFonts w:cstheme="minorHAnsi"/>
          <w:sz w:val="22"/>
          <w:szCs w:val="22"/>
        </w:rPr>
        <w:t>: 2104-2106.e2</w:t>
      </w:r>
    </w:p>
    <w:p w14:paraId="313DD4C4" w14:textId="0044B31B" w:rsidR="00354EC4" w:rsidRDefault="00354EC4" w:rsidP="00BB5EAF">
      <w:pPr>
        <w:rPr>
          <w:rFonts w:ascii="Times New Roman" w:eastAsia="Times New Roman" w:hAnsi="Times New Roman" w:cs="Times New Roman"/>
        </w:rPr>
      </w:pPr>
    </w:p>
    <w:p w14:paraId="6697CE00" w14:textId="68C6C2DF" w:rsidR="00FE3760" w:rsidRDefault="00FE3760" w:rsidP="00BB5EAF">
      <w:pPr>
        <w:rPr>
          <w:rFonts w:ascii="Times New Roman" w:eastAsia="Times New Roman" w:hAnsi="Times New Roman" w:cs="Times New Roman"/>
        </w:rPr>
      </w:pPr>
    </w:p>
    <w:p w14:paraId="2C2ECA51" w14:textId="1A144F15" w:rsidR="00FE3760" w:rsidRDefault="00FE3760" w:rsidP="00BB5EAF">
      <w:pPr>
        <w:rPr>
          <w:rFonts w:ascii="Times New Roman" w:eastAsia="Times New Roman" w:hAnsi="Times New Roman" w:cs="Times New Roman"/>
        </w:rPr>
      </w:pPr>
    </w:p>
    <w:p w14:paraId="182AA150" w14:textId="367B34E2" w:rsidR="00FE3760" w:rsidRDefault="00FE3760" w:rsidP="00BB5EAF">
      <w:pPr>
        <w:rPr>
          <w:rFonts w:ascii="Times New Roman" w:eastAsia="Times New Roman" w:hAnsi="Times New Roman" w:cs="Times New Roman"/>
        </w:rPr>
      </w:pPr>
    </w:p>
    <w:p w14:paraId="2FA88C22" w14:textId="7014B982" w:rsidR="00FE3760" w:rsidRDefault="00FE3760" w:rsidP="00BB5EAF">
      <w:pPr>
        <w:rPr>
          <w:rFonts w:ascii="Times New Roman" w:eastAsia="Times New Roman" w:hAnsi="Times New Roman" w:cs="Times New Roman"/>
        </w:rPr>
      </w:pPr>
    </w:p>
    <w:p w14:paraId="661DA32A" w14:textId="1A0974AD" w:rsidR="00FE3760" w:rsidRDefault="00FE3760" w:rsidP="00BB5EAF">
      <w:pPr>
        <w:rPr>
          <w:rFonts w:ascii="Times New Roman" w:eastAsia="Times New Roman" w:hAnsi="Times New Roman" w:cs="Times New Roman"/>
        </w:rPr>
      </w:pPr>
    </w:p>
    <w:p w14:paraId="77CDD255" w14:textId="2E0AFDA4" w:rsidR="00FE3760" w:rsidRDefault="00FE3760" w:rsidP="00BB5EAF">
      <w:pPr>
        <w:rPr>
          <w:rFonts w:ascii="Times New Roman" w:eastAsia="Times New Roman" w:hAnsi="Times New Roman" w:cs="Times New Roman"/>
        </w:rPr>
      </w:pPr>
    </w:p>
    <w:p w14:paraId="76B152AB" w14:textId="0BBD5F03" w:rsidR="00FE3760" w:rsidRDefault="00FE3760" w:rsidP="00BB5EAF">
      <w:pPr>
        <w:rPr>
          <w:rFonts w:ascii="Times New Roman" w:eastAsia="Times New Roman" w:hAnsi="Times New Roman" w:cs="Times New Roman"/>
        </w:rPr>
      </w:pPr>
    </w:p>
    <w:p w14:paraId="549C2B70" w14:textId="77777777" w:rsidR="00CC0F78" w:rsidRDefault="00CC0F78" w:rsidP="00FE3760">
      <w:pPr>
        <w:spacing w:line="480" w:lineRule="auto"/>
        <w:rPr>
          <w:rFonts w:ascii="Times New Roman" w:eastAsia="Times New Roman" w:hAnsi="Times New Roman" w:cs="Times New Roman"/>
        </w:rPr>
      </w:pPr>
    </w:p>
    <w:p w14:paraId="2DF99F6D" w14:textId="77777777" w:rsidR="00CC0F78" w:rsidRDefault="00CC0F78" w:rsidP="00FE3760">
      <w:pPr>
        <w:spacing w:line="480" w:lineRule="auto"/>
        <w:rPr>
          <w:rFonts w:asciiTheme="minorHAnsi" w:hAnsiTheme="minorHAnsi" w:cstheme="minorHAnsi"/>
          <w:color w:val="000000" w:themeColor="text1"/>
        </w:rPr>
      </w:pPr>
    </w:p>
    <w:p w14:paraId="4D466D8A" w14:textId="77777777" w:rsidR="00CC0F78" w:rsidRDefault="00CC0F78" w:rsidP="00FE3760">
      <w:pPr>
        <w:spacing w:line="480" w:lineRule="auto"/>
        <w:rPr>
          <w:rFonts w:asciiTheme="minorHAnsi" w:hAnsiTheme="minorHAnsi" w:cstheme="minorHAnsi"/>
          <w:color w:val="000000" w:themeColor="text1"/>
        </w:rPr>
      </w:pPr>
    </w:p>
    <w:p w14:paraId="71B83963" w14:textId="77777777" w:rsidR="00CC0F78" w:rsidRDefault="00CC0F78" w:rsidP="00FE3760">
      <w:pPr>
        <w:spacing w:line="480" w:lineRule="auto"/>
        <w:rPr>
          <w:rFonts w:asciiTheme="minorHAnsi" w:hAnsiTheme="minorHAnsi" w:cstheme="minorHAnsi"/>
          <w:color w:val="000000" w:themeColor="text1"/>
        </w:rPr>
      </w:pPr>
    </w:p>
    <w:p w14:paraId="698B1855" w14:textId="77777777" w:rsidR="00CC0F78" w:rsidRDefault="00CC0F78" w:rsidP="00FE3760">
      <w:pPr>
        <w:spacing w:line="480" w:lineRule="auto"/>
        <w:rPr>
          <w:rFonts w:asciiTheme="minorHAnsi" w:hAnsiTheme="minorHAnsi" w:cstheme="minorHAnsi"/>
          <w:color w:val="000000" w:themeColor="text1"/>
        </w:rPr>
      </w:pPr>
    </w:p>
    <w:p w14:paraId="3AC4AB0E" w14:textId="77777777" w:rsidR="00CC0F78" w:rsidRDefault="00CC0F78" w:rsidP="00FE3760">
      <w:pPr>
        <w:spacing w:line="480" w:lineRule="auto"/>
        <w:rPr>
          <w:rFonts w:asciiTheme="minorHAnsi" w:hAnsiTheme="minorHAnsi" w:cstheme="minorHAnsi"/>
          <w:color w:val="000000" w:themeColor="text1"/>
        </w:rPr>
      </w:pPr>
    </w:p>
    <w:p w14:paraId="10B27F9D" w14:textId="77777777" w:rsidR="00CC0F78" w:rsidRDefault="00CC0F78" w:rsidP="00FE3760">
      <w:pPr>
        <w:spacing w:line="480" w:lineRule="auto"/>
        <w:rPr>
          <w:rFonts w:asciiTheme="minorHAnsi" w:hAnsiTheme="minorHAnsi" w:cstheme="minorHAnsi"/>
          <w:color w:val="000000" w:themeColor="text1"/>
        </w:rPr>
      </w:pPr>
    </w:p>
    <w:p w14:paraId="7C7AE002" w14:textId="77777777" w:rsidR="00CC0F78" w:rsidRDefault="00CC0F78" w:rsidP="00FE3760">
      <w:pPr>
        <w:spacing w:line="480" w:lineRule="auto"/>
        <w:rPr>
          <w:rFonts w:asciiTheme="minorHAnsi" w:hAnsiTheme="minorHAnsi" w:cstheme="minorHAnsi"/>
          <w:color w:val="000000" w:themeColor="text1"/>
        </w:rPr>
      </w:pPr>
    </w:p>
    <w:p w14:paraId="7CBF5146" w14:textId="77777777" w:rsidR="00CC0F78" w:rsidRDefault="00CC0F78" w:rsidP="00FE3760">
      <w:pPr>
        <w:spacing w:line="480" w:lineRule="auto"/>
        <w:rPr>
          <w:rFonts w:asciiTheme="minorHAnsi" w:hAnsiTheme="minorHAnsi" w:cstheme="minorHAnsi"/>
          <w:color w:val="000000" w:themeColor="text1"/>
        </w:rPr>
      </w:pPr>
    </w:p>
    <w:p w14:paraId="10F12726" w14:textId="77777777" w:rsidR="00CC0F78" w:rsidRDefault="00CC0F78" w:rsidP="00FE3760">
      <w:pPr>
        <w:spacing w:line="480" w:lineRule="auto"/>
        <w:rPr>
          <w:rFonts w:asciiTheme="minorHAnsi" w:hAnsiTheme="minorHAnsi" w:cstheme="minorHAnsi"/>
          <w:color w:val="000000" w:themeColor="text1"/>
        </w:rPr>
      </w:pPr>
    </w:p>
    <w:p w14:paraId="1CA7832A" w14:textId="77777777" w:rsidR="00CC0F78" w:rsidRDefault="00CC0F78" w:rsidP="00FE3760">
      <w:pPr>
        <w:spacing w:line="480" w:lineRule="auto"/>
        <w:rPr>
          <w:rFonts w:asciiTheme="minorHAnsi" w:hAnsiTheme="minorHAnsi" w:cstheme="minorHAnsi"/>
          <w:color w:val="000000" w:themeColor="text1"/>
        </w:rPr>
      </w:pPr>
    </w:p>
    <w:p w14:paraId="2F8C4A98" w14:textId="77777777" w:rsidR="00CC0F78" w:rsidRDefault="00CC0F78" w:rsidP="00FE3760">
      <w:pPr>
        <w:spacing w:line="480" w:lineRule="auto"/>
        <w:rPr>
          <w:rFonts w:asciiTheme="minorHAnsi" w:hAnsiTheme="minorHAnsi" w:cstheme="minorHAnsi"/>
          <w:color w:val="000000" w:themeColor="text1"/>
        </w:rPr>
      </w:pPr>
    </w:p>
    <w:p w14:paraId="01DA59B2" w14:textId="1F2DA3A8" w:rsidR="00FE3760" w:rsidRDefault="00FE3760" w:rsidP="00FE3760">
      <w:pPr>
        <w:spacing w:line="480" w:lineRule="auto"/>
        <w:rPr>
          <w:rFonts w:asciiTheme="minorHAnsi" w:hAnsiTheme="minorHAnsi" w:cstheme="minorHAnsi"/>
        </w:rPr>
      </w:pPr>
      <w:r>
        <w:rPr>
          <w:rFonts w:asciiTheme="minorHAnsi" w:hAnsiTheme="minorHAnsi" w:cstheme="minorHAnsi"/>
          <w:color w:val="000000" w:themeColor="text1"/>
        </w:rPr>
        <w:lastRenderedPageBreak/>
        <w:t xml:space="preserve">Table </w:t>
      </w:r>
      <w:r w:rsidRPr="006E4DD6">
        <w:rPr>
          <w:rFonts w:asciiTheme="minorHAnsi" w:hAnsiTheme="minorHAnsi" w:cstheme="minorHAnsi"/>
        </w:rPr>
        <w:t xml:space="preserve">1: </w:t>
      </w:r>
      <w:r w:rsidR="00CC0F78">
        <w:rPr>
          <w:rFonts w:asciiTheme="minorHAnsi" w:hAnsiTheme="minorHAnsi" w:cstheme="minorHAnsi"/>
        </w:rPr>
        <w:t xml:space="preserve">Low risk symptoms in adults and children </w:t>
      </w:r>
    </w:p>
    <w:p w14:paraId="30AFA09C" w14:textId="77777777" w:rsidR="00FE3760" w:rsidRDefault="00FE3760" w:rsidP="00FE3760">
      <w:pPr>
        <w:spacing w:line="480" w:lineRule="auto"/>
        <w:rPr>
          <w:rFonts w:asciiTheme="minorHAnsi" w:hAnsiTheme="minorHAnsi" w:cstheme="minorHAnsi"/>
        </w:rPr>
      </w:pPr>
      <w:r w:rsidRPr="00211216">
        <w:rPr>
          <w:rFonts w:asciiTheme="minorHAnsi" w:eastAsiaTheme="minorHAnsi" w:hAnsiTheme="minorHAnsi" w:cstheme="minorHAnsi"/>
          <w:noProof/>
          <w:color w:val="000000" w:themeColor="text1"/>
        </w:rPr>
        <mc:AlternateContent>
          <mc:Choice Requires="wps">
            <w:drawing>
              <wp:anchor distT="0" distB="0" distL="114300" distR="114300" simplePos="0" relativeHeight="251668480" behindDoc="0" locked="0" layoutInCell="1" allowOverlap="1" wp14:anchorId="7E781A92" wp14:editId="60A04A06">
                <wp:simplePos x="0" y="0"/>
                <wp:positionH relativeFrom="column">
                  <wp:posOffset>-365760</wp:posOffset>
                </wp:positionH>
                <wp:positionV relativeFrom="paragraph">
                  <wp:posOffset>130175</wp:posOffset>
                </wp:positionV>
                <wp:extent cx="6323960" cy="3334870"/>
                <wp:effectExtent l="0" t="0" r="13970" b="18415"/>
                <wp:wrapNone/>
                <wp:docPr id="2" name="Text Box 2"/>
                <wp:cNvGraphicFramePr/>
                <a:graphic xmlns:a="http://schemas.openxmlformats.org/drawingml/2006/main">
                  <a:graphicData uri="http://schemas.microsoft.com/office/word/2010/wordprocessingShape">
                    <wps:wsp>
                      <wps:cNvSpPr txBox="1"/>
                      <wps:spPr>
                        <a:xfrm>
                          <a:off x="0" y="0"/>
                          <a:ext cx="6323960" cy="3334870"/>
                        </a:xfrm>
                        <a:prstGeom prst="rect">
                          <a:avLst/>
                        </a:prstGeom>
                        <a:solidFill>
                          <a:schemeClr val="lt1"/>
                        </a:solidFill>
                        <a:ln w="6350">
                          <a:solidFill>
                            <a:prstClr val="black"/>
                          </a:solidFill>
                        </a:ln>
                      </wps:spPr>
                      <wps:txbx>
                        <w:txbxContent>
                          <w:p w14:paraId="1D2DE6FF"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lang w:val="en-GB"/>
                              </w:rPr>
                              <w:t>Minor gastro-intestinal symptoms (nausea, abdominal pain, diarrhoea)*</w:t>
                            </w:r>
                          </w:p>
                          <w:p w14:paraId="05039903"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i/>
                                <w:iCs/>
                                <w:sz w:val="22"/>
                                <w:szCs w:val="22"/>
                                <w:lang w:val="en-GB"/>
                              </w:rPr>
                              <w:t xml:space="preserve">Candidiasis </w:t>
                            </w:r>
                            <w:r w:rsidRPr="006E4DD6">
                              <w:rPr>
                                <w:rFonts w:cstheme="minorHAnsi"/>
                                <w:sz w:val="22"/>
                                <w:szCs w:val="22"/>
                                <w:lang w:val="en-GB"/>
                              </w:rPr>
                              <w:t>(thrush)*</w:t>
                            </w:r>
                          </w:p>
                          <w:p w14:paraId="7611A96E"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Minor symptoms unrelated to any form of allergic reaction eg  headache, arthralgia, strange taste in mouth*</w:t>
                            </w:r>
                          </w:p>
                          <w:p w14:paraId="1E9DDAA6"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Family history of penicillin allergy but without personal history of allergy*</w:t>
                            </w:r>
                          </w:p>
                          <w:p w14:paraId="28D9C52F"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has taken and tolerated the same penicillin subsequent to the index reaction*</w:t>
                            </w:r>
                          </w:p>
                          <w:p w14:paraId="456E5C5D"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reports ‘benign’† rash which developed more than 1 hour after the first dose of a course of penicillin</w:t>
                            </w:r>
                          </w:p>
                          <w:p w14:paraId="35DA2FC8"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reports a childhood rash with no other history available‡</w:t>
                            </w:r>
                          </w:p>
                          <w:p w14:paraId="0E67D6E3"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cannot remember what happened during index reaction but was told it was not serious and did not require hospital treatment</w:t>
                            </w:r>
                          </w:p>
                          <w:p w14:paraId="40AB8407" w14:textId="77777777" w:rsidR="00FE3760" w:rsidRPr="006E4DD6" w:rsidRDefault="00FE3760" w:rsidP="00FE3760">
                            <w:pPr>
                              <w:spacing w:line="360" w:lineRule="auto"/>
                              <w:rPr>
                                <w:rFonts w:asciiTheme="minorHAnsi" w:hAnsiTheme="minorHAnsi" w:cstheme="minorHAnsi"/>
                              </w:rPr>
                            </w:pPr>
                          </w:p>
                          <w:p w14:paraId="0EF4D7EA" w14:textId="77777777" w:rsidR="00FE3760" w:rsidRDefault="00FE3760" w:rsidP="00FE3760">
                            <w:pPr>
                              <w:spacing w:line="360" w:lineRule="auto"/>
                            </w:pPr>
                          </w:p>
                          <w:p w14:paraId="620BD78A" w14:textId="77777777" w:rsidR="00FE3760" w:rsidRDefault="00FE3760" w:rsidP="00FE3760">
                            <w:pPr>
                              <w:spacing w:line="360" w:lineRule="auto"/>
                              <w:rPr>
                                <w:rFonts w:asciiTheme="minorHAnsi" w:hAnsiTheme="minorHAnsi"/>
                              </w:rPr>
                            </w:pPr>
                          </w:p>
                          <w:p w14:paraId="7B58B76D" w14:textId="77777777" w:rsidR="00FE3760" w:rsidRDefault="00FE3760" w:rsidP="00FE3760">
                            <w:pPr>
                              <w:spacing w:line="480" w:lineRule="auto"/>
                              <w:rPr>
                                <w:rFonts w:asciiTheme="minorHAnsi" w:hAnsiTheme="minorHAnsi"/>
                              </w:rPr>
                            </w:pPr>
                          </w:p>
                          <w:p w14:paraId="1581B8D3" w14:textId="77777777" w:rsidR="00FE3760" w:rsidRDefault="00FE3760" w:rsidP="00FE37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781A92" id="_x0000_t202" coordsize="21600,21600" o:spt="202" path="m,l,21600r21600,l21600,xe">
                <v:stroke joinstyle="miter"/>
                <v:path gradientshapeok="t" o:connecttype="rect"/>
              </v:shapetype>
              <v:shape id="Text Box 2" o:spid="_x0000_s1026" type="#_x0000_t202" style="position:absolute;margin-left:-28.8pt;margin-top:10.25pt;width:497.95pt;height:2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" fillcolor="white [3201]" strokeweight=".5pt">
                <v:textbox>
                  <w:txbxContent>
                    <w:p w14:paraId="1D2DE6FF"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lang w:val="en-GB"/>
                        </w:rPr>
                        <w:t>Minor gastro-intestinal symptoms (nausea, abdominal pain, diarrhoea)*</w:t>
                      </w:r>
                    </w:p>
                    <w:p w14:paraId="05039903"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i/>
                          <w:iCs/>
                          <w:sz w:val="22"/>
                          <w:szCs w:val="22"/>
                          <w:lang w:val="en-GB"/>
                        </w:rPr>
                        <w:t xml:space="preserve">Candidiasis </w:t>
                      </w:r>
                      <w:r w:rsidRPr="006E4DD6">
                        <w:rPr>
                          <w:rFonts w:cstheme="minorHAnsi"/>
                          <w:sz w:val="22"/>
                          <w:szCs w:val="22"/>
                          <w:lang w:val="en-GB"/>
                        </w:rPr>
                        <w:t>(thrush)*</w:t>
                      </w:r>
                    </w:p>
                    <w:p w14:paraId="7611A96E"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Minor symptoms unrelated to any form of allergic reaction eg  headache, arthralgia, strange taste in mouth*</w:t>
                      </w:r>
                    </w:p>
                    <w:p w14:paraId="1E9DDAA6"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Family history of penicillin allergy but without personal history of allergy*</w:t>
                      </w:r>
                    </w:p>
                    <w:p w14:paraId="28D9C52F"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has taken and tolerated the same penicillin subsequent to the index reaction*</w:t>
                      </w:r>
                    </w:p>
                    <w:p w14:paraId="456E5C5D"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reports ‘benign’† rash which developed more than 1 hour after the first dose of a course of penicillin</w:t>
                      </w:r>
                    </w:p>
                    <w:p w14:paraId="35DA2FC8"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reports a childhood rash with no other history available‡</w:t>
                      </w:r>
                    </w:p>
                    <w:p w14:paraId="0E67D6E3" w14:textId="77777777" w:rsidR="00FE3760" w:rsidRPr="006E4DD6" w:rsidRDefault="00FE3760" w:rsidP="00FE3760">
                      <w:pPr>
                        <w:pStyle w:val="ListParagraph"/>
                        <w:numPr>
                          <w:ilvl w:val="0"/>
                          <w:numId w:val="7"/>
                        </w:numPr>
                        <w:spacing w:line="360" w:lineRule="auto"/>
                        <w:rPr>
                          <w:rFonts w:cstheme="minorHAnsi"/>
                          <w:sz w:val="22"/>
                          <w:szCs w:val="22"/>
                        </w:rPr>
                      </w:pPr>
                      <w:r w:rsidRPr="006E4DD6">
                        <w:rPr>
                          <w:rFonts w:cstheme="minorHAnsi"/>
                          <w:sz w:val="22"/>
                          <w:szCs w:val="22"/>
                        </w:rPr>
                        <w:t>Patient cannot remember what happened during index reaction but was told it was not serious and did not require hospital treatment</w:t>
                      </w:r>
                    </w:p>
                    <w:p w14:paraId="40AB8407" w14:textId="77777777" w:rsidR="00FE3760" w:rsidRPr="006E4DD6" w:rsidRDefault="00FE3760" w:rsidP="00FE3760">
                      <w:pPr>
                        <w:spacing w:line="360" w:lineRule="auto"/>
                        <w:rPr>
                          <w:rFonts w:asciiTheme="minorHAnsi" w:hAnsiTheme="minorHAnsi" w:cstheme="minorHAnsi"/>
                        </w:rPr>
                      </w:pPr>
                    </w:p>
                    <w:p w14:paraId="0EF4D7EA" w14:textId="77777777" w:rsidR="00FE3760" w:rsidRDefault="00FE3760" w:rsidP="00FE3760">
                      <w:pPr>
                        <w:spacing w:line="360" w:lineRule="auto"/>
                      </w:pPr>
                    </w:p>
                    <w:p w14:paraId="620BD78A" w14:textId="77777777" w:rsidR="00FE3760" w:rsidRDefault="00FE3760" w:rsidP="00FE3760">
                      <w:pPr>
                        <w:spacing w:line="360" w:lineRule="auto"/>
                        <w:rPr>
                          <w:rFonts w:asciiTheme="minorHAnsi" w:hAnsiTheme="minorHAnsi"/>
                        </w:rPr>
                      </w:pPr>
                    </w:p>
                    <w:p w14:paraId="7B58B76D" w14:textId="77777777" w:rsidR="00FE3760" w:rsidRDefault="00FE3760" w:rsidP="00FE3760">
                      <w:pPr>
                        <w:spacing w:line="480" w:lineRule="auto"/>
                        <w:rPr>
                          <w:rFonts w:asciiTheme="minorHAnsi" w:hAnsiTheme="minorHAnsi"/>
                        </w:rPr>
                      </w:pPr>
                    </w:p>
                    <w:p w14:paraId="1581B8D3" w14:textId="77777777" w:rsidR="00FE3760" w:rsidRDefault="00FE3760" w:rsidP="00FE3760"/>
                  </w:txbxContent>
                </v:textbox>
              </v:shape>
            </w:pict>
          </mc:Fallback>
        </mc:AlternateContent>
      </w:r>
    </w:p>
    <w:p w14:paraId="5CB15B30" w14:textId="77777777" w:rsidR="00FE3760" w:rsidRPr="006E4DD6" w:rsidRDefault="00FE3760" w:rsidP="00FE3760">
      <w:pPr>
        <w:spacing w:line="480" w:lineRule="auto"/>
        <w:rPr>
          <w:rFonts w:asciiTheme="minorHAnsi" w:hAnsiTheme="minorHAnsi" w:cstheme="minorHAnsi"/>
        </w:rPr>
      </w:pPr>
    </w:p>
    <w:p w14:paraId="1B041B1A" w14:textId="77777777" w:rsidR="00FE3760" w:rsidRPr="006E4DD6" w:rsidRDefault="00FE3760" w:rsidP="00FE3760">
      <w:pPr>
        <w:spacing w:line="480" w:lineRule="auto"/>
        <w:rPr>
          <w:rFonts w:asciiTheme="minorHAnsi" w:hAnsiTheme="minorHAnsi" w:cstheme="minorHAnsi"/>
        </w:rPr>
      </w:pPr>
    </w:p>
    <w:p w14:paraId="0790860C" w14:textId="77777777" w:rsidR="00FE3760" w:rsidRPr="006E4DD6" w:rsidRDefault="00FE3760" w:rsidP="00FE3760">
      <w:pPr>
        <w:spacing w:line="480" w:lineRule="auto"/>
        <w:rPr>
          <w:rFonts w:asciiTheme="minorHAnsi" w:hAnsiTheme="minorHAnsi" w:cstheme="minorHAnsi"/>
        </w:rPr>
      </w:pPr>
    </w:p>
    <w:p w14:paraId="4E73266B" w14:textId="77777777" w:rsidR="00FE3760" w:rsidRPr="00062636" w:rsidRDefault="00FE3760" w:rsidP="00FE3760">
      <w:pPr>
        <w:spacing w:line="480" w:lineRule="auto"/>
        <w:rPr>
          <w:rFonts w:asciiTheme="minorHAnsi" w:hAnsiTheme="minorHAnsi"/>
        </w:rPr>
      </w:pPr>
    </w:p>
    <w:p w14:paraId="3295A938" w14:textId="77777777" w:rsidR="00FE3760" w:rsidRPr="00062636" w:rsidRDefault="00FE3760" w:rsidP="00FE3760">
      <w:pPr>
        <w:spacing w:line="480" w:lineRule="auto"/>
        <w:rPr>
          <w:rFonts w:asciiTheme="minorHAnsi" w:hAnsiTheme="minorHAnsi"/>
        </w:rPr>
      </w:pPr>
    </w:p>
    <w:p w14:paraId="328994B9" w14:textId="77777777" w:rsidR="00FE3760" w:rsidRPr="00062636" w:rsidRDefault="00FE3760" w:rsidP="00FE3760">
      <w:pPr>
        <w:spacing w:line="480" w:lineRule="auto"/>
        <w:rPr>
          <w:rFonts w:asciiTheme="minorHAnsi" w:hAnsiTheme="minorHAnsi"/>
        </w:rPr>
      </w:pPr>
    </w:p>
    <w:p w14:paraId="631B4CB4" w14:textId="77777777" w:rsidR="00FE3760" w:rsidRPr="00062636" w:rsidRDefault="00FE3760" w:rsidP="00FE3760">
      <w:pPr>
        <w:spacing w:line="480" w:lineRule="auto"/>
        <w:rPr>
          <w:rFonts w:asciiTheme="minorHAnsi" w:hAnsiTheme="minorHAnsi"/>
        </w:rPr>
      </w:pPr>
    </w:p>
    <w:p w14:paraId="295A8AE1" w14:textId="77777777" w:rsidR="00FE3760" w:rsidRPr="006E4DD6" w:rsidRDefault="00FE3760" w:rsidP="00FE3760">
      <w:pPr>
        <w:spacing w:line="480" w:lineRule="auto"/>
        <w:rPr>
          <w:rFonts w:asciiTheme="minorHAnsi" w:hAnsiTheme="minorHAnsi" w:cstheme="minorHAnsi"/>
        </w:rPr>
      </w:pPr>
      <w:r w:rsidRPr="006E4DD6">
        <w:rPr>
          <w:rFonts w:asciiTheme="minorHAnsi" w:hAnsiTheme="minorHAnsi" w:cstheme="minorHAnsi"/>
        </w:rPr>
        <w:t xml:space="preserve">*These patients do not require allergy testing in the form of either skin tests or DPT. However, some patients may continue avoiding penicillin if they don’t have the reassurance of a negative allergy test. In these circumstances, </w:t>
      </w:r>
      <w:r>
        <w:rPr>
          <w:rFonts w:asciiTheme="minorHAnsi" w:hAnsiTheme="minorHAnsi" w:cstheme="minorHAnsi"/>
        </w:rPr>
        <w:t>a DPT should be considered.</w:t>
      </w:r>
    </w:p>
    <w:p w14:paraId="118EAC63" w14:textId="77777777" w:rsidR="00FE3760" w:rsidRPr="006E4DD6" w:rsidRDefault="00FE3760" w:rsidP="00FE3760">
      <w:pPr>
        <w:spacing w:line="480" w:lineRule="auto"/>
        <w:rPr>
          <w:rFonts w:asciiTheme="minorHAnsi" w:hAnsiTheme="minorHAnsi" w:cstheme="minorHAnsi"/>
        </w:rPr>
      </w:pPr>
      <w:r w:rsidRPr="006E4DD6">
        <w:rPr>
          <w:rFonts w:asciiTheme="minorHAnsi" w:hAnsiTheme="minorHAnsi" w:cstheme="minorHAnsi"/>
        </w:rPr>
        <w:t>†Benign defined as non-urticarial, non-itchy, non-blistering, short-lived (less than 24 hours) and did not require treatment</w:t>
      </w:r>
    </w:p>
    <w:p w14:paraId="297812DB" w14:textId="34FCB410" w:rsidR="00FE3760" w:rsidRDefault="00FE3760" w:rsidP="00FE3760">
      <w:pPr>
        <w:spacing w:line="480" w:lineRule="auto"/>
        <w:rPr>
          <w:rFonts w:asciiTheme="minorHAnsi" w:hAnsiTheme="minorHAnsi" w:cstheme="minorHAnsi"/>
        </w:rPr>
      </w:pPr>
      <w:r w:rsidRPr="006E4DD6">
        <w:rPr>
          <w:rFonts w:asciiTheme="minorHAnsi" w:hAnsiTheme="minorHAnsi" w:cstheme="minorHAnsi"/>
        </w:rPr>
        <w:t xml:space="preserve">‡’No other history available’ assumes that such information has been sought from patients, carers, relatives and healthcare records where possible. </w:t>
      </w:r>
    </w:p>
    <w:p w14:paraId="34EC290B" w14:textId="41C74B1F" w:rsidR="00CC0F78" w:rsidRDefault="00CC0F78" w:rsidP="00CC0F78">
      <w:pPr>
        <w:spacing w:line="480" w:lineRule="auto"/>
        <w:rPr>
          <w:rFonts w:asciiTheme="minorHAnsi" w:hAnsiTheme="minorHAnsi" w:cstheme="minorHAnsi"/>
        </w:rPr>
      </w:pPr>
      <w:r w:rsidRPr="006E4DD6">
        <w:rPr>
          <w:rFonts w:asciiTheme="minorHAnsi" w:hAnsiTheme="minorHAnsi" w:cstheme="minorHAnsi"/>
        </w:rPr>
        <w:t xml:space="preserve">Patients with </w:t>
      </w:r>
      <w:r>
        <w:rPr>
          <w:rFonts w:asciiTheme="minorHAnsi" w:hAnsiTheme="minorHAnsi" w:cstheme="minorHAnsi"/>
        </w:rPr>
        <w:t xml:space="preserve">symptoms listed in Table 1 but </w:t>
      </w:r>
      <w:r w:rsidRPr="006E4DD6">
        <w:rPr>
          <w:rFonts w:asciiTheme="minorHAnsi" w:hAnsiTheme="minorHAnsi" w:cstheme="minorHAnsi"/>
        </w:rPr>
        <w:t xml:space="preserve">none of the exclusion criteria </w:t>
      </w:r>
      <w:r>
        <w:rPr>
          <w:rFonts w:asciiTheme="minorHAnsi" w:hAnsiTheme="minorHAnsi" w:cstheme="minorHAnsi"/>
        </w:rPr>
        <w:t>listed in Table</w:t>
      </w:r>
      <w:r w:rsidRPr="006E4DD6">
        <w:rPr>
          <w:rFonts w:asciiTheme="minorHAnsi" w:hAnsiTheme="minorHAnsi" w:cstheme="minorHAnsi"/>
        </w:rPr>
        <w:t xml:space="preserve"> 2 are suitable for direct DPT performed by a non-allergist outside an allergy clinic setting</w:t>
      </w:r>
    </w:p>
    <w:p w14:paraId="5D94A30D" w14:textId="2A401060" w:rsidR="00FE3760" w:rsidRDefault="00FE3760" w:rsidP="00FE3760">
      <w:pPr>
        <w:spacing w:line="480" w:lineRule="auto"/>
        <w:rPr>
          <w:rFonts w:asciiTheme="minorHAnsi" w:hAnsiTheme="minorHAnsi" w:cstheme="minorHAnsi"/>
        </w:rPr>
      </w:pPr>
    </w:p>
    <w:p w14:paraId="6A1CBFBA" w14:textId="77777777" w:rsidR="00FB6622" w:rsidRDefault="00FB6622" w:rsidP="00FE3760">
      <w:pPr>
        <w:spacing w:line="480" w:lineRule="auto"/>
        <w:rPr>
          <w:rFonts w:asciiTheme="minorHAnsi" w:hAnsiTheme="minorHAnsi" w:cstheme="minorHAnsi"/>
        </w:rPr>
      </w:pPr>
    </w:p>
    <w:p w14:paraId="38DC70B8" w14:textId="1E7344F6" w:rsidR="00FE3760" w:rsidRPr="006E4DD6" w:rsidRDefault="00FE3760" w:rsidP="00FE3760">
      <w:pPr>
        <w:spacing w:line="480" w:lineRule="auto"/>
        <w:rPr>
          <w:rFonts w:asciiTheme="minorHAnsi" w:hAnsiTheme="minorHAnsi" w:cstheme="minorHAnsi"/>
        </w:rPr>
      </w:pPr>
      <w:r w:rsidRPr="006E4DD6">
        <w:rPr>
          <w:rFonts w:asciiTheme="minorHAnsi" w:hAnsiTheme="minorHAnsi" w:cstheme="minorHAnsi"/>
          <w:noProof/>
        </w:rPr>
        <w:lastRenderedPageBreak/>
        <mc:AlternateContent>
          <mc:Choice Requires="wps">
            <w:drawing>
              <wp:anchor distT="0" distB="0" distL="114300" distR="114300" simplePos="0" relativeHeight="251670528" behindDoc="0" locked="0" layoutInCell="1" allowOverlap="1" wp14:anchorId="648BBC57" wp14:editId="17CCCDF7">
                <wp:simplePos x="0" y="0"/>
                <wp:positionH relativeFrom="column">
                  <wp:posOffset>-452063</wp:posOffset>
                </wp:positionH>
                <wp:positionV relativeFrom="paragraph">
                  <wp:posOffset>462337</wp:posOffset>
                </wp:positionV>
                <wp:extent cx="6216384" cy="4962418"/>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6216384" cy="4962418"/>
                        </a:xfrm>
                        <a:prstGeom prst="rect">
                          <a:avLst/>
                        </a:prstGeom>
                        <a:solidFill>
                          <a:schemeClr val="lt1"/>
                        </a:solidFill>
                        <a:ln w="6350">
                          <a:solidFill>
                            <a:prstClr val="black"/>
                          </a:solidFill>
                        </a:ln>
                      </wps:spPr>
                      <wps:txbx>
                        <w:txbxContent>
                          <w:p w14:paraId="6631643D"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Rash occurring within one hour of the first dose of penicillin</w:t>
                            </w:r>
                          </w:p>
                          <w:p w14:paraId="0FDF6017"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Rash lasting more than 24 hours and/or affecting more than 10% of body surface.</w:t>
                            </w:r>
                          </w:p>
                          <w:p w14:paraId="0776035D"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 xml:space="preserve">Rash associated with blisters, skin peeling, mucosal inflammation (eyes, mouth, genitals), purpura. </w:t>
                            </w:r>
                          </w:p>
                          <w:p w14:paraId="556BB25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 xml:space="preserve">Patients reporting any symptoms suggestive of a type 1 immediate hypersensitivity reaction to penicillin, including swelling, urticaria, angioedema, shortness of breath, wheeze, loss of consciousness, or collapse. </w:t>
                            </w:r>
                          </w:p>
                          <w:p w14:paraId="1FA4BBB9"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 required hospital treatment due to their reaction</w:t>
                            </w:r>
                          </w:p>
                          <w:p w14:paraId="0DC26A13"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 required treatment with adrenaline for their reaction</w:t>
                            </w:r>
                          </w:p>
                          <w:p w14:paraId="766C016A"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Patients who cannot remember what happened during the index reaction but were told it was serious and/or required medical intervention</w:t>
                            </w:r>
                          </w:p>
                          <w:p w14:paraId="287F2749"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Unable to give informed consent</w:t>
                            </w:r>
                          </w:p>
                          <w:p w14:paraId="3112E507"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or uncontrolled asthma</w:t>
                            </w:r>
                          </w:p>
                          <w:p w14:paraId="3CE8F84A"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chronic obstructive airways disease</w:t>
                            </w:r>
                          </w:p>
                          <w:p w14:paraId="5089F1F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aortic stenosis</w:t>
                            </w:r>
                          </w:p>
                          <w:p w14:paraId="57139A3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w:t>
                            </w:r>
                            <w:r>
                              <w:rPr>
                                <w:sz w:val="22"/>
                                <w:szCs w:val="22"/>
                              </w:rPr>
                              <w:t>, at the time they are being considerd for DPT,</w:t>
                            </w:r>
                            <w:r w:rsidRPr="009347F5">
                              <w:rPr>
                                <w:sz w:val="22"/>
                                <w:szCs w:val="22"/>
                              </w:rPr>
                              <w:t xml:space="preserve"> are acutely unwell or clinically unstable</w:t>
                            </w:r>
                            <w:r>
                              <w:rPr>
                                <w:sz w:val="22"/>
                                <w:szCs w:val="22"/>
                              </w:rPr>
                              <w:t>. This includes patients</w:t>
                            </w:r>
                            <w:r w:rsidRPr="009347F5">
                              <w:rPr>
                                <w:sz w:val="22"/>
                                <w:szCs w:val="22"/>
                              </w:rPr>
                              <w:t xml:space="preserve"> </w:t>
                            </w:r>
                            <w:r>
                              <w:rPr>
                                <w:sz w:val="22"/>
                                <w:szCs w:val="22"/>
                              </w:rPr>
                              <w:t>with</w:t>
                            </w:r>
                            <w:r w:rsidRPr="009347F5">
                              <w:rPr>
                                <w:sz w:val="22"/>
                                <w:szCs w:val="22"/>
                              </w:rPr>
                              <w:t xml:space="preserve"> respiratory and/or cardiac </w:t>
                            </w:r>
                            <w:r>
                              <w:rPr>
                                <w:sz w:val="22"/>
                                <w:szCs w:val="22"/>
                              </w:rPr>
                              <w:t>compromise</w:t>
                            </w:r>
                          </w:p>
                          <w:p w14:paraId="260F3C5E" w14:textId="77777777" w:rsidR="00FE3760" w:rsidRDefault="00FE3760" w:rsidP="00FE3760">
                            <w:pPr>
                              <w:pStyle w:val="ListParagraph"/>
                              <w:numPr>
                                <w:ilvl w:val="0"/>
                                <w:numId w:val="8"/>
                              </w:numPr>
                              <w:spacing w:line="360" w:lineRule="auto"/>
                              <w:rPr>
                                <w:sz w:val="22"/>
                                <w:szCs w:val="22"/>
                              </w:rPr>
                            </w:pPr>
                            <w:r w:rsidRPr="009347F5">
                              <w:rPr>
                                <w:sz w:val="22"/>
                                <w:szCs w:val="22"/>
                              </w:rPr>
                              <w:t>Pregnancy</w:t>
                            </w:r>
                          </w:p>
                          <w:p w14:paraId="318BB193" w14:textId="77777777" w:rsidR="00FE3760" w:rsidRPr="00CC0F78" w:rsidRDefault="00FE3760" w:rsidP="00FE3760">
                            <w:pPr>
                              <w:pStyle w:val="ListParagraph"/>
                              <w:numPr>
                                <w:ilvl w:val="0"/>
                                <w:numId w:val="8"/>
                              </w:numPr>
                              <w:spacing w:line="360" w:lineRule="auto"/>
                              <w:rPr>
                                <w:color w:val="1F3864" w:themeColor="accent1" w:themeShade="80"/>
                                <w:sz w:val="22"/>
                                <w:szCs w:val="22"/>
                              </w:rPr>
                            </w:pPr>
                            <w:r w:rsidRPr="00CC0F78">
                              <w:rPr>
                                <w:color w:val="000000" w:themeColor="text1"/>
                                <w:sz w:val="22"/>
                                <w:szCs w:val="22"/>
                              </w:rPr>
                              <w:t>Previous penicillin allergy testing which concluded that the patient was allergic to penicillin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BBC57" id="Text Box 4" o:spid="_x0000_s1027" type="#_x0000_t202" style="position:absolute;margin-left:-35.6pt;margin-top:36.4pt;width:489.5pt;height:39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" fillcolor="white [3201]" strokeweight=".5pt">
                <v:textbox>
                  <w:txbxContent>
                    <w:p w14:paraId="6631643D"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Rash occurring within one hour of the first dose of penicillin</w:t>
                      </w:r>
                    </w:p>
                    <w:p w14:paraId="0FDF6017"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Rash lasting more than 24 hours and/or affecting more than 10% of body surface.</w:t>
                      </w:r>
                    </w:p>
                    <w:p w14:paraId="0776035D"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 xml:space="preserve">Rash associated with blisters, skin peeling, mucosal inflammation (eyes, mouth, genitals), purpura. </w:t>
                      </w:r>
                    </w:p>
                    <w:p w14:paraId="556BB25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 xml:space="preserve">Patients reporting any symptoms suggestive of a type 1 immediate hypersensitivity reaction to penicillin, including swelling, urticaria, angioedema, shortness of breath, wheeze, loss of consciousness, or collapse. </w:t>
                      </w:r>
                    </w:p>
                    <w:p w14:paraId="1FA4BBB9"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 required hospital treatment due to their reaction</w:t>
                      </w:r>
                    </w:p>
                    <w:p w14:paraId="0DC26A13"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 required treatment with adrenaline for their reaction</w:t>
                      </w:r>
                    </w:p>
                    <w:p w14:paraId="766C016A" w14:textId="77777777" w:rsidR="00FE3760" w:rsidRPr="009347F5" w:rsidRDefault="00FE3760" w:rsidP="00FE3760">
                      <w:pPr>
                        <w:pStyle w:val="ListParagraph"/>
                        <w:numPr>
                          <w:ilvl w:val="0"/>
                          <w:numId w:val="8"/>
                        </w:numPr>
                        <w:spacing w:line="360" w:lineRule="auto"/>
                        <w:rPr>
                          <w:sz w:val="22"/>
                          <w:szCs w:val="22"/>
                        </w:rPr>
                      </w:pPr>
                      <w:r w:rsidRPr="009347F5">
                        <w:rPr>
                          <w:sz w:val="22"/>
                          <w:szCs w:val="22"/>
                          <w:lang w:val="en-GB"/>
                        </w:rPr>
                        <w:t>Patients who cannot remember what happened during the index reaction but were told it was serious and/or required medical intervention</w:t>
                      </w:r>
                    </w:p>
                    <w:p w14:paraId="287F2749"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Unable to give informed consent</w:t>
                      </w:r>
                    </w:p>
                    <w:p w14:paraId="3112E507"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or uncontrolled asthma</w:t>
                      </w:r>
                    </w:p>
                    <w:p w14:paraId="3CE8F84A"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chronic obstructive airways disease</w:t>
                      </w:r>
                    </w:p>
                    <w:p w14:paraId="5089F1F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Severe aortic stenosis</w:t>
                      </w:r>
                    </w:p>
                    <w:p w14:paraId="57139A31" w14:textId="77777777" w:rsidR="00FE3760" w:rsidRPr="009347F5" w:rsidRDefault="00FE3760" w:rsidP="00FE3760">
                      <w:pPr>
                        <w:pStyle w:val="ListParagraph"/>
                        <w:numPr>
                          <w:ilvl w:val="0"/>
                          <w:numId w:val="8"/>
                        </w:numPr>
                        <w:spacing w:line="360" w:lineRule="auto"/>
                        <w:rPr>
                          <w:sz w:val="22"/>
                          <w:szCs w:val="22"/>
                        </w:rPr>
                      </w:pPr>
                      <w:r w:rsidRPr="009347F5">
                        <w:rPr>
                          <w:sz w:val="22"/>
                          <w:szCs w:val="22"/>
                        </w:rPr>
                        <w:t>Patients who</w:t>
                      </w:r>
                      <w:r>
                        <w:rPr>
                          <w:sz w:val="22"/>
                          <w:szCs w:val="22"/>
                        </w:rPr>
                        <w:t>, at the time they are being considerd for DPT,</w:t>
                      </w:r>
                      <w:r w:rsidRPr="009347F5">
                        <w:rPr>
                          <w:sz w:val="22"/>
                          <w:szCs w:val="22"/>
                        </w:rPr>
                        <w:t xml:space="preserve"> are acutely unwell or clinically unstable</w:t>
                      </w:r>
                      <w:r>
                        <w:rPr>
                          <w:sz w:val="22"/>
                          <w:szCs w:val="22"/>
                        </w:rPr>
                        <w:t>. This includes patients</w:t>
                      </w:r>
                      <w:r w:rsidRPr="009347F5">
                        <w:rPr>
                          <w:sz w:val="22"/>
                          <w:szCs w:val="22"/>
                        </w:rPr>
                        <w:t xml:space="preserve"> </w:t>
                      </w:r>
                      <w:r>
                        <w:rPr>
                          <w:sz w:val="22"/>
                          <w:szCs w:val="22"/>
                        </w:rPr>
                        <w:t>with</w:t>
                      </w:r>
                      <w:r w:rsidRPr="009347F5">
                        <w:rPr>
                          <w:sz w:val="22"/>
                          <w:szCs w:val="22"/>
                        </w:rPr>
                        <w:t xml:space="preserve"> respiratory and/or cardiac </w:t>
                      </w:r>
                      <w:r>
                        <w:rPr>
                          <w:sz w:val="22"/>
                          <w:szCs w:val="22"/>
                        </w:rPr>
                        <w:t>compromise</w:t>
                      </w:r>
                    </w:p>
                    <w:p w14:paraId="260F3C5E" w14:textId="77777777" w:rsidR="00FE3760" w:rsidRDefault="00FE3760" w:rsidP="00FE3760">
                      <w:pPr>
                        <w:pStyle w:val="ListParagraph"/>
                        <w:numPr>
                          <w:ilvl w:val="0"/>
                          <w:numId w:val="8"/>
                        </w:numPr>
                        <w:spacing w:line="360" w:lineRule="auto"/>
                        <w:rPr>
                          <w:sz w:val="22"/>
                          <w:szCs w:val="22"/>
                        </w:rPr>
                      </w:pPr>
                      <w:r w:rsidRPr="009347F5">
                        <w:rPr>
                          <w:sz w:val="22"/>
                          <w:szCs w:val="22"/>
                        </w:rPr>
                        <w:t>Pregnancy</w:t>
                      </w:r>
                    </w:p>
                    <w:p w14:paraId="318BB193" w14:textId="77777777" w:rsidR="00FE3760" w:rsidRPr="00CC0F78" w:rsidRDefault="00FE3760" w:rsidP="00FE3760">
                      <w:pPr>
                        <w:pStyle w:val="ListParagraph"/>
                        <w:numPr>
                          <w:ilvl w:val="0"/>
                          <w:numId w:val="8"/>
                        </w:numPr>
                        <w:spacing w:line="360" w:lineRule="auto"/>
                        <w:rPr>
                          <w:color w:val="1F3864" w:themeColor="accent1" w:themeShade="80"/>
                          <w:sz w:val="22"/>
                          <w:szCs w:val="22"/>
                        </w:rPr>
                      </w:pPr>
                      <w:r w:rsidRPr="00CC0F78">
                        <w:rPr>
                          <w:color w:val="000000" w:themeColor="text1"/>
                          <w:sz w:val="22"/>
                          <w:szCs w:val="22"/>
                        </w:rPr>
                        <w:t>Previous penicillin allergy testing which concluded that the patient was allergic to penicillin</w:t>
                      </w:r>
                    </w:p>
                  </w:txbxContent>
                </v:textbox>
              </v:shape>
            </w:pict>
          </mc:Fallback>
        </mc:AlternateContent>
      </w:r>
      <w:r>
        <w:rPr>
          <w:rFonts w:asciiTheme="minorHAnsi" w:hAnsiTheme="minorHAnsi" w:cstheme="minorHAnsi"/>
        </w:rPr>
        <w:t xml:space="preserve">Table </w:t>
      </w:r>
      <w:r w:rsidRPr="006E4DD6">
        <w:rPr>
          <w:rFonts w:asciiTheme="minorHAnsi" w:hAnsiTheme="minorHAnsi" w:cstheme="minorHAnsi"/>
        </w:rPr>
        <w:t>2</w:t>
      </w:r>
      <w:r>
        <w:rPr>
          <w:rFonts w:asciiTheme="minorHAnsi" w:hAnsiTheme="minorHAnsi" w:cstheme="minorHAnsi"/>
        </w:rPr>
        <w:t xml:space="preserve">: Exclusion criteria </w:t>
      </w:r>
      <w:r w:rsidR="00CC0F78">
        <w:rPr>
          <w:rFonts w:asciiTheme="minorHAnsi" w:hAnsiTheme="minorHAnsi" w:cstheme="minorHAnsi"/>
        </w:rPr>
        <w:t>for adults and children</w:t>
      </w:r>
    </w:p>
    <w:p w14:paraId="7BDD035B" w14:textId="77777777" w:rsidR="00FE3760" w:rsidRPr="00062636" w:rsidRDefault="00FE3760" w:rsidP="00FE3760">
      <w:pPr>
        <w:spacing w:line="480" w:lineRule="auto"/>
        <w:rPr>
          <w:rFonts w:asciiTheme="minorHAnsi" w:hAnsiTheme="minorHAnsi"/>
        </w:rPr>
      </w:pPr>
    </w:p>
    <w:p w14:paraId="68D6A2F5" w14:textId="77777777" w:rsidR="00FE3760" w:rsidRPr="00062636" w:rsidRDefault="00FE3760" w:rsidP="00FE3760">
      <w:pPr>
        <w:spacing w:line="480" w:lineRule="auto"/>
        <w:rPr>
          <w:rFonts w:asciiTheme="minorHAnsi" w:hAnsiTheme="minorHAnsi"/>
        </w:rPr>
      </w:pPr>
    </w:p>
    <w:p w14:paraId="0D36763C" w14:textId="77777777" w:rsidR="00FE3760" w:rsidRPr="00062636" w:rsidRDefault="00FE3760" w:rsidP="00FE3760">
      <w:pPr>
        <w:spacing w:line="480" w:lineRule="auto"/>
        <w:rPr>
          <w:rFonts w:asciiTheme="minorHAnsi" w:hAnsiTheme="minorHAnsi"/>
        </w:rPr>
      </w:pPr>
    </w:p>
    <w:p w14:paraId="7D629E7B" w14:textId="77777777" w:rsidR="00FE3760" w:rsidRPr="00062636" w:rsidRDefault="00FE3760" w:rsidP="00FE3760">
      <w:pPr>
        <w:spacing w:line="480" w:lineRule="auto"/>
        <w:rPr>
          <w:rFonts w:asciiTheme="minorHAnsi" w:hAnsiTheme="minorHAnsi"/>
        </w:rPr>
      </w:pPr>
      <w:r w:rsidRPr="00062636">
        <w:rPr>
          <w:rFonts w:asciiTheme="minorHAnsi" w:hAnsiTheme="minorHAnsi"/>
        </w:rPr>
        <w:t xml:space="preserve">Table 3: Exclusion criteria for direct DPT </w:t>
      </w:r>
    </w:p>
    <w:p w14:paraId="4B66C7D9" w14:textId="77777777" w:rsidR="00FE3760" w:rsidRPr="00062636" w:rsidRDefault="00FE3760" w:rsidP="00FE3760">
      <w:pPr>
        <w:spacing w:line="480" w:lineRule="auto"/>
        <w:rPr>
          <w:rFonts w:asciiTheme="minorHAnsi" w:hAnsiTheme="minorHAnsi"/>
        </w:rPr>
      </w:pPr>
    </w:p>
    <w:p w14:paraId="410DB0B7" w14:textId="77777777" w:rsidR="00FE3760" w:rsidRPr="00062636" w:rsidRDefault="00FE3760" w:rsidP="00FE3760">
      <w:pPr>
        <w:spacing w:line="480" w:lineRule="auto"/>
        <w:rPr>
          <w:rFonts w:asciiTheme="minorHAnsi" w:hAnsiTheme="minorHAnsi"/>
        </w:rPr>
      </w:pPr>
    </w:p>
    <w:p w14:paraId="45413100" w14:textId="77777777" w:rsidR="00FE3760" w:rsidRPr="00062636" w:rsidRDefault="00FE3760" w:rsidP="00FE3760">
      <w:pPr>
        <w:spacing w:line="480" w:lineRule="auto"/>
        <w:rPr>
          <w:rFonts w:asciiTheme="minorHAnsi" w:hAnsiTheme="minorHAnsi"/>
        </w:rPr>
      </w:pPr>
    </w:p>
    <w:p w14:paraId="7101A2A4" w14:textId="77777777" w:rsidR="00FE3760" w:rsidRPr="00062636" w:rsidRDefault="00FE3760" w:rsidP="00FE3760">
      <w:pPr>
        <w:spacing w:line="480" w:lineRule="auto"/>
        <w:rPr>
          <w:rFonts w:asciiTheme="minorHAnsi" w:hAnsiTheme="minorHAnsi"/>
        </w:rPr>
      </w:pPr>
    </w:p>
    <w:p w14:paraId="66C95F04" w14:textId="77777777" w:rsidR="00FE3760" w:rsidRPr="00062636" w:rsidRDefault="00FE3760" w:rsidP="00FE3760">
      <w:pPr>
        <w:spacing w:line="480" w:lineRule="auto"/>
        <w:rPr>
          <w:rFonts w:asciiTheme="minorHAnsi" w:hAnsiTheme="minorHAnsi"/>
        </w:rPr>
      </w:pPr>
    </w:p>
    <w:p w14:paraId="564F1CF4" w14:textId="77777777" w:rsidR="00FE3760" w:rsidRDefault="00FE3760" w:rsidP="00FE3760">
      <w:pPr>
        <w:spacing w:line="480" w:lineRule="auto"/>
        <w:rPr>
          <w:rFonts w:asciiTheme="minorHAnsi" w:hAnsiTheme="minorHAnsi"/>
          <w:b/>
          <w:i/>
        </w:rPr>
      </w:pPr>
    </w:p>
    <w:p w14:paraId="3416AA30" w14:textId="77777777" w:rsidR="00FE3760" w:rsidRDefault="00FE3760" w:rsidP="00FE3760">
      <w:pPr>
        <w:spacing w:line="480" w:lineRule="auto"/>
        <w:rPr>
          <w:rFonts w:asciiTheme="minorHAnsi" w:hAnsiTheme="minorHAnsi"/>
          <w:b/>
          <w:i/>
        </w:rPr>
      </w:pPr>
    </w:p>
    <w:p w14:paraId="0F6E5442" w14:textId="77777777" w:rsidR="00FB6622" w:rsidRDefault="00FB6622" w:rsidP="00FE3760">
      <w:pPr>
        <w:spacing w:line="480" w:lineRule="auto"/>
        <w:rPr>
          <w:rFonts w:asciiTheme="minorHAnsi" w:hAnsiTheme="minorHAnsi"/>
        </w:rPr>
      </w:pPr>
    </w:p>
    <w:p w14:paraId="0C832A3E" w14:textId="77777777" w:rsidR="00FB6622" w:rsidRDefault="00FB6622" w:rsidP="00FE3760">
      <w:pPr>
        <w:spacing w:line="480" w:lineRule="auto"/>
        <w:rPr>
          <w:rFonts w:asciiTheme="minorHAnsi" w:hAnsiTheme="minorHAnsi"/>
        </w:rPr>
      </w:pPr>
    </w:p>
    <w:p w14:paraId="380EEB64" w14:textId="77777777" w:rsidR="00FB6622" w:rsidRDefault="00FB6622" w:rsidP="00FE3760">
      <w:pPr>
        <w:spacing w:line="480" w:lineRule="auto"/>
        <w:rPr>
          <w:rFonts w:asciiTheme="minorHAnsi" w:hAnsiTheme="minorHAnsi"/>
        </w:rPr>
      </w:pPr>
    </w:p>
    <w:p w14:paraId="7343379E" w14:textId="77777777" w:rsidR="00FB6622" w:rsidRDefault="00FB6622" w:rsidP="00FE3760">
      <w:pPr>
        <w:spacing w:line="480" w:lineRule="auto"/>
        <w:rPr>
          <w:rFonts w:asciiTheme="minorHAnsi" w:hAnsiTheme="minorHAnsi"/>
        </w:rPr>
      </w:pPr>
    </w:p>
    <w:p w14:paraId="0E6C9164" w14:textId="77777777" w:rsidR="00FB6622" w:rsidRDefault="00FB6622" w:rsidP="00FE3760">
      <w:pPr>
        <w:spacing w:line="480" w:lineRule="auto"/>
        <w:rPr>
          <w:rFonts w:asciiTheme="minorHAnsi" w:hAnsiTheme="minorHAnsi"/>
        </w:rPr>
      </w:pPr>
    </w:p>
    <w:p w14:paraId="3876A868" w14:textId="77777777" w:rsidR="00FB6622" w:rsidRDefault="00FB6622" w:rsidP="00FE3760">
      <w:pPr>
        <w:spacing w:line="480" w:lineRule="auto"/>
        <w:rPr>
          <w:rFonts w:asciiTheme="minorHAnsi" w:hAnsiTheme="minorHAnsi"/>
        </w:rPr>
      </w:pPr>
    </w:p>
    <w:p w14:paraId="6237A04F" w14:textId="77777777" w:rsidR="00FC7349" w:rsidRDefault="00FC7349" w:rsidP="00FE3760">
      <w:pPr>
        <w:spacing w:line="480" w:lineRule="auto"/>
        <w:rPr>
          <w:rFonts w:asciiTheme="minorHAnsi" w:hAnsiTheme="minorHAnsi"/>
        </w:rPr>
      </w:pPr>
    </w:p>
    <w:p w14:paraId="7C7A3432" w14:textId="0BC36648" w:rsidR="00FE3760" w:rsidRDefault="00FE3760" w:rsidP="00FE3760">
      <w:pPr>
        <w:spacing w:line="480" w:lineRule="auto"/>
        <w:rPr>
          <w:rFonts w:asciiTheme="minorHAnsi" w:hAnsiTheme="minorHAnsi"/>
        </w:rPr>
      </w:pPr>
      <w:r>
        <w:rPr>
          <w:rFonts w:asciiTheme="minorHAnsi" w:hAnsiTheme="minorHAnsi"/>
        </w:rPr>
        <w:lastRenderedPageBreak/>
        <w:t>Table</w:t>
      </w:r>
      <w:r w:rsidRPr="00062636">
        <w:rPr>
          <w:rFonts w:asciiTheme="minorHAnsi" w:hAnsiTheme="minorHAnsi"/>
        </w:rPr>
        <w:t xml:space="preserve"> </w:t>
      </w:r>
      <w:r>
        <w:rPr>
          <w:rFonts w:asciiTheme="minorHAnsi" w:hAnsiTheme="minorHAnsi"/>
        </w:rPr>
        <w:t>3</w:t>
      </w:r>
      <w:r w:rsidRPr="00062636">
        <w:rPr>
          <w:rFonts w:asciiTheme="minorHAnsi" w:hAnsiTheme="minorHAnsi"/>
        </w:rPr>
        <w:t xml:space="preserve">. </w:t>
      </w:r>
      <w:r>
        <w:rPr>
          <w:rFonts w:asciiTheme="minorHAnsi" w:hAnsiTheme="minorHAnsi"/>
        </w:rPr>
        <w:t>Principles for the c</w:t>
      </w:r>
      <w:r w:rsidRPr="00062636">
        <w:rPr>
          <w:rFonts w:asciiTheme="minorHAnsi" w:hAnsiTheme="minorHAnsi"/>
        </w:rPr>
        <w:t>onduct of a drug provocation test (DPT)</w:t>
      </w:r>
    </w:p>
    <w:p w14:paraId="39FF7FB2" w14:textId="77777777" w:rsidR="00FE3760" w:rsidRPr="00062636" w:rsidRDefault="00FE3760" w:rsidP="00FE3760">
      <w:pPr>
        <w:spacing w:line="480" w:lineRule="auto"/>
        <w:rPr>
          <w:rFonts w:asciiTheme="minorHAnsi" w:hAnsiTheme="minorHAnsi"/>
          <w:b/>
          <w:i/>
        </w:rPr>
      </w:pPr>
      <w:r w:rsidRPr="00062636">
        <w:rPr>
          <w:rFonts w:asciiTheme="minorHAnsi" w:hAnsiTheme="minorHAnsi"/>
          <w:noProof/>
        </w:rPr>
        <mc:AlternateContent>
          <mc:Choice Requires="wps">
            <w:drawing>
              <wp:anchor distT="0" distB="0" distL="114300" distR="114300" simplePos="0" relativeHeight="251672576" behindDoc="0" locked="0" layoutInCell="1" allowOverlap="1" wp14:anchorId="0F0825C8" wp14:editId="469E1EA1">
                <wp:simplePos x="0" y="0"/>
                <wp:positionH relativeFrom="column">
                  <wp:posOffset>-20320</wp:posOffset>
                </wp:positionH>
                <wp:positionV relativeFrom="paragraph">
                  <wp:posOffset>27940</wp:posOffset>
                </wp:positionV>
                <wp:extent cx="5808980" cy="7620000"/>
                <wp:effectExtent l="0" t="0" r="7620" b="12700"/>
                <wp:wrapNone/>
                <wp:docPr id="5" name="Text Box 5"/>
                <wp:cNvGraphicFramePr/>
                <a:graphic xmlns:a="http://schemas.openxmlformats.org/drawingml/2006/main">
                  <a:graphicData uri="http://schemas.microsoft.com/office/word/2010/wordprocessingShape">
                    <wps:wsp>
                      <wps:cNvSpPr txBox="1"/>
                      <wps:spPr>
                        <a:xfrm>
                          <a:off x="0" y="0"/>
                          <a:ext cx="5808980" cy="7620000"/>
                        </a:xfrm>
                        <a:prstGeom prst="rect">
                          <a:avLst/>
                        </a:prstGeom>
                        <a:solidFill>
                          <a:schemeClr val="lt1"/>
                        </a:solidFill>
                        <a:ln w="6350">
                          <a:solidFill>
                            <a:prstClr val="black"/>
                          </a:solidFill>
                        </a:ln>
                      </wps:spPr>
                      <wps:txbx>
                        <w:txbxContent>
                          <w:p w14:paraId="0E5E3443"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Written informed consent is required</w:t>
                            </w:r>
                          </w:p>
                          <w:p w14:paraId="4F07B7FE"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If the index penicillin is not known, amoxicillin should be used</w:t>
                            </w:r>
                          </w:p>
                          <w:p w14:paraId="762A7A50"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Blood pressure, heart rate and oxygen saturations should be checked prior to commencing the DPT </w:t>
                            </w:r>
                            <w:r w:rsidRPr="009759F2">
                              <w:rPr>
                                <w:sz w:val="22"/>
                                <w:szCs w:val="22"/>
                                <w:lang w:val="en-GB"/>
                              </w:rPr>
                              <w:t>and after each dose</w:t>
                            </w:r>
                            <w:r w:rsidRPr="009347F5">
                              <w:rPr>
                                <w:sz w:val="22"/>
                                <w:szCs w:val="22"/>
                                <w:lang w:val="en-GB"/>
                              </w:rPr>
                              <w:t xml:space="preserve"> given.</w:t>
                            </w:r>
                          </w:p>
                          <w:p w14:paraId="56A3569B" w14:textId="77777777" w:rsidR="00FE3760" w:rsidRDefault="00FE3760" w:rsidP="00FE3760">
                            <w:pPr>
                              <w:pStyle w:val="ListParagraph"/>
                              <w:numPr>
                                <w:ilvl w:val="0"/>
                                <w:numId w:val="10"/>
                              </w:numPr>
                              <w:spacing w:line="360" w:lineRule="auto"/>
                              <w:rPr>
                                <w:sz w:val="22"/>
                                <w:szCs w:val="22"/>
                                <w:lang w:val="en-GB"/>
                              </w:rPr>
                            </w:pPr>
                            <w:r w:rsidRPr="009347F5">
                              <w:rPr>
                                <w:sz w:val="22"/>
                                <w:szCs w:val="22"/>
                                <w:lang w:val="en-GB"/>
                              </w:rPr>
                              <w:t xml:space="preserve">Single or divided dose DPT may be </w:t>
                            </w:r>
                            <w:r>
                              <w:rPr>
                                <w:sz w:val="22"/>
                                <w:szCs w:val="22"/>
                                <w:lang w:val="en-GB"/>
                              </w:rPr>
                              <w:t>used according to local preference</w:t>
                            </w:r>
                          </w:p>
                          <w:p w14:paraId="533E68C6" w14:textId="77777777" w:rsidR="00FE3760" w:rsidRPr="00FC7F8B" w:rsidRDefault="00FE3760" w:rsidP="00FE3760">
                            <w:pPr>
                              <w:pStyle w:val="ListParagraph"/>
                              <w:numPr>
                                <w:ilvl w:val="0"/>
                                <w:numId w:val="21"/>
                              </w:numPr>
                              <w:spacing w:line="360" w:lineRule="auto"/>
                              <w:rPr>
                                <w:i/>
                                <w:sz w:val="22"/>
                                <w:szCs w:val="22"/>
                              </w:rPr>
                            </w:pPr>
                            <w:r w:rsidRPr="00FC7F8B">
                              <w:rPr>
                                <w:rFonts w:ascii="Calibri" w:hAnsi="Calibri" w:cs="Calibri"/>
                                <w:i/>
                                <w:sz w:val="22"/>
                                <w:szCs w:val="22"/>
                                <w:lang w:val="en-GB"/>
                              </w:rPr>
                              <w:t>Single dose DPC</w:t>
                            </w:r>
                          </w:p>
                          <w:p w14:paraId="1C46666C" w14:textId="77777777" w:rsidR="00FE3760" w:rsidRPr="00FC7F8B" w:rsidRDefault="00FE3760" w:rsidP="00FE3760">
                            <w:pPr>
                              <w:pStyle w:val="ListParagraph"/>
                              <w:numPr>
                                <w:ilvl w:val="0"/>
                                <w:numId w:val="17"/>
                              </w:numPr>
                              <w:spacing w:line="360" w:lineRule="auto"/>
                              <w:rPr>
                                <w:rFonts w:ascii="Calibri" w:hAnsi="Calibri" w:cs="Calibri"/>
                                <w:i/>
                                <w:sz w:val="22"/>
                                <w:szCs w:val="22"/>
                                <w:lang w:val="en-GB"/>
                              </w:rPr>
                            </w:pPr>
                            <w:r w:rsidRPr="00FC7F8B">
                              <w:rPr>
                                <w:rFonts w:ascii="Calibri" w:hAnsi="Calibri" w:cs="Calibri"/>
                                <w:i/>
                                <w:sz w:val="22"/>
                                <w:szCs w:val="22"/>
                                <w:lang w:val="en-GB"/>
                              </w:rPr>
                              <w:t>Administer 100% of a full dose of amoxicillin (500mg</w:t>
                            </w:r>
                            <w:r>
                              <w:rPr>
                                <w:rFonts w:ascii="Calibri" w:hAnsi="Calibri" w:cs="Calibri"/>
                                <w:i/>
                                <w:sz w:val="22"/>
                                <w:szCs w:val="22"/>
                                <w:lang w:val="en-GB"/>
                              </w:rPr>
                              <w:t>)</w:t>
                            </w:r>
                          </w:p>
                          <w:p w14:paraId="53D405B0" w14:textId="77777777" w:rsidR="00FE3760" w:rsidRPr="00FC7F8B" w:rsidRDefault="00FE3760" w:rsidP="00FE3760">
                            <w:pPr>
                              <w:pStyle w:val="ListParagraph"/>
                              <w:numPr>
                                <w:ilvl w:val="0"/>
                                <w:numId w:val="19"/>
                              </w:numPr>
                              <w:spacing w:line="360" w:lineRule="auto"/>
                              <w:rPr>
                                <w:rFonts w:ascii="Calibri" w:hAnsi="Calibri" w:cs="Calibri"/>
                                <w:i/>
                                <w:sz w:val="22"/>
                                <w:szCs w:val="22"/>
                                <w:lang w:val="en-GB"/>
                              </w:rPr>
                            </w:pPr>
                            <w:r w:rsidRPr="00FC7F8B">
                              <w:rPr>
                                <w:rFonts w:ascii="Calibri" w:hAnsi="Calibri" w:cs="Calibri"/>
                                <w:i/>
                                <w:sz w:val="22"/>
                                <w:szCs w:val="22"/>
                                <w:lang w:val="en-GB"/>
                              </w:rPr>
                              <w:t>Graded DPC</w:t>
                            </w:r>
                          </w:p>
                          <w:p w14:paraId="07EB2395"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 xml:space="preserve">Administer 10% of a full dose of amoxicillin (50mg) </w:t>
                            </w:r>
                          </w:p>
                          <w:p w14:paraId="62C0BB28"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Observe for 30 minutes</w:t>
                            </w:r>
                          </w:p>
                          <w:p w14:paraId="16D8D7EF"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 xml:space="preserve">Administer 50% of a full dose of amoxicillin (250mg) </w:t>
                            </w:r>
                          </w:p>
                          <w:p w14:paraId="17E09C9B"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Observe for 30 minutes</w:t>
                            </w:r>
                          </w:p>
                          <w:p w14:paraId="1EE4A34D" w14:textId="77777777" w:rsidR="00FE3760"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Administer remainder of a full dose of amoxicillin (200mg)</w:t>
                            </w:r>
                          </w:p>
                          <w:p w14:paraId="44599544" w14:textId="77777777" w:rsidR="00FE3760" w:rsidRPr="00FC7F8B" w:rsidRDefault="00FE3760" w:rsidP="00FE3760">
                            <w:pPr>
                              <w:pStyle w:val="ListParagraph"/>
                              <w:numPr>
                                <w:ilvl w:val="0"/>
                                <w:numId w:val="20"/>
                              </w:numPr>
                              <w:spacing w:line="360" w:lineRule="auto"/>
                              <w:rPr>
                                <w:rFonts w:ascii="Calibri" w:hAnsi="Calibri" w:cs="Calibri"/>
                                <w:sz w:val="22"/>
                                <w:szCs w:val="22"/>
                              </w:rPr>
                            </w:pPr>
                            <w:r w:rsidRPr="00FC7F8B">
                              <w:rPr>
                                <w:rFonts w:ascii="Calibri" w:hAnsi="Calibri" w:cs="Calibri"/>
                                <w:sz w:val="22"/>
                                <w:szCs w:val="22"/>
                              </w:rPr>
                              <w:t>If an alternative penicillin is used for the DPT, follow ths same percentage dosing schedules as above</w:t>
                            </w:r>
                          </w:p>
                          <w:p w14:paraId="3BC038CE"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Peak flow </w:t>
                            </w:r>
                            <w:r>
                              <w:rPr>
                                <w:sz w:val="22"/>
                                <w:szCs w:val="22"/>
                                <w:lang w:val="en-GB"/>
                              </w:rPr>
                              <w:t>should</w:t>
                            </w:r>
                            <w:r w:rsidRPr="009347F5">
                              <w:rPr>
                                <w:sz w:val="22"/>
                                <w:szCs w:val="22"/>
                                <w:lang w:val="en-GB"/>
                              </w:rPr>
                              <w:t xml:space="preserve"> be included in the observations measured, depending on local guidelines in place during the </w:t>
                            </w:r>
                            <w:r>
                              <w:rPr>
                                <w:color w:val="FF0000"/>
                                <w:sz w:val="22"/>
                                <w:szCs w:val="22"/>
                                <w:lang w:val="en-GB"/>
                              </w:rPr>
                              <w:t>COVID-</w:t>
                            </w:r>
                            <w:r w:rsidRPr="009347F5">
                              <w:rPr>
                                <w:sz w:val="22"/>
                                <w:szCs w:val="22"/>
                                <w:lang w:val="en-GB"/>
                              </w:rPr>
                              <w:t>19 pandemic</w:t>
                            </w:r>
                          </w:p>
                          <w:p w14:paraId="58500E47"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Should symptoms consistent with </w:t>
                            </w:r>
                            <w:r>
                              <w:rPr>
                                <w:sz w:val="22"/>
                                <w:szCs w:val="22"/>
                                <w:lang w:val="en-GB"/>
                              </w:rPr>
                              <w:t>anaphylaxis</w:t>
                            </w:r>
                            <w:r w:rsidRPr="009347F5">
                              <w:rPr>
                                <w:sz w:val="22"/>
                                <w:szCs w:val="22"/>
                                <w:lang w:val="en-GB"/>
                              </w:rPr>
                              <w:t xml:space="preserve"> develop during the test, treat the patient in accordance with the Resus</w:t>
                            </w:r>
                            <w:r>
                              <w:rPr>
                                <w:sz w:val="22"/>
                                <w:szCs w:val="22"/>
                                <w:lang w:val="en-GB"/>
                              </w:rPr>
                              <w:t>c</w:t>
                            </w:r>
                            <w:r w:rsidRPr="009347F5">
                              <w:rPr>
                                <w:sz w:val="22"/>
                                <w:szCs w:val="22"/>
                                <w:lang w:val="en-GB"/>
                              </w:rPr>
                              <w:t>itation Council Guidelines for management of anaphylaxis</w:t>
                            </w:r>
                            <w:r>
                              <w:rPr>
                                <w:color w:val="FF0000"/>
                                <w:sz w:val="22"/>
                                <w:szCs w:val="22"/>
                                <w:lang w:val="en-GB"/>
                              </w:rPr>
                              <w:t xml:space="preserve"> (20)</w:t>
                            </w:r>
                          </w:p>
                          <w:p w14:paraId="124092A9" w14:textId="77777777" w:rsidR="00FE3760" w:rsidRPr="00FC7F8B" w:rsidRDefault="00FE3760" w:rsidP="00FE3760">
                            <w:pPr>
                              <w:pStyle w:val="ListParagraph"/>
                              <w:numPr>
                                <w:ilvl w:val="0"/>
                                <w:numId w:val="10"/>
                              </w:numPr>
                              <w:spacing w:line="360" w:lineRule="auto"/>
                              <w:rPr>
                                <w:sz w:val="22"/>
                                <w:szCs w:val="22"/>
                              </w:rPr>
                            </w:pPr>
                            <w:r w:rsidRPr="00726730">
                              <w:rPr>
                                <w:sz w:val="22"/>
                                <w:szCs w:val="22"/>
                                <w:lang w:val="en-GB"/>
                              </w:rPr>
                              <w:t xml:space="preserve">The patient </w:t>
                            </w:r>
                            <w:r>
                              <w:rPr>
                                <w:sz w:val="22"/>
                                <w:szCs w:val="22"/>
                                <w:lang w:val="en-GB"/>
                              </w:rPr>
                              <w:t>should be observed for 1 hour</w:t>
                            </w:r>
                            <w:r w:rsidRPr="00726730">
                              <w:rPr>
                                <w:sz w:val="22"/>
                                <w:szCs w:val="22"/>
                                <w:lang w:val="en-GB"/>
                              </w:rPr>
                              <w:t xml:space="preserve"> after the last dose (</w:t>
                            </w:r>
                            <w:r>
                              <w:rPr>
                                <w:sz w:val="22"/>
                                <w:szCs w:val="22"/>
                                <w:lang w:val="en-GB"/>
                              </w:rPr>
                              <w:t>if an in-patient, ensure this observation is conducted by a member of the de-labelling team)</w:t>
                            </w:r>
                            <w:r w:rsidRPr="00726730">
                              <w:rPr>
                                <w:sz w:val="22"/>
                                <w:szCs w:val="22"/>
                                <w:lang w:val="en-GB"/>
                              </w:rPr>
                              <w:t xml:space="preserve"> </w:t>
                            </w:r>
                          </w:p>
                          <w:p w14:paraId="52472134" w14:textId="77777777" w:rsidR="00FE3760" w:rsidRDefault="00FE3760" w:rsidP="00FE3760">
                            <w:pPr>
                              <w:pStyle w:val="ListParagraph"/>
                              <w:numPr>
                                <w:ilvl w:val="0"/>
                                <w:numId w:val="10"/>
                              </w:numPr>
                              <w:spacing w:line="360" w:lineRule="auto"/>
                              <w:rPr>
                                <w:sz w:val="22"/>
                                <w:szCs w:val="22"/>
                              </w:rPr>
                            </w:pPr>
                            <w:r w:rsidRPr="009347F5">
                              <w:rPr>
                                <w:sz w:val="22"/>
                                <w:szCs w:val="22"/>
                              </w:rPr>
                              <w:t>The patient should be provided with clear written instructions about what to do if symptoms develop after leaving the hospital</w:t>
                            </w:r>
                          </w:p>
                          <w:p w14:paraId="0DD1B07E" w14:textId="77777777" w:rsidR="00FE3760" w:rsidRPr="00FC7F8B" w:rsidRDefault="00FE3760" w:rsidP="00FE3760">
                            <w:pPr>
                              <w:pStyle w:val="ListParagraph"/>
                              <w:numPr>
                                <w:ilvl w:val="0"/>
                                <w:numId w:val="10"/>
                              </w:numPr>
                              <w:spacing w:line="360" w:lineRule="auto"/>
                              <w:rPr>
                                <w:sz w:val="22"/>
                                <w:szCs w:val="22"/>
                                <w:lang w:val="en-GB"/>
                              </w:rPr>
                            </w:pPr>
                            <w:r>
                              <w:rPr>
                                <w:sz w:val="22"/>
                                <w:szCs w:val="22"/>
                                <w:lang w:val="en-GB"/>
                              </w:rPr>
                              <w:t xml:space="preserve">If a prolonged course is required (see ‘Use of prolonged  DPT’ below), this </w:t>
                            </w:r>
                            <w:r w:rsidRPr="00202EAD">
                              <w:rPr>
                                <w:color w:val="FF0000"/>
                                <w:sz w:val="22"/>
                                <w:szCs w:val="22"/>
                                <w:lang w:val="en-GB"/>
                              </w:rPr>
                              <w:t>shou</w:t>
                            </w:r>
                            <w:r>
                              <w:rPr>
                                <w:color w:val="FF0000"/>
                                <w:sz w:val="22"/>
                                <w:szCs w:val="22"/>
                                <w:lang w:val="en-GB"/>
                              </w:rPr>
                              <w:t>l</w:t>
                            </w:r>
                            <w:r w:rsidRPr="00202EAD">
                              <w:rPr>
                                <w:color w:val="FF0000"/>
                                <w:sz w:val="22"/>
                                <w:szCs w:val="22"/>
                                <w:lang w:val="en-GB"/>
                              </w:rPr>
                              <w:t>d</w:t>
                            </w:r>
                            <w:r>
                              <w:rPr>
                                <w:sz w:val="22"/>
                                <w:szCs w:val="22"/>
                                <w:lang w:val="en-GB"/>
                              </w:rPr>
                              <w:t xml:space="preserve"> be provided to the patient. They </w:t>
                            </w:r>
                            <w:r w:rsidRPr="00A36A04">
                              <w:rPr>
                                <w:sz w:val="22"/>
                                <w:szCs w:val="22"/>
                              </w:rPr>
                              <w:t xml:space="preserve">must be contacted at the end of </w:t>
                            </w:r>
                            <w:r>
                              <w:rPr>
                                <w:sz w:val="22"/>
                                <w:szCs w:val="22"/>
                              </w:rPr>
                              <w:t xml:space="preserve">the course </w:t>
                            </w:r>
                            <w:r w:rsidRPr="00FC7F8B">
                              <w:rPr>
                                <w:sz w:val="22"/>
                                <w:szCs w:val="22"/>
                              </w:rPr>
                              <w:t>to check for delayed reactions</w:t>
                            </w:r>
                          </w:p>
                          <w:p w14:paraId="406C9B21" w14:textId="77777777" w:rsidR="00FE3760" w:rsidRPr="009347F5" w:rsidRDefault="00FE3760" w:rsidP="00FE3760">
                            <w:pPr>
                              <w:pStyle w:val="ListParagraph"/>
                              <w:numPr>
                                <w:ilvl w:val="0"/>
                                <w:numId w:val="10"/>
                              </w:numPr>
                              <w:spacing w:line="360" w:lineRule="auto"/>
                            </w:pPr>
                            <w:r w:rsidRPr="009347F5">
                              <w:rPr>
                                <w:sz w:val="22"/>
                                <w:szCs w:val="22"/>
                              </w:rPr>
                              <w:t xml:space="preserve">A system should be in place </w:t>
                            </w:r>
                            <w:r>
                              <w:rPr>
                                <w:sz w:val="22"/>
                                <w:szCs w:val="22"/>
                              </w:rPr>
                              <w:t>to inform</w:t>
                            </w:r>
                            <w:r w:rsidRPr="009347F5">
                              <w:rPr>
                                <w:sz w:val="22"/>
                                <w:szCs w:val="22"/>
                              </w:rPr>
                              <w:t xml:space="preserve"> the GP and other relevant healthcare professionals about the result of the DPT. The patient should receive clear written information about the test result and its implications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825C8" id="Text Box 5" o:spid="_x0000_s1028" type="#_x0000_t202" style="position:absolute;margin-left:-1.6pt;margin-top:2.2pt;width:457.4pt;height:60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" fillcolor="white [3201]" strokeweight=".5pt">
                <v:textbox>
                  <w:txbxContent>
                    <w:p w14:paraId="0E5E3443"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Written informed consent is required</w:t>
                      </w:r>
                    </w:p>
                    <w:p w14:paraId="4F07B7FE"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If the index penicillin is not known, amoxicillin should be used</w:t>
                      </w:r>
                    </w:p>
                    <w:p w14:paraId="762A7A50"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Blood pressure, heart rate and oxygen saturations should be checked prior to commencing the DPT </w:t>
                      </w:r>
                      <w:r w:rsidRPr="009759F2">
                        <w:rPr>
                          <w:sz w:val="22"/>
                          <w:szCs w:val="22"/>
                          <w:lang w:val="en-GB"/>
                        </w:rPr>
                        <w:t>and after each dose</w:t>
                      </w:r>
                      <w:r w:rsidRPr="009347F5">
                        <w:rPr>
                          <w:sz w:val="22"/>
                          <w:szCs w:val="22"/>
                          <w:lang w:val="en-GB"/>
                        </w:rPr>
                        <w:t xml:space="preserve"> given.</w:t>
                      </w:r>
                    </w:p>
                    <w:p w14:paraId="56A3569B" w14:textId="77777777" w:rsidR="00FE3760" w:rsidRDefault="00FE3760" w:rsidP="00FE3760">
                      <w:pPr>
                        <w:pStyle w:val="ListParagraph"/>
                        <w:numPr>
                          <w:ilvl w:val="0"/>
                          <w:numId w:val="10"/>
                        </w:numPr>
                        <w:spacing w:line="360" w:lineRule="auto"/>
                        <w:rPr>
                          <w:sz w:val="22"/>
                          <w:szCs w:val="22"/>
                          <w:lang w:val="en-GB"/>
                        </w:rPr>
                      </w:pPr>
                      <w:r w:rsidRPr="009347F5">
                        <w:rPr>
                          <w:sz w:val="22"/>
                          <w:szCs w:val="22"/>
                          <w:lang w:val="en-GB"/>
                        </w:rPr>
                        <w:t xml:space="preserve">Single or divided dose DPT may be </w:t>
                      </w:r>
                      <w:r>
                        <w:rPr>
                          <w:sz w:val="22"/>
                          <w:szCs w:val="22"/>
                          <w:lang w:val="en-GB"/>
                        </w:rPr>
                        <w:t>used according to local preference</w:t>
                      </w:r>
                    </w:p>
                    <w:p w14:paraId="533E68C6" w14:textId="77777777" w:rsidR="00FE3760" w:rsidRPr="00FC7F8B" w:rsidRDefault="00FE3760" w:rsidP="00FE3760">
                      <w:pPr>
                        <w:pStyle w:val="ListParagraph"/>
                        <w:numPr>
                          <w:ilvl w:val="0"/>
                          <w:numId w:val="21"/>
                        </w:numPr>
                        <w:spacing w:line="360" w:lineRule="auto"/>
                        <w:rPr>
                          <w:i/>
                          <w:sz w:val="22"/>
                          <w:szCs w:val="22"/>
                        </w:rPr>
                      </w:pPr>
                      <w:r w:rsidRPr="00FC7F8B">
                        <w:rPr>
                          <w:rFonts w:ascii="Calibri" w:hAnsi="Calibri" w:cs="Calibri"/>
                          <w:i/>
                          <w:sz w:val="22"/>
                          <w:szCs w:val="22"/>
                          <w:lang w:val="en-GB"/>
                        </w:rPr>
                        <w:t>Single dose DPC</w:t>
                      </w:r>
                    </w:p>
                    <w:p w14:paraId="1C46666C" w14:textId="77777777" w:rsidR="00FE3760" w:rsidRPr="00FC7F8B" w:rsidRDefault="00FE3760" w:rsidP="00FE3760">
                      <w:pPr>
                        <w:pStyle w:val="ListParagraph"/>
                        <w:numPr>
                          <w:ilvl w:val="0"/>
                          <w:numId w:val="17"/>
                        </w:numPr>
                        <w:spacing w:line="360" w:lineRule="auto"/>
                        <w:rPr>
                          <w:rFonts w:ascii="Calibri" w:hAnsi="Calibri" w:cs="Calibri"/>
                          <w:i/>
                          <w:sz w:val="22"/>
                          <w:szCs w:val="22"/>
                          <w:lang w:val="en-GB"/>
                        </w:rPr>
                      </w:pPr>
                      <w:r w:rsidRPr="00FC7F8B">
                        <w:rPr>
                          <w:rFonts w:ascii="Calibri" w:hAnsi="Calibri" w:cs="Calibri"/>
                          <w:i/>
                          <w:sz w:val="22"/>
                          <w:szCs w:val="22"/>
                          <w:lang w:val="en-GB"/>
                        </w:rPr>
                        <w:t>Administer 100% of a full dose of amoxicillin (500mg</w:t>
                      </w:r>
                      <w:r>
                        <w:rPr>
                          <w:rFonts w:ascii="Calibri" w:hAnsi="Calibri" w:cs="Calibri"/>
                          <w:i/>
                          <w:sz w:val="22"/>
                          <w:szCs w:val="22"/>
                          <w:lang w:val="en-GB"/>
                        </w:rPr>
                        <w:t>)</w:t>
                      </w:r>
                    </w:p>
                    <w:p w14:paraId="53D405B0" w14:textId="77777777" w:rsidR="00FE3760" w:rsidRPr="00FC7F8B" w:rsidRDefault="00FE3760" w:rsidP="00FE3760">
                      <w:pPr>
                        <w:pStyle w:val="ListParagraph"/>
                        <w:numPr>
                          <w:ilvl w:val="0"/>
                          <w:numId w:val="19"/>
                        </w:numPr>
                        <w:spacing w:line="360" w:lineRule="auto"/>
                        <w:rPr>
                          <w:rFonts w:ascii="Calibri" w:hAnsi="Calibri" w:cs="Calibri"/>
                          <w:i/>
                          <w:sz w:val="22"/>
                          <w:szCs w:val="22"/>
                          <w:lang w:val="en-GB"/>
                        </w:rPr>
                      </w:pPr>
                      <w:r w:rsidRPr="00FC7F8B">
                        <w:rPr>
                          <w:rFonts w:ascii="Calibri" w:hAnsi="Calibri" w:cs="Calibri"/>
                          <w:i/>
                          <w:sz w:val="22"/>
                          <w:szCs w:val="22"/>
                          <w:lang w:val="en-GB"/>
                        </w:rPr>
                        <w:t>Graded DPC</w:t>
                      </w:r>
                    </w:p>
                    <w:p w14:paraId="07EB2395"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 xml:space="preserve">Administer 10% of a full dose of amoxicillin (50mg) </w:t>
                      </w:r>
                    </w:p>
                    <w:p w14:paraId="62C0BB28"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Observe for 30 minutes</w:t>
                      </w:r>
                    </w:p>
                    <w:p w14:paraId="16D8D7EF"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 xml:space="preserve">Administer 50% of a full dose of amoxicillin (250mg) </w:t>
                      </w:r>
                    </w:p>
                    <w:p w14:paraId="17E09C9B" w14:textId="77777777" w:rsidR="00FE3760" w:rsidRPr="00FC7F8B"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Observe for 30 minutes</w:t>
                      </w:r>
                    </w:p>
                    <w:p w14:paraId="1EE4A34D" w14:textId="77777777" w:rsidR="00FE3760" w:rsidRDefault="00FE3760" w:rsidP="00FE3760">
                      <w:pPr>
                        <w:pStyle w:val="ListParagraph"/>
                        <w:numPr>
                          <w:ilvl w:val="0"/>
                          <w:numId w:val="18"/>
                        </w:numPr>
                        <w:spacing w:line="360" w:lineRule="auto"/>
                        <w:rPr>
                          <w:rFonts w:ascii="Calibri" w:hAnsi="Calibri" w:cs="Calibri"/>
                          <w:i/>
                          <w:sz w:val="22"/>
                          <w:szCs w:val="22"/>
                          <w:lang w:val="en-GB"/>
                        </w:rPr>
                      </w:pPr>
                      <w:r w:rsidRPr="00FC7F8B">
                        <w:rPr>
                          <w:rFonts w:ascii="Calibri" w:hAnsi="Calibri" w:cs="Calibri"/>
                          <w:i/>
                          <w:sz w:val="22"/>
                          <w:szCs w:val="22"/>
                          <w:lang w:val="en-GB"/>
                        </w:rPr>
                        <w:t>Administer remainder of a full dose of amoxicillin (200mg)</w:t>
                      </w:r>
                    </w:p>
                    <w:p w14:paraId="44599544" w14:textId="77777777" w:rsidR="00FE3760" w:rsidRPr="00FC7F8B" w:rsidRDefault="00FE3760" w:rsidP="00FE3760">
                      <w:pPr>
                        <w:pStyle w:val="ListParagraph"/>
                        <w:numPr>
                          <w:ilvl w:val="0"/>
                          <w:numId w:val="20"/>
                        </w:numPr>
                        <w:spacing w:line="360" w:lineRule="auto"/>
                        <w:rPr>
                          <w:rFonts w:ascii="Calibri" w:hAnsi="Calibri" w:cs="Calibri"/>
                          <w:sz w:val="22"/>
                          <w:szCs w:val="22"/>
                        </w:rPr>
                      </w:pPr>
                      <w:r w:rsidRPr="00FC7F8B">
                        <w:rPr>
                          <w:rFonts w:ascii="Calibri" w:hAnsi="Calibri" w:cs="Calibri"/>
                          <w:sz w:val="22"/>
                          <w:szCs w:val="22"/>
                        </w:rPr>
                        <w:t>If an alternative penicillin is used for the DPT, follow ths same percentage dosing schedules as above</w:t>
                      </w:r>
                    </w:p>
                    <w:p w14:paraId="3BC038CE"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Peak flow </w:t>
                      </w:r>
                      <w:r>
                        <w:rPr>
                          <w:sz w:val="22"/>
                          <w:szCs w:val="22"/>
                          <w:lang w:val="en-GB"/>
                        </w:rPr>
                        <w:t>should</w:t>
                      </w:r>
                      <w:r w:rsidRPr="009347F5">
                        <w:rPr>
                          <w:sz w:val="22"/>
                          <w:szCs w:val="22"/>
                          <w:lang w:val="en-GB"/>
                        </w:rPr>
                        <w:t xml:space="preserve"> be included in the observations measured, depending on local guidelines in place during the </w:t>
                      </w:r>
                      <w:r>
                        <w:rPr>
                          <w:color w:val="FF0000"/>
                          <w:sz w:val="22"/>
                          <w:szCs w:val="22"/>
                          <w:lang w:val="en-GB"/>
                        </w:rPr>
                        <w:t>COVID-</w:t>
                      </w:r>
                      <w:r w:rsidRPr="009347F5">
                        <w:rPr>
                          <w:sz w:val="22"/>
                          <w:szCs w:val="22"/>
                          <w:lang w:val="en-GB"/>
                        </w:rPr>
                        <w:t>19 pandemic</w:t>
                      </w:r>
                    </w:p>
                    <w:p w14:paraId="58500E47" w14:textId="77777777" w:rsidR="00FE3760" w:rsidRPr="009347F5" w:rsidRDefault="00FE3760" w:rsidP="00FE3760">
                      <w:pPr>
                        <w:pStyle w:val="ListParagraph"/>
                        <w:numPr>
                          <w:ilvl w:val="0"/>
                          <w:numId w:val="10"/>
                        </w:numPr>
                        <w:spacing w:line="360" w:lineRule="auto"/>
                        <w:rPr>
                          <w:sz w:val="22"/>
                          <w:szCs w:val="22"/>
                        </w:rPr>
                      </w:pPr>
                      <w:r w:rsidRPr="009347F5">
                        <w:rPr>
                          <w:sz w:val="22"/>
                          <w:szCs w:val="22"/>
                          <w:lang w:val="en-GB"/>
                        </w:rPr>
                        <w:t xml:space="preserve">Should symptoms consistent with </w:t>
                      </w:r>
                      <w:r>
                        <w:rPr>
                          <w:sz w:val="22"/>
                          <w:szCs w:val="22"/>
                          <w:lang w:val="en-GB"/>
                        </w:rPr>
                        <w:t>anaphylaxis</w:t>
                      </w:r>
                      <w:r w:rsidRPr="009347F5">
                        <w:rPr>
                          <w:sz w:val="22"/>
                          <w:szCs w:val="22"/>
                          <w:lang w:val="en-GB"/>
                        </w:rPr>
                        <w:t xml:space="preserve"> develop during the test, treat the patient in accordance with the Resus</w:t>
                      </w:r>
                      <w:r>
                        <w:rPr>
                          <w:sz w:val="22"/>
                          <w:szCs w:val="22"/>
                          <w:lang w:val="en-GB"/>
                        </w:rPr>
                        <w:t>c</w:t>
                      </w:r>
                      <w:r w:rsidRPr="009347F5">
                        <w:rPr>
                          <w:sz w:val="22"/>
                          <w:szCs w:val="22"/>
                          <w:lang w:val="en-GB"/>
                        </w:rPr>
                        <w:t>itation Council Guidelines for management of anaphylaxis</w:t>
                      </w:r>
                      <w:r>
                        <w:rPr>
                          <w:color w:val="FF0000"/>
                          <w:sz w:val="22"/>
                          <w:szCs w:val="22"/>
                          <w:lang w:val="en-GB"/>
                        </w:rPr>
                        <w:t xml:space="preserve"> (20)</w:t>
                      </w:r>
                    </w:p>
                    <w:p w14:paraId="124092A9" w14:textId="77777777" w:rsidR="00FE3760" w:rsidRPr="00FC7F8B" w:rsidRDefault="00FE3760" w:rsidP="00FE3760">
                      <w:pPr>
                        <w:pStyle w:val="ListParagraph"/>
                        <w:numPr>
                          <w:ilvl w:val="0"/>
                          <w:numId w:val="10"/>
                        </w:numPr>
                        <w:spacing w:line="360" w:lineRule="auto"/>
                        <w:rPr>
                          <w:sz w:val="22"/>
                          <w:szCs w:val="22"/>
                        </w:rPr>
                      </w:pPr>
                      <w:r w:rsidRPr="00726730">
                        <w:rPr>
                          <w:sz w:val="22"/>
                          <w:szCs w:val="22"/>
                          <w:lang w:val="en-GB"/>
                        </w:rPr>
                        <w:t xml:space="preserve">The patient </w:t>
                      </w:r>
                      <w:r>
                        <w:rPr>
                          <w:sz w:val="22"/>
                          <w:szCs w:val="22"/>
                          <w:lang w:val="en-GB"/>
                        </w:rPr>
                        <w:t>should be observed for 1 hour</w:t>
                      </w:r>
                      <w:r w:rsidRPr="00726730">
                        <w:rPr>
                          <w:sz w:val="22"/>
                          <w:szCs w:val="22"/>
                          <w:lang w:val="en-GB"/>
                        </w:rPr>
                        <w:t xml:space="preserve"> after the last dose (</w:t>
                      </w:r>
                      <w:r>
                        <w:rPr>
                          <w:sz w:val="22"/>
                          <w:szCs w:val="22"/>
                          <w:lang w:val="en-GB"/>
                        </w:rPr>
                        <w:t>if an in-patient, ensure this observation is conducted by a member of the de-labelling team)</w:t>
                      </w:r>
                      <w:r w:rsidRPr="00726730">
                        <w:rPr>
                          <w:sz w:val="22"/>
                          <w:szCs w:val="22"/>
                          <w:lang w:val="en-GB"/>
                        </w:rPr>
                        <w:t xml:space="preserve"> </w:t>
                      </w:r>
                    </w:p>
                    <w:p w14:paraId="52472134" w14:textId="77777777" w:rsidR="00FE3760" w:rsidRDefault="00FE3760" w:rsidP="00FE3760">
                      <w:pPr>
                        <w:pStyle w:val="ListParagraph"/>
                        <w:numPr>
                          <w:ilvl w:val="0"/>
                          <w:numId w:val="10"/>
                        </w:numPr>
                        <w:spacing w:line="360" w:lineRule="auto"/>
                        <w:rPr>
                          <w:sz w:val="22"/>
                          <w:szCs w:val="22"/>
                        </w:rPr>
                      </w:pPr>
                      <w:r w:rsidRPr="009347F5">
                        <w:rPr>
                          <w:sz w:val="22"/>
                          <w:szCs w:val="22"/>
                        </w:rPr>
                        <w:t>The patient should be provided with clear written instructions about what to do if symptoms develop after leaving the hospital</w:t>
                      </w:r>
                    </w:p>
                    <w:p w14:paraId="0DD1B07E" w14:textId="77777777" w:rsidR="00FE3760" w:rsidRPr="00FC7F8B" w:rsidRDefault="00FE3760" w:rsidP="00FE3760">
                      <w:pPr>
                        <w:pStyle w:val="ListParagraph"/>
                        <w:numPr>
                          <w:ilvl w:val="0"/>
                          <w:numId w:val="10"/>
                        </w:numPr>
                        <w:spacing w:line="360" w:lineRule="auto"/>
                        <w:rPr>
                          <w:sz w:val="22"/>
                          <w:szCs w:val="22"/>
                          <w:lang w:val="en-GB"/>
                        </w:rPr>
                      </w:pPr>
                      <w:r>
                        <w:rPr>
                          <w:sz w:val="22"/>
                          <w:szCs w:val="22"/>
                          <w:lang w:val="en-GB"/>
                        </w:rPr>
                        <w:t xml:space="preserve">If a prolonged course is required (see ‘Use of prolonged  DPT’ below), this </w:t>
                      </w:r>
                      <w:r w:rsidRPr="00202EAD">
                        <w:rPr>
                          <w:color w:val="FF0000"/>
                          <w:sz w:val="22"/>
                          <w:szCs w:val="22"/>
                          <w:lang w:val="en-GB"/>
                        </w:rPr>
                        <w:t>shou</w:t>
                      </w:r>
                      <w:r>
                        <w:rPr>
                          <w:color w:val="FF0000"/>
                          <w:sz w:val="22"/>
                          <w:szCs w:val="22"/>
                          <w:lang w:val="en-GB"/>
                        </w:rPr>
                        <w:t>l</w:t>
                      </w:r>
                      <w:r w:rsidRPr="00202EAD">
                        <w:rPr>
                          <w:color w:val="FF0000"/>
                          <w:sz w:val="22"/>
                          <w:szCs w:val="22"/>
                          <w:lang w:val="en-GB"/>
                        </w:rPr>
                        <w:t>d</w:t>
                      </w:r>
                      <w:r>
                        <w:rPr>
                          <w:sz w:val="22"/>
                          <w:szCs w:val="22"/>
                          <w:lang w:val="en-GB"/>
                        </w:rPr>
                        <w:t xml:space="preserve"> be provided to the patient. They </w:t>
                      </w:r>
                      <w:r w:rsidRPr="00A36A04">
                        <w:rPr>
                          <w:sz w:val="22"/>
                          <w:szCs w:val="22"/>
                        </w:rPr>
                        <w:t xml:space="preserve">must be contacted at the end of </w:t>
                      </w:r>
                      <w:r>
                        <w:rPr>
                          <w:sz w:val="22"/>
                          <w:szCs w:val="22"/>
                        </w:rPr>
                        <w:t xml:space="preserve">the course </w:t>
                      </w:r>
                      <w:r w:rsidRPr="00FC7F8B">
                        <w:rPr>
                          <w:sz w:val="22"/>
                          <w:szCs w:val="22"/>
                        </w:rPr>
                        <w:t>to check for delayed reactions</w:t>
                      </w:r>
                    </w:p>
                    <w:p w14:paraId="406C9B21" w14:textId="77777777" w:rsidR="00FE3760" w:rsidRPr="009347F5" w:rsidRDefault="00FE3760" w:rsidP="00FE3760">
                      <w:pPr>
                        <w:pStyle w:val="ListParagraph"/>
                        <w:numPr>
                          <w:ilvl w:val="0"/>
                          <w:numId w:val="10"/>
                        </w:numPr>
                        <w:spacing w:line="360" w:lineRule="auto"/>
                      </w:pPr>
                      <w:r w:rsidRPr="009347F5">
                        <w:rPr>
                          <w:sz w:val="22"/>
                          <w:szCs w:val="22"/>
                        </w:rPr>
                        <w:t xml:space="preserve">A system should be in place </w:t>
                      </w:r>
                      <w:r>
                        <w:rPr>
                          <w:sz w:val="22"/>
                          <w:szCs w:val="22"/>
                        </w:rPr>
                        <w:t>to inform</w:t>
                      </w:r>
                      <w:r w:rsidRPr="009347F5">
                        <w:rPr>
                          <w:sz w:val="22"/>
                          <w:szCs w:val="22"/>
                        </w:rPr>
                        <w:t xml:space="preserve"> the GP and other relevant healthcare professionals about the result of the DPT. The patient should receive clear written information about the test result and its implications</w:t>
                      </w:r>
                    </w:p>
                  </w:txbxContent>
                </v:textbox>
              </v:shape>
            </w:pict>
          </mc:Fallback>
        </mc:AlternateContent>
      </w:r>
    </w:p>
    <w:p w14:paraId="19D2A203" w14:textId="77777777" w:rsidR="00FE3760" w:rsidRPr="00062636" w:rsidRDefault="00FE3760" w:rsidP="00FE3760">
      <w:pPr>
        <w:spacing w:line="480" w:lineRule="auto"/>
        <w:rPr>
          <w:rFonts w:asciiTheme="minorHAnsi" w:hAnsiTheme="minorHAnsi"/>
          <w:b/>
          <w:i/>
        </w:rPr>
      </w:pPr>
    </w:p>
    <w:p w14:paraId="409E1878" w14:textId="77777777" w:rsidR="00FE3760" w:rsidRPr="00062636" w:rsidRDefault="00FE3760" w:rsidP="00FE3760">
      <w:pPr>
        <w:spacing w:line="480" w:lineRule="auto"/>
        <w:rPr>
          <w:rFonts w:asciiTheme="minorHAnsi" w:hAnsiTheme="minorHAnsi"/>
          <w:b/>
          <w:i/>
        </w:rPr>
      </w:pPr>
    </w:p>
    <w:p w14:paraId="0C1D8319" w14:textId="77777777" w:rsidR="00FE3760" w:rsidRPr="00062636" w:rsidRDefault="00FE3760" w:rsidP="00FE3760">
      <w:pPr>
        <w:spacing w:line="480" w:lineRule="auto"/>
        <w:rPr>
          <w:rFonts w:asciiTheme="minorHAnsi" w:hAnsiTheme="minorHAnsi"/>
          <w:b/>
          <w:i/>
        </w:rPr>
      </w:pPr>
    </w:p>
    <w:p w14:paraId="633AFED7" w14:textId="77777777" w:rsidR="00FE3760" w:rsidRPr="00062636" w:rsidRDefault="00FE3760" w:rsidP="00FE3760">
      <w:pPr>
        <w:spacing w:line="480" w:lineRule="auto"/>
        <w:rPr>
          <w:rFonts w:asciiTheme="minorHAnsi" w:hAnsiTheme="minorHAnsi"/>
          <w:bCs/>
          <w:iCs/>
        </w:rPr>
      </w:pPr>
    </w:p>
    <w:p w14:paraId="694F771D" w14:textId="77777777" w:rsidR="00FE3760" w:rsidRPr="00062636" w:rsidRDefault="00FE3760" w:rsidP="00FE3760">
      <w:pPr>
        <w:spacing w:line="480" w:lineRule="auto"/>
        <w:rPr>
          <w:rFonts w:asciiTheme="minorHAnsi" w:hAnsiTheme="minorHAnsi"/>
          <w:bCs/>
          <w:iCs/>
        </w:rPr>
      </w:pPr>
    </w:p>
    <w:p w14:paraId="28997ACA" w14:textId="77777777" w:rsidR="00FE3760" w:rsidRPr="00062636" w:rsidRDefault="00FE3760" w:rsidP="00FE3760">
      <w:pPr>
        <w:spacing w:line="480" w:lineRule="auto"/>
        <w:rPr>
          <w:rFonts w:asciiTheme="minorHAnsi" w:hAnsiTheme="minorHAnsi"/>
          <w:bCs/>
          <w:iCs/>
        </w:rPr>
      </w:pPr>
    </w:p>
    <w:p w14:paraId="23085666" w14:textId="77777777" w:rsidR="00FE3760" w:rsidRPr="00062636" w:rsidRDefault="00FE3760" w:rsidP="00FE3760">
      <w:pPr>
        <w:spacing w:line="480" w:lineRule="auto"/>
        <w:rPr>
          <w:rFonts w:asciiTheme="minorHAnsi" w:hAnsiTheme="minorHAnsi"/>
          <w:bCs/>
          <w:iCs/>
        </w:rPr>
      </w:pPr>
    </w:p>
    <w:p w14:paraId="11E757AE" w14:textId="77777777" w:rsidR="00FE3760" w:rsidRPr="00062636" w:rsidRDefault="00FE3760" w:rsidP="00FE3760">
      <w:pPr>
        <w:spacing w:line="480" w:lineRule="auto"/>
        <w:rPr>
          <w:rFonts w:asciiTheme="minorHAnsi" w:hAnsiTheme="minorHAnsi"/>
          <w:bCs/>
          <w:iCs/>
        </w:rPr>
      </w:pPr>
    </w:p>
    <w:p w14:paraId="731B72C4" w14:textId="77777777" w:rsidR="00FE3760" w:rsidRPr="00062636" w:rsidRDefault="00FE3760" w:rsidP="00FE3760">
      <w:pPr>
        <w:spacing w:line="480" w:lineRule="auto"/>
        <w:rPr>
          <w:rFonts w:asciiTheme="minorHAnsi" w:hAnsiTheme="minorHAnsi"/>
          <w:bCs/>
          <w:iCs/>
        </w:rPr>
      </w:pPr>
    </w:p>
    <w:p w14:paraId="7F0ED11F" w14:textId="77777777" w:rsidR="00FE3760" w:rsidRDefault="00FE3760" w:rsidP="00FE3760">
      <w:pPr>
        <w:spacing w:line="480" w:lineRule="auto"/>
        <w:rPr>
          <w:rFonts w:asciiTheme="minorHAnsi" w:hAnsiTheme="minorHAnsi"/>
          <w:bCs/>
          <w:iCs/>
        </w:rPr>
      </w:pPr>
    </w:p>
    <w:p w14:paraId="76797F48" w14:textId="77777777" w:rsidR="00FE3760" w:rsidRDefault="00FE3760" w:rsidP="00FE3760">
      <w:pPr>
        <w:spacing w:line="480" w:lineRule="auto"/>
        <w:rPr>
          <w:rFonts w:asciiTheme="minorHAnsi" w:hAnsiTheme="minorHAnsi"/>
          <w:bCs/>
          <w:iCs/>
        </w:rPr>
      </w:pPr>
    </w:p>
    <w:p w14:paraId="2E14D216" w14:textId="77777777" w:rsidR="00FE3760" w:rsidRDefault="00FE3760" w:rsidP="00FE3760">
      <w:pPr>
        <w:spacing w:line="480" w:lineRule="auto"/>
        <w:rPr>
          <w:rFonts w:asciiTheme="minorHAnsi" w:hAnsiTheme="minorHAnsi"/>
          <w:bCs/>
          <w:iCs/>
        </w:rPr>
      </w:pPr>
    </w:p>
    <w:p w14:paraId="6FCC633E" w14:textId="77777777" w:rsidR="00FE3760" w:rsidRDefault="00FE3760" w:rsidP="00FE3760">
      <w:pPr>
        <w:spacing w:line="480" w:lineRule="auto"/>
        <w:rPr>
          <w:rFonts w:asciiTheme="minorHAnsi" w:hAnsiTheme="minorHAnsi"/>
          <w:bCs/>
          <w:iCs/>
        </w:rPr>
      </w:pPr>
    </w:p>
    <w:p w14:paraId="76C106DE" w14:textId="77777777" w:rsidR="00FE3760" w:rsidRPr="006E4DD6" w:rsidRDefault="00FE3760" w:rsidP="00FE3760">
      <w:pPr>
        <w:spacing w:line="480" w:lineRule="auto"/>
        <w:rPr>
          <w:rFonts w:asciiTheme="minorHAnsi" w:hAnsiTheme="minorHAnsi" w:cstheme="minorHAnsi"/>
        </w:rPr>
      </w:pPr>
    </w:p>
    <w:p w14:paraId="296AF32D" w14:textId="77777777" w:rsidR="00FB6622" w:rsidRDefault="009B79EB" w:rsidP="00491924">
      <w:pPr>
        <w:spacing w:line="480" w:lineRule="auto"/>
        <w:jc w:val="both"/>
        <w:rPr>
          <w:b/>
        </w:rPr>
      </w:pPr>
      <w:proofErr w:type="spellStart"/>
      <w:r w:rsidRPr="00354EC4">
        <w:rPr>
          <w:b/>
        </w:rPr>
        <w:t>Appe</w:t>
      </w:r>
      <w:proofErr w:type="spellEnd"/>
    </w:p>
    <w:p w14:paraId="1BD82306" w14:textId="02A34890" w:rsidR="00FB6622" w:rsidRDefault="00FB6622" w:rsidP="00491924">
      <w:pPr>
        <w:spacing w:line="480" w:lineRule="auto"/>
        <w:jc w:val="both"/>
        <w:rPr>
          <w:rFonts w:asciiTheme="minorHAnsi" w:hAnsiTheme="minorHAnsi"/>
          <w:b/>
        </w:rPr>
      </w:pPr>
      <w:r>
        <w:rPr>
          <w:b/>
        </w:rPr>
        <w:t xml:space="preserve">Table 4: </w:t>
      </w:r>
      <w:r w:rsidRPr="00A05168">
        <w:t>Areas for future research</w:t>
      </w:r>
    </w:p>
    <w:p w14:paraId="247C378D" w14:textId="40247FA5" w:rsidR="00CC0F78" w:rsidRPr="00062636" w:rsidRDefault="00CC0F78" w:rsidP="00CC0F78">
      <w:pPr>
        <w:spacing w:line="480" w:lineRule="auto"/>
        <w:rPr>
          <w:rFonts w:asciiTheme="minorHAnsi" w:hAnsiTheme="minorHAnsi"/>
        </w:rPr>
      </w:pPr>
      <w:r>
        <w:rPr>
          <w:rFonts w:asciiTheme="minorHAnsi" w:hAnsiTheme="minorHAnsi"/>
          <w:b/>
          <w:bCs/>
          <w:iCs/>
        </w:rPr>
        <w:lastRenderedPageBreak/>
        <w:t>The process described in Table 3</w:t>
      </w:r>
      <w:r w:rsidRPr="00A05168">
        <w:rPr>
          <w:rFonts w:asciiTheme="minorHAnsi" w:hAnsiTheme="minorHAnsi"/>
          <w:b/>
          <w:bCs/>
          <w:iCs/>
        </w:rPr>
        <w:t xml:space="preserve"> is intended </w:t>
      </w:r>
      <w:r>
        <w:rPr>
          <w:rFonts w:asciiTheme="minorHAnsi" w:hAnsiTheme="minorHAnsi"/>
          <w:b/>
          <w:bCs/>
          <w:iCs/>
        </w:rPr>
        <w:t xml:space="preserve">only </w:t>
      </w:r>
      <w:r w:rsidRPr="00A05168">
        <w:rPr>
          <w:rFonts w:asciiTheme="minorHAnsi" w:hAnsiTheme="minorHAnsi"/>
          <w:b/>
          <w:bCs/>
          <w:iCs/>
        </w:rPr>
        <w:t>as a guide</w:t>
      </w:r>
      <w:r w:rsidRPr="00062636">
        <w:rPr>
          <w:rFonts w:asciiTheme="minorHAnsi" w:hAnsiTheme="minorHAnsi"/>
          <w:bCs/>
          <w:iCs/>
        </w:rPr>
        <w:t xml:space="preserve">. </w:t>
      </w:r>
      <w:r>
        <w:rPr>
          <w:rFonts w:asciiTheme="minorHAnsi" w:hAnsiTheme="minorHAnsi"/>
          <w:bCs/>
          <w:iCs/>
        </w:rPr>
        <w:t>Specific l</w:t>
      </w:r>
      <w:r w:rsidRPr="00062636">
        <w:rPr>
          <w:rFonts w:asciiTheme="minorHAnsi" w:hAnsiTheme="minorHAnsi"/>
          <w:bCs/>
          <w:iCs/>
        </w:rPr>
        <w:t>ocal protocols</w:t>
      </w:r>
      <w:r>
        <w:rPr>
          <w:rFonts w:asciiTheme="minorHAnsi" w:hAnsiTheme="minorHAnsi"/>
          <w:bCs/>
          <w:iCs/>
        </w:rPr>
        <w:t>,</w:t>
      </w:r>
      <w:r w:rsidRPr="00062636">
        <w:rPr>
          <w:rFonts w:asciiTheme="minorHAnsi" w:hAnsiTheme="minorHAnsi"/>
          <w:bCs/>
          <w:iCs/>
        </w:rPr>
        <w:t xml:space="preserve"> </w:t>
      </w:r>
      <w:r>
        <w:rPr>
          <w:rFonts w:asciiTheme="minorHAnsi" w:hAnsiTheme="minorHAnsi"/>
          <w:bCs/>
          <w:iCs/>
        </w:rPr>
        <w:t xml:space="preserve">including training for those delivering the service, </w:t>
      </w:r>
      <w:r w:rsidRPr="00062636">
        <w:rPr>
          <w:rFonts w:asciiTheme="minorHAnsi" w:hAnsiTheme="minorHAnsi"/>
          <w:bCs/>
          <w:iCs/>
        </w:rPr>
        <w:t xml:space="preserve">should be developed in </w:t>
      </w:r>
      <w:r>
        <w:rPr>
          <w:rFonts w:asciiTheme="minorHAnsi" w:hAnsiTheme="minorHAnsi"/>
          <w:bCs/>
          <w:iCs/>
        </w:rPr>
        <w:t>collaboration</w:t>
      </w:r>
      <w:r w:rsidRPr="00062636">
        <w:rPr>
          <w:rFonts w:asciiTheme="minorHAnsi" w:hAnsiTheme="minorHAnsi"/>
          <w:bCs/>
          <w:iCs/>
        </w:rPr>
        <w:t xml:space="preserve"> with the allergy/immunology service providing support for the de-labelling service</w:t>
      </w:r>
      <w:r>
        <w:rPr>
          <w:rFonts w:asciiTheme="minorHAnsi" w:hAnsiTheme="minorHAnsi"/>
        </w:rPr>
        <w:t>.</w:t>
      </w:r>
    </w:p>
    <w:p w14:paraId="72A88747" w14:textId="7F663AE5" w:rsidR="00FB6622" w:rsidRDefault="00FB6622" w:rsidP="00491924">
      <w:pPr>
        <w:spacing w:line="480" w:lineRule="auto"/>
        <w:jc w:val="both"/>
        <w:rPr>
          <w:rFonts w:asciiTheme="minorHAnsi" w:hAnsiTheme="minorHAnsi"/>
          <w:b/>
        </w:rPr>
      </w:pPr>
    </w:p>
    <w:p w14:paraId="1DDBD6B3" w14:textId="501F49EF" w:rsidR="00FB6622" w:rsidRDefault="00FB6622" w:rsidP="00491924">
      <w:pPr>
        <w:spacing w:line="480" w:lineRule="auto"/>
        <w:jc w:val="both"/>
        <w:rPr>
          <w:rFonts w:asciiTheme="minorHAnsi" w:hAnsiTheme="minorHAnsi"/>
          <w:b/>
        </w:rPr>
      </w:pPr>
    </w:p>
    <w:p w14:paraId="4112625A" w14:textId="0191C002" w:rsidR="00FB6622" w:rsidRPr="00CC0F78" w:rsidRDefault="00CC0F78" w:rsidP="00491924">
      <w:pPr>
        <w:spacing w:line="480" w:lineRule="auto"/>
        <w:jc w:val="both"/>
        <w:rPr>
          <w:rFonts w:asciiTheme="minorHAnsi" w:hAnsiTheme="minorHAnsi"/>
        </w:rPr>
      </w:pPr>
      <w:r w:rsidRPr="00CC0F78">
        <w:rPr>
          <w:rFonts w:asciiTheme="minorHAnsi" w:hAnsiTheme="minorHAnsi"/>
        </w:rPr>
        <w:t xml:space="preserve">Table 4: Areas </w:t>
      </w:r>
      <w:r>
        <w:rPr>
          <w:rFonts w:asciiTheme="minorHAnsi" w:hAnsiTheme="minorHAnsi"/>
        </w:rPr>
        <w:t xml:space="preserve">identified </w:t>
      </w:r>
      <w:r w:rsidRPr="00CC0F78">
        <w:rPr>
          <w:rFonts w:asciiTheme="minorHAnsi" w:hAnsiTheme="minorHAnsi"/>
        </w:rPr>
        <w:t>for future research</w:t>
      </w:r>
    </w:p>
    <w:p w14:paraId="23ACF00A" w14:textId="5B642446" w:rsidR="00FB6622" w:rsidRDefault="00CC0F78" w:rsidP="00491924">
      <w:pPr>
        <w:spacing w:line="480" w:lineRule="auto"/>
        <w:jc w:val="both"/>
        <w:rPr>
          <w:rFonts w:asciiTheme="minorHAnsi" w:hAnsiTheme="minorHAnsi"/>
          <w:b/>
        </w:rPr>
      </w:pPr>
      <w:r>
        <w:rPr>
          <w:rFonts w:asciiTheme="minorHAnsi" w:hAnsiTheme="minorHAnsi"/>
          <w:b/>
          <w:noProof/>
        </w:rPr>
        <mc:AlternateContent>
          <mc:Choice Requires="wps">
            <w:drawing>
              <wp:anchor distT="0" distB="0" distL="114300" distR="114300" simplePos="0" relativeHeight="251673600" behindDoc="0" locked="0" layoutInCell="1" allowOverlap="1" wp14:anchorId="225CFC30" wp14:editId="5D5C53FA">
                <wp:simplePos x="0" y="0"/>
                <wp:positionH relativeFrom="column">
                  <wp:posOffset>-92149</wp:posOffset>
                </wp:positionH>
                <wp:positionV relativeFrom="paragraph">
                  <wp:posOffset>181506</wp:posOffset>
                </wp:positionV>
                <wp:extent cx="5794744" cy="1977655"/>
                <wp:effectExtent l="0" t="0" r="9525" b="16510"/>
                <wp:wrapNone/>
                <wp:docPr id="7" name="Text Box 7"/>
                <wp:cNvGraphicFramePr/>
                <a:graphic xmlns:a="http://schemas.openxmlformats.org/drawingml/2006/main">
                  <a:graphicData uri="http://schemas.microsoft.com/office/word/2010/wordprocessingShape">
                    <wps:wsp>
                      <wps:cNvSpPr txBox="1"/>
                      <wps:spPr>
                        <a:xfrm>
                          <a:off x="0" y="0"/>
                          <a:ext cx="5794744" cy="1977655"/>
                        </a:xfrm>
                        <a:prstGeom prst="rect">
                          <a:avLst/>
                        </a:prstGeom>
                        <a:solidFill>
                          <a:schemeClr val="lt1"/>
                        </a:solidFill>
                        <a:ln w="6350">
                          <a:solidFill>
                            <a:prstClr val="black"/>
                          </a:solidFill>
                        </a:ln>
                      </wps:spPr>
                      <wps:txbx>
                        <w:txbxContent>
                          <w:p w14:paraId="5AD92112" w14:textId="5E8A9221" w:rsidR="00FB6622" w:rsidRPr="009038DC" w:rsidRDefault="00FB6622" w:rsidP="00FB6622">
                            <w:pPr>
                              <w:pStyle w:val="ListParagraph"/>
                              <w:numPr>
                                <w:ilvl w:val="0"/>
                                <w:numId w:val="16"/>
                              </w:numPr>
                              <w:spacing w:line="480" w:lineRule="auto"/>
                            </w:pPr>
                            <w:r>
                              <w:t>Optimal l</w:t>
                            </w:r>
                            <w:r w:rsidRPr="009038DC">
                              <w:t>ength of prolonged DPT in adults and children</w:t>
                            </w:r>
                          </w:p>
                          <w:p w14:paraId="56D69118" w14:textId="3C740E09" w:rsidR="00FB6622" w:rsidRDefault="00FB6622" w:rsidP="00FB6622">
                            <w:pPr>
                              <w:pStyle w:val="ListParagraph"/>
                              <w:numPr>
                                <w:ilvl w:val="0"/>
                                <w:numId w:val="16"/>
                              </w:numPr>
                              <w:spacing w:line="480" w:lineRule="auto"/>
                            </w:pPr>
                            <w:r>
                              <w:t>Feasibility of penicillin allergy de-labelling in primary care settings</w:t>
                            </w:r>
                            <w:r w:rsidR="00CC0F78">
                              <w:t xml:space="preserve"> </w:t>
                            </w:r>
                          </w:p>
                          <w:p w14:paraId="00893298" w14:textId="77777777" w:rsidR="00FB6622" w:rsidRDefault="00FB6622" w:rsidP="00FB6622">
                            <w:pPr>
                              <w:pStyle w:val="ListParagraph"/>
                              <w:numPr>
                                <w:ilvl w:val="0"/>
                                <w:numId w:val="16"/>
                              </w:numPr>
                              <w:spacing w:line="480" w:lineRule="auto"/>
                            </w:pPr>
                            <w:r>
                              <w:t>Optimising retention of delabelled status</w:t>
                            </w:r>
                          </w:p>
                          <w:p w14:paraId="2A66A1C6" w14:textId="77777777" w:rsidR="00FB6622" w:rsidRPr="00BF6303" w:rsidRDefault="00FB6622" w:rsidP="00FB6622">
                            <w:pPr>
                              <w:pStyle w:val="ListParagraph"/>
                              <w:numPr>
                                <w:ilvl w:val="0"/>
                                <w:numId w:val="16"/>
                              </w:numPr>
                              <w:spacing w:line="480" w:lineRule="auto"/>
                            </w:pPr>
                            <w:r>
                              <w:t>Development of educational packages for non-allergists delivering de-labelling services</w:t>
                            </w:r>
                          </w:p>
                          <w:p w14:paraId="3E58F762" w14:textId="77777777" w:rsidR="00FB6622" w:rsidRDefault="00FB6622" w:rsidP="00FB6622">
                            <w:pPr>
                              <w:pStyle w:val="ListParagraph"/>
                              <w:spacing w:line="480" w:lineRule="auto"/>
                            </w:pPr>
                          </w:p>
                          <w:p w14:paraId="1378E9BA" w14:textId="77777777" w:rsidR="00FB6622" w:rsidRDefault="00FB66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CFC30" id="Text Box 7" o:spid="_x0000_s1029" type="#_x0000_t202" style="position:absolute;left:0;text-align:left;margin-left:-7.25pt;margin-top:14.3pt;width:456.3pt;height:15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" fillcolor="white [3201]" strokeweight=".5pt">
                <v:textbox>
                  <w:txbxContent>
                    <w:p w14:paraId="5AD92112" w14:textId="5E8A9221" w:rsidR="00FB6622" w:rsidRPr="009038DC" w:rsidRDefault="00FB6622" w:rsidP="00FB6622">
                      <w:pPr>
                        <w:pStyle w:val="ListParagraph"/>
                        <w:numPr>
                          <w:ilvl w:val="0"/>
                          <w:numId w:val="16"/>
                        </w:numPr>
                        <w:spacing w:line="480" w:lineRule="auto"/>
                      </w:pPr>
                      <w:r>
                        <w:t>Optimal l</w:t>
                      </w:r>
                      <w:r w:rsidRPr="009038DC">
                        <w:t>ength of prolonged DPT in adults and children</w:t>
                      </w:r>
                    </w:p>
                    <w:p w14:paraId="56D69118" w14:textId="3C740E09" w:rsidR="00FB6622" w:rsidRDefault="00FB6622" w:rsidP="00FB6622">
                      <w:pPr>
                        <w:pStyle w:val="ListParagraph"/>
                        <w:numPr>
                          <w:ilvl w:val="0"/>
                          <w:numId w:val="16"/>
                        </w:numPr>
                        <w:spacing w:line="480" w:lineRule="auto"/>
                      </w:pPr>
                      <w:r>
                        <w:t>Feasibility of penicillin allergy de-labelling in primary care settings</w:t>
                      </w:r>
                      <w:r w:rsidR="00CC0F78">
                        <w:t xml:space="preserve"> </w:t>
                      </w:r>
                    </w:p>
                    <w:p w14:paraId="00893298" w14:textId="77777777" w:rsidR="00FB6622" w:rsidRDefault="00FB6622" w:rsidP="00FB6622">
                      <w:pPr>
                        <w:pStyle w:val="ListParagraph"/>
                        <w:numPr>
                          <w:ilvl w:val="0"/>
                          <w:numId w:val="16"/>
                        </w:numPr>
                        <w:spacing w:line="480" w:lineRule="auto"/>
                      </w:pPr>
                      <w:r>
                        <w:t>Optimising retention of delabelled status</w:t>
                      </w:r>
                    </w:p>
                    <w:p w14:paraId="2A66A1C6" w14:textId="77777777" w:rsidR="00FB6622" w:rsidRPr="00BF6303" w:rsidRDefault="00FB6622" w:rsidP="00FB6622">
                      <w:pPr>
                        <w:pStyle w:val="ListParagraph"/>
                        <w:numPr>
                          <w:ilvl w:val="0"/>
                          <w:numId w:val="16"/>
                        </w:numPr>
                        <w:spacing w:line="480" w:lineRule="auto"/>
                      </w:pPr>
                      <w:r>
                        <w:t>Development of educational packages for non-allergists delivering de-labelling services</w:t>
                      </w:r>
                    </w:p>
                    <w:p w14:paraId="3E58F762" w14:textId="77777777" w:rsidR="00FB6622" w:rsidRDefault="00FB6622" w:rsidP="00FB6622">
                      <w:pPr>
                        <w:pStyle w:val="ListParagraph"/>
                        <w:spacing w:line="480" w:lineRule="auto"/>
                      </w:pPr>
                    </w:p>
                    <w:p w14:paraId="1378E9BA" w14:textId="77777777" w:rsidR="00FB6622" w:rsidRDefault="00FB6622"/>
                  </w:txbxContent>
                </v:textbox>
              </v:shape>
            </w:pict>
          </mc:Fallback>
        </mc:AlternateContent>
      </w:r>
    </w:p>
    <w:p w14:paraId="45A0C70A" w14:textId="23B60B05" w:rsidR="00FB6622" w:rsidRDefault="00FB6622" w:rsidP="00491924">
      <w:pPr>
        <w:spacing w:line="480" w:lineRule="auto"/>
        <w:jc w:val="both"/>
        <w:rPr>
          <w:rFonts w:asciiTheme="minorHAnsi" w:hAnsiTheme="minorHAnsi"/>
          <w:b/>
        </w:rPr>
      </w:pPr>
    </w:p>
    <w:p w14:paraId="6A1F6BB1" w14:textId="76D56808" w:rsidR="00FB6622" w:rsidRDefault="00FB6622" w:rsidP="00491924">
      <w:pPr>
        <w:spacing w:line="480" w:lineRule="auto"/>
        <w:jc w:val="both"/>
        <w:rPr>
          <w:rFonts w:asciiTheme="minorHAnsi" w:hAnsiTheme="minorHAnsi"/>
          <w:b/>
        </w:rPr>
      </w:pPr>
    </w:p>
    <w:p w14:paraId="7404FA6E" w14:textId="7E085427" w:rsidR="00FB6622" w:rsidRDefault="00FB6622" w:rsidP="00491924">
      <w:pPr>
        <w:spacing w:line="480" w:lineRule="auto"/>
        <w:jc w:val="both"/>
        <w:rPr>
          <w:rFonts w:asciiTheme="minorHAnsi" w:hAnsiTheme="minorHAnsi"/>
          <w:b/>
        </w:rPr>
      </w:pPr>
    </w:p>
    <w:p w14:paraId="209168A9" w14:textId="0568E50E" w:rsidR="00FB6622" w:rsidRDefault="00FB6622" w:rsidP="00491924">
      <w:pPr>
        <w:spacing w:line="480" w:lineRule="auto"/>
        <w:jc w:val="both"/>
        <w:rPr>
          <w:rFonts w:asciiTheme="minorHAnsi" w:hAnsiTheme="minorHAnsi"/>
          <w:b/>
        </w:rPr>
      </w:pPr>
    </w:p>
    <w:p w14:paraId="2427EC68" w14:textId="2AA50C9A" w:rsidR="00FB6622" w:rsidRDefault="00FB6622" w:rsidP="00491924">
      <w:pPr>
        <w:spacing w:line="480" w:lineRule="auto"/>
        <w:jc w:val="both"/>
        <w:rPr>
          <w:rFonts w:asciiTheme="minorHAnsi" w:hAnsiTheme="minorHAnsi"/>
          <w:b/>
        </w:rPr>
      </w:pPr>
    </w:p>
    <w:p w14:paraId="18E139FA" w14:textId="1379F0FB" w:rsidR="00FB6622" w:rsidRDefault="00FB6622" w:rsidP="00491924">
      <w:pPr>
        <w:spacing w:line="480" w:lineRule="auto"/>
        <w:jc w:val="both"/>
        <w:rPr>
          <w:rFonts w:asciiTheme="minorHAnsi" w:hAnsiTheme="minorHAnsi"/>
          <w:b/>
        </w:rPr>
      </w:pPr>
    </w:p>
    <w:p w14:paraId="481E99C3" w14:textId="58FD99BE" w:rsidR="00FB6622" w:rsidRDefault="00FB6622" w:rsidP="00491924">
      <w:pPr>
        <w:spacing w:line="480" w:lineRule="auto"/>
        <w:jc w:val="both"/>
        <w:rPr>
          <w:rFonts w:asciiTheme="minorHAnsi" w:hAnsiTheme="minorHAnsi"/>
          <w:b/>
        </w:rPr>
      </w:pPr>
    </w:p>
    <w:p w14:paraId="13FFE7F1" w14:textId="5B71BAD4" w:rsidR="00FB6622" w:rsidRDefault="00FB6622" w:rsidP="00491924">
      <w:pPr>
        <w:spacing w:line="480" w:lineRule="auto"/>
        <w:jc w:val="both"/>
        <w:rPr>
          <w:rFonts w:asciiTheme="minorHAnsi" w:hAnsiTheme="minorHAnsi"/>
          <w:b/>
        </w:rPr>
      </w:pPr>
    </w:p>
    <w:p w14:paraId="35192C49" w14:textId="21C4BB1F" w:rsidR="00FB6622" w:rsidRDefault="00FB6622" w:rsidP="00491924">
      <w:pPr>
        <w:spacing w:line="480" w:lineRule="auto"/>
        <w:jc w:val="both"/>
        <w:rPr>
          <w:rFonts w:asciiTheme="minorHAnsi" w:hAnsiTheme="minorHAnsi"/>
          <w:b/>
        </w:rPr>
      </w:pPr>
    </w:p>
    <w:p w14:paraId="134B5C7F" w14:textId="4D282B82" w:rsidR="00FB6622" w:rsidRDefault="00FB6622" w:rsidP="00491924">
      <w:pPr>
        <w:spacing w:line="480" w:lineRule="auto"/>
        <w:jc w:val="both"/>
        <w:rPr>
          <w:rFonts w:asciiTheme="minorHAnsi" w:hAnsiTheme="minorHAnsi"/>
          <w:b/>
        </w:rPr>
      </w:pPr>
    </w:p>
    <w:p w14:paraId="1919FCFC" w14:textId="150B1276" w:rsidR="00FB6622" w:rsidRDefault="00FB6622" w:rsidP="00491924">
      <w:pPr>
        <w:spacing w:line="480" w:lineRule="auto"/>
        <w:jc w:val="both"/>
        <w:rPr>
          <w:rFonts w:asciiTheme="minorHAnsi" w:hAnsiTheme="minorHAnsi"/>
          <w:b/>
        </w:rPr>
      </w:pPr>
    </w:p>
    <w:p w14:paraId="64CFF435" w14:textId="18D89010" w:rsidR="00FB6622" w:rsidRDefault="00FB6622" w:rsidP="00491924">
      <w:pPr>
        <w:spacing w:line="480" w:lineRule="auto"/>
        <w:jc w:val="both"/>
        <w:rPr>
          <w:rFonts w:asciiTheme="minorHAnsi" w:hAnsiTheme="minorHAnsi"/>
          <w:b/>
        </w:rPr>
      </w:pPr>
    </w:p>
    <w:p w14:paraId="2E4708F1" w14:textId="77777777" w:rsidR="00491924" w:rsidRPr="00EA10A2" w:rsidRDefault="00491924" w:rsidP="00A05168">
      <w:pPr>
        <w:spacing w:line="480" w:lineRule="auto"/>
        <w:jc w:val="both"/>
        <w:rPr>
          <w:b/>
        </w:rPr>
      </w:pPr>
    </w:p>
    <w:sectPr w:rsidR="00491924" w:rsidRPr="00EA10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512"/>
    <w:multiLevelType w:val="hybridMultilevel"/>
    <w:tmpl w:val="8820DD74"/>
    <w:lvl w:ilvl="0" w:tplc="FD347748">
      <w:start w:val="1"/>
      <w:numFmt w:val="lowerLetter"/>
      <w:lvlText w:val="(%1)"/>
      <w:lvlJc w:val="left"/>
      <w:pPr>
        <w:ind w:left="1003" w:hanging="360"/>
      </w:pPr>
      <w:rPr>
        <w:rFonts w:ascii="Calibri" w:hAnsi="Calibri" w:cs="Calibri"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 w15:restartNumberingAfterBreak="0">
    <w:nsid w:val="011815B8"/>
    <w:multiLevelType w:val="multilevel"/>
    <w:tmpl w:val="B796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833A8"/>
    <w:multiLevelType w:val="hybridMultilevel"/>
    <w:tmpl w:val="F73AF6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C5EA3"/>
    <w:multiLevelType w:val="hybridMultilevel"/>
    <w:tmpl w:val="B4106EFC"/>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15E25"/>
    <w:multiLevelType w:val="hybridMultilevel"/>
    <w:tmpl w:val="E18AF5E8"/>
    <w:lvl w:ilvl="0" w:tplc="4794505A">
      <w:start w:val="1"/>
      <w:numFmt w:val="decimal"/>
      <w:lvlText w:val="%1."/>
      <w:lvlJc w:val="left"/>
      <w:pPr>
        <w:ind w:left="644"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16967"/>
    <w:multiLevelType w:val="hybridMultilevel"/>
    <w:tmpl w:val="CC5680CC"/>
    <w:lvl w:ilvl="0" w:tplc="78921E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EA1EB1"/>
    <w:multiLevelType w:val="hybridMultilevel"/>
    <w:tmpl w:val="72F8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072091"/>
    <w:multiLevelType w:val="hybridMultilevel"/>
    <w:tmpl w:val="39CA64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04941"/>
    <w:multiLevelType w:val="hybridMultilevel"/>
    <w:tmpl w:val="7BE20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C6A2A"/>
    <w:multiLevelType w:val="hybridMultilevel"/>
    <w:tmpl w:val="54302F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43B96"/>
    <w:multiLevelType w:val="hybridMultilevel"/>
    <w:tmpl w:val="31B2F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102C4D"/>
    <w:multiLevelType w:val="hybridMultilevel"/>
    <w:tmpl w:val="7BE20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A6099"/>
    <w:multiLevelType w:val="hybridMultilevel"/>
    <w:tmpl w:val="1C9E221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E22519"/>
    <w:multiLevelType w:val="hybridMultilevel"/>
    <w:tmpl w:val="9A02E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3A3FE2"/>
    <w:multiLevelType w:val="hybridMultilevel"/>
    <w:tmpl w:val="FA9AA09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CD5A41"/>
    <w:multiLevelType w:val="hybridMultilevel"/>
    <w:tmpl w:val="AF32B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2B14CE"/>
    <w:multiLevelType w:val="hybridMultilevel"/>
    <w:tmpl w:val="9A02E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750BBA"/>
    <w:multiLevelType w:val="hybridMultilevel"/>
    <w:tmpl w:val="0DBA0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C065C"/>
    <w:multiLevelType w:val="hybridMultilevel"/>
    <w:tmpl w:val="344A5F24"/>
    <w:lvl w:ilvl="0" w:tplc="04090001">
      <w:start w:val="1"/>
      <w:numFmt w:val="bullet"/>
      <w:lvlText w:val=""/>
      <w:lvlJc w:val="left"/>
      <w:pPr>
        <w:ind w:left="1068" w:hanging="360"/>
      </w:pPr>
      <w:rPr>
        <w:rFonts w:ascii="Symbol" w:hAnsi="Symbol"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BE111D"/>
    <w:multiLevelType w:val="hybridMultilevel"/>
    <w:tmpl w:val="6F4AE3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F572C25"/>
    <w:multiLevelType w:val="hybridMultilevel"/>
    <w:tmpl w:val="F4B41D68"/>
    <w:lvl w:ilvl="0" w:tplc="9E0E1ADE">
      <w:start w:val="1"/>
      <w:numFmt w:val="decimal"/>
      <w:lvlText w:val="%1."/>
      <w:lvlJc w:val="left"/>
      <w:pPr>
        <w:ind w:left="1068" w:hanging="360"/>
      </w:pPr>
      <w:rPr>
        <w:rFonts w:hint="default"/>
        <w:b w:val="0"/>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63C8B"/>
    <w:multiLevelType w:val="hybridMultilevel"/>
    <w:tmpl w:val="BA10A7D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D29D4"/>
    <w:multiLevelType w:val="hybridMultilevel"/>
    <w:tmpl w:val="DAB4A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3A1FFC"/>
    <w:multiLevelType w:val="hybridMultilevel"/>
    <w:tmpl w:val="7DF494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20"/>
  </w:num>
  <w:num w:numId="3">
    <w:abstractNumId w:val="21"/>
  </w:num>
  <w:num w:numId="4">
    <w:abstractNumId w:val="8"/>
  </w:num>
  <w:num w:numId="5">
    <w:abstractNumId w:val="3"/>
  </w:num>
  <w:num w:numId="6">
    <w:abstractNumId w:val="11"/>
  </w:num>
  <w:num w:numId="7">
    <w:abstractNumId w:val="12"/>
  </w:num>
  <w:num w:numId="8">
    <w:abstractNumId w:val="9"/>
  </w:num>
  <w:num w:numId="9">
    <w:abstractNumId w:val="7"/>
  </w:num>
  <w:num w:numId="10">
    <w:abstractNumId w:val="14"/>
  </w:num>
  <w:num w:numId="11">
    <w:abstractNumId w:val="4"/>
  </w:num>
  <w:num w:numId="12">
    <w:abstractNumId w:val="1"/>
  </w:num>
  <w:num w:numId="13">
    <w:abstractNumId w:val="13"/>
  </w:num>
  <w:num w:numId="14">
    <w:abstractNumId w:val="16"/>
  </w:num>
  <w:num w:numId="15">
    <w:abstractNumId w:val="23"/>
  </w:num>
  <w:num w:numId="16">
    <w:abstractNumId w:val="22"/>
  </w:num>
  <w:num w:numId="17">
    <w:abstractNumId w:val="2"/>
  </w:num>
  <w:num w:numId="18">
    <w:abstractNumId w:val="19"/>
  </w:num>
  <w:num w:numId="19">
    <w:abstractNumId w:val="5"/>
  </w:num>
  <w:num w:numId="20">
    <w:abstractNumId w:val="10"/>
  </w:num>
  <w:num w:numId="21">
    <w:abstractNumId w:val="0"/>
  </w:num>
  <w:num w:numId="22">
    <w:abstractNumId w:val="17"/>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638710C-818C-46E9-A318-8812E94FA43E}"/>
    <w:docVar w:name="dgnword-eventsink" w:val="2675766457856"/>
  </w:docVars>
  <w:rsids>
    <w:rsidRoot w:val="003C500F"/>
    <w:rsid w:val="000003E7"/>
    <w:rsid w:val="00002C79"/>
    <w:rsid w:val="00010B7B"/>
    <w:rsid w:val="00020D21"/>
    <w:rsid w:val="00022049"/>
    <w:rsid w:val="000326E6"/>
    <w:rsid w:val="000342F0"/>
    <w:rsid w:val="00034A43"/>
    <w:rsid w:val="00051701"/>
    <w:rsid w:val="00053727"/>
    <w:rsid w:val="00054129"/>
    <w:rsid w:val="00057ED5"/>
    <w:rsid w:val="00062589"/>
    <w:rsid w:val="00062636"/>
    <w:rsid w:val="000642F3"/>
    <w:rsid w:val="000662F1"/>
    <w:rsid w:val="00071494"/>
    <w:rsid w:val="00073725"/>
    <w:rsid w:val="0007539F"/>
    <w:rsid w:val="00095DB5"/>
    <w:rsid w:val="000A30C5"/>
    <w:rsid w:val="000A5A92"/>
    <w:rsid w:val="000B1483"/>
    <w:rsid w:val="000B2C72"/>
    <w:rsid w:val="000C4AA6"/>
    <w:rsid w:val="000C4D67"/>
    <w:rsid w:val="000D3547"/>
    <w:rsid w:val="000E2E77"/>
    <w:rsid w:val="001068C5"/>
    <w:rsid w:val="00110204"/>
    <w:rsid w:val="0011056C"/>
    <w:rsid w:val="001148E9"/>
    <w:rsid w:val="00115E7D"/>
    <w:rsid w:val="001171A8"/>
    <w:rsid w:val="00120934"/>
    <w:rsid w:val="00123825"/>
    <w:rsid w:val="0012730F"/>
    <w:rsid w:val="00147BE6"/>
    <w:rsid w:val="00150A15"/>
    <w:rsid w:val="00157869"/>
    <w:rsid w:val="0016651E"/>
    <w:rsid w:val="0016757A"/>
    <w:rsid w:val="00170B1A"/>
    <w:rsid w:val="00175860"/>
    <w:rsid w:val="00175BE9"/>
    <w:rsid w:val="00177DF5"/>
    <w:rsid w:val="00184E0C"/>
    <w:rsid w:val="001905E4"/>
    <w:rsid w:val="001A19FA"/>
    <w:rsid w:val="001B1178"/>
    <w:rsid w:val="001B46EB"/>
    <w:rsid w:val="001C66FE"/>
    <w:rsid w:val="001D6D14"/>
    <w:rsid w:val="001D747B"/>
    <w:rsid w:val="001E4E7E"/>
    <w:rsid w:val="001E545A"/>
    <w:rsid w:val="001E5489"/>
    <w:rsid w:val="00200D7E"/>
    <w:rsid w:val="00202EAD"/>
    <w:rsid w:val="00203DD2"/>
    <w:rsid w:val="00211216"/>
    <w:rsid w:val="00230021"/>
    <w:rsid w:val="00235421"/>
    <w:rsid w:val="00237132"/>
    <w:rsid w:val="002427B2"/>
    <w:rsid w:val="00255BB2"/>
    <w:rsid w:val="0026083B"/>
    <w:rsid w:val="00280DF8"/>
    <w:rsid w:val="00296D64"/>
    <w:rsid w:val="002B4B97"/>
    <w:rsid w:val="002B71AC"/>
    <w:rsid w:val="002C661C"/>
    <w:rsid w:val="002E2BB7"/>
    <w:rsid w:val="002E6C97"/>
    <w:rsid w:val="00314880"/>
    <w:rsid w:val="00315D74"/>
    <w:rsid w:val="00321CEF"/>
    <w:rsid w:val="00345A79"/>
    <w:rsid w:val="00350AD3"/>
    <w:rsid w:val="00353112"/>
    <w:rsid w:val="00353EA9"/>
    <w:rsid w:val="00354EC4"/>
    <w:rsid w:val="00361C98"/>
    <w:rsid w:val="003701BC"/>
    <w:rsid w:val="003723C4"/>
    <w:rsid w:val="00374480"/>
    <w:rsid w:val="00380BCB"/>
    <w:rsid w:val="00390B53"/>
    <w:rsid w:val="003927A6"/>
    <w:rsid w:val="003968FB"/>
    <w:rsid w:val="003A1278"/>
    <w:rsid w:val="003A1F73"/>
    <w:rsid w:val="003A2BF7"/>
    <w:rsid w:val="003C4E0A"/>
    <w:rsid w:val="003C500F"/>
    <w:rsid w:val="003D678C"/>
    <w:rsid w:val="003F7A49"/>
    <w:rsid w:val="00412CC2"/>
    <w:rsid w:val="004302EC"/>
    <w:rsid w:val="004340A9"/>
    <w:rsid w:val="004359D9"/>
    <w:rsid w:val="004522AE"/>
    <w:rsid w:val="00460BE5"/>
    <w:rsid w:val="00461B85"/>
    <w:rsid w:val="004751F2"/>
    <w:rsid w:val="0048020C"/>
    <w:rsid w:val="00481BB0"/>
    <w:rsid w:val="0048316A"/>
    <w:rsid w:val="00483F53"/>
    <w:rsid w:val="00491924"/>
    <w:rsid w:val="00491AA0"/>
    <w:rsid w:val="00493ECA"/>
    <w:rsid w:val="00496F82"/>
    <w:rsid w:val="004A2FF6"/>
    <w:rsid w:val="004A737A"/>
    <w:rsid w:val="004C4AC5"/>
    <w:rsid w:val="004C689F"/>
    <w:rsid w:val="004D02FF"/>
    <w:rsid w:val="004D0934"/>
    <w:rsid w:val="004D2E60"/>
    <w:rsid w:val="004E0814"/>
    <w:rsid w:val="004F7BC0"/>
    <w:rsid w:val="0051331E"/>
    <w:rsid w:val="0052139B"/>
    <w:rsid w:val="00521F7C"/>
    <w:rsid w:val="0052388A"/>
    <w:rsid w:val="005373E5"/>
    <w:rsid w:val="0054034E"/>
    <w:rsid w:val="0055018F"/>
    <w:rsid w:val="00553B9C"/>
    <w:rsid w:val="00564230"/>
    <w:rsid w:val="00565915"/>
    <w:rsid w:val="00572116"/>
    <w:rsid w:val="00573CA7"/>
    <w:rsid w:val="00575136"/>
    <w:rsid w:val="005760BE"/>
    <w:rsid w:val="00584721"/>
    <w:rsid w:val="005851A3"/>
    <w:rsid w:val="00586D46"/>
    <w:rsid w:val="00591EA2"/>
    <w:rsid w:val="005A59F0"/>
    <w:rsid w:val="005A70DC"/>
    <w:rsid w:val="005B4C6E"/>
    <w:rsid w:val="005B5304"/>
    <w:rsid w:val="005C370B"/>
    <w:rsid w:val="005C64FF"/>
    <w:rsid w:val="005D0850"/>
    <w:rsid w:val="005F2686"/>
    <w:rsid w:val="005F3982"/>
    <w:rsid w:val="006106E6"/>
    <w:rsid w:val="00612743"/>
    <w:rsid w:val="006129BD"/>
    <w:rsid w:val="006144A0"/>
    <w:rsid w:val="006177D2"/>
    <w:rsid w:val="00621AC0"/>
    <w:rsid w:val="00623339"/>
    <w:rsid w:val="006248AC"/>
    <w:rsid w:val="006329A6"/>
    <w:rsid w:val="00632FB6"/>
    <w:rsid w:val="00635A49"/>
    <w:rsid w:val="0065550D"/>
    <w:rsid w:val="00660866"/>
    <w:rsid w:val="006618F4"/>
    <w:rsid w:val="00663E25"/>
    <w:rsid w:val="00665B6F"/>
    <w:rsid w:val="00666BF2"/>
    <w:rsid w:val="00670F16"/>
    <w:rsid w:val="00671967"/>
    <w:rsid w:val="006728FB"/>
    <w:rsid w:val="00674443"/>
    <w:rsid w:val="006874D5"/>
    <w:rsid w:val="00693C61"/>
    <w:rsid w:val="006A13EE"/>
    <w:rsid w:val="006A50F2"/>
    <w:rsid w:val="006A6D0B"/>
    <w:rsid w:val="006C05E6"/>
    <w:rsid w:val="006C1B96"/>
    <w:rsid w:val="006C1D8E"/>
    <w:rsid w:val="006C3ECE"/>
    <w:rsid w:val="006C7567"/>
    <w:rsid w:val="006D43A0"/>
    <w:rsid w:val="006E0EE6"/>
    <w:rsid w:val="006E41E8"/>
    <w:rsid w:val="006E4DD6"/>
    <w:rsid w:val="006E670B"/>
    <w:rsid w:val="006F5CBD"/>
    <w:rsid w:val="006F5FB1"/>
    <w:rsid w:val="006F6287"/>
    <w:rsid w:val="00702234"/>
    <w:rsid w:val="0070524A"/>
    <w:rsid w:val="00713E25"/>
    <w:rsid w:val="007154AA"/>
    <w:rsid w:val="0071577E"/>
    <w:rsid w:val="00726730"/>
    <w:rsid w:val="00732C93"/>
    <w:rsid w:val="007345C0"/>
    <w:rsid w:val="00737EA0"/>
    <w:rsid w:val="00741016"/>
    <w:rsid w:val="007427B9"/>
    <w:rsid w:val="0074352F"/>
    <w:rsid w:val="00747D7C"/>
    <w:rsid w:val="00751C03"/>
    <w:rsid w:val="00755E24"/>
    <w:rsid w:val="0075658F"/>
    <w:rsid w:val="007614FD"/>
    <w:rsid w:val="00763ECA"/>
    <w:rsid w:val="007661AA"/>
    <w:rsid w:val="00772473"/>
    <w:rsid w:val="00780DB1"/>
    <w:rsid w:val="00784342"/>
    <w:rsid w:val="00785EFD"/>
    <w:rsid w:val="007863C7"/>
    <w:rsid w:val="007873F5"/>
    <w:rsid w:val="00794B0D"/>
    <w:rsid w:val="007B2E57"/>
    <w:rsid w:val="007D0FEF"/>
    <w:rsid w:val="007D418F"/>
    <w:rsid w:val="007D7D8C"/>
    <w:rsid w:val="007E15F9"/>
    <w:rsid w:val="007F7BDC"/>
    <w:rsid w:val="0080702D"/>
    <w:rsid w:val="00820E0D"/>
    <w:rsid w:val="008272CD"/>
    <w:rsid w:val="008306A3"/>
    <w:rsid w:val="00833BD4"/>
    <w:rsid w:val="00833F5B"/>
    <w:rsid w:val="00834269"/>
    <w:rsid w:val="00835D1A"/>
    <w:rsid w:val="00836DC4"/>
    <w:rsid w:val="00840435"/>
    <w:rsid w:val="0084634B"/>
    <w:rsid w:val="00852C0D"/>
    <w:rsid w:val="0085752E"/>
    <w:rsid w:val="00864522"/>
    <w:rsid w:val="00864899"/>
    <w:rsid w:val="0086714E"/>
    <w:rsid w:val="00870530"/>
    <w:rsid w:val="00877627"/>
    <w:rsid w:val="008806B4"/>
    <w:rsid w:val="00887DE3"/>
    <w:rsid w:val="00893049"/>
    <w:rsid w:val="008962F5"/>
    <w:rsid w:val="008A619A"/>
    <w:rsid w:val="008A77CD"/>
    <w:rsid w:val="008B30E6"/>
    <w:rsid w:val="008B4FE0"/>
    <w:rsid w:val="008B602C"/>
    <w:rsid w:val="008C680C"/>
    <w:rsid w:val="008C7DCA"/>
    <w:rsid w:val="008E470C"/>
    <w:rsid w:val="008E593D"/>
    <w:rsid w:val="009038DC"/>
    <w:rsid w:val="00905CBA"/>
    <w:rsid w:val="0091059A"/>
    <w:rsid w:val="00911689"/>
    <w:rsid w:val="00913A90"/>
    <w:rsid w:val="0091414B"/>
    <w:rsid w:val="009178E4"/>
    <w:rsid w:val="0092733A"/>
    <w:rsid w:val="009328B3"/>
    <w:rsid w:val="009347F5"/>
    <w:rsid w:val="009356EC"/>
    <w:rsid w:val="00937A22"/>
    <w:rsid w:val="0094282F"/>
    <w:rsid w:val="0096033D"/>
    <w:rsid w:val="00961E84"/>
    <w:rsid w:val="00963BC3"/>
    <w:rsid w:val="009704AC"/>
    <w:rsid w:val="009759F2"/>
    <w:rsid w:val="00981144"/>
    <w:rsid w:val="00983CB9"/>
    <w:rsid w:val="009930C2"/>
    <w:rsid w:val="009952CE"/>
    <w:rsid w:val="009953E3"/>
    <w:rsid w:val="009A4258"/>
    <w:rsid w:val="009A53B6"/>
    <w:rsid w:val="009B4AB4"/>
    <w:rsid w:val="009B5102"/>
    <w:rsid w:val="009B79EB"/>
    <w:rsid w:val="009C10F3"/>
    <w:rsid w:val="009D2796"/>
    <w:rsid w:val="009E1B8D"/>
    <w:rsid w:val="009E4821"/>
    <w:rsid w:val="009E4E21"/>
    <w:rsid w:val="009E7FF5"/>
    <w:rsid w:val="009F4231"/>
    <w:rsid w:val="009F745B"/>
    <w:rsid w:val="00A01363"/>
    <w:rsid w:val="00A0384D"/>
    <w:rsid w:val="00A05168"/>
    <w:rsid w:val="00A20AA4"/>
    <w:rsid w:val="00A22597"/>
    <w:rsid w:val="00A23C09"/>
    <w:rsid w:val="00A25DC5"/>
    <w:rsid w:val="00A274F4"/>
    <w:rsid w:val="00A32BFC"/>
    <w:rsid w:val="00A36A04"/>
    <w:rsid w:val="00A459D1"/>
    <w:rsid w:val="00A52523"/>
    <w:rsid w:val="00A52FCB"/>
    <w:rsid w:val="00A53460"/>
    <w:rsid w:val="00A64F44"/>
    <w:rsid w:val="00A700EB"/>
    <w:rsid w:val="00A7079D"/>
    <w:rsid w:val="00A80739"/>
    <w:rsid w:val="00A82EEF"/>
    <w:rsid w:val="00A966DD"/>
    <w:rsid w:val="00AA283B"/>
    <w:rsid w:val="00AA64D7"/>
    <w:rsid w:val="00AB3342"/>
    <w:rsid w:val="00AB46D0"/>
    <w:rsid w:val="00AB7BF0"/>
    <w:rsid w:val="00AC1A80"/>
    <w:rsid w:val="00AC3079"/>
    <w:rsid w:val="00AD1B85"/>
    <w:rsid w:val="00AD28A6"/>
    <w:rsid w:val="00AD76DA"/>
    <w:rsid w:val="00AE0B47"/>
    <w:rsid w:val="00AF5B8D"/>
    <w:rsid w:val="00B10F4D"/>
    <w:rsid w:val="00B13FEF"/>
    <w:rsid w:val="00B156CE"/>
    <w:rsid w:val="00B243D4"/>
    <w:rsid w:val="00B30F9D"/>
    <w:rsid w:val="00B405C5"/>
    <w:rsid w:val="00B470EB"/>
    <w:rsid w:val="00B471EB"/>
    <w:rsid w:val="00B47211"/>
    <w:rsid w:val="00B5747F"/>
    <w:rsid w:val="00B63524"/>
    <w:rsid w:val="00B65379"/>
    <w:rsid w:val="00B76E5E"/>
    <w:rsid w:val="00B8450C"/>
    <w:rsid w:val="00B90CC4"/>
    <w:rsid w:val="00B91C61"/>
    <w:rsid w:val="00BB0E80"/>
    <w:rsid w:val="00BB1521"/>
    <w:rsid w:val="00BB5EAF"/>
    <w:rsid w:val="00BC0787"/>
    <w:rsid w:val="00BC6EFC"/>
    <w:rsid w:val="00BD1CCC"/>
    <w:rsid w:val="00BD3720"/>
    <w:rsid w:val="00BF2FB2"/>
    <w:rsid w:val="00BF33F9"/>
    <w:rsid w:val="00BF6303"/>
    <w:rsid w:val="00C022B4"/>
    <w:rsid w:val="00C040FF"/>
    <w:rsid w:val="00C07A35"/>
    <w:rsid w:val="00C07D57"/>
    <w:rsid w:val="00C16B61"/>
    <w:rsid w:val="00C444A0"/>
    <w:rsid w:val="00C5100B"/>
    <w:rsid w:val="00C6521A"/>
    <w:rsid w:val="00C658E6"/>
    <w:rsid w:val="00C66EE9"/>
    <w:rsid w:val="00C672CD"/>
    <w:rsid w:val="00C76B84"/>
    <w:rsid w:val="00C87BA1"/>
    <w:rsid w:val="00C924B5"/>
    <w:rsid w:val="00C952AE"/>
    <w:rsid w:val="00CA0A55"/>
    <w:rsid w:val="00CA6509"/>
    <w:rsid w:val="00CB4748"/>
    <w:rsid w:val="00CC0F78"/>
    <w:rsid w:val="00CC101D"/>
    <w:rsid w:val="00CD1682"/>
    <w:rsid w:val="00CD5313"/>
    <w:rsid w:val="00CD70DF"/>
    <w:rsid w:val="00CE02F1"/>
    <w:rsid w:val="00CE1043"/>
    <w:rsid w:val="00CF326F"/>
    <w:rsid w:val="00CF7EDD"/>
    <w:rsid w:val="00D10BC3"/>
    <w:rsid w:val="00D11FF7"/>
    <w:rsid w:val="00D15BD9"/>
    <w:rsid w:val="00D16B21"/>
    <w:rsid w:val="00D20FCF"/>
    <w:rsid w:val="00D23F20"/>
    <w:rsid w:val="00D32A94"/>
    <w:rsid w:val="00D33F23"/>
    <w:rsid w:val="00D40142"/>
    <w:rsid w:val="00D44225"/>
    <w:rsid w:val="00D466CB"/>
    <w:rsid w:val="00D4722A"/>
    <w:rsid w:val="00D538D7"/>
    <w:rsid w:val="00D63288"/>
    <w:rsid w:val="00D65B1B"/>
    <w:rsid w:val="00D71545"/>
    <w:rsid w:val="00D723D5"/>
    <w:rsid w:val="00D72CF0"/>
    <w:rsid w:val="00D731AA"/>
    <w:rsid w:val="00D803C7"/>
    <w:rsid w:val="00D85153"/>
    <w:rsid w:val="00D871E8"/>
    <w:rsid w:val="00D911B1"/>
    <w:rsid w:val="00D91ADE"/>
    <w:rsid w:val="00DA2878"/>
    <w:rsid w:val="00DA7218"/>
    <w:rsid w:val="00DB127B"/>
    <w:rsid w:val="00DB1A8A"/>
    <w:rsid w:val="00DB3C82"/>
    <w:rsid w:val="00DB76F9"/>
    <w:rsid w:val="00DC20EE"/>
    <w:rsid w:val="00DD4EB7"/>
    <w:rsid w:val="00DE07B7"/>
    <w:rsid w:val="00DE267B"/>
    <w:rsid w:val="00DF3EE1"/>
    <w:rsid w:val="00E1639B"/>
    <w:rsid w:val="00E170DB"/>
    <w:rsid w:val="00E2429F"/>
    <w:rsid w:val="00E277AC"/>
    <w:rsid w:val="00E30E26"/>
    <w:rsid w:val="00E35D5E"/>
    <w:rsid w:val="00E36955"/>
    <w:rsid w:val="00E37819"/>
    <w:rsid w:val="00E37F76"/>
    <w:rsid w:val="00E41088"/>
    <w:rsid w:val="00E45B8E"/>
    <w:rsid w:val="00E55C11"/>
    <w:rsid w:val="00E676D0"/>
    <w:rsid w:val="00E67B86"/>
    <w:rsid w:val="00E7412E"/>
    <w:rsid w:val="00E7639C"/>
    <w:rsid w:val="00E81D88"/>
    <w:rsid w:val="00E83828"/>
    <w:rsid w:val="00E83E3C"/>
    <w:rsid w:val="00E9124E"/>
    <w:rsid w:val="00EA1302"/>
    <w:rsid w:val="00EB1121"/>
    <w:rsid w:val="00EC5ED7"/>
    <w:rsid w:val="00ED4A54"/>
    <w:rsid w:val="00ED598D"/>
    <w:rsid w:val="00ED7B44"/>
    <w:rsid w:val="00EE379D"/>
    <w:rsid w:val="00EE76D2"/>
    <w:rsid w:val="00EF0D4D"/>
    <w:rsid w:val="00EF3A3C"/>
    <w:rsid w:val="00EF5385"/>
    <w:rsid w:val="00F02302"/>
    <w:rsid w:val="00F03E81"/>
    <w:rsid w:val="00F11FEC"/>
    <w:rsid w:val="00F12794"/>
    <w:rsid w:val="00F130E7"/>
    <w:rsid w:val="00F1411F"/>
    <w:rsid w:val="00F20270"/>
    <w:rsid w:val="00F23AD2"/>
    <w:rsid w:val="00F26305"/>
    <w:rsid w:val="00F30D03"/>
    <w:rsid w:val="00F41531"/>
    <w:rsid w:val="00F42146"/>
    <w:rsid w:val="00F5268A"/>
    <w:rsid w:val="00F52BB7"/>
    <w:rsid w:val="00F5398A"/>
    <w:rsid w:val="00F56073"/>
    <w:rsid w:val="00F579AF"/>
    <w:rsid w:val="00F620BD"/>
    <w:rsid w:val="00F64FDD"/>
    <w:rsid w:val="00F67CC3"/>
    <w:rsid w:val="00F76C52"/>
    <w:rsid w:val="00F84260"/>
    <w:rsid w:val="00F92E9D"/>
    <w:rsid w:val="00F93F5A"/>
    <w:rsid w:val="00F93FC0"/>
    <w:rsid w:val="00F96555"/>
    <w:rsid w:val="00FA0826"/>
    <w:rsid w:val="00FA1266"/>
    <w:rsid w:val="00FA1721"/>
    <w:rsid w:val="00FB1258"/>
    <w:rsid w:val="00FB1657"/>
    <w:rsid w:val="00FB318F"/>
    <w:rsid w:val="00FB4602"/>
    <w:rsid w:val="00FB6622"/>
    <w:rsid w:val="00FC43AE"/>
    <w:rsid w:val="00FC7349"/>
    <w:rsid w:val="00FC7F8B"/>
    <w:rsid w:val="00FC7FF3"/>
    <w:rsid w:val="00FD6144"/>
    <w:rsid w:val="00FE3760"/>
    <w:rsid w:val="00FE6C40"/>
    <w:rsid w:val="00FF60CF"/>
    <w:rsid w:val="0113ABC4"/>
    <w:rsid w:val="01641A50"/>
    <w:rsid w:val="0623DABE"/>
    <w:rsid w:val="07766B78"/>
    <w:rsid w:val="07B1720B"/>
    <w:rsid w:val="0827C95B"/>
    <w:rsid w:val="08C7297A"/>
    <w:rsid w:val="09187DAB"/>
    <w:rsid w:val="09CC09E9"/>
    <w:rsid w:val="0C954ADA"/>
    <w:rsid w:val="0ED24CB2"/>
    <w:rsid w:val="0F25F1EC"/>
    <w:rsid w:val="10852CB3"/>
    <w:rsid w:val="11E7A204"/>
    <w:rsid w:val="11FAB6D1"/>
    <w:rsid w:val="12FBE13E"/>
    <w:rsid w:val="172E29FC"/>
    <w:rsid w:val="174E05C0"/>
    <w:rsid w:val="1832A472"/>
    <w:rsid w:val="190B6871"/>
    <w:rsid w:val="19DD30B3"/>
    <w:rsid w:val="1BD9D12D"/>
    <w:rsid w:val="1CC2B567"/>
    <w:rsid w:val="1D841AD9"/>
    <w:rsid w:val="1DF15485"/>
    <w:rsid w:val="1EAC9508"/>
    <w:rsid w:val="1EB4CECC"/>
    <w:rsid w:val="1F5099D8"/>
    <w:rsid w:val="1FB269D0"/>
    <w:rsid w:val="2215622C"/>
    <w:rsid w:val="2414022A"/>
    <w:rsid w:val="2456E316"/>
    <w:rsid w:val="25271EEE"/>
    <w:rsid w:val="2AACF1A5"/>
    <w:rsid w:val="2AE71770"/>
    <w:rsid w:val="2CE0C6B7"/>
    <w:rsid w:val="2CED7670"/>
    <w:rsid w:val="2FE05219"/>
    <w:rsid w:val="321BDEB6"/>
    <w:rsid w:val="36668653"/>
    <w:rsid w:val="36BB13F0"/>
    <w:rsid w:val="387894EB"/>
    <w:rsid w:val="3888F52B"/>
    <w:rsid w:val="391A2D84"/>
    <w:rsid w:val="3C7090E1"/>
    <w:rsid w:val="3D9335FD"/>
    <w:rsid w:val="40773831"/>
    <w:rsid w:val="411DC21D"/>
    <w:rsid w:val="42B85AA6"/>
    <w:rsid w:val="440574CD"/>
    <w:rsid w:val="4452C6E7"/>
    <w:rsid w:val="46657416"/>
    <w:rsid w:val="467E3DB4"/>
    <w:rsid w:val="48447BE1"/>
    <w:rsid w:val="49E04C42"/>
    <w:rsid w:val="4D428CA6"/>
    <w:rsid w:val="4F086C37"/>
    <w:rsid w:val="4F2776EC"/>
    <w:rsid w:val="4F485F51"/>
    <w:rsid w:val="5061078E"/>
    <w:rsid w:val="50865815"/>
    <w:rsid w:val="523FB8C6"/>
    <w:rsid w:val="52566CC4"/>
    <w:rsid w:val="52DD654A"/>
    <w:rsid w:val="53B1CE2A"/>
    <w:rsid w:val="543DC208"/>
    <w:rsid w:val="5456FC0C"/>
    <w:rsid w:val="54EAC575"/>
    <w:rsid w:val="559AFCD7"/>
    <w:rsid w:val="5601240B"/>
    <w:rsid w:val="56F47BC1"/>
    <w:rsid w:val="56F8B0D5"/>
    <w:rsid w:val="56FE73FC"/>
    <w:rsid w:val="575992CF"/>
    <w:rsid w:val="58112B60"/>
    <w:rsid w:val="58D05D5A"/>
    <w:rsid w:val="59A8D577"/>
    <w:rsid w:val="5BAF527E"/>
    <w:rsid w:val="5CB0A302"/>
    <w:rsid w:val="5E9925E4"/>
    <w:rsid w:val="5F13DAE4"/>
    <w:rsid w:val="5FC3CE66"/>
    <w:rsid w:val="607437A2"/>
    <w:rsid w:val="623BE597"/>
    <w:rsid w:val="62DD2668"/>
    <w:rsid w:val="6477ECE8"/>
    <w:rsid w:val="653FC365"/>
    <w:rsid w:val="65AAC5BB"/>
    <w:rsid w:val="693235AE"/>
    <w:rsid w:val="69DF067E"/>
    <w:rsid w:val="6ACE060F"/>
    <w:rsid w:val="6B458A26"/>
    <w:rsid w:val="6BCF1DF5"/>
    <w:rsid w:val="6CDDD854"/>
    <w:rsid w:val="6D33009E"/>
    <w:rsid w:val="6E0F8B7A"/>
    <w:rsid w:val="6E4BEF01"/>
    <w:rsid w:val="6EE14B07"/>
    <w:rsid w:val="726814FE"/>
    <w:rsid w:val="742FB8C7"/>
    <w:rsid w:val="746A2C93"/>
    <w:rsid w:val="74DE58C3"/>
    <w:rsid w:val="755CD8D9"/>
    <w:rsid w:val="769F5195"/>
    <w:rsid w:val="76A07858"/>
    <w:rsid w:val="774572AD"/>
    <w:rsid w:val="794A1FE0"/>
    <w:rsid w:val="7B520690"/>
    <w:rsid w:val="7B5DF456"/>
    <w:rsid w:val="7C30B9DB"/>
    <w:rsid w:val="7DC33E63"/>
    <w:rsid w:val="7E959518"/>
    <w:rsid w:val="7F90C3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16B2"/>
  <w15:docId w15:val="{DF7CC907-AFB1-4B6A-8DB7-D786D04E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00F"/>
    <w:pPr>
      <w:spacing w:after="200" w:line="276" w:lineRule="auto"/>
    </w:pPr>
    <w:rPr>
      <w:rFonts w:ascii="Arial" w:eastAsia="Calibri"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794"/>
    <w:pPr>
      <w:spacing w:after="0" w:line="240" w:lineRule="auto"/>
      <w:ind w:left="720"/>
      <w:contextualSpacing/>
    </w:pPr>
    <w:rPr>
      <w:rFonts w:asciiTheme="minorHAnsi" w:eastAsiaTheme="minorHAnsi" w:hAnsiTheme="minorHAnsi" w:cstheme="minorBidi"/>
      <w:sz w:val="24"/>
      <w:szCs w:val="24"/>
      <w:lang w:val="en-US" w:eastAsia="en-US"/>
    </w:rPr>
  </w:style>
  <w:style w:type="paragraph" w:customStyle="1" w:styleId="EndNoteBibliography">
    <w:name w:val="EndNote Bibliography"/>
    <w:basedOn w:val="Normal"/>
    <w:link w:val="EndNoteBibliographyChar"/>
    <w:rsid w:val="00F12794"/>
    <w:pPr>
      <w:spacing w:after="0" w:line="240" w:lineRule="auto"/>
      <w:jc w:val="both"/>
    </w:pPr>
    <w:rPr>
      <w:rFonts w:ascii="Calibri" w:eastAsiaTheme="minorHAnsi" w:hAnsi="Calibri" w:cstheme="minorBidi"/>
      <w:sz w:val="24"/>
      <w:szCs w:val="24"/>
      <w:lang w:val="en-US" w:eastAsia="en-US"/>
    </w:rPr>
  </w:style>
  <w:style w:type="character" w:styleId="CommentReference">
    <w:name w:val="annotation reference"/>
    <w:basedOn w:val="DefaultParagraphFont"/>
    <w:uiPriority w:val="99"/>
    <w:semiHidden/>
    <w:unhideWhenUsed/>
    <w:rsid w:val="00C658E6"/>
    <w:rPr>
      <w:sz w:val="16"/>
      <w:szCs w:val="16"/>
    </w:rPr>
  </w:style>
  <w:style w:type="paragraph" w:styleId="CommentText">
    <w:name w:val="annotation text"/>
    <w:basedOn w:val="Normal"/>
    <w:link w:val="CommentTextChar"/>
    <w:uiPriority w:val="99"/>
    <w:semiHidden/>
    <w:unhideWhenUsed/>
    <w:rsid w:val="00C658E6"/>
    <w:pPr>
      <w:spacing w:after="0" w:line="240" w:lineRule="auto"/>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semiHidden/>
    <w:rsid w:val="00C658E6"/>
    <w:rPr>
      <w:sz w:val="20"/>
      <w:szCs w:val="20"/>
      <w:lang w:val="en-US"/>
    </w:rPr>
  </w:style>
  <w:style w:type="paragraph" w:styleId="BalloonText">
    <w:name w:val="Balloon Text"/>
    <w:basedOn w:val="Normal"/>
    <w:link w:val="BalloonTextChar"/>
    <w:uiPriority w:val="99"/>
    <w:semiHidden/>
    <w:unhideWhenUsed/>
    <w:rsid w:val="00C658E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58E6"/>
    <w:rPr>
      <w:rFonts w:ascii="Times New Roman" w:eastAsia="Calibri" w:hAnsi="Times New Roman" w:cs="Times New Roman"/>
      <w:sz w:val="18"/>
      <w:szCs w:val="18"/>
      <w:lang w:eastAsia="en-GB"/>
    </w:rPr>
  </w:style>
  <w:style w:type="table" w:styleId="TableGrid">
    <w:name w:val="Table Grid"/>
    <w:basedOn w:val="TableNormal"/>
    <w:uiPriority w:val="39"/>
    <w:rsid w:val="00350AD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F96555"/>
    <w:pPr>
      <w:spacing w:after="200"/>
    </w:pPr>
    <w:rPr>
      <w:rFonts w:ascii="Arial" w:eastAsia="Calibri" w:hAnsi="Arial" w:cs="Arial"/>
      <w:b/>
      <w:bCs/>
      <w:lang w:val="en-GB" w:eastAsia="en-GB"/>
    </w:rPr>
  </w:style>
  <w:style w:type="character" w:customStyle="1" w:styleId="CommentSubjectChar">
    <w:name w:val="Comment Subject Char"/>
    <w:basedOn w:val="CommentTextChar"/>
    <w:link w:val="CommentSubject"/>
    <w:uiPriority w:val="99"/>
    <w:semiHidden/>
    <w:rsid w:val="00F96555"/>
    <w:rPr>
      <w:rFonts w:ascii="Arial" w:eastAsia="Calibri" w:hAnsi="Arial" w:cs="Arial"/>
      <w:b/>
      <w:bCs/>
      <w:sz w:val="20"/>
      <w:szCs w:val="20"/>
      <w:lang w:val="en-US" w:eastAsia="en-GB"/>
    </w:rPr>
  </w:style>
  <w:style w:type="character" w:styleId="Hyperlink">
    <w:name w:val="Hyperlink"/>
    <w:basedOn w:val="DefaultParagraphFont"/>
    <w:uiPriority w:val="99"/>
    <w:unhideWhenUsed/>
    <w:rsid w:val="006177D2"/>
    <w:rPr>
      <w:color w:val="0563C1" w:themeColor="hyperlink"/>
      <w:u w:val="single"/>
    </w:rPr>
  </w:style>
  <w:style w:type="paragraph" w:customStyle="1" w:styleId="refauthorsname">
    <w:name w:val="ref__authors__name"/>
    <w:basedOn w:val="Normal"/>
    <w:rsid w:val="00115E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5E7D"/>
  </w:style>
  <w:style w:type="character" w:customStyle="1" w:styleId="refseries">
    <w:name w:val="ref__series"/>
    <w:basedOn w:val="DefaultParagraphFont"/>
    <w:rsid w:val="00115E7D"/>
  </w:style>
  <w:style w:type="character" w:customStyle="1" w:styleId="refseriesdate">
    <w:name w:val="ref__seriesdate"/>
    <w:basedOn w:val="DefaultParagraphFont"/>
    <w:rsid w:val="00115E7D"/>
  </w:style>
  <w:style w:type="character" w:customStyle="1" w:styleId="refseriesvolume">
    <w:name w:val="ref__seriesvolume"/>
    <w:basedOn w:val="DefaultParagraphFont"/>
    <w:rsid w:val="00115E7D"/>
  </w:style>
  <w:style w:type="character" w:customStyle="1" w:styleId="refseriespages">
    <w:name w:val="ref__seriespages"/>
    <w:basedOn w:val="DefaultParagraphFont"/>
    <w:rsid w:val="00115E7D"/>
  </w:style>
  <w:style w:type="paragraph" w:styleId="NormalWeb">
    <w:name w:val="Normal (Web)"/>
    <w:basedOn w:val="Normal"/>
    <w:uiPriority w:val="99"/>
    <w:semiHidden/>
    <w:unhideWhenUsed/>
    <w:rsid w:val="00537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BibliographyChar">
    <w:name w:val="EndNote Bibliography Char"/>
    <w:basedOn w:val="DefaultParagraphFont"/>
    <w:link w:val="EndNoteBibliography"/>
    <w:rsid w:val="005373E5"/>
    <w:rPr>
      <w:rFonts w:ascii="Calibri" w:hAnsi="Calibri"/>
      <w:sz w:val="24"/>
      <w:szCs w:val="24"/>
      <w:lang w:val="en-US"/>
    </w:rPr>
  </w:style>
  <w:style w:type="character" w:styleId="FollowedHyperlink">
    <w:name w:val="FollowedHyperlink"/>
    <w:basedOn w:val="DefaultParagraphFont"/>
    <w:uiPriority w:val="99"/>
    <w:semiHidden/>
    <w:unhideWhenUsed/>
    <w:rsid w:val="005373E5"/>
    <w:rPr>
      <w:color w:val="954F72" w:themeColor="followedHyperlink"/>
      <w:u w:val="single"/>
    </w:rPr>
  </w:style>
  <w:style w:type="paragraph" w:styleId="Revision">
    <w:name w:val="Revision"/>
    <w:hidden/>
    <w:uiPriority w:val="99"/>
    <w:semiHidden/>
    <w:rsid w:val="00C040FF"/>
    <w:pPr>
      <w:spacing w:after="0" w:line="240" w:lineRule="auto"/>
    </w:pPr>
    <w:rPr>
      <w:rFonts w:ascii="Arial" w:eastAsia="Calibri" w:hAnsi="Arial" w:cs="Arial"/>
      <w:lang w:eastAsia="en-GB"/>
    </w:rPr>
  </w:style>
  <w:style w:type="character" w:customStyle="1" w:styleId="jrnl">
    <w:name w:val="jrnl"/>
    <w:basedOn w:val="DefaultParagraphFont"/>
    <w:rsid w:val="00E37F76"/>
  </w:style>
  <w:style w:type="character" w:customStyle="1" w:styleId="UnresolvedMention1">
    <w:name w:val="Unresolved Mention1"/>
    <w:basedOn w:val="DefaultParagraphFont"/>
    <w:uiPriority w:val="99"/>
    <w:semiHidden/>
    <w:unhideWhenUsed/>
    <w:rsid w:val="0070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280">
      <w:bodyDiv w:val="1"/>
      <w:marLeft w:val="0"/>
      <w:marRight w:val="0"/>
      <w:marTop w:val="0"/>
      <w:marBottom w:val="0"/>
      <w:divBdr>
        <w:top w:val="none" w:sz="0" w:space="0" w:color="auto"/>
        <w:left w:val="none" w:sz="0" w:space="0" w:color="auto"/>
        <w:bottom w:val="none" w:sz="0" w:space="0" w:color="auto"/>
        <w:right w:val="none" w:sz="0" w:space="0" w:color="auto"/>
      </w:divBdr>
    </w:div>
    <w:div w:id="48187051">
      <w:bodyDiv w:val="1"/>
      <w:marLeft w:val="0"/>
      <w:marRight w:val="0"/>
      <w:marTop w:val="0"/>
      <w:marBottom w:val="0"/>
      <w:divBdr>
        <w:top w:val="none" w:sz="0" w:space="0" w:color="auto"/>
        <w:left w:val="none" w:sz="0" w:space="0" w:color="auto"/>
        <w:bottom w:val="none" w:sz="0" w:space="0" w:color="auto"/>
        <w:right w:val="none" w:sz="0" w:space="0" w:color="auto"/>
      </w:divBdr>
    </w:div>
    <w:div w:id="456611095">
      <w:bodyDiv w:val="1"/>
      <w:marLeft w:val="0"/>
      <w:marRight w:val="0"/>
      <w:marTop w:val="0"/>
      <w:marBottom w:val="0"/>
      <w:divBdr>
        <w:top w:val="none" w:sz="0" w:space="0" w:color="auto"/>
        <w:left w:val="none" w:sz="0" w:space="0" w:color="auto"/>
        <w:bottom w:val="none" w:sz="0" w:space="0" w:color="auto"/>
        <w:right w:val="none" w:sz="0" w:space="0" w:color="auto"/>
      </w:divBdr>
    </w:div>
    <w:div w:id="517819349">
      <w:bodyDiv w:val="1"/>
      <w:marLeft w:val="0"/>
      <w:marRight w:val="0"/>
      <w:marTop w:val="0"/>
      <w:marBottom w:val="0"/>
      <w:divBdr>
        <w:top w:val="none" w:sz="0" w:space="0" w:color="auto"/>
        <w:left w:val="none" w:sz="0" w:space="0" w:color="auto"/>
        <w:bottom w:val="none" w:sz="0" w:space="0" w:color="auto"/>
        <w:right w:val="none" w:sz="0" w:space="0" w:color="auto"/>
      </w:divBdr>
      <w:divsChild>
        <w:div w:id="289898125">
          <w:marLeft w:val="0"/>
          <w:marRight w:val="0"/>
          <w:marTop w:val="0"/>
          <w:marBottom w:val="0"/>
          <w:divBdr>
            <w:top w:val="none" w:sz="0" w:space="0" w:color="auto"/>
            <w:left w:val="none" w:sz="0" w:space="0" w:color="auto"/>
            <w:bottom w:val="none" w:sz="0" w:space="0" w:color="auto"/>
            <w:right w:val="none" w:sz="0" w:space="0" w:color="auto"/>
          </w:divBdr>
          <w:divsChild>
            <w:div w:id="2004773232">
              <w:marLeft w:val="0"/>
              <w:marRight w:val="0"/>
              <w:marTop w:val="0"/>
              <w:marBottom w:val="0"/>
              <w:divBdr>
                <w:top w:val="none" w:sz="0" w:space="0" w:color="auto"/>
                <w:left w:val="none" w:sz="0" w:space="0" w:color="auto"/>
                <w:bottom w:val="none" w:sz="0" w:space="0" w:color="auto"/>
                <w:right w:val="none" w:sz="0" w:space="0" w:color="auto"/>
              </w:divBdr>
              <w:divsChild>
                <w:div w:id="62608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07760">
      <w:bodyDiv w:val="1"/>
      <w:marLeft w:val="0"/>
      <w:marRight w:val="0"/>
      <w:marTop w:val="0"/>
      <w:marBottom w:val="0"/>
      <w:divBdr>
        <w:top w:val="none" w:sz="0" w:space="0" w:color="auto"/>
        <w:left w:val="none" w:sz="0" w:space="0" w:color="auto"/>
        <w:bottom w:val="none" w:sz="0" w:space="0" w:color="auto"/>
        <w:right w:val="none" w:sz="0" w:space="0" w:color="auto"/>
      </w:divBdr>
    </w:div>
    <w:div w:id="730928612">
      <w:bodyDiv w:val="1"/>
      <w:marLeft w:val="0"/>
      <w:marRight w:val="0"/>
      <w:marTop w:val="0"/>
      <w:marBottom w:val="0"/>
      <w:divBdr>
        <w:top w:val="none" w:sz="0" w:space="0" w:color="auto"/>
        <w:left w:val="none" w:sz="0" w:space="0" w:color="auto"/>
        <w:bottom w:val="none" w:sz="0" w:space="0" w:color="auto"/>
        <w:right w:val="none" w:sz="0" w:space="0" w:color="auto"/>
      </w:divBdr>
      <w:divsChild>
        <w:div w:id="1561398391">
          <w:marLeft w:val="0"/>
          <w:marRight w:val="0"/>
          <w:marTop w:val="0"/>
          <w:marBottom w:val="0"/>
          <w:divBdr>
            <w:top w:val="none" w:sz="0" w:space="0" w:color="auto"/>
            <w:left w:val="none" w:sz="0" w:space="0" w:color="auto"/>
            <w:bottom w:val="none" w:sz="0" w:space="0" w:color="auto"/>
            <w:right w:val="none" w:sz="0" w:space="0" w:color="auto"/>
          </w:divBdr>
          <w:divsChild>
            <w:div w:id="175702926">
              <w:marLeft w:val="0"/>
              <w:marRight w:val="0"/>
              <w:marTop w:val="0"/>
              <w:marBottom w:val="0"/>
              <w:divBdr>
                <w:top w:val="none" w:sz="0" w:space="0" w:color="auto"/>
                <w:left w:val="none" w:sz="0" w:space="0" w:color="auto"/>
                <w:bottom w:val="none" w:sz="0" w:space="0" w:color="auto"/>
                <w:right w:val="none" w:sz="0" w:space="0" w:color="auto"/>
              </w:divBdr>
              <w:divsChild>
                <w:div w:id="49920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806586">
                      <w:marLeft w:val="0"/>
                      <w:marRight w:val="0"/>
                      <w:marTop w:val="0"/>
                      <w:marBottom w:val="0"/>
                      <w:divBdr>
                        <w:top w:val="none" w:sz="0" w:space="0" w:color="auto"/>
                        <w:left w:val="none" w:sz="0" w:space="0" w:color="auto"/>
                        <w:bottom w:val="none" w:sz="0" w:space="0" w:color="auto"/>
                        <w:right w:val="none" w:sz="0" w:space="0" w:color="auto"/>
                      </w:divBdr>
                      <w:divsChild>
                        <w:div w:id="147410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bsaci.org/wp-content/uploads/2020/02/allergy_the_unmet_need.pdf" TargetMode="External"/><Relationship Id="rId4" Type="http://schemas.openxmlformats.org/officeDocument/2006/relationships/customXml" Target="../customXml/item4.xml"/><Relationship Id="rId9" Type="http://schemas.openxmlformats.org/officeDocument/2006/relationships/hyperlink" Target="http://www.ncbi.nlm.nih.gov/pubmed/256235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5345073412E74E9A61318EB094408C" ma:contentTypeVersion="6" ma:contentTypeDescription="Create a new document." ma:contentTypeScope="" ma:versionID="a520aace820a47f44eb5938ad9cd27e4">
  <xsd:schema xmlns:xsd="http://www.w3.org/2001/XMLSchema" xmlns:xs="http://www.w3.org/2001/XMLSchema" xmlns:p="http://schemas.microsoft.com/office/2006/metadata/properties" xmlns:ns2="fe69da1d-9cb0-4695-8a53-67476628cf15" xmlns:ns3="3bb16a8f-1bec-4f63-8242-1c58656c4ced" targetNamespace="http://schemas.microsoft.com/office/2006/metadata/properties" ma:root="true" ma:fieldsID="cf436e1af727279f0815c8517f2470dc" ns2:_="" ns3:_="">
    <xsd:import namespace="fe69da1d-9cb0-4695-8a53-67476628cf15"/>
    <xsd:import namespace="3bb16a8f-1bec-4f63-8242-1c58656c4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9da1d-9cb0-4695-8a53-67476628c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16a8f-1bec-4f63-8242-1c58656c4c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23AAD0-D928-46B2-A0D5-5F7EEC5475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57DB5-9E4A-4B48-8DD4-F332E03CD91E}">
  <ds:schemaRefs>
    <ds:schemaRef ds:uri="http://schemas.microsoft.com/sharepoint/v3/contenttype/forms"/>
  </ds:schemaRefs>
</ds:datastoreItem>
</file>

<file path=customXml/itemProps3.xml><?xml version="1.0" encoding="utf-8"?>
<ds:datastoreItem xmlns:ds="http://schemas.openxmlformats.org/officeDocument/2006/customXml" ds:itemID="{8398FFA0-EA06-EC4D-AE44-8A26D33B0881}">
  <ds:schemaRefs>
    <ds:schemaRef ds:uri="http://schemas.openxmlformats.org/officeDocument/2006/bibliography"/>
  </ds:schemaRefs>
</ds:datastoreItem>
</file>

<file path=customXml/itemProps4.xml><?xml version="1.0" encoding="utf-8"?>
<ds:datastoreItem xmlns:ds="http://schemas.openxmlformats.org/officeDocument/2006/customXml" ds:itemID="{308D3471-8D73-4507-A0FB-792C1020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9da1d-9cb0-4695-8a53-67476628cf15"/>
    <ds:schemaRef ds:uri="3bb16a8f-1bec-4f63-8242-1c58656c4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3867</Words>
  <Characters>22044</Characters>
  <Application>Microsoft Office Word</Application>
  <DocSecurity>2</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 Shayeghi</dc:creator>
  <cp:lastModifiedBy>Michael Ardern-Jones</cp:lastModifiedBy>
  <cp:revision>2</cp:revision>
  <cp:lastPrinted>2021-09-30T09:18:00Z</cp:lastPrinted>
  <dcterms:created xsi:type="dcterms:W3CDTF">2022-11-30T11:32:00Z</dcterms:created>
  <dcterms:modified xsi:type="dcterms:W3CDTF">2022-11-30T11:32:00Z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0x010100DB5345073412E74E9A61318EB094408C</vt:lpwstr>
  </property>
</Properties>
</file>